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1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B140D" w14:textId="77777777" w:rsidR="00293231" w:rsidRPr="00293231" w:rsidRDefault="00293231" w:rsidP="00293231">
      <w:pPr>
        <w:spacing w:after="0" w:line="360" w:lineRule="auto"/>
        <w:rPr>
          <w:rFonts w:eastAsiaTheme="majorEastAsia"/>
          <w:b/>
          <w:bCs/>
          <w:noProof/>
          <w:color w:val="000000" w:themeColor="text1"/>
          <w:sz w:val="24"/>
          <w:szCs w:val="24"/>
          <w:lang w:bidi="ar-SA"/>
        </w:rPr>
      </w:pPr>
      <w:bookmarkStart w:id="0" w:name="_Toc505547251"/>
      <w:r w:rsidRPr="00293231">
        <w:rPr>
          <w:rFonts w:eastAsiaTheme="majorEastAsia"/>
          <w:b/>
          <w:bCs/>
          <w:noProof/>
          <w:color w:val="000000" w:themeColor="text1"/>
          <w:sz w:val="24"/>
          <w:szCs w:val="24"/>
          <w:lang w:bidi="ar-SA"/>
        </w:rPr>
        <mc:AlternateContent>
          <mc:Choice Requires="wps">
            <w:drawing>
              <wp:anchor distT="0" distB="0" distL="114300" distR="114300" simplePos="0" relativeHeight="251662336" behindDoc="0" locked="0" layoutInCell="1" allowOverlap="1" wp14:anchorId="4E0C60CA" wp14:editId="4BEA0CA2">
                <wp:simplePos x="0" y="0"/>
                <wp:positionH relativeFrom="margin">
                  <wp:posOffset>6056052</wp:posOffset>
                </wp:positionH>
                <wp:positionV relativeFrom="page">
                  <wp:posOffset>13648</wp:posOffset>
                </wp:positionV>
                <wp:extent cx="190500" cy="1666240"/>
                <wp:effectExtent l="0" t="0" r="0" b="0"/>
                <wp:wrapNone/>
                <wp:docPr id="287447" name="Freeform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190500" cy="1666240"/>
                        </a:xfrm>
                        <a:custGeom>
                          <a:avLst/>
                          <a:gdLst/>
                          <a:ahLst/>
                          <a:cxnLst>
                            <a:cxn ang="0">
                              <a:pos x="120" y="581"/>
                            </a:cxn>
                            <a:cxn ang="0">
                              <a:pos x="120" y="0"/>
                            </a:cxn>
                            <a:cxn ang="0">
                              <a:pos x="0" y="0"/>
                            </a:cxn>
                            <a:cxn ang="0">
                              <a:pos x="0" y="666"/>
                            </a:cxn>
                            <a:cxn ang="0">
                              <a:pos x="120" y="581"/>
                            </a:cxn>
                          </a:cxnLst>
                          <a:rect l="0" t="0" r="r" b="b"/>
                          <a:pathLst>
                            <a:path w="120" h="666">
                              <a:moveTo>
                                <a:pt x="120" y="581"/>
                              </a:moveTo>
                              <a:lnTo>
                                <a:pt x="120" y="0"/>
                              </a:lnTo>
                              <a:lnTo>
                                <a:pt x="0" y="0"/>
                              </a:lnTo>
                              <a:lnTo>
                                <a:pt x="0" y="666"/>
                              </a:lnTo>
                              <a:lnTo>
                                <a:pt x="120" y="581"/>
                              </a:lnTo>
                              <a:close/>
                            </a:path>
                          </a:pathLst>
                        </a:custGeom>
                        <a:solidFill>
                          <a:srgbClr val="EC1C3C"/>
                        </a:solidFill>
                        <a:ln w="9525">
                          <a:noFill/>
                          <a:round/>
                          <a:headEnd/>
                          <a:tailEnd/>
                        </a:ln>
                      </wps:spPr>
                      <wps:bodyPr lIns="108776" tIns="54389" rIns="108776" bIns="54389"/>
                    </wps:wsp>
                  </a:graphicData>
                </a:graphic>
                <wp14:sizeRelH relativeFrom="margin">
                  <wp14:pctWidth>0</wp14:pctWidth>
                </wp14:sizeRelH>
                <wp14:sizeRelV relativeFrom="margin">
                  <wp14:pctHeight>0</wp14:pctHeight>
                </wp14:sizeRelV>
              </wp:anchor>
            </w:drawing>
          </mc:Choice>
          <mc:Fallback>
            <w:pict>
              <v:shape w14:anchorId="67B6727A" id="Freeform 30" o:spid="_x0000_s1026" style="position:absolute;margin-left:476.85pt;margin-top:1.05pt;width:15pt;height:1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120,666"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" path="m120,581l120,,,,,666,120,581xe" fillcolor="#ec1c3c" stroked="f">
                <v:path arrowok="t" o:connecttype="custom" o:connectlocs="120,581;120,0;0,0;0,666;120,581" o:connectangles="0,0,0,0,0"/>
                <o:lock v:ext="edit" aspectratio="t"/>
                <w10:wrap anchorx="margin" anchory="page"/>
              </v:shape>
            </w:pict>
          </mc:Fallback>
        </mc:AlternateContent>
      </w:r>
      <w:r w:rsidRPr="00293231">
        <w:rPr>
          <w:rFonts w:eastAsiaTheme="majorEastAsia"/>
          <w:b/>
          <w:bCs/>
          <w:noProof/>
          <w:color w:val="000000" w:themeColor="text1"/>
          <w:sz w:val="24"/>
          <w:szCs w:val="24"/>
          <w:lang w:bidi="ar-SA"/>
        </w:rPr>
        <w:drawing>
          <wp:anchor distT="0" distB="0" distL="114300" distR="114300" simplePos="0" relativeHeight="251660288" behindDoc="0" locked="0" layoutInCell="1" allowOverlap="1" wp14:anchorId="6CF3883A" wp14:editId="55BE100E">
            <wp:simplePos x="0" y="0"/>
            <wp:positionH relativeFrom="page">
              <wp:posOffset>5823433</wp:posOffset>
            </wp:positionH>
            <wp:positionV relativeFrom="page">
              <wp:posOffset>336559</wp:posOffset>
            </wp:positionV>
            <wp:extent cx="1022400" cy="1022400"/>
            <wp:effectExtent l="0" t="0" r="6350" b="635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 ne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2400" cy="1022400"/>
                    </a:xfrm>
                    <a:prstGeom prst="rect">
                      <a:avLst/>
                    </a:prstGeom>
                  </pic:spPr>
                </pic:pic>
              </a:graphicData>
            </a:graphic>
            <wp14:sizeRelH relativeFrom="margin">
              <wp14:pctWidth>0</wp14:pctWidth>
            </wp14:sizeRelH>
            <wp14:sizeRelV relativeFrom="margin">
              <wp14:pctHeight>0</wp14:pctHeight>
            </wp14:sizeRelV>
          </wp:anchor>
        </w:drawing>
      </w:r>
    </w:p>
    <w:p w14:paraId="1E4CF3F1" w14:textId="77777777" w:rsidR="00293231" w:rsidRPr="00293231" w:rsidRDefault="00293231" w:rsidP="00293231">
      <w:pPr>
        <w:spacing w:after="0" w:line="360" w:lineRule="auto"/>
        <w:rPr>
          <w:rFonts w:eastAsiaTheme="majorEastAsia"/>
          <w:b/>
          <w:bCs/>
          <w:noProof/>
          <w:color w:val="000000" w:themeColor="text1"/>
          <w:sz w:val="24"/>
          <w:szCs w:val="24"/>
          <w:rtl/>
        </w:rPr>
      </w:pPr>
    </w:p>
    <w:p w14:paraId="09372764" w14:textId="77777777" w:rsidR="00293231" w:rsidRPr="00293231" w:rsidRDefault="00293231" w:rsidP="00293231">
      <w:pPr>
        <w:spacing w:after="0" w:line="360" w:lineRule="auto"/>
        <w:rPr>
          <w:rFonts w:eastAsiaTheme="majorEastAsia"/>
          <w:b/>
          <w:bCs/>
          <w:noProof/>
          <w:color w:val="000000" w:themeColor="text1"/>
          <w:sz w:val="24"/>
          <w:szCs w:val="24"/>
          <w:lang w:bidi="ar-SA"/>
        </w:rPr>
      </w:pPr>
      <w:r w:rsidRPr="00293231">
        <w:rPr>
          <w:rFonts w:eastAsiaTheme="majorEastAsia"/>
          <w:b/>
          <w:bCs/>
          <w:noProof/>
          <w:color w:val="000000" w:themeColor="text1"/>
          <w:sz w:val="24"/>
          <w:szCs w:val="24"/>
          <w:lang w:bidi="ar-SA"/>
        </w:rPr>
        <mc:AlternateContent>
          <mc:Choice Requires="wps">
            <w:drawing>
              <wp:anchor distT="0" distB="0" distL="114300" distR="114300" simplePos="0" relativeHeight="251661312" behindDoc="1" locked="0" layoutInCell="1" allowOverlap="1" wp14:anchorId="777AD401" wp14:editId="3E243249">
                <wp:simplePos x="0" y="0"/>
                <wp:positionH relativeFrom="margin">
                  <wp:posOffset>-64135</wp:posOffset>
                </wp:positionH>
                <wp:positionV relativeFrom="paragraph">
                  <wp:posOffset>33817</wp:posOffset>
                </wp:positionV>
                <wp:extent cx="6645275" cy="7112635"/>
                <wp:effectExtent l="0" t="0" r="3175" b="0"/>
                <wp:wrapNone/>
                <wp:docPr id="10" name="מלבן 5"/>
                <wp:cNvGraphicFramePr/>
                <a:graphic xmlns:a="http://schemas.openxmlformats.org/drawingml/2006/main">
                  <a:graphicData uri="http://schemas.microsoft.com/office/word/2010/wordprocessingShape">
                    <wps:wsp>
                      <wps:cNvSpPr/>
                      <wps:spPr>
                        <a:xfrm>
                          <a:off x="0" y="0"/>
                          <a:ext cx="6645275" cy="7112635"/>
                        </a:xfrm>
                        <a:prstGeom prst="rect">
                          <a:avLst/>
                        </a:prstGeom>
                        <a:solidFill>
                          <a:srgbClr val="62CAE3"/>
                        </a:solid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9326F" id="מלבן 5" o:spid="_x0000_s1026" style="position:absolute;margin-left:-5.05pt;margin-top:2.65pt;width:523.25pt;height:56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" fillcolor="#62cae3" stroked="f" strokeweight="2pt">
                <w10:wrap anchorx="margin"/>
              </v:rect>
            </w:pict>
          </mc:Fallback>
        </mc:AlternateContent>
      </w:r>
    </w:p>
    <w:p w14:paraId="23EEDBB4" w14:textId="1BB1D62D" w:rsidR="00293231" w:rsidRPr="00293231" w:rsidRDefault="00293231" w:rsidP="00293231">
      <w:pPr>
        <w:spacing w:after="0" w:line="360" w:lineRule="auto"/>
        <w:jc w:val="center"/>
        <w:rPr>
          <w:rFonts w:eastAsiaTheme="majorEastAsia"/>
          <w:b/>
          <w:bCs/>
          <w:noProof/>
          <w:color w:val="FFFFFF" w:themeColor="background1"/>
          <w:sz w:val="56"/>
          <w:szCs w:val="56"/>
          <w:lang w:bidi="ar-SA"/>
        </w:rPr>
      </w:pPr>
      <w:r w:rsidRPr="00293231">
        <w:rPr>
          <w:rFonts w:eastAsiaTheme="majorEastAsia"/>
          <w:b/>
          <w:bCs/>
          <w:noProof/>
          <w:color w:val="FFFFFF" w:themeColor="background1"/>
          <w:sz w:val="56"/>
          <w:szCs w:val="56"/>
          <w:lang w:bidi="ar-SA"/>
        </w:rPr>
        <w:drawing>
          <wp:anchor distT="0" distB="0" distL="114300" distR="114300" simplePos="0" relativeHeight="251659264" behindDoc="1" locked="0" layoutInCell="1" allowOverlap="1" wp14:anchorId="0DA9E108" wp14:editId="0836FC9A">
            <wp:simplePos x="0" y="0"/>
            <wp:positionH relativeFrom="page">
              <wp:posOffset>720090</wp:posOffset>
            </wp:positionH>
            <wp:positionV relativeFrom="page">
              <wp:posOffset>363855</wp:posOffset>
            </wp:positionV>
            <wp:extent cx="2098800" cy="795600"/>
            <wp:effectExtent l="0" t="0" r="0" b="5080"/>
            <wp:wrapTight wrapText="bothSides">
              <wp:wrapPolygon edited="0">
                <wp:start x="0" y="0"/>
                <wp:lineTo x="0" y="21220"/>
                <wp:lineTo x="21371" y="21220"/>
                <wp:lineTo x="21371" y="0"/>
                <wp:lineTo x="0" y="0"/>
              </wp:wrapPolygon>
            </wp:wrapTight>
            <wp:docPr id="3" name="תמונה 16" descr="paper TA-Y CONSUL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TA-Y CONSULTING-1.jpg"/>
                    <pic:cNvPicPr/>
                  </pic:nvPicPr>
                  <pic:blipFill>
                    <a:blip r:embed="rId10" cstate="print"/>
                    <a:srcRect r="74123"/>
                    <a:stretch>
                      <a:fillRect/>
                    </a:stretch>
                  </pic:blipFill>
                  <pic:spPr>
                    <a:xfrm>
                      <a:off x="0" y="0"/>
                      <a:ext cx="2098800" cy="795600"/>
                    </a:xfrm>
                    <a:prstGeom prst="rect">
                      <a:avLst/>
                    </a:prstGeom>
                  </pic:spPr>
                </pic:pic>
              </a:graphicData>
            </a:graphic>
            <wp14:sizeRelH relativeFrom="margin">
              <wp14:pctWidth>0</wp14:pctWidth>
            </wp14:sizeRelH>
            <wp14:sizeRelV relativeFrom="margin">
              <wp14:pctHeight>0</wp14:pctHeight>
            </wp14:sizeRelV>
          </wp:anchor>
        </w:drawing>
      </w:r>
      <w:r w:rsidRPr="00293231">
        <w:rPr>
          <w:rFonts w:eastAsiaTheme="majorEastAsia"/>
          <w:b/>
          <w:bCs/>
          <w:noProof/>
          <w:color w:val="FFFFFF" w:themeColor="background1"/>
          <w:sz w:val="56"/>
          <w:szCs w:val="56"/>
          <w:lang w:bidi="ar-SA"/>
        </w:rPr>
        <w:t>Food Waste and Rescue in Israel 2018</w:t>
      </w:r>
    </w:p>
    <w:p w14:paraId="1D6F60F5" w14:textId="107233B9" w:rsidR="00293231" w:rsidRPr="00293231" w:rsidRDefault="0062753C" w:rsidP="00293231">
      <w:pPr>
        <w:spacing w:after="0" w:line="360" w:lineRule="auto"/>
        <w:jc w:val="center"/>
        <w:rPr>
          <w:rFonts w:eastAsiaTheme="majorEastAsia"/>
          <w:b/>
          <w:bCs/>
          <w:noProof/>
          <w:color w:val="000000" w:themeColor="text1"/>
          <w:sz w:val="24"/>
          <w:szCs w:val="24"/>
          <w:lang w:bidi="ar-SA"/>
        </w:rPr>
      </w:pPr>
      <w:r w:rsidRPr="00293231">
        <w:rPr>
          <w:rFonts w:asciiTheme="minorBidi" w:eastAsiaTheme="majorEastAsia" w:hAnsiTheme="minorBidi"/>
          <w:b/>
          <w:bCs/>
          <w:noProof/>
          <w:color w:val="000000" w:themeColor="text1"/>
          <w:sz w:val="24"/>
          <w:szCs w:val="24"/>
          <w:lang w:bidi="ar-SA"/>
        </w:rPr>
        <w:drawing>
          <wp:anchor distT="0" distB="0" distL="114300" distR="114300" simplePos="0" relativeHeight="251663360" behindDoc="1" locked="0" layoutInCell="1" allowOverlap="1" wp14:anchorId="035A9D52" wp14:editId="408562DB">
            <wp:simplePos x="0" y="0"/>
            <wp:positionH relativeFrom="column">
              <wp:posOffset>-66040</wp:posOffset>
            </wp:positionH>
            <wp:positionV relativeFrom="paragraph">
              <wp:posOffset>544195</wp:posOffset>
            </wp:positionV>
            <wp:extent cx="6645275" cy="4403090"/>
            <wp:effectExtent l="0" t="0" r="3175" b="0"/>
            <wp:wrapNone/>
            <wp:docPr id="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645275" cy="4403090"/>
                    </a:xfrm>
                    <a:prstGeom prst="rect">
                      <a:avLst/>
                    </a:prstGeom>
                    <a:noFill/>
                    <a:ln>
                      <a:noFill/>
                    </a:ln>
                  </pic:spPr>
                </pic:pic>
              </a:graphicData>
            </a:graphic>
            <wp14:sizeRelV relativeFrom="margin">
              <wp14:pctHeight>0</wp14:pctHeight>
            </wp14:sizeRelV>
          </wp:anchor>
        </w:drawing>
      </w:r>
      <w:r w:rsidR="00293231" w:rsidRPr="00293231">
        <w:rPr>
          <w:rFonts w:eastAsiaTheme="majorEastAsia"/>
          <w:b/>
          <w:bCs/>
          <w:noProof/>
          <w:color w:val="FFFFFF" w:themeColor="background1"/>
          <w:sz w:val="48"/>
          <w:szCs w:val="48"/>
          <w:lang w:bidi="ar-SA"/>
        </w:rPr>
        <w:t>Prepared for Leket Israel</w:t>
      </w:r>
    </w:p>
    <w:p w14:paraId="54E7654E"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4C26340E"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70A7EB4E"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74FAF097"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59ECC837"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6BC9CD74"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37DBD56D"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07977ADC"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59510F9B"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15D0844E"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7B705363"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1F3BFFDE"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5BD3A7B6"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61D5D691"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639576A1"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77F4E549" w14:textId="77777777" w:rsidR="00293231" w:rsidRPr="00293231" w:rsidRDefault="00293231" w:rsidP="00293231">
      <w:pPr>
        <w:spacing w:after="0" w:line="360" w:lineRule="auto"/>
        <w:rPr>
          <w:rFonts w:eastAsiaTheme="majorEastAsia"/>
          <w:b/>
          <w:bCs/>
          <w:noProof/>
          <w:color w:val="000000" w:themeColor="text1"/>
          <w:sz w:val="24"/>
          <w:szCs w:val="24"/>
          <w:lang w:bidi="ar-SA"/>
        </w:rPr>
      </w:pPr>
    </w:p>
    <w:p w14:paraId="090D29D1" w14:textId="230A46A5" w:rsidR="00293231" w:rsidRPr="00293231" w:rsidRDefault="00F729DF" w:rsidP="00293231">
      <w:pPr>
        <w:spacing w:after="0" w:line="360" w:lineRule="auto"/>
        <w:rPr>
          <w:rFonts w:eastAsiaTheme="majorEastAsia"/>
          <w:noProof/>
          <w:color w:val="FFFFFF" w:themeColor="background1"/>
          <w:sz w:val="48"/>
          <w:szCs w:val="48"/>
          <w:lang w:bidi="ar-SA"/>
        </w:rPr>
      </w:pPr>
      <w:r w:rsidRPr="00293231">
        <w:rPr>
          <w:rFonts w:eastAsiaTheme="majorEastAsia"/>
          <w:noProof/>
          <w:color w:val="FFFFFF" w:themeColor="background1"/>
          <w:sz w:val="48"/>
          <w:szCs w:val="48"/>
          <w:lang w:bidi="ar-SA"/>
        </w:rPr>
        <w:t xml:space="preserve">By </w:t>
      </w:r>
      <w:r w:rsidR="00293231" w:rsidRPr="00293231">
        <w:rPr>
          <w:rFonts w:eastAsiaTheme="majorEastAsia"/>
          <w:noProof/>
          <w:color w:val="FFFFFF" w:themeColor="background1"/>
          <w:sz w:val="48"/>
          <w:szCs w:val="48"/>
          <w:lang w:bidi="ar-SA"/>
        </w:rPr>
        <w:t>BDO Ziv Haft</w:t>
      </w:r>
    </w:p>
    <w:p w14:paraId="5909F9FC" w14:textId="3B60C67B" w:rsidR="00293231" w:rsidRPr="00293231" w:rsidRDefault="00293231" w:rsidP="00293231">
      <w:pPr>
        <w:spacing w:after="0" w:line="360" w:lineRule="auto"/>
        <w:rPr>
          <w:rFonts w:eastAsiaTheme="majorEastAsia"/>
          <w:b/>
          <w:bCs/>
          <w:noProof/>
          <w:color w:val="000000" w:themeColor="text1"/>
          <w:sz w:val="24"/>
          <w:szCs w:val="24"/>
          <w:lang w:bidi="ar-SA"/>
        </w:rPr>
      </w:pPr>
      <w:r w:rsidRPr="00293231">
        <w:rPr>
          <w:rFonts w:eastAsiaTheme="majorEastAsia"/>
          <w:noProof/>
          <w:color w:val="FFFFFF" w:themeColor="background1"/>
          <w:sz w:val="48"/>
          <w:szCs w:val="48"/>
          <w:lang w:bidi="ar-SA"/>
        </w:rPr>
        <w:t>January 2019</w:t>
      </w:r>
    </w:p>
    <w:p w14:paraId="6EC82830" w14:textId="0AAB2BE3" w:rsidR="00293231" w:rsidRPr="00293231" w:rsidRDefault="0062753C" w:rsidP="00293231">
      <w:pPr>
        <w:spacing w:after="0" w:line="360" w:lineRule="auto"/>
        <w:rPr>
          <w:rFonts w:ascii="Calibri" w:eastAsia="Calibri" w:hAnsi="Calibri" w:cs="Arial"/>
          <w:i/>
          <w:iCs/>
          <w:sz w:val="48"/>
          <w:szCs w:val="48"/>
        </w:rPr>
      </w:pPr>
      <w:r w:rsidRPr="00293231">
        <w:rPr>
          <w:rFonts w:ascii="Arial" w:hAnsi="Arial" w:cs="David"/>
          <w:i/>
          <w:noProof/>
          <w:color w:val="000000" w:themeColor="text1"/>
          <w:sz w:val="52"/>
          <w:szCs w:val="52"/>
          <w:lang w:bidi="ar-SA"/>
        </w:rPr>
        <mc:AlternateContent>
          <mc:Choice Requires="wps">
            <w:drawing>
              <wp:anchor distT="0" distB="0" distL="114300" distR="114300" simplePos="0" relativeHeight="251664384" behindDoc="0" locked="0" layoutInCell="1" allowOverlap="1" wp14:anchorId="54CCC49B" wp14:editId="63BF56B7">
                <wp:simplePos x="0" y="0"/>
                <wp:positionH relativeFrom="margin">
                  <wp:posOffset>6060440</wp:posOffset>
                </wp:positionH>
                <wp:positionV relativeFrom="paragraph">
                  <wp:posOffset>-5715</wp:posOffset>
                </wp:positionV>
                <wp:extent cx="190500" cy="2010410"/>
                <wp:effectExtent l="0" t="0" r="0" b="889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gray">
                        <a:xfrm>
                          <a:off x="0" y="0"/>
                          <a:ext cx="190500" cy="2010410"/>
                        </a:xfrm>
                        <a:custGeom>
                          <a:avLst/>
                          <a:gdLst/>
                          <a:ahLst/>
                          <a:cxnLst>
                            <a:cxn ang="0">
                              <a:pos x="120" y="0"/>
                            </a:cxn>
                            <a:cxn ang="0">
                              <a:pos x="120" y="1354"/>
                            </a:cxn>
                            <a:cxn ang="0">
                              <a:pos x="0" y="1354"/>
                            </a:cxn>
                            <a:cxn ang="0">
                              <a:pos x="0" y="85"/>
                            </a:cxn>
                            <a:cxn ang="0">
                              <a:pos x="120" y="0"/>
                            </a:cxn>
                          </a:cxnLst>
                          <a:rect l="0" t="0" r="r" b="b"/>
                          <a:pathLst>
                            <a:path w="120" h="1354">
                              <a:moveTo>
                                <a:pt x="120" y="0"/>
                              </a:moveTo>
                              <a:lnTo>
                                <a:pt x="120" y="1354"/>
                              </a:lnTo>
                              <a:lnTo>
                                <a:pt x="0" y="1354"/>
                              </a:lnTo>
                              <a:lnTo>
                                <a:pt x="0" y="85"/>
                              </a:lnTo>
                              <a:lnTo>
                                <a:pt x="120" y="0"/>
                              </a:lnTo>
                              <a:close/>
                            </a:path>
                          </a:pathLst>
                        </a:custGeom>
                        <a:solidFill>
                          <a:srgbClr val="EC1C3C"/>
                        </a:solidFill>
                        <a:ln w="9525">
                          <a:noFill/>
                          <a:round/>
                          <a:headEnd/>
                          <a:tailEnd/>
                        </a:ln>
                      </wps:spPr>
                      <wps:bodyPr lIns="108776" tIns="54389" rIns="108776" bIns="54389"/>
                    </wps:wsp>
                  </a:graphicData>
                </a:graphic>
                <wp14:sizeRelH relativeFrom="page">
                  <wp14:pctWidth>0</wp14:pctWidth>
                </wp14:sizeRelH>
                <wp14:sizeRelV relativeFrom="page">
                  <wp14:pctHeight>0</wp14:pctHeight>
                </wp14:sizeRelV>
              </wp:anchor>
            </w:drawing>
          </mc:Choice>
          <mc:Fallback>
            <w:pict>
              <v:shape w14:anchorId="5645889B" id="Freeform 25" o:spid="_x0000_s1026" style="position:absolute;margin-left:477.2pt;margin-top:-.45pt;width:15pt;height:15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1354"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" path="m120,r,1354l,1354,,85,120,xe" fillcolor="#ec1c3c" stroked="f">
                <v:path arrowok="t" o:connecttype="custom" o:connectlocs="120,0;120,1354;0,1354;0,85;120,0" o:connectangles="0,0,0,0,0"/>
                <w10:wrap anchorx="margin"/>
              </v:shape>
            </w:pict>
          </mc:Fallback>
        </mc:AlternateContent>
      </w:r>
    </w:p>
    <w:p w14:paraId="0FBAAC02" w14:textId="77777777" w:rsidR="00293231" w:rsidRPr="00293231" w:rsidRDefault="00293231" w:rsidP="00293231">
      <w:r w:rsidRPr="00293231">
        <w:br w:type="page"/>
      </w:r>
    </w:p>
    <w:p w14:paraId="60732F6F" w14:textId="77777777" w:rsidR="005077C9" w:rsidRDefault="005077C9" w:rsidP="00293231">
      <w:pPr>
        <w:rPr>
          <w:b/>
          <w:bCs/>
          <w:sz w:val="26"/>
          <w:szCs w:val="26"/>
        </w:rPr>
      </w:pPr>
    </w:p>
    <w:p w14:paraId="076571DE" w14:textId="62832754" w:rsidR="00293231" w:rsidRPr="00293231" w:rsidRDefault="00293231" w:rsidP="00293231">
      <w:pPr>
        <w:rPr>
          <w:b/>
          <w:bCs/>
        </w:rPr>
      </w:pPr>
      <w:r w:rsidRPr="00293231">
        <w:rPr>
          <w:b/>
          <w:bCs/>
          <w:sz w:val="26"/>
          <w:szCs w:val="26"/>
        </w:rPr>
        <w:t xml:space="preserve">Table of </w:t>
      </w:r>
      <w:r w:rsidR="00FD3F1E" w:rsidRPr="00293231">
        <w:rPr>
          <w:b/>
          <w:bCs/>
          <w:sz w:val="26"/>
          <w:szCs w:val="26"/>
        </w:rPr>
        <w:t>Contents</w:t>
      </w:r>
    </w:p>
    <w:p w14:paraId="5C8593D1" w14:textId="77777777" w:rsidR="00F729DF" w:rsidRDefault="009B539D">
      <w:pPr>
        <w:pStyle w:val="TOC1"/>
        <w:rPr>
          <w:rFonts w:eastAsiaTheme="minorEastAsia" w:cstheme="minorBidi"/>
          <w:sz w:val="22"/>
          <w:szCs w:val="22"/>
          <w:lang w:bidi="ar-SA"/>
        </w:rPr>
      </w:pPr>
      <w:r w:rsidRPr="009B539D">
        <w:fldChar w:fldCharType="begin"/>
      </w:r>
      <w:r w:rsidRPr="009B539D">
        <w:instrText xml:space="preserve"> TOC \o "1-1" \h \z \u </w:instrText>
      </w:r>
      <w:r w:rsidRPr="009B539D">
        <w:fldChar w:fldCharType="separate"/>
      </w:r>
      <w:hyperlink w:anchor="_Toc951790" w:history="1">
        <w:r w:rsidR="00F729DF" w:rsidRPr="00B64C21">
          <w:rPr>
            <w:rStyle w:val="Hyperlink"/>
          </w:rPr>
          <w:t>1.</w:t>
        </w:r>
        <w:r w:rsidR="00F729DF">
          <w:rPr>
            <w:rFonts w:eastAsiaTheme="minorEastAsia" w:cstheme="minorBidi"/>
            <w:sz w:val="22"/>
            <w:szCs w:val="22"/>
            <w:lang w:bidi="ar-SA"/>
          </w:rPr>
          <w:tab/>
        </w:r>
        <w:r w:rsidR="00F729DF" w:rsidRPr="00B64C21">
          <w:rPr>
            <w:rStyle w:val="Hyperlink"/>
          </w:rPr>
          <w:t>Uniqueness of Food Consumption and Production in Israel</w:t>
        </w:r>
        <w:r w:rsidR="00F729DF">
          <w:rPr>
            <w:webHidden/>
          </w:rPr>
          <w:tab/>
        </w:r>
        <w:r w:rsidR="00F729DF">
          <w:rPr>
            <w:webHidden/>
          </w:rPr>
          <w:fldChar w:fldCharType="begin"/>
        </w:r>
        <w:r w:rsidR="00F729DF">
          <w:rPr>
            <w:webHidden/>
          </w:rPr>
          <w:instrText xml:space="preserve"> PAGEREF _Toc951790 \h </w:instrText>
        </w:r>
        <w:r w:rsidR="00F729DF">
          <w:rPr>
            <w:webHidden/>
          </w:rPr>
        </w:r>
        <w:r w:rsidR="00F729DF">
          <w:rPr>
            <w:webHidden/>
          </w:rPr>
          <w:fldChar w:fldCharType="separate"/>
        </w:r>
        <w:r w:rsidR="00F729DF">
          <w:rPr>
            <w:webHidden/>
          </w:rPr>
          <w:t>3</w:t>
        </w:r>
        <w:r w:rsidR="00F729DF">
          <w:rPr>
            <w:webHidden/>
          </w:rPr>
          <w:fldChar w:fldCharType="end"/>
        </w:r>
      </w:hyperlink>
    </w:p>
    <w:p w14:paraId="0B849278" w14:textId="77777777" w:rsidR="00F729DF" w:rsidRDefault="00625208">
      <w:pPr>
        <w:pStyle w:val="TOC1"/>
        <w:rPr>
          <w:rFonts w:eastAsiaTheme="minorEastAsia" w:cstheme="minorBidi"/>
          <w:sz w:val="22"/>
          <w:szCs w:val="22"/>
          <w:lang w:bidi="ar-SA"/>
        </w:rPr>
      </w:pPr>
      <w:hyperlink w:anchor="_Toc951791" w:history="1">
        <w:r w:rsidR="00F729DF" w:rsidRPr="00B64C21">
          <w:rPr>
            <w:rStyle w:val="Hyperlink"/>
            <w:rtl/>
          </w:rPr>
          <w:t>2.</w:t>
        </w:r>
        <w:r w:rsidR="00F729DF">
          <w:rPr>
            <w:rFonts w:eastAsiaTheme="minorEastAsia" w:cstheme="minorBidi"/>
            <w:sz w:val="22"/>
            <w:szCs w:val="22"/>
            <w:lang w:bidi="ar-SA"/>
          </w:rPr>
          <w:tab/>
        </w:r>
        <w:r w:rsidR="00F729DF" w:rsidRPr="00B64C21">
          <w:rPr>
            <w:rStyle w:val="Hyperlink"/>
          </w:rPr>
          <w:t>Food Rescue: Integrating Economic, Environmental, and Social Contributions</w:t>
        </w:r>
        <w:r w:rsidR="00F729DF">
          <w:rPr>
            <w:webHidden/>
          </w:rPr>
          <w:tab/>
        </w:r>
        <w:r w:rsidR="00F729DF">
          <w:rPr>
            <w:webHidden/>
          </w:rPr>
          <w:fldChar w:fldCharType="begin"/>
        </w:r>
        <w:r w:rsidR="00F729DF">
          <w:rPr>
            <w:webHidden/>
          </w:rPr>
          <w:instrText xml:space="preserve"> PAGEREF _Toc951791 \h </w:instrText>
        </w:r>
        <w:r w:rsidR="00F729DF">
          <w:rPr>
            <w:webHidden/>
          </w:rPr>
        </w:r>
        <w:r w:rsidR="00F729DF">
          <w:rPr>
            <w:webHidden/>
          </w:rPr>
          <w:fldChar w:fldCharType="separate"/>
        </w:r>
        <w:r w:rsidR="00F729DF">
          <w:rPr>
            <w:webHidden/>
          </w:rPr>
          <w:t>5</w:t>
        </w:r>
        <w:r w:rsidR="00F729DF">
          <w:rPr>
            <w:webHidden/>
          </w:rPr>
          <w:fldChar w:fldCharType="end"/>
        </w:r>
      </w:hyperlink>
    </w:p>
    <w:p w14:paraId="77F3BB64" w14:textId="77777777" w:rsidR="00F729DF" w:rsidRDefault="00625208">
      <w:pPr>
        <w:pStyle w:val="TOC1"/>
        <w:rPr>
          <w:rFonts w:eastAsiaTheme="minorEastAsia" w:cstheme="minorBidi"/>
          <w:sz w:val="22"/>
          <w:szCs w:val="22"/>
          <w:lang w:bidi="ar-SA"/>
        </w:rPr>
      </w:pPr>
      <w:hyperlink w:anchor="_Toc951792" w:history="1">
        <w:r w:rsidR="00F729DF" w:rsidRPr="00B64C21">
          <w:rPr>
            <w:rStyle w:val="Hyperlink"/>
          </w:rPr>
          <w:t>3.</w:t>
        </w:r>
        <w:r w:rsidR="00F729DF">
          <w:rPr>
            <w:rFonts w:eastAsiaTheme="minorEastAsia" w:cstheme="minorBidi"/>
            <w:sz w:val="22"/>
            <w:szCs w:val="22"/>
            <w:lang w:bidi="ar-SA"/>
          </w:rPr>
          <w:tab/>
        </w:r>
        <w:r w:rsidR="00F729DF" w:rsidRPr="00B64C21">
          <w:rPr>
            <w:rStyle w:val="Hyperlink"/>
          </w:rPr>
          <w:t>Food Waste – How Much Food is Wasted in Israel?</w:t>
        </w:r>
        <w:r w:rsidR="00F729DF">
          <w:rPr>
            <w:webHidden/>
          </w:rPr>
          <w:tab/>
        </w:r>
        <w:r w:rsidR="00F729DF">
          <w:rPr>
            <w:webHidden/>
          </w:rPr>
          <w:fldChar w:fldCharType="begin"/>
        </w:r>
        <w:r w:rsidR="00F729DF">
          <w:rPr>
            <w:webHidden/>
          </w:rPr>
          <w:instrText xml:space="preserve"> PAGEREF _Toc951792 \h </w:instrText>
        </w:r>
        <w:r w:rsidR="00F729DF">
          <w:rPr>
            <w:webHidden/>
          </w:rPr>
        </w:r>
        <w:r w:rsidR="00F729DF">
          <w:rPr>
            <w:webHidden/>
          </w:rPr>
          <w:fldChar w:fldCharType="separate"/>
        </w:r>
        <w:r w:rsidR="00F729DF">
          <w:rPr>
            <w:webHidden/>
          </w:rPr>
          <w:t>8</w:t>
        </w:r>
        <w:r w:rsidR="00F729DF">
          <w:rPr>
            <w:webHidden/>
          </w:rPr>
          <w:fldChar w:fldCharType="end"/>
        </w:r>
      </w:hyperlink>
    </w:p>
    <w:p w14:paraId="5C68D533" w14:textId="77777777" w:rsidR="00F729DF" w:rsidRDefault="00625208">
      <w:pPr>
        <w:pStyle w:val="TOC1"/>
        <w:rPr>
          <w:rFonts w:eastAsiaTheme="minorEastAsia" w:cstheme="minorBidi"/>
          <w:sz w:val="22"/>
          <w:szCs w:val="22"/>
          <w:lang w:bidi="ar-SA"/>
        </w:rPr>
      </w:pPr>
      <w:hyperlink w:anchor="_Toc951793" w:history="1">
        <w:r w:rsidR="00F729DF" w:rsidRPr="00B64C21">
          <w:rPr>
            <w:rStyle w:val="Hyperlink"/>
          </w:rPr>
          <w:t>4.</w:t>
        </w:r>
        <w:r w:rsidR="00F729DF">
          <w:rPr>
            <w:rFonts w:eastAsiaTheme="minorEastAsia" w:cstheme="minorBidi"/>
            <w:sz w:val="22"/>
            <w:szCs w:val="22"/>
            <w:lang w:bidi="ar-SA"/>
          </w:rPr>
          <w:tab/>
        </w:r>
        <w:r w:rsidR="00F729DF" w:rsidRPr="00B64C21">
          <w:rPr>
            <w:rStyle w:val="Hyperlink"/>
          </w:rPr>
          <w:t>Food Rescue = Alternative to Food Production</w:t>
        </w:r>
        <w:r w:rsidR="00F729DF">
          <w:rPr>
            <w:webHidden/>
          </w:rPr>
          <w:tab/>
        </w:r>
        <w:r w:rsidR="00F729DF">
          <w:rPr>
            <w:webHidden/>
          </w:rPr>
          <w:fldChar w:fldCharType="begin"/>
        </w:r>
        <w:r w:rsidR="00F729DF">
          <w:rPr>
            <w:webHidden/>
          </w:rPr>
          <w:instrText xml:space="preserve"> PAGEREF _Toc951793 \h </w:instrText>
        </w:r>
        <w:r w:rsidR="00F729DF">
          <w:rPr>
            <w:webHidden/>
          </w:rPr>
        </w:r>
        <w:r w:rsidR="00F729DF">
          <w:rPr>
            <w:webHidden/>
          </w:rPr>
          <w:fldChar w:fldCharType="separate"/>
        </w:r>
        <w:r w:rsidR="00F729DF">
          <w:rPr>
            <w:webHidden/>
          </w:rPr>
          <w:t>13</w:t>
        </w:r>
        <w:r w:rsidR="00F729DF">
          <w:rPr>
            <w:webHidden/>
          </w:rPr>
          <w:fldChar w:fldCharType="end"/>
        </w:r>
      </w:hyperlink>
    </w:p>
    <w:p w14:paraId="3CC7F8B1" w14:textId="77777777" w:rsidR="00F729DF" w:rsidRDefault="00625208">
      <w:pPr>
        <w:pStyle w:val="TOC1"/>
        <w:rPr>
          <w:rFonts w:eastAsiaTheme="minorEastAsia" w:cstheme="minorBidi"/>
          <w:sz w:val="22"/>
          <w:szCs w:val="22"/>
          <w:lang w:bidi="ar-SA"/>
        </w:rPr>
      </w:pPr>
      <w:hyperlink w:anchor="_Toc951794" w:history="1">
        <w:r w:rsidR="00F729DF" w:rsidRPr="00B64C21">
          <w:rPr>
            <w:rStyle w:val="Hyperlink"/>
            <w:highlight w:val="green"/>
          </w:rPr>
          <w:t>5.</w:t>
        </w:r>
        <w:r w:rsidR="00F729DF">
          <w:rPr>
            <w:rFonts w:eastAsiaTheme="minorEastAsia" w:cstheme="minorBidi"/>
            <w:sz w:val="22"/>
            <w:szCs w:val="22"/>
            <w:lang w:bidi="ar-SA"/>
          </w:rPr>
          <w:tab/>
        </w:r>
        <w:r w:rsidR="00F729DF" w:rsidRPr="00B64C21">
          <w:rPr>
            <w:rStyle w:val="Hyperlink"/>
            <w:highlight w:val="green"/>
          </w:rPr>
          <w:t>Food Waste in the Household Sector</w:t>
        </w:r>
        <w:r w:rsidR="00F729DF">
          <w:rPr>
            <w:webHidden/>
          </w:rPr>
          <w:tab/>
        </w:r>
        <w:r w:rsidR="00F729DF">
          <w:rPr>
            <w:webHidden/>
          </w:rPr>
          <w:fldChar w:fldCharType="begin"/>
        </w:r>
        <w:r w:rsidR="00F729DF">
          <w:rPr>
            <w:webHidden/>
          </w:rPr>
          <w:instrText xml:space="preserve"> PAGEREF _Toc951794 \h </w:instrText>
        </w:r>
        <w:r w:rsidR="00F729DF">
          <w:rPr>
            <w:webHidden/>
          </w:rPr>
        </w:r>
        <w:r w:rsidR="00F729DF">
          <w:rPr>
            <w:webHidden/>
          </w:rPr>
          <w:fldChar w:fldCharType="separate"/>
        </w:r>
        <w:r w:rsidR="00F729DF">
          <w:rPr>
            <w:webHidden/>
          </w:rPr>
          <w:t>15</w:t>
        </w:r>
        <w:r w:rsidR="00F729DF">
          <w:rPr>
            <w:webHidden/>
          </w:rPr>
          <w:fldChar w:fldCharType="end"/>
        </w:r>
      </w:hyperlink>
    </w:p>
    <w:p w14:paraId="5E9C7F1B" w14:textId="77777777" w:rsidR="00F729DF" w:rsidRDefault="00625208">
      <w:pPr>
        <w:pStyle w:val="TOC1"/>
        <w:rPr>
          <w:rFonts w:eastAsiaTheme="minorEastAsia" w:cstheme="minorBidi"/>
          <w:sz w:val="22"/>
          <w:szCs w:val="22"/>
          <w:lang w:bidi="ar-SA"/>
        </w:rPr>
      </w:pPr>
      <w:hyperlink w:anchor="_Toc951795" w:history="1">
        <w:r w:rsidR="00F729DF" w:rsidRPr="00B64C21">
          <w:rPr>
            <w:rStyle w:val="Hyperlink"/>
          </w:rPr>
          <w:t>6.</w:t>
        </w:r>
        <w:r w:rsidR="00F729DF">
          <w:rPr>
            <w:rFonts w:eastAsiaTheme="minorEastAsia" w:cstheme="minorBidi"/>
            <w:sz w:val="22"/>
            <w:szCs w:val="22"/>
            <w:lang w:bidi="ar-SA"/>
          </w:rPr>
          <w:tab/>
        </w:r>
        <w:r w:rsidR="00F729DF" w:rsidRPr="00B64C21">
          <w:rPr>
            <w:rStyle w:val="Hyperlink"/>
          </w:rPr>
          <w:t>Food Waste and Rescue in Institutional Consumption</w:t>
        </w:r>
        <w:r w:rsidR="00F729DF">
          <w:rPr>
            <w:webHidden/>
          </w:rPr>
          <w:tab/>
        </w:r>
        <w:r w:rsidR="00F729DF">
          <w:rPr>
            <w:webHidden/>
          </w:rPr>
          <w:fldChar w:fldCharType="begin"/>
        </w:r>
        <w:r w:rsidR="00F729DF">
          <w:rPr>
            <w:webHidden/>
          </w:rPr>
          <w:instrText xml:space="preserve"> PAGEREF _Toc951795 \h </w:instrText>
        </w:r>
        <w:r w:rsidR="00F729DF">
          <w:rPr>
            <w:webHidden/>
          </w:rPr>
        </w:r>
        <w:r w:rsidR="00F729DF">
          <w:rPr>
            <w:webHidden/>
          </w:rPr>
          <w:fldChar w:fldCharType="separate"/>
        </w:r>
        <w:r w:rsidR="00F729DF">
          <w:rPr>
            <w:webHidden/>
          </w:rPr>
          <w:t>25</w:t>
        </w:r>
        <w:r w:rsidR="00F729DF">
          <w:rPr>
            <w:webHidden/>
          </w:rPr>
          <w:fldChar w:fldCharType="end"/>
        </w:r>
      </w:hyperlink>
    </w:p>
    <w:p w14:paraId="34C522B9" w14:textId="77777777" w:rsidR="00F729DF" w:rsidRDefault="00625208">
      <w:pPr>
        <w:pStyle w:val="TOC1"/>
        <w:rPr>
          <w:rFonts w:eastAsiaTheme="minorEastAsia" w:cstheme="minorBidi"/>
          <w:sz w:val="22"/>
          <w:szCs w:val="22"/>
          <w:lang w:bidi="ar-SA"/>
        </w:rPr>
      </w:pPr>
      <w:hyperlink w:anchor="_Toc951796" w:history="1">
        <w:r w:rsidR="00F729DF" w:rsidRPr="00B64C21">
          <w:rPr>
            <w:rStyle w:val="Hyperlink"/>
          </w:rPr>
          <w:t>7.</w:t>
        </w:r>
        <w:r w:rsidR="00F729DF">
          <w:rPr>
            <w:rFonts w:eastAsiaTheme="minorEastAsia" w:cstheme="minorBidi"/>
            <w:sz w:val="22"/>
            <w:szCs w:val="22"/>
            <w:lang w:bidi="ar-SA"/>
          </w:rPr>
          <w:tab/>
        </w:r>
        <w:r w:rsidR="00F729DF" w:rsidRPr="00B64C21">
          <w:rPr>
            <w:rStyle w:val="Hyperlink"/>
          </w:rPr>
          <w:t>Food Waste and Rescue in the Retail and Distribution Sectors</w:t>
        </w:r>
        <w:r w:rsidR="00F729DF">
          <w:rPr>
            <w:webHidden/>
          </w:rPr>
          <w:tab/>
        </w:r>
        <w:r w:rsidR="00F729DF">
          <w:rPr>
            <w:webHidden/>
          </w:rPr>
          <w:fldChar w:fldCharType="begin"/>
        </w:r>
        <w:r w:rsidR="00F729DF">
          <w:rPr>
            <w:webHidden/>
          </w:rPr>
          <w:instrText xml:space="preserve"> PAGEREF _Toc951796 \h </w:instrText>
        </w:r>
        <w:r w:rsidR="00F729DF">
          <w:rPr>
            <w:webHidden/>
          </w:rPr>
        </w:r>
        <w:r w:rsidR="00F729DF">
          <w:rPr>
            <w:webHidden/>
          </w:rPr>
          <w:fldChar w:fldCharType="separate"/>
        </w:r>
        <w:r w:rsidR="00F729DF">
          <w:rPr>
            <w:webHidden/>
          </w:rPr>
          <w:t>29</w:t>
        </w:r>
        <w:r w:rsidR="00F729DF">
          <w:rPr>
            <w:webHidden/>
          </w:rPr>
          <w:fldChar w:fldCharType="end"/>
        </w:r>
      </w:hyperlink>
    </w:p>
    <w:p w14:paraId="09D1ECFA" w14:textId="77777777" w:rsidR="00F729DF" w:rsidRDefault="00625208">
      <w:pPr>
        <w:pStyle w:val="TOC1"/>
        <w:rPr>
          <w:rFonts w:eastAsiaTheme="minorEastAsia" w:cstheme="minorBidi"/>
          <w:sz w:val="22"/>
          <w:szCs w:val="22"/>
          <w:lang w:bidi="ar-SA"/>
        </w:rPr>
      </w:pPr>
      <w:hyperlink w:anchor="_Toc951797" w:history="1">
        <w:r w:rsidR="00F729DF" w:rsidRPr="00B64C21">
          <w:rPr>
            <w:rStyle w:val="Hyperlink"/>
          </w:rPr>
          <w:t>8.</w:t>
        </w:r>
        <w:r w:rsidR="00F729DF">
          <w:rPr>
            <w:rFonts w:eastAsiaTheme="minorEastAsia" w:cstheme="minorBidi"/>
            <w:sz w:val="22"/>
            <w:szCs w:val="22"/>
            <w:lang w:bidi="ar-SA"/>
          </w:rPr>
          <w:tab/>
        </w:r>
        <w:r w:rsidR="00F729DF" w:rsidRPr="00B64C21">
          <w:rPr>
            <w:rStyle w:val="Hyperlink"/>
          </w:rPr>
          <w:t>Food Rescue: Feasibility to the National Economy</w:t>
        </w:r>
        <w:r w:rsidR="00F729DF">
          <w:rPr>
            <w:webHidden/>
          </w:rPr>
          <w:tab/>
        </w:r>
        <w:r w:rsidR="00F729DF">
          <w:rPr>
            <w:webHidden/>
          </w:rPr>
          <w:fldChar w:fldCharType="begin"/>
        </w:r>
        <w:r w:rsidR="00F729DF">
          <w:rPr>
            <w:webHidden/>
          </w:rPr>
          <w:instrText xml:space="preserve"> PAGEREF _Toc951797 \h </w:instrText>
        </w:r>
        <w:r w:rsidR="00F729DF">
          <w:rPr>
            <w:webHidden/>
          </w:rPr>
        </w:r>
        <w:r w:rsidR="00F729DF">
          <w:rPr>
            <w:webHidden/>
          </w:rPr>
          <w:fldChar w:fldCharType="separate"/>
        </w:r>
        <w:r w:rsidR="00F729DF">
          <w:rPr>
            <w:webHidden/>
          </w:rPr>
          <w:t>34</w:t>
        </w:r>
        <w:r w:rsidR="00F729DF">
          <w:rPr>
            <w:webHidden/>
          </w:rPr>
          <w:fldChar w:fldCharType="end"/>
        </w:r>
      </w:hyperlink>
    </w:p>
    <w:p w14:paraId="557CD729" w14:textId="77777777" w:rsidR="00F729DF" w:rsidRDefault="00625208">
      <w:pPr>
        <w:pStyle w:val="TOC1"/>
        <w:rPr>
          <w:rFonts w:eastAsiaTheme="minorEastAsia" w:cstheme="minorBidi"/>
          <w:sz w:val="22"/>
          <w:szCs w:val="22"/>
          <w:lang w:bidi="ar-SA"/>
        </w:rPr>
      </w:pPr>
      <w:hyperlink w:anchor="_Toc951798" w:history="1">
        <w:r w:rsidR="00F729DF" w:rsidRPr="00B64C21">
          <w:rPr>
            <w:rStyle w:val="Hyperlink"/>
          </w:rPr>
          <w:t>9.</w:t>
        </w:r>
        <w:r w:rsidR="00F729DF">
          <w:rPr>
            <w:rFonts w:eastAsiaTheme="minorEastAsia" w:cstheme="minorBidi"/>
            <w:sz w:val="22"/>
            <w:szCs w:val="22"/>
            <w:lang w:bidi="ar-SA"/>
          </w:rPr>
          <w:tab/>
        </w:r>
        <w:r w:rsidR="00F729DF" w:rsidRPr="00B64C21">
          <w:rPr>
            <w:rStyle w:val="Hyperlink"/>
          </w:rPr>
          <w:t>Food Waste – How Much Food Can be Rescued?</w:t>
        </w:r>
        <w:r w:rsidR="00F729DF">
          <w:rPr>
            <w:webHidden/>
          </w:rPr>
          <w:tab/>
        </w:r>
        <w:r w:rsidR="00F729DF">
          <w:rPr>
            <w:webHidden/>
          </w:rPr>
          <w:fldChar w:fldCharType="begin"/>
        </w:r>
        <w:r w:rsidR="00F729DF">
          <w:rPr>
            <w:webHidden/>
          </w:rPr>
          <w:instrText xml:space="preserve"> PAGEREF _Toc951798 \h </w:instrText>
        </w:r>
        <w:r w:rsidR="00F729DF">
          <w:rPr>
            <w:webHidden/>
          </w:rPr>
        </w:r>
        <w:r w:rsidR="00F729DF">
          <w:rPr>
            <w:webHidden/>
          </w:rPr>
          <w:fldChar w:fldCharType="separate"/>
        </w:r>
        <w:r w:rsidR="00F729DF">
          <w:rPr>
            <w:webHidden/>
          </w:rPr>
          <w:t>37</w:t>
        </w:r>
        <w:r w:rsidR="00F729DF">
          <w:rPr>
            <w:webHidden/>
          </w:rPr>
          <w:fldChar w:fldCharType="end"/>
        </w:r>
      </w:hyperlink>
    </w:p>
    <w:p w14:paraId="31571D68" w14:textId="77777777" w:rsidR="00F729DF" w:rsidRDefault="00625208">
      <w:pPr>
        <w:pStyle w:val="TOC1"/>
        <w:rPr>
          <w:rFonts w:eastAsiaTheme="minorEastAsia" w:cstheme="minorBidi"/>
          <w:sz w:val="22"/>
          <w:szCs w:val="22"/>
          <w:lang w:bidi="ar-SA"/>
        </w:rPr>
      </w:pPr>
      <w:hyperlink w:anchor="_Toc951799" w:history="1">
        <w:r w:rsidR="00F729DF" w:rsidRPr="00B64C21">
          <w:rPr>
            <w:rStyle w:val="Hyperlink"/>
          </w:rPr>
          <w:t>10.</w:t>
        </w:r>
        <w:r w:rsidR="00F729DF">
          <w:rPr>
            <w:rFonts w:eastAsiaTheme="minorEastAsia" w:cstheme="minorBidi"/>
            <w:sz w:val="22"/>
            <w:szCs w:val="22"/>
            <w:lang w:bidi="ar-SA"/>
          </w:rPr>
          <w:tab/>
        </w:r>
        <w:r w:rsidR="00F729DF" w:rsidRPr="00B64C21">
          <w:rPr>
            <w:rStyle w:val="Hyperlink"/>
          </w:rPr>
          <w:t>Food Security – How Much Food is Required to Close the Food Security Gap in Israel?</w:t>
        </w:r>
        <w:r w:rsidR="00F729DF">
          <w:rPr>
            <w:webHidden/>
          </w:rPr>
          <w:tab/>
        </w:r>
        <w:r w:rsidR="00F729DF">
          <w:rPr>
            <w:webHidden/>
          </w:rPr>
          <w:fldChar w:fldCharType="begin"/>
        </w:r>
        <w:r w:rsidR="00F729DF">
          <w:rPr>
            <w:webHidden/>
          </w:rPr>
          <w:instrText xml:space="preserve"> PAGEREF _Toc951799 \h </w:instrText>
        </w:r>
        <w:r w:rsidR="00F729DF">
          <w:rPr>
            <w:webHidden/>
          </w:rPr>
        </w:r>
        <w:r w:rsidR="00F729DF">
          <w:rPr>
            <w:webHidden/>
          </w:rPr>
          <w:fldChar w:fldCharType="separate"/>
        </w:r>
        <w:r w:rsidR="00F729DF">
          <w:rPr>
            <w:webHidden/>
          </w:rPr>
          <w:t>40</w:t>
        </w:r>
        <w:r w:rsidR="00F729DF">
          <w:rPr>
            <w:webHidden/>
          </w:rPr>
          <w:fldChar w:fldCharType="end"/>
        </w:r>
      </w:hyperlink>
    </w:p>
    <w:p w14:paraId="3E6E8D9C" w14:textId="77777777" w:rsidR="0062753C" w:rsidRDefault="009B539D" w:rsidP="009B539D">
      <w:pPr>
        <w:pStyle w:val="TOC1"/>
      </w:pPr>
      <w:r w:rsidRPr="009B539D">
        <w:fldChar w:fldCharType="end"/>
      </w:r>
    </w:p>
    <w:p w14:paraId="470A6560" w14:textId="77777777" w:rsidR="007529CB" w:rsidRDefault="007529CB" w:rsidP="007529CB"/>
    <w:p w14:paraId="74DFFF65" w14:textId="77777777" w:rsidR="007529CB" w:rsidRPr="007529CB" w:rsidRDefault="007529CB" w:rsidP="007529CB"/>
    <w:p w14:paraId="323B7F6D" w14:textId="07E707CC" w:rsidR="0062753C" w:rsidRDefault="0062753C" w:rsidP="007529CB">
      <w:pPr>
        <w:pStyle w:val="BodyText"/>
      </w:pPr>
      <w:r w:rsidRPr="007529CB">
        <w:rPr>
          <w:highlight w:val="cyan"/>
        </w:rPr>
        <w:t xml:space="preserve">Prepared by Chen Herzog, Matan </w:t>
      </w:r>
      <w:proofErr w:type="spellStart"/>
      <w:r w:rsidRPr="007529CB">
        <w:rPr>
          <w:highlight w:val="cyan"/>
        </w:rPr>
        <w:t>Neheissi</w:t>
      </w:r>
      <w:proofErr w:type="spellEnd"/>
      <w:r w:rsidR="007529CB" w:rsidRPr="007529CB">
        <w:rPr>
          <w:highlight w:val="cyan"/>
        </w:rPr>
        <w:t xml:space="preserve">, Esther </w:t>
      </w:r>
      <w:proofErr w:type="spellStart"/>
      <w:proofErr w:type="gramStart"/>
      <w:r w:rsidR="007529CB" w:rsidRPr="007529CB">
        <w:rPr>
          <w:highlight w:val="cyan"/>
        </w:rPr>
        <w:t>Azoulay</w:t>
      </w:r>
      <w:proofErr w:type="spellEnd"/>
      <w:r w:rsidR="007529CB" w:rsidRPr="007529CB">
        <w:rPr>
          <w:highlight w:val="cyan"/>
        </w:rPr>
        <w:t xml:space="preserve">,  </w:t>
      </w:r>
      <w:proofErr w:type="spellStart"/>
      <w:r w:rsidR="007529CB" w:rsidRPr="007529CB">
        <w:rPr>
          <w:highlight w:val="cyan"/>
        </w:rPr>
        <w:t>Nofar</w:t>
      </w:r>
      <w:proofErr w:type="spellEnd"/>
      <w:proofErr w:type="gramEnd"/>
      <w:r w:rsidR="007529CB" w:rsidRPr="007529CB">
        <w:rPr>
          <w:highlight w:val="cyan"/>
        </w:rPr>
        <w:t xml:space="preserve"> </w:t>
      </w:r>
      <w:proofErr w:type="spellStart"/>
      <w:r w:rsidR="007529CB" w:rsidRPr="007529CB">
        <w:rPr>
          <w:highlight w:val="cyan"/>
        </w:rPr>
        <w:t>Vallach-Lazarsko</w:t>
      </w:r>
      <w:proofErr w:type="spellEnd"/>
      <w:r w:rsidR="007529CB" w:rsidRPr="007529CB">
        <w:rPr>
          <w:highlight w:val="cyan"/>
        </w:rPr>
        <w:t>, January 2019</w:t>
      </w:r>
    </w:p>
    <w:p w14:paraId="303BF9B3" w14:textId="77777777" w:rsidR="007529CB" w:rsidRPr="0062753C" w:rsidRDefault="007529CB" w:rsidP="007529CB">
      <w:pPr>
        <w:pStyle w:val="BodyText"/>
      </w:pPr>
    </w:p>
    <w:p w14:paraId="00FC936E" w14:textId="3543AB68" w:rsidR="00577A98" w:rsidRPr="008F3D9C" w:rsidRDefault="00293231" w:rsidP="00293231">
      <w:pPr>
        <w:pStyle w:val="Heading1"/>
      </w:pPr>
      <w:r w:rsidRPr="00293231">
        <w:br w:type="page"/>
      </w:r>
      <w:bookmarkStart w:id="1" w:name="_Toc951790"/>
      <w:r w:rsidR="00FC671C" w:rsidRPr="00FC671C">
        <w:lastRenderedPageBreak/>
        <w:t>Uniqueness of</w:t>
      </w:r>
      <w:r w:rsidR="00FC671C">
        <w:t xml:space="preserve"> </w:t>
      </w:r>
      <w:r w:rsidR="00AD79E9" w:rsidRPr="008F3D9C">
        <w:t xml:space="preserve">Food Consumption </w:t>
      </w:r>
      <w:r w:rsidR="004D6671" w:rsidRPr="008F3D9C">
        <w:t xml:space="preserve">and </w:t>
      </w:r>
      <w:r w:rsidR="00AD79E9" w:rsidRPr="008F3D9C">
        <w:t xml:space="preserve">Production </w:t>
      </w:r>
      <w:r w:rsidR="004D6671" w:rsidRPr="008F3D9C">
        <w:t>in Israel</w:t>
      </w:r>
      <w:bookmarkEnd w:id="0"/>
      <w:bookmarkEnd w:id="1"/>
    </w:p>
    <w:p w14:paraId="74B0A4D2" w14:textId="676FE5C0" w:rsidR="00F948FC" w:rsidRPr="00995451" w:rsidRDefault="00FC671C" w:rsidP="006472EE">
      <w:pPr>
        <w:pStyle w:val="BodyText"/>
        <w:rPr>
          <w:b/>
          <w:bCs/>
        </w:rPr>
      </w:pPr>
      <w:r w:rsidRPr="00D62889">
        <w:rPr>
          <w:u w:val="single"/>
        </w:rPr>
        <w:t>Bold chapter head</w:t>
      </w:r>
      <w:r w:rsidRPr="00D62889">
        <w:t>:</w:t>
      </w:r>
      <w:r w:rsidR="00AD79E9" w:rsidRPr="00995451">
        <w:rPr>
          <w:b/>
          <w:bCs/>
        </w:rPr>
        <w:t xml:space="preserve"> </w:t>
      </w:r>
      <w:r w:rsidR="006472EE" w:rsidRPr="006472EE">
        <w:rPr>
          <w:b/>
          <w:bCs/>
          <w:highlight w:val="green"/>
        </w:rPr>
        <w:t>In Israel, food accounts for 17% of a household’s total expenses</w:t>
      </w:r>
      <w:r w:rsidR="006472EE">
        <w:rPr>
          <w:b/>
          <w:bCs/>
        </w:rPr>
        <w:t xml:space="preserve"> </w:t>
      </w:r>
    </w:p>
    <w:p w14:paraId="37AFFF88" w14:textId="18501761" w:rsidR="00FC671C" w:rsidRDefault="006472EE" w:rsidP="009B539D">
      <w:pPr>
        <w:pStyle w:val="BodyText"/>
      </w:pPr>
      <w:r w:rsidRPr="008071F9">
        <w:rPr>
          <w:highlight w:val="green"/>
        </w:rPr>
        <w:t>Expenditures for food represent approximately 17% of the average household’s consumption basket</w:t>
      </w:r>
      <w:r w:rsidR="009B539D">
        <w:rPr>
          <w:highlight w:val="green"/>
        </w:rPr>
        <w:t xml:space="preserve"> in Israel</w:t>
      </w:r>
      <w:r w:rsidR="008071F9" w:rsidRPr="008071F9">
        <w:rPr>
          <w:highlight w:val="green"/>
        </w:rPr>
        <w:t xml:space="preserve">. In the lowest two percentiles of the population, expenditures for food </w:t>
      </w:r>
      <w:r w:rsidR="00625208">
        <w:rPr>
          <w:highlight w:val="green"/>
        </w:rPr>
        <w:t>amount to</w:t>
      </w:r>
      <w:r w:rsidR="008071F9" w:rsidRPr="008071F9">
        <w:rPr>
          <w:highlight w:val="green"/>
        </w:rPr>
        <w:t xml:space="preserve"> 20% of their total consumption. However, food is far more than </w:t>
      </w:r>
      <w:r w:rsidR="00330040">
        <w:rPr>
          <w:highlight w:val="green"/>
        </w:rPr>
        <w:t xml:space="preserve">a </w:t>
      </w:r>
      <w:r w:rsidR="008071F9" w:rsidRPr="008071F9">
        <w:rPr>
          <w:highlight w:val="green"/>
        </w:rPr>
        <w:t>significant component of a family’s total consumption</w:t>
      </w:r>
      <w:r w:rsidR="00625208">
        <w:t>; f</w:t>
      </w:r>
      <w:r w:rsidR="008C6949" w:rsidRPr="008F3D9C">
        <w:t xml:space="preserve">ood consumption </w:t>
      </w:r>
      <w:r w:rsidR="00FC671C">
        <w:t xml:space="preserve">is </w:t>
      </w:r>
      <w:r w:rsidR="002F54A6" w:rsidRPr="002F54A6">
        <w:t xml:space="preserve">a </w:t>
      </w:r>
      <w:r w:rsidR="000440EF">
        <w:t>basic human need</w:t>
      </w:r>
      <w:r w:rsidR="002F54A6" w:rsidRPr="002F54A6">
        <w:t xml:space="preserve"> and maintaining a balanced diet is essential to ensuring the health of the population as a whole, and </w:t>
      </w:r>
      <w:r w:rsidR="002F54A6">
        <w:t xml:space="preserve">for </w:t>
      </w:r>
      <w:r w:rsidR="002F54A6" w:rsidRPr="002F54A6">
        <w:t xml:space="preserve">the </w:t>
      </w:r>
      <w:r w:rsidR="002F54A6">
        <w:t xml:space="preserve">physical and cognitive </w:t>
      </w:r>
      <w:r w:rsidR="002F54A6" w:rsidRPr="002F54A6">
        <w:t>development of infants and children in particular. Therefore, a shortage of food, or insufficient consumption of basic nutritional components, can cause potential health issues with a cost exceeding the food’s market value</w:t>
      </w:r>
      <w:r w:rsidR="008071F9">
        <w:t>,</w:t>
      </w:r>
      <w:r w:rsidR="002F54A6" w:rsidRPr="002F54A6">
        <w:t xml:space="preserve"> representing the cost of its production at all stages of the value chain.</w:t>
      </w:r>
    </w:p>
    <w:p w14:paraId="75EAD15B" w14:textId="5935844C" w:rsidR="00F12A06" w:rsidRPr="008071F9" w:rsidRDefault="002D1C84" w:rsidP="00330040">
      <w:pPr>
        <w:pStyle w:val="BodyText"/>
      </w:pPr>
      <w:r>
        <w:t xml:space="preserve">In addition to </w:t>
      </w:r>
      <w:r w:rsidR="00716703">
        <w:t>the high cost of living in Israel</w:t>
      </w:r>
      <w:r w:rsidR="0099620F">
        <w:t xml:space="preserve"> which is </w:t>
      </w:r>
      <w:r w:rsidR="00716703">
        <w:t>among the highest in the developed world</w:t>
      </w:r>
      <w:r w:rsidR="0099620F">
        <w:t xml:space="preserve">, the </w:t>
      </w:r>
      <w:r w:rsidR="00716703">
        <w:t xml:space="preserve">poverty </w:t>
      </w:r>
      <w:r w:rsidR="0099620F">
        <w:t xml:space="preserve">rate </w:t>
      </w:r>
      <w:r w:rsidR="00716703">
        <w:t xml:space="preserve">is also </w:t>
      </w:r>
      <w:r w:rsidR="00330040">
        <w:t>quite</w:t>
      </w:r>
      <w:r w:rsidR="0099620F">
        <w:t xml:space="preserve"> </w:t>
      </w:r>
      <w:r w:rsidR="00716703">
        <w:t>high</w:t>
      </w:r>
      <w:r w:rsidR="00F12A06">
        <w:t>. As a result</w:t>
      </w:r>
      <w:r w:rsidR="004E71F9">
        <w:t>,</w:t>
      </w:r>
      <w:r w:rsidR="00F12A06">
        <w:t xml:space="preserve"> </w:t>
      </w:r>
      <w:r w:rsidR="00D62889">
        <w:t xml:space="preserve">food </w:t>
      </w:r>
      <w:r w:rsidR="00F12A06">
        <w:t xml:space="preserve">insecurity is a particularly </w:t>
      </w:r>
      <w:r w:rsidR="00716703">
        <w:t>severe problem</w:t>
      </w:r>
      <w:r w:rsidR="00F12A06">
        <w:t xml:space="preserve"> in Israel.</w:t>
      </w:r>
      <w:r w:rsidR="00AE4643">
        <w:t xml:space="preserve"> </w:t>
      </w:r>
      <w:r w:rsidR="00AE4643" w:rsidRPr="008071F9">
        <w:rPr>
          <w:highlight w:val="green"/>
        </w:rPr>
        <w:t>A</w:t>
      </w:r>
      <w:r w:rsidR="008071F9" w:rsidRPr="008071F9">
        <w:rPr>
          <w:highlight w:val="green"/>
        </w:rPr>
        <w:t xml:space="preserve"> </w:t>
      </w:r>
      <w:r w:rsidR="00CC283B" w:rsidRPr="008071F9">
        <w:rPr>
          <w:highlight w:val="green"/>
        </w:rPr>
        <w:t>201</w:t>
      </w:r>
      <w:r w:rsidR="008071F9" w:rsidRPr="008071F9">
        <w:rPr>
          <w:highlight w:val="green"/>
        </w:rPr>
        <w:t>8</w:t>
      </w:r>
      <w:r w:rsidRPr="008071F9">
        <w:rPr>
          <w:highlight w:val="green"/>
        </w:rPr>
        <w:t xml:space="preserve"> </w:t>
      </w:r>
      <w:r w:rsidR="00AE4643" w:rsidRPr="008071F9">
        <w:rPr>
          <w:highlight w:val="green"/>
        </w:rPr>
        <w:t>report issued by the National Insurance Institute</w:t>
      </w:r>
      <w:r w:rsidR="008071F9" w:rsidRPr="008071F9">
        <w:rPr>
          <w:highlight w:val="green"/>
        </w:rPr>
        <w:t xml:space="preserve"> found that 17.8% of Israeli households are </w:t>
      </w:r>
      <w:r w:rsidR="00625208">
        <w:rPr>
          <w:highlight w:val="green"/>
        </w:rPr>
        <w:t>experiencing</w:t>
      </w:r>
      <w:r w:rsidR="008071F9" w:rsidRPr="008071F9">
        <w:rPr>
          <w:highlight w:val="green"/>
        </w:rPr>
        <w:t xml:space="preserve"> food insecurity, meaning that approximately 450,000 </w:t>
      </w:r>
      <w:r w:rsidR="00AE4643" w:rsidRPr="008071F9">
        <w:rPr>
          <w:highlight w:val="green"/>
        </w:rPr>
        <w:t>households in Israel</w:t>
      </w:r>
      <w:r w:rsidR="008071F9" w:rsidRPr="008071F9">
        <w:rPr>
          <w:highlight w:val="green"/>
        </w:rPr>
        <w:t xml:space="preserve"> are experiencing </w:t>
      </w:r>
      <w:r w:rsidR="00625208">
        <w:rPr>
          <w:highlight w:val="green"/>
        </w:rPr>
        <w:t>this</w:t>
      </w:r>
      <w:r w:rsidR="008071F9" w:rsidRPr="008071F9">
        <w:rPr>
          <w:highlight w:val="green"/>
        </w:rPr>
        <w:t>.</w:t>
      </w:r>
      <w:r w:rsidR="00AE4643" w:rsidRPr="008071F9">
        <w:rPr>
          <w:highlight w:val="green"/>
        </w:rPr>
        <w:t xml:space="preserve"> From an economic perspective,</w:t>
      </w:r>
      <w:r w:rsidR="00F12A06" w:rsidRPr="008071F9">
        <w:rPr>
          <w:highlight w:val="green"/>
        </w:rPr>
        <w:t xml:space="preserve"> </w:t>
      </w:r>
      <w:r w:rsidR="00D62889" w:rsidRPr="008071F9">
        <w:rPr>
          <w:highlight w:val="green"/>
        </w:rPr>
        <w:t>this</w:t>
      </w:r>
      <w:r w:rsidR="00F12A06" w:rsidRPr="008071F9">
        <w:rPr>
          <w:highlight w:val="green"/>
        </w:rPr>
        <w:t xml:space="preserve"> </w:t>
      </w:r>
      <w:r w:rsidR="00625208">
        <w:rPr>
          <w:highlight w:val="green"/>
        </w:rPr>
        <w:t>indicate</w:t>
      </w:r>
      <w:r w:rsidR="00AE4643" w:rsidRPr="008071F9">
        <w:rPr>
          <w:highlight w:val="green"/>
        </w:rPr>
        <w:t xml:space="preserve">s that </w:t>
      </w:r>
      <w:r w:rsidR="00716703" w:rsidRPr="008071F9">
        <w:rPr>
          <w:highlight w:val="green"/>
        </w:rPr>
        <w:t>a</w:t>
      </w:r>
      <w:r w:rsidR="00AE4643" w:rsidRPr="008071F9">
        <w:rPr>
          <w:highlight w:val="green"/>
        </w:rPr>
        <w:t xml:space="preserve"> household spends approximately 3</w:t>
      </w:r>
      <w:r w:rsidR="008071F9" w:rsidRPr="008071F9">
        <w:rPr>
          <w:highlight w:val="green"/>
        </w:rPr>
        <w:t>0</w:t>
      </w:r>
      <w:r w:rsidR="00AE4643" w:rsidRPr="008071F9">
        <w:rPr>
          <w:highlight w:val="green"/>
        </w:rPr>
        <w:t xml:space="preserve">% less on food </w:t>
      </w:r>
      <w:r w:rsidR="00716703" w:rsidRPr="008071F9">
        <w:rPr>
          <w:highlight w:val="green"/>
        </w:rPr>
        <w:t>than</w:t>
      </w:r>
      <w:r w:rsidR="00AE4643" w:rsidRPr="008071F9">
        <w:rPr>
          <w:highlight w:val="green"/>
        </w:rPr>
        <w:t xml:space="preserve"> the normative expenditure.</w:t>
      </w:r>
    </w:p>
    <w:p w14:paraId="0A618093" w14:textId="6DD4A3C8" w:rsidR="002F54A6" w:rsidRPr="008F3D9C" w:rsidRDefault="002F54A6" w:rsidP="003102F3">
      <w:pPr>
        <w:pStyle w:val="BodyText"/>
      </w:pPr>
      <w:r w:rsidRPr="008F3D9C">
        <w:t xml:space="preserve">Food is a unique commodity, not only in terms of its consumption characteristics, but also in terms of its production properties. The nutritional components found in food are derived almost entirely from agricultural products: vegetables, fruits, legumes, dairy products, eggs, meat, fish, oils, etc. </w:t>
      </w:r>
      <w:r w:rsidR="002C1C73">
        <w:t xml:space="preserve">Concurrently, </w:t>
      </w:r>
      <w:r w:rsidR="00611346">
        <w:t>agricultur</w:t>
      </w:r>
      <w:r w:rsidR="004E71F9">
        <w:t>al</w:t>
      </w:r>
      <w:r w:rsidR="00611346">
        <w:t xml:space="preserve"> production has </w:t>
      </w:r>
      <w:r w:rsidR="00163ABF">
        <w:t xml:space="preserve">an </w:t>
      </w:r>
      <w:r w:rsidR="00611346" w:rsidRPr="008F3D9C">
        <w:t xml:space="preserve">inherently </w:t>
      </w:r>
      <w:r w:rsidR="00611346">
        <w:t>high level of uncertain</w:t>
      </w:r>
      <w:r w:rsidR="00163ABF">
        <w:t>t</w:t>
      </w:r>
      <w:r w:rsidR="00611346">
        <w:t xml:space="preserve">y resulting from external factors including pests, weather, </w:t>
      </w:r>
      <w:r w:rsidR="003102F3">
        <w:t xml:space="preserve">and </w:t>
      </w:r>
      <w:r w:rsidR="00611346">
        <w:t>disease</w:t>
      </w:r>
      <w:r w:rsidR="000440EF">
        <w:t>.</w:t>
      </w:r>
      <w:r w:rsidR="004B64F6">
        <w:t xml:space="preserve"> </w:t>
      </w:r>
    </w:p>
    <w:p w14:paraId="598E30B0" w14:textId="284B7C75" w:rsidR="00577A98" w:rsidRPr="008F3D9C" w:rsidRDefault="00577A98" w:rsidP="003750C1">
      <w:pPr>
        <w:pStyle w:val="BodyText"/>
      </w:pPr>
      <w:r w:rsidRPr="008F3D9C">
        <w:t xml:space="preserve">The </w:t>
      </w:r>
      <w:r w:rsidR="00042B73" w:rsidRPr="008F3D9C">
        <w:t>cultivation</w:t>
      </w:r>
      <w:r w:rsidRPr="008F3D9C">
        <w:t xml:space="preserve"> and production of food</w:t>
      </w:r>
      <w:r w:rsidR="00961D41" w:rsidRPr="008F3D9C">
        <w:t xml:space="preserve"> require</w:t>
      </w:r>
      <w:r w:rsidR="002D1C84">
        <w:t>s</w:t>
      </w:r>
      <w:r w:rsidRPr="008F3D9C">
        <w:t xml:space="preserve"> </w:t>
      </w:r>
      <w:r w:rsidR="00042B73" w:rsidRPr="008F3D9C">
        <w:t xml:space="preserve">the </w:t>
      </w:r>
      <w:r w:rsidRPr="008F3D9C">
        <w:t>utilization of natural re</w:t>
      </w:r>
      <w:r w:rsidR="00042B73" w:rsidRPr="008F3D9C">
        <w:t>sources</w:t>
      </w:r>
      <w:r w:rsidR="001934AA" w:rsidRPr="008F3D9C">
        <w:t xml:space="preserve"> </w:t>
      </w:r>
      <w:r w:rsidR="004541CB" w:rsidRPr="008F3D9C">
        <w:t xml:space="preserve">that are relatively </w:t>
      </w:r>
      <w:r w:rsidR="00EE1AD1" w:rsidRPr="00EE1AD1">
        <w:t>scarce</w:t>
      </w:r>
      <w:r w:rsidR="004541CB" w:rsidRPr="008F3D9C">
        <w:t xml:space="preserve"> or which have </w:t>
      </w:r>
      <w:r w:rsidR="00042B73" w:rsidRPr="008F3D9C">
        <w:t>substanti</w:t>
      </w:r>
      <w:r w:rsidR="006972B0" w:rsidRPr="008F3D9C">
        <w:t>al</w:t>
      </w:r>
      <w:r w:rsidR="00F3768E" w:rsidRPr="008F3D9C">
        <w:t xml:space="preserve"> </w:t>
      </w:r>
      <w:r w:rsidR="003750C1">
        <w:t>economic</w:t>
      </w:r>
      <w:r w:rsidR="00FE3208" w:rsidRPr="008F3D9C">
        <w:t xml:space="preserve"> </w:t>
      </w:r>
      <w:r w:rsidR="00042B73" w:rsidRPr="008F3D9C">
        <w:t>costs</w:t>
      </w:r>
      <w:r w:rsidR="00F85927" w:rsidRPr="008F3D9C">
        <w:t xml:space="preserve"> </w:t>
      </w:r>
      <w:r w:rsidR="00FE3208" w:rsidRPr="008F3D9C">
        <w:t>such as</w:t>
      </w:r>
      <w:r w:rsidR="004541CB" w:rsidRPr="008F3D9C">
        <w:t xml:space="preserve"> land and water. </w:t>
      </w:r>
      <w:r w:rsidR="00DA36D1" w:rsidRPr="00046F4E">
        <w:rPr>
          <w:highlight w:val="cyan"/>
        </w:rPr>
        <w:t xml:space="preserve">In </w:t>
      </w:r>
      <w:r w:rsidR="00625208">
        <w:rPr>
          <w:highlight w:val="cyan"/>
        </w:rPr>
        <w:t xml:space="preserve">an </w:t>
      </w:r>
      <w:r w:rsidR="00DA36D1" w:rsidRPr="00046F4E">
        <w:rPr>
          <w:highlight w:val="cyan"/>
        </w:rPr>
        <w:t xml:space="preserve">arid country like Israel, water is an expensive and </w:t>
      </w:r>
      <w:r w:rsidR="004277AD" w:rsidRPr="00046F4E">
        <w:rPr>
          <w:highlight w:val="cyan"/>
        </w:rPr>
        <w:t>limited resource. Furthermore</w:t>
      </w:r>
      <w:r w:rsidR="004277AD">
        <w:t xml:space="preserve">, </w:t>
      </w:r>
      <w:r w:rsidR="004541CB" w:rsidRPr="008F3D9C">
        <w:t>I</w:t>
      </w:r>
      <w:r w:rsidR="004277AD">
        <w:t xml:space="preserve">srael is </w:t>
      </w:r>
      <w:r w:rsidR="004541CB" w:rsidRPr="008F3D9C">
        <w:t>a</w:t>
      </w:r>
      <w:r w:rsidR="0057048D" w:rsidRPr="008F3D9C">
        <w:t xml:space="preserve"> </w:t>
      </w:r>
      <w:r w:rsidR="004277AD">
        <w:t>relatively densely populated country</w:t>
      </w:r>
      <w:r w:rsidR="00046F4E">
        <w:t>,</w:t>
      </w:r>
      <w:r w:rsidR="004277AD">
        <w:t xml:space="preserve"> </w:t>
      </w:r>
      <w:r w:rsidR="00046F4E">
        <w:t xml:space="preserve">meaning </w:t>
      </w:r>
      <w:r w:rsidR="004277AD">
        <w:t>that</w:t>
      </w:r>
      <w:r w:rsidR="004541CB" w:rsidRPr="008F3D9C">
        <w:t xml:space="preserve"> </w:t>
      </w:r>
      <w:r w:rsidRPr="008F3D9C">
        <w:t>land is a</w:t>
      </w:r>
      <w:r w:rsidR="004277AD">
        <w:t xml:space="preserve">lso expensive and </w:t>
      </w:r>
      <w:r w:rsidR="00D62889">
        <w:t>scarce,</w:t>
      </w:r>
      <w:r w:rsidRPr="008F3D9C">
        <w:t xml:space="preserve"> </w:t>
      </w:r>
      <w:r w:rsidR="00D62889">
        <w:t>especially in</w:t>
      </w:r>
      <w:r w:rsidR="00611346">
        <w:t xml:space="preserve"> </w:t>
      </w:r>
      <w:r w:rsidR="00447484" w:rsidRPr="008F3D9C">
        <w:t>high demand</w:t>
      </w:r>
      <w:r w:rsidR="00D62889">
        <w:t xml:space="preserve"> areas</w:t>
      </w:r>
      <w:r w:rsidR="003750C1">
        <w:t xml:space="preserve">. </w:t>
      </w:r>
      <w:r w:rsidR="003750C1">
        <w:rPr>
          <w:highlight w:val="cyan"/>
        </w:rPr>
        <w:t>As a result</w:t>
      </w:r>
      <w:r w:rsidR="004277AD" w:rsidRPr="00046F4E">
        <w:rPr>
          <w:highlight w:val="cyan"/>
        </w:rPr>
        <w:t xml:space="preserve">, housing </w:t>
      </w:r>
      <w:r w:rsidR="00163ABF" w:rsidRPr="00046F4E">
        <w:rPr>
          <w:highlight w:val="cyan"/>
        </w:rPr>
        <w:t xml:space="preserve">insecurity </w:t>
      </w:r>
      <w:r w:rsidR="00625208">
        <w:rPr>
          <w:highlight w:val="cyan"/>
        </w:rPr>
        <w:t xml:space="preserve">is a challenge </w:t>
      </w:r>
      <w:r w:rsidR="004277AD" w:rsidRPr="00046F4E">
        <w:rPr>
          <w:highlight w:val="cyan"/>
        </w:rPr>
        <w:t>that parallels food insecurity</w:t>
      </w:r>
      <w:r w:rsidR="003750C1">
        <w:rPr>
          <w:highlight w:val="cyan"/>
        </w:rPr>
        <w:t>. Therefore,</w:t>
      </w:r>
      <w:r w:rsidR="004277AD">
        <w:t xml:space="preserve"> the need to </w:t>
      </w:r>
      <w:r w:rsidRPr="008F3D9C">
        <w:t>us</w:t>
      </w:r>
      <w:r w:rsidR="004277AD">
        <w:t xml:space="preserve">e </w:t>
      </w:r>
      <w:r w:rsidRPr="008F3D9C">
        <w:t xml:space="preserve">land for surplus agricultural production that </w:t>
      </w:r>
      <w:r w:rsidR="006972B0" w:rsidRPr="008F3D9C">
        <w:t>is</w:t>
      </w:r>
      <w:r w:rsidR="004541CB" w:rsidRPr="008F3D9C">
        <w:t xml:space="preserve"> later </w:t>
      </w:r>
      <w:r w:rsidRPr="008F3D9C">
        <w:t>los</w:t>
      </w:r>
      <w:r w:rsidR="004541CB" w:rsidRPr="008F3D9C">
        <w:t>t</w:t>
      </w:r>
      <w:r w:rsidRPr="008F3D9C">
        <w:t xml:space="preserve"> or waste</w:t>
      </w:r>
      <w:r w:rsidR="004541CB" w:rsidRPr="008F3D9C">
        <w:t>d</w:t>
      </w:r>
      <w:r w:rsidRPr="008F3D9C">
        <w:t xml:space="preserve"> incurs</w:t>
      </w:r>
      <w:r w:rsidR="004541CB" w:rsidRPr="008F3D9C">
        <w:t xml:space="preserve"> additional </w:t>
      </w:r>
      <w:r w:rsidR="00B6579D" w:rsidRPr="008F3D9C">
        <w:t xml:space="preserve">social </w:t>
      </w:r>
      <w:r w:rsidR="004541CB" w:rsidRPr="008F3D9C">
        <w:t>costs</w:t>
      </w:r>
      <w:r w:rsidRPr="008F3D9C">
        <w:t>, beyond the direct economic costs.</w:t>
      </w:r>
    </w:p>
    <w:p w14:paraId="3EEEAD00" w14:textId="361BFC22" w:rsidR="006E387C" w:rsidRPr="008F3D9C" w:rsidRDefault="00C16667" w:rsidP="00A36603">
      <w:pPr>
        <w:pStyle w:val="BodyText"/>
      </w:pPr>
      <w:r w:rsidRPr="008F3D9C">
        <w:lastRenderedPageBreak/>
        <w:t xml:space="preserve">The </w:t>
      </w:r>
      <w:r w:rsidR="00042B73" w:rsidRPr="008F3D9C">
        <w:t>cultivation</w:t>
      </w:r>
      <w:r w:rsidR="00577A98" w:rsidRPr="008F3D9C">
        <w:t xml:space="preserve"> and production of food </w:t>
      </w:r>
      <w:r w:rsidRPr="008F3D9C">
        <w:t xml:space="preserve">also has </w:t>
      </w:r>
      <w:r w:rsidR="00F85927" w:rsidRPr="008F3D9C">
        <w:t xml:space="preserve">a </w:t>
      </w:r>
      <w:r w:rsidR="00577A98" w:rsidRPr="008F3D9C">
        <w:t>significant environmental impact.</w:t>
      </w:r>
      <w:r w:rsidR="0057048D" w:rsidRPr="008F3D9C">
        <w:t xml:space="preserve"> </w:t>
      </w:r>
      <w:r w:rsidRPr="008F3D9C">
        <w:t>The u</w:t>
      </w:r>
      <w:r w:rsidR="00577A98" w:rsidRPr="008F3D9C">
        <w:t xml:space="preserve">se of land, fertilizers and pesticides may </w:t>
      </w:r>
      <w:r w:rsidR="005C1D5D" w:rsidRPr="008F3D9C">
        <w:t>pollute</w:t>
      </w:r>
      <w:r w:rsidR="00577A98" w:rsidRPr="008F3D9C">
        <w:t xml:space="preserve"> water sources, wildlife, plants, and the environment.</w:t>
      </w:r>
      <w:r w:rsidR="0057048D" w:rsidRPr="008F3D9C">
        <w:t xml:space="preserve"> </w:t>
      </w:r>
      <w:r w:rsidR="00577A98" w:rsidRPr="008F3D9C">
        <w:t xml:space="preserve">Currently, 20% of </w:t>
      </w:r>
      <w:r w:rsidR="005C1D5D" w:rsidRPr="008F3D9C">
        <w:t>GHG</w:t>
      </w:r>
      <w:r w:rsidR="00577A98" w:rsidRPr="008F3D9C">
        <w:t xml:space="preserve"> emissions in the world are generated duri</w:t>
      </w:r>
      <w:r w:rsidR="002C009C" w:rsidRPr="008F3D9C">
        <w:t xml:space="preserve">ng the various stages of </w:t>
      </w:r>
      <w:r w:rsidR="00447484" w:rsidRPr="008F3D9C">
        <w:t>food cultivation</w:t>
      </w:r>
      <w:r w:rsidR="002C009C" w:rsidRPr="008F3D9C">
        <w:t>, production, and distribution</w:t>
      </w:r>
      <w:r w:rsidR="004277AD">
        <w:t xml:space="preserve">. </w:t>
      </w:r>
      <w:r w:rsidR="004277AD" w:rsidRPr="004277AD">
        <w:rPr>
          <w:highlight w:val="green"/>
        </w:rPr>
        <w:t>Moreover, the collection of food waste and its disposal in landfill</w:t>
      </w:r>
      <w:r w:rsidR="00625208">
        <w:rPr>
          <w:highlight w:val="green"/>
        </w:rPr>
        <w:t>s</w:t>
      </w:r>
      <w:r w:rsidR="004277AD" w:rsidRPr="004277AD">
        <w:rPr>
          <w:highlight w:val="green"/>
        </w:rPr>
        <w:t xml:space="preserve"> </w:t>
      </w:r>
      <w:r w:rsidR="00625208">
        <w:rPr>
          <w:highlight w:val="green"/>
        </w:rPr>
        <w:t>carries</w:t>
      </w:r>
      <w:r w:rsidR="004277AD" w:rsidRPr="004277AD">
        <w:rPr>
          <w:highlight w:val="green"/>
        </w:rPr>
        <w:t xml:space="preserve"> </w:t>
      </w:r>
      <w:r w:rsidR="00F729DF" w:rsidRPr="004277AD">
        <w:rPr>
          <w:highlight w:val="green"/>
        </w:rPr>
        <w:t>added</w:t>
      </w:r>
      <w:r w:rsidR="004277AD" w:rsidRPr="004277AD">
        <w:rPr>
          <w:highlight w:val="green"/>
        </w:rPr>
        <w:t xml:space="preserve"> environmental costs</w:t>
      </w:r>
      <w:r w:rsidR="004277AD">
        <w:t>.</w:t>
      </w:r>
    </w:p>
    <w:p w14:paraId="656FA367" w14:textId="6AA4841C" w:rsidR="00A854FB" w:rsidRPr="008F3D9C" w:rsidRDefault="00577A98" w:rsidP="00A36603">
      <w:pPr>
        <w:pStyle w:val="BodyText"/>
      </w:pPr>
      <w:r w:rsidRPr="008F3D9C">
        <w:t>This report</w:t>
      </w:r>
      <w:r w:rsidR="002C009C" w:rsidRPr="008F3D9C">
        <w:t xml:space="preserve"> examines the issue of food waste</w:t>
      </w:r>
      <w:r w:rsidR="00A854FB" w:rsidRPr="008F3D9C">
        <w:t xml:space="preserve"> and </w:t>
      </w:r>
      <w:r w:rsidR="00C16667" w:rsidRPr="008F3D9C">
        <w:t xml:space="preserve">the economic viability of its </w:t>
      </w:r>
      <w:r w:rsidR="00A854FB" w:rsidRPr="008F3D9C">
        <w:t>rescue</w:t>
      </w:r>
      <w:r w:rsidRPr="008F3D9C">
        <w:t>, based on quantifiable estimates and assessments</w:t>
      </w:r>
      <w:r w:rsidR="00C16667" w:rsidRPr="008F3D9C">
        <w:t>, and includes updated dat</w:t>
      </w:r>
      <w:r w:rsidR="006972B0" w:rsidRPr="008F3D9C">
        <w:t>a and</w:t>
      </w:r>
      <w:r w:rsidR="0057048D" w:rsidRPr="008F3D9C">
        <w:t xml:space="preserve"> </w:t>
      </w:r>
      <w:r w:rsidR="006972B0" w:rsidRPr="008F3D9C">
        <w:t xml:space="preserve">methodological </w:t>
      </w:r>
      <w:r w:rsidR="00C16667" w:rsidRPr="008F3D9C">
        <w:t>improvements</w:t>
      </w:r>
      <w:r w:rsidR="006972B0" w:rsidRPr="008F3D9C">
        <w:t>,</w:t>
      </w:r>
      <w:r w:rsidR="00C16667" w:rsidRPr="008F3D9C">
        <w:t xml:space="preserve"> based on</w:t>
      </w:r>
      <w:r w:rsidR="00163ABF">
        <w:t xml:space="preserve"> the</w:t>
      </w:r>
      <w:r w:rsidR="00C16667" w:rsidRPr="008F3D9C">
        <w:t xml:space="preserve"> experience accumulated </w:t>
      </w:r>
      <w:r w:rsidR="00611346">
        <w:t xml:space="preserve">while preparing the previous </w:t>
      </w:r>
      <w:r w:rsidR="00891F9E" w:rsidRPr="00891F9E">
        <w:rPr>
          <w:highlight w:val="green"/>
        </w:rPr>
        <w:t>three</w:t>
      </w:r>
      <w:r w:rsidR="00611346">
        <w:t xml:space="preserve"> reports.</w:t>
      </w:r>
      <w:r w:rsidR="00C16667" w:rsidRPr="008F3D9C">
        <w:t xml:space="preserve"> </w:t>
      </w:r>
      <w:r w:rsidR="00C16667" w:rsidRPr="00057EA4">
        <w:rPr>
          <w:highlight w:val="green"/>
        </w:rPr>
        <w:t xml:space="preserve">Furthermore, </w:t>
      </w:r>
      <w:r w:rsidR="00611346" w:rsidRPr="00057EA4">
        <w:rPr>
          <w:highlight w:val="green"/>
        </w:rPr>
        <w:t xml:space="preserve">this year’s report </w:t>
      </w:r>
      <w:r w:rsidR="00C16667" w:rsidRPr="00057EA4">
        <w:rPr>
          <w:rFonts w:eastAsiaTheme="minorHAnsi" w:cstheme="minorBidi"/>
          <w:highlight w:val="green"/>
        </w:rPr>
        <w:t xml:space="preserve">includes </w:t>
      </w:r>
      <w:r w:rsidR="00611346" w:rsidRPr="00057EA4">
        <w:rPr>
          <w:rFonts w:eastAsiaTheme="minorHAnsi" w:cstheme="minorBidi"/>
          <w:highlight w:val="green"/>
        </w:rPr>
        <w:t>a</w:t>
      </w:r>
      <w:r w:rsidR="00C16667" w:rsidRPr="00057EA4">
        <w:rPr>
          <w:highlight w:val="green"/>
        </w:rPr>
        <w:t>n</w:t>
      </w:r>
      <w:r w:rsidR="00611346" w:rsidRPr="00057EA4">
        <w:rPr>
          <w:highlight w:val="green"/>
        </w:rPr>
        <w:t xml:space="preserve"> expanded section on food waste </w:t>
      </w:r>
      <w:r w:rsidR="003102F3" w:rsidRPr="00057EA4">
        <w:rPr>
          <w:highlight w:val="green"/>
        </w:rPr>
        <w:t xml:space="preserve">occurring </w:t>
      </w:r>
      <w:r w:rsidR="00611346" w:rsidRPr="00057EA4">
        <w:rPr>
          <w:highlight w:val="green"/>
        </w:rPr>
        <w:t xml:space="preserve">in </w:t>
      </w:r>
      <w:r w:rsidR="007F3027" w:rsidRPr="00057EA4">
        <w:rPr>
          <w:highlight w:val="green"/>
        </w:rPr>
        <w:t xml:space="preserve">the </w:t>
      </w:r>
      <w:r w:rsidR="00891F9E" w:rsidRPr="00057EA4">
        <w:rPr>
          <w:highlight w:val="green"/>
        </w:rPr>
        <w:t>household</w:t>
      </w:r>
      <w:r w:rsidR="00D62889" w:rsidRPr="00057EA4">
        <w:rPr>
          <w:highlight w:val="green"/>
        </w:rPr>
        <w:t xml:space="preserve"> </w:t>
      </w:r>
      <w:r w:rsidR="007F3027" w:rsidRPr="00057EA4">
        <w:rPr>
          <w:highlight w:val="green"/>
        </w:rPr>
        <w:t>sector.</w:t>
      </w:r>
    </w:p>
    <w:p w14:paraId="06DC8E6C" w14:textId="052BF8F3" w:rsidR="00C640EB" w:rsidRPr="008F3D9C" w:rsidRDefault="00C640EB" w:rsidP="00A84F53">
      <w:pPr>
        <w:jc w:val="both"/>
        <w:rPr>
          <w:rFonts w:eastAsia="Times New Roman" w:cs="Arial"/>
          <w:b/>
          <w:bCs/>
          <w:color w:val="FF0000"/>
          <w:sz w:val="28"/>
          <w:szCs w:val="28"/>
        </w:rPr>
      </w:pPr>
    </w:p>
    <w:p w14:paraId="56507D34" w14:textId="77777777" w:rsidR="007F3027" w:rsidRDefault="007F3027">
      <w:pPr>
        <w:rPr>
          <w:rFonts w:ascii="Calibri" w:eastAsia="Calibri" w:hAnsi="Calibri" w:cs="Arial"/>
          <w:color w:val="FF0000"/>
          <w:sz w:val="28"/>
          <w:szCs w:val="28"/>
        </w:rPr>
      </w:pPr>
      <w:r>
        <w:br w:type="page"/>
      </w:r>
    </w:p>
    <w:p w14:paraId="68E02807" w14:textId="56FC8694" w:rsidR="00577A98" w:rsidRPr="003E73CF" w:rsidRDefault="00942FD1" w:rsidP="003E73CF">
      <w:pPr>
        <w:pStyle w:val="Heading1"/>
        <w:rPr>
          <w:rtl/>
        </w:rPr>
      </w:pPr>
      <w:bookmarkStart w:id="2" w:name="_Toc505547252"/>
      <w:bookmarkStart w:id="3" w:name="_Toc951791"/>
      <w:r w:rsidRPr="003E73CF">
        <w:lastRenderedPageBreak/>
        <w:t>Food R</w:t>
      </w:r>
      <w:r w:rsidR="00577A98" w:rsidRPr="003E73CF">
        <w:t>escue:</w:t>
      </w:r>
      <w:r w:rsidR="0057048D" w:rsidRPr="003E73CF">
        <w:t xml:space="preserve"> </w:t>
      </w:r>
      <w:r w:rsidR="00AB2C24" w:rsidRPr="003E73CF">
        <w:t>Integrating</w:t>
      </w:r>
      <w:r w:rsidR="00577A98" w:rsidRPr="003E73CF">
        <w:t xml:space="preserve"> </w:t>
      </w:r>
      <w:r w:rsidR="00AD79E9" w:rsidRPr="003E73CF">
        <w:t>Economic, Environmental, and Social Contributions</w:t>
      </w:r>
      <w:bookmarkEnd w:id="2"/>
      <w:bookmarkEnd w:id="3"/>
      <w:r w:rsidR="00AD79E9" w:rsidRPr="003E73CF">
        <w:t xml:space="preserve"> </w:t>
      </w:r>
    </w:p>
    <w:p w14:paraId="7A6C8335" w14:textId="5C1C2EAC" w:rsidR="005D7029" w:rsidRPr="00EA134E" w:rsidRDefault="007F3027" w:rsidP="00123D42">
      <w:pPr>
        <w:rPr>
          <w:b/>
          <w:bCs/>
          <w:sz w:val="24"/>
          <w:szCs w:val="24"/>
        </w:rPr>
      </w:pPr>
      <w:r w:rsidRPr="00D62889">
        <w:rPr>
          <w:rFonts w:eastAsia="Calibri" w:cs="Times New Roman"/>
          <w:sz w:val="24"/>
          <w:szCs w:val="24"/>
          <w:u w:val="single"/>
        </w:rPr>
        <w:t>Bold chapter head</w:t>
      </w:r>
      <w:r w:rsidRPr="00EA134E">
        <w:rPr>
          <w:rFonts w:eastAsia="Calibri" w:cs="Times New Roman"/>
          <w:sz w:val="24"/>
          <w:szCs w:val="24"/>
        </w:rPr>
        <w:t>:</w:t>
      </w:r>
      <w:r w:rsidRPr="00EA134E">
        <w:rPr>
          <w:rFonts w:eastAsia="Calibri" w:cs="Times New Roman"/>
          <w:b/>
          <w:bCs/>
          <w:sz w:val="24"/>
          <w:szCs w:val="24"/>
        </w:rPr>
        <w:t xml:space="preserve"> </w:t>
      </w:r>
      <w:r w:rsidR="00891F9E">
        <w:rPr>
          <w:b/>
          <w:bCs/>
          <w:sz w:val="24"/>
          <w:szCs w:val="24"/>
        </w:rPr>
        <w:t>33</w:t>
      </w:r>
      <w:r w:rsidR="005D7029" w:rsidRPr="00EA134E">
        <w:rPr>
          <w:b/>
          <w:bCs/>
          <w:sz w:val="24"/>
          <w:szCs w:val="24"/>
        </w:rPr>
        <w:t xml:space="preserve">% </w:t>
      </w:r>
      <w:r w:rsidR="00123D42" w:rsidRPr="00123D42">
        <w:rPr>
          <w:b/>
          <w:bCs/>
          <w:sz w:val="24"/>
          <w:szCs w:val="24"/>
          <w:highlight w:val="green"/>
        </w:rPr>
        <w:t xml:space="preserve">of all the food produced in the world goes to waste. </w:t>
      </w:r>
      <w:r w:rsidR="00625208">
        <w:rPr>
          <w:b/>
          <w:bCs/>
          <w:sz w:val="24"/>
          <w:szCs w:val="24"/>
          <w:highlight w:val="green"/>
        </w:rPr>
        <w:t>‘</w:t>
      </w:r>
      <w:r w:rsidR="005D7029" w:rsidRPr="00123D42">
        <w:rPr>
          <w:b/>
          <w:bCs/>
          <w:sz w:val="24"/>
          <w:szCs w:val="24"/>
          <w:highlight w:val="green"/>
        </w:rPr>
        <w:t>Food</w:t>
      </w:r>
      <w:r w:rsidRPr="00123D42">
        <w:rPr>
          <w:b/>
          <w:bCs/>
          <w:sz w:val="24"/>
          <w:szCs w:val="24"/>
          <w:highlight w:val="green"/>
        </w:rPr>
        <w:t xml:space="preserve"> </w:t>
      </w:r>
      <w:r w:rsidR="005D7029" w:rsidRPr="00123D42">
        <w:rPr>
          <w:b/>
          <w:bCs/>
          <w:sz w:val="24"/>
          <w:szCs w:val="24"/>
          <w:highlight w:val="green"/>
        </w:rPr>
        <w:t>rescue</w:t>
      </w:r>
      <w:r w:rsidR="00625208">
        <w:rPr>
          <w:b/>
          <w:bCs/>
          <w:sz w:val="24"/>
          <w:szCs w:val="24"/>
          <w:highlight w:val="green"/>
        </w:rPr>
        <w:t>’</w:t>
      </w:r>
      <w:r w:rsidR="005D7029" w:rsidRPr="00123D42">
        <w:rPr>
          <w:b/>
          <w:bCs/>
          <w:sz w:val="24"/>
          <w:szCs w:val="24"/>
          <w:highlight w:val="green"/>
        </w:rPr>
        <w:t xml:space="preserve"> </w:t>
      </w:r>
      <w:r w:rsidR="00123D42" w:rsidRPr="00123D42">
        <w:rPr>
          <w:b/>
          <w:bCs/>
          <w:sz w:val="24"/>
          <w:szCs w:val="24"/>
          <w:highlight w:val="green"/>
        </w:rPr>
        <w:t xml:space="preserve">is the economic endeavor of transforming food surplus, currently of zero or negative value, into food </w:t>
      </w:r>
      <w:r w:rsidR="00123D42" w:rsidRPr="00123D42">
        <w:rPr>
          <w:b/>
          <w:bCs/>
          <w:sz w:val="24"/>
          <w:szCs w:val="24"/>
          <w:highlight w:val="green"/>
          <w:cs/>
        </w:rPr>
        <w:t>‎</w:t>
      </w:r>
      <w:r w:rsidR="00625208">
        <w:rPr>
          <w:b/>
          <w:bCs/>
          <w:sz w:val="24"/>
          <w:szCs w:val="24"/>
          <w:highlight w:val="green"/>
        </w:rPr>
        <w:t xml:space="preserve">with </w:t>
      </w:r>
      <w:r w:rsidR="00123D42" w:rsidRPr="00123D42">
        <w:rPr>
          <w:b/>
          <w:bCs/>
          <w:sz w:val="24"/>
          <w:szCs w:val="24"/>
          <w:highlight w:val="green"/>
        </w:rPr>
        <w:t xml:space="preserve">economic value and distributing it to the underprivileged populace. </w:t>
      </w:r>
      <w:r w:rsidR="00123D42" w:rsidRPr="00123D42">
        <w:rPr>
          <w:b/>
          <w:bCs/>
          <w:sz w:val="24"/>
          <w:szCs w:val="24"/>
          <w:highlight w:val="green"/>
          <w:cs/>
        </w:rPr>
        <w:t>‎</w:t>
      </w:r>
    </w:p>
    <w:p w14:paraId="20038488" w14:textId="2848C276" w:rsidR="00123D42" w:rsidRDefault="00123D42" w:rsidP="003750C1">
      <w:pPr>
        <w:pStyle w:val="BodyText"/>
      </w:pPr>
      <w:r w:rsidRPr="00123D42">
        <w:rPr>
          <w:highlight w:val="green"/>
        </w:rPr>
        <w:t>According to estimates by the Food and Agriculture Organization of the United Nations (FAO), approximately one-third of all food produced worldwide, in quantitative terms, is wasted</w:t>
      </w:r>
      <w:r w:rsidR="00625208">
        <w:rPr>
          <w:highlight w:val="green"/>
        </w:rPr>
        <w:t>. This is</w:t>
      </w:r>
      <w:r w:rsidRPr="00123D42">
        <w:rPr>
          <w:highlight w:val="green"/>
        </w:rPr>
        <w:t xml:space="preserve"> equivalent to approximately one-quarter of the total caloric value. Food waste is a</w:t>
      </w:r>
      <w:r w:rsidR="00F729DF">
        <w:rPr>
          <w:highlight w:val="green"/>
        </w:rPr>
        <w:t>n</w:t>
      </w:r>
      <w:r w:rsidRPr="00123D42">
        <w:rPr>
          <w:highlight w:val="green"/>
        </w:rPr>
        <w:t xml:space="preserve"> international phenomenon</w:t>
      </w:r>
      <w:r w:rsidR="00625208">
        <w:rPr>
          <w:highlight w:val="green"/>
        </w:rPr>
        <w:t>; it is</w:t>
      </w:r>
      <w:r w:rsidRPr="00123D42">
        <w:rPr>
          <w:highlight w:val="green"/>
        </w:rPr>
        <w:t xml:space="preserve"> not</w:t>
      </w:r>
      <w:r w:rsidR="003750C1">
        <w:rPr>
          <w:highlight w:val="green"/>
        </w:rPr>
        <w:t xml:space="preserve"> </w:t>
      </w:r>
      <w:r w:rsidRPr="00123D42">
        <w:rPr>
          <w:highlight w:val="green"/>
        </w:rPr>
        <w:t>unique to the Israeli economy</w:t>
      </w:r>
      <w:r w:rsidR="009935A2">
        <w:rPr>
          <w:highlight w:val="green"/>
        </w:rPr>
        <w:t xml:space="preserve"> and</w:t>
      </w:r>
      <w:r w:rsidRPr="00123D42">
        <w:rPr>
          <w:highlight w:val="green"/>
        </w:rPr>
        <w:t xml:space="preserve"> exists on a similar scale in all Western economies.</w:t>
      </w:r>
    </w:p>
    <w:p w14:paraId="080A8F6D" w14:textId="08F2762F" w:rsidR="002443BB" w:rsidRPr="00792AA7" w:rsidRDefault="00123D42" w:rsidP="00123D42">
      <w:pPr>
        <w:pStyle w:val="BodyText"/>
      </w:pPr>
      <w:r w:rsidRPr="00123D42">
        <w:rPr>
          <w:highlight w:val="green"/>
        </w:rPr>
        <w:t xml:space="preserve">The </w:t>
      </w:r>
      <w:r w:rsidR="009935A2">
        <w:rPr>
          <w:highlight w:val="green"/>
        </w:rPr>
        <w:t>Food Recovery Hierarchy</w:t>
      </w:r>
      <w:r w:rsidRPr="00123D42">
        <w:rPr>
          <w:highlight w:val="green"/>
        </w:rPr>
        <w:t xml:space="preserve"> set out in the EU's Food Treatment Directive sets priorities for the treatment of food that is not consumed</w:t>
      </w:r>
      <w:r>
        <w:t xml:space="preserve">. </w:t>
      </w:r>
      <w:r w:rsidR="002443BB" w:rsidRPr="00792AA7">
        <w:t>This hierarchy</w:t>
      </w:r>
      <w:r w:rsidR="00703FE4">
        <w:t xml:space="preserve"> gives</w:t>
      </w:r>
      <w:r w:rsidR="002443BB" w:rsidRPr="00792AA7">
        <w:t xml:space="preserve"> </w:t>
      </w:r>
      <w:r w:rsidR="00703FE4">
        <w:t xml:space="preserve">clear priority to the prevention of food </w:t>
      </w:r>
      <w:r w:rsidR="008C7197">
        <w:t xml:space="preserve">waste </w:t>
      </w:r>
      <w:r w:rsidR="00163ABF">
        <w:t>and</w:t>
      </w:r>
      <w:r w:rsidR="002443BB">
        <w:t xml:space="preserve"> </w:t>
      </w:r>
      <w:r w:rsidR="00827271">
        <w:t xml:space="preserve">the repurposing of </w:t>
      </w:r>
      <w:r w:rsidR="002443BB">
        <w:t xml:space="preserve">unconsumed food for </w:t>
      </w:r>
      <w:r w:rsidR="00827271">
        <w:t xml:space="preserve">use by </w:t>
      </w:r>
      <w:r w:rsidR="002443BB" w:rsidRPr="00F3381D">
        <w:t>underprivileged popula</w:t>
      </w:r>
      <w:r w:rsidR="002443BB">
        <w:t xml:space="preserve">tions. </w:t>
      </w:r>
    </w:p>
    <w:p w14:paraId="182D0BE3" w14:textId="77777777" w:rsidR="002443BB" w:rsidRPr="008F3D9C" w:rsidRDefault="002443BB" w:rsidP="009F04A2">
      <w:pPr>
        <w:pStyle w:val="Graphtitle"/>
      </w:pPr>
      <w:r w:rsidRPr="008F3D9C">
        <w:t>The Economic-</w:t>
      </w:r>
      <w:r w:rsidRPr="009F04A2">
        <w:t>Environmental</w:t>
      </w:r>
      <w:r w:rsidRPr="008F3D9C">
        <w:t xml:space="preserve"> Hierarchy of Food Recovery</w:t>
      </w:r>
    </w:p>
    <w:p w14:paraId="132DBB4A" w14:textId="77777777" w:rsidR="00703FE4" w:rsidRDefault="002443BB" w:rsidP="004E71F9">
      <w:pPr>
        <w:pStyle w:val="BodyText"/>
        <w:jc w:val="center"/>
      </w:pPr>
      <w:r w:rsidRPr="008F3D9C">
        <w:rPr>
          <w:noProof/>
          <w:lang w:bidi="ar-SA"/>
        </w:rPr>
        <w:drawing>
          <wp:inline distT="0" distB="0" distL="0" distR="0" wp14:anchorId="639F80F5" wp14:editId="79232CF0">
            <wp:extent cx="3290769" cy="2901462"/>
            <wp:effectExtent l="0" t="0" r="5080" b="0"/>
            <wp:docPr id="1" name="תמונה 26" descr="This image shows the food recovery hierarchy. At the top the most preferable method is source reduction, then feed hungry people, then feed animals, then industrial uses, then composting and the least preferred method is landfill and inci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the food recovery hierarchy. At the top the most preferable method is source reduction, then feed hungry people, then feed animals, then industrial uses, then composting and the least preferred method is landfill and inciner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68" cy="2928177"/>
                    </a:xfrm>
                    <a:prstGeom prst="rect">
                      <a:avLst/>
                    </a:prstGeom>
                    <a:noFill/>
                    <a:ln>
                      <a:noFill/>
                    </a:ln>
                  </pic:spPr>
                </pic:pic>
              </a:graphicData>
            </a:graphic>
          </wp:inline>
        </w:drawing>
      </w:r>
    </w:p>
    <w:p w14:paraId="5C76C5B8" w14:textId="77777777" w:rsidR="002C009C" w:rsidRPr="00EA134E" w:rsidRDefault="002443BB" w:rsidP="009F04A2">
      <w:pPr>
        <w:pStyle w:val="Graphnote"/>
        <w:rPr>
          <w:rtl/>
        </w:rPr>
      </w:pPr>
      <w:r w:rsidRPr="00703FE4">
        <w:t>Source: EPA</w:t>
      </w:r>
    </w:p>
    <w:p w14:paraId="538C1AC1" w14:textId="2D3F6097" w:rsidR="002C009C" w:rsidRPr="00352346" w:rsidRDefault="002C009C" w:rsidP="003102F3">
      <w:pPr>
        <w:pStyle w:val="BodyText"/>
      </w:pPr>
      <w:r w:rsidRPr="008F3D9C">
        <w:t xml:space="preserve">Many </w:t>
      </w:r>
      <w:r w:rsidRPr="009F04A2">
        <w:t>policy</w:t>
      </w:r>
      <w:r w:rsidRPr="008F3D9C">
        <w:t xml:space="preserve"> measures e</w:t>
      </w:r>
      <w:r w:rsidR="00485F60" w:rsidRPr="008F3D9C">
        <w:t>xist to address the need</w:t>
      </w:r>
      <w:r w:rsidR="004377EC" w:rsidRPr="008F3D9C">
        <w:t>s</w:t>
      </w:r>
      <w:r w:rsidR="00485F60" w:rsidRPr="008F3D9C">
        <w:t xml:space="preserve"> of underprivileged</w:t>
      </w:r>
      <w:r w:rsidR="00B72CC5" w:rsidRPr="008F3D9C">
        <w:t xml:space="preserve"> population</w:t>
      </w:r>
      <w:r w:rsidR="00D8506A" w:rsidRPr="008F3D9C">
        <w:t>s</w:t>
      </w:r>
      <w:r w:rsidRPr="008F3D9C">
        <w:t xml:space="preserve">, and </w:t>
      </w:r>
      <w:r w:rsidR="00536A80" w:rsidRPr="008F3D9C">
        <w:t xml:space="preserve">to help alleviate </w:t>
      </w:r>
      <w:r w:rsidR="00485F60" w:rsidRPr="008F3D9C">
        <w:t>the problem of food</w:t>
      </w:r>
      <w:r w:rsidRPr="008F3D9C">
        <w:t xml:space="preserve"> insecurity.</w:t>
      </w:r>
      <w:r w:rsidR="0057048D" w:rsidRPr="008F3D9C">
        <w:t xml:space="preserve"> </w:t>
      </w:r>
      <w:r w:rsidRPr="008F3D9C">
        <w:t xml:space="preserve">The most commonly used methods in Israel </w:t>
      </w:r>
      <w:r w:rsidR="003102F3">
        <w:t>include</w:t>
      </w:r>
      <w:r w:rsidRPr="008F3D9C">
        <w:t xml:space="preserve"> donations, subsidies, allocations and allowances.</w:t>
      </w:r>
      <w:r w:rsidR="0057048D" w:rsidRPr="008F3D9C">
        <w:t xml:space="preserve"> </w:t>
      </w:r>
      <w:r w:rsidRPr="00184FCF">
        <w:t xml:space="preserve">The uniqueness of food rescue </w:t>
      </w:r>
      <w:r w:rsidRPr="00184FCF">
        <w:lastRenderedPageBreak/>
        <w:t xml:space="preserve">stems from its ability to help </w:t>
      </w:r>
      <w:r w:rsidR="009F04A2">
        <w:t>those in need</w:t>
      </w:r>
      <w:r w:rsidRPr="00184FCF">
        <w:t xml:space="preserve"> at a lo</w:t>
      </w:r>
      <w:r w:rsidR="00CD7EDB" w:rsidRPr="00F948FC">
        <w:t xml:space="preserve">w </w:t>
      </w:r>
      <w:r w:rsidR="009F04A2" w:rsidRPr="00F948FC">
        <w:t xml:space="preserve">budgetary and </w:t>
      </w:r>
      <w:r w:rsidR="00CD7EDB" w:rsidRPr="00F948FC">
        <w:t>economic cost.</w:t>
      </w:r>
      <w:r w:rsidR="0057048D" w:rsidRPr="00F948FC">
        <w:t xml:space="preserve"> </w:t>
      </w:r>
      <w:r w:rsidR="00CD7EDB" w:rsidRPr="009C4CDA">
        <w:t>I</w:t>
      </w:r>
      <w:r w:rsidRPr="009C4CDA">
        <w:t>nstead of financing the full cost of food</w:t>
      </w:r>
      <w:r w:rsidR="00536A80" w:rsidRPr="009C4CDA">
        <w:t xml:space="preserve"> purchases</w:t>
      </w:r>
      <w:r w:rsidR="00CD7EDB" w:rsidRPr="009C4CDA">
        <w:t xml:space="preserve">, it is </w:t>
      </w:r>
      <w:r w:rsidR="005B276B" w:rsidRPr="009C4CDA">
        <w:t xml:space="preserve">only </w:t>
      </w:r>
      <w:r w:rsidR="00B72CC5" w:rsidRPr="009C4CDA">
        <w:t xml:space="preserve">necessary to </w:t>
      </w:r>
      <w:r w:rsidR="00CD7EDB" w:rsidRPr="009C4CDA">
        <w:t>finance</w:t>
      </w:r>
      <w:r w:rsidRPr="009C4CDA">
        <w:t xml:space="preserve"> </w:t>
      </w:r>
      <w:r w:rsidR="00B72CC5" w:rsidRPr="009C4CDA">
        <w:t xml:space="preserve">the cost of its </w:t>
      </w:r>
      <w:r w:rsidR="00D93372" w:rsidRPr="009C4CDA">
        <w:t>rescue</w:t>
      </w:r>
      <w:r w:rsidRPr="009C4CDA">
        <w:t>.</w:t>
      </w:r>
      <w:r w:rsidRPr="00655182">
        <w:t xml:space="preserve"> </w:t>
      </w:r>
    </w:p>
    <w:p w14:paraId="40EB4211" w14:textId="77777777" w:rsidR="002C009C" w:rsidRDefault="00B72CC5" w:rsidP="00876C4B">
      <w:pPr>
        <w:pStyle w:val="BodyText"/>
      </w:pPr>
      <w:r w:rsidRPr="008F3D9C">
        <w:t xml:space="preserve">In socioeconomic discourse, there is </w:t>
      </w:r>
      <w:r w:rsidR="00163ABF">
        <w:t>a prevailing</w:t>
      </w:r>
      <w:r w:rsidR="002C009C" w:rsidRPr="008F3D9C">
        <w:t xml:space="preserve"> disagreement, both in Israel and abroad, between proponents of</w:t>
      </w:r>
      <w:r w:rsidR="00CC6638" w:rsidRPr="008F3D9C">
        <w:t xml:space="preserve"> prioritizing</w:t>
      </w:r>
      <w:r w:rsidR="002C009C" w:rsidRPr="008F3D9C">
        <w:t xml:space="preserve"> growth (</w:t>
      </w:r>
      <w:r w:rsidR="0020476D" w:rsidRPr="008F3D9C">
        <w:t>“</w:t>
      </w:r>
      <w:r w:rsidR="002C009C" w:rsidRPr="008F3D9C">
        <w:t>increasing the pie</w:t>
      </w:r>
      <w:r w:rsidR="0020476D" w:rsidRPr="008F3D9C">
        <w:t>”</w:t>
      </w:r>
      <w:r w:rsidR="002C009C" w:rsidRPr="008F3D9C">
        <w:t xml:space="preserve">) and proponents of </w:t>
      </w:r>
      <w:r w:rsidR="00CC6638" w:rsidRPr="008F3D9C">
        <w:t>prioritizing reduction of</w:t>
      </w:r>
      <w:r w:rsidR="002C009C" w:rsidRPr="008F3D9C">
        <w:t xml:space="preserve"> inequality.</w:t>
      </w:r>
    </w:p>
    <w:p w14:paraId="1C526BDB" w14:textId="77777777" w:rsidR="00876C4B" w:rsidRPr="00876C4B" w:rsidRDefault="009F04A2" w:rsidP="00876C4B">
      <w:pPr>
        <w:pStyle w:val="BodyText"/>
        <w:rPr>
          <w:b/>
          <w:bCs/>
        </w:rPr>
      </w:pPr>
      <w:r>
        <w:t xml:space="preserve">Food rescue is unique because it is a policy tool that inherently integrates </w:t>
      </w:r>
      <w:r w:rsidR="00163ABF">
        <w:t>both</w:t>
      </w:r>
      <w:r>
        <w:t xml:space="preserve"> approaches. </w:t>
      </w:r>
      <w:r w:rsidR="00876C4B">
        <w:rPr>
          <w:b/>
          <w:bCs/>
        </w:rPr>
        <w:t xml:space="preserve">Rescuing food and transferring it to </w:t>
      </w:r>
      <w:r w:rsidR="002443BB" w:rsidRPr="00876C4B">
        <w:rPr>
          <w:b/>
          <w:bCs/>
        </w:rPr>
        <w:t>underprivileged populations</w:t>
      </w:r>
      <w:r w:rsidR="00876C4B">
        <w:rPr>
          <w:b/>
          <w:bCs/>
        </w:rPr>
        <w:t xml:space="preserve"> for their consumption both increases the productivity of the economy and simultaneously reduces inequality.</w:t>
      </w:r>
    </w:p>
    <w:p w14:paraId="210076B2" w14:textId="67BF5207" w:rsidR="00147E6F" w:rsidRPr="00147E6F" w:rsidRDefault="00147E6F" w:rsidP="004E71F9">
      <w:pPr>
        <w:pStyle w:val="BodyText"/>
      </w:pPr>
      <w:r w:rsidRPr="00147E6F">
        <w:t xml:space="preserve">Food rescue is an economic action that transforms such surplus, with zero or negative value, into food </w:t>
      </w:r>
      <w:r w:rsidR="00EE1AD1">
        <w:t xml:space="preserve">with a positive economic value </w:t>
      </w:r>
      <w:r w:rsidRPr="00147E6F">
        <w:t xml:space="preserve">that is then distributed to the underprivileged populace. </w:t>
      </w:r>
    </w:p>
    <w:p w14:paraId="29D63EBE" w14:textId="77777777" w:rsidR="00147E6F" w:rsidRPr="00147E6F" w:rsidRDefault="00147E6F" w:rsidP="004E71F9">
      <w:pPr>
        <w:pStyle w:val="BodyText"/>
        <w:rPr>
          <w:rtl/>
        </w:rPr>
      </w:pPr>
      <w:r w:rsidRPr="004F19A0">
        <w:t>The importance of rescuing food stems from three</w:t>
      </w:r>
      <w:r w:rsidRPr="00B77962">
        <w:rPr>
          <w:rStyle w:val="BodyTextChar"/>
        </w:rPr>
        <w:t xml:space="preserve"> </w:t>
      </w:r>
      <w:r w:rsidRPr="004F19A0">
        <w:t xml:space="preserve">central </w:t>
      </w:r>
      <w:r w:rsidR="0091723E">
        <w:t>advantages</w:t>
      </w:r>
      <w:r w:rsidRPr="004F19A0">
        <w:t>:</w:t>
      </w:r>
    </w:p>
    <w:p w14:paraId="1B31BBB8" w14:textId="200307BD" w:rsidR="00147E6F" w:rsidRPr="00147E6F" w:rsidRDefault="00147E6F" w:rsidP="0071165E">
      <w:pPr>
        <w:pStyle w:val="ListParagraph"/>
      </w:pPr>
      <w:r w:rsidRPr="00147E6F">
        <w:rPr>
          <w:b/>
          <w:bCs/>
        </w:rPr>
        <w:t xml:space="preserve">Economic benefit </w:t>
      </w:r>
      <w:r w:rsidRPr="00147E6F">
        <w:t>– Rescuing food transform</w:t>
      </w:r>
      <w:r w:rsidR="0071165E">
        <w:t>s</w:t>
      </w:r>
      <w:r w:rsidRPr="00147E6F">
        <w:t xml:space="preserve"> zero or negative value waste to an economically valuable commodity, thus </w:t>
      </w:r>
      <w:r w:rsidRPr="00B77962">
        <w:t>increasing</w:t>
      </w:r>
      <w:r w:rsidRPr="00147E6F">
        <w:t xml:space="preserve"> the gross national product and productivity;</w:t>
      </w:r>
    </w:p>
    <w:p w14:paraId="5DFB3A43" w14:textId="4CB15E49" w:rsidR="00147E6F" w:rsidRPr="00147E6F" w:rsidRDefault="00147E6F" w:rsidP="0071165E">
      <w:pPr>
        <w:pStyle w:val="ListParagraph"/>
      </w:pPr>
      <w:r w:rsidRPr="00147E6F">
        <w:rPr>
          <w:b/>
          <w:bCs/>
        </w:rPr>
        <w:t xml:space="preserve">Social benefit </w:t>
      </w:r>
      <w:r w:rsidRPr="00147E6F">
        <w:t>–</w:t>
      </w:r>
      <w:r w:rsidR="00AF1228">
        <w:t xml:space="preserve"> </w:t>
      </w:r>
      <w:r w:rsidR="0071165E">
        <w:t xml:space="preserve">The rescue and provision of surplus food to those in need </w:t>
      </w:r>
      <w:r w:rsidRPr="00147E6F">
        <w:t>reduces social gaps and prevents food insecurity in weaker</w:t>
      </w:r>
      <w:r w:rsidR="00F06929">
        <w:t>,</w:t>
      </w:r>
      <w:r w:rsidRPr="00147E6F">
        <w:t xml:space="preserve"> underprivileged populations; </w:t>
      </w:r>
    </w:p>
    <w:p w14:paraId="09F713EE" w14:textId="77777777" w:rsidR="00147E6F" w:rsidRPr="00147E6F" w:rsidRDefault="00147E6F" w:rsidP="00B77962">
      <w:pPr>
        <w:pStyle w:val="ListParagraph"/>
      </w:pPr>
      <w:r w:rsidRPr="00147E6F">
        <w:rPr>
          <w:b/>
          <w:bCs/>
        </w:rPr>
        <w:t xml:space="preserve">Environmental benefit </w:t>
      </w:r>
      <w:r w:rsidRPr="00147E6F">
        <w:t xml:space="preserve">– Waste reduction reduces pollutant levels, GHG emissions, and use of finite land and water resources. </w:t>
      </w:r>
    </w:p>
    <w:p w14:paraId="66C4410A" w14:textId="77777777" w:rsidR="00147E6F" w:rsidRDefault="00147E6F" w:rsidP="00B77962">
      <w:pPr>
        <w:pStyle w:val="BodyText"/>
      </w:pPr>
      <w:r w:rsidRPr="00147E6F">
        <w:t xml:space="preserve">The combination of these three </w:t>
      </w:r>
      <w:r w:rsidR="00B77962" w:rsidRPr="00147E6F">
        <w:t xml:space="preserve">characteristics </w:t>
      </w:r>
      <w:r w:rsidR="00B77962">
        <w:t xml:space="preserve">of </w:t>
      </w:r>
      <w:r w:rsidRPr="00147E6F">
        <w:t xml:space="preserve">food rescue creates a unique opportunity </w:t>
      </w:r>
      <w:r w:rsidRPr="00147E6F">
        <w:rPr>
          <w:cs/>
        </w:rPr>
        <w:t>‎</w:t>
      </w:r>
      <w:r w:rsidRPr="00147E6F">
        <w:t>that requires the formation of an appropriate policy to reflect such benefits.</w:t>
      </w:r>
      <w:r w:rsidRPr="00147E6F">
        <w:rPr>
          <w:cs/>
        </w:rPr>
        <w:t>‎</w:t>
      </w:r>
    </w:p>
    <w:p w14:paraId="12000396" w14:textId="6760F82C" w:rsidR="00147E6F" w:rsidRDefault="00147E6F" w:rsidP="00B77962">
      <w:pPr>
        <w:pStyle w:val="BodyText"/>
      </w:pPr>
      <w:r w:rsidRPr="008F3D9C">
        <w:t xml:space="preserve">Food waste is not a phenomenon unique to the Israeli economy, and is evident in similar volumes in </w:t>
      </w:r>
      <w:r w:rsidR="00163ABF">
        <w:t>comparable</w:t>
      </w:r>
      <w:r w:rsidR="00B77962">
        <w:t xml:space="preserve"> developed </w:t>
      </w:r>
      <w:r w:rsidR="00F06929">
        <w:t>economies</w:t>
      </w:r>
      <w:r w:rsidRPr="008F3D9C">
        <w:t xml:space="preserve">. </w:t>
      </w:r>
      <w:r>
        <w:t xml:space="preserve">However, unlike many other countries that have developed legislation, national </w:t>
      </w:r>
      <w:r w:rsidR="00163ABF">
        <w:t>policies</w:t>
      </w:r>
      <w:r>
        <w:t xml:space="preserve"> and multi-year targets </w:t>
      </w:r>
      <w:r w:rsidR="00163ABF">
        <w:t>to encourage</w:t>
      </w:r>
      <w:r>
        <w:t xml:space="preserve"> food rescue and </w:t>
      </w:r>
      <w:r w:rsidR="00163ABF">
        <w:t>decrease</w:t>
      </w:r>
      <w:r w:rsidR="006C74A7">
        <w:t xml:space="preserve"> food waste, Israel still lacks </w:t>
      </w:r>
      <w:r w:rsidR="0071165E">
        <w:t xml:space="preserve">a </w:t>
      </w:r>
      <w:r w:rsidR="006C74A7">
        <w:t>national policy regarding these issues.</w:t>
      </w:r>
      <w:r w:rsidR="004B64F6">
        <w:t xml:space="preserve"> </w:t>
      </w:r>
    </w:p>
    <w:p w14:paraId="25965B00" w14:textId="6B0FAE4D" w:rsidR="003456E8" w:rsidRDefault="006C74A7" w:rsidP="004E21C0">
      <w:pPr>
        <w:pStyle w:val="BodyText"/>
      </w:pPr>
      <w:r>
        <w:t xml:space="preserve">Despite this, some </w:t>
      </w:r>
      <w:r w:rsidR="003102F3">
        <w:t xml:space="preserve">initial </w:t>
      </w:r>
      <w:r>
        <w:t xml:space="preserve">steps have been taken in Israel in recent years, in terms of both </w:t>
      </w:r>
      <w:r w:rsidRPr="002A0903">
        <w:t xml:space="preserve">regulation and </w:t>
      </w:r>
      <w:r w:rsidR="000440EF">
        <w:t>incentives</w:t>
      </w:r>
      <w:r>
        <w:t xml:space="preserve">. </w:t>
      </w:r>
      <w:r w:rsidR="004E21C0" w:rsidRPr="00183A3E">
        <w:rPr>
          <w:highlight w:val="green"/>
        </w:rPr>
        <w:t xml:space="preserve">In October 2018, the Knesset passed </w:t>
      </w:r>
      <w:r w:rsidR="00FF3E09" w:rsidRPr="00183A3E">
        <w:rPr>
          <w:highlight w:val="green"/>
        </w:rPr>
        <w:t xml:space="preserve">the </w:t>
      </w:r>
      <w:commentRangeStart w:id="4"/>
      <w:r w:rsidR="009935A2">
        <w:rPr>
          <w:highlight w:val="green"/>
        </w:rPr>
        <w:t>Food Donation Act</w:t>
      </w:r>
      <w:r w:rsidR="004E21C0" w:rsidRPr="00183A3E">
        <w:rPr>
          <w:highlight w:val="green"/>
        </w:rPr>
        <w:t xml:space="preserve"> </w:t>
      </w:r>
      <w:commentRangeEnd w:id="4"/>
      <w:r w:rsidR="009935A2">
        <w:rPr>
          <w:rStyle w:val="CommentReference"/>
          <w:rFonts w:eastAsiaTheme="minorHAnsi" w:cstheme="minorBidi"/>
        </w:rPr>
        <w:commentReference w:id="4"/>
      </w:r>
      <w:r w:rsidR="004E21C0" w:rsidRPr="00183A3E">
        <w:rPr>
          <w:highlight w:val="green"/>
        </w:rPr>
        <w:t xml:space="preserve">that absolves the donation chain </w:t>
      </w:r>
      <w:r w:rsidR="004E21C0" w:rsidRPr="00183A3E">
        <w:rPr>
          <w:highlight w:val="green"/>
          <w:cs/>
        </w:rPr>
        <w:t>‎</w:t>
      </w:r>
      <w:r w:rsidR="004E21C0" w:rsidRPr="00183A3E">
        <w:rPr>
          <w:highlight w:val="green"/>
        </w:rPr>
        <w:t>from civil or criminal liability as long as they act in accordance with law. Moreover, in the last two years, the State has budget</w:t>
      </w:r>
      <w:r w:rsidR="00FF3E09">
        <w:rPr>
          <w:highlight w:val="green"/>
        </w:rPr>
        <w:t>ed</w:t>
      </w:r>
      <w:r w:rsidR="004E21C0" w:rsidRPr="00183A3E">
        <w:rPr>
          <w:highlight w:val="green"/>
        </w:rPr>
        <w:t xml:space="preserve"> two joint initiatives in </w:t>
      </w:r>
      <w:r w:rsidR="004E21C0" w:rsidRPr="00183A3E">
        <w:rPr>
          <w:highlight w:val="green"/>
        </w:rPr>
        <w:lastRenderedPageBreak/>
        <w:t>which the Ministries of Welfare and Agriculture</w:t>
      </w:r>
      <w:r w:rsidR="00713253" w:rsidRPr="00183A3E">
        <w:rPr>
          <w:highlight w:val="green"/>
        </w:rPr>
        <w:t xml:space="preserve"> </w:t>
      </w:r>
      <w:r w:rsidR="009935A2">
        <w:rPr>
          <w:highlight w:val="green"/>
        </w:rPr>
        <w:t>partner</w:t>
      </w:r>
      <w:r w:rsidR="004E21C0" w:rsidRPr="00183A3E">
        <w:rPr>
          <w:highlight w:val="green"/>
        </w:rPr>
        <w:t xml:space="preserve"> with </w:t>
      </w:r>
      <w:r w:rsidR="00713253" w:rsidRPr="00183A3E">
        <w:rPr>
          <w:highlight w:val="green"/>
        </w:rPr>
        <w:t xml:space="preserve">Leket </w:t>
      </w:r>
      <w:r w:rsidR="00363DCB" w:rsidRPr="00183A3E">
        <w:rPr>
          <w:highlight w:val="green"/>
        </w:rPr>
        <w:t>Israel</w:t>
      </w:r>
      <w:r w:rsidRPr="00183A3E">
        <w:rPr>
          <w:highlight w:val="green"/>
        </w:rPr>
        <w:t>.</w:t>
      </w:r>
      <w:r w:rsidR="00713253" w:rsidRPr="00183A3E">
        <w:rPr>
          <w:highlight w:val="green"/>
        </w:rPr>
        <w:t xml:space="preserve"> [</w:t>
      </w:r>
      <w:r w:rsidR="004E21C0" w:rsidRPr="00183A3E">
        <w:rPr>
          <w:highlight w:val="green"/>
        </w:rPr>
        <w:t xml:space="preserve">More </w:t>
      </w:r>
      <w:r w:rsidR="00713253" w:rsidRPr="00183A3E">
        <w:rPr>
          <w:highlight w:val="green"/>
        </w:rPr>
        <w:t xml:space="preserve">details on the government initiatives may be found in </w:t>
      </w:r>
      <w:r w:rsidR="00B77962" w:rsidRPr="00183A3E">
        <w:rPr>
          <w:highlight w:val="green"/>
        </w:rPr>
        <w:t>Chapter 1</w:t>
      </w:r>
      <w:r w:rsidR="004E21C0" w:rsidRPr="00183A3E">
        <w:rPr>
          <w:highlight w:val="green"/>
        </w:rPr>
        <w:t>1</w:t>
      </w:r>
      <w:r w:rsidR="00713253" w:rsidRPr="00183A3E">
        <w:rPr>
          <w:highlight w:val="green"/>
        </w:rPr>
        <w:t>.]</w:t>
      </w:r>
    </w:p>
    <w:p w14:paraId="142DC9BF" w14:textId="77777777" w:rsidR="003456E8" w:rsidRDefault="003456E8">
      <w:pPr>
        <w:rPr>
          <w:rFonts w:eastAsia="Calibri" w:cs="Times New Roman"/>
          <w:sz w:val="24"/>
          <w:szCs w:val="24"/>
        </w:rPr>
      </w:pPr>
      <w:r>
        <w:br w:type="page"/>
      </w:r>
    </w:p>
    <w:p w14:paraId="3BA16773" w14:textId="6476237E" w:rsidR="003456E8" w:rsidRPr="003456E8" w:rsidRDefault="003456E8" w:rsidP="0061604E">
      <w:pPr>
        <w:pStyle w:val="Heading1"/>
      </w:pPr>
      <w:bookmarkStart w:id="5" w:name="_Toc505547253"/>
      <w:bookmarkStart w:id="6" w:name="_Toc951792"/>
      <w:r w:rsidRPr="003456E8">
        <w:lastRenderedPageBreak/>
        <w:t xml:space="preserve">Food Waste – How </w:t>
      </w:r>
      <w:r w:rsidR="005870FC">
        <w:t>M</w:t>
      </w:r>
      <w:r w:rsidRPr="003456E8">
        <w:t xml:space="preserve">uch </w:t>
      </w:r>
      <w:r w:rsidR="005870FC">
        <w:t>F</w:t>
      </w:r>
      <w:r w:rsidRPr="003456E8">
        <w:t xml:space="preserve">ood is </w:t>
      </w:r>
      <w:r w:rsidR="005870FC">
        <w:t>W</w:t>
      </w:r>
      <w:r w:rsidRPr="003456E8">
        <w:t>asted in Israel?</w:t>
      </w:r>
      <w:bookmarkEnd w:id="5"/>
      <w:bookmarkEnd w:id="6"/>
    </w:p>
    <w:p w14:paraId="3A0A700F" w14:textId="244A4B1B" w:rsidR="005D7029" w:rsidRPr="00B77962" w:rsidRDefault="007F3027" w:rsidP="007F4A23">
      <w:pPr>
        <w:pStyle w:val="BodyText"/>
        <w:rPr>
          <w:b/>
          <w:bCs/>
        </w:rPr>
      </w:pPr>
      <w:r w:rsidRPr="00B77962">
        <w:rPr>
          <w:u w:val="single"/>
        </w:rPr>
        <w:t>Bold chapter head</w:t>
      </w:r>
      <w:r w:rsidRPr="00EA134E">
        <w:t>:</w:t>
      </w:r>
      <w:r w:rsidRPr="003456E8">
        <w:t xml:space="preserve"> </w:t>
      </w:r>
      <w:r w:rsidR="007F4A23">
        <w:rPr>
          <w:b/>
          <w:bCs/>
          <w:highlight w:val="green"/>
        </w:rPr>
        <w:t>2.</w:t>
      </w:r>
      <w:r w:rsidR="00183A3E" w:rsidRPr="00183A3E">
        <w:rPr>
          <w:b/>
          <w:bCs/>
          <w:highlight w:val="green"/>
        </w:rPr>
        <w:t>5</w:t>
      </w:r>
      <w:r w:rsidR="003456E8" w:rsidRPr="00B77962">
        <w:rPr>
          <w:b/>
          <w:bCs/>
        </w:rPr>
        <w:t xml:space="preserve"> million tons of food </w:t>
      </w:r>
      <w:r w:rsidR="00183A3E">
        <w:rPr>
          <w:b/>
          <w:bCs/>
        </w:rPr>
        <w:t xml:space="preserve">is </w:t>
      </w:r>
      <w:r w:rsidR="003456E8" w:rsidRPr="00B77962">
        <w:rPr>
          <w:b/>
          <w:bCs/>
        </w:rPr>
        <w:t xml:space="preserve">wasted in Israel </w:t>
      </w:r>
      <w:r w:rsidR="00183A3E" w:rsidRPr="007F4A23">
        <w:rPr>
          <w:b/>
          <w:bCs/>
          <w:highlight w:val="cyan"/>
        </w:rPr>
        <w:t>annually</w:t>
      </w:r>
      <w:r w:rsidR="00183A3E">
        <w:rPr>
          <w:b/>
          <w:bCs/>
        </w:rPr>
        <w:t xml:space="preserve"> </w:t>
      </w:r>
    </w:p>
    <w:p w14:paraId="3D79BBA7" w14:textId="60269C0E" w:rsidR="00D71E3C" w:rsidRDefault="003456E8" w:rsidP="00CA64AF">
      <w:pPr>
        <w:pStyle w:val="BodyText"/>
      </w:pPr>
      <w:r w:rsidRPr="003456E8">
        <w:t xml:space="preserve">Food waste estimates in Israel are based on a unique model of the value chain </w:t>
      </w:r>
      <w:r w:rsidR="00B77962">
        <w:t>for</w:t>
      </w:r>
      <w:r w:rsidRPr="003456E8">
        <w:t xml:space="preserve"> domestic food production.</w:t>
      </w:r>
      <w:r w:rsidRPr="003456E8">
        <w:rPr>
          <w:vertAlign w:val="superscript"/>
        </w:rPr>
        <w:footnoteReference w:id="1"/>
      </w:r>
      <w:r w:rsidRPr="003456E8">
        <w:t xml:space="preserve"> Estimated at approximately </w:t>
      </w:r>
      <w:r w:rsidRPr="00183A3E">
        <w:rPr>
          <w:highlight w:val="green"/>
        </w:rPr>
        <w:t>2.</w:t>
      </w:r>
      <w:r w:rsidR="00183A3E" w:rsidRPr="00183A3E">
        <w:rPr>
          <w:highlight w:val="green"/>
        </w:rPr>
        <w:t>5</w:t>
      </w:r>
      <w:r w:rsidRPr="003456E8">
        <w:t xml:space="preserve"> million tons, food waste in Israel constitutes </w:t>
      </w:r>
      <w:r w:rsidRPr="00183A3E">
        <w:rPr>
          <w:highlight w:val="green"/>
        </w:rPr>
        <w:t>3</w:t>
      </w:r>
      <w:r w:rsidR="00183A3E" w:rsidRPr="00183A3E">
        <w:rPr>
          <w:highlight w:val="green"/>
        </w:rPr>
        <w:t>5</w:t>
      </w:r>
      <w:r w:rsidRPr="00183A3E">
        <w:rPr>
          <w:highlight w:val="green"/>
        </w:rPr>
        <w:t>%</w:t>
      </w:r>
      <w:r w:rsidRPr="003456E8">
        <w:t xml:space="preserve"> of overall domestic food production. </w:t>
      </w:r>
      <w:r w:rsidR="00AC724E" w:rsidRPr="00AC724E">
        <w:rPr>
          <w:highlight w:val="green"/>
        </w:rPr>
        <w:t xml:space="preserve">This year, </w:t>
      </w:r>
      <w:r w:rsidR="00D71E3C" w:rsidRPr="00AC724E">
        <w:rPr>
          <w:highlight w:val="green"/>
        </w:rPr>
        <w:t>Israeli agriculture</w:t>
      </w:r>
      <w:r w:rsidR="00AC724E" w:rsidRPr="00AC724E">
        <w:rPr>
          <w:highlight w:val="green"/>
        </w:rPr>
        <w:t xml:space="preserve"> </w:t>
      </w:r>
      <w:r w:rsidR="00D71E3C" w:rsidRPr="00AC724E">
        <w:rPr>
          <w:highlight w:val="green"/>
        </w:rPr>
        <w:t xml:space="preserve">recorded a </w:t>
      </w:r>
      <w:r w:rsidR="00AC724E" w:rsidRPr="00AC724E">
        <w:rPr>
          <w:highlight w:val="green"/>
        </w:rPr>
        <w:t>2.4% decrease</w:t>
      </w:r>
      <w:r w:rsidR="00D71E3C" w:rsidRPr="00AC724E">
        <w:rPr>
          <w:highlight w:val="green"/>
        </w:rPr>
        <w:t xml:space="preserve"> in production </w:t>
      </w:r>
      <w:r w:rsidR="009935A2">
        <w:rPr>
          <w:highlight w:val="green"/>
        </w:rPr>
        <w:t>compared</w:t>
      </w:r>
      <w:r w:rsidR="00AC724E" w:rsidRPr="00AC724E">
        <w:rPr>
          <w:highlight w:val="green"/>
        </w:rPr>
        <w:t xml:space="preserve"> to </w:t>
      </w:r>
      <w:r w:rsidR="00D71E3C" w:rsidRPr="00AC724E">
        <w:rPr>
          <w:highlight w:val="green"/>
        </w:rPr>
        <w:t>the previous year</w:t>
      </w:r>
      <w:r w:rsidR="009935A2">
        <w:rPr>
          <w:highlight w:val="green"/>
        </w:rPr>
        <w:t>,</w:t>
      </w:r>
      <w:r w:rsidR="00FD7754" w:rsidRPr="00AC724E">
        <w:rPr>
          <w:highlight w:val="green"/>
        </w:rPr>
        <w:t xml:space="preserve"> </w:t>
      </w:r>
      <w:r w:rsidR="00AC724E" w:rsidRPr="00AC724E">
        <w:rPr>
          <w:highlight w:val="green"/>
        </w:rPr>
        <w:t>when there was</w:t>
      </w:r>
      <w:r w:rsidR="009935A2">
        <w:rPr>
          <w:highlight w:val="green"/>
        </w:rPr>
        <w:t xml:space="preserve"> a</w:t>
      </w:r>
      <w:r w:rsidR="00AC724E" w:rsidRPr="00AC724E">
        <w:rPr>
          <w:highlight w:val="green"/>
        </w:rPr>
        <w:t xml:space="preserve"> 2.</w:t>
      </w:r>
      <w:r w:rsidR="00CA64AF">
        <w:rPr>
          <w:highlight w:val="green"/>
        </w:rPr>
        <w:t>3</w:t>
      </w:r>
      <w:r w:rsidR="00D71E3C" w:rsidRPr="00AC724E">
        <w:rPr>
          <w:highlight w:val="green"/>
        </w:rPr>
        <w:t xml:space="preserve">% </w:t>
      </w:r>
      <w:r w:rsidR="00AC724E" w:rsidRPr="00AC724E">
        <w:rPr>
          <w:highlight w:val="green"/>
        </w:rPr>
        <w:t>increase in production</w:t>
      </w:r>
      <w:r w:rsidR="00D71E3C" w:rsidRPr="00AC724E">
        <w:rPr>
          <w:highlight w:val="green"/>
        </w:rPr>
        <w:t>.</w:t>
      </w:r>
    </w:p>
    <w:p w14:paraId="0220C519" w14:textId="16F4156C" w:rsidR="003456E8" w:rsidRPr="003456E8" w:rsidRDefault="003456E8" w:rsidP="005077C9">
      <w:pPr>
        <w:pStyle w:val="BodyText"/>
      </w:pPr>
      <w:r w:rsidRPr="003456E8">
        <w:t xml:space="preserve">Findings of the </w:t>
      </w:r>
      <w:r w:rsidRPr="00046F4E">
        <w:rPr>
          <w:highlight w:val="cyan"/>
        </w:rPr>
        <w:t>201</w:t>
      </w:r>
      <w:r w:rsidR="00AC724E" w:rsidRPr="00046F4E">
        <w:rPr>
          <w:highlight w:val="cyan"/>
        </w:rPr>
        <w:t>8</w:t>
      </w:r>
      <w:r w:rsidRPr="003456E8">
        <w:t xml:space="preserve"> National Food Waste and Rescue Report indicate a</w:t>
      </w:r>
      <w:r w:rsidR="00AC724E">
        <w:t xml:space="preserve">n </w:t>
      </w:r>
      <w:r w:rsidR="00AC724E" w:rsidRPr="00046F4E">
        <w:rPr>
          <w:highlight w:val="cyan"/>
        </w:rPr>
        <w:t>increase</w:t>
      </w:r>
      <w:r w:rsidR="00AC724E">
        <w:t xml:space="preserve"> </w:t>
      </w:r>
      <w:r w:rsidR="00D71E3C" w:rsidRPr="003456E8">
        <w:t xml:space="preserve">in food waste, compared to the findings in the previous report. </w:t>
      </w:r>
      <w:r w:rsidR="00FD7754">
        <w:t>This was the</w:t>
      </w:r>
      <w:r w:rsidR="00AC724E">
        <w:t xml:space="preserve"> </w:t>
      </w:r>
      <w:r w:rsidR="00AC724E" w:rsidRPr="00046F4E">
        <w:rPr>
          <w:highlight w:val="cyan"/>
        </w:rPr>
        <w:t>combined</w:t>
      </w:r>
      <w:r w:rsidR="00FD7754" w:rsidRPr="00046F4E">
        <w:rPr>
          <w:highlight w:val="cyan"/>
        </w:rPr>
        <w:t xml:space="preserve"> </w:t>
      </w:r>
      <w:r w:rsidR="00D71E3C" w:rsidRPr="00046F4E">
        <w:rPr>
          <w:highlight w:val="cyan"/>
        </w:rPr>
        <w:t xml:space="preserve">result of </w:t>
      </w:r>
      <w:r w:rsidR="00AC724E" w:rsidRPr="00046F4E">
        <w:rPr>
          <w:highlight w:val="cyan"/>
        </w:rPr>
        <w:t>an increase in imports</w:t>
      </w:r>
      <w:r w:rsidR="00D71E3C" w:rsidRPr="00046F4E">
        <w:rPr>
          <w:highlight w:val="cyan"/>
        </w:rPr>
        <w:t xml:space="preserve">, </w:t>
      </w:r>
      <w:r w:rsidR="00FD1F95" w:rsidRPr="00046F4E">
        <w:rPr>
          <w:highlight w:val="cyan"/>
        </w:rPr>
        <w:t>partially</w:t>
      </w:r>
      <w:r w:rsidR="00C46FCE" w:rsidRPr="00046F4E">
        <w:rPr>
          <w:highlight w:val="cyan"/>
        </w:rPr>
        <w:t xml:space="preserve"> </w:t>
      </w:r>
      <w:r w:rsidR="00D71E3C" w:rsidRPr="00046F4E">
        <w:rPr>
          <w:highlight w:val="cyan"/>
        </w:rPr>
        <w:t xml:space="preserve">offset by </w:t>
      </w:r>
      <w:r w:rsidR="00FD1F95" w:rsidRPr="00046F4E">
        <w:rPr>
          <w:highlight w:val="cyan"/>
        </w:rPr>
        <w:t xml:space="preserve">the </w:t>
      </w:r>
      <w:r w:rsidR="00D71E3C" w:rsidRPr="00046F4E">
        <w:rPr>
          <w:highlight w:val="cyan"/>
        </w:rPr>
        <w:t xml:space="preserve">decrease </w:t>
      </w:r>
      <w:r w:rsidR="00FD1F95" w:rsidRPr="00046F4E">
        <w:rPr>
          <w:highlight w:val="cyan"/>
        </w:rPr>
        <w:t>in Israeli agricultural production, and updated data concerning food waste</w:t>
      </w:r>
      <w:r w:rsidR="005077C9">
        <w:rPr>
          <w:highlight w:val="cyan"/>
        </w:rPr>
        <w:t xml:space="preserve"> </w:t>
      </w:r>
      <w:r w:rsidR="00D71E3C" w:rsidRPr="00046F4E">
        <w:rPr>
          <w:highlight w:val="cyan"/>
        </w:rPr>
        <w:t xml:space="preserve">in the </w:t>
      </w:r>
      <w:r w:rsidR="00FD1F95" w:rsidRPr="00046F4E">
        <w:rPr>
          <w:highlight w:val="cyan"/>
        </w:rPr>
        <w:t>household sector</w:t>
      </w:r>
      <w:r w:rsidR="009935A2">
        <w:rPr>
          <w:highlight w:val="cyan"/>
        </w:rPr>
        <w:t>, which underwent</w:t>
      </w:r>
      <w:r w:rsidR="00FD1F95" w:rsidRPr="00046F4E">
        <w:rPr>
          <w:highlight w:val="cyan"/>
        </w:rPr>
        <w:t xml:space="preserve"> evaluat</w:t>
      </w:r>
      <w:r w:rsidR="009935A2">
        <w:rPr>
          <w:highlight w:val="cyan"/>
        </w:rPr>
        <w:t>ion</w:t>
      </w:r>
      <w:r w:rsidR="00FD1F95" w:rsidRPr="00046F4E">
        <w:rPr>
          <w:highlight w:val="cyan"/>
        </w:rPr>
        <w:t xml:space="preserve"> for the first time this year.</w:t>
      </w:r>
      <w:r w:rsidR="00AC724E">
        <w:t xml:space="preserve"> </w:t>
      </w:r>
    </w:p>
    <w:p w14:paraId="3E35F1E0" w14:textId="77777777" w:rsidR="00D71E3C" w:rsidRDefault="00D71E3C" w:rsidP="00B77962">
      <w:pPr>
        <w:pStyle w:val="Graphtitle"/>
      </w:pPr>
      <w:r>
        <w:t>Food Waste in Israel</w:t>
      </w:r>
    </w:p>
    <w:p w14:paraId="368CF525" w14:textId="77777777" w:rsidR="00D71E3C" w:rsidRPr="003456E8" w:rsidRDefault="003456E8" w:rsidP="00B77962">
      <w:pPr>
        <w:pStyle w:val="Graphtitle"/>
      </w:pPr>
      <w:r w:rsidRPr="003456E8">
        <w:t>Monthly Value (NIS) of Food Waste per Household in Israel</w:t>
      </w:r>
    </w:p>
    <w:tbl>
      <w:tblPr>
        <w:tblW w:w="9589"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CellMar>
          <w:left w:w="57" w:type="dxa"/>
          <w:right w:w="57" w:type="dxa"/>
        </w:tblCellMar>
        <w:tblLook w:val="04A0" w:firstRow="1" w:lastRow="0" w:firstColumn="1" w:lastColumn="0" w:noHBand="0" w:noVBand="1"/>
      </w:tblPr>
      <w:tblGrid>
        <w:gridCol w:w="1758"/>
        <w:gridCol w:w="1134"/>
        <w:gridCol w:w="1276"/>
        <w:gridCol w:w="851"/>
        <w:gridCol w:w="1134"/>
        <w:gridCol w:w="1343"/>
        <w:gridCol w:w="1305"/>
        <w:gridCol w:w="788"/>
      </w:tblGrid>
      <w:tr w:rsidR="00FD1F95" w:rsidRPr="003456E8" w14:paraId="3F2EB8A4" w14:textId="77777777" w:rsidTr="007F4A23">
        <w:trPr>
          <w:trHeight w:val="300"/>
        </w:trPr>
        <w:tc>
          <w:tcPr>
            <w:tcW w:w="1758" w:type="dxa"/>
            <w:tcBorders>
              <w:top w:val="single" w:sz="8" w:space="0" w:color="7BA0CD" w:themeColor="accent1" w:themeTint="BF"/>
              <w:bottom w:val="single" w:sz="6" w:space="0" w:color="7BA0CD" w:themeColor="accent1" w:themeTint="BF"/>
              <w:right w:val="single" w:sz="6" w:space="0" w:color="7BA0CD" w:themeColor="accent1" w:themeTint="BF"/>
            </w:tcBorders>
            <w:shd w:val="clear" w:color="auto" w:fill="548DD4" w:themeFill="text2" w:themeFillTint="99"/>
            <w:noWrap/>
            <w:vAlign w:val="center"/>
          </w:tcPr>
          <w:p w14:paraId="58A563F5" w14:textId="77777777" w:rsidR="00FD1F95" w:rsidRPr="00FD1F95" w:rsidRDefault="00FD1F95" w:rsidP="00B77962">
            <w:pPr>
              <w:pStyle w:val="Tableheader"/>
              <w:rPr>
                <w:b w:val="0"/>
                <w:bCs w:val="0"/>
                <w:sz w:val="20"/>
                <w:szCs w:val="20"/>
              </w:rPr>
            </w:pPr>
            <w:r w:rsidRPr="00FD1F95">
              <w:rPr>
                <w:b w:val="0"/>
                <w:bCs w:val="0"/>
                <w:sz w:val="20"/>
                <w:szCs w:val="20"/>
              </w:rPr>
              <w:t xml:space="preserve">Waste/household </w:t>
            </w:r>
            <w:r w:rsidRPr="00FD1F95">
              <w:rPr>
                <w:sz w:val="20"/>
                <w:szCs w:val="20"/>
              </w:rPr>
              <w:t>(monthly NIS)</w:t>
            </w:r>
          </w:p>
        </w:tc>
        <w:tc>
          <w:tcPr>
            <w:tcW w:w="1134" w:type="dxa"/>
            <w:tcBorders>
              <w:top w:val="single" w:sz="8"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548DD4" w:themeFill="text2" w:themeFillTint="99"/>
            <w:noWrap/>
            <w:vAlign w:val="center"/>
          </w:tcPr>
          <w:p w14:paraId="5BF88DD6" w14:textId="77777777" w:rsidR="00FD1F95" w:rsidRPr="00FD1F95" w:rsidRDefault="00FD1F95" w:rsidP="00B77962">
            <w:pPr>
              <w:pStyle w:val="Tableheader"/>
              <w:rPr>
                <w:b w:val="0"/>
                <w:bCs w:val="0"/>
                <w:sz w:val="20"/>
                <w:szCs w:val="20"/>
              </w:rPr>
            </w:pPr>
            <w:r w:rsidRPr="00FD1F95">
              <w:rPr>
                <w:b w:val="0"/>
                <w:bCs w:val="0"/>
                <w:sz w:val="20"/>
                <w:szCs w:val="20"/>
              </w:rPr>
              <w:t>Agriculture</w:t>
            </w:r>
          </w:p>
        </w:tc>
        <w:tc>
          <w:tcPr>
            <w:tcW w:w="1276" w:type="dxa"/>
            <w:tcBorders>
              <w:top w:val="single" w:sz="8"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548DD4" w:themeFill="text2" w:themeFillTint="99"/>
            <w:noWrap/>
            <w:vAlign w:val="center"/>
          </w:tcPr>
          <w:p w14:paraId="696630CB" w14:textId="77777777" w:rsidR="00FD1F95" w:rsidRPr="00FD1F95" w:rsidRDefault="00FD1F95" w:rsidP="00B77962">
            <w:pPr>
              <w:pStyle w:val="Tableheader"/>
              <w:rPr>
                <w:b w:val="0"/>
                <w:bCs w:val="0"/>
                <w:sz w:val="20"/>
                <w:szCs w:val="20"/>
              </w:rPr>
            </w:pPr>
            <w:r w:rsidRPr="00FD1F95">
              <w:rPr>
                <w:b w:val="0"/>
                <w:bCs w:val="0"/>
                <w:sz w:val="20"/>
                <w:szCs w:val="20"/>
              </w:rPr>
              <w:t>Processing &amp; Packaging</w:t>
            </w:r>
          </w:p>
        </w:tc>
        <w:tc>
          <w:tcPr>
            <w:tcW w:w="851" w:type="dxa"/>
            <w:tcBorders>
              <w:top w:val="single" w:sz="8"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548DD4" w:themeFill="text2" w:themeFillTint="99"/>
            <w:noWrap/>
            <w:vAlign w:val="center"/>
          </w:tcPr>
          <w:p w14:paraId="106AC4B9" w14:textId="77777777" w:rsidR="00FD1F95" w:rsidRPr="00FD1F95" w:rsidRDefault="00FD1F95" w:rsidP="00B77962">
            <w:pPr>
              <w:pStyle w:val="Tableheader"/>
              <w:rPr>
                <w:b w:val="0"/>
                <w:bCs w:val="0"/>
                <w:sz w:val="20"/>
                <w:szCs w:val="20"/>
              </w:rPr>
            </w:pPr>
            <w:r w:rsidRPr="00FD1F95">
              <w:rPr>
                <w:b w:val="0"/>
                <w:bCs w:val="0"/>
                <w:sz w:val="20"/>
                <w:szCs w:val="20"/>
              </w:rPr>
              <w:t>Industry</w:t>
            </w:r>
          </w:p>
        </w:tc>
        <w:tc>
          <w:tcPr>
            <w:tcW w:w="1134" w:type="dxa"/>
            <w:tcBorders>
              <w:top w:val="single" w:sz="8"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548DD4" w:themeFill="text2" w:themeFillTint="99"/>
            <w:noWrap/>
            <w:vAlign w:val="center"/>
          </w:tcPr>
          <w:p w14:paraId="6B09B30A" w14:textId="77777777" w:rsidR="00FD1F95" w:rsidRPr="00FD1F95" w:rsidRDefault="00FD1F95" w:rsidP="00B77962">
            <w:pPr>
              <w:pStyle w:val="Tableheader"/>
              <w:rPr>
                <w:b w:val="0"/>
                <w:bCs w:val="0"/>
                <w:sz w:val="20"/>
                <w:szCs w:val="20"/>
              </w:rPr>
            </w:pPr>
            <w:r w:rsidRPr="00FD1F95">
              <w:rPr>
                <w:b w:val="0"/>
                <w:bCs w:val="0"/>
                <w:sz w:val="20"/>
                <w:szCs w:val="20"/>
              </w:rPr>
              <w:t>Retail &amp; Distribution</w:t>
            </w:r>
          </w:p>
        </w:tc>
        <w:tc>
          <w:tcPr>
            <w:tcW w:w="1343" w:type="dxa"/>
            <w:tcBorders>
              <w:top w:val="single" w:sz="8"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548DD4" w:themeFill="text2" w:themeFillTint="99"/>
          </w:tcPr>
          <w:p w14:paraId="14C4B2A8" w14:textId="6A7D4F11" w:rsidR="00FD1F95" w:rsidRPr="00FD1F95" w:rsidRDefault="00FD1F95" w:rsidP="00B77962">
            <w:pPr>
              <w:pStyle w:val="Tableheader"/>
              <w:rPr>
                <w:b w:val="0"/>
                <w:bCs w:val="0"/>
                <w:sz w:val="20"/>
                <w:szCs w:val="20"/>
              </w:rPr>
            </w:pPr>
            <w:r w:rsidRPr="00FD1F95">
              <w:rPr>
                <w:b w:val="0"/>
                <w:bCs w:val="0"/>
                <w:sz w:val="20"/>
                <w:szCs w:val="20"/>
              </w:rPr>
              <w:t>Institution consumption</w:t>
            </w:r>
          </w:p>
        </w:tc>
        <w:tc>
          <w:tcPr>
            <w:tcW w:w="1305" w:type="dxa"/>
            <w:tcBorders>
              <w:top w:val="single" w:sz="8"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548DD4" w:themeFill="text2" w:themeFillTint="99"/>
            <w:noWrap/>
            <w:vAlign w:val="center"/>
          </w:tcPr>
          <w:p w14:paraId="6E266B8F" w14:textId="1F658511" w:rsidR="00FD1F95" w:rsidRPr="00FD1F95" w:rsidRDefault="00FD1F95" w:rsidP="00B77962">
            <w:pPr>
              <w:pStyle w:val="Tableheader"/>
              <w:rPr>
                <w:b w:val="0"/>
                <w:bCs w:val="0"/>
                <w:sz w:val="20"/>
                <w:szCs w:val="20"/>
              </w:rPr>
            </w:pPr>
            <w:r w:rsidRPr="00046F4E">
              <w:rPr>
                <w:b w:val="0"/>
                <w:bCs w:val="0"/>
                <w:sz w:val="20"/>
                <w:szCs w:val="20"/>
                <w:highlight w:val="cyan"/>
              </w:rPr>
              <w:t>Household consumption</w:t>
            </w:r>
          </w:p>
        </w:tc>
        <w:tc>
          <w:tcPr>
            <w:tcW w:w="788" w:type="dxa"/>
            <w:tcBorders>
              <w:top w:val="single" w:sz="8" w:space="0" w:color="7BA0CD" w:themeColor="accent1" w:themeTint="BF"/>
              <w:left w:val="single" w:sz="6" w:space="0" w:color="7BA0CD" w:themeColor="accent1" w:themeTint="BF"/>
              <w:bottom w:val="single" w:sz="6" w:space="0" w:color="7BA0CD" w:themeColor="accent1" w:themeTint="BF"/>
            </w:tcBorders>
            <w:shd w:val="clear" w:color="auto" w:fill="548DD4" w:themeFill="text2" w:themeFillTint="99"/>
            <w:noWrap/>
            <w:vAlign w:val="center"/>
          </w:tcPr>
          <w:p w14:paraId="52F94090" w14:textId="77777777" w:rsidR="00FD1F95" w:rsidRPr="00FD1F95" w:rsidRDefault="00FD1F95" w:rsidP="00B77962">
            <w:pPr>
              <w:pStyle w:val="Tableheader"/>
              <w:rPr>
                <w:b w:val="0"/>
                <w:bCs w:val="0"/>
                <w:sz w:val="20"/>
                <w:szCs w:val="20"/>
              </w:rPr>
            </w:pPr>
            <w:r w:rsidRPr="00FD1F95">
              <w:rPr>
                <w:b w:val="0"/>
                <w:bCs w:val="0"/>
                <w:sz w:val="20"/>
                <w:szCs w:val="20"/>
              </w:rPr>
              <w:t>Total</w:t>
            </w:r>
          </w:p>
        </w:tc>
      </w:tr>
      <w:tr w:rsidR="00FD1F95" w:rsidRPr="003456E8" w14:paraId="6D1FE14B" w14:textId="77777777" w:rsidTr="00FD1F95">
        <w:trPr>
          <w:trHeight w:val="300"/>
        </w:trPr>
        <w:tc>
          <w:tcPr>
            <w:tcW w:w="175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E6E4DBB" w14:textId="77777777" w:rsidR="00FD1F95" w:rsidRPr="00FD1F95" w:rsidRDefault="00FD1F95" w:rsidP="00B77962">
            <w:pPr>
              <w:pStyle w:val="tabletext"/>
              <w:rPr>
                <w:sz w:val="20"/>
                <w:szCs w:val="20"/>
              </w:rPr>
            </w:pPr>
            <w:r w:rsidRPr="00FD1F95">
              <w:rPr>
                <w:sz w:val="20"/>
                <w:szCs w:val="20"/>
              </w:rPr>
              <w:t>Fruit &amp; Vegetables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8A8FD30" w14:textId="3985FBB8" w:rsidR="00FD1F95" w:rsidRPr="00CA64AF" w:rsidRDefault="00FD1F95" w:rsidP="00FD1F95">
            <w:pPr>
              <w:jc w:val="center"/>
              <w:rPr>
                <w:rFonts w:cstheme="minorHAnsi"/>
                <w:sz w:val="20"/>
                <w:szCs w:val="20"/>
              </w:rPr>
            </w:pPr>
            <w:r w:rsidRPr="00CA64AF">
              <w:rPr>
                <w:rFonts w:cstheme="minorHAnsi"/>
                <w:sz w:val="20"/>
                <w:szCs w:val="20"/>
                <w:cs/>
              </w:rPr>
              <w:t>‎</w:t>
            </w:r>
            <w:r w:rsidRPr="00CA64AF">
              <w:rPr>
                <w:rFonts w:cstheme="minorHAnsi"/>
                <w:sz w:val="20"/>
                <w:szCs w:val="20"/>
              </w:rPr>
              <w:t>60</w:t>
            </w:r>
            <w:r w:rsidRPr="00CA64AF">
              <w:rPr>
                <w:rFonts w:cstheme="minorHAnsi"/>
                <w:sz w:val="20"/>
                <w:szCs w:val="20"/>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3605F6D3" w14:textId="504B922C" w:rsidR="00FD1F95" w:rsidRPr="00CA64AF" w:rsidRDefault="00FD1F95" w:rsidP="00FD1F95">
            <w:pPr>
              <w:jc w:val="center"/>
              <w:rPr>
                <w:rFonts w:cstheme="minorHAnsi"/>
                <w:sz w:val="20"/>
                <w:szCs w:val="20"/>
              </w:rPr>
            </w:pPr>
            <w:r w:rsidRPr="00CA64AF">
              <w:rPr>
                <w:rFonts w:cstheme="minorHAnsi"/>
                <w:sz w:val="20"/>
                <w:szCs w:val="20"/>
                <w:cs/>
              </w:rPr>
              <w:t>‎</w:t>
            </w:r>
            <w:r w:rsidRPr="00CA64AF">
              <w:rPr>
                <w:rFonts w:cstheme="minorHAnsi"/>
                <w:sz w:val="20"/>
                <w:szCs w:val="20"/>
              </w:rPr>
              <w:t>22</w:t>
            </w:r>
            <w:r w:rsidRPr="00CA64AF">
              <w:rPr>
                <w:rFonts w:cstheme="minorHAnsi"/>
                <w:sz w:val="20"/>
                <w:szCs w:val="20"/>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DDAD512" w14:textId="17560882" w:rsidR="00FD1F95" w:rsidRPr="00CA64AF" w:rsidRDefault="00FD1F95" w:rsidP="00FD1F95">
            <w:pPr>
              <w:jc w:val="center"/>
              <w:rPr>
                <w:rFonts w:cstheme="minorHAnsi"/>
                <w:sz w:val="20"/>
                <w:szCs w:val="20"/>
              </w:rPr>
            </w:pPr>
            <w:r w:rsidRPr="00CA64AF">
              <w:rPr>
                <w:rFonts w:cstheme="minorHAnsi"/>
                <w:sz w:val="20"/>
                <w:szCs w:val="20"/>
                <w:cs/>
              </w:rPr>
              <w:t>‎</w:t>
            </w:r>
            <w:r w:rsidRPr="00CA64AF">
              <w:rPr>
                <w:rFonts w:cstheme="minorHAnsi"/>
                <w:sz w:val="20"/>
                <w:szCs w:val="20"/>
              </w:rPr>
              <w:t>2</w:t>
            </w:r>
            <w:r w:rsidRPr="00CA64AF">
              <w:rPr>
                <w:rFonts w:cstheme="minorHAnsi"/>
                <w:sz w:val="20"/>
                <w:szCs w:val="20"/>
                <w:cs/>
              </w:rPr>
              <w:t>‎</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F2CD3E6" w14:textId="0EAD2033" w:rsidR="00FD1F95" w:rsidRPr="00CA64AF" w:rsidRDefault="00FD1F95" w:rsidP="00FD1F95">
            <w:pPr>
              <w:jc w:val="center"/>
              <w:rPr>
                <w:rFonts w:cstheme="minorHAnsi"/>
                <w:sz w:val="20"/>
                <w:szCs w:val="20"/>
              </w:rPr>
            </w:pPr>
            <w:r w:rsidRPr="00CA64AF">
              <w:rPr>
                <w:rFonts w:cstheme="minorHAnsi"/>
                <w:sz w:val="20"/>
                <w:szCs w:val="20"/>
                <w:cs/>
              </w:rPr>
              <w:t>‎</w:t>
            </w:r>
            <w:r w:rsidRPr="00CA64AF">
              <w:rPr>
                <w:rFonts w:cstheme="minorHAnsi"/>
                <w:sz w:val="20"/>
                <w:szCs w:val="20"/>
              </w:rPr>
              <w:t>70</w:t>
            </w:r>
            <w:r w:rsidRPr="00CA64AF">
              <w:rPr>
                <w:rFonts w:cstheme="minorHAnsi"/>
                <w:sz w:val="20"/>
                <w:szCs w:val="20"/>
                <w:cs/>
              </w:rPr>
              <w:t>‎</w:t>
            </w:r>
          </w:p>
        </w:tc>
        <w:tc>
          <w:tcPr>
            <w:tcW w:w="1343"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tcPr>
          <w:p w14:paraId="6BD9C4F0" w14:textId="2BB09D69" w:rsidR="00FD1F95" w:rsidRPr="00CA64AF" w:rsidRDefault="00FD1F95" w:rsidP="00FD1F95">
            <w:pPr>
              <w:jc w:val="center"/>
              <w:rPr>
                <w:rFonts w:cstheme="minorHAnsi"/>
                <w:sz w:val="20"/>
                <w:szCs w:val="20"/>
                <w:rtl/>
              </w:rPr>
            </w:pPr>
            <w:r w:rsidRPr="00CA64AF">
              <w:rPr>
                <w:rFonts w:cstheme="minorHAnsi"/>
                <w:sz w:val="20"/>
                <w:szCs w:val="20"/>
                <w:rtl/>
              </w:rPr>
              <w:t>‏44‏</w:t>
            </w:r>
          </w:p>
        </w:tc>
        <w:tc>
          <w:tcPr>
            <w:tcW w:w="1305"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5CA1FE2" w14:textId="31938DFA" w:rsidR="00FD1F95" w:rsidRPr="00CA64AF" w:rsidRDefault="00FD1F95" w:rsidP="00FD1F95">
            <w:pPr>
              <w:jc w:val="center"/>
              <w:rPr>
                <w:rFonts w:cstheme="minorHAnsi"/>
                <w:sz w:val="20"/>
                <w:szCs w:val="20"/>
              </w:rPr>
            </w:pPr>
            <w:r w:rsidRPr="00CA64AF">
              <w:rPr>
                <w:rFonts w:cstheme="minorHAnsi"/>
                <w:sz w:val="20"/>
                <w:szCs w:val="20"/>
                <w:cs/>
              </w:rPr>
              <w:t>‎</w:t>
            </w:r>
            <w:r w:rsidRPr="00CA64AF">
              <w:rPr>
                <w:rFonts w:cstheme="minorHAnsi"/>
                <w:sz w:val="20"/>
                <w:szCs w:val="20"/>
              </w:rPr>
              <w:t>120</w:t>
            </w:r>
            <w:r w:rsidRPr="00CA64AF">
              <w:rPr>
                <w:rFonts w:cstheme="minorHAnsi"/>
                <w:sz w:val="20"/>
                <w:szCs w:val="20"/>
                <w:cs/>
              </w:rPr>
              <w:t>‎</w:t>
            </w:r>
          </w:p>
        </w:tc>
        <w:tc>
          <w:tcPr>
            <w:tcW w:w="788"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635E85B" w14:textId="3BA4BFC9" w:rsidR="00FD1F95" w:rsidRPr="00CA64AF" w:rsidRDefault="00FD1F95" w:rsidP="00FD1F95">
            <w:pPr>
              <w:jc w:val="center"/>
              <w:rPr>
                <w:rFonts w:cstheme="minorHAnsi"/>
                <w:sz w:val="20"/>
                <w:szCs w:val="20"/>
              </w:rPr>
            </w:pPr>
            <w:r w:rsidRPr="00CA64AF">
              <w:rPr>
                <w:cs/>
              </w:rPr>
              <w:t>‎</w:t>
            </w:r>
            <w:r w:rsidRPr="00CA64AF">
              <w:t>318</w:t>
            </w:r>
            <w:r w:rsidRPr="00CA64AF">
              <w:rPr>
                <w:cs/>
              </w:rPr>
              <w:t>‎</w:t>
            </w:r>
          </w:p>
        </w:tc>
      </w:tr>
      <w:tr w:rsidR="00FD1F95" w:rsidRPr="003456E8" w14:paraId="0020E197" w14:textId="77777777" w:rsidTr="00FD1F95">
        <w:trPr>
          <w:trHeight w:val="300"/>
        </w:trPr>
        <w:tc>
          <w:tcPr>
            <w:tcW w:w="175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B12EC35" w14:textId="77777777" w:rsidR="00FD1F95" w:rsidRPr="00FD1F95" w:rsidRDefault="00FD1F95" w:rsidP="00B77962">
            <w:pPr>
              <w:pStyle w:val="tabletext"/>
              <w:rPr>
                <w:sz w:val="20"/>
                <w:szCs w:val="20"/>
              </w:rPr>
            </w:pPr>
            <w:r w:rsidRPr="00FD1F95">
              <w:rPr>
                <w:sz w:val="20"/>
                <w:szCs w:val="20"/>
              </w:rPr>
              <w:t>Grains &amp; Legumes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FFCB819" w14:textId="633209DF" w:rsidR="00FD1F95" w:rsidRPr="00CA64AF" w:rsidRDefault="00FD1F95" w:rsidP="00FD1F95">
            <w:pPr>
              <w:pStyle w:val="Tablenumbers"/>
              <w:jc w:val="center"/>
              <w:rPr>
                <w:sz w:val="20"/>
                <w:szCs w:val="20"/>
              </w:rPr>
            </w:pPr>
            <w:r w:rsidRPr="00CA64AF">
              <w:rPr>
                <w:sz w:val="20"/>
                <w:szCs w:val="20"/>
                <w:cs/>
              </w:rPr>
              <w:t>‎</w:t>
            </w:r>
            <w:r w:rsidRPr="00CA64AF">
              <w:rPr>
                <w:sz w:val="20"/>
                <w:szCs w:val="20"/>
              </w:rPr>
              <w:t>2</w:t>
            </w:r>
            <w:r w:rsidRPr="00CA64AF">
              <w:rPr>
                <w:sz w:val="20"/>
                <w:szCs w:val="20"/>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3D2F60E3" w14:textId="647DB0CB" w:rsidR="00FD1F95" w:rsidRPr="00CA64AF" w:rsidRDefault="00FD1F95" w:rsidP="00FD1F95">
            <w:pPr>
              <w:pStyle w:val="Tablenumbers"/>
              <w:jc w:val="center"/>
              <w:rPr>
                <w:sz w:val="20"/>
                <w:szCs w:val="20"/>
              </w:rPr>
            </w:pPr>
            <w:r w:rsidRPr="00CA64AF">
              <w:rPr>
                <w:sz w:val="20"/>
                <w:szCs w:val="20"/>
                <w:cs/>
              </w:rPr>
              <w:t>‎</w:t>
            </w:r>
            <w:r w:rsidRPr="00CA64AF">
              <w:rPr>
                <w:sz w:val="20"/>
                <w:szCs w:val="20"/>
              </w:rPr>
              <w:t>1</w:t>
            </w:r>
            <w:r w:rsidRPr="00CA64AF">
              <w:rPr>
                <w:sz w:val="20"/>
                <w:szCs w:val="20"/>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5DA4BB15" w14:textId="6C5E979F" w:rsidR="00FD1F95" w:rsidRPr="00CA64AF" w:rsidRDefault="00FD1F95" w:rsidP="00FD1F95">
            <w:pPr>
              <w:pStyle w:val="Tablenumbers"/>
              <w:jc w:val="center"/>
              <w:rPr>
                <w:sz w:val="20"/>
                <w:szCs w:val="20"/>
              </w:rPr>
            </w:pPr>
            <w:r w:rsidRPr="00CA64AF">
              <w:rPr>
                <w:sz w:val="20"/>
                <w:szCs w:val="20"/>
                <w:rtl/>
              </w:rPr>
              <w:t>‏2‏</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13A9ED92" w14:textId="00DB2B8E" w:rsidR="00FD1F95" w:rsidRPr="00CA64AF" w:rsidRDefault="00FD1F95" w:rsidP="00FD1F95">
            <w:pPr>
              <w:pStyle w:val="Tablenumbers"/>
              <w:jc w:val="center"/>
              <w:rPr>
                <w:sz w:val="20"/>
                <w:szCs w:val="20"/>
              </w:rPr>
            </w:pPr>
            <w:r w:rsidRPr="00CA64AF">
              <w:rPr>
                <w:sz w:val="20"/>
                <w:szCs w:val="20"/>
                <w:cs/>
              </w:rPr>
              <w:t>‎</w:t>
            </w:r>
            <w:r w:rsidRPr="00CA64AF">
              <w:rPr>
                <w:sz w:val="20"/>
                <w:szCs w:val="20"/>
              </w:rPr>
              <w:t>21</w:t>
            </w:r>
            <w:r w:rsidRPr="00CA64AF">
              <w:rPr>
                <w:sz w:val="20"/>
                <w:szCs w:val="20"/>
                <w:cs/>
              </w:rPr>
              <w:t>‎</w:t>
            </w:r>
          </w:p>
        </w:tc>
        <w:tc>
          <w:tcPr>
            <w:tcW w:w="1343"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tcPr>
          <w:p w14:paraId="6E9D9FC0" w14:textId="04BA7894" w:rsidR="00FD1F95" w:rsidRPr="00CA64AF" w:rsidRDefault="00FD1F95" w:rsidP="00FD1F95">
            <w:pPr>
              <w:pStyle w:val="Tablenumbers"/>
              <w:jc w:val="center"/>
              <w:rPr>
                <w:sz w:val="20"/>
                <w:szCs w:val="20"/>
                <w:rtl/>
              </w:rPr>
            </w:pPr>
            <w:r w:rsidRPr="00CA64AF">
              <w:rPr>
                <w:sz w:val="20"/>
                <w:szCs w:val="20"/>
                <w:rtl/>
              </w:rPr>
              <w:t>‏44‏</w:t>
            </w:r>
          </w:p>
        </w:tc>
        <w:tc>
          <w:tcPr>
            <w:tcW w:w="1305"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90BC4D0" w14:textId="00B0878F" w:rsidR="00FD1F95" w:rsidRPr="00CA64AF" w:rsidRDefault="00FD1F95" w:rsidP="00FD1F95">
            <w:pPr>
              <w:pStyle w:val="Tablenumbers"/>
              <w:jc w:val="center"/>
              <w:rPr>
                <w:sz w:val="20"/>
                <w:szCs w:val="20"/>
              </w:rPr>
            </w:pPr>
            <w:r w:rsidRPr="00CA64AF">
              <w:rPr>
                <w:sz w:val="20"/>
                <w:szCs w:val="20"/>
                <w:cs/>
              </w:rPr>
              <w:t>‎</w:t>
            </w:r>
            <w:r w:rsidRPr="00CA64AF">
              <w:rPr>
                <w:sz w:val="20"/>
                <w:szCs w:val="20"/>
              </w:rPr>
              <w:t>84</w:t>
            </w:r>
            <w:r w:rsidRPr="00CA64AF">
              <w:rPr>
                <w:sz w:val="20"/>
                <w:szCs w:val="20"/>
                <w:cs/>
              </w:rPr>
              <w:t>‎</w:t>
            </w:r>
          </w:p>
        </w:tc>
        <w:tc>
          <w:tcPr>
            <w:tcW w:w="788"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38A6A67" w14:textId="3A5E47B4" w:rsidR="00FD1F95" w:rsidRPr="00CA64AF" w:rsidRDefault="00FD1F95" w:rsidP="00FD1F95">
            <w:pPr>
              <w:pStyle w:val="Tablenumbers"/>
              <w:jc w:val="center"/>
              <w:rPr>
                <w:sz w:val="20"/>
                <w:szCs w:val="20"/>
              </w:rPr>
            </w:pPr>
            <w:r w:rsidRPr="00CA64AF">
              <w:rPr>
                <w:cs/>
              </w:rPr>
              <w:t>‎</w:t>
            </w:r>
            <w:r w:rsidRPr="00CA64AF">
              <w:t>153</w:t>
            </w:r>
            <w:r w:rsidRPr="00CA64AF">
              <w:rPr>
                <w:cs/>
              </w:rPr>
              <w:t>‎</w:t>
            </w:r>
          </w:p>
        </w:tc>
      </w:tr>
      <w:tr w:rsidR="00FD1F95" w:rsidRPr="003456E8" w14:paraId="43F6DC89" w14:textId="77777777" w:rsidTr="00FD1F95">
        <w:trPr>
          <w:trHeight w:val="300"/>
        </w:trPr>
        <w:tc>
          <w:tcPr>
            <w:tcW w:w="175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087B0E1D" w14:textId="77777777" w:rsidR="00FD1F95" w:rsidRPr="00FD1F95" w:rsidRDefault="00FD1F95" w:rsidP="00B77962">
            <w:pPr>
              <w:pStyle w:val="tabletext"/>
              <w:rPr>
                <w:sz w:val="20"/>
                <w:szCs w:val="20"/>
              </w:rPr>
            </w:pPr>
            <w:r w:rsidRPr="00FD1F95">
              <w:rPr>
                <w:sz w:val="20"/>
                <w:szCs w:val="20"/>
              </w:rPr>
              <w:t>Meat, Fish &amp; Eggs</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3D9211C" w14:textId="2E44EAEB" w:rsidR="00FD1F95" w:rsidRPr="00CA64AF" w:rsidRDefault="00FD1F95" w:rsidP="00FD1F95">
            <w:pPr>
              <w:pStyle w:val="Tablenumbers"/>
              <w:jc w:val="center"/>
              <w:rPr>
                <w:sz w:val="20"/>
                <w:szCs w:val="20"/>
              </w:rPr>
            </w:pPr>
            <w:r w:rsidRPr="00CA64AF">
              <w:rPr>
                <w:sz w:val="20"/>
                <w:szCs w:val="20"/>
                <w:cs/>
              </w:rPr>
              <w:t>‎</w:t>
            </w:r>
            <w:r w:rsidRPr="00CA64AF">
              <w:rPr>
                <w:sz w:val="20"/>
                <w:szCs w:val="20"/>
              </w:rPr>
              <w:t>10</w:t>
            </w:r>
            <w:r w:rsidRPr="00CA64AF">
              <w:rPr>
                <w:sz w:val="20"/>
                <w:szCs w:val="20"/>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BD82EB0" w14:textId="657F37DC" w:rsidR="00FD1F95" w:rsidRPr="00CA64AF" w:rsidRDefault="00FD1F95" w:rsidP="00FD1F95">
            <w:pPr>
              <w:pStyle w:val="Tablenumbers"/>
              <w:jc w:val="center"/>
              <w:rPr>
                <w:sz w:val="20"/>
                <w:szCs w:val="20"/>
              </w:rPr>
            </w:pPr>
            <w:r w:rsidRPr="00CA64AF">
              <w:rPr>
                <w:sz w:val="20"/>
                <w:szCs w:val="20"/>
                <w:cs/>
              </w:rPr>
              <w:t>‎</w:t>
            </w:r>
            <w:r w:rsidRPr="00CA64AF">
              <w:rPr>
                <w:sz w:val="20"/>
                <w:szCs w:val="20"/>
              </w:rPr>
              <w:t>2</w:t>
            </w:r>
            <w:r w:rsidRPr="00CA64AF">
              <w:rPr>
                <w:sz w:val="20"/>
                <w:szCs w:val="20"/>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5F840CD9" w14:textId="7242ED9B" w:rsidR="00FD1F95" w:rsidRPr="00CA64AF" w:rsidRDefault="00FD1F95" w:rsidP="00FD1F95">
            <w:pPr>
              <w:pStyle w:val="Tablenumbers"/>
              <w:jc w:val="center"/>
              <w:rPr>
                <w:sz w:val="20"/>
                <w:szCs w:val="20"/>
              </w:rPr>
            </w:pPr>
            <w:r w:rsidRPr="00CA64AF">
              <w:rPr>
                <w:sz w:val="20"/>
                <w:szCs w:val="20"/>
                <w:cs/>
              </w:rPr>
              <w:t>‎</w:t>
            </w:r>
            <w:r w:rsidRPr="00CA64AF">
              <w:rPr>
                <w:sz w:val="20"/>
                <w:szCs w:val="20"/>
              </w:rPr>
              <w:t>13</w:t>
            </w:r>
            <w:r w:rsidRPr="00CA64AF">
              <w:rPr>
                <w:sz w:val="20"/>
                <w:szCs w:val="20"/>
                <w:cs/>
              </w:rPr>
              <w:t>‎</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7EDC4DC" w14:textId="48D26CB3" w:rsidR="00FD1F95" w:rsidRPr="00CA64AF" w:rsidRDefault="00FD1F95" w:rsidP="00FD1F95">
            <w:pPr>
              <w:pStyle w:val="Tablenumbers"/>
              <w:jc w:val="center"/>
              <w:rPr>
                <w:sz w:val="20"/>
                <w:szCs w:val="20"/>
              </w:rPr>
            </w:pPr>
            <w:r w:rsidRPr="00CA64AF">
              <w:rPr>
                <w:sz w:val="20"/>
                <w:szCs w:val="20"/>
                <w:cs/>
              </w:rPr>
              <w:t>‎</w:t>
            </w:r>
            <w:r w:rsidRPr="00CA64AF">
              <w:rPr>
                <w:sz w:val="20"/>
                <w:szCs w:val="20"/>
              </w:rPr>
              <w:t>47</w:t>
            </w:r>
            <w:r w:rsidRPr="00CA64AF">
              <w:rPr>
                <w:sz w:val="20"/>
                <w:szCs w:val="20"/>
                <w:cs/>
              </w:rPr>
              <w:t>‎</w:t>
            </w:r>
          </w:p>
        </w:tc>
        <w:tc>
          <w:tcPr>
            <w:tcW w:w="1343"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tcPr>
          <w:p w14:paraId="033FC728" w14:textId="0F4D187F" w:rsidR="00FD1F95" w:rsidRPr="00CA64AF" w:rsidRDefault="00FD1F95" w:rsidP="00FD1F95">
            <w:pPr>
              <w:pStyle w:val="Tablenumbers"/>
              <w:jc w:val="center"/>
              <w:rPr>
                <w:sz w:val="20"/>
                <w:szCs w:val="20"/>
                <w:rtl/>
              </w:rPr>
            </w:pPr>
            <w:r w:rsidRPr="00CA64AF">
              <w:rPr>
                <w:sz w:val="20"/>
                <w:szCs w:val="20"/>
                <w:rtl/>
              </w:rPr>
              <w:t>‏36‏</w:t>
            </w:r>
          </w:p>
        </w:tc>
        <w:tc>
          <w:tcPr>
            <w:tcW w:w="1305"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7A61892" w14:textId="1BB185AD" w:rsidR="00FD1F95" w:rsidRPr="00CA64AF" w:rsidRDefault="00FD1F95" w:rsidP="00FD1F95">
            <w:pPr>
              <w:pStyle w:val="Tablenumbers"/>
              <w:jc w:val="center"/>
              <w:rPr>
                <w:sz w:val="20"/>
                <w:szCs w:val="20"/>
              </w:rPr>
            </w:pPr>
            <w:r w:rsidRPr="00CA64AF">
              <w:rPr>
                <w:sz w:val="20"/>
                <w:szCs w:val="20"/>
                <w:cs/>
              </w:rPr>
              <w:t>‎</w:t>
            </w:r>
            <w:r w:rsidRPr="00CA64AF">
              <w:rPr>
                <w:sz w:val="20"/>
                <w:szCs w:val="20"/>
              </w:rPr>
              <w:t>42</w:t>
            </w:r>
            <w:r w:rsidRPr="00CA64AF">
              <w:rPr>
                <w:sz w:val="20"/>
                <w:szCs w:val="20"/>
                <w:cs/>
              </w:rPr>
              <w:t>‎</w:t>
            </w:r>
          </w:p>
        </w:tc>
        <w:tc>
          <w:tcPr>
            <w:tcW w:w="788"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2A095B0D" w14:textId="4DF19B62" w:rsidR="00FD1F95" w:rsidRPr="00CA64AF" w:rsidRDefault="00FD1F95" w:rsidP="00FD1F95">
            <w:pPr>
              <w:pStyle w:val="Tablenumbers"/>
              <w:jc w:val="center"/>
              <w:rPr>
                <w:sz w:val="20"/>
                <w:szCs w:val="20"/>
              </w:rPr>
            </w:pPr>
            <w:r w:rsidRPr="00CA64AF">
              <w:rPr>
                <w:cs/>
              </w:rPr>
              <w:t>‎</w:t>
            </w:r>
            <w:r w:rsidRPr="00CA64AF">
              <w:t>147</w:t>
            </w:r>
            <w:r w:rsidRPr="00CA64AF">
              <w:rPr>
                <w:cs/>
              </w:rPr>
              <w:t>‎</w:t>
            </w:r>
          </w:p>
        </w:tc>
      </w:tr>
      <w:tr w:rsidR="00FD1F95" w:rsidRPr="003456E8" w14:paraId="7666F50F" w14:textId="77777777" w:rsidTr="00FD1F95">
        <w:trPr>
          <w:trHeight w:val="300"/>
        </w:trPr>
        <w:tc>
          <w:tcPr>
            <w:tcW w:w="1758" w:type="dxa"/>
            <w:tcBorders>
              <w:top w:val="single" w:sz="6" w:space="0" w:color="7BA0CD" w:themeColor="accent1" w:themeTint="BF"/>
              <w:bottom w:val="single" w:sz="6" w:space="0" w:color="7BA0CD" w:themeColor="accent1" w:themeTint="BF"/>
              <w:right w:val="single" w:sz="6" w:space="0" w:color="7BA0CD" w:themeColor="accent1" w:themeTint="BF"/>
            </w:tcBorders>
            <w:noWrap/>
            <w:vAlign w:val="center"/>
          </w:tcPr>
          <w:p w14:paraId="7077534D" w14:textId="77777777" w:rsidR="00FD1F95" w:rsidRPr="00FD1F95" w:rsidRDefault="00FD1F95" w:rsidP="00B77962">
            <w:pPr>
              <w:pStyle w:val="tabletext"/>
              <w:rPr>
                <w:sz w:val="20"/>
                <w:szCs w:val="20"/>
              </w:rPr>
            </w:pPr>
            <w:r w:rsidRPr="00FD1F95">
              <w:rPr>
                <w:sz w:val="20"/>
                <w:szCs w:val="20"/>
              </w:rPr>
              <w:t>Milk &amp; Dairy</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2CC3A184" w14:textId="0FE9493B" w:rsidR="00FD1F95" w:rsidRPr="00CA64AF" w:rsidRDefault="00FD1F95" w:rsidP="00FD1F95">
            <w:pPr>
              <w:pStyle w:val="Tablenumbers"/>
              <w:jc w:val="center"/>
              <w:rPr>
                <w:sz w:val="20"/>
                <w:szCs w:val="20"/>
              </w:rPr>
            </w:pPr>
            <w:r w:rsidRPr="00CA64AF">
              <w:rPr>
                <w:sz w:val="20"/>
                <w:szCs w:val="20"/>
                <w:cs/>
              </w:rPr>
              <w:t>‎</w:t>
            </w:r>
            <w:r w:rsidRPr="00CA64AF">
              <w:rPr>
                <w:sz w:val="20"/>
                <w:szCs w:val="20"/>
              </w:rPr>
              <w:t>4</w:t>
            </w:r>
            <w:r w:rsidRPr="00CA64AF">
              <w:rPr>
                <w:sz w:val="20"/>
                <w:szCs w:val="20"/>
                <w:cs/>
              </w:rPr>
              <w:t>‎</w:t>
            </w:r>
          </w:p>
        </w:tc>
        <w:tc>
          <w:tcPr>
            <w:tcW w:w="1276"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8181832" w14:textId="53495DEE" w:rsidR="00FD1F95" w:rsidRPr="00CA64AF" w:rsidRDefault="00FD1F95" w:rsidP="00FD1F95">
            <w:pPr>
              <w:pStyle w:val="Tablenumbers"/>
              <w:jc w:val="center"/>
              <w:rPr>
                <w:sz w:val="20"/>
                <w:szCs w:val="20"/>
              </w:rPr>
            </w:pPr>
            <w:r w:rsidRPr="00CA64AF">
              <w:rPr>
                <w:sz w:val="20"/>
                <w:szCs w:val="20"/>
                <w:cs/>
              </w:rPr>
              <w:t>‎</w:t>
            </w:r>
            <w:r w:rsidRPr="00CA64AF">
              <w:rPr>
                <w:sz w:val="20"/>
                <w:szCs w:val="20"/>
              </w:rPr>
              <w:t>1</w:t>
            </w:r>
            <w:r w:rsidRPr="00CA64AF">
              <w:rPr>
                <w:sz w:val="20"/>
                <w:szCs w:val="20"/>
                <w:cs/>
              </w:rPr>
              <w:t>‎</w:t>
            </w:r>
          </w:p>
        </w:tc>
        <w:tc>
          <w:tcPr>
            <w:tcW w:w="851"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F652ECC" w14:textId="214E2C3E" w:rsidR="00FD1F95" w:rsidRPr="00CA64AF" w:rsidRDefault="00FD1F95" w:rsidP="00FD1F95">
            <w:pPr>
              <w:pStyle w:val="Tablenumbers"/>
              <w:jc w:val="center"/>
              <w:rPr>
                <w:sz w:val="20"/>
                <w:szCs w:val="20"/>
              </w:rPr>
            </w:pPr>
            <w:r w:rsidRPr="00CA64AF">
              <w:rPr>
                <w:sz w:val="20"/>
                <w:szCs w:val="20"/>
                <w:cs/>
              </w:rPr>
              <w:t>‎</w:t>
            </w:r>
            <w:r w:rsidRPr="00CA64AF">
              <w:rPr>
                <w:sz w:val="20"/>
                <w:szCs w:val="20"/>
              </w:rPr>
              <w:t>1</w:t>
            </w:r>
            <w:r w:rsidRPr="00CA64AF">
              <w:rPr>
                <w:sz w:val="20"/>
                <w:szCs w:val="20"/>
                <w:cs/>
              </w:rPr>
              <w:t>‎</w:t>
            </w:r>
          </w:p>
        </w:tc>
        <w:tc>
          <w:tcPr>
            <w:tcW w:w="1134"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67C132E1" w14:textId="66A34348" w:rsidR="00FD1F95" w:rsidRPr="00CA64AF" w:rsidRDefault="00FD1F95" w:rsidP="00FD1F95">
            <w:pPr>
              <w:pStyle w:val="Tablenumbers"/>
              <w:jc w:val="center"/>
              <w:rPr>
                <w:sz w:val="20"/>
                <w:szCs w:val="20"/>
              </w:rPr>
            </w:pPr>
            <w:r w:rsidRPr="00CA64AF">
              <w:rPr>
                <w:sz w:val="20"/>
                <w:szCs w:val="20"/>
                <w:cs/>
              </w:rPr>
              <w:t>‎</w:t>
            </w:r>
            <w:r w:rsidRPr="00CA64AF">
              <w:rPr>
                <w:sz w:val="20"/>
                <w:szCs w:val="20"/>
              </w:rPr>
              <w:t>5</w:t>
            </w:r>
            <w:r w:rsidRPr="00CA64AF">
              <w:rPr>
                <w:sz w:val="20"/>
                <w:szCs w:val="20"/>
                <w:cs/>
              </w:rPr>
              <w:t>‎</w:t>
            </w:r>
          </w:p>
        </w:tc>
        <w:tc>
          <w:tcPr>
            <w:tcW w:w="1343"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tcPr>
          <w:p w14:paraId="52EEAB26" w14:textId="0461EC0B" w:rsidR="00FD1F95" w:rsidRPr="00CA64AF" w:rsidRDefault="00FD1F95" w:rsidP="00FD1F95">
            <w:pPr>
              <w:pStyle w:val="Tablenumbers"/>
              <w:jc w:val="center"/>
              <w:rPr>
                <w:sz w:val="20"/>
                <w:szCs w:val="20"/>
                <w:rtl/>
              </w:rPr>
            </w:pPr>
            <w:r w:rsidRPr="00CA64AF">
              <w:rPr>
                <w:sz w:val="20"/>
                <w:szCs w:val="20"/>
                <w:rtl/>
              </w:rPr>
              <w:t>‏6‏</w:t>
            </w:r>
          </w:p>
        </w:tc>
        <w:tc>
          <w:tcPr>
            <w:tcW w:w="1305"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noWrap/>
          </w:tcPr>
          <w:p w14:paraId="79C9DBCB" w14:textId="3BA927F1" w:rsidR="00FD1F95" w:rsidRPr="00CA64AF" w:rsidRDefault="00FD1F95" w:rsidP="00FD1F95">
            <w:pPr>
              <w:pStyle w:val="Tablenumbers"/>
              <w:jc w:val="center"/>
              <w:rPr>
                <w:sz w:val="20"/>
                <w:szCs w:val="20"/>
              </w:rPr>
            </w:pPr>
            <w:r w:rsidRPr="00CA64AF">
              <w:rPr>
                <w:sz w:val="20"/>
                <w:szCs w:val="20"/>
                <w:cs/>
              </w:rPr>
              <w:t>‎</w:t>
            </w:r>
            <w:r w:rsidRPr="00CA64AF">
              <w:rPr>
                <w:sz w:val="20"/>
                <w:szCs w:val="20"/>
              </w:rPr>
              <w:t>21</w:t>
            </w:r>
            <w:r w:rsidRPr="00CA64AF">
              <w:rPr>
                <w:sz w:val="20"/>
                <w:szCs w:val="20"/>
                <w:cs/>
              </w:rPr>
              <w:t>‎</w:t>
            </w:r>
          </w:p>
        </w:tc>
        <w:tc>
          <w:tcPr>
            <w:tcW w:w="788" w:type="dxa"/>
            <w:tcBorders>
              <w:top w:val="single" w:sz="6" w:space="0" w:color="7BA0CD" w:themeColor="accent1" w:themeTint="BF"/>
              <w:left w:val="single" w:sz="6" w:space="0" w:color="7BA0CD" w:themeColor="accent1" w:themeTint="BF"/>
              <w:bottom w:val="single" w:sz="6" w:space="0" w:color="7BA0CD" w:themeColor="accent1" w:themeTint="BF"/>
            </w:tcBorders>
            <w:noWrap/>
          </w:tcPr>
          <w:p w14:paraId="5001F6D4" w14:textId="48E2D405" w:rsidR="00FD1F95" w:rsidRPr="00CA64AF" w:rsidRDefault="00FD1F95" w:rsidP="00FD1F95">
            <w:pPr>
              <w:pStyle w:val="Tablenumbers"/>
              <w:jc w:val="center"/>
              <w:rPr>
                <w:sz w:val="20"/>
                <w:szCs w:val="20"/>
              </w:rPr>
            </w:pPr>
            <w:r w:rsidRPr="00CA64AF">
              <w:rPr>
                <w:cs/>
              </w:rPr>
              <w:t>‎</w:t>
            </w:r>
            <w:r w:rsidRPr="00CA64AF">
              <w:t>17</w:t>
            </w:r>
            <w:r w:rsidRPr="00CA64AF">
              <w:rPr>
                <w:cs/>
              </w:rPr>
              <w:t>‎</w:t>
            </w:r>
          </w:p>
        </w:tc>
      </w:tr>
      <w:tr w:rsidR="00FD1F95" w:rsidRPr="003456E8" w14:paraId="468C2052" w14:textId="77777777" w:rsidTr="00FD1F95">
        <w:trPr>
          <w:trHeight w:val="300"/>
        </w:trPr>
        <w:tc>
          <w:tcPr>
            <w:tcW w:w="1758" w:type="dxa"/>
            <w:tcBorders>
              <w:top w:val="single" w:sz="6" w:space="0" w:color="7BA0CD" w:themeColor="accent1" w:themeTint="BF"/>
              <w:bottom w:val="single" w:sz="8" w:space="0" w:color="7BA0CD" w:themeColor="accent1" w:themeTint="BF"/>
              <w:right w:val="single" w:sz="6" w:space="0" w:color="7BA0CD" w:themeColor="accent1" w:themeTint="BF"/>
            </w:tcBorders>
            <w:noWrap/>
            <w:vAlign w:val="center"/>
          </w:tcPr>
          <w:p w14:paraId="66D43CAE" w14:textId="77777777" w:rsidR="00FD1F95" w:rsidRPr="00FD1F95" w:rsidRDefault="00FD1F95" w:rsidP="00B77962">
            <w:pPr>
              <w:pStyle w:val="tabletext"/>
              <w:rPr>
                <w:sz w:val="20"/>
                <w:szCs w:val="20"/>
              </w:rPr>
            </w:pPr>
            <w:r w:rsidRPr="00FD1F95">
              <w:rPr>
                <w:b w:val="0"/>
                <w:bCs w:val="0"/>
                <w:sz w:val="20"/>
                <w:szCs w:val="20"/>
              </w:rPr>
              <w:t>Total</w:t>
            </w:r>
            <w:r w:rsidRPr="00FD1F95">
              <w:rPr>
                <w:sz w:val="20"/>
                <w:szCs w:val="20"/>
              </w:rPr>
              <w:t xml:space="preserve"> </w:t>
            </w:r>
          </w:p>
        </w:tc>
        <w:tc>
          <w:tcPr>
            <w:tcW w:w="1134"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728BF57" w14:textId="7098B62C" w:rsidR="00FD1F95" w:rsidRPr="00CA64AF" w:rsidRDefault="00FD1F95" w:rsidP="00FD1F95">
            <w:pPr>
              <w:pStyle w:val="Tablenumbers"/>
              <w:jc w:val="center"/>
              <w:rPr>
                <w:b/>
                <w:bCs/>
                <w:sz w:val="20"/>
                <w:szCs w:val="20"/>
              </w:rPr>
            </w:pPr>
            <w:r w:rsidRPr="00CA64AF">
              <w:rPr>
                <w:b/>
                <w:bCs/>
                <w:sz w:val="20"/>
                <w:szCs w:val="20"/>
                <w:cs/>
              </w:rPr>
              <w:t>‎</w:t>
            </w:r>
            <w:r w:rsidRPr="00CA64AF">
              <w:rPr>
                <w:b/>
                <w:bCs/>
                <w:sz w:val="20"/>
                <w:szCs w:val="20"/>
              </w:rPr>
              <w:t>76</w:t>
            </w:r>
            <w:r w:rsidRPr="00CA64AF">
              <w:rPr>
                <w:b/>
                <w:bCs/>
                <w:sz w:val="20"/>
                <w:szCs w:val="20"/>
                <w:cs/>
              </w:rPr>
              <w:t>‎</w:t>
            </w:r>
          </w:p>
        </w:tc>
        <w:tc>
          <w:tcPr>
            <w:tcW w:w="1276"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1416E87" w14:textId="4915AC0C" w:rsidR="00FD1F95" w:rsidRPr="00CA64AF" w:rsidRDefault="00FD1F95" w:rsidP="00FD1F95">
            <w:pPr>
              <w:pStyle w:val="Tablenumbers"/>
              <w:jc w:val="center"/>
              <w:rPr>
                <w:b/>
                <w:bCs/>
                <w:sz w:val="20"/>
                <w:szCs w:val="20"/>
              </w:rPr>
            </w:pPr>
            <w:r w:rsidRPr="00CA64AF">
              <w:rPr>
                <w:b/>
                <w:bCs/>
                <w:sz w:val="20"/>
                <w:szCs w:val="20"/>
                <w:cs/>
              </w:rPr>
              <w:t>‎</w:t>
            </w:r>
            <w:r w:rsidRPr="00CA64AF">
              <w:rPr>
                <w:b/>
                <w:bCs/>
                <w:sz w:val="20"/>
                <w:szCs w:val="20"/>
              </w:rPr>
              <w:t>25</w:t>
            </w:r>
            <w:r w:rsidRPr="00CA64AF">
              <w:rPr>
                <w:b/>
                <w:bCs/>
                <w:sz w:val="20"/>
                <w:szCs w:val="20"/>
                <w:cs/>
              </w:rPr>
              <w:t>‎</w:t>
            </w:r>
          </w:p>
        </w:tc>
        <w:tc>
          <w:tcPr>
            <w:tcW w:w="851"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763A300B" w14:textId="53276365" w:rsidR="00FD1F95" w:rsidRPr="00CA64AF" w:rsidRDefault="00FD1F95" w:rsidP="00FD1F95">
            <w:pPr>
              <w:pStyle w:val="Tablenumbers"/>
              <w:jc w:val="center"/>
              <w:rPr>
                <w:b/>
                <w:bCs/>
                <w:sz w:val="20"/>
                <w:szCs w:val="20"/>
              </w:rPr>
            </w:pPr>
            <w:r w:rsidRPr="00CA64AF">
              <w:rPr>
                <w:b/>
                <w:bCs/>
                <w:sz w:val="20"/>
                <w:szCs w:val="20"/>
                <w:cs/>
              </w:rPr>
              <w:t>‎</w:t>
            </w:r>
            <w:r w:rsidRPr="00CA64AF">
              <w:rPr>
                <w:b/>
                <w:bCs/>
                <w:sz w:val="20"/>
                <w:szCs w:val="20"/>
              </w:rPr>
              <w:t>18</w:t>
            </w:r>
            <w:r w:rsidRPr="00CA64AF">
              <w:rPr>
                <w:b/>
                <w:bCs/>
                <w:sz w:val="20"/>
                <w:szCs w:val="20"/>
                <w:cs/>
              </w:rPr>
              <w:t>‎</w:t>
            </w:r>
          </w:p>
        </w:tc>
        <w:tc>
          <w:tcPr>
            <w:tcW w:w="1134"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315211B4" w14:textId="58BFC2AB" w:rsidR="00FD1F95" w:rsidRPr="00CA64AF" w:rsidRDefault="00FD1F95" w:rsidP="00FD1F95">
            <w:pPr>
              <w:pStyle w:val="Tablenumbers"/>
              <w:jc w:val="center"/>
              <w:rPr>
                <w:b/>
                <w:bCs/>
                <w:sz w:val="20"/>
                <w:szCs w:val="20"/>
              </w:rPr>
            </w:pPr>
            <w:r w:rsidRPr="00CA64AF">
              <w:rPr>
                <w:b/>
                <w:bCs/>
                <w:sz w:val="20"/>
                <w:szCs w:val="20"/>
                <w:cs/>
              </w:rPr>
              <w:t>‎</w:t>
            </w:r>
            <w:r w:rsidRPr="00CA64AF">
              <w:rPr>
                <w:b/>
                <w:bCs/>
                <w:sz w:val="20"/>
                <w:szCs w:val="20"/>
              </w:rPr>
              <w:t>142</w:t>
            </w:r>
            <w:r w:rsidRPr="00CA64AF">
              <w:rPr>
                <w:b/>
                <w:bCs/>
                <w:sz w:val="20"/>
                <w:szCs w:val="20"/>
                <w:cs/>
              </w:rPr>
              <w:t>‎</w:t>
            </w:r>
          </w:p>
        </w:tc>
        <w:tc>
          <w:tcPr>
            <w:tcW w:w="1343"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tcPr>
          <w:p w14:paraId="1C321F0F" w14:textId="636E24C0" w:rsidR="00FD1F95" w:rsidRPr="00CA64AF" w:rsidRDefault="00FD1F95" w:rsidP="00FD1F95">
            <w:pPr>
              <w:pStyle w:val="Tablenumbers"/>
              <w:jc w:val="center"/>
              <w:rPr>
                <w:b/>
                <w:bCs/>
                <w:sz w:val="20"/>
                <w:szCs w:val="20"/>
                <w:rtl/>
              </w:rPr>
            </w:pPr>
            <w:r w:rsidRPr="00CA64AF">
              <w:rPr>
                <w:b/>
                <w:bCs/>
                <w:sz w:val="20"/>
                <w:szCs w:val="20"/>
                <w:rtl/>
              </w:rPr>
              <w:t>‏127‏</w:t>
            </w:r>
          </w:p>
        </w:tc>
        <w:tc>
          <w:tcPr>
            <w:tcW w:w="1305" w:type="dxa"/>
            <w:tcBorders>
              <w:top w:val="single" w:sz="6" w:space="0" w:color="7BA0CD" w:themeColor="accent1" w:themeTint="BF"/>
              <w:left w:val="single" w:sz="6" w:space="0" w:color="7BA0CD" w:themeColor="accent1" w:themeTint="BF"/>
              <w:bottom w:val="single" w:sz="8" w:space="0" w:color="7BA0CD" w:themeColor="accent1" w:themeTint="BF"/>
              <w:right w:val="single" w:sz="6" w:space="0" w:color="7BA0CD" w:themeColor="accent1" w:themeTint="BF"/>
            </w:tcBorders>
            <w:noWrap/>
          </w:tcPr>
          <w:p w14:paraId="347DFC09" w14:textId="1384B3F7" w:rsidR="00FD1F95" w:rsidRPr="00CA64AF" w:rsidRDefault="00FD1F95" w:rsidP="00FD1F95">
            <w:pPr>
              <w:pStyle w:val="Tablenumbers"/>
              <w:jc w:val="center"/>
              <w:rPr>
                <w:b/>
                <w:bCs/>
                <w:sz w:val="20"/>
                <w:szCs w:val="20"/>
              </w:rPr>
            </w:pPr>
            <w:r w:rsidRPr="00CA64AF">
              <w:rPr>
                <w:b/>
                <w:bCs/>
                <w:sz w:val="20"/>
                <w:szCs w:val="20"/>
                <w:cs/>
              </w:rPr>
              <w:t>‎</w:t>
            </w:r>
            <w:r w:rsidRPr="00CA64AF">
              <w:rPr>
                <w:b/>
                <w:bCs/>
                <w:sz w:val="20"/>
                <w:szCs w:val="20"/>
              </w:rPr>
              <w:t>265</w:t>
            </w:r>
            <w:r w:rsidRPr="00CA64AF">
              <w:rPr>
                <w:b/>
                <w:bCs/>
                <w:sz w:val="20"/>
                <w:szCs w:val="20"/>
                <w:cs/>
              </w:rPr>
              <w:t>‎</w:t>
            </w:r>
          </w:p>
        </w:tc>
        <w:tc>
          <w:tcPr>
            <w:tcW w:w="788" w:type="dxa"/>
            <w:tcBorders>
              <w:top w:val="single" w:sz="6" w:space="0" w:color="7BA0CD" w:themeColor="accent1" w:themeTint="BF"/>
              <w:left w:val="single" w:sz="6" w:space="0" w:color="7BA0CD" w:themeColor="accent1" w:themeTint="BF"/>
              <w:bottom w:val="single" w:sz="8" w:space="0" w:color="7BA0CD" w:themeColor="accent1" w:themeTint="BF"/>
            </w:tcBorders>
            <w:noWrap/>
          </w:tcPr>
          <w:p w14:paraId="603AB059" w14:textId="40ECA05A" w:rsidR="00FD1F95" w:rsidRPr="00CA64AF" w:rsidRDefault="00FD1F95" w:rsidP="00FD1F95">
            <w:pPr>
              <w:pStyle w:val="Tablenumbers"/>
              <w:jc w:val="center"/>
              <w:rPr>
                <w:b/>
                <w:bCs/>
                <w:sz w:val="20"/>
                <w:szCs w:val="20"/>
              </w:rPr>
            </w:pPr>
            <w:r w:rsidRPr="00CA64AF">
              <w:rPr>
                <w:cs/>
              </w:rPr>
              <w:t>‎</w:t>
            </w:r>
            <w:r w:rsidRPr="00CA64AF">
              <w:rPr>
                <w:b/>
                <w:bCs/>
              </w:rPr>
              <w:t>656</w:t>
            </w:r>
            <w:r w:rsidRPr="00CA64AF">
              <w:rPr>
                <w:cs/>
              </w:rPr>
              <w:t>‎</w:t>
            </w:r>
          </w:p>
        </w:tc>
      </w:tr>
    </w:tbl>
    <w:p w14:paraId="08C0C967" w14:textId="0C8DE624" w:rsidR="003456E8" w:rsidRDefault="003456E8" w:rsidP="004E2385">
      <w:pPr>
        <w:pStyle w:val="BodyText"/>
        <w:rPr>
          <w:noProof/>
          <w:lang w:bidi="ar-SA"/>
        </w:rPr>
      </w:pPr>
    </w:p>
    <w:p w14:paraId="3AC2B22B" w14:textId="43616B09" w:rsidR="00FD1F95" w:rsidRPr="003456E8" w:rsidRDefault="00420DF6" w:rsidP="004E2385">
      <w:pPr>
        <w:pStyle w:val="BodyText"/>
      </w:pPr>
      <w:r>
        <w:rPr>
          <w:noProof/>
          <w:lang w:bidi="ar-SA"/>
        </w:rPr>
        <w:drawing>
          <wp:inline distT="0" distB="0" distL="0" distR="0" wp14:anchorId="0B541363" wp14:editId="33786BA5">
            <wp:extent cx="5731510" cy="1383030"/>
            <wp:effectExtent l="0" t="0" r="2540" b="7620"/>
            <wp:docPr id="17" name="תרשים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FB1F33" w14:textId="2743E4B7" w:rsidR="003456E8" w:rsidRPr="003456E8" w:rsidRDefault="00B06200" w:rsidP="00420DF6">
      <w:pPr>
        <w:pStyle w:val="Graphnote"/>
        <w:ind w:right="-471"/>
      </w:pPr>
      <w:r w:rsidRPr="00B06200">
        <w:rPr>
          <w:b/>
          <w:bCs/>
          <w:color w:val="0070C0"/>
        </w:rPr>
        <w:t>Blue:</w:t>
      </w:r>
      <w:r>
        <w:t xml:space="preserve"> </w:t>
      </w:r>
      <w:commentRangeStart w:id="7"/>
      <w:r w:rsidR="003456E8" w:rsidRPr="003456E8">
        <w:t>Food waste, up to and including the industrial stage</w:t>
      </w:r>
      <w:r>
        <w:t xml:space="preserve"> </w:t>
      </w:r>
      <w:r w:rsidR="00420DF6" w:rsidRPr="00420DF6">
        <w:rPr>
          <w:b/>
          <w:bCs/>
          <w:color w:val="FF9900"/>
          <w14:textFill>
            <w14:solidFill>
              <w14:srgbClr w14:val="FF9900">
                <w14:lumMod w14:val="60000"/>
                <w14:lumOff w14:val="40000"/>
              </w14:srgbClr>
            </w14:solidFill>
          </w14:textFill>
        </w:rPr>
        <w:t>Orange</w:t>
      </w:r>
      <w:r w:rsidRPr="00420DF6">
        <w:rPr>
          <w:b/>
          <w:bCs/>
          <w:color w:val="FF9900"/>
        </w:rPr>
        <w:t>:</w:t>
      </w:r>
      <w:r w:rsidRPr="00B06200">
        <w:rPr>
          <w:color w:val="C00000"/>
        </w:rPr>
        <w:t xml:space="preserve"> </w:t>
      </w:r>
      <w:r w:rsidR="003456E8" w:rsidRPr="003456E8">
        <w:t>Food waste during distribution and consumption</w:t>
      </w:r>
      <w:commentRangeEnd w:id="7"/>
      <w:r w:rsidR="003456E8" w:rsidRPr="003456E8">
        <w:commentReference w:id="7"/>
      </w:r>
    </w:p>
    <w:p w14:paraId="4AE8DCDD" w14:textId="05BD8FFB" w:rsidR="003456E8" w:rsidRPr="00EA243A" w:rsidRDefault="003456E8" w:rsidP="00420DF6">
      <w:pPr>
        <w:pStyle w:val="BodyText"/>
      </w:pPr>
      <w:r w:rsidRPr="00EA243A">
        <w:t xml:space="preserve">Food waste, up to and including the industrial stage: NIS </w:t>
      </w:r>
      <w:r w:rsidR="005552B2" w:rsidRPr="00046F4E">
        <w:rPr>
          <w:highlight w:val="cyan"/>
        </w:rPr>
        <w:t>3.</w:t>
      </w:r>
      <w:r w:rsidR="00420DF6" w:rsidRPr="00046F4E">
        <w:rPr>
          <w:highlight w:val="cyan"/>
        </w:rPr>
        <w:t>6</w:t>
      </w:r>
      <w:r w:rsidRPr="00EA243A">
        <w:t xml:space="preserve"> billion</w:t>
      </w:r>
    </w:p>
    <w:p w14:paraId="2F6A938E" w14:textId="0C506BFD" w:rsidR="00F06929" w:rsidRDefault="003456E8" w:rsidP="005077C9">
      <w:pPr>
        <w:pStyle w:val="Graphnote"/>
      </w:pPr>
      <w:r w:rsidRPr="00EA243A">
        <w:lastRenderedPageBreak/>
        <w:t xml:space="preserve">Food waste during distribution and consumption: NIS </w:t>
      </w:r>
      <w:r w:rsidR="00420DF6" w:rsidRPr="00046F4E">
        <w:rPr>
          <w:highlight w:val="cyan"/>
        </w:rPr>
        <w:t>16.1</w:t>
      </w:r>
      <w:r w:rsidRPr="00EA243A">
        <w:t xml:space="preserve"> billion</w:t>
      </w:r>
    </w:p>
    <w:p w14:paraId="044B7C17" w14:textId="26FFB182" w:rsidR="007F4A23" w:rsidRDefault="007F4A23" w:rsidP="005077C9">
      <w:pPr>
        <w:pStyle w:val="Graphnote"/>
      </w:pPr>
      <w:r w:rsidRPr="007F4A23">
        <w:t xml:space="preserve">Food waste out of GNP: </w:t>
      </w:r>
      <w:r w:rsidRPr="007F4A23">
        <w:rPr>
          <w:highlight w:val="cyan"/>
        </w:rPr>
        <w:t>1.5%</w:t>
      </w:r>
    </w:p>
    <w:p w14:paraId="4EBDB495" w14:textId="15163BCB" w:rsidR="007F4A23" w:rsidRPr="00EA243A" w:rsidRDefault="007F4A23" w:rsidP="005077C9">
      <w:pPr>
        <w:pStyle w:val="Graphnote"/>
      </w:pPr>
      <w:r w:rsidRPr="00914209">
        <w:t>Source: BDO estimates</w:t>
      </w:r>
    </w:p>
    <w:p w14:paraId="20B2147D" w14:textId="3156CC4F" w:rsidR="003456E8" w:rsidRPr="003456E8" w:rsidRDefault="003456E8" w:rsidP="00420DF6">
      <w:pPr>
        <w:pStyle w:val="Graphtitle"/>
      </w:pPr>
      <w:r w:rsidRPr="003456E8">
        <w:t>Food Value Chain in Israel and Percentage of Food Waste at All Stages</w:t>
      </w:r>
      <w:r w:rsidR="00420DF6">
        <w:t xml:space="preserve"> of the Value Chain </w:t>
      </w:r>
      <w:r w:rsidR="00420DF6">
        <w:br/>
      </w:r>
      <w:r w:rsidR="00420DF6" w:rsidRPr="003456E8">
        <w:t>(1000 tons)</w:t>
      </w:r>
    </w:p>
    <w:tbl>
      <w:tblPr>
        <w:tblW w:w="4813" w:type="pct"/>
        <w:jc w:val="center"/>
        <w:tblLayout w:type="fixed"/>
        <w:tblLook w:val="04A0" w:firstRow="1" w:lastRow="0" w:firstColumn="1" w:lastColumn="0" w:noHBand="0" w:noVBand="1"/>
      </w:tblPr>
      <w:tblGrid>
        <w:gridCol w:w="2660"/>
        <w:gridCol w:w="1276"/>
        <w:gridCol w:w="1418"/>
        <w:gridCol w:w="1276"/>
        <w:gridCol w:w="1276"/>
        <w:gridCol w:w="991"/>
      </w:tblGrid>
      <w:tr w:rsidR="003456E8" w:rsidRPr="00EA243A" w14:paraId="6BFE952C" w14:textId="77777777" w:rsidTr="00420DF6">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6AC8C4B7" w14:textId="77777777" w:rsidR="003456E8" w:rsidRPr="007F4A23" w:rsidRDefault="003456E8" w:rsidP="007F4A23">
            <w:pPr>
              <w:pStyle w:val="tabletext"/>
              <w:rPr>
                <w:color w:val="FFFFFF" w:themeColor="background1"/>
              </w:rPr>
            </w:pPr>
            <w:r w:rsidRPr="007F4A23">
              <w:rPr>
                <w:color w:val="FFFFFF" w:themeColor="background1"/>
              </w:rPr>
              <w:t> </w:t>
            </w:r>
          </w:p>
        </w:tc>
        <w:tc>
          <w:tcPr>
            <w:tcW w:w="717" w:type="pct"/>
            <w:tcBorders>
              <w:top w:val="single" w:sz="4" w:space="0" w:color="4F81BD"/>
              <w:left w:val="nil"/>
              <w:bottom w:val="nil"/>
              <w:right w:val="nil"/>
            </w:tcBorders>
            <w:shd w:val="clear" w:color="4F81BD" w:fill="4F81BD"/>
            <w:noWrap/>
            <w:vAlign w:val="bottom"/>
            <w:hideMark/>
          </w:tcPr>
          <w:p w14:paraId="332FA15C" w14:textId="77777777" w:rsidR="003456E8" w:rsidRPr="00EA243A" w:rsidRDefault="003456E8" w:rsidP="00B06200">
            <w:pPr>
              <w:pStyle w:val="Tableheader"/>
            </w:pPr>
            <w:r w:rsidRPr="00EA243A">
              <w:t>Fruits &amp; vegetables</w:t>
            </w:r>
            <w:r w:rsidRPr="00EA243A">
              <w:rPr>
                <w:rtl/>
              </w:rPr>
              <w:t xml:space="preserve"> </w:t>
            </w:r>
          </w:p>
        </w:tc>
        <w:tc>
          <w:tcPr>
            <w:tcW w:w="797" w:type="pct"/>
            <w:tcBorders>
              <w:top w:val="single" w:sz="4" w:space="0" w:color="4F81BD"/>
              <w:left w:val="nil"/>
              <w:bottom w:val="nil"/>
              <w:right w:val="nil"/>
            </w:tcBorders>
            <w:shd w:val="clear" w:color="4F81BD" w:fill="4F81BD"/>
            <w:noWrap/>
            <w:vAlign w:val="bottom"/>
            <w:hideMark/>
          </w:tcPr>
          <w:p w14:paraId="454E0A15" w14:textId="77777777" w:rsidR="003456E8" w:rsidRPr="00EA243A" w:rsidRDefault="003456E8" w:rsidP="00B06200">
            <w:pPr>
              <w:pStyle w:val="Tableheader"/>
            </w:pPr>
            <w:r w:rsidRPr="00EA243A">
              <w:t>Grains &amp; legumes</w:t>
            </w:r>
          </w:p>
        </w:tc>
        <w:tc>
          <w:tcPr>
            <w:tcW w:w="717" w:type="pct"/>
            <w:tcBorders>
              <w:top w:val="single" w:sz="4" w:space="0" w:color="4F81BD"/>
              <w:left w:val="nil"/>
              <w:bottom w:val="nil"/>
              <w:right w:val="nil"/>
            </w:tcBorders>
            <w:shd w:val="clear" w:color="4F81BD" w:fill="4F81BD"/>
            <w:noWrap/>
            <w:vAlign w:val="bottom"/>
            <w:hideMark/>
          </w:tcPr>
          <w:p w14:paraId="5DE5A24A" w14:textId="77777777" w:rsidR="003456E8" w:rsidRPr="00EA243A" w:rsidRDefault="003456E8" w:rsidP="00B06200">
            <w:pPr>
              <w:pStyle w:val="Tableheader"/>
            </w:pPr>
            <w:r w:rsidRPr="00EA243A">
              <w:t>Meat, eggs &amp; fish</w:t>
            </w:r>
          </w:p>
        </w:tc>
        <w:tc>
          <w:tcPr>
            <w:tcW w:w="717" w:type="pct"/>
            <w:tcBorders>
              <w:top w:val="single" w:sz="4" w:space="0" w:color="4F81BD"/>
              <w:left w:val="nil"/>
              <w:bottom w:val="nil"/>
              <w:right w:val="nil"/>
            </w:tcBorders>
            <w:shd w:val="clear" w:color="4F81BD" w:fill="4F81BD"/>
            <w:noWrap/>
            <w:vAlign w:val="bottom"/>
            <w:hideMark/>
          </w:tcPr>
          <w:p w14:paraId="4D8FE8D8" w14:textId="77777777" w:rsidR="003456E8" w:rsidRPr="00EA243A" w:rsidRDefault="003456E8" w:rsidP="00B06200">
            <w:pPr>
              <w:pStyle w:val="Tableheader"/>
            </w:pPr>
            <w:r w:rsidRPr="00EA243A">
              <w:t>Milk &amp; dairy</w:t>
            </w:r>
          </w:p>
        </w:tc>
        <w:tc>
          <w:tcPr>
            <w:tcW w:w="557" w:type="pct"/>
            <w:tcBorders>
              <w:top w:val="single" w:sz="4" w:space="0" w:color="4F81BD"/>
              <w:left w:val="nil"/>
              <w:bottom w:val="nil"/>
              <w:right w:val="nil"/>
            </w:tcBorders>
            <w:shd w:val="clear" w:color="4F81BD" w:fill="4F81BD"/>
            <w:noWrap/>
            <w:vAlign w:val="bottom"/>
            <w:hideMark/>
          </w:tcPr>
          <w:p w14:paraId="24E478E4" w14:textId="77777777" w:rsidR="003456E8" w:rsidRPr="00EA243A" w:rsidRDefault="003456E8" w:rsidP="00B06200">
            <w:pPr>
              <w:pStyle w:val="Tableheader"/>
            </w:pPr>
            <w:r w:rsidRPr="00EA243A">
              <w:t>Total</w:t>
            </w:r>
          </w:p>
        </w:tc>
      </w:tr>
      <w:tr w:rsidR="00420DF6" w:rsidRPr="00EA243A" w14:paraId="3F58C603"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20ADAABA" w14:textId="77777777" w:rsidR="00420DF6" w:rsidRPr="007F4A23" w:rsidRDefault="00420DF6" w:rsidP="007F4A23">
            <w:pPr>
              <w:pStyle w:val="tabletext"/>
              <w:rPr>
                <w:color w:val="FFFFFF" w:themeColor="background1"/>
              </w:rPr>
            </w:pPr>
            <w:r w:rsidRPr="007F4A23">
              <w:rPr>
                <w:color w:val="FFFFFF" w:themeColor="background1"/>
              </w:rPr>
              <w:t>Agricultural production, quantity</w:t>
            </w:r>
          </w:p>
        </w:tc>
        <w:tc>
          <w:tcPr>
            <w:tcW w:w="717" w:type="pct"/>
            <w:tcBorders>
              <w:top w:val="single" w:sz="4" w:space="0" w:color="4F81BD"/>
              <w:left w:val="nil"/>
              <w:right w:val="nil"/>
            </w:tcBorders>
            <w:shd w:val="clear" w:color="auto" w:fill="auto"/>
            <w:noWrap/>
          </w:tcPr>
          <w:p w14:paraId="417B7138" w14:textId="31EC588F" w:rsidR="00420DF6" w:rsidRPr="00CA64AF" w:rsidRDefault="00420DF6" w:rsidP="00B06200">
            <w:pPr>
              <w:pStyle w:val="Tablenumbers"/>
              <w:jc w:val="center"/>
            </w:pPr>
            <w:r w:rsidRPr="00CA64AF">
              <w:rPr>
                <w:cs/>
              </w:rPr>
              <w:t>‎</w:t>
            </w:r>
            <w:r w:rsidRPr="00CA64AF">
              <w:t>4,151</w:t>
            </w:r>
            <w:r w:rsidRPr="00CA64AF">
              <w:rPr>
                <w:cs/>
              </w:rPr>
              <w:t>‎</w:t>
            </w:r>
          </w:p>
        </w:tc>
        <w:tc>
          <w:tcPr>
            <w:tcW w:w="797" w:type="pct"/>
            <w:tcBorders>
              <w:top w:val="single" w:sz="4" w:space="0" w:color="4F81BD"/>
              <w:left w:val="nil"/>
              <w:right w:val="nil"/>
            </w:tcBorders>
            <w:shd w:val="clear" w:color="auto" w:fill="auto"/>
            <w:noWrap/>
          </w:tcPr>
          <w:p w14:paraId="37B34E68" w14:textId="1691BE7E" w:rsidR="00420DF6" w:rsidRPr="00CA64AF" w:rsidRDefault="00420DF6" w:rsidP="00B06200">
            <w:pPr>
              <w:pStyle w:val="Tablenumbers"/>
              <w:jc w:val="center"/>
            </w:pPr>
            <w:r w:rsidRPr="00CA64AF">
              <w:rPr>
                <w:cs/>
              </w:rPr>
              <w:t>‎</w:t>
            </w:r>
            <w:r w:rsidRPr="00CA64AF">
              <w:t>418</w:t>
            </w:r>
            <w:r w:rsidRPr="00CA64AF">
              <w:rPr>
                <w:cs/>
              </w:rPr>
              <w:t>‎</w:t>
            </w:r>
          </w:p>
        </w:tc>
        <w:tc>
          <w:tcPr>
            <w:tcW w:w="717" w:type="pct"/>
            <w:tcBorders>
              <w:top w:val="single" w:sz="4" w:space="0" w:color="4F81BD"/>
              <w:left w:val="nil"/>
              <w:right w:val="nil"/>
            </w:tcBorders>
            <w:shd w:val="clear" w:color="auto" w:fill="auto"/>
            <w:noWrap/>
          </w:tcPr>
          <w:p w14:paraId="74D3B62F" w14:textId="3AB7C888" w:rsidR="00420DF6" w:rsidRPr="00CA64AF" w:rsidRDefault="00420DF6" w:rsidP="00B06200">
            <w:pPr>
              <w:pStyle w:val="Tablenumbers"/>
              <w:jc w:val="center"/>
            </w:pPr>
            <w:r w:rsidRPr="00CA64AF">
              <w:rPr>
                <w:cs/>
              </w:rPr>
              <w:t>‎</w:t>
            </w:r>
            <w:r w:rsidRPr="00CA64AF">
              <w:t>738</w:t>
            </w:r>
            <w:r w:rsidRPr="00CA64AF">
              <w:rPr>
                <w:cs/>
              </w:rPr>
              <w:t>‎</w:t>
            </w:r>
          </w:p>
        </w:tc>
        <w:tc>
          <w:tcPr>
            <w:tcW w:w="717" w:type="pct"/>
            <w:tcBorders>
              <w:top w:val="single" w:sz="4" w:space="0" w:color="4F81BD"/>
              <w:left w:val="nil"/>
              <w:right w:val="single" w:sz="2" w:space="0" w:color="4F81BD" w:themeColor="accent1"/>
            </w:tcBorders>
            <w:shd w:val="clear" w:color="auto" w:fill="auto"/>
            <w:noWrap/>
          </w:tcPr>
          <w:p w14:paraId="79011112" w14:textId="670F6BD9" w:rsidR="00420DF6" w:rsidRPr="00CA64AF" w:rsidRDefault="00420DF6" w:rsidP="00B06200">
            <w:pPr>
              <w:pStyle w:val="Tablenumbers"/>
              <w:jc w:val="center"/>
            </w:pPr>
            <w:r w:rsidRPr="00CA64AF">
              <w:rPr>
                <w:cs/>
              </w:rPr>
              <w:t>‎</w:t>
            </w:r>
            <w:r w:rsidRPr="00CA64AF">
              <w:t>1,670</w:t>
            </w:r>
            <w:r w:rsidRPr="00CA64AF">
              <w:rPr>
                <w:cs/>
              </w:rPr>
              <w:t>‎</w:t>
            </w:r>
          </w:p>
        </w:tc>
        <w:tc>
          <w:tcPr>
            <w:tcW w:w="557" w:type="pct"/>
            <w:tcBorders>
              <w:top w:val="single" w:sz="4" w:space="0" w:color="4F81BD"/>
              <w:left w:val="single" w:sz="2" w:space="0" w:color="4F81BD" w:themeColor="accent1"/>
              <w:right w:val="single" w:sz="2" w:space="0" w:color="4F81BD" w:themeColor="accent1"/>
            </w:tcBorders>
            <w:shd w:val="clear" w:color="auto" w:fill="auto"/>
            <w:noWrap/>
          </w:tcPr>
          <w:p w14:paraId="38F8E43D" w14:textId="5C251953" w:rsidR="00420DF6" w:rsidRPr="00CA64AF" w:rsidRDefault="00420DF6" w:rsidP="00B06200">
            <w:pPr>
              <w:pStyle w:val="Tablenumbers"/>
              <w:jc w:val="center"/>
              <w:rPr>
                <w:b/>
                <w:bCs/>
              </w:rPr>
            </w:pPr>
            <w:r w:rsidRPr="00CA64AF">
              <w:rPr>
                <w:cs/>
              </w:rPr>
              <w:t>‎</w:t>
            </w:r>
            <w:r w:rsidRPr="00CA64AF">
              <w:t>6,978</w:t>
            </w:r>
            <w:r w:rsidRPr="00CA64AF">
              <w:rPr>
                <w:cs/>
              </w:rPr>
              <w:t>‎</w:t>
            </w:r>
          </w:p>
        </w:tc>
      </w:tr>
      <w:tr w:rsidR="00420DF6" w:rsidRPr="00EA243A" w14:paraId="7981BD99"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4BB1305D" w14:textId="77777777" w:rsidR="00420DF6" w:rsidRPr="007F4A23" w:rsidRDefault="00420DF6" w:rsidP="007F4A23">
            <w:pPr>
              <w:pStyle w:val="tabletext"/>
              <w:rPr>
                <w:color w:val="FFFFFF" w:themeColor="background1"/>
              </w:rPr>
            </w:pPr>
            <w:r w:rsidRPr="007F4A23">
              <w:rPr>
                <w:color w:val="FFFFFF" w:themeColor="background1"/>
              </w:rPr>
              <w:t>Waste during agricultural production</w:t>
            </w:r>
          </w:p>
        </w:tc>
        <w:tc>
          <w:tcPr>
            <w:tcW w:w="717" w:type="pct"/>
            <w:tcBorders>
              <w:left w:val="nil"/>
            </w:tcBorders>
            <w:shd w:val="clear" w:color="auto" w:fill="auto"/>
            <w:noWrap/>
          </w:tcPr>
          <w:p w14:paraId="6799405E" w14:textId="642AE022" w:rsidR="00420DF6" w:rsidRPr="00CA64AF" w:rsidRDefault="00420DF6" w:rsidP="00B06200">
            <w:pPr>
              <w:pStyle w:val="Tablenumbers"/>
              <w:jc w:val="center"/>
            </w:pPr>
            <w:r w:rsidRPr="00CA64AF">
              <w:rPr>
                <w:cs/>
              </w:rPr>
              <w:t>‎</w:t>
            </w:r>
            <w:r w:rsidRPr="00CA64AF">
              <w:t>518</w:t>
            </w:r>
            <w:r w:rsidRPr="00CA64AF">
              <w:rPr>
                <w:cs/>
              </w:rPr>
              <w:t>‎</w:t>
            </w:r>
          </w:p>
        </w:tc>
        <w:tc>
          <w:tcPr>
            <w:tcW w:w="797" w:type="pct"/>
            <w:shd w:val="clear" w:color="auto" w:fill="auto"/>
            <w:noWrap/>
          </w:tcPr>
          <w:p w14:paraId="7D473527" w14:textId="173E4E6A" w:rsidR="00420DF6" w:rsidRPr="00CA64AF" w:rsidRDefault="00420DF6" w:rsidP="00B06200">
            <w:pPr>
              <w:pStyle w:val="Tablenumbers"/>
              <w:jc w:val="center"/>
            </w:pPr>
            <w:r w:rsidRPr="00CA64AF">
              <w:rPr>
                <w:cs/>
              </w:rPr>
              <w:t>‎</w:t>
            </w:r>
            <w:r w:rsidRPr="00CA64AF">
              <w:t>23</w:t>
            </w:r>
            <w:r w:rsidRPr="00CA64AF">
              <w:rPr>
                <w:cs/>
              </w:rPr>
              <w:t>‎</w:t>
            </w:r>
          </w:p>
        </w:tc>
        <w:tc>
          <w:tcPr>
            <w:tcW w:w="717" w:type="pct"/>
            <w:shd w:val="clear" w:color="auto" w:fill="auto"/>
            <w:noWrap/>
          </w:tcPr>
          <w:p w14:paraId="2FCF25A9" w14:textId="2644DC6D" w:rsidR="00420DF6" w:rsidRPr="00CA64AF" w:rsidRDefault="00420DF6" w:rsidP="00B06200">
            <w:pPr>
              <w:pStyle w:val="Tablenumbers"/>
              <w:jc w:val="center"/>
            </w:pPr>
            <w:r w:rsidRPr="00CA64AF">
              <w:rPr>
                <w:cs/>
              </w:rPr>
              <w:t>‎</w:t>
            </w:r>
            <w:r w:rsidRPr="00CA64AF">
              <w:t>31</w:t>
            </w:r>
            <w:r w:rsidRPr="00CA64AF">
              <w:rPr>
                <w:cs/>
              </w:rPr>
              <w:t>‎</w:t>
            </w:r>
          </w:p>
        </w:tc>
        <w:tc>
          <w:tcPr>
            <w:tcW w:w="717" w:type="pct"/>
            <w:tcBorders>
              <w:right w:val="single" w:sz="2" w:space="0" w:color="4F81BD" w:themeColor="accent1"/>
            </w:tcBorders>
            <w:shd w:val="clear" w:color="auto" w:fill="auto"/>
            <w:noWrap/>
          </w:tcPr>
          <w:p w14:paraId="38E48E0D" w14:textId="4BB65CD5" w:rsidR="00420DF6" w:rsidRPr="00CA64AF" w:rsidRDefault="00420DF6" w:rsidP="00B06200">
            <w:pPr>
              <w:pStyle w:val="Tablenumbers"/>
              <w:jc w:val="center"/>
            </w:pPr>
            <w:r w:rsidRPr="00CA64AF">
              <w:rPr>
                <w:cs/>
              </w:rPr>
              <w:t>‎</w:t>
            </w:r>
            <w:r w:rsidRPr="00CA64AF">
              <w:t>58</w:t>
            </w:r>
            <w:r w:rsidRPr="00CA64AF">
              <w:rPr>
                <w:cs/>
              </w:rPr>
              <w:t>‎</w:t>
            </w:r>
          </w:p>
        </w:tc>
        <w:tc>
          <w:tcPr>
            <w:tcW w:w="557" w:type="pct"/>
            <w:tcBorders>
              <w:left w:val="single" w:sz="2" w:space="0" w:color="4F81BD" w:themeColor="accent1"/>
              <w:right w:val="single" w:sz="2" w:space="0" w:color="4F81BD" w:themeColor="accent1"/>
            </w:tcBorders>
            <w:shd w:val="clear" w:color="auto" w:fill="auto"/>
            <w:noWrap/>
          </w:tcPr>
          <w:p w14:paraId="332A5167" w14:textId="56359416" w:rsidR="00420DF6" w:rsidRPr="00CA64AF" w:rsidRDefault="00420DF6" w:rsidP="00B06200">
            <w:pPr>
              <w:pStyle w:val="Tablenumbers"/>
              <w:jc w:val="center"/>
              <w:rPr>
                <w:b/>
                <w:bCs/>
              </w:rPr>
            </w:pPr>
            <w:r w:rsidRPr="00CA64AF">
              <w:rPr>
                <w:cs/>
              </w:rPr>
              <w:t>‎</w:t>
            </w:r>
            <w:r w:rsidRPr="00CA64AF">
              <w:t>631</w:t>
            </w:r>
            <w:r w:rsidRPr="00CA64AF">
              <w:rPr>
                <w:cs/>
              </w:rPr>
              <w:t>‎</w:t>
            </w:r>
          </w:p>
        </w:tc>
      </w:tr>
      <w:tr w:rsidR="00420DF6" w:rsidRPr="00EA243A" w14:paraId="43BAF096"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015386FB" w14:textId="77777777" w:rsidR="00420DF6" w:rsidRPr="007F4A23" w:rsidRDefault="00420DF6" w:rsidP="007F4A23">
            <w:pPr>
              <w:pStyle w:val="tabletext"/>
              <w:rPr>
                <w:color w:val="FFFFFF" w:themeColor="background1"/>
              </w:rPr>
            </w:pPr>
            <w:r w:rsidRPr="007F4A23">
              <w:rPr>
                <w:color w:val="FFFFFF" w:themeColor="background1"/>
              </w:rPr>
              <w:t>Percent wasted</w:t>
            </w:r>
          </w:p>
        </w:tc>
        <w:tc>
          <w:tcPr>
            <w:tcW w:w="717" w:type="pct"/>
            <w:tcBorders>
              <w:left w:val="nil"/>
              <w:bottom w:val="single" w:sz="18" w:space="0" w:color="4F81BD" w:themeColor="accent1"/>
              <w:right w:val="nil"/>
            </w:tcBorders>
            <w:shd w:val="clear" w:color="auto" w:fill="auto"/>
            <w:noWrap/>
          </w:tcPr>
          <w:p w14:paraId="7C6DE9FA" w14:textId="07C59105" w:rsidR="00420DF6" w:rsidRPr="00CA64AF" w:rsidRDefault="00420DF6" w:rsidP="00B06200">
            <w:pPr>
              <w:pStyle w:val="Tablenumbers"/>
              <w:jc w:val="center"/>
            </w:pPr>
            <w:r w:rsidRPr="00CA64AF">
              <w:rPr>
                <w:cs/>
              </w:rPr>
              <w:t>‎</w:t>
            </w:r>
            <w:r w:rsidRPr="00CA64AF">
              <w:t>12%</w:t>
            </w:r>
            <w:r w:rsidRPr="00CA64AF">
              <w:rPr>
                <w:cs/>
              </w:rPr>
              <w:t>‎</w:t>
            </w:r>
          </w:p>
        </w:tc>
        <w:tc>
          <w:tcPr>
            <w:tcW w:w="797" w:type="pct"/>
            <w:tcBorders>
              <w:left w:val="nil"/>
              <w:bottom w:val="single" w:sz="18" w:space="0" w:color="4F81BD" w:themeColor="accent1"/>
              <w:right w:val="nil"/>
            </w:tcBorders>
            <w:shd w:val="clear" w:color="auto" w:fill="auto"/>
            <w:noWrap/>
          </w:tcPr>
          <w:p w14:paraId="1FB60EC4" w14:textId="00D496EF" w:rsidR="00420DF6" w:rsidRPr="00CA64AF" w:rsidRDefault="00420DF6" w:rsidP="00B06200">
            <w:pPr>
              <w:pStyle w:val="Tablenumbers"/>
              <w:jc w:val="center"/>
            </w:pPr>
            <w:r w:rsidRPr="00CA64AF">
              <w:rPr>
                <w:cs/>
              </w:rPr>
              <w:t>‎</w:t>
            </w:r>
            <w:r w:rsidRPr="00CA64AF">
              <w:t>6%</w:t>
            </w:r>
            <w:r w:rsidRPr="00CA64AF">
              <w:rPr>
                <w:cs/>
              </w:rPr>
              <w:t>‎</w:t>
            </w:r>
          </w:p>
        </w:tc>
        <w:tc>
          <w:tcPr>
            <w:tcW w:w="717" w:type="pct"/>
            <w:tcBorders>
              <w:left w:val="nil"/>
              <w:bottom w:val="single" w:sz="18" w:space="0" w:color="4F81BD" w:themeColor="accent1"/>
              <w:right w:val="nil"/>
            </w:tcBorders>
            <w:shd w:val="clear" w:color="auto" w:fill="auto"/>
            <w:noWrap/>
          </w:tcPr>
          <w:p w14:paraId="26612648" w14:textId="31882633" w:rsidR="00420DF6" w:rsidRPr="00CA64AF" w:rsidRDefault="00420DF6" w:rsidP="00B06200">
            <w:pPr>
              <w:pStyle w:val="Tablenumbers"/>
              <w:jc w:val="center"/>
            </w:pPr>
            <w:r w:rsidRPr="00CA64AF">
              <w:rPr>
                <w:cs/>
              </w:rPr>
              <w:t>‎</w:t>
            </w:r>
            <w:r w:rsidRPr="00CA64AF">
              <w:t>4%</w:t>
            </w:r>
            <w:r w:rsidRPr="00CA64AF">
              <w:rPr>
                <w:cs/>
              </w:rPr>
              <w:t>‎</w:t>
            </w:r>
          </w:p>
        </w:tc>
        <w:tc>
          <w:tcPr>
            <w:tcW w:w="717" w:type="pct"/>
            <w:tcBorders>
              <w:left w:val="nil"/>
              <w:bottom w:val="single" w:sz="18" w:space="0" w:color="4F81BD" w:themeColor="accent1"/>
              <w:right w:val="single" w:sz="2" w:space="0" w:color="4F81BD" w:themeColor="accent1"/>
            </w:tcBorders>
            <w:shd w:val="clear" w:color="auto" w:fill="auto"/>
            <w:noWrap/>
          </w:tcPr>
          <w:p w14:paraId="78067105" w14:textId="3E6E013C" w:rsidR="00420DF6" w:rsidRPr="00CA64AF" w:rsidRDefault="00420DF6" w:rsidP="00B06200">
            <w:pPr>
              <w:pStyle w:val="Tablenumbers"/>
              <w:jc w:val="center"/>
            </w:pPr>
            <w:r w:rsidRPr="00CA64AF">
              <w:rPr>
                <w:cs/>
              </w:rPr>
              <w:t>‎</w:t>
            </w:r>
            <w:r w:rsidRPr="00CA64AF">
              <w:t>4%</w:t>
            </w:r>
            <w:r w:rsidRPr="00CA64AF">
              <w:rPr>
                <w:cs/>
              </w:rPr>
              <w:t>‎</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tcPr>
          <w:p w14:paraId="2A2AB6FE" w14:textId="292E6D7E" w:rsidR="00420DF6" w:rsidRPr="00CA64AF" w:rsidRDefault="00420DF6" w:rsidP="00B06200">
            <w:pPr>
              <w:pStyle w:val="Tablenumbers"/>
              <w:jc w:val="center"/>
              <w:rPr>
                <w:b/>
                <w:bCs/>
              </w:rPr>
            </w:pPr>
            <w:r w:rsidRPr="00CA64AF">
              <w:rPr>
                <w:cs/>
              </w:rPr>
              <w:t>‎</w:t>
            </w:r>
            <w:r w:rsidRPr="00CA64AF">
              <w:t>9%</w:t>
            </w:r>
            <w:r w:rsidRPr="00CA64AF">
              <w:rPr>
                <w:cs/>
              </w:rPr>
              <w:t>‎</w:t>
            </w:r>
          </w:p>
        </w:tc>
      </w:tr>
      <w:tr w:rsidR="00420DF6" w:rsidRPr="00EA243A" w14:paraId="4BFBD894"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75AC7AD0" w14:textId="77777777" w:rsidR="00420DF6" w:rsidRPr="007F4A23" w:rsidRDefault="00420DF6" w:rsidP="007F4A23">
            <w:pPr>
              <w:pStyle w:val="tabletext"/>
              <w:rPr>
                <w:color w:val="FFFFFF" w:themeColor="background1"/>
              </w:rPr>
            </w:pPr>
            <w:r w:rsidRPr="007F4A23">
              <w:rPr>
                <w:color w:val="FFFFFF" w:themeColor="background1"/>
              </w:rPr>
              <w:t>Quantity after harvesting and storage</w:t>
            </w:r>
            <w:r w:rsidRPr="007F4A23">
              <w:rPr>
                <w:color w:val="FFFFFF" w:themeColor="background1"/>
                <w:rtl/>
              </w:rPr>
              <w:t xml:space="preserve"> </w:t>
            </w:r>
          </w:p>
        </w:tc>
        <w:tc>
          <w:tcPr>
            <w:tcW w:w="717" w:type="pct"/>
            <w:tcBorders>
              <w:top w:val="single" w:sz="18" w:space="0" w:color="4F81BD" w:themeColor="accent1"/>
              <w:left w:val="nil"/>
              <w:right w:val="nil"/>
            </w:tcBorders>
            <w:shd w:val="clear" w:color="auto" w:fill="auto"/>
            <w:noWrap/>
          </w:tcPr>
          <w:p w14:paraId="74F072F9" w14:textId="12EB126A" w:rsidR="00420DF6" w:rsidRPr="00CA64AF" w:rsidRDefault="00420DF6" w:rsidP="00B06200">
            <w:pPr>
              <w:pStyle w:val="Tablenumbers"/>
              <w:jc w:val="center"/>
            </w:pPr>
            <w:r w:rsidRPr="00CA64AF">
              <w:rPr>
                <w:cs/>
              </w:rPr>
              <w:t>‎</w:t>
            </w:r>
            <w:r w:rsidRPr="00CA64AF">
              <w:t>3,633</w:t>
            </w:r>
            <w:r w:rsidRPr="00CA64AF">
              <w:rPr>
                <w:cs/>
              </w:rPr>
              <w:t>‎</w:t>
            </w:r>
          </w:p>
        </w:tc>
        <w:tc>
          <w:tcPr>
            <w:tcW w:w="797" w:type="pct"/>
            <w:tcBorders>
              <w:top w:val="single" w:sz="18" w:space="0" w:color="4F81BD" w:themeColor="accent1"/>
              <w:left w:val="nil"/>
              <w:right w:val="nil"/>
            </w:tcBorders>
            <w:shd w:val="clear" w:color="auto" w:fill="auto"/>
            <w:noWrap/>
          </w:tcPr>
          <w:p w14:paraId="4777AC93" w14:textId="192EEA29" w:rsidR="00420DF6" w:rsidRPr="00CA64AF" w:rsidRDefault="00420DF6" w:rsidP="00B06200">
            <w:pPr>
              <w:pStyle w:val="Tablenumbers"/>
              <w:jc w:val="center"/>
            </w:pPr>
            <w:r w:rsidRPr="00CA64AF">
              <w:rPr>
                <w:cs/>
              </w:rPr>
              <w:t>‎</w:t>
            </w:r>
            <w:r w:rsidRPr="00CA64AF">
              <w:t>395</w:t>
            </w:r>
            <w:r w:rsidRPr="00CA64AF">
              <w:rPr>
                <w:cs/>
              </w:rPr>
              <w:t>‎</w:t>
            </w:r>
          </w:p>
        </w:tc>
        <w:tc>
          <w:tcPr>
            <w:tcW w:w="717" w:type="pct"/>
            <w:tcBorders>
              <w:top w:val="single" w:sz="18" w:space="0" w:color="4F81BD" w:themeColor="accent1"/>
              <w:left w:val="nil"/>
              <w:right w:val="nil"/>
            </w:tcBorders>
            <w:shd w:val="clear" w:color="auto" w:fill="auto"/>
            <w:noWrap/>
          </w:tcPr>
          <w:p w14:paraId="55244F74" w14:textId="3C86F594" w:rsidR="00420DF6" w:rsidRPr="00CA64AF" w:rsidRDefault="00420DF6" w:rsidP="00B06200">
            <w:pPr>
              <w:pStyle w:val="Tablenumbers"/>
              <w:jc w:val="center"/>
            </w:pPr>
            <w:r w:rsidRPr="00CA64AF">
              <w:rPr>
                <w:cs/>
              </w:rPr>
              <w:t>‎</w:t>
            </w:r>
            <w:r w:rsidRPr="00CA64AF">
              <w:t>707</w:t>
            </w:r>
            <w:r w:rsidRPr="00CA64AF">
              <w:rPr>
                <w:cs/>
              </w:rPr>
              <w:t>‎</w:t>
            </w:r>
          </w:p>
        </w:tc>
        <w:tc>
          <w:tcPr>
            <w:tcW w:w="717" w:type="pct"/>
            <w:tcBorders>
              <w:top w:val="single" w:sz="18" w:space="0" w:color="4F81BD" w:themeColor="accent1"/>
              <w:left w:val="nil"/>
              <w:right w:val="single" w:sz="2" w:space="0" w:color="4F81BD" w:themeColor="accent1"/>
            </w:tcBorders>
            <w:shd w:val="clear" w:color="auto" w:fill="auto"/>
            <w:noWrap/>
          </w:tcPr>
          <w:p w14:paraId="6D08FCFD" w14:textId="1EC76816" w:rsidR="00420DF6" w:rsidRPr="00CA64AF" w:rsidRDefault="00420DF6" w:rsidP="00B06200">
            <w:pPr>
              <w:pStyle w:val="Tablenumbers"/>
              <w:jc w:val="center"/>
            </w:pPr>
            <w:r w:rsidRPr="00CA64AF">
              <w:rPr>
                <w:cs/>
              </w:rPr>
              <w:t>‎</w:t>
            </w:r>
            <w:r w:rsidRPr="00CA64AF">
              <w:t>1,612</w:t>
            </w:r>
            <w:r w:rsidRPr="00CA64AF">
              <w:rPr>
                <w:cs/>
              </w:rPr>
              <w:t>‎</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tcPr>
          <w:p w14:paraId="0CDE6CAD" w14:textId="4ABC5148" w:rsidR="00420DF6" w:rsidRPr="00CA64AF" w:rsidRDefault="00420DF6" w:rsidP="00B06200">
            <w:pPr>
              <w:pStyle w:val="Tablenumbers"/>
              <w:jc w:val="center"/>
              <w:rPr>
                <w:b/>
                <w:bCs/>
              </w:rPr>
            </w:pPr>
            <w:r w:rsidRPr="00CA64AF">
              <w:rPr>
                <w:cs/>
              </w:rPr>
              <w:t>‎</w:t>
            </w:r>
            <w:r w:rsidRPr="00CA64AF">
              <w:t>6,347</w:t>
            </w:r>
            <w:r w:rsidRPr="00CA64AF">
              <w:rPr>
                <w:cs/>
              </w:rPr>
              <w:t>‎</w:t>
            </w:r>
          </w:p>
        </w:tc>
      </w:tr>
      <w:tr w:rsidR="00420DF6" w:rsidRPr="00EA243A" w14:paraId="084D80F4"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17B0744B" w14:textId="77777777" w:rsidR="00420DF6" w:rsidRPr="007F4A23" w:rsidRDefault="00420DF6" w:rsidP="007F4A23">
            <w:pPr>
              <w:pStyle w:val="tabletext"/>
              <w:rPr>
                <w:color w:val="FFFFFF" w:themeColor="background1"/>
              </w:rPr>
            </w:pPr>
            <w:r w:rsidRPr="007F4A23">
              <w:rPr>
                <w:color w:val="FFFFFF" w:themeColor="background1"/>
              </w:rPr>
              <w:t>Waste after harvesting and storage</w:t>
            </w:r>
          </w:p>
        </w:tc>
        <w:tc>
          <w:tcPr>
            <w:tcW w:w="717" w:type="pct"/>
            <w:tcBorders>
              <w:left w:val="nil"/>
            </w:tcBorders>
            <w:shd w:val="clear" w:color="auto" w:fill="auto"/>
            <w:noWrap/>
          </w:tcPr>
          <w:p w14:paraId="676A2282" w14:textId="06E9FF98" w:rsidR="00420DF6" w:rsidRPr="00CA64AF" w:rsidRDefault="00420DF6" w:rsidP="00B06200">
            <w:pPr>
              <w:pStyle w:val="Tablenumbers"/>
              <w:jc w:val="center"/>
            </w:pPr>
            <w:r w:rsidRPr="00CA64AF">
              <w:rPr>
                <w:cs/>
              </w:rPr>
              <w:t>‎</w:t>
            </w:r>
            <w:r w:rsidRPr="00CA64AF">
              <w:t>185</w:t>
            </w:r>
            <w:r w:rsidRPr="00CA64AF">
              <w:rPr>
                <w:cs/>
              </w:rPr>
              <w:t>‎</w:t>
            </w:r>
          </w:p>
        </w:tc>
        <w:tc>
          <w:tcPr>
            <w:tcW w:w="797" w:type="pct"/>
            <w:shd w:val="clear" w:color="auto" w:fill="auto"/>
            <w:noWrap/>
          </w:tcPr>
          <w:p w14:paraId="6DBAB715" w14:textId="1AB7CBE5" w:rsidR="00420DF6" w:rsidRPr="00CA64AF" w:rsidRDefault="00420DF6" w:rsidP="00B06200">
            <w:pPr>
              <w:pStyle w:val="Tablenumbers"/>
              <w:jc w:val="center"/>
            </w:pPr>
            <w:r w:rsidRPr="00CA64AF">
              <w:rPr>
                <w:cs/>
              </w:rPr>
              <w:t>‎</w:t>
            </w:r>
            <w:r w:rsidRPr="00CA64AF">
              <w:t>13</w:t>
            </w:r>
            <w:r w:rsidRPr="00CA64AF">
              <w:rPr>
                <w:cs/>
              </w:rPr>
              <w:t>‎</w:t>
            </w:r>
          </w:p>
        </w:tc>
        <w:tc>
          <w:tcPr>
            <w:tcW w:w="717" w:type="pct"/>
            <w:shd w:val="clear" w:color="auto" w:fill="auto"/>
            <w:noWrap/>
          </w:tcPr>
          <w:p w14:paraId="2F0E8303" w14:textId="19E2DC0D" w:rsidR="00420DF6" w:rsidRPr="00CA64AF" w:rsidRDefault="00420DF6" w:rsidP="00B06200">
            <w:pPr>
              <w:pStyle w:val="Tablenumbers"/>
              <w:jc w:val="center"/>
            </w:pPr>
            <w:r w:rsidRPr="00CA64AF">
              <w:rPr>
                <w:cs/>
              </w:rPr>
              <w:t>‎</w:t>
            </w:r>
            <w:r w:rsidRPr="00CA64AF">
              <w:t>5</w:t>
            </w:r>
            <w:r w:rsidRPr="00CA64AF">
              <w:rPr>
                <w:cs/>
              </w:rPr>
              <w:t>‎</w:t>
            </w:r>
          </w:p>
        </w:tc>
        <w:tc>
          <w:tcPr>
            <w:tcW w:w="717" w:type="pct"/>
            <w:tcBorders>
              <w:right w:val="single" w:sz="2" w:space="0" w:color="4F81BD" w:themeColor="accent1"/>
            </w:tcBorders>
            <w:shd w:val="clear" w:color="auto" w:fill="auto"/>
            <w:noWrap/>
          </w:tcPr>
          <w:p w14:paraId="5AC4D099" w14:textId="0E8D0C1A" w:rsidR="00420DF6" w:rsidRPr="00CA64AF" w:rsidRDefault="00420DF6" w:rsidP="00B06200">
            <w:pPr>
              <w:pStyle w:val="Tablenumbers"/>
              <w:jc w:val="center"/>
            </w:pPr>
            <w:r w:rsidRPr="00CA64AF">
              <w:rPr>
                <w:cs/>
              </w:rPr>
              <w:t>‎</w:t>
            </w:r>
            <w:r w:rsidRPr="00CA64AF">
              <w:t>8</w:t>
            </w:r>
            <w:r w:rsidRPr="00CA64AF">
              <w:rPr>
                <w:cs/>
              </w:rPr>
              <w:t>‎</w:t>
            </w:r>
          </w:p>
        </w:tc>
        <w:tc>
          <w:tcPr>
            <w:tcW w:w="557" w:type="pct"/>
            <w:tcBorders>
              <w:left w:val="single" w:sz="2" w:space="0" w:color="4F81BD" w:themeColor="accent1"/>
              <w:right w:val="single" w:sz="2" w:space="0" w:color="4F81BD" w:themeColor="accent1"/>
            </w:tcBorders>
            <w:shd w:val="clear" w:color="auto" w:fill="auto"/>
            <w:noWrap/>
          </w:tcPr>
          <w:p w14:paraId="4B835480" w14:textId="68A41BF1" w:rsidR="00420DF6" w:rsidRPr="00CA64AF" w:rsidRDefault="00420DF6" w:rsidP="00B06200">
            <w:pPr>
              <w:pStyle w:val="Tablenumbers"/>
              <w:jc w:val="center"/>
              <w:rPr>
                <w:b/>
                <w:bCs/>
              </w:rPr>
            </w:pPr>
            <w:r w:rsidRPr="00CA64AF">
              <w:rPr>
                <w:cs/>
              </w:rPr>
              <w:t>‎</w:t>
            </w:r>
            <w:r w:rsidRPr="00CA64AF">
              <w:t>211</w:t>
            </w:r>
            <w:r w:rsidRPr="00CA64AF">
              <w:rPr>
                <w:cs/>
              </w:rPr>
              <w:t>‎</w:t>
            </w:r>
          </w:p>
        </w:tc>
      </w:tr>
      <w:tr w:rsidR="00420DF6" w:rsidRPr="00EA243A" w14:paraId="7FCCDD4D"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2058CAF0" w14:textId="77777777" w:rsidR="00420DF6" w:rsidRPr="007F4A23" w:rsidRDefault="00420DF6" w:rsidP="007F4A23">
            <w:pPr>
              <w:pStyle w:val="tabletext"/>
              <w:rPr>
                <w:color w:val="FFFFFF" w:themeColor="background1"/>
              </w:rPr>
            </w:pPr>
            <w:r w:rsidRPr="007F4A23">
              <w:rPr>
                <w:color w:val="FFFFFF" w:themeColor="background1"/>
              </w:rPr>
              <w:t>Percent wasted</w:t>
            </w:r>
          </w:p>
        </w:tc>
        <w:tc>
          <w:tcPr>
            <w:tcW w:w="717" w:type="pct"/>
            <w:tcBorders>
              <w:left w:val="nil"/>
              <w:bottom w:val="single" w:sz="18" w:space="0" w:color="4F81BD" w:themeColor="accent1"/>
              <w:right w:val="nil"/>
            </w:tcBorders>
            <w:shd w:val="clear" w:color="auto" w:fill="auto"/>
            <w:noWrap/>
          </w:tcPr>
          <w:p w14:paraId="096E18CE" w14:textId="2BC6DFF7" w:rsidR="00420DF6" w:rsidRPr="00CA64AF" w:rsidRDefault="00420DF6" w:rsidP="00B06200">
            <w:pPr>
              <w:pStyle w:val="Tablenumbers"/>
              <w:jc w:val="center"/>
            </w:pPr>
            <w:r w:rsidRPr="00CA64AF">
              <w:rPr>
                <w:cs/>
              </w:rPr>
              <w:t>‎</w:t>
            </w:r>
            <w:r w:rsidRPr="00CA64AF">
              <w:t>5%</w:t>
            </w:r>
            <w:r w:rsidRPr="00CA64AF">
              <w:rPr>
                <w:cs/>
              </w:rPr>
              <w:t>‎</w:t>
            </w:r>
          </w:p>
        </w:tc>
        <w:tc>
          <w:tcPr>
            <w:tcW w:w="797" w:type="pct"/>
            <w:tcBorders>
              <w:left w:val="nil"/>
              <w:bottom w:val="single" w:sz="18" w:space="0" w:color="4F81BD" w:themeColor="accent1"/>
              <w:right w:val="nil"/>
            </w:tcBorders>
            <w:shd w:val="clear" w:color="auto" w:fill="auto"/>
            <w:noWrap/>
          </w:tcPr>
          <w:p w14:paraId="5FBA527A" w14:textId="36CAB6D4" w:rsidR="00420DF6" w:rsidRPr="00CA64AF" w:rsidRDefault="00420DF6" w:rsidP="00B06200">
            <w:pPr>
              <w:pStyle w:val="Tablenumbers"/>
              <w:jc w:val="center"/>
            </w:pPr>
            <w:r w:rsidRPr="00CA64AF">
              <w:rPr>
                <w:cs/>
              </w:rPr>
              <w:t>‎</w:t>
            </w:r>
            <w:r w:rsidRPr="00CA64AF">
              <w:t>3%</w:t>
            </w:r>
            <w:r w:rsidRPr="00CA64AF">
              <w:rPr>
                <w:cs/>
              </w:rPr>
              <w:t>‎</w:t>
            </w:r>
          </w:p>
        </w:tc>
        <w:tc>
          <w:tcPr>
            <w:tcW w:w="717" w:type="pct"/>
            <w:tcBorders>
              <w:left w:val="nil"/>
              <w:bottom w:val="single" w:sz="18" w:space="0" w:color="4F81BD" w:themeColor="accent1"/>
              <w:right w:val="nil"/>
            </w:tcBorders>
            <w:shd w:val="clear" w:color="auto" w:fill="auto"/>
            <w:noWrap/>
          </w:tcPr>
          <w:p w14:paraId="09FB02A4" w14:textId="0F97C3AB" w:rsidR="00420DF6" w:rsidRPr="00CA64AF" w:rsidRDefault="00420DF6" w:rsidP="00B06200">
            <w:pPr>
              <w:pStyle w:val="Tablenumbers"/>
              <w:jc w:val="center"/>
            </w:pPr>
            <w:r w:rsidRPr="00CA64AF">
              <w:rPr>
                <w:cs/>
              </w:rPr>
              <w:t>‎</w:t>
            </w:r>
            <w:r w:rsidRPr="00CA64AF">
              <w:t>1%</w:t>
            </w:r>
            <w:r w:rsidRPr="00CA64AF">
              <w:rPr>
                <w:cs/>
              </w:rPr>
              <w:t>‎</w:t>
            </w:r>
          </w:p>
        </w:tc>
        <w:tc>
          <w:tcPr>
            <w:tcW w:w="717" w:type="pct"/>
            <w:tcBorders>
              <w:left w:val="nil"/>
              <w:bottom w:val="single" w:sz="18" w:space="0" w:color="4F81BD" w:themeColor="accent1"/>
              <w:right w:val="single" w:sz="2" w:space="0" w:color="4F81BD" w:themeColor="accent1"/>
            </w:tcBorders>
            <w:shd w:val="clear" w:color="auto" w:fill="auto"/>
            <w:noWrap/>
          </w:tcPr>
          <w:p w14:paraId="7DA10BC4" w14:textId="6E4783D6" w:rsidR="00420DF6" w:rsidRPr="00CA64AF" w:rsidRDefault="00420DF6" w:rsidP="00B06200">
            <w:pPr>
              <w:pStyle w:val="Tablenumbers"/>
              <w:jc w:val="center"/>
            </w:pPr>
            <w:r w:rsidRPr="00CA64AF">
              <w:rPr>
                <w:cs/>
              </w:rPr>
              <w:t>‎</w:t>
            </w:r>
            <w:r w:rsidRPr="00CA64AF">
              <w:t>1%</w:t>
            </w:r>
            <w:r w:rsidRPr="00CA64AF">
              <w:rPr>
                <w:cs/>
              </w:rPr>
              <w:t>‎</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tcPr>
          <w:p w14:paraId="264D5544" w14:textId="4ABC549C" w:rsidR="00420DF6" w:rsidRPr="00CA64AF" w:rsidRDefault="00420DF6" w:rsidP="00B06200">
            <w:pPr>
              <w:pStyle w:val="Tablenumbers"/>
              <w:jc w:val="center"/>
              <w:rPr>
                <w:b/>
                <w:bCs/>
              </w:rPr>
            </w:pPr>
            <w:r w:rsidRPr="00CA64AF">
              <w:rPr>
                <w:cs/>
              </w:rPr>
              <w:t>‎</w:t>
            </w:r>
            <w:r w:rsidRPr="00CA64AF">
              <w:t>3%</w:t>
            </w:r>
            <w:r w:rsidRPr="00CA64AF">
              <w:rPr>
                <w:cs/>
              </w:rPr>
              <w:t>‎</w:t>
            </w:r>
          </w:p>
        </w:tc>
      </w:tr>
      <w:tr w:rsidR="00420DF6" w:rsidRPr="00EA243A" w14:paraId="6BEDE4C9"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7152DDBD" w14:textId="77777777" w:rsidR="00420DF6" w:rsidRPr="007F4A23" w:rsidRDefault="00420DF6" w:rsidP="007F4A23">
            <w:pPr>
              <w:pStyle w:val="tabletext"/>
              <w:rPr>
                <w:color w:val="FFFFFF" w:themeColor="background1"/>
              </w:rPr>
            </w:pPr>
            <w:r w:rsidRPr="007F4A23">
              <w:rPr>
                <w:color w:val="FFFFFF" w:themeColor="background1"/>
              </w:rPr>
              <w:t>Industrial usage</w:t>
            </w:r>
          </w:p>
        </w:tc>
        <w:tc>
          <w:tcPr>
            <w:tcW w:w="717" w:type="pct"/>
            <w:tcBorders>
              <w:top w:val="single" w:sz="18" w:space="0" w:color="4F81BD" w:themeColor="accent1"/>
              <w:left w:val="nil"/>
              <w:right w:val="nil"/>
            </w:tcBorders>
            <w:shd w:val="clear" w:color="auto" w:fill="auto"/>
            <w:noWrap/>
          </w:tcPr>
          <w:p w14:paraId="131184CA" w14:textId="750FBBA2" w:rsidR="00420DF6" w:rsidRPr="00CA64AF" w:rsidRDefault="00420DF6" w:rsidP="00B06200">
            <w:pPr>
              <w:pStyle w:val="Tablenumbers"/>
              <w:jc w:val="center"/>
            </w:pPr>
            <w:r w:rsidRPr="00CA64AF">
              <w:rPr>
                <w:cs/>
              </w:rPr>
              <w:t>‎</w:t>
            </w:r>
            <w:r w:rsidRPr="00CA64AF">
              <w:t>645</w:t>
            </w:r>
            <w:r w:rsidRPr="00CA64AF">
              <w:rPr>
                <w:cs/>
              </w:rPr>
              <w:t>‎</w:t>
            </w:r>
          </w:p>
        </w:tc>
        <w:tc>
          <w:tcPr>
            <w:tcW w:w="797" w:type="pct"/>
            <w:tcBorders>
              <w:top w:val="single" w:sz="18" w:space="0" w:color="4F81BD" w:themeColor="accent1"/>
              <w:left w:val="nil"/>
              <w:right w:val="nil"/>
            </w:tcBorders>
            <w:shd w:val="clear" w:color="auto" w:fill="auto"/>
            <w:noWrap/>
          </w:tcPr>
          <w:p w14:paraId="221FE6DE" w14:textId="39C4F069" w:rsidR="00420DF6" w:rsidRPr="00CA64AF" w:rsidRDefault="00420DF6" w:rsidP="00B06200">
            <w:pPr>
              <w:pStyle w:val="Tablenumbers"/>
              <w:jc w:val="center"/>
            </w:pPr>
            <w:r w:rsidRPr="00CA64AF">
              <w:rPr>
                <w:cs/>
              </w:rPr>
              <w:t>‎</w:t>
            </w:r>
            <w:r w:rsidRPr="00CA64AF">
              <w:t>379</w:t>
            </w:r>
            <w:r w:rsidRPr="00CA64AF">
              <w:rPr>
                <w:cs/>
              </w:rPr>
              <w:t>‎</w:t>
            </w:r>
          </w:p>
        </w:tc>
        <w:tc>
          <w:tcPr>
            <w:tcW w:w="717" w:type="pct"/>
            <w:tcBorders>
              <w:top w:val="single" w:sz="18" w:space="0" w:color="4F81BD" w:themeColor="accent1"/>
              <w:left w:val="nil"/>
              <w:right w:val="nil"/>
            </w:tcBorders>
            <w:shd w:val="clear" w:color="auto" w:fill="auto"/>
            <w:noWrap/>
          </w:tcPr>
          <w:p w14:paraId="3CE88FF1" w14:textId="04C237DE" w:rsidR="00420DF6" w:rsidRPr="00CA64AF" w:rsidRDefault="00420DF6" w:rsidP="00B06200">
            <w:pPr>
              <w:pStyle w:val="Tablenumbers"/>
              <w:jc w:val="center"/>
            </w:pPr>
            <w:r w:rsidRPr="00CA64AF">
              <w:rPr>
                <w:cs/>
              </w:rPr>
              <w:t>‎</w:t>
            </w:r>
            <w:r w:rsidRPr="00CA64AF">
              <w:t>593</w:t>
            </w:r>
            <w:r w:rsidRPr="00CA64AF">
              <w:rPr>
                <w:cs/>
              </w:rPr>
              <w:t>‎</w:t>
            </w:r>
          </w:p>
        </w:tc>
        <w:tc>
          <w:tcPr>
            <w:tcW w:w="717" w:type="pct"/>
            <w:tcBorders>
              <w:top w:val="single" w:sz="18" w:space="0" w:color="4F81BD" w:themeColor="accent1"/>
              <w:left w:val="nil"/>
              <w:right w:val="single" w:sz="2" w:space="0" w:color="4F81BD" w:themeColor="accent1"/>
            </w:tcBorders>
            <w:shd w:val="clear" w:color="auto" w:fill="auto"/>
            <w:noWrap/>
          </w:tcPr>
          <w:p w14:paraId="40E6DA5B" w14:textId="760BC007" w:rsidR="00420DF6" w:rsidRPr="00CA64AF" w:rsidRDefault="00420DF6" w:rsidP="00B06200">
            <w:pPr>
              <w:pStyle w:val="Tablenumbers"/>
              <w:jc w:val="center"/>
            </w:pPr>
            <w:r w:rsidRPr="00CA64AF">
              <w:rPr>
                <w:cs/>
              </w:rPr>
              <w:t>‎</w:t>
            </w:r>
            <w:r w:rsidRPr="00CA64AF">
              <w:t>1,567</w:t>
            </w:r>
            <w:r w:rsidRPr="00CA64AF">
              <w:rPr>
                <w:cs/>
              </w:rPr>
              <w:t>‎</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tcPr>
          <w:p w14:paraId="7353ABAC" w14:textId="1DD251EB" w:rsidR="00420DF6" w:rsidRPr="00CA64AF" w:rsidRDefault="00420DF6" w:rsidP="00B06200">
            <w:pPr>
              <w:pStyle w:val="Tablenumbers"/>
              <w:jc w:val="center"/>
              <w:rPr>
                <w:b/>
                <w:bCs/>
              </w:rPr>
            </w:pPr>
            <w:r w:rsidRPr="00CA64AF">
              <w:rPr>
                <w:cs/>
              </w:rPr>
              <w:t>‎</w:t>
            </w:r>
            <w:r w:rsidRPr="00CA64AF">
              <w:t>3,184</w:t>
            </w:r>
            <w:r w:rsidRPr="00CA64AF">
              <w:rPr>
                <w:cs/>
              </w:rPr>
              <w:t>‎</w:t>
            </w:r>
          </w:p>
        </w:tc>
      </w:tr>
      <w:tr w:rsidR="00420DF6" w:rsidRPr="00EA243A" w14:paraId="65143CE6"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206EE43D" w14:textId="77777777" w:rsidR="00420DF6" w:rsidRPr="007F4A23" w:rsidRDefault="00420DF6" w:rsidP="007F4A23">
            <w:pPr>
              <w:pStyle w:val="tabletext"/>
              <w:rPr>
                <w:color w:val="FFFFFF" w:themeColor="background1"/>
              </w:rPr>
            </w:pPr>
            <w:r w:rsidRPr="007F4A23">
              <w:rPr>
                <w:color w:val="FFFFFF" w:themeColor="background1"/>
              </w:rPr>
              <w:t>Lost during industrial usage</w:t>
            </w:r>
          </w:p>
        </w:tc>
        <w:tc>
          <w:tcPr>
            <w:tcW w:w="717" w:type="pct"/>
            <w:tcBorders>
              <w:left w:val="nil"/>
            </w:tcBorders>
            <w:shd w:val="clear" w:color="auto" w:fill="auto"/>
            <w:noWrap/>
          </w:tcPr>
          <w:p w14:paraId="5936BD51" w14:textId="081A1077" w:rsidR="00420DF6" w:rsidRPr="00CA64AF" w:rsidRDefault="00420DF6" w:rsidP="00B06200">
            <w:pPr>
              <w:pStyle w:val="Tablenumbers"/>
              <w:jc w:val="center"/>
            </w:pPr>
            <w:r w:rsidRPr="00CA64AF">
              <w:rPr>
                <w:cs/>
              </w:rPr>
              <w:t>‎</w:t>
            </w:r>
            <w:r w:rsidRPr="00CA64AF">
              <w:t>20</w:t>
            </w:r>
            <w:r w:rsidRPr="00CA64AF">
              <w:rPr>
                <w:cs/>
              </w:rPr>
              <w:t>‎</w:t>
            </w:r>
          </w:p>
        </w:tc>
        <w:tc>
          <w:tcPr>
            <w:tcW w:w="797" w:type="pct"/>
            <w:shd w:val="clear" w:color="auto" w:fill="auto"/>
            <w:noWrap/>
          </w:tcPr>
          <w:p w14:paraId="2409BF5E" w14:textId="3AB8298B" w:rsidR="00420DF6" w:rsidRPr="00CA64AF" w:rsidRDefault="00420DF6" w:rsidP="00B06200">
            <w:pPr>
              <w:pStyle w:val="Tablenumbers"/>
              <w:jc w:val="center"/>
            </w:pPr>
            <w:r w:rsidRPr="00CA64AF">
              <w:rPr>
                <w:rtl/>
              </w:rPr>
              <w:t>‏19‏</w:t>
            </w:r>
          </w:p>
        </w:tc>
        <w:tc>
          <w:tcPr>
            <w:tcW w:w="717" w:type="pct"/>
            <w:shd w:val="clear" w:color="auto" w:fill="auto"/>
            <w:noWrap/>
          </w:tcPr>
          <w:p w14:paraId="24FF450E" w14:textId="1CD9497F" w:rsidR="00420DF6" w:rsidRPr="00CA64AF" w:rsidRDefault="00420DF6" w:rsidP="00B06200">
            <w:pPr>
              <w:pStyle w:val="Tablenumbers"/>
              <w:jc w:val="center"/>
            </w:pPr>
            <w:r w:rsidRPr="00CA64AF">
              <w:rPr>
                <w:cs/>
              </w:rPr>
              <w:t>‎</w:t>
            </w:r>
            <w:r w:rsidRPr="00CA64AF">
              <w:t>30</w:t>
            </w:r>
            <w:r w:rsidRPr="00CA64AF">
              <w:rPr>
                <w:cs/>
              </w:rPr>
              <w:t>‎</w:t>
            </w:r>
          </w:p>
        </w:tc>
        <w:tc>
          <w:tcPr>
            <w:tcW w:w="717" w:type="pct"/>
            <w:tcBorders>
              <w:right w:val="single" w:sz="2" w:space="0" w:color="4F81BD" w:themeColor="accent1"/>
            </w:tcBorders>
            <w:shd w:val="clear" w:color="auto" w:fill="auto"/>
            <w:noWrap/>
          </w:tcPr>
          <w:p w14:paraId="7008DDA2" w14:textId="357666FE" w:rsidR="00420DF6" w:rsidRPr="00CA64AF" w:rsidRDefault="00420DF6" w:rsidP="00B06200">
            <w:pPr>
              <w:pStyle w:val="Tablenumbers"/>
              <w:jc w:val="center"/>
            </w:pPr>
            <w:r w:rsidRPr="00CA64AF">
              <w:rPr>
                <w:cs/>
              </w:rPr>
              <w:t>‎</w:t>
            </w:r>
            <w:r w:rsidRPr="00CA64AF">
              <w:t>19</w:t>
            </w:r>
            <w:r w:rsidRPr="00CA64AF">
              <w:rPr>
                <w:cs/>
              </w:rPr>
              <w:t>‎</w:t>
            </w:r>
          </w:p>
        </w:tc>
        <w:tc>
          <w:tcPr>
            <w:tcW w:w="557" w:type="pct"/>
            <w:tcBorders>
              <w:left w:val="single" w:sz="2" w:space="0" w:color="4F81BD" w:themeColor="accent1"/>
              <w:right w:val="single" w:sz="2" w:space="0" w:color="4F81BD" w:themeColor="accent1"/>
            </w:tcBorders>
            <w:shd w:val="clear" w:color="auto" w:fill="auto"/>
            <w:noWrap/>
          </w:tcPr>
          <w:p w14:paraId="1F2B8EDB" w14:textId="04601273" w:rsidR="00420DF6" w:rsidRPr="00CA64AF" w:rsidRDefault="00420DF6" w:rsidP="00B06200">
            <w:pPr>
              <w:pStyle w:val="Tablenumbers"/>
              <w:jc w:val="center"/>
              <w:rPr>
                <w:b/>
                <w:bCs/>
              </w:rPr>
            </w:pPr>
            <w:r w:rsidRPr="00CA64AF">
              <w:rPr>
                <w:cs/>
              </w:rPr>
              <w:t>‎</w:t>
            </w:r>
            <w:r w:rsidRPr="00CA64AF">
              <w:t>88</w:t>
            </w:r>
            <w:r w:rsidRPr="00CA64AF">
              <w:rPr>
                <w:cs/>
              </w:rPr>
              <w:t>‎</w:t>
            </w:r>
          </w:p>
        </w:tc>
      </w:tr>
      <w:tr w:rsidR="00420DF6" w:rsidRPr="00EA243A" w14:paraId="561B7D63"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54713F7C" w14:textId="77777777" w:rsidR="00420DF6" w:rsidRPr="007F4A23" w:rsidRDefault="00420DF6" w:rsidP="007F4A23">
            <w:pPr>
              <w:pStyle w:val="tabletext"/>
              <w:rPr>
                <w:color w:val="FFFFFF" w:themeColor="background1"/>
              </w:rPr>
            </w:pPr>
            <w:r w:rsidRPr="007F4A23">
              <w:rPr>
                <w:color w:val="FFFFFF" w:themeColor="background1"/>
              </w:rPr>
              <w:t>Percent wasted</w:t>
            </w:r>
          </w:p>
        </w:tc>
        <w:tc>
          <w:tcPr>
            <w:tcW w:w="717" w:type="pct"/>
            <w:tcBorders>
              <w:left w:val="nil"/>
              <w:bottom w:val="single" w:sz="18" w:space="0" w:color="4F81BD" w:themeColor="accent1"/>
              <w:right w:val="nil"/>
            </w:tcBorders>
            <w:shd w:val="clear" w:color="auto" w:fill="auto"/>
            <w:noWrap/>
          </w:tcPr>
          <w:p w14:paraId="179D6286" w14:textId="0787EB80" w:rsidR="00420DF6" w:rsidRPr="00CA64AF" w:rsidRDefault="00420DF6" w:rsidP="00B06200">
            <w:pPr>
              <w:pStyle w:val="Tablenumbers"/>
              <w:jc w:val="center"/>
            </w:pPr>
            <w:r w:rsidRPr="00CA64AF">
              <w:rPr>
                <w:cs/>
              </w:rPr>
              <w:t>‎</w:t>
            </w:r>
            <w:r w:rsidRPr="00CA64AF">
              <w:t>3%</w:t>
            </w:r>
            <w:r w:rsidRPr="00CA64AF">
              <w:rPr>
                <w:cs/>
              </w:rPr>
              <w:t>‎</w:t>
            </w:r>
          </w:p>
        </w:tc>
        <w:tc>
          <w:tcPr>
            <w:tcW w:w="797" w:type="pct"/>
            <w:tcBorders>
              <w:left w:val="nil"/>
              <w:bottom w:val="single" w:sz="18" w:space="0" w:color="4F81BD" w:themeColor="accent1"/>
              <w:right w:val="nil"/>
            </w:tcBorders>
            <w:shd w:val="clear" w:color="auto" w:fill="auto"/>
            <w:noWrap/>
          </w:tcPr>
          <w:p w14:paraId="0BD9666E" w14:textId="317BE089" w:rsidR="00420DF6" w:rsidRPr="00CA64AF" w:rsidRDefault="00420DF6" w:rsidP="00B06200">
            <w:pPr>
              <w:pStyle w:val="Tablenumbers"/>
              <w:jc w:val="center"/>
            </w:pPr>
            <w:r w:rsidRPr="00CA64AF">
              <w:rPr>
                <w:rtl/>
              </w:rPr>
              <w:t>‏5‏</w:t>
            </w:r>
            <w:r w:rsidRPr="00CA64AF">
              <w:rPr>
                <w:cs/>
              </w:rPr>
              <w:t>‎</w:t>
            </w:r>
            <w:r w:rsidRPr="00CA64AF">
              <w:t>%</w:t>
            </w:r>
            <w:r w:rsidRPr="00CA64AF">
              <w:rPr>
                <w:cs/>
              </w:rPr>
              <w:t>‎</w:t>
            </w:r>
          </w:p>
        </w:tc>
        <w:tc>
          <w:tcPr>
            <w:tcW w:w="717" w:type="pct"/>
            <w:tcBorders>
              <w:left w:val="nil"/>
              <w:bottom w:val="single" w:sz="18" w:space="0" w:color="4F81BD" w:themeColor="accent1"/>
              <w:right w:val="nil"/>
            </w:tcBorders>
            <w:shd w:val="clear" w:color="auto" w:fill="auto"/>
            <w:noWrap/>
          </w:tcPr>
          <w:p w14:paraId="2E3B42D5" w14:textId="5895579F" w:rsidR="00420DF6" w:rsidRPr="00CA64AF" w:rsidRDefault="00420DF6" w:rsidP="00B06200">
            <w:pPr>
              <w:pStyle w:val="Tablenumbers"/>
              <w:jc w:val="center"/>
            </w:pPr>
            <w:r w:rsidRPr="00CA64AF">
              <w:rPr>
                <w:cs/>
              </w:rPr>
              <w:t>‎</w:t>
            </w:r>
            <w:r w:rsidRPr="00CA64AF">
              <w:t>5%</w:t>
            </w:r>
            <w:r w:rsidRPr="00CA64AF">
              <w:rPr>
                <w:cs/>
              </w:rPr>
              <w:t>‎</w:t>
            </w:r>
          </w:p>
        </w:tc>
        <w:tc>
          <w:tcPr>
            <w:tcW w:w="717" w:type="pct"/>
            <w:tcBorders>
              <w:left w:val="nil"/>
              <w:bottom w:val="single" w:sz="18" w:space="0" w:color="4F81BD" w:themeColor="accent1"/>
              <w:right w:val="single" w:sz="2" w:space="0" w:color="4F81BD" w:themeColor="accent1"/>
            </w:tcBorders>
            <w:shd w:val="clear" w:color="auto" w:fill="auto"/>
            <w:noWrap/>
          </w:tcPr>
          <w:p w14:paraId="327FBA0D" w14:textId="1FD7D6AC" w:rsidR="00420DF6" w:rsidRPr="00CA64AF" w:rsidRDefault="00420DF6" w:rsidP="00B06200">
            <w:pPr>
              <w:pStyle w:val="Tablenumbers"/>
              <w:jc w:val="center"/>
            </w:pPr>
            <w:r w:rsidRPr="00CA64AF">
              <w:rPr>
                <w:cs/>
              </w:rPr>
              <w:t>‎</w:t>
            </w:r>
            <w:r w:rsidRPr="00CA64AF">
              <w:t>1%</w:t>
            </w:r>
            <w:r w:rsidRPr="00CA64AF">
              <w:rPr>
                <w:cs/>
              </w:rPr>
              <w:t>‎</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tcPr>
          <w:p w14:paraId="691141F0" w14:textId="3482086A" w:rsidR="00420DF6" w:rsidRPr="00CA64AF" w:rsidRDefault="00420DF6" w:rsidP="00B06200">
            <w:pPr>
              <w:pStyle w:val="Tablenumbers"/>
              <w:jc w:val="center"/>
              <w:rPr>
                <w:b/>
                <w:bCs/>
              </w:rPr>
            </w:pPr>
            <w:r w:rsidRPr="00CA64AF">
              <w:rPr>
                <w:cs/>
              </w:rPr>
              <w:t>‎</w:t>
            </w:r>
            <w:r w:rsidRPr="00CA64AF">
              <w:t>3%</w:t>
            </w:r>
            <w:r w:rsidRPr="00CA64AF">
              <w:rPr>
                <w:cs/>
              </w:rPr>
              <w:t>‎</w:t>
            </w:r>
          </w:p>
        </w:tc>
      </w:tr>
      <w:tr w:rsidR="00420DF6" w:rsidRPr="00EA243A" w14:paraId="2C7384F5"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77A619B3" w14:textId="77777777" w:rsidR="00420DF6" w:rsidRPr="007F4A23" w:rsidRDefault="00420DF6" w:rsidP="007F4A23">
            <w:pPr>
              <w:pStyle w:val="tabletext"/>
              <w:rPr>
                <w:color w:val="FFFFFF" w:themeColor="background1"/>
              </w:rPr>
            </w:pPr>
            <w:r w:rsidRPr="007F4A23">
              <w:rPr>
                <w:color w:val="FFFFFF" w:themeColor="background1"/>
              </w:rPr>
              <w:t>Net imports, minus other uses</w:t>
            </w:r>
          </w:p>
        </w:tc>
        <w:tc>
          <w:tcPr>
            <w:tcW w:w="717" w:type="pct"/>
            <w:tcBorders>
              <w:top w:val="single" w:sz="18" w:space="0" w:color="4F81BD" w:themeColor="accent1"/>
              <w:left w:val="nil"/>
              <w:bottom w:val="single" w:sz="18" w:space="0" w:color="4F81BD" w:themeColor="accent1"/>
              <w:right w:val="nil"/>
            </w:tcBorders>
            <w:shd w:val="clear" w:color="auto" w:fill="auto"/>
            <w:noWrap/>
          </w:tcPr>
          <w:p w14:paraId="3A34E6F5" w14:textId="46B45BE4" w:rsidR="00420DF6" w:rsidRPr="00CA64AF" w:rsidRDefault="00420DF6" w:rsidP="00B06200">
            <w:pPr>
              <w:pStyle w:val="Tablenumbers"/>
              <w:jc w:val="center"/>
            </w:pPr>
            <w:r w:rsidRPr="00CA64AF">
              <w:rPr>
                <w:cs/>
              </w:rPr>
              <w:t>‎</w:t>
            </w:r>
            <w:r w:rsidRPr="00CA64AF">
              <w:t>1</w:t>
            </w:r>
            <w:r w:rsidRPr="00CA64AF">
              <w:rPr>
                <w:cs/>
              </w:rPr>
              <w:t>‎</w:t>
            </w:r>
          </w:p>
        </w:tc>
        <w:tc>
          <w:tcPr>
            <w:tcW w:w="797" w:type="pct"/>
            <w:tcBorders>
              <w:top w:val="single" w:sz="18" w:space="0" w:color="4F81BD" w:themeColor="accent1"/>
              <w:left w:val="nil"/>
              <w:bottom w:val="single" w:sz="18" w:space="0" w:color="4F81BD" w:themeColor="accent1"/>
              <w:right w:val="nil"/>
            </w:tcBorders>
            <w:shd w:val="clear" w:color="auto" w:fill="auto"/>
            <w:noWrap/>
          </w:tcPr>
          <w:p w14:paraId="1A8D1375" w14:textId="6AC8F81F" w:rsidR="00420DF6" w:rsidRPr="00CA64AF" w:rsidRDefault="00420DF6" w:rsidP="00B06200">
            <w:pPr>
              <w:pStyle w:val="Tablenumbers"/>
              <w:jc w:val="center"/>
            </w:pPr>
            <w:r w:rsidRPr="00CA64AF">
              <w:rPr>
                <w:cs/>
              </w:rPr>
              <w:t>‎</w:t>
            </w:r>
            <w:r w:rsidRPr="00CA64AF">
              <w:t>1,062</w:t>
            </w:r>
            <w:r w:rsidRPr="00CA64AF">
              <w:rPr>
                <w:cs/>
              </w:rPr>
              <w:t>‎</w:t>
            </w:r>
          </w:p>
        </w:tc>
        <w:tc>
          <w:tcPr>
            <w:tcW w:w="717" w:type="pct"/>
            <w:tcBorders>
              <w:top w:val="single" w:sz="18" w:space="0" w:color="4F81BD" w:themeColor="accent1"/>
              <w:left w:val="nil"/>
              <w:bottom w:val="single" w:sz="18" w:space="0" w:color="4F81BD" w:themeColor="accent1"/>
              <w:right w:val="nil"/>
            </w:tcBorders>
            <w:shd w:val="clear" w:color="auto" w:fill="auto"/>
            <w:noWrap/>
          </w:tcPr>
          <w:p w14:paraId="313029CD" w14:textId="4C8F5F7F" w:rsidR="00420DF6" w:rsidRPr="00CA64AF" w:rsidRDefault="00420DF6" w:rsidP="00B06200">
            <w:pPr>
              <w:pStyle w:val="Tablenumbers"/>
              <w:jc w:val="center"/>
            </w:pPr>
            <w:r w:rsidRPr="00CA64AF">
              <w:rPr>
                <w:cs/>
              </w:rPr>
              <w:t>‎</w:t>
            </w:r>
            <w:r w:rsidRPr="00CA64AF">
              <w:t>111</w:t>
            </w:r>
            <w:r w:rsidRPr="00CA64AF">
              <w:rPr>
                <w:cs/>
              </w:rPr>
              <w:t>‎</w:t>
            </w:r>
          </w:p>
        </w:tc>
        <w:tc>
          <w:tcPr>
            <w:tcW w:w="717" w:type="pct"/>
            <w:tcBorders>
              <w:top w:val="single" w:sz="18" w:space="0" w:color="4F81BD" w:themeColor="accent1"/>
              <w:left w:val="nil"/>
              <w:bottom w:val="single" w:sz="18" w:space="0" w:color="4F81BD" w:themeColor="accent1"/>
              <w:right w:val="single" w:sz="2" w:space="0" w:color="4F81BD" w:themeColor="accent1"/>
            </w:tcBorders>
            <w:shd w:val="clear" w:color="auto" w:fill="auto"/>
            <w:noWrap/>
          </w:tcPr>
          <w:p w14:paraId="1FC05D17" w14:textId="083AB87D" w:rsidR="00420DF6" w:rsidRPr="00CA64AF" w:rsidRDefault="00420DF6" w:rsidP="00B06200">
            <w:pPr>
              <w:pStyle w:val="Tablenumbers"/>
              <w:jc w:val="center"/>
            </w:pPr>
            <w:r w:rsidRPr="00CA64AF">
              <w:rPr>
                <w:cs/>
              </w:rPr>
              <w:t>‎</w:t>
            </w:r>
            <w:r w:rsidRPr="00CA64AF">
              <w:t>93</w:t>
            </w:r>
            <w:r w:rsidRPr="00CA64AF">
              <w:rPr>
                <w:cs/>
              </w:rPr>
              <w:t>‎</w:t>
            </w:r>
          </w:p>
        </w:tc>
        <w:tc>
          <w:tcPr>
            <w:tcW w:w="557" w:type="pct"/>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noWrap/>
          </w:tcPr>
          <w:p w14:paraId="31BFF700" w14:textId="35E93AC5" w:rsidR="00420DF6" w:rsidRPr="00CA64AF" w:rsidRDefault="00420DF6" w:rsidP="00B06200">
            <w:pPr>
              <w:pStyle w:val="Tablenumbers"/>
              <w:jc w:val="center"/>
              <w:rPr>
                <w:b/>
                <w:bCs/>
              </w:rPr>
            </w:pPr>
            <w:r w:rsidRPr="00CA64AF">
              <w:rPr>
                <w:cs/>
              </w:rPr>
              <w:t>‎</w:t>
            </w:r>
            <w:r w:rsidRPr="00CA64AF">
              <w:t>1,267</w:t>
            </w:r>
            <w:r w:rsidRPr="00CA64AF">
              <w:rPr>
                <w:cs/>
              </w:rPr>
              <w:t>‎</w:t>
            </w:r>
          </w:p>
        </w:tc>
      </w:tr>
      <w:tr w:rsidR="00420DF6" w:rsidRPr="00EA243A" w14:paraId="5BDE8858"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66C06931" w14:textId="77777777" w:rsidR="00420DF6" w:rsidRPr="007F4A23" w:rsidRDefault="00420DF6" w:rsidP="007F4A23">
            <w:pPr>
              <w:pStyle w:val="tabletext"/>
              <w:rPr>
                <w:color w:val="FFFFFF" w:themeColor="background1"/>
              </w:rPr>
            </w:pPr>
            <w:r w:rsidRPr="007F4A23">
              <w:rPr>
                <w:color w:val="FFFFFF" w:themeColor="background1"/>
              </w:rPr>
              <w:t>Distribution and retail</w:t>
            </w:r>
          </w:p>
        </w:tc>
        <w:tc>
          <w:tcPr>
            <w:tcW w:w="717" w:type="pct"/>
            <w:tcBorders>
              <w:top w:val="single" w:sz="18" w:space="0" w:color="4F81BD" w:themeColor="accent1"/>
              <w:left w:val="nil"/>
              <w:right w:val="nil"/>
            </w:tcBorders>
            <w:shd w:val="clear" w:color="auto" w:fill="auto"/>
            <w:noWrap/>
          </w:tcPr>
          <w:p w14:paraId="7E9073DC" w14:textId="0632D212" w:rsidR="00420DF6" w:rsidRPr="00CA64AF" w:rsidRDefault="00420DF6" w:rsidP="00B06200">
            <w:pPr>
              <w:pStyle w:val="Tablenumbers"/>
              <w:jc w:val="center"/>
            </w:pPr>
            <w:r w:rsidRPr="00CA64AF">
              <w:rPr>
                <w:cs/>
              </w:rPr>
              <w:t>‎</w:t>
            </w:r>
            <w:r w:rsidRPr="00CA64AF">
              <w:t>3,429</w:t>
            </w:r>
            <w:r w:rsidRPr="00CA64AF">
              <w:rPr>
                <w:cs/>
              </w:rPr>
              <w:t>‎</w:t>
            </w:r>
          </w:p>
        </w:tc>
        <w:tc>
          <w:tcPr>
            <w:tcW w:w="797" w:type="pct"/>
            <w:tcBorders>
              <w:top w:val="single" w:sz="18" w:space="0" w:color="4F81BD" w:themeColor="accent1"/>
              <w:left w:val="nil"/>
              <w:right w:val="nil"/>
            </w:tcBorders>
            <w:shd w:val="clear" w:color="auto" w:fill="auto"/>
            <w:noWrap/>
          </w:tcPr>
          <w:p w14:paraId="06B9B0D1" w14:textId="0C52228E" w:rsidR="00420DF6" w:rsidRPr="00CA64AF" w:rsidRDefault="00420DF6" w:rsidP="00B06200">
            <w:pPr>
              <w:pStyle w:val="Tablenumbers"/>
              <w:jc w:val="center"/>
            </w:pPr>
            <w:r w:rsidRPr="00CA64AF">
              <w:rPr>
                <w:cs/>
              </w:rPr>
              <w:t>‎</w:t>
            </w:r>
            <w:r w:rsidRPr="00CA64AF">
              <w:t>1425</w:t>
            </w:r>
            <w:r w:rsidRPr="00CA64AF">
              <w:rPr>
                <w:cs/>
              </w:rPr>
              <w:t>‎</w:t>
            </w:r>
          </w:p>
        </w:tc>
        <w:tc>
          <w:tcPr>
            <w:tcW w:w="717" w:type="pct"/>
            <w:tcBorders>
              <w:top w:val="single" w:sz="18" w:space="0" w:color="4F81BD" w:themeColor="accent1"/>
              <w:left w:val="nil"/>
              <w:right w:val="nil"/>
            </w:tcBorders>
            <w:shd w:val="clear" w:color="auto" w:fill="auto"/>
            <w:noWrap/>
          </w:tcPr>
          <w:p w14:paraId="1CC0F900" w14:textId="2D828C88" w:rsidR="00420DF6" w:rsidRPr="00CA64AF" w:rsidRDefault="00420DF6" w:rsidP="00B06200">
            <w:pPr>
              <w:pStyle w:val="Tablenumbers"/>
              <w:jc w:val="center"/>
            </w:pPr>
            <w:r w:rsidRPr="00CA64AF">
              <w:rPr>
                <w:cs/>
              </w:rPr>
              <w:t>‎</w:t>
            </w:r>
            <w:r w:rsidRPr="00CA64AF">
              <w:t>783</w:t>
            </w:r>
            <w:r w:rsidRPr="00CA64AF">
              <w:rPr>
                <w:cs/>
              </w:rPr>
              <w:t>‎</w:t>
            </w:r>
          </w:p>
        </w:tc>
        <w:tc>
          <w:tcPr>
            <w:tcW w:w="717" w:type="pct"/>
            <w:tcBorders>
              <w:top w:val="single" w:sz="18" w:space="0" w:color="4F81BD" w:themeColor="accent1"/>
              <w:left w:val="nil"/>
              <w:right w:val="single" w:sz="2" w:space="0" w:color="4F81BD" w:themeColor="accent1"/>
            </w:tcBorders>
            <w:shd w:val="clear" w:color="auto" w:fill="auto"/>
            <w:noWrap/>
          </w:tcPr>
          <w:p w14:paraId="321D3BE2" w14:textId="73B2D57B" w:rsidR="00420DF6" w:rsidRPr="00CA64AF" w:rsidRDefault="00420DF6" w:rsidP="00B06200">
            <w:pPr>
              <w:pStyle w:val="Tablenumbers"/>
              <w:jc w:val="center"/>
            </w:pPr>
            <w:r w:rsidRPr="00CA64AF">
              <w:rPr>
                <w:cs/>
              </w:rPr>
              <w:t>‎</w:t>
            </w:r>
            <w:r w:rsidRPr="00CA64AF">
              <w:t>1,678</w:t>
            </w:r>
            <w:r w:rsidRPr="00CA64AF">
              <w:rPr>
                <w:cs/>
              </w:rPr>
              <w:t>‎</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tcPr>
          <w:p w14:paraId="268F2080" w14:textId="68CBF251" w:rsidR="00420DF6" w:rsidRPr="00CA64AF" w:rsidRDefault="00420DF6" w:rsidP="00B06200">
            <w:pPr>
              <w:pStyle w:val="Tablenumbers"/>
              <w:jc w:val="center"/>
              <w:rPr>
                <w:b/>
                <w:bCs/>
              </w:rPr>
            </w:pPr>
            <w:r w:rsidRPr="00CA64AF">
              <w:rPr>
                <w:cs/>
              </w:rPr>
              <w:t>‎</w:t>
            </w:r>
            <w:r w:rsidRPr="00CA64AF">
              <w:t>7,315</w:t>
            </w:r>
            <w:r w:rsidRPr="00CA64AF">
              <w:rPr>
                <w:cs/>
              </w:rPr>
              <w:t>‎</w:t>
            </w:r>
          </w:p>
        </w:tc>
      </w:tr>
      <w:tr w:rsidR="00420DF6" w:rsidRPr="00EA243A" w14:paraId="750595A0"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03217A81" w14:textId="77777777" w:rsidR="00420DF6" w:rsidRPr="007F4A23" w:rsidRDefault="00420DF6" w:rsidP="007F4A23">
            <w:pPr>
              <w:pStyle w:val="tabletext"/>
              <w:rPr>
                <w:color w:val="FFFFFF" w:themeColor="background1"/>
              </w:rPr>
            </w:pPr>
            <w:r w:rsidRPr="007F4A23">
              <w:rPr>
                <w:color w:val="FFFFFF" w:themeColor="background1"/>
              </w:rPr>
              <w:t>Waste during distribution</w:t>
            </w:r>
          </w:p>
        </w:tc>
        <w:tc>
          <w:tcPr>
            <w:tcW w:w="717" w:type="pct"/>
            <w:tcBorders>
              <w:left w:val="nil"/>
            </w:tcBorders>
            <w:shd w:val="clear" w:color="auto" w:fill="auto"/>
            <w:noWrap/>
          </w:tcPr>
          <w:p w14:paraId="366554DF" w14:textId="4C0A807C" w:rsidR="00420DF6" w:rsidRPr="00CA64AF" w:rsidRDefault="00420DF6" w:rsidP="00B06200">
            <w:pPr>
              <w:pStyle w:val="Tablenumbers"/>
              <w:jc w:val="center"/>
            </w:pPr>
            <w:r w:rsidRPr="00CA64AF">
              <w:rPr>
                <w:cs/>
              </w:rPr>
              <w:t>‎</w:t>
            </w:r>
            <w:r w:rsidRPr="00CA64AF">
              <w:t>313</w:t>
            </w:r>
            <w:r w:rsidRPr="00CA64AF">
              <w:rPr>
                <w:cs/>
              </w:rPr>
              <w:t>‎</w:t>
            </w:r>
          </w:p>
        </w:tc>
        <w:tc>
          <w:tcPr>
            <w:tcW w:w="797" w:type="pct"/>
            <w:shd w:val="clear" w:color="auto" w:fill="auto"/>
            <w:noWrap/>
          </w:tcPr>
          <w:p w14:paraId="6875B6B8" w14:textId="140D64A4" w:rsidR="00420DF6" w:rsidRPr="00CA64AF" w:rsidRDefault="00420DF6" w:rsidP="00B06200">
            <w:pPr>
              <w:pStyle w:val="Tablenumbers"/>
              <w:jc w:val="center"/>
            </w:pPr>
            <w:r w:rsidRPr="00CA64AF">
              <w:rPr>
                <w:cs/>
              </w:rPr>
              <w:t>‎</w:t>
            </w:r>
            <w:r w:rsidRPr="00CA64AF">
              <w:t>43</w:t>
            </w:r>
            <w:r w:rsidRPr="00CA64AF">
              <w:rPr>
                <w:cs/>
              </w:rPr>
              <w:t>‎</w:t>
            </w:r>
          </w:p>
        </w:tc>
        <w:tc>
          <w:tcPr>
            <w:tcW w:w="717" w:type="pct"/>
            <w:shd w:val="clear" w:color="auto" w:fill="auto"/>
            <w:noWrap/>
          </w:tcPr>
          <w:p w14:paraId="06EF9B2C" w14:textId="3E5B6FAC" w:rsidR="00420DF6" w:rsidRPr="00CA64AF" w:rsidRDefault="00420DF6" w:rsidP="00B06200">
            <w:pPr>
              <w:pStyle w:val="Tablenumbers"/>
              <w:jc w:val="center"/>
            </w:pPr>
            <w:r w:rsidRPr="00CA64AF">
              <w:rPr>
                <w:cs/>
              </w:rPr>
              <w:t>‎</w:t>
            </w:r>
            <w:r w:rsidRPr="00CA64AF">
              <w:t>37</w:t>
            </w:r>
            <w:r w:rsidRPr="00CA64AF">
              <w:rPr>
                <w:cs/>
              </w:rPr>
              <w:t>‎</w:t>
            </w:r>
          </w:p>
        </w:tc>
        <w:tc>
          <w:tcPr>
            <w:tcW w:w="717" w:type="pct"/>
            <w:tcBorders>
              <w:right w:val="single" w:sz="2" w:space="0" w:color="4F81BD" w:themeColor="accent1"/>
            </w:tcBorders>
            <w:shd w:val="clear" w:color="auto" w:fill="auto"/>
            <w:noWrap/>
          </w:tcPr>
          <w:p w14:paraId="312090CC" w14:textId="795FA2B0" w:rsidR="00420DF6" w:rsidRPr="00CA64AF" w:rsidRDefault="00420DF6" w:rsidP="00B06200">
            <w:pPr>
              <w:pStyle w:val="Tablenumbers"/>
              <w:jc w:val="center"/>
            </w:pPr>
            <w:r w:rsidRPr="00CA64AF">
              <w:rPr>
                <w:cs/>
              </w:rPr>
              <w:t>‎</w:t>
            </w:r>
            <w:r w:rsidRPr="00CA64AF">
              <w:t>28</w:t>
            </w:r>
            <w:r w:rsidRPr="00CA64AF">
              <w:rPr>
                <w:cs/>
              </w:rPr>
              <w:t>‎</w:t>
            </w:r>
          </w:p>
        </w:tc>
        <w:tc>
          <w:tcPr>
            <w:tcW w:w="557" w:type="pct"/>
            <w:tcBorders>
              <w:left w:val="single" w:sz="2" w:space="0" w:color="4F81BD" w:themeColor="accent1"/>
              <w:right w:val="single" w:sz="2" w:space="0" w:color="4F81BD" w:themeColor="accent1"/>
            </w:tcBorders>
            <w:shd w:val="clear" w:color="auto" w:fill="auto"/>
            <w:noWrap/>
          </w:tcPr>
          <w:p w14:paraId="495FA339" w14:textId="12482BBF" w:rsidR="00420DF6" w:rsidRPr="00CA64AF" w:rsidRDefault="00420DF6" w:rsidP="00B06200">
            <w:pPr>
              <w:pStyle w:val="Tablenumbers"/>
              <w:jc w:val="center"/>
              <w:rPr>
                <w:b/>
                <w:bCs/>
              </w:rPr>
            </w:pPr>
            <w:r w:rsidRPr="00CA64AF">
              <w:rPr>
                <w:cs/>
              </w:rPr>
              <w:t>‎</w:t>
            </w:r>
            <w:r w:rsidRPr="00CA64AF">
              <w:t>421</w:t>
            </w:r>
            <w:r w:rsidRPr="00CA64AF">
              <w:rPr>
                <w:cs/>
              </w:rPr>
              <w:t>‎</w:t>
            </w:r>
          </w:p>
        </w:tc>
      </w:tr>
      <w:tr w:rsidR="00420DF6" w:rsidRPr="00EA243A" w14:paraId="0596E13F"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724A05BF" w14:textId="77777777" w:rsidR="00420DF6" w:rsidRPr="007F4A23" w:rsidRDefault="00420DF6" w:rsidP="007F4A23">
            <w:pPr>
              <w:pStyle w:val="tabletext"/>
              <w:rPr>
                <w:color w:val="FFFFFF" w:themeColor="background1"/>
              </w:rPr>
            </w:pPr>
            <w:r w:rsidRPr="007F4A23">
              <w:rPr>
                <w:color w:val="FFFFFF" w:themeColor="background1"/>
              </w:rPr>
              <w:t>Percent wasted</w:t>
            </w:r>
          </w:p>
        </w:tc>
        <w:tc>
          <w:tcPr>
            <w:tcW w:w="717" w:type="pct"/>
            <w:tcBorders>
              <w:left w:val="nil"/>
              <w:bottom w:val="single" w:sz="18" w:space="0" w:color="4F81BD" w:themeColor="accent1"/>
              <w:right w:val="nil"/>
            </w:tcBorders>
            <w:shd w:val="clear" w:color="auto" w:fill="auto"/>
            <w:noWrap/>
          </w:tcPr>
          <w:p w14:paraId="1CCB5C83" w14:textId="13DD5573" w:rsidR="00420DF6" w:rsidRPr="00CA64AF" w:rsidRDefault="00420DF6" w:rsidP="00B06200">
            <w:pPr>
              <w:pStyle w:val="Tablenumbers"/>
              <w:jc w:val="center"/>
            </w:pPr>
            <w:r w:rsidRPr="00CA64AF">
              <w:rPr>
                <w:cs/>
              </w:rPr>
              <w:t>‎</w:t>
            </w:r>
            <w:r w:rsidRPr="00CA64AF">
              <w:t>9%</w:t>
            </w:r>
            <w:r w:rsidRPr="00CA64AF">
              <w:rPr>
                <w:cs/>
              </w:rPr>
              <w:t>‎</w:t>
            </w:r>
          </w:p>
        </w:tc>
        <w:tc>
          <w:tcPr>
            <w:tcW w:w="797" w:type="pct"/>
            <w:tcBorders>
              <w:left w:val="nil"/>
              <w:bottom w:val="single" w:sz="18" w:space="0" w:color="4F81BD" w:themeColor="accent1"/>
              <w:right w:val="nil"/>
            </w:tcBorders>
            <w:shd w:val="clear" w:color="auto" w:fill="auto"/>
            <w:noWrap/>
          </w:tcPr>
          <w:p w14:paraId="40A8C543" w14:textId="53C55172" w:rsidR="00420DF6" w:rsidRPr="00CA64AF" w:rsidRDefault="00420DF6" w:rsidP="00B06200">
            <w:pPr>
              <w:pStyle w:val="Tablenumbers"/>
              <w:jc w:val="center"/>
            </w:pPr>
            <w:r w:rsidRPr="00CA64AF">
              <w:rPr>
                <w:cs/>
              </w:rPr>
              <w:t>‎</w:t>
            </w:r>
            <w:r w:rsidRPr="00CA64AF">
              <w:t>3%</w:t>
            </w:r>
            <w:r w:rsidRPr="00CA64AF">
              <w:rPr>
                <w:cs/>
              </w:rPr>
              <w:t>‎</w:t>
            </w:r>
          </w:p>
        </w:tc>
        <w:tc>
          <w:tcPr>
            <w:tcW w:w="717" w:type="pct"/>
            <w:tcBorders>
              <w:left w:val="nil"/>
              <w:bottom w:val="single" w:sz="18" w:space="0" w:color="4F81BD" w:themeColor="accent1"/>
              <w:right w:val="nil"/>
            </w:tcBorders>
            <w:shd w:val="clear" w:color="auto" w:fill="auto"/>
            <w:noWrap/>
          </w:tcPr>
          <w:p w14:paraId="25A4739B" w14:textId="4AA25ED5" w:rsidR="00420DF6" w:rsidRPr="00CA64AF" w:rsidRDefault="00420DF6" w:rsidP="00B06200">
            <w:pPr>
              <w:pStyle w:val="Tablenumbers"/>
              <w:jc w:val="center"/>
            </w:pPr>
            <w:r w:rsidRPr="00CA64AF">
              <w:rPr>
                <w:cs/>
              </w:rPr>
              <w:t>‎</w:t>
            </w:r>
            <w:r w:rsidRPr="00CA64AF">
              <w:t>5%</w:t>
            </w:r>
            <w:r w:rsidRPr="00CA64AF">
              <w:rPr>
                <w:cs/>
              </w:rPr>
              <w:t>‎</w:t>
            </w:r>
          </w:p>
        </w:tc>
        <w:tc>
          <w:tcPr>
            <w:tcW w:w="717" w:type="pct"/>
            <w:tcBorders>
              <w:left w:val="nil"/>
              <w:bottom w:val="single" w:sz="18" w:space="0" w:color="4F81BD" w:themeColor="accent1"/>
              <w:right w:val="single" w:sz="2" w:space="0" w:color="4F81BD" w:themeColor="accent1"/>
            </w:tcBorders>
            <w:shd w:val="clear" w:color="auto" w:fill="auto"/>
            <w:noWrap/>
          </w:tcPr>
          <w:p w14:paraId="30F3DA1A" w14:textId="3C83BD7B" w:rsidR="00420DF6" w:rsidRPr="00CA64AF" w:rsidRDefault="00420DF6" w:rsidP="00B06200">
            <w:pPr>
              <w:pStyle w:val="Tablenumbers"/>
              <w:jc w:val="center"/>
            </w:pPr>
            <w:r w:rsidRPr="00CA64AF">
              <w:rPr>
                <w:cs/>
              </w:rPr>
              <w:t>‎</w:t>
            </w:r>
            <w:r w:rsidRPr="00CA64AF">
              <w:t>2%</w:t>
            </w:r>
            <w:r w:rsidRPr="00CA64AF">
              <w:rPr>
                <w:cs/>
              </w:rPr>
              <w:t>‎</w:t>
            </w:r>
          </w:p>
        </w:tc>
        <w:tc>
          <w:tcPr>
            <w:tcW w:w="557" w:type="pct"/>
            <w:tcBorders>
              <w:left w:val="single" w:sz="2" w:space="0" w:color="4F81BD" w:themeColor="accent1"/>
              <w:bottom w:val="single" w:sz="18" w:space="0" w:color="4F81BD" w:themeColor="accent1"/>
              <w:right w:val="single" w:sz="2" w:space="0" w:color="4F81BD" w:themeColor="accent1"/>
            </w:tcBorders>
            <w:shd w:val="clear" w:color="auto" w:fill="auto"/>
            <w:noWrap/>
          </w:tcPr>
          <w:p w14:paraId="1602D44A" w14:textId="5FEA9899" w:rsidR="00420DF6" w:rsidRPr="00CA64AF" w:rsidRDefault="00420DF6" w:rsidP="00B06200">
            <w:pPr>
              <w:pStyle w:val="Tablenumbers"/>
              <w:jc w:val="center"/>
              <w:rPr>
                <w:b/>
                <w:bCs/>
              </w:rPr>
            </w:pPr>
            <w:r w:rsidRPr="00CA64AF">
              <w:rPr>
                <w:cs/>
              </w:rPr>
              <w:t>‎</w:t>
            </w:r>
            <w:r w:rsidRPr="00CA64AF">
              <w:t>6%</w:t>
            </w:r>
            <w:r w:rsidRPr="00CA64AF">
              <w:rPr>
                <w:cs/>
              </w:rPr>
              <w:t>‎</w:t>
            </w:r>
          </w:p>
        </w:tc>
      </w:tr>
      <w:tr w:rsidR="00420DF6" w:rsidRPr="00EA243A" w14:paraId="26717751"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084BD082" w14:textId="77777777" w:rsidR="00420DF6" w:rsidRPr="007F4A23" w:rsidRDefault="00420DF6" w:rsidP="007F4A23">
            <w:pPr>
              <w:pStyle w:val="tabletext"/>
              <w:rPr>
                <w:color w:val="FFFFFF" w:themeColor="background1"/>
              </w:rPr>
            </w:pPr>
            <w:r w:rsidRPr="007F4A23">
              <w:rPr>
                <w:color w:val="FFFFFF" w:themeColor="background1"/>
              </w:rPr>
              <w:t>Consumption</w:t>
            </w:r>
          </w:p>
        </w:tc>
        <w:tc>
          <w:tcPr>
            <w:tcW w:w="717" w:type="pct"/>
            <w:tcBorders>
              <w:top w:val="single" w:sz="18" w:space="0" w:color="4F81BD" w:themeColor="accent1"/>
              <w:left w:val="nil"/>
              <w:right w:val="nil"/>
            </w:tcBorders>
            <w:shd w:val="clear" w:color="auto" w:fill="auto"/>
            <w:noWrap/>
          </w:tcPr>
          <w:p w14:paraId="5F8ABB8E" w14:textId="5620AF6F" w:rsidR="00420DF6" w:rsidRPr="00CA64AF" w:rsidRDefault="00420DF6" w:rsidP="00B06200">
            <w:pPr>
              <w:pStyle w:val="Tablenumbers"/>
              <w:jc w:val="center"/>
            </w:pPr>
            <w:r w:rsidRPr="00CA64AF">
              <w:rPr>
                <w:cs/>
              </w:rPr>
              <w:t>‎</w:t>
            </w:r>
            <w:r w:rsidRPr="00CA64AF">
              <w:t>3,117</w:t>
            </w:r>
            <w:r w:rsidRPr="00CA64AF">
              <w:rPr>
                <w:cs/>
              </w:rPr>
              <w:t>‎</w:t>
            </w:r>
          </w:p>
        </w:tc>
        <w:tc>
          <w:tcPr>
            <w:tcW w:w="797" w:type="pct"/>
            <w:tcBorders>
              <w:top w:val="single" w:sz="18" w:space="0" w:color="4F81BD" w:themeColor="accent1"/>
              <w:left w:val="nil"/>
              <w:right w:val="nil"/>
            </w:tcBorders>
            <w:shd w:val="clear" w:color="auto" w:fill="auto"/>
            <w:noWrap/>
          </w:tcPr>
          <w:p w14:paraId="684A167E" w14:textId="2FA268D2" w:rsidR="00420DF6" w:rsidRPr="00CA64AF" w:rsidRDefault="00420DF6" w:rsidP="00B06200">
            <w:pPr>
              <w:pStyle w:val="Tablenumbers"/>
              <w:jc w:val="center"/>
            </w:pPr>
            <w:r w:rsidRPr="00CA64AF">
              <w:rPr>
                <w:cs/>
              </w:rPr>
              <w:t>‎</w:t>
            </w:r>
            <w:r w:rsidRPr="00CA64AF">
              <w:t>1,382</w:t>
            </w:r>
            <w:r w:rsidRPr="00CA64AF">
              <w:rPr>
                <w:cs/>
              </w:rPr>
              <w:t>‎</w:t>
            </w:r>
          </w:p>
        </w:tc>
        <w:tc>
          <w:tcPr>
            <w:tcW w:w="717" w:type="pct"/>
            <w:tcBorders>
              <w:top w:val="single" w:sz="18" w:space="0" w:color="4F81BD" w:themeColor="accent1"/>
              <w:left w:val="nil"/>
              <w:right w:val="nil"/>
            </w:tcBorders>
            <w:shd w:val="clear" w:color="auto" w:fill="auto"/>
            <w:noWrap/>
          </w:tcPr>
          <w:p w14:paraId="7D4DCCCA" w14:textId="740AB100" w:rsidR="00420DF6" w:rsidRPr="00CA64AF" w:rsidRDefault="00420DF6" w:rsidP="00B06200">
            <w:pPr>
              <w:pStyle w:val="Tablenumbers"/>
              <w:jc w:val="center"/>
            </w:pPr>
            <w:r w:rsidRPr="00CA64AF">
              <w:rPr>
                <w:cs/>
              </w:rPr>
              <w:t>‎</w:t>
            </w:r>
            <w:r w:rsidRPr="00CA64AF">
              <w:t>746</w:t>
            </w:r>
            <w:r w:rsidRPr="00CA64AF">
              <w:rPr>
                <w:cs/>
              </w:rPr>
              <w:t>‎</w:t>
            </w:r>
          </w:p>
        </w:tc>
        <w:tc>
          <w:tcPr>
            <w:tcW w:w="717" w:type="pct"/>
            <w:tcBorders>
              <w:top w:val="single" w:sz="18" w:space="0" w:color="4F81BD" w:themeColor="accent1"/>
              <w:left w:val="nil"/>
              <w:right w:val="single" w:sz="2" w:space="0" w:color="4F81BD" w:themeColor="accent1"/>
            </w:tcBorders>
            <w:shd w:val="clear" w:color="auto" w:fill="auto"/>
            <w:noWrap/>
          </w:tcPr>
          <w:p w14:paraId="2CB66C9A" w14:textId="6D91CD9E" w:rsidR="00420DF6" w:rsidRPr="00CA64AF" w:rsidRDefault="00420DF6" w:rsidP="00B06200">
            <w:pPr>
              <w:pStyle w:val="Tablenumbers"/>
              <w:jc w:val="center"/>
            </w:pPr>
            <w:r w:rsidRPr="00CA64AF">
              <w:rPr>
                <w:cs/>
              </w:rPr>
              <w:t>‎</w:t>
            </w:r>
            <w:r w:rsidRPr="00CA64AF">
              <w:t>1,650</w:t>
            </w:r>
            <w:r w:rsidRPr="00CA64AF">
              <w:rPr>
                <w:cs/>
              </w:rPr>
              <w:t>‎</w:t>
            </w:r>
          </w:p>
        </w:tc>
        <w:tc>
          <w:tcPr>
            <w:tcW w:w="557" w:type="pct"/>
            <w:tcBorders>
              <w:top w:val="single" w:sz="18" w:space="0" w:color="4F81BD" w:themeColor="accent1"/>
              <w:left w:val="single" w:sz="2" w:space="0" w:color="4F81BD" w:themeColor="accent1"/>
              <w:right w:val="single" w:sz="2" w:space="0" w:color="4F81BD" w:themeColor="accent1"/>
            </w:tcBorders>
            <w:shd w:val="clear" w:color="auto" w:fill="auto"/>
            <w:noWrap/>
          </w:tcPr>
          <w:p w14:paraId="6D71164D" w14:textId="05263415" w:rsidR="00420DF6" w:rsidRPr="00CA64AF" w:rsidRDefault="00420DF6" w:rsidP="00B06200">
            <w:pPr>
              <w:pStyle w:val="Tablenumbers"/>
              <w:jc w:val="center"/>
              <w:rPr>
                <w:b/>
                <w:bCs/>
              </w:rPr>
            </w:pPr>
            <w:r w:rsidRPr="00CA64AF">
              <w:rPr>
                <w:cs/>
              </w:rPr>
              <w:t>‎</w:t>
            </w:r>
            <w:r w:rsidRPr="00CA64AF">
              <w:t>6,894</w:t>
            </w:r>
            <w:r w:rsidRPr="00CA64AF">
              <w:rPr>
                <w:cs/>
              </w:rPr>
              <w:t>‎</w:t>
            </w:r>
          </w:p>
        </w:tc>
      </w:tr>
      <w:tr w:rsidR="00420DF6" w:rsidRPr="00EA243A" w14:paraId="5328C0B5" w14:textId="77777777" w:rsidTr="003E148D">
        <w:trPr>
          <w:trHeight w:val="255"/>
          <w:jc w:val="center"/>
        </w:trPr>
        <w:tc>
          <w:tcPr>
            <w:tcW w:w="1495" w:type="pct"/>
            <w:tcBorders>
              <w:top w:val="single" w:sz="4" w:space="0" w:color="4F81BD"/>
              <w:left w:val="nil"/>
              <w:bottom w:val="nil"/>
              <w:right w:val="nil"/>
            </w:tcBorders>
            <w:shd w:val="clear" w:color="4F81BD" w:fill="4F81BD"/>
            <w:noWrap/>
            <w:vAlign w:val="bottom"/>
            <w:hideMark/>
          </w:tcPr>
          <w:p w14:paraId="69FB3544" w14:textId="77777777" w:rsidR="00420DF6" w:rsidRPr="007F4A23" w:rsidRDefault="00420DF6" w:rsidP="007F4A23">
            <w:pPr>
              <w:pStyle w:val="tabletext"/>
              <w:rPr>
                <w:color w:val="FFFFFF" w:themeColor="background1"/>
              </w:rPr>
            </w:pPr>
            <w:r w:rsidRPr="007F4A23">
              <w:rPr>
                <w:color w:val="FFFFFF" w:themeColor="background1"/>
              </w:rPr>
              <w:t>Waste during consumption</w:t>
            </w:r>
          </w:p>
        </w:tc>
        <w:tc>
          <w:tcPr>
            <w:tcW w:w="717" w:type="pct"/>
            <w:tcBorders>
              <w:left w:val="nil"/>
            </w:tcBorders>
            <w:shd w:val="clear" w:color="auto" w:fill="auto"/>
            <w:noWrap/>
          </w:tcPr>
          <w:p w14:paraId="65375F8C" w14:textId="2871FFE5" w:rsidR="00420DF6" w:rsidRPr="00CA64AF" w:rsidRDefault="00420DF6" w:rsidP="00B06200">
            <w:pPr>
              <w:pStyle w:val="Tablenumbers"/>
              <w:jc w:val="center"/>
            </w:pPr>
            <w:r w:rsidRPr="00CA64AF">
              <w:rPr>
                <w:cs/>
              </w:rPr>
              <w:t>‎</w:t>
            </w:r>
            <w:r w:rsidRPr="00CA64AF">
              <w:t>639</w:t>
            </w:r>
            <w:r w:rsidRPr="00CA64AF">
              <w:rPr>
                <w:cs/>
              </w:rPr>
              <w:t>‎</w:t>
            </w:r>
          </w:p>
        </w:tc>
        <w:tc>
          <w:tcPr>
            <w:tcW w:w="797" w:type="pct"/>
            <w:shd w:val="clear" w:color="auto" w:fill="auto"/>
            <w:noWrap/>
          </w:tcPr>
          <w:p w14:paraId="185962A4" w14:textId="5523A9B6" w:rsidR="00420DF6" w:rsidRPr="00CA64AF" w:rsidRDefault="00420DF6" w:rsidP="00B06200">
            <w:pPr>
              <w:pStyle w:val="Tablenumbers"/>
              <w:jc w:val="center"/>
            </w:pPr>
            <w:r w:rsidRPr="00CA64AF">
              <w:rPr>
                <w:cs/>
              </w:rPr>
              <w:t>‎</w:t>
            </w:r>
            <w:r w:rsidRPr="00CA64AF">
              <w:t>282</w:t>
            </w:r>
            <w:r w:rsidRPr="00CA64AF">
              <w:rPr>
                <w:cs/>
              </w:rPr>
              <w:t>‎</w:t>
            </w:r>
          </w:p>
        </w:tc>
        <w:tc>
          <w:tcPr>
            <w:tcW w:w="717" w:type="pct"/>
            <w:shd w:val="clear" w:color="auto" w:fill="auto"/>
            <w:noWrap/>
          </w:tcPr>
          <w:p w14:paraId="3829ECD2" w14:textId="3503300F" w:rsidR="00420DF6" w:rsidRPr="00CA64AF" w:rsidRDefault="00420DF6" w:rsidP="00B06200">
            <w:pPr>
              <w:pStyle w:val="Tablenumbers"/>
              <w:jc w:val="center"/>
            </w:pPr>
            <w:r w:rsidRPr="00CA64AF">
              <w:rPr>
                <w:cs/>
              </w:rPr>
              <w:t>‎</w:t>
            </w:r>
            <w:r w:rsidRPr="00CA64AF">
              <w:t>90</w:t>
            </w:r>
            <w:r w:rsidRPr="00CA64AF">
              <w:rPr>
                <w:cs/>
              </w:rPr>
              <w:t>‎</w:t>
            </w:r>
          </w:p>
        </w:tc>
        <w:tc>
          <w:tcPr>
            <w:tcW w:w="717" w:type="pct"/>
            <w:tcBorders>
              <w:right w:val="single" w:sz="2" w:space="0" w:color="4F81BD" w:themeColor="accent1"/>
            </w:tcBorders>
            <w:shd w:val="clear" w:color="auto" w:fill="auto"/>
            <w:noWrap/>
          </w:tcPr>
          <w:p w14:paraId="3B6EF374" w14:textId="76D05256" w:rsidR="00420DF6" w:rsidRPr="00CA64AF" w:rsidRDefault="00420DF6" w:rsidP="00B06200">
            <w:pPr>
              <w:pStyle w:val="Tablenumbers"/>
              <w:jc w:val="center"/>
            </w:pPr>
            <w:r w:rsidRPr="00CA64AF">
              <w:rPr>
                <w:cs/>
              </w:rPr>
              <w:t>‎</w:t>
            </w:r>
            <w:r w:rsidRPr="00CA64AF">
              <w:t>99</w:t>
            </w:r>
            <w:r w:rsidRPr="00CA64AF">
              <w:rPr>
                <w:cs/>
              </w:rPr>
              <w:t>‎</w:t>
            </w:r>
          </w:p>
        </w:tc>
        <w:tc>
          <w:tcPr>
            <w:tcW w:w="557" w:type="pct"/>
            <w:tcBorders>
              <w:left w:val="single" w:sz="2" w:space="0" w:color="4F81BD" w:themeColor="accent1"/>
              <w:right w:val="single" w:sz="2" w:space="0" w:color="4F81BD" w:themeColor="accent1"/>
            </w:tcBorders>
            <w:shd w:val="clear" w:color="auto" w:fill="auto"/>
            <w:noWrap/>
          </w:tcPr>
          <w:p w14:paraId="2A7E87B4" w14:textId="0F1B228C" w:rsidR="00420DF6" w:rsidRPr="00CA64AF" w:rsidRDefault="00420DF6" w:rsidP="00B06200">
            <w:pPr>
              <w:pStyle w:val="Tablenumbers"/>
              <w:jc w:val="center"/>
              <w:rPr>
                <w:b/>
                <w:bCs/>
              </w:rPr>
            </w:pPr>
            <w:r w:rsidRPr="00CA64AF">
              <w:rPr>
                <w:rtl/>
              </w:rPr>
              <w:t>‏1,110‏</w:t>
            </w:r>
          </w:p>
        </w:tc>
      </w:tr>
      <w:tr w:rsidR="00420DF6" w:rsidRPr="00EA243A" w14:paraId="533E799E" w14:textId="77777777" w:rsidTr="003E148D">
        <w:trPr>
          <w:trHeight w:val="270"/>
          <w:jc w:val="center"/>
        </w:trPr>
        <w:tc>
          <w:tcPr>
            <w:tcW w:w="1495" w:type="pct"/>
            <w:tcBorders>
              <w:top w:val="single" w:sz="4" w:space="0" w:color="4F81BD"/>
              <w:left w:val="nil"/>
              <w:bottom w:val="nil"/>
              <w:right w:val="nil"/>
            </w:tcBorders>
            <w:shd w:val="clear" w:color="4F81BD" w:fill="4F81BD"/>
            <w:noWrap/>
            <w:vAlign w:val="bottom"/>
            <w:hideMark/>
          </w:tcPr>
          <w:p w14:paraId="5D75C20F" w14:textId="77777777" w:rsidR="00420DF6" w:rsidRPr="007F4A23" w:rsidRDefault="00420DF6" w:rsidP="007F4A23">
            <w:pPr>
              <w:pStyle w:val="tabletext"/>
              <w:rPr>
                <w:color w:val="FFFFFF" w:themeColor="background1"/>
              </w:rPr>
            </w:pPr>
            <w:r w:rsidRPr="007F4A23">
              <w:rPr>
                <w:color w:val="FFFFFF" w:themeColor="background1"/>
              </w:rPr>
              <w:t>Percent wasted</w:t>
            </w:r>
            <w:r w:rsidRPr="007F4A23">
              <w:rPr>
                <w:color w:val="FFFFFF" w:themeColor="background1"/>
                <w:rtl/>
              </w:rPr>
              <w:t xml:space="preserve"> </w:t>
            </w:r>
          </w:p>
        </w:tc>
        <w:tc>
          <w:tcPr>
            <w:tcW w:w="717" w:type="pct"/>
            <w:tcBorders>
              <w:left w:val="single" w:sz="4" w:space="0" w:color="4F81BD"/>
              <w:bottom w:val="single" w:sz="24" w:space="0" w:color="4F81BD" w:themeColor="accent1"/>
              <w:right w:val="nil"/>
            </w:tcBorders>
            <w:shd w:val="clear" w:color="auto" w:fill="auto"/>
            <w:noWrap/>
          </w:tcPr>
          <w:p w14:paraId="09A29F48" w14:textId="256E3091" w:rsidR="00420DF6" w:rsidRPr="00CA64AF" w:rsidRDefault="00420DF6" w:rsidP="00B06200">
            <w:pPr>
              <w:pStyle w:val="Tablenumbers"/>
              <w:jc w:val="center"/>
            </w:pPr>
            <w:r w:rsidRPr="00CA64AF">
              <w:rPr>
                <w:cs/>
              </w:rPr>
              <w:t>‎</w:t>
            </w:r>
            <w:r w:rsidRPr="00CA64AF">
              <w:t>20%</w:t>
            </w:r>
            <w:r w:rsidRPr="00CA64AF">
              <w:rPr>
                <w:cs/>
              </w:rPr>
              <w:t>‎</w:t>
            </w:r>
          </w:p>
        </w:tc>
        <w:tc>
          <w:tcPr>
            <w:tcW w:w="797" w:type="pct"/>
            <w:tcBorders>
              <w:left w:val="nil"/>
              <w:bottom w:val="single" w:sz="24" w:space="0" w:color="4F81BD" w:themeColor="accent1"/>
              <w:right w:val="nil"/>
            </w:tcBorders>
            <w:shd w:val="clear" w:color="auto" w:fill="auto"/>
            <w:noWrap/>
          </w:tcPr>
          <w:p w14:paraId="3EC53ADD" w14:textId="38BCBAFA" w:rsidR="00420DF6" w:rsidRPr="00CA64AF" w:rsidRDefault="00420DF6" w:rsidP="00B06200">
            <w:pPr>
              <w:pStyle w:val="Tablenumbers"/>
              <w:jc w:val="center"/>
            </w:pPr>
            <w:r w:rsidRPr="00CA64AF">
              <w:rPr>
                <w:cs/>
              </w:rPr>
              <w:t>‎</w:t>
            </w:r>
            <w:r w:rsidRPr="00CA64AF">
              <w:t>20%</w:t>
            </w:r>
            <w:r w:rsidRPr="00CA64AF">
              <w:rPr>
                <w:cs/>
              </w:rPr>
              <w:t>‎</w:t>
            </w:r>
          </w:p>
        </w:tc>
        <w:tc>
          <w:tcPr>
            <w:tcW w:w="717" w:type="pct"/>
            <w:tcBorders>
              <w:left w:val="nil"/>
              <w:bottom w:val="single" w:sz="24" w:space="0" w:color="4F81BD" w:themeColor="accent1"/>
              <w:right w:val="nil"/>
            </w:tcBorders>
            <w:shd w:val="clear" w:color="auto" w:fill="auto"/>
            <w:noWrap/>
          </w:tcPr>
          <w:p w14:paraId="2F70027C" w14:textId="18384853" w:rsidR="00420DF6" w:rsidRPr="00CA64AF" w:rsidRDefault="00420DF6" w:rsidP="00B06200">
            <w:pPr>
              <w:pStyle w:val="Tablenumbers"/>
              <w:jc w:val="center"/>
            </w:pPr>
            <w:r w:rsidRPr="00CA64AF">
              <w:rPr>
                <w:cs/>
              </w:rPr>
              <w:t>‎</w:t>
            </w:r>
            <w:r w:rsidRPr="00CA64AF">
              <w:t>12%</w:t>
            </w:r>
            <w:r w:rsidRPr="00CA64AF">
              <w:rPr>
                <w:cs/>
              </w:rPr>
              <w:t>‎</w:t>
            </w:r>
          </w:p>
        </w:tc>
        <w:tc>
          <w:tcPr>
            <w:tcW w:w="717" w:type="pct"/>
            <w:tcBorders>
              <w:left w:val="nil"/>
              <w:bottom w:val="single" w:sz="24" w:space="0" w:color="4F81BD" w:themeColor="accent1"/>
              <w:right w:val="single" w:sz="2" w:space="0" w:color="4F81BD" w:themeColor="accent1"/>
            </w:tcBorders>
            <w:shd w:val="clear" w:color="auto" w:fill="auto"/>
            <w:noWrap/>
          </w:tcPr>
          <w:p w14:paraId="771C0C7C" w14:textId="7949C037" w:rsidR="00420DF6" w:rsidRPr="00CA64AF" w:rsidRDefault="00420DF6" w:rsidP="00B06200">
            <w:pPr>
              <w:pStyle w:val="Tablenumbers"/>
              <w:jc w:val="center"/>
            </w:pPr>
            <w:r w:rsidRPr="00CA64AF">
              <w:rPr>
                <w:cs/>
              </w:rPr>
              <w:t>‎</w:t>
            </w:r>
            <w:r w:rsidRPr="00CA64AF">
              <w:t>6%</w:t>
            </w:r>
            <w:r w:rsidRPr="00CA64AF">
              <w:rPr>
                <w:cs/>
              </w:rPr>
              <w:t>‎</w:t>
            </w:r>
          </w:p>
        </w:tc>
        <w:tc>
          <w:tcPr>
            <w:tcW w:w="557" w:type="pct"/>
            <w:tcBorders>
              <w:left w:val="single" w:sz="2" w:space="0" w:color="4F81BD" w:themeColor="accent1"/>
              <w:bottom w:val="single" w:sz="24" w:space="0" w:color="4F81BD" w:themeColor="accent1"/>
              <w:right w:val="single" w:sz="2" w:space="0" w:color="4F81BD" w:themeColor="accent1"/>
            </w:tcBorders>
            <w:shd w:val="clear" w:color="auto" w:fill="auto"/>
            <w:noWrap/>
          </w:tcPr>
          <w:p w14:paraId="0A17EF28" w14:textId="062B8850" w:rsidR="00420DF6" w:rsidRPr="00CA64AF" w:rsidRDefault="00420DF6" w:rsidP="00B06200">
            <w:pPr>
              <w:pStyle w:val="Tablenumbers"/>
              <w:jc w:val="center"/>
              <w:rPr>
                <w:b/>
                <w:bCs/>
              </w:rPr>
            </w:pPr>
            <w:r w:rsidRPr="00CA64AF">
              <w:rPr>
                <w:rtl/>
              </w:rPr>
              <w:t>‏16‏</w:t>
            </w:r>
            <w:r w:rsidRPr="00CA64AF">
              <w:rPr>
                <w:cs/>
              </w:rPr>
              <w:t>‎</w:t>
            </w:r>
            <w:r w:rsidRPr="00CA64AF">
              <w:t>%</w:t>
            </w:r>
            <w:r w:rsidRPr="00CA64AF">
              <w:rPr>
                <w:cs/>
              </w:rPr>
              <w:t>‎</w:t>
            </w:r>
          </w:p>
        </w:tc>
      </w:tr>
      <w:tr w:rsidR="00420DF6" w:rsidRPr="00EA243A" w14:paraId="3ACE0842" w14:textId="77777777" w:rsidTr="003E148D">
        <w:trPr>
          <w:trHeight w:val="270"/>
          <w:jc w:val="center"/>
        </w:trPr>
        <w:tc>
          <w:tcPr>
            <w:tcW w:w="1495" w:type="pct"/>
            <w:tcBorders>
              <w:top w:val="single" w:sz="24" w:space="0" w:color="4F81BD" w:themeColor="accent1"/>
              <w:left w:val="single" w:sz="4" w:space="0" w:color="4F81BD"/>
              <w:bottom w:val="single" w:sz="24" w:space="0" w:color="4F81BD" w:themeColor="accent1"/>
              <w:right w:val="single" w:sz="4" w:space="0" w:color="4F81BD"/>
            </w:tcBorders>
            <w:shd w:val="clear" w:color="4F81BD" w:fill="4F81BD"/>
            <w:noWrap/>
            <w:vAlign w:val="bottom"/>
            <w:hideMark/>
          </w:tcPr>
          <w:p w14:paraId="1ECC830F" w14:textId="77777777" w:rsidR="00420DF6" w:rsidRPr="007F4A23" w:rsidRDefault="00420DF6" w:rsidP="007F4A23">
            <w:pPr>
              <w:pStyle w:val="tabletext"/>
              <w:rPr>
                <w:color w:val="FFFFFF" w:themeColor="background1"/>
              </w:rPr>
            </w:pPr>
            <w:r w:rsidRPr="007F4A23">
              <w:rPr>
                <w:color w:val="FFFFFF" w:themeColor="background1"/>
              </w:rPr>
              <w:t>Total waste</w:t>
            </w:r>
          </w:p>
        </w:tc>
        <w:tc>
          <w:tcPr>
            <w:tcW w:w="717" w:type="pct"/>
            <w:tcBorders>
              <w:top w:val="single" w:sz="24" w:space="0" w:color="4F81BD" w:themeColor="accent1"/>
              <w:left w:val="single" w:sz="4" w:space="0" w:color="4F81BD"/>
              <w:right w:val="nil"/>
            </w:tcBorders>
            <w:shd w:val="clear" w:color="auto" w:fill="auto"/>
            <w:noWrap/>
          </w:tcPr>
          <w:p w14:paraId="26CC9611" w14:textId="214C3F4A" w:rsidR="00420DF6" w:rsidRPr="00CA64AF" w:rsidRDefault="00420DF6" w:rsidP="00B06200">
            <w:pPr>
              <w:pStyle w:val="Tablenumbers"/>
              <w:jc w:val="center"/>
              <w:rPr>
                <w:b/>
                <w:bCs/>
              </w:rPr>
            </w:pPr>
            <w:r w:rsidRPr="00CA64AF">
              <w:rPr>
                <w:cs/>
              </w:rPr>
              <w:t>‎</w:t>
            </w:r>
            <w:r w:rsidRPr="00CA64AF">
              <w:t>1,675</w:t>
            </w:r>
            <w:r w:rsidRPr="00CA64AF">
              <w:rPr>
                <w:cs/>
              </w:rPr>
              <w:t>‎</w:t>
            </w:r>
          </w:p>
        </w:tc>
        <w:tc>
          <w:tcPr>
            <w:tcW w:w="797" w:type="pct"/>
            <w:tcBorders>
              <w:top w:val="single" w:sz="24" w:space="0" w:color="4F81BD" w:themeColor="accent1"/>
              <w:left w:val="nil"/>
              <w:right w:val="nil"/>
            </w:tcBorders>
            <w:shd w:val="clear" w:color="auto" w:fill="auto"/>
            <w:noWrap/>
          </w:tcPr>
          <w:p w14:paraId="11A5C5D2" w14:textId="0E8D71CD" w:rsidR="00420DF6" w:rsidRPr="00CA64AF" w:rsidRDefault="00420DF6" w:rsidP="00B06200">
            <w:pPr>
              <w:pStyle w:val="Tablenumbers"/>
              <w:jc w:val="center"/>
              <w:rPr>
                <w:b/>
                <w:bCs/>
              </w:rPr>
            </w:pPr>
            <w:r w:rsidRPr="00CA64AF">
              <w:rPr>
                <w:cs/>
              </w:rPr>
              <w:t>‎</w:t>
            </w:r>
            <w:r w:rsidRPr="00CA64AF">
              <w:t>381</w:t>
            </w:r>
            <w:r w:rsidRPr="00CA64AF">
              <w:rPr>
                <w:cs/>
              </w:rPr>
              <w:t>‎</w:t>
            </w:r>
          </w:p>
        </w:tc>
        <w:tc>
          <w:tcPr>
            <w:tcW w:w="717" w:type="pct"/>
            <w:tcBorders>
              <w:top w:val="single" w:sz="24" w:space="0" w:color="4F81BD" w:themeColor="accent1"/>
              <w:left w:val="nil"/>
              <w:right w:val="nil"/>
            </w:tcBorders>
            <w:shd w:val="clear" w:color="auto" w:fill="auto"/>
            <w:noWrap/>
          </w:tcPr>
          <w:p w14:paraId="1FA2D33F" w14:textId="17A98D8B" w:rsidR="00420DF6" w:rsidRPr="00CA64AF" w:rsidRDefault="00420DF6" w:rsidP="00B06200">
            <w:pPr>
              <w:pStyle w:val="Tablenumbers"/>
              <w:jc w:val="center"/>
              <w:rPr>
                <w:b/>
                <w:bCs/>
              </w:rPr>
            </w:pPr>
            <w:r w:rsidRPr="00CA64AF">
              <w:rPr>
                <w:cs/>
              </w:rPr>
              <w:t>‎</w:t>
            </w:r>
            <w:r w:rsidRPr="00CA64AF">
              <w:t>193</w:t>
            </w:r>
            <w:r w:rsidRPr="00CA64AF">
              <w:rPr>
                <w:cs/>
              </w:rPr>
              <w:t>‎</w:t>
            </w:r>
          </w:p>
        </w:tc>
        <w:tc>
          <w:tcPr>
            <w:tcW w:w="717" w:type="pct"/>
            <w:tcBorders>
              <w:top w:val="single" w:sz="24" w:space="0" w:color="4F81BD" w:themeColor="accent1"/>
              <w:left w:val="nil"/>
              <w:right w:val="single" w:sz="2" w:space="0" w:color="4F81BD" w:themeColor="accent1"/>
            </w:tcBorders>
            <w:shd w:val="clear" w:color="auto" w:fill="auto"/>
            <w:noWrap/>
          </w:tcPr>
          <w:p w14:paraId="448ED614" w14:textId="651E7C91" w:rsidR="00420DF6" w:rsidRPr="00CA64AF" w:rsidRDefault="00420DF6" w:rsidP="00B06200">
            <w:pPr>
              <w:pStyle w:val="Tablenumbers"/>
              <w:jc w:val="center"/>
              <w:rPr>
                <w:b/>
                <w:bCs/>
              </w:rPr>
            </w:pPr>
            <w:r w:rsidRPr="00CA64AF">
              <w:rPr>
                <w:cs/>
              </w:rPr>
              <w:t>‎</w:t>
            </w:r>
            <w:r w:rsidRPr="00CA64AF">
              <w:t>213</w:t>
            </w:r>
            <w:r w:rsidRPr="00CA64AF">
              <w:rPr>
                <w:cs/>
              </w:rPr>
              <w:t>‎</w:t>
            </w:r>
          </w:p>
        </w:tc>
        <w:tc>
          <w:tcPr>
            <w:tcW w:w="557" w:type="pct"/>
            <w:tcBorders>
              <w:top w:val="single" w:sz="24" w:space="0" w:color="4F81BD" w:themeColor="accent1"/>
              <w:left w:val="single" w:sz="2" w:space="0" w:color="4F81BD" w:themeColor="accent1"/>
              <w:right w:val="single" w:sz="2" w:space="0" w:color="4F81BD" w:themeColor="accent1"/>
            </w:tcBorders>
            <w:shd w:val="clear" w:color="auto" w:fill="auto"/>
            <w:noWrap/>
          </w:tcPr>
          <w:p w14:paraId="36B78DF7" w14:textId="05430130" w:rsidR="00420DF6" w:rsidRPr="00CA64AF" w:rsidRDefault="00420DF6" w:rsidP="00B06200">
            <w:pPr>
              <w:pStyle w:val="Tablenumbers"/>
              <w:jc w:val="center"/>
              <w:rPr>
                <w:b/>
                <w:bCs/>
              </w:rPr>
            </w:pPr>
            <w:r w:rsidRPr="00CA64AF">
              <w:rPr>
                <w:cs/>
              </w:rPr>
              <w:t>‎</w:t>
            </w:r>
            <w:r w:rsidRPr="00CA64AF">
              <w:t>2,461</w:t>
            </w:r>
            <w:r w:rsidRPr="00CA64AF">
              <w:rPr>
                <w:cs/>
              </w:rPr>
              <w:t>‎</w:t>
            </w:r>
          </w:p>
        </w:tc>
      </w:tr>
      <w:tr w:rsidR="00420DF6" w:rsidRPr="00EA243A" w14:paraId="701D1111" w14:textId="77777777" w:rsidTr="003E148D">
        <w:trPr>
          <w:trHeight w:val="270"/>
          <w:jc w:val="center"/>
        </w:trPr>
        <w:tc>
          <w:tcPr>
            <w:tcW w:w="1495" w:type="pct"/>
            <w:tcBorders>
              <w:top w:val="single" w:sz="24" w:space="0" w:color="4F81BD" w:themeColor="accent1"/>
              <w:left w:val="single" w:sz="4" w:space="0" w:color="4F81BD"/>
              <w:bottom w:val="single" w:sz="4" w:space="0" w:color="4F81BD"/>
            </w:tcBorders>
            <w:shd w:val="clear" w:color="4F81BD" w:fill="4F81BD"/>
            <w:noWrap/>
            <w:vAlign w:val="bottom"/>
          </w:tcPr>
          <w:p w14:paraId="0D1FA96A" w14:textId="77777777" w:rsidR="00420DF6" w:rsidRPr="007F4A23" w:rsidRDefault="00420DF6" w:rsidP="007F4A23">
            <w:pPr>
              <w:pStyle w:val="tabletext"/>
              <w:rPr>
                <w:color w:val="FFFFFF" w:themeColor="background1"/>
                <w:rtl/>
              </w:rPr>
            </w:pPr>
            <w:r w:rsidRPr="007F4A23">
              <w:rPr>
                <w:color w:val="FFFFFF" w:themeColor="background1"/>
              </w:rPr>
              <w:t>Percent wasted, out of agriculture production</w:t>
            </w:r>
          </w:p>
        </w:tc>
        <w:tc>
          <w:tcPr>
            <w:tcW w:w="717" w:type="pct"/>
            <w:tcBorders>
              <w:bottom w:val="single" w:sz="2" w:space="0" w:color="4F81BD" w:themeColor="accent1"/>
            </w:tcBorders>
            <w:shd w:val="clear" w:color="auto" w:fill="auto"/>
            <w:noWrap/>
          </w:tcPr>
          <w:p w14:paraId="12B30E65" w14:textId="6C7A2450" w:rsidR="00420DF6" w:rsidRPr="00CA64AF" w:rsidRDefault="00420DF6" w:rsidP="00B06200">
            <w:pPr>
              <w:pStyle w:val="Tablenumbers"/>
              <w:jc w:val="center"/>
              <w:rPr>
                <w:b/>
                <w:bCs/>
              </w:rPr>
            </w:pPr>
            <w:r w:rsidRPr="00CA64AF">
              <w:rPr>
                <w:cs/>
              </w:rPr>
              <w:t>‎</w:t>
            </w:r>
            <w:r w:rsidRPr="00CA64AF">
              <w:t>40%</w:t>
            </w:r>
            <w:r w:rsidRPr="00CA64AF">
              <w:rPr>
                <w:cs/>
              </w:rPr>
              <w:t>‎</w:t>
            </w:r>
          </w:p>
        </w:tc>
        <w:tc>
          <w:tcPr>
            <w:tcW w:w="797" w:type="pct"/>
            <w:tcBorders>
              <w:bottom w:val="single" w:sz="2" w:space="0" w:color="4F81BD" w:themeColor="accent1"/>
            </w:tcBorders>
            <w:shd w:val="clear" w:color="auto" w:fill="auto"/>
            <w:noWrap/>
          </w:tcPr>
          <w:p w14:paraId="7A3BE5B8" w14:textId="3BCBB480" w:rsidR="00420DF6" w:rsidRPr="00CA64AF" w:rsidRDefault="00420DF6" w:rsidP="00B06200">
            <w:pPr>
              <w:pStyle w:val="Tablenumbers"/>
              <w:jc w:val="center"/>
              <w:rPr>
                <w:b/>
                <w:bCs/>
              </w:rPr>
            </w:pPr>
            <w:r w:rsidRPr="00CA64AF">
              <w:rPr>
                <w:cs/>
              </w:rPr>
              <w:t>‎</w:t>
            </w:r>
            <w:r w:rsidRPr="00CA64AF">
              <w:t>91%</w:t>
            </w:r>
            <w:r w:rsidRPr="00CA64AF">
              <w:rPr>
                <w:cs/>
              </w:rPr>
              <w:t>‎</w:t>
            </w:r>
          </w:p>
        </w:tc>
        <w:tc>
          <w:tcPr>
            <w:tcW w:w="717" w:type="pct"/>
            <w:tcBorders>
              <w:bottom w:val="single" w:sz="2" w:space="0" w:color="4F81BD" w:themeColor="accent1"/>
            </w:tcBorders>
            <w:shd w:val="clear" w:color="auto" w:fill="auto"/>
            <w:noWrap/>
          </w:tcPr>
          <w:p w14:paraId="66E8CA6A" w14:textId="5B64C465" w:rsidR="00420DF6" w:rsidRPr="00CA64AF" w:rsidRDefault="00420DF6" w:rsidP="00B06200">
            <w:pPr>
              <w:pStyle w:val="Tablenumbers"/>
              <w:jc w:val="center"/>
              <w:rPr>
                <w:b/>
                <w:bCs/>
              </w:rPr>
            </w:pPr>
            <w:r w:rsidRPr="00CA64AF">
              <w:rPr>
                <w:cs/>
              </w:rPr>
              <w:t>‎</w:t>
            </w:r>
            <w:r w:rsidRPr="00CA64AF">
              <w:t>26%</w:t>
            </w:r>
            <w:r w:rsidRPr="00CA64AF">
              <w:rPr>
                <w:cs/>
              </w:rPr>
              <w:t>‎</w:t>
            </w:r>
          </w:p>
        </w:tc>
        <w:tc>
          <w:tcPr>
            <w:tcW w:w="717" w:type="pct"/>
            <w:tcBorders>
              <w:bottom w:val="single" w:sz="2" w:space="0" w:color="4F81BD" w:themeColor="accent1"/>
              <w:right w:val="single" w:sz="2" w:space="0" w:color="4F81BD" w:themeColor="accent1"/>
            </w:tcBorders>
            <w:shd w:val="clear" w:color="auto" w:fill="auto"/>
            <w:noWrap/>
          </w:tcPr>
          <w:p w14:paraId="0BAA270B" w14:textId="00460EE8" w:rsidR="00420DF6" w:rsidRPr="00CA64AF" w:rsidRDefault="00420DF6" w:rsidP="00B06200">
            <w:pPr>
              <w:pStyle w:val="Tablenumbers"/>
              <w:jc w:val="center"/>
              <w:rPr>
                <w:b/>
                <w:bCs/>
              </w:rPr>
            </w:pPr>
            <w:r w:rsidRPr="00CA64AF">
              <w:rPr>
                <w:cs/>
              </w:rPr>
              <w:t>‎</w:t>
            </w:r>
            <w:r w:rsidRPr="00CA64AF">
              <w:t>13%</w:t>
            </w:r>
            <w:r w:rsidRPr="00CA64AF">
              <w:rPr>
                <w:cs/>
              </w:rPr>
              <w:t>‎</w:t>
            </w:r>
          </w:p>
        </w:tc>
        <w:tc>
          <w:tcPr>
            <w:tcW w:w="557" w:type="pct"/>
            <w:tcBorders>
              <w:left w:val="single" w:sz="2" w:space="0" w:color="4F81BD" w:themeColor="accent1"/>
              <w:bottom w:val="single" w:sz="2" w:space="0" w:color="4F81BD" w:themeColor="accent1"/>
              <w:right w:val="single" w:sz="2" w:space="0" w:color="4F81BD" w:themeColor="accent1"/>
            </w:tcBorders>
            <w:shd w:val="clear" w:color="auto" w:fill="auto"/>
            <w:noWrap/>
          </w:tcPr>
          <w:p w14:paraId="19A87F01" w14:textId="69BC4DE3" w:rsidR="00420DF6" w:rsidRPr="00CA64AF" w:rsidRDefault="00420DF6" w:rsidP="00B06200">
            <w:pPr>
              <w:pStyle w:val="Tablenumbers"/>
              <w:jc w:val="center"/>
              <w:rPr>
                <w:b/>
                <w:bCs/>
              </w:rPr>
            </w:pPr>
            <w:r w:rsidRPr="00CA64AF">
              <w:rPr>
                <w:cs/>
              </w:rPr>
              <w:t>‎</w:t>
            </w:r>
            <w:r w:rsidRPr="00CA64AF">
              <w:t>35%</w:t>
            </w:r>
            <w:r w:rsidRPr="00CA64AF">
              <w:rPr>
                <w:cs/>
              </w:rPr>
              <w:t>‎</w:t>
            </w:r>
          </w:p>
        </w:tc>
      </w:tr>
    </w:tbl>
    <w:p w14:paraId="2624B2DC" w14:textId="77777777" w:rsidR="003456E8" w:rsidRPr="00914209" w:rsidRDefault="003456E8" w:rsidP="00B06200">
      <w:pPr>
        <w:pStyle w:val="Graphnote"/>
      </w:pPr>
      <w:r w:rsidRPr="00914209">
        <w:t>Source: BDO estimates. Percentages of waste are rounded to the nearest percentile to facilitate presentation.</w:t>
      </w:r>
    </w:p>
    <w:p w14:paraId="68EE7B29" w14:textId="408F7A97" w:rsidR="003456E8" w:rsidRPr="003456E8" w:rsidRDefault="003456E8" w:rsidP="00420DF6">
      <w:pPr>
        <w:pStyle w:val="BodyText"/>
      </w:pPr>
      <w:r w:rsidRPr="003456E8">
        <w:t xml:space="preserve">In monetary </w:t>
      </w:r>
      <w:r w:rsidR="00FD7754">
        <w:t>terms</w:t>
      </w:r>
      <w:r w:rsidRPr="003456E8">
        <w:t xml:space="preserve">, some </w:t>
      </w:r>
      <w:r w:rsidR="00420DF6" w:rsidRPr="00420DF6">
        <w:rPr>
          <w:highlight w:val="green"/>
        </w:rPr>
        <w:t>18</w:t>
      </w:r>
      <w:r w:rsidRPr="00420DF6">
        <w:rPr>
          <w:highlight w:val="green"/>
        </w:rPr>
        <w:t>%</w:t>
      </w:r>
      <w:r w:rsidRPr="003456E8">
        <w:t xml:space="preserve"> of the value of</w:t>
      </w:r>
      <w:r w:rsidR="00F06929">
        <w:t xml:space="preserve"> food</w:t>
      </w:r>
      <w:r w:rsidRPr="003456E8">
        <w:t xml:space="preserve"> waste, worth approximately NIS </w:t>
      </w:r>
      <w:r w:rsidR="00914209" w:rsidRPr="00420DF6">
        <w:rPr>
          <w:highlight w:val="green"/>
        </w:rPr>
        <w:t>3.</w:t>
      </w:r>
      <w:r w:rsidR="00420DF6" w:rsidRPr="00420DF6">
        <w:rPr>
          <w:highlight w:val="green"/>
        </w:rPr>
        <w:t>6</w:t>
      </w:r>
      <w:r w:rsidRPr="003456E8">
        <w:t xml:space="preserve"> billion, occurs during the various stages of production, </w:t>
      </w:r>
      <w:r w:rsidR="00914209">
        <w:t xml:space="preserve">representing approximately </w:t>
      </w:r>
      <w:r w:rsidR="00914209" w:rsidRPr="00420DF6">
        <w:rPr>
          <w:highlight w:val="green"/>
        </w:rPr>
        <w:t>13%</w:t>
      </w:r>
      <w:r w:rsidR="00914209">
        <w:t xml:space="preserve"> of the value of agricultural production in Israel. </w:t>
      </w:r>
      <w:r w:rsidR="00914209" w:rsidRPr="003456E8">
        <w:t xml:space="preserve">Nearly </w:t>
      </w:r>
      <w:r w:rsidRPr="00420DF6">
        <w:rPr>
          <w:highlight w:val="green"/>
        </w:rPr>
        <w:t>8</w:t>
      </w:r>
      <w:r w:rsidR="00420DF6">
        <w:rPr>
          <w:highlight w:val="green"/>
        </w:rPr>
        <w:t>2</w:t>
      </w:r>
      <w:r w:rsidRPr="00420DF6">
        <w:rPr>
          <w:highlight w:val="green"/>
        </w:rPr>
        <w:t>%</w:t>
      </w:r>
      <w:r w:rsidRPr="003456E8">
        <w:t xml:space="preserve"> of the waste, worth approximately NIS </w:t>
      </w:r>
      <w:r w:rsidRPr="00420DF6">
        <w:rPr>
          <w:highlight w:val="green"/>
        </w:rPr>
        <w:t>1</w:t>
      </w:r>
      <w:r w:rsidR="00420DF6">
        <w:rPr>
          <w:highlight w:val="green"/>
        </w:rPr>
        <w:t>6</w:t>
      </w:r>
      <w:r w:rsidRPr="00420DF6">
        <w:rPr>
          <w:highlight w:val="green"/>
        </w:rPr>
        <w:t>.</w:t>
      </w:r>
      <w:r w:rsidR="00420DF6">
        <w:rPr>
          <w:highlight w:val="green"/>
        </w:rPr>
        <w:t>1</w:t>
      </w:r>
      <w:r w:rsidRPr="003456E8">
        <w:t xml:space="preserve"> billion, </w:t>
      </w:r>
      <w:r w:rsidR="00914209">
        <w:t xml:space="preserve">occurs </w:t>
      </w:r>
      <w:r w:rsidRPr="003456E8">
        <w:t>during distribution and consumption.</w:t>
      </w:r>
    </w:p>
    <w:p w14:paraId="1FF7BA8C" w14:textId="6F5DE50F" w:rsidR="003456E8" w:rsidRPr="00914209" w:rsidRDefault="003456E8" w:rsidP="00411F54">
      <w:pPr>
        <w:pStyle w:val="BodyText"/>
        <w:rPr>
          <w:rFonts w:cstheme="minorHAnsi"/>
        </w:rPr>
      </w:pPr>
      <w:r w:rsidRPr="003456E8">
        <w:t xml:space="preserve">A comprehensive value chain model for various food production and consumption stages was designed to assess food waste and the potential for food rescue in Israel. This model is </w:t>
      </w:r>
      <w:r w:rsidRPr="003456E8">
        <w:lastRenderedPageBreak/>
        <w:t xml:space="preserve">based on a bottom-up approach, and includes analysis of data relevant to agricultural production, import, export, industry, distribution, and a sample of consumption patterns of 50 </w:t>
      </w:r>
      <w:r w:rsidR="00163ABF">
        <w:t>types</w:t>
      </w:r>
      <w:r w:rsidR="007054AA">
        <w:t xml:space="preserve"> of </w:t>
      </w:r>
      <w:r w:rsidRPr="00914209">
        <w:rPr>
          <w:rFonts w:cstheme="minorHAnsi"/>
        </w:rPr>
        <w:t>food.</w:t>
      </w:r>
      <w:r w:rsidRPr="00914209">
        <w:rPr>
          <w:rFonts w:cstheme="minorHAnsi"/>
          <w:vertAlign w:val="superscript"/>
          <w:rtl/>
        </w:rPr>
        <w:footnoteReference w:id="2"/>
      </w:r>
      <w:r w:rsidR="00914209">
        <w:rPr>
          <w:rFonts w:cstheme="minorHAnsi"/>
        </w:rPr>
        <w:t xml:space="preserve"> </w:t>
      </w:r>
      <w:r w:rsidR="00411F54">
        <w:rPr>
          <w:rFonts w:cstheme="minorHAnsi"/>
        </w:rPr>
        <w:t>P</w:t>
      </w:r>
      <w:r w:rsidR="007054AA">
        <w:rPr>
          <w:rFonts w:cstheme="minorHAnsi"/>
        </w:rPr>
        <w:t xml:space="preserve">rocessed produce included in the </w:t>
      </w:r>
      <w:r w:rsidR="00914209">
        <w:rPr>
          <w:rFonts w:cstheme="minorHAnsi"/>
        </w:rPr>
        <w:t xml:space="preserve">data </w:t>
      </w:r>
      <w:r w:rsidR="007054AA">
        <w:rPr>
          <w:rFonts w:cstheme="minorHAnsi"/>
        </w:rPr>
        <w:t xml:space="preserve">is </w:t>
      </w:r>
      <w:r w:rsidR="00914209">
        <w:rPr>
          <w:rFonts w:cstheme="minorHAnsi"/>
        </w:rPr>
        <w:t>translated into terms of fresh produce.</w:t>
      </w:r>
    </w:p>
    <w:p w14:paraId="7DBC60DA" w14:textId="65001D5A" w:rsidR="003456E8" w:rsidRPr="003456E8" w:rsidRDefault="003456E8" w:rsidP="00411F54">
      <w:pPr>
        <w:pStyle w:val="BodyText"/>
      </w:pPr>
      <w:r w:rsidRPr="003456E8">
        <w:t xml:space="preserve">For each type of food, the volume of input and output was measured in terms of gross agricultural product and loss rate for every stage of the value chain in the food production, distribution and consumption process. The loss assessment is based, in part, on agricultural waste surveys which were conducted and updated by the </w:t>
      </w:r>
      <w:proofErr w:type="spellStart"/>
      <w:r w:rsidRPr="003456E8">
        <w:t>Volcani</w:t>
      </w:r>
      <w:proofErr w:type="spellEnd"/>
      <w:r w:rsidRPr="003456E8">
        <w:t xml:space="preserve"> Center.</w:t>
      </w:r>
      <w:r w:rsidR="003676B4">
        <w:rPr>
          <w:rStyle w:val="FootnoteReference"/>
        </w:rPr>
        <w:footnoteReference w:id="3"/>
      </w:r>
      <w:r w:rsidRPr="003456E8">
        <w:t xml:space="preserve"> The estimated total loss of food </w:t>
      </w:r>
      <w:r w:rsidR="003676B4">
        <w:t xml:space="preserve">for the economy as a whole, </w:t>
      </w:r>
      <w:r w:rsidRPr="003456E8">
        <w:t xml:space="preserve">and </w:t>
      </w:r>
      <w:r w:rsidR="003676B4">
        <w:t xml:space="preserve">for </w:t>
      </w:r>
      <w:r w:rsidR="00163ABF">
        <w:t>each</w:t>
      </w:r>
      <w:r w:rsidRPr="003456E8">
        <w:t xml:space="preserve"> type of food</w:t>
      </w:r>
      <w:r w:rsidR="003676B4">
        <w:t>,</w:t>
      </w:r>
      <w:r w:rsidRPr="003456E8">
        <w:t xml:space="preserve"> </w:t>
      </w:r>
      <w:r w:rsidR="00411F54">
        <w:t xml:space="preserve">is </w:t>
      </w:r>
      <w:r w:rsidRPr="003456E8">
        <w:t xml:space="preserve">based on the total loss </w:t>
      </w:r>
      <w:r w:rsidR="007054AA">
        <w:t>for</w:t>
      </w:r>
      <w:r w:rsidRPr="003456E8">
        <w:t xml:space="preserve"> each product and stage. </w:t>
      </w:r>
    </w:p>
    <w:p w14:paraId="3EDC7CC9" w14:textId="6756B6CB" w:rsidR="00914209" w:rsidRPr="00D71E3C" w:rsidRDefault="003456E8" w:rsidP="00C46FCE">
      <w:pPr>
        <w:pStyle w:val="BodyText"/>
      </w:pPr>
      <w:r w:rsidRPr="003456E8">
        <w:t xml:space="preserve">One of the major challenges of analyzing food waste and the potential for food rescue in Israel is the lack of any data-gathering mechanisms, or monitoring of relevant data. This absence of data was </w:t>
      </w:r>
      <w:r w:rsidR="007054AA" w:rsidRPr="003456E8">
        <w:t xml:space="preserve">discussed </w:t>
      </w:r>
      <w:r w:rsidRPr="003456E8">
        <w:t>extensively in the 2015 State Comptroller's Report. The data regarding food waste presented in this report is based on estimates, weighing a wide range of information sources and statistics available</w:t>
      </w:r>
      <w:r w:rsidR="007054AA">
        <w:t>,</w:t>
      </w:r>
      <w:r w:rsidRPr="003456E8">
        <w:t xml:space="preserve"> including conversations and interviews with experts in the field, study findings and results </w:t>
      </w:r>
      <w:r w:rsidR="00163ABF">
        <w:t>from</w:t>
      </w:r>
      <w:r w:rsidRPr="003456E8">
        <w:t xml:space="preserve"> previous reviews, international compar</w:t>
      </w:r>
      <w:r w:rsidR="007054AA">
        <w:t>at</w:t>
      </w:r>
      <w:r w:rsidRPr="003456E8">
        <w:t>i</w:t>
      </w:r>
      <w:r w:rsidR="007054AA">
        <w:t>ve</w:t>
      </w:r>
      <w:r w:rsidRPr="003456E8">
        <w:t xml:space="preserve"> studies and more. </w:t>
      </w:r>
    </w:p>
    <w:p w14:paraId="035FA549" w14:textId="77777777" w:rsidR="003456E8" w:rsidRPr="0017340B" w:rsidRDefault="003456E8" w:rsidP="009E493B">
      <w:pPr>
        <w:pStyle w:val="Graphtitle"/>
        <w:spacing w:after="120" w:line="240" w:lineRule="auto"/>
        <w:rPr>
          <w:rtl/>
        </w:rPr>
      </w:pPr>
      <w:r w:rsidRPr="0017340B">
        <w:t>Food Waste Estimate in Israel (Thousands of Tons)</w:t>
      </w:r>
    </w:p>
    <w:tbl>
      <w:tblPr>
        <w:tblW w:w="8880" w:type="dxa"/>
        <w:tblInd w:w="108"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CellMar>
          <w:left w:w="57" w:type="dxa"/>
          <w:right w:w="57" w:type="dxa"/>
        </w:tblCellMar>
        <w:tblLook w:val="04A0" w:firstRow="1" w:lastRow="0" w:firstColumn="1" w:lastColumn="0" w:noHBand="0" w:noVBand="1"/>
      </w:tblPr>
      <w:tblGrid>
        <w:gridCol w:w="1976"/>
        <w:gridCol w:w="1285"/>
        <w:gridCol w:w="1275"/>
        <w:gridCol w:w="1019"/>
        <w:gridCol w:w="1249"/>
        <w:gridCol w:w="1367"/>
        <w:gridCol w:w="709"/>
      </w:tblGrid>
      <w:tr w:rsidR="003456E8" w:rsidRPr="00E377EB" w14:paraId="3E26C73D" w14:textId="77777777" w:rsidTr="00E377EB">
        <w:trPr>
          <w:trHeight w:val="353"/>
        </w:trPr>
        <w:tc>
          <w:tcPr>
            <w:tcW w:w="1976" w:type="dxa"/>
            <w:tcBorders>
              <w:top w:val="single" w:sz="8" w:space="0" w:color="7BA0CD" w:themeColor="accent1" w:themeTint="BF"/>
              <w:bottom w:val="single" w:sz="6" w:space="0" w:color="7BA0CD" w:themeColor="accent1" w:themeTint="BF"/>
            </w:tcBorders>
            <w:shd w:val="clear" w:color="auto" w:fill="0070C0"/>
            <w:noWrap/>
            <w:hideMark/>
          </w:tcPr>
          <w:p w14:paraId="07548D0F" w14:textId="0EA16A58" w:rsidR="003456E8" w:rsidRPr="00E377EB" w:rsidRDefault="00E377EB" w:rsidP="00E377EB">
            <w:pPr>
              <w:pStyle w:val="Tableheader"/>
              <w:rPr>
                <w:rtl/>
              </w:rPr>
            </w:pPr>
            <w:r w:rsidRPr="00E377EB">
              <w:t xml:space="preserve">Waste </w:t>
            </w:r>
            <w:r w:rsidRPr="00E377EB">
              <w:br/>
            </w:r>
            <w:r w:rsidRPr="00E377EB">
              <w:rPr>
                <w:b w:val="0"/>
                <w:bCs w:val="0"/>
              </w:rPr>
              <w:t xml:space="preserve">(1000 </w:t>
            </w:r>
            <w:r w:rsidR="003456E8" w:rsidRPr="00E377EB">
              <w:rPr>
                <w:b w:val="0"/>
                <w:bCs w:val="0"/>
              </w:rPr>
              <w:t>Tons</w:t>
            </w:r>
            <w:r w:rsidRPr="00E377EB">
              <w:rPr>
                <w:b w:val="0"/>
                <w:bCs w:val="0"/>
              </w:rPr>
              <w:t>)</w:t>
            </w:r>
          </w:p>
        </w:tc>
        <w:tc>
          <w:tcPr>
            <w:tcW w:w="1285" w:type="dxa"/>
            <w:tcBorders>
              <w:top w:val="single" w:sz="8" w:space="0" w:color="7BA0CD" w:themeColor="accent1" w:themeTint="BF"/>
              <w:bottom w:val="single" w:sz="6" w:space="0" w:color="7BA0CD" w:themeColor="accent1" w:themeTint="BF"/>
            </w:tcBorders>
            <w:shd w:val="clear" w:color="auto" w:fill="0070C0"/>
            <w:noWrap/>
            <w:hideMark/>
          </w:tcPr>
          <w:p w14:paraId="51B41A04" w14:textId="77777777" w:rsidR="003456E8" w:rsidRPr="00E377EB" w:rsidRDefault="003676B4" w:rsidP="007054AA">
            <w:pPr>
              <w:pStyle w:val="Tableheader"/>
            </w:pPr>
            <w:r w:rsidRPr="00E377EB">
              <w:t>Agriculture</w:t>
            </w:r>
          </w:p>
        </w:tc>
        <w:tc>
          <w:tcPr>
            <w:tcW w:w="1275" w:type="dxa"/>
            <w:tcBorders>
              <w:top w:val="single" w:sz="8" w:space="0" w:color="7BA0CD" w:themeColor="accent1" w:themeTint="BF"/>
              <w:bottom w:val="single" w:sz="6" w:space="0" w:color="7BA0CD" w:themeColor="accent1" w:themeTint="BF"/>
            </w:tcBorders>
            <w:shd w:val="clear" w:color="auto" w:fill="0070C0"/>
            <w:noWrap/>
            <w:hideMark/>
          </w:tcPr>
          <w:p w14:paraId="0556F3AF" w14:textId="77777777" w:rsidR="003456E8" w:rsidRPr="00E377EB" w:rsidRDefault="003456E8" w:rsidP="007054AA">
            <w:pPr>
              <w:pStyle w:val="Tableheader"/>
            </w:pPr>
            <w:r w:rsidRPr="00E377EB">
              <w:t>Processing &amp; Packaging</w:t>
            </w:r>
          </w:p>
        </w:tc>
        <w:tc>
          <w:tcPr>
            <w:tcW w:w="1019" w:type="dxa"/>
            <w:tcBorders>
              <w:top w:val="single" w:sz="8" w:space="0" w:color="7BA0CD" w:themeColor="accent1" w:themeTint="BF"/>
              <w:bottom w:val="single" w:sz="6" w:space="0" w:color="7BA0CD" w:themeColor="accent1" w:themeTint="BF"/>
            </w:tcBorders>
            <w:shd w:val="clear" w:color="auto" w:fill="0070C0"/>
            <w:noWrap/>
            <w:hideMark/>
          </w:tcPr>
          <w:p w14:paraId="73CF2716" w14:textId="008F1835" w:rsidR="003456E8" w:rsidRPr="00E377EB" w:rsidRDefault="003456E8" w:rsidP="007054AA">
            <w:pPr>
              <w:pStyle w:val="Tableheader"/>
            </w:pPr>
            <w:r w:rsidRPr="00E377EB">
              <w:t>Industry</w:t>
            </w:r>
            <w:r w:rsidR="00E377EB" w:rsidRPr="00E377EB">
              <w:rPr>
                <w:rStyle w:val="FootnoteReference"/>
              </w:rPr>
              <w:footnoteReference w:id="4"/>
            </w:r>
          </w:p>
        </w:tc>
        <w:tc>
          <w:tcPr>
            <w:tcW w:w="1249" w:type="dxa"/>
            <w:tcBorders>
              <w:top w:val="single" w:sz="8" w:space="0" w:color="7BA0CD" w:themeColor="accent1" w:themeTint="BF"/>
              <w:bottom w:val="single" w:sz="6" w:space="0" w:color="7BA0CD" w:themeColor="accent1" w:themeTint="BF"/>
            </w:tcBorders>
            <w:shd w:val="clear" w:color="auto" w:fill="0070C0"/>
            <w:noWrap/>
            <w:hideMark/>
          </w:tcPr>
          <w:p w14:paraId="6D1B5EC4" w14:textId="77777777" w:rsidR="003456E8" w:rsidRPr="00E377EB" w:rsidRDefault="003456E8" w:rsidP="007054AA">
            <w:pPr>
              <w:pStyle w:val="Tableheader"/>
              <w:rPr>
                <w:rtl/>
              </w:rPr>
            </w:pPr>
            <w:r w:rsidRPr="00E377EB">
              <w:t>Distribution</w:t>
            </w:r>
          </w:p>
        </w:tc>
        <w:tc>
          <w:tcPr>
            <w:tcW w:w="1367" w:type="dxa"/>
            <w:tcBorders>
              <w:top w:val="single" w:sz="8" w:space="0" w:color="7BA0CD" w:themeColor="accent1" w:themeTint="BF"/>
              <w:bottom w:val="single" w:sz="6" w:space="0" w:color="7BA0CD" w:themeColor="accent1" w:themeTint="BF"/>
            </w:tcBorders>
            <w:shd w:val="clear" w:color="auto" w:fill="0070C0"/>
            <w:noWrap/>
            <w:hideMark/>
          </w:tcPr>
          <w:p w14:paraId="4E0F7512" w14:textId="77777777" w:rsidR="003456E8" w:rsidRPr="00E377EB" w:rsidRDefault="003456E8" w:rsidP="007054AA">
            <w:pPr>
              <w:pStyle w:val="Tableheader"/>
            </w:pPr>
            <w:r w:rsidRPr="00E377EB">
              <w:t>Consumption</w:t>
            </w:r>
          </w:p>
        </w:tc>
        <w:tc>
          <w:tcPr>
            <w:tcW w:w="709" w:type="dxa"/>
            <w:tcBorders>
              <w:top w:val="single" w:sz="8" w:space="0" w:color="7BA0CD" w:themeColor="accent1" w:themeTint="BF"/>
              <w:bottom w:val="single" w:sz="6" w:space="0" w:color="7BA0CD" w:themeColor="accent1" w:themeTint="BF"/>
            </w:tcBorders>
            <w:shd w:val="clear" w:color="auto" w:fill="0070C0"/>
            <w:noWrap/>
            <w:hideMark/>
          </w:tcPr>
          <w:p w14:paraId="420B14B9" w14:textId="77777777" w:rsidR="003456E8" w:rsidRPr="00E377EB" w:rsidRDefault="003456E8" w:rsidP="007054AA">
            <w:pPr>
              <w:pStyle w:val="Tableheader"/>
            </w:pPr>
            <w:r w:rsidRPr="00E377EB">
              <w:t>Total</w:t>
            </w:r>
          </w:p>
        </w:tc>
      </w:tr>
      <w:tr w:rsidR="003E148D" w:rsidRPr="00CD3DFC" w14:paraId="03E9E1DA" w14:textId="77777777" w:rsidTr="00E377EB">
        <w:trPr>
          <w:trHeight w:val="353"/>
        </w:trPr>
        <w:tc>
          <w:tcPr>
            <w:tcW w:w="1976" w:type="dxa"/>
            <w:tcBorders>
              <w:top w:val="single" w:sz="6" w:space="0" w:color="7BA0CD" w:themeColor="accent1" w:themeTint="BF"/>
            </w:tcBorders>
            <w:noWrap/>
            <w:hideMark/>
          </w:tcPr>
          <w:p w14:paraId="70B63451" w14:textId="77777777" w:rsidR="003E148D" w:rsidRPr="00E377EB" w:rsidRDefault="003E148D" w:rsidP="007054AA">
            <w:pPr>
              <w:pStyle w:val="tabletext"/>
              <w:rPr>
                <w:b w:val="0"/>
                <w:bCs w:val="0"/>
              </w:rPr>
            </w:pPr>
            <w:r w:rsidRPr="00E377EB">
              <w:rPr>
                <w:b w:val="0"/>
                <w:bCs w:val="0"/>
              </w:rPr>
              <w:t>Fruit &amp; Vegetables</w:t>
            </w:r>
          </w:p>
        </w:tc>
        <w:tc>
          <w:tcPr>
            <w:tcW w:w="1285" w:type="dxa"/>
            <w:tcBorders>
              <w:top w:val="single" w:sz="6" w:space="0" w:color="7BA0CD" w:themeColor="accent1" w:themeTint="BF"/>
            </w:tcBorders>
            <w:noWrap/>
          </w:tcPr>
          <w:p w14:paraId="1901FA5E" w14:textId="64751181" w:rsidR="003E148D" w:rsidRPr="00CA64AF" w:rsidRDefault="003E148D" w:rsidP="003E148D">
            <w:pPr>
              <w:pStyle w:val="Tablenumbers"/>
              <w:jc w:val="center"/>
            </w:pPr>
            <w:r w:rsidRPr="00CA64AF">
              <w:rPr>
                <w:cs/>
              </w:rPr>
              <w:t>‎</w:t>
            </w:r>
            <w:r w:rsidRPr="00CA64AF">
              <w:t>518</w:t>
            </w:r>
            <w:r w:rsidRPr="00CA64AF">
              <w:rPr>
                <w:cs/>
              </w:rPr>
              <w:t>‎</w:t>
            </w:r>
          </w:p>
        </w:tc>
        <w:tc>
          <w:tcPr>
            <w:tcW w:w="1275" w:type="dxa"/>
            <w:tcBorders>
              <w:top w:val="single" w:sz="6" w:space="0" w:color="7BA0CD" w:themeColor="accent1" w:themeTint="BF"/>
            </w:tcBorders>
            <w:noWrap/>
          </w:tcPr>
          <w:p w14:paraId="7BEEB433" w14:textId="3E9E9AF4" w:rsidR="003E148D" w:rsidRPr="00CA64AF" w:rsidRDefault="003E148D" w:rsidP="003E148D">
            <w:pPr>
              <w:pStyle w:val="Tablenumbers"/>
              <w:jc w:val="center"/>
            </w:pPr>
            <w:r w:rsidRPr="00CA64AF">
              <w:rPr>
                <w:cs/>
              </w:rPr>
              <w:t>‎</w:t>
            </w:r>
            <w:r w:rsidRPr="00CA64AF">
              <w:t>185</w:t>
            </w:r>
            <w:r w:rsidRPr="00CA64AF">
              <w:rPr>
                <w:cs/>
              </w:rPr>
              <w:t>‎</w:t>
            </w:r>
          </w:p>
        </w:tc>
        <w:tc>
          <w:tcPr>
            <w:tcW w:w="1019" w:type="dxa"/>
            <w:tcBorders>
              <w:top w:val="single" w:sz="6" w:space="0" w:color="7BA0CD" w:themeColor="accent1" w:themeTint="BF"/>
            </w:tcBorders>
            <w:noWrap/>
          </w:tcPr>
          <w:p w14:paraId="0F83F062" w14:textId="77898910" w:rsidR="003E148D" w:rsidRPr="00CA64AF" w:rsidRDefault="003E148D" w:rsidP="003E148D">
            <w:pPr>
              <w:pStyle w:val="Tablenumbers"/>
              <w:jc w:val="center"/>
            </w:pPr>
            <w:r w:rsidRPr="00CA64AF">
              <w:rPr>
                <w:cs/>
              </w:rPr>
              <w:t>‎</w:t>
            </w:r>
            <w:r w:rsidRPr="00CA64AF">
              <w:t>20</w:t>
            </w:r>
            <w:r w:rsidRPr="00CA64AF">
              <w:rPr>
                <w:cs/>
              </w:rPr>
              <w:t>‎</w:t>
            </w:r>
          </w:p>
        </w:tc>
        <w:tc>
          <w:tcPr>
            <w:tcW w:w="1249" w:type="dxa"/>
            <w:tcBorders>
              <w:top w:val="single" w:sz="6" w:space="0" w:color="7BA0CD" w:themeColor="accent1" w:themeTint="BF"/>
            </w:tcBorders>
            <w:noWrap/>
          </w:tcPr>
          <w:p w14:paraId="53A989C9" w14:textId="53F99510" w:rsidR="003E148D" w:rsidRPr="00CA64AF" w:rsidRDefault="003E148D" w:rsidP="003E148D">
            <w:pPr>
              <w:pStyle w:val="Tablenumbers"/>
              <w:jc w:val="center"/>
            </w:pPr>
            <w:r w:rsidRPr="00CA64AF">
              <w:rPr>
                <w:cs/>
              </w:rPr>
              <w:t>‎</w:t>
            </w:r>
            <w:r w:rsidRPr="00CA64AF">
              <w:t>313</w:t>
            </w:r>
            <w:r w:rsidRPr="00CA64AF">
              <w:rPr>
                <w:cs/>
              </w:rPr>
              <w:t>‎</w:t>
            </w:r>
          </w:p>
        </w:tc>
        <w:tc>
          <w:tcPr>
            <w:tcW w:w="1367" w:type="dxa"/>
            <w:tcBorders>
              <w:top w:val="single" w:sz="6" w:space="0" w:color="7BA0CD" w:themeColor="accent1" w:themeTint="BF"/>
            </w:tcBorders>
            <w:noWrap/>
          </w:tcPr>
          <w:p w14:paraId="2A17C7FA" w14:textId="11202B69" w:rsidR="003E148D" w:rsidRPr="00CA64AF" w:rsidRDefault="003E148D" w:rsidP="003E148D">
            <w:pPr>
              <w:pStyle w:val="Tablenumbers"/>
              <w:jc w:val="center"/>
            </w:pPr>
            <w:r w:rsidRPr="00CA64AF">
              <w:rPr>
                <w:cs/>
              </w:rPr>
              <w:t>‎</w:t>
            </w:r>
            <w:r w:rsidRPr="00CA64AF">
              <w:t>639</w:t>
            </w:r>
            <w:r w:rsidRPr="00CA64AF">
              <w:rPr>
                <w:cs/>
              </w:rPr>
              <w:t>‎</w:t>
            </w:r>
          </w:p>
        </w:tc>
        <w:tc>
          <w:tcPr>
            <w:tcW w:w="709" w:type="dxa"/>
            <w:tcBorders>
              <w:top w:val="single" w:sz="6" w:space="0" w:color="7BA0CD" w:themeColor="accent1" w:themeTint="BF"/>
            </w:tcBorders>
            <w:noWrap/>
          </w:tcPr>
          <w:p w14:paraId="6D5F8122" w14:textId="755DEB23" w:rsidR="003E148D" w:rsidRPr="00CA64AF" w:rsidRDefault="003E148D" w:rsidP="003E148D">
            <w:pPr>
              <w:pStyle w:val="Tablenumbers"/>
              <w:jc w:val="center"/>
            </w:pPr>
            <w:r w:rsidRPr="00CA64AF">
              <w:rPr>
                <w:cs/>
              </w:rPr>
              <w:t>‎</w:t>
            </w:r>
            <w:r w:rsidRPr="00CA64AF">
              <w:t>1,675</w:t>
            </w:r>
            <w:r w:rsidRPr="00CA64AF">
              <w:rPr>
                <w:cs/>
              </w:rPr>
              <w:t>‎</w:t>
            </w:r>
          </w:p>
        </w:tc>
      </w:tr>
      <w:tr w:rsidR="003E148D" w:rsidRPr="00CD3DFC" w14:paraId="429257F1" w14:textId="77777777" w:rsidTr="008A7333">
        <w:trPr>
          <w:trHeight w:val="353"/>
        </w:trPr>
        <w:tc>
          <w:tcPr>
            <w:tcW w:w="1976" w:type="dxa"/>
            <w:noWrap/>
            <w:hideMark/>
          </w:tcPr>
          <w:p w14:paraId="3E8A1C45" w14:textId="77777777" w:rsidR="003E148D" w:rsidRPr="00E377EB" w:rsidRDefault="003E148D" w:rsidP="007054AA">
            <w:pPr>
              <w:pStyle w:val="tabletext"/>
              <w:rPr>
                <w:b w:val="0"/>
                <w:bCs w:val="0"/>
                <w:rtl/>
              </w:rPr>
            </w:pPr>
            <w:r w:rsidRPr="00E377EB">
              <w:rPr>
                <w:b w:val="0"/>
                <w:bCs w:val="0"/>
              </w:rPr>
              <w:t>Grains &amp; Legumes</w:t>
            </w:r>
          </w:p>
        </w:tc>
        <w:tc>
          <w:tcPr>
            <w:tcW w:w="1285" w:type="dxa"/>
            <w:noWrap/>
          </w:tcPr>
          <w:p w14:paraId="536B661F" w14:textId="751C3654" w:rsidR="003E148D" w:rsidRPr="00CA64AF" w:rsidRDefault="003E148D" w:rsidP="003E148D">
            <w:pPr>
              <w:pStyle w:val="Tablenumbers"/>
              <w:jc w:val="center"/>
            </w:pPr>
            <w:r w:rsidRPr="00CA64AF">
              <w:rPr>
                <w:cs/>
              </w:rPr>
              <w:t>‎</w:t>
            </w:r>
            <w:r w:rsidRPr="00CA64AF">
              <w:t>23</w:t>
            </w:r>
            <w:r w:rsidRPr="00CA64AF">
              <w:rPr>
                <w:cs/>
              </w:rPr>
              <w:t>‎</w:t>
            </w:r>
          </w:p>
        </w:tc>
        <w:tc>
          <w:tcPr>
            <w:tcW w:w="1275" w:type="dxa"/>
            <w:noWrap/>
          </w:tcPr>
          <w:p w14:paraId="5A39920B" w14:textId="4C699A4E" w:rsidR="003E148D" w:rsidRPr="00CA64AF" w:rsidRDefault="003E148D" w:rsidP="003E148D">
            <w:pPr>
              <w:pStyle w:val="Tablenumbers"/>
              <w:jc w:val="center"/>
            </w:pPr>
            <w:r w:rsidRPr="00CA64AF">
              <w:rPr>
                <w:cs/>
              </w:rPr>
              <w:t>‎</w:t>
            </w:r>
            <w:r w:rsidRPr="00CA64AF">
              <w:t>13</w:t>
            </w:r>
            <w:r w:rsidRPr="00CA64AF">
              <w:rPr>
                <w:cs/>
              </w:rPr>
              <w:t>‎</w:t>
            </w:r>
          </w:p>
        </w:tc>
        <w:tc>
          <w:tcPr>
            <w:tcW w:w="1019" w:type="dxa"/>
            <w:noWrap/>
          </w:tcPr>
          <w:p w14:paraId="6DA4A794" w14:textId="75126520" w:rsidR="003E148D" w:rsidRPr="00CA64AF" w:rsidRDefault="003E148D" w:rsidP="003E148D">
            <w:pPr>
              <w:pStyle w:val="Tablenumbers"/>
              <w:jc w:val="center"/>
            </w:pPr>
            <w:r w:rsidRPr="00CA64AF">
              <w:rPr>
                <w:rtl/>
              </w:rPr>
              <w:t>‏19‏</w:t>
            </w:r>
          </w:p>
        </w:tc>
        <w:tc>
          <w:tcPr>
            <w:tcW w:w="1249" w:type="dxa"/>
            <w:noWrap/>
          </w:tcPr>
          <w:p w14:paraId="60BDD512" w14:textId="6FA2445E" w:rsidR="003E148D" w:rsidRPr="00CA64AF" w:rsidRDefault="003E148D" w:rsidP="003E148D">
            <w:pPr>
              <w:pStyle w:val="Tablenumbers"/>
              <w:jc w:val="center"/>
            </w:pPr>
            <w:r w:rsidRPr="00CA64AF">
              <w:rPr>
                <w:cs/>
              </w:rPr>
              <w:t>‎</w:t>
            </w:r>
            <w:r w:rsidRPr="00CA64AF">
              <w:t>43</w:t>
            </w:r>
            <w:r w:rsidRPr="00CA64AF">
              <w:rPr>
                <w:cs/>
              </w:rPr>
              <w:t>‎</w:t>
            </w:r>
          </w:p>
        </w:tc>
        <w:tc>
          <w:tcPr>
            <w:tcW w:w="1367" w:type="dxa"/>
            <w:noWrap/>
          </w:tcPr>
          <w:p w14:paraId="6DA3FA90" w14:textId="2447391B" w:rsidR="003E148D" w:rsidRPr="00CA64AF" w:rsidRDefault="003E148D" w:rsidP="003E148D">
            <w:pPr>
              <w:pStyle w:val="Tablenumbers"/>
              <w:jc w:val="center"/>
            </w:pPr>
            <w:r w:rsidRPr="00CA64AF">
              <w:rPr>
                <w:cs/>
              </w:rPr>
              <w:t>‎</w:t>
            </w:r>
            <w:r w:rsidRPr="00CA64AF">
              <w:t>282</w:t>
            </w:r>
            <w:r w:rsidRPr="00CA64AF">
              <w:rPr>
                <w:cs/>
              </w:rPr>
              <w:t>‎</w:t>
            </w:r>
          </w:p>
        </w:tc>
        <w:tc>
          <w:tcPr>
            <w:tcW w:w="709" w:type="dxa"/>
            <w:noWrap/>
          </w:tcPr>
          <w:p w14:paraId="46D05D26" w14:textId="0947CF7D" w:rsidR="003E148D" w:rsidRPr="00CA64AF" w:rsidRDefault="003E148D" w:rsidP="003E148D">
            <w:pPr>
              <w:pStyle w:val="Tablenumbers"/>
              <w:jc w:val="center"/>
            </w:pPr>
            <w:r w:rsidRPr="00CA64AF">
              <w:rPr>
                <w:cs/>
              </w:rPr>
              <w:t>‎</w:t>
            </w:r>
            <w:r w:rsidRPr="00CA64AF">
              <w:t>381</w:t>
            </w:r>
            <w:r w:rsidRPr="00CA64AF">
              <w:rPr>
                <w:cs/>
              </w:rPr>
              <w:t>‎</w:t>
            </w:r>
          </w:p>
        </w:tc>
      </w:tr>
      <w:tr w:rsidR="003E148D" w:rsidRPr="00CD3DFC" w14:paraId="5554D4F3" w14:textId="77777777" w:rsidTr="008A7333">
        <w:trPr>
          <w:trHeight w:val="353"/>
        </w:trPr>
        <w:tc>
          <w:tcPr>
            <w:tcW w:w="1976" w:type="dxa"/>
            <w:noWrap/>
            <w:hideMark/>
          </w:tcPr>
          <w:p w14:paraId="034489ED" w14:textId="77777777" w:rsidR="003E148D" w:rsidRPr="00E377EB" w:rsidRDefault="003E148D" w:rsidP="007054AA">
            <w:pPr>
              <w:pStyle w:val="tabletext"/>
              <w:rPr>
                <w:b w:val="0"/>
                <w:bCs w:val="0"/>
              </w:rPr>
            </w:pPr>
            <w:r w:rsidRPr="00E377EB">
              <w:rPr>
                <w:b w:val="0"/>
                <w:bCs w:val="0"/>
              </w:rPr>
              <w:t>Meat, Fish &amp; Eggs</w:t>
            </w:r>
          </w:p>
        </w:tc>
        <w:tc>
          <w:tcPr>
            <w:tcW w:w="1285" w:type="dxa"/>
            <w:noWrap/>
          </w:tcPr>
          <w:p w14:paraId="776C069C" w14:textId="614A0ECB" w:rsidR="003E148D" w:rsidRPr="00CA64AF" w:rsidRDefault="003E148D" w:rsidP="003E148D">
            <w:pPr>
              <w:pStyle w:val="Tablenumbers"/>
              <w:jc w:val="center"/>
            </w:pPr>
            <w:r w:rsidRPr="00CA64AF">
              <w:rPr>
                <w:cs/>
              </w:rPr>
              <w:t>‎</w:t>
            </w:r>
            <w:r w:rsidRPr="00CA64AF">
              <w:t>31</w:t>
            </w:r>
            <w:r w:rsidRPr="00CA64AF">
              <w:rPr>
                <w:cs/>
              </w:rPr>
              <w:t>‎</w:t>
            </w:r>
          </w:p>
        </w:tc>
        <w:tc>
          <w:tcPr>
            <w:tcW w:w="1275" w:type="dxa"/>
            <w:noWrap/>
          </w:tcPr>
          <w:p w14:paraId="064693C0" w14:textId="6C31C602" w:rsidR="003E148D" w:rsidRPr="00CA64AF" w:rsidRDefault="003E148D" w:rsidP="003E148D">
            <w:pPr>
              <w:pStyle w:val="Tablenumbers"/>
              <w:jc w:val="center"/>
            </w:pPr>
            <w:r w:rsidRPr="00CA64AF">
              <w:rPr>
                <w:cs/>
              </w:rPr>
              <w:t>‎</w:t>
            </w:r>
            <w:r w:rsidRPr="00CA64AF">
              <w:t>5</w:t>
            </w:r>
            <w:r w:rsidRPr="00CA64AF">
              <w:rPr>
                <w:cs/>
              </w:rPr>
              <w:t>‎</w:t>
            </w:r>
          </w:p>
        </w:tc>
        <w:tc>
          <w:tcPr>
            <w:tcW w:w="1019" w:type="dxa"/>
            <w:noWrap/>
          </w:tcPr>
          <w:p w14:paraId="5C9EE7B8" w14:textId="53A3D8D0" w:rsidR="003E148D" w:rsidRPr="00CA64AF" w:rsidRDefault="003E148D" w:rsidP="003E148D">
            <w:pPr>
              <w:pStyle w:val="Tablenumbers"/>
              <w:jc w:val="center"/>
            </w:pPr>
            <w:r w:rsidRPr="00CA64AF">
              <w:rPr>
                <w:cs/>
              </w:rPr>
              <w:t>‎</w:t>
            </w:r>
            <w:r w:rsidRPr="00CA64AF">
              <w:t>30</w:t>
            </w:r>
            <w:r w:rsidRPr="00CA64AF">
              <w:rPr>
                <w:cs/>
              </w:rPr>
              <w:t>‎</w:t>
            </w:r>
          </w:p>
        </w:tc>
        <w:tc>
          <w:tcPr>
            <w:tcW w:w="1249" w:type="dxa"/>
            <w:noWrap/>
          </w:tcPr>
          <w:p w14:paraId="572C55CF" w14:textId="4CD50B83" w:rsidR="003E148D" w:rsidRPr="00CA64AF" w:rsidRDefault="003E148D" w:rsidP="003E148D">
            <w:pPr>
              <w:pStyle w:val="Tablenumbers"/>
              <w:jc w:val="center"/>
            </w:pPr>
            <w:r w:rsidRPr="00CA64AF">
              <w:rPr>
                <w:cs/>
              </w:rPr>
              <w:t>‎</w:t>
            </w:r>
            <w:r w:rsidRPr="00CA64AF">
              <w:t>37</w:t>
            </w:r>
            <w:r w:rsidRPr="00CA64AF">
              <w:rPr>
                <w:cs/>
              </w:rPr>
              <w:t>‎</w:t>
            </w:r>
          </w:p>
        </w:tc>
        <w:tc>
          <w:tcPr>
            <w:tcW w:w="1367" w:type="dxa"/>
            <w:noWrap/>
          </w:tcPr>
          <w:p w14:paraId="5AE4C97A" w14:textId="1A8AB462" w:rsidR="003E148D" w:rsidRPr="00CA64AF" w:rsidRDefault="003E148D" w:rsidP="003E148D">
            <w:pPr>
              <w:pStyle w:val="Tablenumbers"/>
              <w:jc w:val="center"/>
            </w:pPr>
            <w:r w:rsidRPr="00CA64AF">
              <w:rPr>
                <w:cs/>
              </w:rPr>
              <w:t>‎</w:t>
            </w:r>
            <w:r w:rsidRPr="00CA64AF">
              <w:t>90</w:t>
            </w:r>
            <w:r w:rsidRPr="00CA64AF">
              <w:rPr>
                <w:cs/>
              </w:rPr>
              <w:t>‎</w:t>
            </w:r>
          </w:p>
        </w:tc>
        <w:tc>
          <w:tcPr>
            <w:tcW w:w="709" w:type="dxa"/>
            <w:noWrap/>
          </w:tcPr>
          <w:p w14:paraId="16124103" w14:textId="1231D164" w:rsidR="003E148D" w:rsidRPr="00CA64AF" w:rsidRDefault="003E148D" w:rsidP="003E148D">
            <w:pPr>
              <w:pStyle w:val="Tablenumbers"/>
              <w:jc w:val="center"/>
            </w:pPr>
            <w:r w:rsidRPr="00CA64AF">
              <w:rPr>
                <w:cs/>
              </w:rPr>
              <w:t>‎</w:t>
            </w:r>
            <w:r w:rsidRPr="00CA64AF">
              <w:t>193</w:t>
            </w:r>
            <w:r w:rsidRPr="00CA64AF">
              <w:rPr>
                <w:cs/>
              </w:rPr>
              <w:t>‎</w:t>
            </w:r>
          </w:p>
        </w:tc>
      </w:tr>
      <w:tr w:rsidR="003E148D" w:rsidRPr="00CD3DFC" w14:paraId="3DF83B95" w14:textId="77777777" w:rsidTr="008A7333">
        <w:trPr>
          <w:trHeight w:val="353"/>
        </w:trPr>
        <w:tc>
          <w:tcPr>
            <w:tcW w:w="1976" w:type="dxa"/>
            <w:noWrap/>
            <w:hideMark/>
          </w:tcPr>
          <w:p w14:paraId="327A4558" w14:textId="77777777" w:rsidR="003E148D" w:rsidRPr="00E377EB" w:rsidRDefault="003E148D" w:rsidP="007054AA">
            <w:pPr>
              <w:pStyle w:val="tabletext"/>
              <w:rPr>
                <w:b w:val="0"/>
                <w:bCs w:val="0"/>
              </w:rPr>
            </w:pPr>
            <w:r w:rsidRPr="00E377EB">
              <w:rPr>
                <w:b w:val="0"/>
                <w:bCs w:val="0"/>
              </w:rPr>
              <w:t>Milk &amp; Dairy</w:t>
            </w:r>
          </w:p>
        </w:tc>
        <w:tc>
          <w:tcPr>
            <w:tcW w:w="1285" w:type="dxa"/>
            <w:noWrap/>
          </w:tcPr>
          <w:p w14:paraId="17C31D5C" w14:textId="1355D1B4" w:rsidR="003E148D" w:rsidRPr="00CA64AF" w:rsidRDefault="003E148D" w:rsidP="003E148D">
            <w:pPr>
              <w:pStyle w:val="Tablenumbers"/>
              <w:jc w:val="center"/>
            </w:pPr>
            <w:r w:rsidRPr="00CA64AF">
              <w:rPr>
                <w:cs/>
              </w:rPr>
              <w:t>‎</w:t>
            </w:r>
            <w:r w:rsidRPr="00CA64AF">
              <w:t>58</w:t>
            </w:r>
            <w:r w:rsidRPr="00CA64AF">
              <w:rPr>
                <w:cs/>
              </w:rPr>
              <w:t>‎</w:t>
            </w:r>
          </w:p>
        </w:tc>
        <w:tc>
          <w:tcPr>
            <w:tcW w:w="1275" w:type="dxa"/>
            <w:noWrap/>
          </w:tcPr>
          <w:p w14:paraId="334A047A" w14:textId="5748EEBD" w:rsidR="003E148D" w:rsidRPr="00CA64AF" w:rsidRDefault="003E148D" w:rsidP="003E148D">
            <w:pPr>
              <w:pStyle w:val="Tablenumbers"/>
              <w:jc w:val="center"/>
            </w:pPr>
            <w:r w:rsidRPr="00CA64AF">
              <w:rPr>
                <w:cs/>
              </w:rPr>
              <w:t>‎</w:t>
            </w:r>
            <w:r w:rsidRPr="00CA64AF">
              <w:t>8</w:t>
            </w:r>
            <w:r w:rsidRPr="00CA64AF">
              <w:rPr>
                <w:cs/>
              </w:rPr>
              <w:t>‎</w:t>
            </w:r>
          </w:p>
        </w:tc>
        <w:tc>
          <w:tcPr>
            <w:tcW w:w="1019" w:type="dxa"/>
            <w:noWrap/>
          </w:tcPr>
          <w:p w14:paraId="399A7CAF" w14:textId="0902E9C0" w:rsidR="003E148D" w:rsidRPr="00CA64AF" w:rsidRDefault="003E148D" w:rsidP="003E148D">
            <w:pPr>
              <w:pStyle w:val="Tablenumbers"/>
              <w:jc w:val="center"/>
            </w:pPr>
            <w:r w:rsidRPr="00CA64AF">
              <w:rPr>
                <w:cs/>
              </w:rPr>
              <w:t>‎</w:t>
            </w:r>
            <w:r w:rsidRPr="00CA64AF">
              <w:t>19</w:t>
            </w:r>
            <w:r w:rsidRPr="00CA64AF">
              <w:rPr>
                <w:cs/>
              </w:rPr>
              <w:t>‎</w:t>
            </w:r>
          </w:p>
        </w:tc>
        <w:tc>
          <w:tcPr>
            <w:tcW w:w="1249" w:type="dxa"/>
            <w:noWrap/>
          </w:tcPr>
          <w:p w14:paraId="76AE2089" w14:textId="336731DA" w:rsidR="003E148D" w:rsidRPr="00CA64AF" w:rsidRDefault="003E148D" w:rsidP="003E148D">
            <w:pPr>
              <w:pStyle w:val="Tablenumbers"/>
              <w:jc w:val="center"/>
            </w:pPr>
            <w:r w:rsidRPr="00CA64AF">
              <w:rPr>
                <w:cs/>
              </w:rPr>
              <w:t>‎</w:t>
            </w:r>
            <w:r w:rsidRPr="00CA64AF">
              <w:t>28</w:t>
            </w:r>
            <w:r w:rsidRPr="00CA64AF">
              <w:rPr>
                <w:cs/>
              </w:rPr>
              <w:t>‎</w:t>
            </w:r>
          </w:p>
        </w:tc>
        <w:tc>
          <w:tcPr>
            <w:tcW w:w="1367" w:type="dxa"/>
            <w:noWrap/>
          </w:tcPr>
          <w:p w14:paraId="1123153E" w14:textId="5662969F" w:rsidR="003E148D" w:rsidRPr="00CA64AF" w:rsidRDefault="003E148D" w:rsidP="003E148D">
            <w:pPr>
              <w:pStyle w:val="Tablenumbers"/>
              <w:jc w:val="center"/>
            </w:pPr>
            <w:r w:rsidRPr="00CA64AF">
              <w:rPr>
                <w:cs/>
              </w:rPr>
              <w:t>‎</w:t>
            </w:r>
            <w:r w:rsidRPr="00CA64AF">
              <w:t>99</w:t>
            </w:r>
            <w:r w:rsidRPr="00CA64AF">
              <w:rPr>
                <w:cs/>
              </w:rPr>
              <w:t>‎</w:t>
            </w:r>
          </w:p>
        </w:tc>
        <w:tc>
          <w:tcPr>
            <w:tcW w:w="709" w:type="dxa"/>
            <w:noWrap/>
          </w:tcPr>
          <w:p w14:paraId="09F2AD8A" w14:textId="7180CB23" w:rsidR="003E148D" w:rsidRPr="00CA64AF" w:rsidRDefault="003E148D" w:rsidP="003E148D">
            <w:pPr>
              <w:pStyle w:val="Tablenumbers"/>
              <w:jc w:val="center"/>
            </w:pPr>
            <w:r w:rsidRPr="00CA64AF">
              <w:rPr>
                <w:cs/>
              </w:rPr>
              <w:t>‎</w:t>
            </w:r>
            <w:r w:rsidRPr="00CA64AF">
              <w:t>213</w:t>
            </w:r>
            <w:r w:rsidRPr="00CA64AF">
              <w:rPr>
                <w:cs/>
              </w:rPr>
              <w:t>‎</w:t>
            </w:r>
          </w:p>
        </w:tc>
      </w:tr>
      <w:tr w:rsidR="003E148D" w:rsidRPr="00CD3DFC" w14:paraId="6A5B88B8" w14:textId="77777777" w:rsidTr="008A7333">
        <w:trPr>
          <w:trHeight w:val="147"/>
        </w:trPr>
        <w:tc>
          <w:tcPr>
            <w:tcW w:w="1976" w:type="dxa"/>
            <w:noWrap/>
            <w:hideMark/>
          </w:tcPr>
          <w:p w14:paraId="7712A2A9" w14:textId="77777777" w:rsidR="003E148D" w:rsidRPr="00E377EB" w:rsidRDefault="003E148D" w:rsidP="007054AA">
            <w:pPr>
              <w:pStyle w:val="tabletext"/>
              <w:rPr>
                <w:rFonts w:cstheme="minorHAnsi"/>
                <w:b w:val="0"/>
                <w:bCs w:val="0"/>
              </w:rPr>
            </w:pPr>
            <w:r w:rsidRPr="00E377EB">
              <w:rPr>
                <w:rFonts w:cstheme="minorHAnsi"/>
              </w:rPr>
              <w:t>Total</w:t>
            </w:r>
            <w:r w:rsidRPr="00E377EB">
              <w:rPr>
                <w:rFonts w:cstheme="minorHAnsi"/>
                <w:b w:val="0"/>
                <w:bCs w:val="0"/>
              </w:rPr>
              <w:t xml:space="preserve"> </w:t>
            </w:r>
          </w:p>
        </w:tc>
        <w:tc>
          <w:tcPr>
            <w:tcW w:w="1285" w:type="dxa"/>
            <w:noWrap/>
          </w:tcPr>
          <w:p w14:paraId="20F71DF0" w14:textId="4E031D8D" w:rsidR="003E148D" w:rsidRPr="00CA64AF" w:rsidRDefault="003E148D" w:rsidP="003E148D">
            <w:pPr>
              <w:pStyle w:val="Tablenumbers"/>
              <w:jc w:val="center"/>
              <w:rPr>
                <w:b/>
                <w:bCs/>
              </w:rPr>
            </w:pPr>
            <w:r w:rsidRPr="00CA64AF">
              <w:rPr>
                <w:b/>
                <w:bCs/>
                <w:cs/>
              </w:rPr>
              <w:t>‎</w:t>
            </w:r>
            <w:r w:rsidRPr="00CA64AF">
              <w:rPr>
                <w:b/>
                <w:bCs/>
              </w:rPr>
              <w:t>631</w:t>
            </w:r>
            <w:r w:rsidRPr="00CA64AF">
              <w:rPr>
                <w:b/>
                <w:bCs/>
                <w:cs/>
              </w:rPr>
              <w:t>‎</w:t>
            </w:r>
          </w:p>
        </w:tc>
        <w:tc>
          <w:tcPr>
            <w:tcW w:w="1275" w:type="dxa"/>
            <w:noWrap/>
          </w:tcPr>
          <w:p w14:paraId="4344536F" w14:textId="34AEC704" w:rsidR="003E148D" w:rsidRPr="00CA64AF" w:rsidRDefault="003E148D" w:rsidP="003E148D">
            <w:pPr>
              <w:pStyle w:val="Tablenumbers"/>
              <w:jc w:val="center"/>
              <w:rPr>
                <w:b/>
                <w:bCs/>
              </w:rPr>
            </w:pPr>
            <w:r w:rsidRPr="00CA64AF">
              <w:rPr>
                <w:b/>
                <w:bCs/>
                <w:cs/>
              </w:rPr>
              <w:t>‎</w:t>
            </w:r>
            <w:r w:rsidRPr="00CA64AF">
              <w:rPr>
                <w:b/>
                <w:bCs/>
              </w:rPr>
              <w:t>211</w:t>
            </w:r>
            <w:r w:rsidRPr="00CA64AF">
              <w:rPr>
                <w:b/>
                <w:bCs/>
                <w:cs/>
              </w:rPr>
              <w:t>‎</w:t>
            </w:r>
          </w:p>
        </w:tc>
        <w:tc>
          <w:tcPr>
            <w:tcW w:w="1019" w:type="dxa"/>
            <w:noWrap/>
          </w:tcPr>
          <w:p w14:paraId="2F419B99" w14:textId="4B71A918" w:rsidR="003E148D" w:rsidRPr="00CA64AF" w:rsidRDefault="003E148D" w:rsidP="003E148D">
            <w:pPr>
              <w:pStyle w:val="Tablenumbers"/>
              <w:jc w:val="center"/>
              <w:rPr>
                <w:b/>
                <w:bCs/>
              </w:rPr>
            </w:pPr>
            <w:r w:rsidRPr="00CA64AF">
              <w:rPr>
                <w:b/>
                <w:bCs/>
                <w:rtl/>
              </w:rPr>
              <w:t>‏88‏</w:t>
            </w:r>
          </w:p>
        </w:tc>
        <w:tc>
          <w:tcPr>
            <w:tcW w:w="1249" w:type="dxa"/>
            <w:noWrap/>
          </w:tcPr>
          <w:p w14:paraId="02FB00FF" w14:textId="1C94AB70" w:rsidR="003E148D" w:rsidRPr="00CA64AF" w:rsidRDefault="003E148D" w:rsidP="003E148D">
            <w:pPr>
              <w:pStyle w:val="Tablenumbers"/>
              <w:jc w:val="center"/>
              <w:rPr>
                <w:b/>
                <w:bCs/>
              </w:rPr>
            </w:pPr>
            <w:r w:rsidRPr="00CA64AF">
              <w:rPr>
                <w:b/>
                <w:bCs/>
                <w:cs/>
              </w:rPr>
              <w:t>‎</w:t>
            </w:r>
            <w:r w:rsidRPr="00CA64AF">
              <w:rPr>
                <w:b/>
                <w:bCs/>
              </w:rPr>
              <w:t>421</w:t>
            </w:r>
            <w:r w:rsidRPr="00CA64AF">
              <w:rPr>
                <w:b/>
                <w:bCs/>
                <w:cs/>
              </w:rPr>
              <w:t>‎</w:t>
            </w:r>
          </w:p>
        </w:tc>
        <w:tc>
          <w:tcPr>
            <w:tcW w:w="1367" w:type="dxa"/>
            <w:noWrap/>
          </w:tcPr>
          <w:p w14:paraId="7261E3E4" w14:textId="1CE56F09" w:rsidR="003E148D" w:rsidRPr="00CA64AF" w:rsidRDefault="003E148D" w:rsidP="003E148D">
            <w:pPr>
              <w:pStyle w:val="Tablenumbers"/>
              <w:jc w:val="center"/>
              <w:rPr>
                <w:b/>
                <w:bCs/>
              </w:rPr>
            </w:pPr>
            <w:r w:rsidRPr="00CA64AF">
              <w:rPr>
                <w:b/>
                <w:bCs/>
                <w:rtl/>
              </w:rPr>
              <w:t>‏1,110‏</w:t>
            </w:r>
          </w:p>
        </w:tc>
        <w:tc>
          <w:tcPr>
            <w:tcW w:w="709" w:type="dxa"/>
            <w:noWrap/>
          </w:tcPr>
          <w:p w14:paraId="307096F2" w14:textId="6C648E8D" w:rsidR="003E148D" w:rsidRPr="00CA64AF" w:rsidRDefault="003E148D" w:rsidP="003E148D">
            <w:pPr>
              <w:pStyle w:val="Tablenumbers"/>
              <w:jc w:val="center"/>
              <w:rPr>
                <w:b/>
                <w:bCs/>
              </w:rPr>
            </w:pPr>
            <w:r w:rsidRPr="00CA64AF">
              <w:rPr>
                <w:b/>
                <w:bCs/>
                <w:cs/>
              </w:rPr>
              <w:t>‎</w:t>
            </w:r>
            <w:r w:rsidRPr="00CA64AF">
              <w:rPr>
                <w:b/>
                <w:bCs/>
              </w:rPr>
              <w:t>2,461</w:t>
            </w:r>
            <w:r w:rsidRPr="00CA64AF">
              <w:rPr>
                <w:b/>
                <w:bCs/>
                <w:cs/>
              </w:rPr>
              <w:t>‎</w:t>
            </w:r>
          </w:p>
        </w:tc>
      </w:tr>
    </w:tbl>
    <w:p w14:paraId="5498EDA2" w14:textId="77777777" w:rsidR="003456E8" w:rsidRPr="003456E8" w:rsidRDefault="003456E8" w:rsidP="007054AA">
      <w:pPr>
        <w:pStyle w:val="Graphnote"/>
      </w:pPr>
      <w:r w:rsidRPr="003456E8">
        <w:t>Source: BDO estimates</w:t>
      </w:r>
    </w:p>
    <w:p w14:paraId="09E1442F" w14:textId="77777777" w:rsidR="003456E8" w:rsidRPr="003456E8" w:rsidRDefault="003456E8" w:rsidP="008C6D72">
      <w:pPr>
        <w:pStyle w:val="BodyText"/>
      </w:pPr>
      <w:r w:rsidRPr="003456E8">
        <w:lastRenderedPageBreak/>
        <w:t xml:space="preserve">There is great variance in the volume of food waste among the different foods types reviewed, as well as in </w:t>
      </w:r>
      <w:r w:rsidR="007F458A">
        <w:t xml:space="preserve">each </w:t>
      </w:r>
      <w:r w:rsidRPr="003456E8">
        <w:t xml:space="preserve">stage </w:t>
      </w:r>
      <w:r w:rsidR="007F458A">
        <w:t xml:space="preserve">of </w:t>
      </w:r>
      <w:r w:rsidRPr="003456E8">
        <w:t xml:space="preserve">the value chain in which the waste occurs. The value of agricultural produce per ton increases as it progresses </w:t>
      </w:r>
      <w:r w:rsidR="008C6D72">
        <w:t>along</w:t>
      </w:r>
      <w:r w:rsidRPr="003456E8">
        <w:t xml:space="preserve"> the value chain of production and as additional inputs are invested—including those required by sorting, processing, transport and distribution. Assessment of the value of waste in the early stages of production (growing, packaging and manufacturing) is bas</w:t>
      </w:r>
      <w:r w:rsidR="007F458A">
        <w:t xml:space="preserve">ed on the </w:t>
      </w:r>
      <w:r w:rsidRPr="003456E8">
        <w:t xml:space="preserve">wholesale prices paid to farmers. Waste during the later stages in the value chain is estimated based on retail food prices. </w:t>
      </w:r>
    </w:p>
    <w:p w14:paraId="22017ADF" w14:textId="3D421196" w:rsidR="003456E8" w:rsidRPr="003456E8" w:rsidRDefault="003456E8" w:rsidP="003E148D">
      <w:pPr>
        <w:pStyle w:val="BodyText"/>
      </w:pPr>
      <w:r w:rsidRPr="007F458A">
        <w:rPr>
          <w:b/>
          <w:bCs/>
        </w:rPr>
        <w:t xml:space="preserve">The economic value of food waste in Israel is estimated at approximately NIS </w:t>
      </w:r>
      <w:r w:rsidRPr="00046F4E">
        <w:rPr>
          <w:b/>
          <w:bCs/>
          <w:highlight w:val="cyan"/>
        </w:rPr>
        <w:t>19.</w:t>
      </w:r>
      <w:r w:rsidR="003E148D" w:rsidRPr="00046F4E">
        <w:rPr>
          <w:b/>
          <w:bCs/>
          <w:highlight w:val="cyan"/>
        </w:rPr>
        <w:t>7</w:t>
      </w:r>
      <w:r w:rsidRPr="007F458A">
        <w:rPr>
          <w:b/>
          <w:bCs/>
        </w:rPr>
        <w:t xml:space="preserve"> billion, constituting </w:t>
      </w:r>
      <w:r w:rsidRPr="00046F4E">
        <w:rPr>
          <w:b/>
          <w:bCs/>
          <w:highlight w:val="cyan"/>
        </w:rPr>
        <w:t>1.</w:t>
      </w:r>
      <w:r w:rsidR="003E148D" w:rsidRPr="00046F4E">
        <w:rPr>
          <w:b/>
          <w:bCs/>
          <w:highlight w:val="cyan"/>
        </w:rPr>
        <w:t>5</w:t>
      </w:r>
      <w:r w:rsidRPr="00046F4E">
        <w:rPr>
          <w:b/>
          <w:bCs/>
          <w:highlight w:val="cyan"/>
        </w:rPr>
        <w:t>%</w:t>
      </w:r>
      <w:r w:rsidRPr="007F458A">
        <w:rPr>
          <w:b/>
          <w:bCs/>
        </w:rPr>
        <w:t xml:space="preserve"> of domestic production</w:t>
      </w:r>
      <w:r w:rsidRPr="003456E8">
        <w:t xml:space="preserve">. </w:t>
      </w:r>
    </w:p>
    <w:p w14:paraId="2DD36E8A" w14:textId="7D240529" w:rsidR="00277290" w:rsidRPr="00277290" w:rsidRDefault="00277290" w:rsidP="000829EA">
      <w:pPr>
        <w:pStyle w:val="Graphtitle"/>
        <w:bidi/>
        <w:rPr>
          <w:rtl/>
        </w:rPr>
      </w:pPr>
      <w:r w:rsidRPr="00277290">
        <w:t xml:space="preserve">Estimated </w:t>
      </w:r>
      <w:r w:rsidR="00371472">
        <w:rPr>
          <w:rFonts w:hint="cs"/>
        </w:rPr>
        <w:t>P</w:t>
      </w:r>
      <w:r w:rsidR="00371472" w:rsidRPr="00371472">
        <w:t>ercentage</w:t>
      </w:r>
      <w:r w:rsidRPr="00277290">
        <w:t xml:space="preserve"> of Food Waste in Israel</w:t>
      </w:r>
      <w:r>
        <w:t xml:space="preserve">, by </w:t>
      </w:r>
      <w:r w:rsidR="008D157A">
        <w:t>sector</w:t>
      </w:r>
    </w:p>
    <w:p w14:paraId="23448072" w14:textId="4396B1BA" w:rsidR="00277290" w:rsidRPr="00277290" w:rsidRDefault="003E148D" w:rsidP="00277290">
      <w:pPr>
        <w:rPr>
          <w:b/>
          <w:bCs/>
        </w:rPr>
      </w:pPr>
      <w:r>
        <w:rPr>
          <w:noProof/>
          <w:lang w:bidi="ar-SA"/>
        </w:rPr>
        <w:drawing>
          <wp:inline distT="0" distB="0" distL="0" distR="0" wp14:anchorId="072D11CD" wp14:editId="6710A828">
            <wp:extent cx="4572000" cy="2720787"/>
            <wp:effectExtent l="0" t="0" r="0" b="3810"/>
            <wp:docPr id="287435" name="תרשים 2874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0066DD" w14:textId="77777777" w:rsidR="00277290" w:rsidRPr="00277290" w:rsidRDefault="00277290" w:rsidP="007F458A">
      <w:pPr>
        <w:pStyle w:val="Graphnote"/>
      </w:pPr>
      <w:r w:rsidRPr="00277290">
        <w:t>Source: BDO estimates</w:t>
      </w:r>
    </w:p>
    <w:p w14:paraId="2876F0C5" w14:textId="5A038B47" w:rsidR="00277290" w:rsidRPr="00277290" w:rsidRDefault="00277290" w:rsidP="00371472">
      <w:pPr>
        <w:pStyle w:val="Graphnote"/>
      </w:pPr>
      <w:r w:rsidRPr="00277290">
        <w:rPr>
          <w:b/>
          <w:bCs/>
        </w:rPr>
        <w:t>Caption</w:t>
      </w:r>
      <w:r>
        <w:rPr>
          <w:b/>
          <w:bCs/>
        </w:rPr>
        <w:t>s</w:t>
      </w:r>
      <w:r w:rsidRPr="00277290">
        <w:rPr>
          <w:b/>
          <w:bCs/>
        </w:rPr>
        <w:t xml:space="preserve"> for graph</w:t>
      </w:r>
      <w:r w:rsidRPr="008C6D72">
        <w:t>, from left to right:</w:t>
      </w:r>
      <w:r w:rsidRPr="00277290">
        <w:rPr>
          <w:b/>
          <w:bCs/>
        </w:rPr>
        <w:t xml:space="preserve"> </w:t>
      </w:r>
      <w:r w:rsidR="00371472">
        <w:t>P</w:t>
      </w:r>
      <w:r w:rsidR="00371472" w:rsidRPr="00371472">
        <w:t xml:space="preserve">ercentage </w:t>
      </w:r>
      <w:r w:rsidRPr="00277290">
        <w:t xml:space="preserve">of waste (vertical); Waste during </w:t>
      </w:r>
      <w:r w:rsidR="001E3583" w:rsidRPr="00277290">
        <w:t>agricultural production</w:t>
      </w:r>
      <w:r w:rsidRPr="00277290">
        <w:t xml:space="preserve">; Waste after </w:t>
      </w:r>
      <w:r w:rsidR="001E3583" w:rsidRPr="00277290">
        <w:t>harvest and storage</w:t>
      </w:r>
      <w:r w:rsidRPr="00277290">
        <w:t xml:space="preserve">; Waste during </w:t>
      </w:r>
      <w:r w:rsidR="001E3583" w:rsidRPr="00277290">
        <w:t xml:space="preserve">manufacture </w:t>
      </w:r>
      <w:r w:rsidRPr="00277290">
        <w:t xml:space="preserve">and </w:t>
      </w:r>
      <w:r w:rsidR="001E3583" w:rsidRPr="00277290">
        <w:t>pack</w:t>
      </w:r>
      <w:r w:rsidR="001E3583">
        <w:t>ag</w:t>
      </w:r>
      <w:r w:rsidR="001E3583" w:rsidRPr="00277290">
        <w:t>ing</w:t>
      </w:r>
      <w:r w:rsidRPr="00277290">
        <w:t xml:space="preserve">; Waste during </w:t>
      </w:r>
      <w:r w:rsidR="001E3583" w:rsidRPr="00277290">
        <w:t>distribution</w:t>
      </w:r>
      <w:r w:rsidRPr="00277290">
        <w:t xml:space="preserve">; Waste during </w:t>
      </w:r>
      <w:r w:rsidR="001E3583" w:rsidRPr="00277290">
        <w:t>consumption</w:t>
      </w:r>
    </w:p>
    <w:p w14:paraId="75FF9027" w14:textId="77777777" w:rsidR="003456E8" w:rsidRPr="00277290" w:rsidRDefault="003456E8" w:rsidP="004E2385">
      <w:pPr>
        <w:pStyle w:val="BodyText"/>
      </w:pPr>
      <w:r w:rsidRPr="00277290">
        <w:t xml:space="preserve">Food waste </w:t>
      </w:r>
      <w:r w:rsidR="00277290" w:rsidRPr="00277290">
        <w:t xml:space="preserve">is ordinarily </w:t>
      </w:r>
      <w:r w:rsidRPr="00277290">
        <w:t>divided into two stages of the food value chain:</w:t>
      </w:r>
    </w:p>
    <w:p w14:paraId="684A1928" w14:textId="77777777" w:rsidR="003456E8" w:rsidRPr="00277290" w:rsidRDefault="003456E8" w:rsidP="001E3583">
      <w:pPr>
        <w:pStyle w:val="ListParagraph"/>
        <w:numPr>
          <w:ilvl w:val="0"/>
          <w:numId w:val="34"/>
        </w:numPr>
      </w:pPr>
      <w:r w:rsidRPr="00277290">
        <w:t>From agricultural production to final stage of industrial food processing (food waste in production).</w:t>
      </w:r>
    </w:p>
    <w:p w14:paraId="7DB4106F" w14:textId="77777777" w:rsidR="003456E8" w:rsidRPr="00277290" w:rsidRDefault="003456E8" w:rsidP="001E3583">
      <w:pPr>
        <w:pStyle w:val="ListParagraph"/>
        <w:numPr>
          <w:ilvl w:val="0"/>
          <w:numId w:val="34"/>
        </w:numPr>
      </w:pPr>
      <w:r w:rsidRPr="00277290">
        <w:t xml:space="preserve">From </w:t>
      </w:r>
      <w:r w:rsidR="00277290" w:rsidRPr="00277290">
        <w:t>retailing</w:t>
      </w:r>
      <w:r w:rsidR="00277290">
        <w:t xml:space="preserve"> and </w:t>
      </w:r>
      <w:r w:rsidRPr="00277290">
        <w:t>distribution to final loss at the consumer level (food waste in consumption).</w:t>
      </w:r>
    </w:p>
    <w:tbl>
      <w:tblPr>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80" w:firstRow="0" w:lastRow="0" w:firstColumn="1" w:lastColumn="0" w:noHBand="0" w:noVBand="1"/>
      </w:tblPr>
      <w:tblGrid>
        <w:gridCol w:w="6930"/>
        <w:gridCol w:w="2199"/>
      </w:tblGrid>
      <w:tr w:rsidR="003456E8" w:rsidRPr="003456E8" w14:paraId="7CF8752A" w14:textId="77777777" w:rsidTr="002C1718">
        <w:trPr>
          <w:jc w:val="center"/>
        </w:trPr>
        <w:tc>
          <w:tcPr>
            <w:tcW w:w="6930" w:type="dxa"/>
            <w:tcBorders>
              <w:top w:val="single" w:sz="6" w:space="0" w:color="7BA0CD" w:themeColor="accent1" w:themeTint="BF"/>
              <w:bottom w:val="single" w:sz="6" w:space="0" w:color="7BA0CD" w:themeColor="accent1" w:themeTint="BF"/>
            </w:tcBorders>
            <w:shd w:val="clear" w:color="auto" w:fill="B8CCE4" w:themeFill="accent1" w:themeFillTint="66"/>
          </w:tcPr>
          <w:p w14:paraId="7FE76AA8" w14:textId="77777777" w:rsidR="003456E8" w:rsidRPr="002C1718" w:rsidRDefault="003456E8" w:rsidP="00103564">
            <w:pPr>
              <w:pStyle w:val="tabletext"/>
              <w:rPr>
                <w:rtl/>
              </w:rPr>
            </w:pPr>
            <w:r w:rsidRPr="002C1718">
              <w:lastRenderedPageBreak/>
              <w:t>Food waste (value)</w:t>
            </w:r>
          </w:p>
        </w:tc>
        <w:tc>
          <w:tcPr>
            <w:tcW w:w="2199" w:type="dxa"/>
            <w:tcBorders>
              <w:top w:val="single" w:sz="6" w:space="0" w:color="7BA0CD" w:themeColor="accent1" w:themeTint="BF"/>
              <w:bottom w:val="single" w:sz="6" w:space="0" w:color="7BA0CD" w:themeColor="accent1" w:themeTint="BF"/>
            </w:tcBorders>
            <w:shd w:val="clear" w:color="auto" w:fill="B8CCE4" w:themeFill="accent1" w:themeFillTint="66"/>
            <w:vAlign w:val="center"/>
          </w:tcPr>
          <w:p w14:paraId="6BF3A471" w14:textId="69A012AF" w:rsidR="003456E8" w:rsidRPr="00FF3E09" w:rsidRDefault="003456E8" w:rsidP="003E148D">
            <w:pPr>
              <w:pStyle w:val="Tablenumbers"/>
              <w:jc w:val="center"/>
              <w:rPr>
                <w:b/>
                <w:bCs/>
                <w:rtl/>
              </w:rPr>
            </w:pPr>
            <w:r w:rsidRPr="00FF3E09">
              <w:rPr>
                <w:b/>
                <w:bCs/>
              </w:rPr>
              <w:t>NIS 19.</w:t>
            </w:r>
            <w:r w:rsidR="003E148D" w:rsidRPr="00FF3E09">
              <w:rPr>
                <w:b/>
                <w:bCs/>
              </w:rPr>
              <w:t>7</w:t>
            </w:r>
            <w:r w:rsidRPr="00FF3E09">
              <w:rPr>
                <w:b/>
                <w:bCs/>
              </w:rPr>
              <w:t xml:space="preserve"> billion</w:t>
            </w:r>
          </w:p>
        </w:tc>
      </w:tr>
      <w:tr w:rsidR="003456E8" w:rsidRPr="003456E8" w14:paraId="2A63F783" w14:textId="77777777" w:rsidTr="002C1718">
        <w:trPr>
          <w:jc w:val="center"/>
        </w:trPr>
        <w:tc>
          <w:tcPr>
            <w:tcW w:w="6930" w:type="dxa"/>
            <w:tcBorders>
              <w:top w:val="single" w:sz="6" w:space="0" w:color="7BA0CD" w:themeColor="accent1" w:themeTint="BF"/>
              <w:bottom w:val="single" w:sz="6" w:space="0" w:color="7BA0CD" w:themeColor="accent1" w:themeTint="BF"/>
            </w:tcBorders>
          </w:tcPr>
          <w:p w14:paraId="62B3BEAC" w14:textId="77777777" w:rsidR="003456E8" w:rsidRPr="002C1718" w:rsidRDefault="003456E8" w:rsidP="00103564">
            <w:pPr>
              <w:pStyle w:val="tabletext"/>
              <w:rPr>
                <w:rtl/>
              </w:rPr>
            </w:pPr>
            <w:r w:rsidRPr="002C1718">
              <w:t>Food waste, out of GNP</w:t>
            </w:r>
          </w:p>
        </w:tc>
        <w:tc>
          <w:tcPr>
            <w:tcW w:w="2199" w:type="dxa"/>
            <w:tcBorders>
              <w:top w:val="single" w:sz="6" w:space="0" w:color="7BA0CD" w:themeColor="accent1" w:themeTint="BF"/>
              <w:bottom w:val="single" w:sz="6" w:space="0" w:color="7BA0CD" w:themeColor="accent1" w:themeTint="BF"/>
            </w:tcBorders>
            <w:vAlign w:val="center"/>
          </w:tcPr>
          <w:p w14:paraId="24A6B469" w14:textId="53E425F5" w:rsidR="003456E8" w:rsidRPr="00FF3E09" w:rsidRDefault="003456E8" w:rsidP="003E148D">
            <w:pPr>
              <w:pStyle w:val="Tablenumbers"/>
              <w:jc w:val="center"/>
              <w:rPr>
                <w:b/>
                <w:bCs/>
                <w:rtl/>
              </w:rPr>
            </w:pPr>
            <w:r w:rsidRPr="00FF3E09">
              <w:rPr>
                <w:b/>
                <w:bCs/>
              </w:rPr>
              <w:t>1.</w:t>
            </w:r>
            <w:r w:rsidR="003E148D" w:rsidRPr="00FF3E09">
              <w:rPr>
                <w:b/>
                <w:bCs/>
              </w:rPr>
              <w:t>5</w:t>
            </w:r>
            <w:r w:rsidRPr="00FF3E09">
              <w:rPr>
                <w:b/>
                <w:bCs/>
              </w:rPr>
              <w:t>%</w:t>
            </w:r>
          </w:p>
        </w:tc>
      </w:tr>
      <w:tr w:rsidR="003456E8" w:rsidRPr="003456E8" w14:paraId="334BA6D5" w14:textId="77777777" w:rsidTr="002C1718">
        <w:trPr>
          <w:jc w:val="center"/>
        </w:trPr>
        <w:tc>
          <w:tcPr>
            <w:tcW w:w="6930" w:type="dxa"/>
            <w:tcBorders>
              <w:top w:val="single" w:sz="6" w:space="0" w:color="7BA0CD" w:themeColor="accent1" w:themeTint="BF"/>
              <w:bottom w:val="single" w:sz="6" w:space="0" w:color="7BA0CD" w:themeColor="accent1" w:themeTint="BF"/>
            </w:tcBorders>
            <w:shd w:val="clear" w:color="auto" w:fill="B8CCE4" w:themeFill="accent1" w:themeFillTint="66"/>
          </w:tcPr>
          <w:p w14:paraId="581B2E7C" w14:textId="77777777" w:rsidR="003456E8" w:rsidRPr="002C1718" w:rsidRDefault="003456E8" w:rsidP="00103564">
            <w:pPr>
              <w:pStyle w:val="tabletext"/>
              <w:rPr>
                <w:rtl/>
              </w:rPr>
            </w:pPr>
            <w:r w:rsidRPr="002C1718">
              <w:t xml:space="preserve">Food </w:t>
            </w:r>
            <w:r w:rsidR="007315F5" w:rsidRPr="002C1718">
              <w:t xml:space="preserve">waste </w:t>
            </w:r>
            <w:r w:rsidR="00277290" w:rsidRPr="002C1718">
              <w:t>up to and including the industrial stage</w:t>
            </w:r>
          </w:p>
        </w:tc>
        <w:tc>
          <w:tcPr>
            <w:tcW w:w="2199" w:type="dxa"/>
            <w:tcBorders>
              <w:top w:val="single" w:sz="6" w:space="0" w:color="7BA0CD" w:themeColor="accent1" w:themeTint="BF"/>
              <w:bottom w:val="single" w:sz="6" w:space="0" w:color="7BA0CD" w:themeColor="accent1" w:themeTint="BF"/>
            </w:tcBorders>
            <w:shd w:val="clear" w:color="auto" w:fill="B8CCE4" w:themeFill="accent1" w:themeFillTint="66"/>
            <w:vAlign w:val="center"/>
          </w:tcPr>
          <w:p w14:paraId="25D33958" w14:textId="40AFE541" w:rsidR="003456E8" w:rsidRPr="00FF3E09" w:rsidRDefault="003456E8" w:rsidP="003E148D">
            <w:pPr>
              <w:pStyle w:val="Tablenumbers"/>
              <w:jc w:val="center"/>
              <w:rPr>
                <w:b/>
                <w:bCs/>
                <w:rtl/>
              </w:rPr>
            </w:pPr>
            <w:r w:rsidRPr="00FF3E09">
              <w:rPr>
                <w:b/>
                <w:bCs/>
              </w:rPr>
              <w:t xml:space="preserve">NIS </w:t>
            </w:r>
            <w:r w:rsidR="00277290" w:rsidRPr="00FF3E09">
              <w:rPr>
                <w:b/>
                <w:bCs/>
              </w:rPr>
              <w:t>3.</w:t>
            </w:r>
            <w:r w:rsidR="003E148D" w:rsidRPr="00FF3E09">
              <w:rPr>
                <w:b/>
                <w:bCs/>
              </w:rPr>
              <w:t>6</w:t>
            </w:r>
            <w:r w:rsidRPr="00FF3E09">
              <w:rPr>
                <w:b/>
                <w:bCs/>
              </w:rPr>
              <w:t xml:space="preserve"> billion</w:t>
            </w:r>
          </w:p>
        </w:tc>
      </w:tr>
      <w:tr w:rsidR="003456E8" w:rsidRPr="003456E8" w14:paraId="5CF26CD5" w14:textId="77777777" w:rsidTr="002C1718">
        <w:trPr>
          <w:jc w:val="center"/>
        </w:trPr>
        <w:tc>
          <w:tcPr>
            <w:tcW w:w="6930" w:type="dxa"/>
            <w:tcBorders>
              <w:top w:val="single" w:sz="6" w:space="0" w:color="7BA0CD" w:themeColor="accent1" w:themeTint="BF"/>
              <w:bottom w:val="single" w:sz="6" w:space="0" w:color="7BA0CD" w:themeColor="accent1" w:themeTint="BF"/>
            </w:tcBorders>
          </w:tcPr>
          <w:p w14:paraId="784C0641" w14:textId="77777777" w:rsidR="003456E8" w:rsidRPr="002C1718" w:rsidRDefault="003456E8" w:rsidP="00103564">
            <w:pPr>
              <w:pStyle w:val="tabletext"/>
              <w:rPr>
                <w:rtl/>
              </w:rPr>
            </w:pPr>
            <w:r w:rsidRPr="002C1718">
              <w:t xml:space="preserve">Food </w:t>
            </w:r>
            <w:r w:rsidR="007315F5" w:rsidRPr="002C1718">
              <w:t>waste prior to the industrial</w:t>
            </w:r>
            <w:r w:rsidRPr="002C1718">
              <w:t xml:space="preserve"> stage, from total agricultural production (%)</w:t>
            </w:r>
          </w:p>
        </w:tc>
        <w:tc>
          <w:tcPr>
            <w:tcW w:w="2199" w:type="dxa"/>
            <w:tcBorders>
              <w:top w:val="single" w:sz="6" w:space="0" w:color="7BA0CD" w:themeColor="accent1" w:themeTint="BF"/>
              <w:bottom w:val="single" w:sz="6" w:space="0" w:color="7BA0CD" w:themeColor="accent1" w:themeTint="BF"/>
            </w:tcBorders>
            <w:vAlign w:val="center"/>
          </w:tcPr>
          <w:p w14:paraId="1798D364" w14:textId="77777777" w:rsidR="003456E8" w:rsidRPr="00FF3E09" w:rsidRDefault="003456E8" w:rsidP="00103564">
            <w:pPr>
              <w:pStyle w:val="Tablenumbers"/>
              <w:jc w:val="center"/>
              <w:rPr>
                <w:b/>
                <w:bCs/>
                <w:rtl/>
              </w:rPr>
            </w:pPr>
            <w:r w:rsidRPr="00FF3E09">
              <w:rPr>
                <w:b/>
                <w:bCs/>
              </w:rPr>
              <w:t>1</w:t>
            </w:r>
            <w:r w:rsidR="00277290" w:rsidRPr="00FF3E09">
              <w:rPr>
                <w:b/>
                <w:bCs/>
              </w:rPr>
              <w:t>3</w:t>
            </w:r>
            <w:r w:rsidRPr="00FF3E09">
              <w:rPr>
                <w:b/>
                <w:bCs/>
              </w:rPr>
              <w:t>%</w:t>
            </w:r>
          </w:p>
        </w:tc>
      </w:tr>
      <w:tr w:rsidR="003456E8" w:rsidRPr="003456E8" w14:paraId="7827F93C" w14:textId="77777777" w:rsidTr="002C1718">
        <w:trPr>
          <w:jc w:val="center"/>
        </w:trPr>
        <w:tc>
          <w:tcPr>
            <w:tcW w:w="6930" w:type="dxa"/>
            <w:tcBorders>
              <w:top w:val="single" w:sz="6" w:space="0" w:color="7BA0CD" w:themeColor="accent1" w:themeTint="BF"/>
              <w:bottom w:val="single" w:sz="6" w:space="0" w:color="7BA0CD" w:themeColor="accent1" w:themeTint="BF"/>
            </w:tcBorders>
            <w:shd w:val="clear" w:color="auto" w:fill="B8CCE4" w:themeFill="accent1" w:themeFillTint="66"/>
          </w:tcPr>
          <w:p w14:paraId="5B46087C" w14:textId="77777777" w:rsidR="003456E8" w:rsidRPr="002C1718" w:rsidRDefault="003456E8" w:rsidP="00103564">
            <w:pPr>
              <w:pStyle w:val="tabletext"/>
            </w:pPr>
            <w:r w:rsidRPr="002C1718">
              <w:t xml:space="preserve">Food waste in the </w:t>
            </w:r>
            <w:r w:rsidR="007315F5" w:rsidRPr="002C1718">
              <w:t xml:space="preserve">retail and </w:t>
            </w:r>
            <w:r w:rsidRPr="002C1718">
              <w:t xml:space="preserve">distribution </w:t>
            </w:r>
            <w:r w:rsidR="007315F5" w:rsidRPr="002C1718">
              <w:t xml:space="preserve">stages, up to </w:t>
            </w:r>
            <w:r w:rsidRPr="002C1718">
              <w:t xml:space="preserve">consumption </w:t>
            </w:r>
          </w:p>
        </w:tc>
        <w:tc>
          <w:tcPr>
            <w:tcW w:w="2199" w:type="dxa"/>
            <w:tcBorders>
              <w:top w:val="single" w:sz="6" w:space="0" w:color="7BA0CD" w:themeColor="accent1" w:themeTint="BF"/>
              <w:bottom w:val="single" w:sz="6" w:space="0" w:color="7BA0CD" w:themeColor="accent1" w:themeTint="BF"/>
            </w:tcBorders>
            <w:shd w:val="clear" w:color="auto" w:fill="B8CCE4" w:themeFill="accent1" w:themeFillTint="66"/>
            <w:vAlign w:val="center"/>
          </w:tcPr>
          <w:p w14:paraId="28C06679" w14:textId="476F8B78" w:rsidR="003456E8" w:rsidRPr="00FF3E09" w:rsidRDefault="003456E8" w:rsidP="003E148D">
            <w:pPr>
              <w:pStyle w:val="Tablenumbers"/>
              <w:jc w:val="center"/>
              <w:rPr>
                <w:b/>
                <w:bCs/>
              </w:rPr>
            </w:pPr>
            <w:r w:rsidRPr="00FF3E09">
              <w:rPr>
                <w:b/>
                <w:bCs/>
              </w:rPr>
              <w:t>NIS 1</w:t>
            </w:r>
            <w:r w:rsidR="003E148D" w:rsidRPr="00FF3E09">
              <w:rPr>
                <w:b/>
                <w:bCs/>
              </w:rPr>
              <w:t>6.1</w:t>
            </w:r>
            <w:r w:rsidRPr="00FF3E09">
              <w:rPr>
                <w:b/>
                <w:bCs/>
              </w:rPr>
              <w:t xml:space="preserve"> billion</w:t>
            </w:r>
          </w:p>
        </w:tc>
      </w:tr>
      <w:tr w:rsidR="003456E8" w:rsidRPr="003456E8" w14:paraId="40E26FA5" w14:textId="77777777" w:rsidTr="002C1718">
        <w:trPr>
          <w:jc w:val="center"/>
        </w:trPr>
        <w:tc>
          <w:tcPr>
            <w:tcW w:w="6930" w:type="dxa"/>
            <w:tcBorders>
              <w:top w:val="single" w:sz="6" w:space="0" w:color="7BA0CD" w:themeColor="accent1" w:themeTint="BF"/>
            </w:tcBorders>
          </w:tcPr>
          <w:p w14:paraId="3091655D" w14:textId="77777777" w:rsidR="003456E8" w:rsidRPr="002C1718" w:rsidRDefault="003456E8" w:rsidP="00103564">
            <w:pPr>
              <w:pStyle w:val="tabletext"/>
              <w:rPr>
                <w:rtl/>
              </w:rPr>
            </w:pPr>
            <w:r w:rsidRPr="002C1718">
              <w:t xml:space="preserve">Waste </w:t>
            </w:r>
            <w:r w:rsidR="007315F5" w:rsidRPr="002C1718">
              <w:t xml:space="preserve">from the retails and </w:t>
            </w:r>
            <w:r w:rsidRPr="002C1718">
              <w:t>distribution stage</w:t>
            </w:r>
            <w:r w:rsidR="007315F5" w:rsidRPr="002C1718">
              <w:t>, from the value of food consumed</w:t>
            </w:r>
          </w:p>
        </w:tc>
        <w:tc>
          <w:tcPr>
            <w:tcW w:w="2199" w:type="dxa"/>
            <w:tcBorders>
              <w:top w:val="single" w:sz="6" w:space="0" w:color="7BA0CD" w:themeColor="accent1" w:themeTint="BF"/>
            </w:tcBorders>
            <w:vAlign w:val="center"/>
          </w:tcPr>
          <w:p w14:paraId="54EA7048" w14:textId="2E897357" w:rsidR="003456E8" w:rsidRPr="00FF3E09" w:rsidRDefault="003456E8" w:rsidP="003E148D">
            <w:pPr>
              <w:pStyle w:val="Tablenumbers"/>
              <w:jc w:val="center"/>
              <w:rPr>
                <w:b/>
                <w:bCs/>
                <w:rtl/>
              </w:rPr>
            </w:pPr>
            <w:r w:rsidRPr="00FF3E09">
              <w:rPr>
                <w:b/>
                <w:bCs/>
              </w:rPr>
              <w:t>2</w:t>
            </w:r>
            <w:r w:rsidR="003E148D" w:rsidRPr="00FF3E09">
              <w:rPr>
                <w:b/>
                <w:bCs/>
              </w:rPr>
              <w:t>1</w:t>
            </w:r>
            <w:r w:rsidRPr="00FF3E09">
              <w:rPr>
                <w:b/>
                <w:bCs/>
              </w:rPr>
              <w:t>%</w:t>
            </w:r>
          </w:p>
        </w:tc>
      </w:tr>
    </w:tbl>
    <w:p w14:paraId="49E1DF96" w14:textId="77777777" w:rsidR="003456E8" w:rsidRPr="007315F5" w:rsidRDefault="003456E8" w:rsidP="00103564">
      <w:pPr>
        <w:pStyle w:val="Graphnote"/>
      </w:pPr>
      <w:r w:rsidRPr="007315F5">
        <w:t>Source: BDO estimates</w:t>
      </w:r>
    </w:p>
    <w:p w14:paraId="794B64BD" w14:textId="6EB62F9A" w:rsidR="003456E8" w:rsidRPr="003456E8" w:rsidRDefault="003456E8" w:rsidP="003E148D">
      <w:pPr>
        <w:pStyle w:val="BodyText"/>
      </w:pPr>
      <w:r w:rsidRPr="003456E8">
        <w:t>The large share of waste from fruits and vegetables in Israel stems both from their large share in domestic agricultural production, and from the high rate of waste (</w:t>
      </w:r>
      <w:r w:rsidR="003E148D" w:rsidRPr="003E148D">
        <w:rPr>
          <w:highlight w:val="green"/>
        </w:rPr>
        <w:t>35</w:t>
      </w:r>
      <w:r w:rsidRPr="003E148D">
        <w:rPr>
          <w:highlight w:val="green"/>
        </w:rPr>
        <w:t>%</w:t>
      </w:r>
      <w:r w:rsidRPr="003456E8">
        <w:t xml:space="preserve">) during the value stages. </w:t>
      </w:r>
      <w:r w:rsidR="008C6D72">
        <w:t xml:space="preserve">The </w:t>
      </w:r>
      <w:r w:rsidRPr="003456E8">
        <w:t xml:space="preserve">high rate </w:t>
      </w:r>
      <w:r w:rsidR="00411F54">
        <w:t xml:space="preserve">of waste </w:t>
      </w:r>
      <w:r w:rsidR="008C6D72">
        <w:t xml:space="preserve">for </w:t>
      </w:r>
      <w:r w:rsidRPr="003456E8">
        <w:t>fruit</w:t>
      </w:r>
      <w:r w:rsidR="008C6D72">
        <w:t>s</w:t>
      </w:r>
      <w:r w:rsidRPr="003456E8">
        <w:t xml:space="preserve"> and vegetables is not exclusive to the Israeli economy. Compared to international data, Israel’s rate </w:t>
      </w:r>
      <w:r w:rsidR="00411F54">
        <w:t xml:space="preserve">of waste </w:t>
      </w:r>
      <w:r w:rsidRPr="003456E8">
        <w:t xml:space="preserve">in this category is similar to that in Europe. Compared to the US, the rate of loss is even lower, but is composed of a lower rate of loss during </w:t>
      </w:r>
      <w:r w:rsidR="00D915A8">
        <w:t xml:space="preserve">the </w:t>
      </w:r>
      <w:r w:rsidRPr="003456E8">
        <w:t xml:space="preserve">agricultural production and consumption stages, </w:t>
      </w:r>
      <w:r w:rsidR="00103564">
        <w:t>and</w:t>
      </w:r>
      <w:r w:rsidRPr="003456E8">
        <w:t xml:space="preserve"> greater waste in the intermediary stages. </w:t>
      </w:r>
    </w:p>
    <w:p w14:paraId="5C64B266" w14:textId="672AD6F4" w:rsidR="003456E8" w:rsidRPr="003456E8" w:rsidRDefault="003456E8" w:rsidP="003E148D">
      <w:pPr>
        <w:pStyle w:val="BodyText"/>
      </w:pPr>
      <w:r w:rsidRPr="003456E8">
        <w:t>Total food waste in all value chain stages translates to a loss of approximately NIS 6</w:t>
      </w:r>
      <w:r w:rsidR="00597D3F">
        <w:t>50</w:t>
      </w:r>
      <w:r w:rsidRPr="003456E8">
        <w:t xml:space="preserve"> </w:t>
      </w:r>
      <w:r w:rsidR="00103564">
        <w:t xml:space="preserve">per </w:t>
      </w:r>
      <w:r w:rsidRPr="003456E8">
        <w:t xml:space="preserve">month per household in Israel, </w:t>
      </w:r>
      <w:r w:rsidR="00411F54">
        <w:t xml:space="preserve">equivalent to </w:t>
      </w:r>
      <w:r w:rsidRPr="003456E8">
        <w:t xml:space="preserve">wasting approximately </w:t>
      </w:r>
      <w:r w:rsidR="003E148D" w:rsidRPr="003E148D">
        <w:rPr>
          <w:highlight w:val="green"/>
        </w:rPr>
        <w:t>7</w:t>
      </w:r>
      <w:r w:rsidR="00597D3F" w:rsidRPr="003E148D">
        <w:rPr>
          <w:highlight w:val="green"/>
        </w:rPr>
        <w:t>0</w:t>
      </w:r>
      <w:r w:rsidRPr="003456E8">
        <w:t xml:space="preserve"> kg of food </w:t>
      </w:r>
      <w:r w:rsidR="00D915A8">
        <w:t xml:space="preserve">per </w:t>
      </w:r>
      <w:r w:rsidRPr="003456E8">
        <w:t xml:space="preserve">month per household. Quantitatively speaking, approximately </w:t>
      </w:r>
      <w:r w:rsidR="003E148D" w:rsidRPr="003E148D">
        <w:rPr>
          <w:highlight w:val="green"/>
        </w:rPr>
        <w:t>55</w:t>
      </w:r>
      <w:r w:rsidRPr="003E148D">
        <w:rPr>
          <w:highlight w:val="green"/>
        </w:rPr>
        <w:t>%</w:t>
      </w:r>
      <w:r w:rsidRPr="003456E8">
        <w:t xml:space="preserve"> of this waste is incurred during production, manufacturing and distribution, </w:t>
      </w:r>
      <w:r w:rsidR="008D157A">
        <w:t>before the food reaches</w:t>
      </w:r>
      <w:r w:rsidRPr="003456E8">
        <w:t xml:space="preserve"> household or institutional consumers. In monetary terms, roughly </w:t>
      </w:r>
      <w:r w:rsidR="00597D3F" w:rsidRPr="003E148D">
        <w:rPr>
          <w:highlight w:val="green"/>
        </w:rPr>
        <w:t>60</w:t>
      </w:r>
      <w:r w:rsidRPr="003E148D">
        <w:rPr>
          <w:highlight w:val="green"/>
        </w:rPr>
        <w:t>%</w:t>
      </w:r>
      <w:r w:rsidRPr="003456E8">
        <w:t xml:space="preserve"> is wasted during </w:t>
      </w:r>
      <w:r w:rsidR="00597D3F">
        <w:t xml:space="preserve">household or institutional </w:t>
      </w:r>
      <w:r w:rsidRPr="003456E8">
        <w:t xml:space="preserve">consumption. </w:t>
      </w:r>
    </w:p>
    <w:p w14:paraId="1E1CEA1E" w14:textId="77777777" w:rsidR="006C74A7" w:rsidRPr="008F3D9C" w:rsidRDefault="006C74A7" w:rsidP="004E2385">
      <w:pPr>
        <w:pStyle w:val="BodyText"/>
      </w:pPr>
    </w:p>
    <w:p w14:paraId="564E4C6D" w14:textId="689EC675" w:rsidR="00293231" w:rsidRDefault="00293231">
      <w:pPr>
        <w:rPr>
          <w:rFonts w:eastAsia="Calibri" w:cs="Times New Roman"/>
          <w:sz w:val="24"/>
          <w:szCs w:val="24"/>
        </w:rPr>
      </w:pPr>
      <w:r>
        <w:br w:type="page"/>
      </w:r>
    </w:p>
    <w:p w14:paraId="474D2C2F" w14:textId="77777777" w:rsidR="00293231" w:rsidRDefault="00293231" w:rsidP="00293231">
      <w:pPr>
        <w:pStyle w:val="Heading1"/>
      </w:pPr>
      <w:bookmarkStart w:id="8" w:name="_Toc505547254"/>
      <w:bookmarkStart w:id="9" w:name="_Toc951793"/>
      <w:r w:rsidRPr="008F3D9C">
        <w:lastRenderedPageBreak/>
        <w:t>Food Rescue = Alternative to Food Production</w:t>
      </w:r>
      <w:bookmarkEnd w:id="8"/>
      <w:bookmarkEnd w:id="9"/>
    </w:p>
    <w:p w14:paraId="76A4EA5A" w14:textId="77777777" w:rsidR="00293231" w:rsidRPr="00103564" w:rsidRDefault="00293231" w:rsidP="00293231">
      <w:pPr>
        <w:pStyle w:val="BodyText"/>
        <w:rPr>
          <w:b/>
          <w:bCs/>
        </w:rPr>
      </w:pPr>
      <w:r w:rsidRPr="00103564">
        <w:rPr>
          <w:u w:val="single"/>
        </w:rPr>
        <w:t>Bold chapter head</w:t>
      </w:r>
      <w:r w:rsidRPr="00EA134E">
        <w:t xml:space="preserve">: </w:t>
      </w:r>
      <w:r w:rsidRPr="00103564">
        <w:rPr>
          <w:b/>
          <w:bCs/>
        </w:rPr>
        <w:t xml:space="preserve">Approximately </w:t>
      </w:r>
      <w:r w:rsidRPr="00781070">
        <w:rPr>
          <w:b/>
          <w:bCs/>
          <w:highlight w:val="green"/>
        </w:rPr>
        <w:t>1.2</w:t>
      </w:r>
      <w:r w:rsidRPr="00103564">
        <w:rPr>
          <w:b/>
          <w:bCs/>
        </w:rPr>
        <w:t xml:space="preserve"> million tons of food can be rescued // From an economic perspective food rescue should be considered a </w:t>
      </w:r>
      <w:r>
        <w:rPr>
          <w:b/>
          <w:bCs/>
        </w:rPr>
        <w:t xml:space="preserve">viable </w:t>
      </w:r>
      <w:r w:rsidRPr="00103564">
        <w:rPr>
          <w:b/>
          <w:bCs/>
        </w:rPr>
        <w:t xml:space="preserve">alternative to </w:t>
      </w:r>
      <w:r>
        <w:rPr>
          <w:b/>
          <w:bCs/>
        </w:rPr>
        <w:t xml:space="preserve">additional </w:t>
      </w:r>
      <w:r w:rsidRPr="00103564">
        <w:rPr>
          <w:b/>
          <w:bCs/>
        </w:rPr>
        <w:t>food production</w:t>
      </w:r>
    </w:p>
    <w:p w14:paraId="2FBF7263" w14:textId="77777777" w:rsidR="00293231" w:rsidRDefault="00293231" w:rsidP="00293231">
      <w:pPr>
        <w:pStyle w:val="BodyText"/>
      </w:pPr>
      <w:r>
        <w:t>During the</w:t>
      </w:r>
      <w:r w:rsidRPr="008F3D9C">
        <w:t xml:space="preserve"> </w:t>
      </w:r>
      <w:r>
        <w:t>growth</w:t>
      </w:r>
      <w:r w:rsidRPr="008F3D9C">
        <w:t>, production, distribution and marketing of food in Israel, approximately 33% of domestically produced food is lost</w:t>
      </w:r>
      <w:r>
        <w:t>,</w:t>
      </w:r>
      <w:r w:rsidRPr="008F3D9C">
        <w:t xml:space="preserve"> </w:t>
      </w:r>
      <w:r>
        <w:t>becoming</w:t>
      </w:r>
      <w:r w:rsidRPr="008F3D9C">
        <w:t xml:space="preserve"> waste or surplus. </w:t>
      </w:r>
      <w:r>
        <w:t xml:space="preserve">Food rescue is an economic act of transforming this surplus </w:t>
      </w:r>
      <w:r w:rsidRPr="00BD61AE">
        <w:t>food</w:t>
      </w:r>
      <w:r>
        <w:t xml:space="preserve">, that would otherwise have zero or negative value, into food that is </w:t>
      </w:r>
      <w:r w:rsidRPr="00BD61AE">
        <w:t>distribut</w:t>
      </w:r>
      <w:r>
        <w:t xml:space="preserve">ed for the consumption of </w:t>
      </w:r>
      <w:r w:rsidRPr="007F3027">
        <w:t>underprivileged populace</w:t>
      </w:r>
    </w:p>
    <w:p w14:paraId="5E9404D3" w14:textId="77777777" w:rsidR="00293231" w:rsidRPr="008F3D9C" w:rsidRDefault="00293231" w:rsidP="00293231">
      <w:pPr>
        <w:pStyle w:val="BodyText"/>
      </w:pPr>
      <w:r w:rsidRPr="000F1987">
        <w:rPr>
          <w:b/>
          <w:bCs/>
        </w:rPr>
        <w:t xml:space="preserve">Economically speaking, food rescue should be viewed as a </w:t>
      </w:r>
      <w:r>
        <w:rPr>
          <w:b/>
          <w:bCs/>
        </w:rPr>
        <w:t xml:space="preserve">viable </w:t>
      </w:r>
      <w:r w:rsidRPr="000F1987">
        <w:rPr>
          <w:b/>
          <w:bCs/>
        </w:rPr>
        <w:t>alternative to excess food production</w:t>
      </w:r>
      <w:r w:rsidRPr="00B00259">
        <w:t>.</w:t>
      </w:r>
      <w:r w:rsidRPr="008F3D9C">
        <w:t xml:space="preserve"> However, in contrast to the usual food production processes, the raw materials </w:t>
      </w:r>
      <w:r>
        <w:t>required</w:t>
      </w:r>
      <w:r w:rsidRPr="008F3D9C">
        <w:t xml:space="preserve"> for food rescue are surplu</w:t>
      </w:r>
      <w:r>
        <w:t>se</w:t>
      </w:r>
      <w:r w:rsidRPr="008F3D9C">
        <w:t>s that would otherwise be wasted.</w:t>
      </w:r>
    </w:p>
    <w:p w14:paraId="6F89E9B7" w14:textId="77777777" w:rsidR="00293231" w:rsidRPr="008F3D9C" w:rsidRDefault="00293231" w:rsidP="00293231">
      <w:pPr>
        <w:pStyle w:val="BodyText"/>
      </w:pPr>
      <w:r w:rsidRPr="008F3D9C">
        <w:t xml:space="preserve">Consequently, </w:t>
      </w:r>
      <w:r w:rsidRPr="000F1987">
        <w:t xml:space="preserve">food rescue </w:t>
      </w:r>
      <w:r>
        <w:t>produces</w:t>
      </w:r>
      <w:r w:rsidRPr="000F1987">
        <w:t xml:space="preserve"> food without </w:t>
      </w:r>
      <w:r>
        <w:t xml:space="preserve">utilizing the </w:t>
      </w:r>
      <w:r w:rsidRPr="000F1987">
        <w:t>resources</w:t>
      </w:r>
      <w:r>
        <w:t xml:space="preserve"> necessary during production</w:t>
      </w:r>
      <w:r w:rsidRPr="000F1987">
        <w:t xml:space="preserve">, while also preventing the majority of </w:t>
      </w:r>
      <w:r>
        <w:t xml:space="preserve">the </w:t>
      </w:r>
      <w:r w:rsidRPr="000F1987">
        <w:t>detrimental environmental impact</w:t>
      </w:r>
      <w:r>
        <w:t xml:space="preserve"> attributed to the </w:t>
      </w:r>
      <w:r w:rsidRPr="000F1987">
        <w:t xml:space="preserve">production process. </w:t>
      </w:r>
      <w:r w:rsidRPr="000F1987">
        <w:rPr>
          <w:b/>
          <w:bCs/>
        </w:rPr>
        <w:t>Food rescue is a winning formula for producing food without s</w:t>
      </w:r>
      <w:r>
        <w:rPr>
          <w:b/>
          <w:bCs/>
        </w:rPr>
        <w:t xml:space="preserve">ignificant </w:t>
      </w:r>
      <w:r w:rsidRPr="000F1987">
        <w:rPr>
          <w:b/>
          <w:bCs/>
        </w:rPr>
        <w:t>reliance on natural resources, land or water pollution, and use of fertilizers or pesticides</w:t>
      </w:r>
      <w:r w:rsidRPr="008F3D9C">
        <w:t>.</w:t>
      </w:r>
    </w:p>
    <w:p w14:paraId="18D8143C" w14:textId="77777777" w:rsidR="00293231" w:rsidRPr="008F3D9C" w:rsidRDefault="00293231" w:rsidP="00293231">
      <w:pPr>
        <w:pStyle w:val="Graphtitle"/>
      </w:pPr>
      <w:r w:rsidRPr="008F3D9C">
        <w:t>Food Rescue Benefits</w:t>
      </w:r>
    </w:p>
    <w:tbl>
      <w:tblPr>
        <w:tblStyle w:val="MediumShading1-Accent111"/>
        <w:tblW w:w="833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096"/>
        <w:gridCol w:w="2399"/>
        <w:gridCol w:w="2835"/>
      </w:tblGrid>
      <w:tr w:rsidR="00735AE6" w:rsidRPr="00735AE6" w14:paraId="5455557D" w14:textId="77777777" w:rsidTr="00BF187E">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top w:val="none" w:sz="0" w:space="0" w:color="auto"/>
              <w:left w:val="none" w:sz="0" w:space="0" w:color="auto"/>
              <w:bottom w:val="none" w:sz="0" w:space="0" w:color="auto"/>
              <w:right w:val="none" w:sz="0" w:space="0" w:color="auto"/>
            </w:tcBorders>
          </w:tcPr>
          <w:p w14:paraId="6F14809E" w14:textId="77777777" w:rsidR="00735AE6" w:rsidRPr="00735AE6" w:rsidRDefault="00735AE6" w:rsidP="00735AE6">
            <w:pPr>
              <w:spacing w:after="120"/>
              <w:jc w:val="center"/>
              <w:rPr>
                <w:rFonts w:eastAsia="Calibri" w:cs="Arial"/>
                <w:rtl/>
              </w:rPr>
            </w:pPr>
          </w:p>
        </w:tc>
        <w:tc>
          <w:tcPr>
            <w:tcW w:w="2399" w:type="dxa"/>
            <w:tcBorders>
              <w:top w:val="none" w:sz="0" w:space="0" w:color="auto"/>
              <w:left w:val="none" w:sz="0" w:space="0" w:color="auto"/>
              <w:bottom w:val="none" w:sz="0" w:space="0" w:color="auto"/>
              <w:right w:val="none" w:sz="0" w:space="0" w:color="auto"/>
            </w:tcBorders>
          </w:tcPr>
          <w:p w14:paraId="00970EE2" w14:textId="77777777" w:rsidR="00735AE6" w:rsidRPr="00735AE6" w:rsidRDefault="00735AE6" w:rsidP="00735AE6">
            <w:pPr>
              <w:widowControl w:val="0"/>
              <w:jc w:val="center"/>
              <w:cnfStyle w:val="100000000000" w:firstRow="1" w:lastRow="0" w:firstColumn="0" w:lastColumn="0" w:oddVBand="0" w:evenVBand="0" w:oddHBand="0" w:evenHBand="0" w:firstRowFirstColumn="0" w:firstRowLastColumn="0" w:lastRowFirstColumn="0" w:lastRowLastColumn="0"/>
              <w:rPr>
                <w:rFonts w:cs="Miriam"/>
                <w:color w:val="FFFFFF" w:themeColor="background1"/>
                <w:rtl/>
              </w:rPr>
            </w:pPr>
            <w:r w:rsidRPr="00735AE6">
              <w:rPr>
                <w:rFonts w:cs="Miriam"/>
                <w:color w:val="FFFFFF" w:themeColor="background1"/>
              </w:rPr>
              <w:t>Food Production</w:t>
            </w:r>
          </w:p>
        </w:tc>
        <w:tc>
          <w:tcPr>
            <w:tcW w:w="2835" w:type="dxa"/>
            <w:tcBorders>
              <w:top w:val="none" w:sz="0" w:space="0" w:color="auto"/>
              <w:left w:val="none" w:sz="0" w:space="0" w:color="auto"/>
              <w:bottom w:val="none" w:sz="0" w:space="0" w:color="auto"/>
              <w:right w:val="none" w:sz="0" w:space="0" w:color="auto"/>
            </w:tcBorders>
          </w:tcPr>
          <w:p w14:paraId="3E22B3B7" w14:textId="77777777" w:rsidR="00735AE6" w:rsidRPr="00735AE6" w:rsidRDefault="00735AE6" w:rsidP="00735AE6">
            <w:pPr>
              <w:widowControl w:val="0"/>
              <w:jc w:val="center"/>
              <w:cnfStyle w:val="100000000000" w:firstRow="1" w:lastRow="0" w:firstColumn="0" w:lastColumn="0" w:oddVBand="0" w:evenVBand="0" w:oddHBand="0" w:evenHBand="0" w:firstRowFirstColumn="0" w:firstRowLastColumn="0" w:lastRowFirstColumn="0" w:lastRowLastColumn="0"/>
              <w:rPr>
                <w:rFonts w:cs="Miriam"/>
                <w:color w:val="FFFFFF" w:themeColor="background1"/>
              </w:rPr>
            </w:pPr>
            <w:r w:rsidRPr="00735AE6">
              <w:rPr>
                <w:rFonts w:cs="Miriam"/>
                <w:color w:val="FFFFFF" w:themeColor="background1"/>
              </w:rPr>
              <w:t>Food Rescue</w:t>
            </w:r>
          </w:p>
        </w:tc>
      </w:tr>
      <w:tr w:rsidR="00735AE6" w:rsidRPr="00735AE6" w14:paraId="1A6C0EE4" w14:textId="77777777" w:rsidTr="00BF187E">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68BD71D4" w14:textId="77777777" w:rsidR="00735AE6" w:rsidRPr="00735AE6" w:rsidRDefault="00735AE6" w:rsidP="00735AE6">
            <w:pPr>
              <w:rPr>
                <w:rFonts w:cs="David"/>
                <w:color w:val="000000"/>
                <w:rtl/>
              </w:rPr>
            </w:pPr>
            <w:r w:rsidRPr="00735AE6">
              <w:rPr>
                <w:rFonts w:cs="David"/>
                <w:color w:val="000000"/>
              </w:rPr>
              <w:t>Product</w:t>
            </w:r>
          </w:p>
        </w:tc>
        <w:tc>
          <w:tcPr>
            <w:tcW w:w="2399" w:type="dxa"/>
            <w:tcBorders>
              <w:left w:val="none" w:sz="0" w:space="0" w:color="auto"/>
              <w:right w:val="none" w:sz="0" w:space="0" w:color="auto"/>
            </w:tcBorders>
          </w:tcPr>
          <w:p w14:paraId="46C4AE8D" w14:textId="77777777" w:rsidR="00735AE6" w:rsidRPr="00735AE6" w:rsidRDefault="00735AE6" w:rsidP="00735AE6">
            <w:pPr>
              <w:cnfStyle w:val="000000100000" w:firstRow="0" w:lastRow="0" w:firstColumn="0" w:lastColumn="0" w:oddVBand="0" w:evenVBand="0" w:oddHBand="1" w:evenHBand="0" w:firstRowFirstColumn="0" w:firstRowLastColumn="0" w:lastRowFirstColumn="0" w:lastRowLastColumn="0"/>
              <w:rPr>
                <w:rFonts w:cs="David"/>
                <w:b/>
                <w:bCs/>
                <w:color w:val="000000"/>
                <w:rtl/>
              </w:rPr>
            </w:pPr>
            <w:r w:rsidRPr="00735AE6">
              <w:rPr>
                <w:rFonts w:cs="David"/>
                <w:b/>
                <w:bCs/>
                <w:color w:val="000000"/>
              </w:rPr>
              <w:t>Fully Nutritional Food</w:t>
            </w:r>
          </w:p>
        </w:tc>
        <w:tc>
          <w:tcPr>
            <w:tcW w:w="2835" w:type="dxa"/>
            <w:tcBorders>
              <w:left w:val="none" w:sz="0" w:space="0" w:color="auto"/>
            </w:tcBorders>
          </w:tcPr>
          <w:p w14:paraId="02693D94" w14:textId="77777777" w:rsidR="00735AE6" w:rsidRPr="00735AE6" w:rsidRDefault="00735AE6" w:rsidP="00735AE6">
            <w:pPr>
              <w:cnfStyle w:val="000000100000" w:firstRow="0" w:lastRow="0" w:firstColumn="0" w:lastColumn="0" w:oddVBand="0" w:evenVBand="0" w:oddHBand="1" w:evenHBand="0" w:firstRowFirstColumn="0" w:firstRowLastColumn="0" w:lastRowFirstColumn="0" w:lastRowLastColumn="0"/>
              <w:rPr>
                <w:rFonts w:cs="David"/>
                <w:b/>
                <w:bCs/>
                <w:color w:val="000000"/>
                <w:rtl/>
              </w:rPr>
            </w:pPr>
            <w:r w:rsidRPr="00735AE6">
              <w:rPr>
                <w:rFonts w:cs="David"/>
                <w:b/>
                <w:bCs/>
                <w:color w:val="000000"/>
              </w:rPr>
              <w:t>Aesthetically Flawed Fully Nutritional Foods</w:t>
            </w:r>
          </w:p>
        </w:tc>
      </w:tr>
      <w:tr w:rsidR="00735AE6" w:rsidRPr="00735AE6" w14:paraId="3ACCC2A1" w14:textId="77777777" w:rsidTr="00BF187E">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3E83F62E" w14:textId="77777777" w:rsidR="00735AE6" w:rsidRPr="00735AE6" w:rsidRDefault="00735AE6" w:rsidP="00735AE6">
            <w:pPr>
              <w:rPr>
                <w:rFonts w:cs="David"/>
                <w:color w:val="000000"/>
                <w:rtl/>
              </w:rPr>
            </w:pPr>
            <w:r w:rsidRPr="00735AE6">
              <w:rPr>
                <w:rFonts w:cs="David"/>
                <w:color w:val="000000"/>
              </w:rPr>
              <w:t>Nutritional Value</w:t>
            </w:r>
          </w:p>
        </w:tc>
        <w:tc>
          <w:tcPr>
            <w:tcW w:w="2399" w:type="dxa"/>
            <w:tcBorders>
              <w:left w:val="none" w:sz="0" w:space="0" w:color="auto"/>
              <w:right w:val="none" w:sz="0" w:space="0" w:color="auto"/>
            </w:tcBorders>
          </w:tcPr>
          <w:p w14:paraId="678819C7" w14:textId="77777777" w:rsidR="00735AE6" w:rsidRPr="00735AE6" w:rsidRDefault="00735AE6" w:rsidP="00735AE6">
            <w:pPr>
              <w:jc w:val="center"/>
              <w:cnfStyle w:val="000000010000" w:firstRow="0" w:lastRow="0" w:firstColumn="0" w:lastColumn="0" w:oddVBand="0" w:evenVBand="0" w:oddHBand="0" w:evenHBand="1" w:firstRowFirstColumn="0" w:firstRowLastColumn="0" w:lastRowFirstColumn="0" w:lastRowLastColumn="0"/>
              <w:rPr>
                <w:rFonts w:cs="David"/>
                <w:color w:val="000000"/>
                <w:rtl/>
              </w:rPr>
            </w:pPr>
            <w:r w:rsidRPr="00735AE6">
              <w:rPr>
                <w:rFonts w:cs="David"/>
                <w:color w:val="000000"/>
              </w:rPr>
              <w:t>100%</w:t>
            </w:r>
          </w:p>
        </w:tc>
        <w:tc>
          <w:tcPr>
            <w:tcW w:w="2835" w:type="dxa"/>
            <w:tcBorders>
              <w:left w:val="none" w:sz="0" w:space="0" w:color="auto"/>
            </w:tcBorders>
          </w:tcPr>
          <w:p w14:paraId="6B51C3AD" w14:textId="77777777" w:rsidR="00735AE6" w:rsidRPr="00735AE6" w:rsidRDefault="00735AE6" w:rsidP="00735AE6">
            <w:pPr>
              <w:jc w:val="center"/>
              <w:cnfStyle w:val="000000010000" w:firstRow="0" w:lastRow="0" w:firstColumn="0" w:lastColumn="0" w:oddVBand="0" w:evenVBand="0" w:oddHBand="0" w:evenHBand="1" w:firstRowFirstColumn="0" w:firstRowLastColumn="0" w:lastRowFirstColumn="0" w:lastRowLastColumn="0"/>
              <w:rPr>
                <w:rFonts w:cs="David"/>
                <w:color w:val="000000"/>
                <w:rtl/>
              </w:rPr>
            </w:pPr>
            <w:r w:rsidRPr="00735AE6">
              <w:rPr>
                <w:rFonts w:cs="David"/>
                <w:color w:val="000000"/>
              </w:rPr>
              <w:t>100%</w:t>
            </w:r>
          </w:p>
        </w:tc>
      </w:tr>
      <w:tr w:rsidR="00735AE6" w:rsidRPr="00735AE6" w14:paraId="46919C4D" w14:textId="77777777" w:rsidTr="00BF187E">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5C535ADA" w14:textId="77777777" w:rsidR="00735AE6" w:rsidRPr="00735AE6" w:rsidRDefault="00735AE6" w:rsidP="00735AE6">
            <w:pPr>
              <w:rPr>
                <w:rFonts w:cs="David"/>
                <w:color w:val="000000"/>
                <w:rtl/>
              </w:rPr>
            </w:pPr>
            <w:r w:rsidRPr="00735AE6">
              <w:rPr>
                <w:rFonts w:cs="David"/>
                <w:color w:val="000000"/>
              </w:rPr>
              <w:t>Land Use</w:t>
            </w:r>
          </w:p>
        </w:tc>
        <w:tc>
          <w:tcPr>
            <w:tcW w:w="2399" w:type="dxa"/>
            <w:tcBorders>
              <w:left w:val="none" w:sz="0" w:space="0" w:color="auto"/>
              <w:right w:val="none" w:sz="0" w:space="0" w:color="auto"/>
            </w:tcBorders>
          </w:tcPr>
          <w:p w14:paraId="04D1382A" w14:textId="77777777" w:rsidR="00735AE6" w:rsidRPr="00735AE6" w:rsidRDefault="00735AE6" w:rsidP="00735AE6">
            <w:pPr>
              <w:jc w:val="center"/>
              <w:cnfStyle w:val="000000100000" w:firstRow="0" w:lastRow="0" w:firstColumn="0" w:lastColumn="0" w:oddVBand="0" w:evenVBand="0" w:oddHBand="1" w:evenHBand="0" w:firstRowFirstColumn="0" w:firstRowLastColumn="0" w:lastRowFirstColumn="0" w:lastRowLastColumn="0"/>
              <w:rPr>
                <w:rFonts w:cs="David"/>
                <w:color w:val="000000"/>
                <w:rtl/>
              </w:rPr>
            </w:pPr>
            <w:r w:rsidRPr="00735AE6">
              <w:rPr>
                <w:rFonts w:cs="David"/>
                <w:color w:val="000000"/>
              </w:rPr>
              <w:t>Yes</w:t>
            </w:r>
          </w:p>
        </w:tc>
        <w:tc>
          <w:tcPr>
            <w:tcW w:w="2835" w:type="dxa"/>
            <w:tcBorders>
              <w:left w:val="none" w:sz="0" w:space="0" w:color="auto"/>
            </w:tcBorders>
          </w:tcPr>
          <w:p w14:paraId="69644400" w14:textId="77777777" w:rsidR="00735AE6" w:rsidRPr="00735AE6" w:rsidRDefault="00735AE6" w:rsidP="00735AE6">
            <w:pPr>
              <w:jc w:val="center"/>
              <w:cnfStyle w:val="000000100000" w:firstRow="0" w:lastRow="0" w:firstColumn="0" w:lastColumn="0" w:oddVBand="0" w:evenVBand="0" w:oddHBand="1" w:evenHBand="0" w:firstRowFirstColumn="0" w:firstRowLastColumn="0" w:lastRowFirstColumn="0" w:lastRowLastColumn="0"/>
              <w:rPr>
                <w:rFonts w:cs="David"/>
                <w:color w:val="000000"/>
              </w:rPr>
            </w:pPr>
            <w:r w:rsidRPr="00735AE6">
              <w:rPr>
                <w:rFonts w:cs="David"/>
                <w:color w:val="000000"/>
              </w:rPr>
              <w:t>Negligible</w:t>
            </w:r>
          </w:p>
        </w:tc>
      </w:tr>
      <w:tr w:rsidR="00735AE6" w:rsidRPr="00735AE6" w14:paraId="1ADCFA72" w14:textId="77777777" w:rsidTr="00BF187E">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5B2609D1" w14:textId="77777777" w:rsidR="00735AE6" w:rsidRPr="00735AE6" w:rsidRDefault="00735AE6" w:rsidP="00735AE6">
            <w:pPr>
              <w:rPr>
                <w:rFonts w:cs="David"/>
                <w:color w:val="000000"/>
              </w:rPr>
            </w:pPr>
            <w:r w:rsidRPr="00735AE6">
              <w:rPr>
                <w:rFonts w:cs="David"/>
                <w:color w:val="000000"/>
              </w:rPr>
              <w:t>Water Use</w:t>
            </w:r>
          </w:p>
        </w:tc>
        <w:tc>
          <w:tcPr>
            <w:tcW w:w="2399" w:type="dxa"/>
            <w:tcBorders>
              <w:left w:val="none" w:sz="0" w:space="0" w:color="auto"/>
              <w:right w:val="none" w:sz="0" w:space="0" w:color="auto"/>
            </w:tcBorders>
          </w:tcPr>
          <w:p w14:paraId="5D537A94" w14:textId="77777777" w:rsidR="00735AE6" w:rsidRPr="00735AE6" w:rsidRDefault="00735AE6" w:rsidP="00735AE6">
            <w:pPr>
              <w:jc w:val="center"/>
              <w:cnfStyle w:val="000000010000" w:firstRow="0" w:lastRow="0" w:firstColumn="0" w:lastColumn="0" w:oddVBand="0" w:evenVBand="0" w:oddHBand="0" w:evenHBand="1" w:firstRowFirstColumn="0" w:firstRowLastColumn="0" w:lastRowFirstColumn="0" w:lastRowLastColumn="0"/>
              <w:rPr>
                <w:rFonts w:cs="David"/>
                <w:color w:val="000000"/>
              </w:rPr>
            </w:pPr>
            <w:r w:rsidRPr="00735AE6">
              <w:rPr>
                <w:rFonts w:cs="David"/>
                <w:color w:val="000000"/>
              </w:rPr>
              <w:t>Yes</w:t>
            </w:r>
          </w:p>
        </w:tc>
        <w:tc>
          <w:tcPr>
            <w:tcW w:w="2835" w:type="dxa"/>
            <w:tcBorders>
              <w:left w:val="none" w:sz="0" w:space="0" w:color="auto"/>
            </w:tcBorders>
          </w:tcPr>
          <w:p w14:paraId="66926FEE" w14:textId="77777777" w:rsidR="00735AE6" w:rsidRPr="00735AE6" w:rsidRDefault="00735AE6" w:rsidP="00735AE6">
            <w:pPr>
              <w:jc w:val="center"/>
              <w:cnfStyle w:val="000000010000" w:firstRow="0" w:lastRow="0" w:firstColumn="0" w:lastColumn="0" w:oddVBand="0" w:evenVBand="0" w:oddHBand="0" w:evenHBand="1" w:firstRowFirstColumn="0" w:firstRowLastColumn="0" w:lastRowFirstColumn="0" w:lastRowLastColumn="0"/>
              <w:rPr>
                <w:rFonts w:cs="David"/>
                <w:color w:val="000000"/>
                <w:rtl/>
              </w:rPr>
            </w:pPr>
            <w:r w:rsidRPr="00735AE6">
              <w:rPr>
                <w:rFonts w:cs="David"/>
                <w:color w:val="000000"/>
              </w:rPr>
              <w:t>Negligible</w:t>
            </w:r>
          </w:p>
        </w:tc>
      </w:tr>
      <w:tr w:rsidR="00735AE6" w:rsidRPr="00735AE6" w14:paraId="560A9F9E" w14:textId="77777777" w:rsidTr="00BF187E">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2A8099FE" w14:textId="77777777" w:rsidR="00735AE6" w:rsidRPr="00735AE6" w:rsidRDefault="00735AE6" w:rsidP="00735AE6">
            <w:pPr>
              <w:rPr>
                <w:rFonts w:cs="David"/>
                <w:color w:val="000000"/>
                <w:rtl/>
              </w:rPr>
            </w:pPr>
            <w:r w:rsidRPr="00735AE6">
              <w:rPr>
                <w:rFonts w:cs="David"/>
                <w:color w:val="000000"/>
              </w:rPr>
              <w:t>Greenhouse Gas Emissions During Production</w:t>
            </w:r>
          </w:p>
        </w:tc>
        <w:tc>
          <w:tcPr>
            <w:tcW w:w="2399" w:type="dxa"/>
            <w:tcBorders>
              <w:left w:val="none" w:sz="0" w:space="0" w:color="auto"/>
              <w:right w:val="none" w:sz="0" w:space="0" w:color="auto"/>
            </w:tcBorders>
          </w:tcPr>
          <w:p w14:paraId="22A0700E" w14:textId="77777777" w:rsidR="00735AE6" w:rsidRPr="00735AE6" w:rsidRDefault="00735AE6" w:rsidP="00735AE6">
            <w:pPr>
              <w:jc w:val="center"/>
              <w:cnfStyle w:val="000000100000" w:firstRow="0" w:lastRow="0" w:firstColumn="0" w:lastColumn="0" w:oddVBand="0" w:evenVBand="0" w:oddHBand="1" w:evenHBand="0" w:firstRowFirstColumn="0" w:firstRowLastColumn="0" w:lastRowFirstColumn="0" w:lastRowLastColumn="0"/>
              <w:rPr>
                <w:rFonts w:cs="David"/>
                <w:color w:val="000000"/>
                <w:rtl/>
              </w:rPr>
            </w:pPr>
            <w:r w:rsidRPr="00735AE6">
              <w:rPr>
                <w:rFonts w:cs="David"/>
                <w:color w:val="000000"/>
              </w:rPr>
              <w:t>Yes</w:t>
            </w:r>
          </w:p>
        </w:tc>
        <w:tc>
          <w:tcPr>
            <w:tcW w:w="2835" w:type="dxa"/>
            <w:tcBorders>
              <w:left w:val="none" w:sz="0" w:space="0" w:color="auto"/>
            </w:tcBorders>
          </w:tcPr>
          <w:p w14:paraId="7FF78733" w14:textId="77777777" w:rsidR="00735AE6" w:rsidRPr="00735AE6" w:rsidRDefault="00735AE6" w:rsidP="00735AE6">
            <w:pPr>
              <w:jc w:val="center"/>
              <w:cnfStyle w:val="000000100000" w:firstRow="0" w:lastRow="0" w:firstColumn="0" w:lastColumn="0" w:oddVBand="0" w:evenVBand="0" w:oddHBand="1" w:evenHBand="0" w:firstRowFirstColumn="0" w:firstRowLastColumn="0" w:lastRowFirstColumn="0" w:lastRowLastColumn="0"/>
              <w:rPr>
                <w:rFonts w:cs="David"/>
                <w:color w:val="000000"/>
                <w:rtl/>
              </w:rPr>
            </w:pPr>
            <w:r w:rsidRPr="00735AE6">
              <w:rPr>
                <w:rFonts w:cs="David"/>
                <w:color w:val="000000"/>
              </w:rPr>
              <w:t>None</w:t>
            </w:r>
          </w:p>
        </w:tc>
      </w:tr>
      <w:tr w:rsidR="00735AE6" w:rsidRPr="00735AE6" w14:paraId="778D231B" w14:textId="77777777" w:rsidTr="00BF187E">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709A6668" w14:textId="77777777" w:rsidR="00735AE6" w:rsidRPr="00735AE6" w:rsidRDefault="00735AE6" w:rsidP="00735AE6">
            <w:pPr>
              <w:rPr>
                <w:rFonts w:cs="David"/>
                <w:color w:val="000000"/>
              </w:rPr>
            </w:pPr>
            <w:r w:rsidRPr="00735AE6">
              <w:rPr>
                <w:rFonts w:cs="David"/>
                <w:color w:val="000000"/>
              </w:rPr>
              <w:t>Use of Fertilizers and Pesticides</w:t>
            </w:r>
          </w:p>
        </w:tc>
        <w:tc>
          <w:tcPr>
            <w:tcW w:w="2399" w:type="dxa"/>
            <w:tcBorders>
              <w:left w:val="none" w:sz="0" w:space="0" w:color="auto"/>
              <w:right w:val="none" w:sz="0" w:space="0" w:color="auto"/>
            </w:tcBorders>
          </w:tcPr>
          <w:p w14:paraId="6E57A734" w14:textId="77777777" w:rsidR="00735AE6" w:rsidRPr="00735AE6" w:rsidRDefault="00735AE6" w:rsidP="00735AE6">
            <w:pPr>
              <w:jc w:val="center"/>
              <w:cnfStyle w:val="000000010000" w:firstRow="0" w:lastRow="0" w:firstColumn="0" w:lastColumn="0" w:oddVBand="0" w:evenVBand="0" w:oddHBand="0" w:evenHBand="1" w:firstRowFirstColumn="0" w:firstRowLastColumn="0" w:lastRowFirstColumn="0" w:lastRowLastColumn="0"/>
              <w:rPr>
                <w:rFonts w:cs="David"/>
                <w:color w:val="000000"/>
                <w:rtl/>
              </w:rPr>
            </w:pPr>
            <w:r w:rsidRPr="00735AE6">
              <w:rPr>
                <w:rFonts w:cs="David"/>
                <w:color w:val="000000"/>
              </w:rPr>
              <w:t>Yes</w:t>
            </w:r>
          </w:p>
        </w:tc>
        <w:tc>
          <w:tcPr>
            <w:tcW w:w="2835" w:type="dxa"/>
            <w:tcBorders>
              <w:left w:val="none" w:sz="0" w:space="0" w:color="auto"/>
            </w:tcBorders>
          </w:tcPr>
          <w:p w14:paraId="33B666A9" w14:textId="77777777" w:rsidR="00735AE6" w:rsidRPr="00735AE6" w:rsidRDefault="00735AE6" w:rsidP="00735AE6">
            <w:pPr>
              <w:jc w:val="center"/>
              <w:cnfStyle w:val="000000010000" w:firstRow="0" w:lastRow="0" w:firstColumn="0" w:lastColumn="0" w:oddVBand="0" w:evenVBand="0" w:oddHBand="0" w:evenHBand="1" w:firstRowFirstColumn="0" w:firstRowLastColumn="0" w:lastRowFirstColumn="0" w:lastRowLastColumn="0"/>
              <w:rPr>
                <w:rFonts w:cs="David"/>
                <w:color w:val="000000"/>
                <w:rtl/>
              </w:rPr>
            </w:pPr>
            <w:r w:rsidRPr="00735AE6">
              <w:rPr>
                <w:rFonts w:cs="David"/>
                <w:color w:val="000000"/>
              </w:rPr>
              <w:t>None</w:t>
            </w:r>
          </w:p>
        </w:tc>
      </w:tr>
      <w:tr w:rsidR="00735AE6" w:rsidRPr="00735AE6" w14:paraId="5CAAC9BC" w14:textId="77777777" w:rsidTr="00BF187E">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096" w:type="dxa"/>
            <w:tcBorders>
              <w:right w:val="none" w:sz="0" w:space="0" w:color="auto"/>
            </w:tcBorders>
          </w:tcPr>
          <w:p w14:paraId="7C88A81C" w14:textId="77777777" w:rsidR="00735AE6" w:rsidRPr="00735AE6" w:rsidRDefault="00735AE6" w:rsidP="00735AE6">
            <w:pPr>
              <w:rPr>
                <w:rFonts w:cs="David"/>
                <w:color w:val="000000"/>
                <w:rtl/>
              </w:rPr>
            </w:pPr>
            <w:r w:rsidRPr="00735AE6">
              <w:rPr>
                <w:rFonts w:cs="David"/>
                <w:color w:val="000000"/>
              </w:rPr>
              <w:t>Logistics, Distribution and Transportation Costs</w:t>
            </w:r>
          </w:p>
        </w:tc>
        <w:tc>
          <w:tcPr>
            <w:tcW w:w="2399" w:type="dxa"/>
            <w:tcBorders>
              <w:left w:val="none" w:sz="0" w:space="0" w:color="auto"/>
              <w:right w:val="none" w:sz="0" w:space="0" w:color="auto"/>
            </w:tcBorders>
          </w:tcPr>
          <w:p w14:paraId="21A62A31" w14:textId="77777777" w:rsidR="00735AE6" w:rsidRPr="00735AE6" w:rsidRDefault="00735AE6" w:rsidP="00735AE6">
            <w:pPr>
              <w:jc w:val="center"/>
              <w:cnfStyle w:val="000000100000" w:firstRow="0" w:lastRow="0" w:firstColumn="0" w:lastColumn="0" w:oddVBand="0" w:evenVBand="0" w:oddHBand="1" w:evenHBand="0" w:firstRowFirstColumn="0" w:firstRowLastColumn="0" w:lastRowFirstColumn="0" w:lastRowLastColumn="0"/>
              <w:rPr>
                <w:rFonts w:cs="David"/>
                <w:color w:val="000000"/>
                <w:rtl/>
              </w:rPr>
            </w:pPr>
            <w:r w:rsidRPr="00735AE6">
              <w:rPr>
                <w:rFonts w:cs="David"/>
                <w:color w:val="000000"/>
              </w:rPr>
              <w:t>Yes</w:t>
            </w:r>
          </w:p>
        </w:tc>
        <w:tc>
          <w:tcPr>
            <w:tcW w:w="2835" w:type="dxa"/>
            <w:tcBorders>
              <w:left w:val="none" w:sz="0" w:space="0" w:color="auto"/>
            </w:tcBorders>
          </w:tcPr>
          <w:p w14:paraId="7EAD628D" w14:textId="77777777" w:rsidR="00735AE6" w:rsidRPr="00735AE6" w:rsidRDefault="00735AE6" w:rsidP="00735AE6">
            <w:pPr>
              <w:jc w:val="center"/>
              <w:cnfStyle w:val="000000100000" w:firstRow="0" w:lastRow="0" w:firstColumn="0" w:lastColumn="0" w:oddVBand="0" w:evenVBand="0" w:oddHBand="1" w:evenHBand="0" w:firstRowFirstColumn="0" w:firstRowLastColumn="0" w:lastRowFirstColumn="0" w:lastRowLastColumn="0"/>
              <w:rPr>
                <w:rFonts w:cs="David"/>
                <w:color w:val="000000"/>
                <w:rtl/>
              </w:rPr>
            </w:pPr>
            <w:r w:rsidRPr="00735AE6">
              <w:rPr>
                <w:rFonts w:cs="David"/>
                <w:color w:val="000000"/>
              </w:rPr>
              <w:t>Yes</w:t>
            </w:r>
          </w:p>
        </w:tc>
      </w:tr>
    </w:tbl>
    <w:p w14:paraId="3F50E506" w14:textId="77777777" w:rsidR="00735AE6" w:rsidRPr="008F3D9C" w:rsidRDefault="00735AE6" w:rsidP="00735AE6">
      <w:pPr>
        <w:spacing w:after="0" w:line="240" w:lineRule="auto"/>
        <w:rPr>
          <w:rFonts w:ascii="Calibri" w:eastAsia="Calibri" w:hAnsi="Calibri" w:cs="Arial"/>
          <w:b/>
          <w:bCs/>
        </w:rPr>
      </w:pPr>
    </w:p>
    <w:p w14:paraId="40BA4825" w14:textId="1ED140E7" w:rsidR="00293231" w:rsidRPr="008F3D9C" w:rsidRDefault="00735AE6" w:rsidP="00934F84">
      <w:pPr>
        <w:pStyle w:val="BodyText"/>
      </w:pPr>
      <w:r w:rsidRPr="00735AE6">
        <w:rPr>
          <w:b/>
          <w:bCs/>
          <w:highlight w:val="cyan"/>
        </w:rPr>
        <w:t>N</w:t>
      </w:r>
      <w:r w:rsidR="00293231" w:rsidRPr="00735AE6">
        <w:rPr>
          <w:b/>
          <w:bCs/>
          <w:highlight w:val="cyan"/>
        </w:rPr>
        <w:t xml:space="preserve">early 50% </w:t>
      </w:r>
      <w:r w:rsidRPr="00735AE6">
        <w:rPr>
          <w:b/>
          <w:bCs/>
          <w:highlight w:val="cyan"/>
        </w:rPr>
        <w:t xml:space="preserve">of wasted food </w:t>
      </w:r>
      <w:r w:rsidR="00293231" w:rsidRPr="00735AE6">
        <w:rPr>
          <w:b/>
          <w:bCs/>
          <w:highlight w:val="cyan"/>
        </w:rPr>
        <w:t>is rescuable, equivalent to 1.</w:t>
      </w:r>
      <w:r w:rsidRPr="00735AE6">
        <w:rPr>
          <w:b/>
          <w:bCs/>
          <w:highlight w:val="cyan"/>
        </w:rPr>
        <w:t>2</w:t>
      </w:r>
      <w:r w:rsidR="00293231" w:rsidRPr="00735AE6">
        <w:rPr>
          <w:b/>
          <w:bCs/>
          <w:highlight w:val="cyan"/>
        </w:rPr>
        <w:t xml:space="preserve"> million tons</w:t>
      </w:r>
      <w:r w:rsidR="00293231" w:rsidRPr="00735AE6">
        <w:rPr>
          <w:highlight w:val="cyan"/>
        </w:rPr>
        <w:t>.</w:t>
      </w:r>
    </w:p>
    <w:p w14:paraId="456E8689" w14:textId="77777777" w:rsidR="00293231" w:rsidRPr="00957C1E" w:rsidRDefault="00293231" w:rsidP="00293231">
      <w:pPr>
        <w:pStyle w:val="BodyText"/>
        <w:rPr>
          <w:b/>
          <w:bCs/>
          <w:rtl/>
        </w:rPr>
      </w:pPr>
      <w:r w:rsidRPr="008F3D9C">
        <w:t xml:space="preserve">Currently, the majority of food rescue in Israel and abroad is carried out by NPOs, supported by donations. However, even if funding for food rescue is derived from donations, </w:t>
      </w:r>
      <w:r w:rsidRPr="00957C1E">
        <w:rPr>
          <w:b/>
          <w:bCs/>
        </w:rPr>
        <w:t xml:space="preserve">such </w:t>
      </w:r>
      <w:r w:rsidRPr="00957C1E">
        <w:rPr>
          <w:b/>
          <w:bCs/>
        </w:rPr>
        <w:lastRenderedPageBreak/>
        <w:t xml:space="preserve">activity is not primarily philanthropic or charitable, but an </w:t>
      </w:r>
      <w:r>
        <w:rPr>
          <w:b/>
          <w:bCs/>
        </w:rPr>
        <w:t>alternative</w:t>
      </w:r>
      <w:r w:rsidRPr="00957C1E">
        <w:rPr>
          <w:b/>
          <w:bCs/>
        </w:rPr>
        <w:t xml:space="preserve"> economic </w:t>
      </w:r>
      <w:r>
        <w:rPr>
          <w:b/>
          <w:bCs/>
        </w:rPr>
        <w:t>method</w:t>
      </w:r>
      <w:r w:rsidRPr="00957C1E">
        <w:rPr>
          <w:b/>
          <w:bCs/>
        </w:rPr>
        <w:t xml:space="preserve"> </w:t>
      </w:r>
      <w:r>
        <w:rPr>
          <w:b/>
          <w:bCs/>
        </w:rPr>
        <w:t>of</w:t>
      </w:r>
      <w:r w:rsidRPr="00957C1E">
        <w:rPr>
          <w:b/>
          <w:bCs/>
        </w:rPr>
        <w:t xml:space="preserve"> food production, one that is clearly beneficial to the national economy, </w:t>
      </w:r>
      <w:r>
        <w:rPr>
          <w:b/>
          <w:bCs/>
        </w:rPr>
        <w:t xml:space="preserve">above </w:t>
      </w:r>
      <w:r w:rsidRPr="00957C1E">
        <w:rPr>
          <w:b/>
          <w:bCs/>
        </w:rPr>
        <w:t xml:space="preserve">and </w:t>
      </w:r>
      <w:r>
        <w:rPr>
          <w:b/>
          <w:bCs/>
        </w:rPr>
        <w:t xml:space="preserve">beyond its </w:t>
      </w:r>
      <w:r w:rsidRPr="00957C1E">
        <w:rPr>
          <w:b/>
          <w:bCs/>
        </w:rPr>
        <w:t>contribut</w:t>
      </w:r>
      <w:r>
        <w:rPr>
          <w:b/>
          <w:bCs/>
        </w:rPr>
        <w:t>ion</w:t>
      </w:r>
      <w:r w:rsidRPr="00957C1E">
        <w:rPr>
          <w:b/>
          <w:bCs/>
        </w:rPr>
        <w:t xml:space="preserve"> to reducing </w:t>
      </w:r>
      <w:r>
        <w:rPr>
          <w:b/>
          <w:bCs/>
        </w:rPr>
        <w:t xml:space="preserve">social </w:t>
      </w:r>
      <w:r w:rsidRPr="00957C1E">
        <w:rPr>
          <w:b/>
          <w:bCs/>
        </w:rPr>
        <w:t>inequality.</w:t>
      </w:r>
    </w:p>
    <w:p w14:paraId="3C2C2078" w14:textId="77777777" w:rsidR="00293231" w:rsidRPr="008F3D9C" w:rsidRDefault="00293231" w:rsidP="00293231">
      <w:pPr>
        <w:pStyle w:val="BodyText"/>
      </w:pPr>
      <w:r w:rsidRPr="008F3D9C">
        <w:t xml:space="preserve">According to a study conducted in Australia, the multiplier for the value of rescued food relative to rescue costs is 5.7. In other words, every dollar </w:t>
      </w:r>
      <w:r>
        <w:t>invested in food rescue enables the recovery of</w:t>
      </w:r>
      <w:r w:rsidRPr="008F3D9C">
        <w:t xml:space="preserve"> </w:t>
      </w:r>
      <w:r>
        <w:t xml:space="preserve">surplus </w:t>
      </w:r>
      <w:r w:rsidRPr="008F3D9C">
        <w:t>food</w:t>
      </w:r>
      <w:r>
        <w:t xml:space="preserve"> worth </w:t>
      </w:r>
      <w:r w:rsidRPr="008F3D9C">
        <w:t xml:space="preserve">5.7 dollars. </w:t>
      </w:r>
      <w:r>
        <w:t xml:space="preserve">Moreover, </w:t>
      </w:r>
      <w:r w:rsidRPr="008F3D9C">
        <w:t xml:space="preserve">food rescue </w:t>
      </w:r>
      <w:r>
        <w:t xml:space="preserve">generates </w:t>
      </w:r>
      <w:r w:rsidRPr="008F3D9C">
        <w:t>additional environmental</w:t>
      </w:r>
      <w:r>
        <w:t>,</w:t>
      </w:r>
      <w:r w:rsidRPr="008F3D9C">
        <w:t xml:space="preserve"> social </w:t>
      </w:r>
      <w:r>
        <w:t xml:space="preserve">and health </w:t>
      </w:r>
      <w:r w:rsidRPr="008F3D9C">
        <w:t>benefits.</w:t>
      </w:r>
    </w:p>
    <w:p w14:paraId="03E66840" w14:textId="77777777" w:rsidR="00293231" w:rsidRPr="008F3D9C" w:rsidRDefault="00293231" w:rsidP="00293231">
      <w:pPr>
        <w:pStyle w:val="BodyText"/>
      </w:pPr>
      <w:r w:rsidRPr="008F3D9C">
        <w:t>Based on Leket Israel’s experience, the cost of food rescue is approximately NIS 1.4 for every kilogram of food. The direct value of the food is NIS 5.1 per kilogram, yielding a multiplier effect of 3.6.</w:t>
      </w:r>
      <w:r>
        <w:t xml:space="preserve"> </w:t>
      </w:r>
      <w:r w:rsidRPr="008F3D9C">
        <w:t>Therefore, each NIS 1.0 invested by NPOs in food rescue provides NIS 3.</w:t>
      </w:r>
      <w:r>
        <w:t>6</w:t>
      </w:r>
      <w:r w:rsidRPr="008F3D9C">
        <w:t xml:space="preserve"> worth of food for </w:t>
      </w:r>
      <w:r>
        <w:t>the underprivileged populace</w:t>
      </w:r>
      <w:r w:rsidRPr="008F3D9C">
        <w:t xml:space="preserve">. Food rescue in Israel is still in its infancy, </w:t>
      </w:r>
      <w:r>
        <w:t xml:space="preserve">so </w:t>
      </w:r>
      <w:r w:rsidRPr="008F3D9C">
        <w:t xml:space="preserve">there is enormous potential for expansion, utilizing economies of scale to reduce the cost of food rescue, and/or raise the value of rescued products, which would in time </w:t>
      </w:r>
      <w:r>
        <w:t xml:space="preserve">enable </w:t>
      </w:r>
      <w:r w:rsidRPr="008F3D9C">
        <w:t>the multiplier</w:t>
      </w:r>
      <w:r>
        <w:t xml:space="preserve"> to increase</w:t>
      </w:r>
      <w:r w:rsidRPr="008F3D9C">
        <w:t>. However, to be conservative in our estimat</w:t>
      </w:r>
      <w:r>
        <w:t>e</w:t>
      </w:r>
      <w:r w:rsidRPr="008F3D9C">
        <w:t xml:space="preserve">s, we have based our assessments on the current cost structure. </w:t>
      </w:r>
    </w:p>
    <w:p w14:paraId="393A0BC2" w14:textId="77777777" w:rsidR="00293231" w:rsidRPr="008F3D9C" w:rsidRDefault="00293231" w:rsidP="00293231">
      <w:pPr>
        <w:pStyle w:val="BodyText"/>
      </w:pPr>
      <w:r w:rsidRPr="007D4905">
        <w:t>In terms of benefit to the national economy, it is also necessary to consider the positive environmental and social contributions</w:t>
      </w:r>
      <w:r w:rsidRPr="008F3D9C">
        <w:t xml:space="preserve"> of food rescue. </w:t>
      </w:r>
      <w:r>
        <w:t xml:space="preserve">This report does not estimate these influences </w:t>
      </w:r>
      <w:r w:rsidRPr="008F3D9C">
        <w:t>in the context of the Israeli economy</w:t>
      </w:r>
      <w:r>
        <w:t>. However, assuming</w:t>
      </w:r>
      <w:r w:rsidRPr="008F3D9C">
        <w:t xml:space="preserve"> </w:t>
      </w:r>
      <w:r>
        <w:t xml:space="preserve">that these </w:t>
      </w:r>
      <w:r w:rsidRPr="008F3D9C">
        <w:t>environmental and social benefits are similar to the average costs around the world, the multiplier would increase to</w:t>
      </w:r>
      <w:r>
        <w:t xml:space="preserve"> 7.2</w:t>
      </w:r>
      <w:r w:rsidRPr="008F3D9C">
        <w:t>. A calculation that includes environmental benefits would show that every NIS 1.0 invested in food rescue generates NIS</w:t>
      </w:r>
      <w:r>
        <w:t xml:space="preserve"> 7.2</w:t>
      </w:r>
      <w:r w:rsidRPr="008F3D9C">
        <w:t xml:space="preserve"> to the national economy. </w:t>
      </w:r>
    </w:p>
    <w:p w14:paraId="2F721B15" w14:textId="77777777" w:rsidR="00293231" w:rsidRPr="007D4905" w:rsidRDefault="00293231" w:rsidP="00293231">
      <w:pPr>
        <w:pStyle w:val="Graphtitle"/>
      </w:pPr>
      <w:r w:rsidRPr="007D4905">
        <w:t>Food Rescue Feasibility Assessment</w:t>
      </w:r>
    </w:p>
    <w:p w14:paraId="4785C661" w14:textId="77777777" w:rsidR="00293231" w:rsidRPr="007D4905" w:rsidRDefault="00293231" w:rsidP="00293231">
      <w:pPr>
        <w:pStyle w:val="Graphtitle"/>
      </w:pPr>
      <w:r w:rsidRPr="007D4905">
        <w:t>Food Cost / Benefit NIS (per kg. food)</w:t>
      </w:r>
    </w:p>
    <w:tbl>
      <w:tblPr>
        <w:tblW w:w="9796" w:type="dxa"/>
        <w:tblInd w:w="93" w:type="dxa"/>
        <w:tblLayout w:type="fixed"/>
        <w:tblLook w:val="04A0" w:firstRow="1" w:lastRow="0" w:firstColumn="1" w:lastColumn="0" w:noHBand="0" w:noVBand="1"/>
      </w:tblPr>
      <w:tblGrid>
        <w:gridCol w:w="2142"/>
        <w:gridCol w:w="992"/>
        <w:gridCol w:w="1559"/>
        <w:gridCol w:w="1418"/>
        <w:gridCol w:w="850"/>
        <w:gridCol w:w="1134"/>
        <w:gridCol w:w="1701"/>
      </w:tblGrid>
      <w:tr w:rsidR="00293231" w:rsidRPr="008F3D9C" w14:paraId="5BBA4B1E" w14:textId="77777777" w:rsidTr="00735AE6">
        <w:trPr>
          <w:trHeight w:val="285"/>
        </w:trPr>
        <w:tc>
          <w:tcPr>
            <w:tcW w:w="2142" w:type="dxa"/>
            <w:tcBorders>
              <w:top w:val="single" w:sz="4" w:space="0" w:color="4F81BD"/>
              <w:left w:val="single" w:sz="4" w:space="0" w:color="4F81BD"/>
              <w:bottom w:val="nil"/>
              <w:right w:val="nil"/>
            </w:tcBorders>
            <w:shd w:val="clear" w:color="4F81BD" w:fill="4F81BD"/>
          </w:tcPr>
          <w:p w14:paraId="7218483C" w14:textId="77777777" w:rsidR="00293231" w:rsidRPr="007D4905" w:rsidRDefault="00293231" w:rsidP="00735AE6">
            <w:pPr>
              <w:spacing w:after="0" w:line="240" w:lineRule="auto"/>
              <w:jc w:val="center"/>
              <w:rPr>
                <w:rFonts w:eastAsia="Times New Roman" w:cstheme="minorHAnsi"/>
                <w:b/>
                <w:bCs/>
                <w:color w:val="FFFFFF"/>
                <w:sz w:val="20"/>
                <w:szCs w:val="20"/>
                <w:rtl/>
              </w:rPr>
            </w:pPr>
          </w:p>
        </w:tc>
        <w:tc>
          <w:tcPr>
            <w:tcW w:w="992" w:type="dxa"/>
            <w:tcBorders>
              <w:top w:val="single" w:sz="4" w:space="0" w:color="4F81BD"/>
              <w:left w:val="single" w:sz="4" w:space="0" w:color="4F81BD"/>
              <w:bottom w:val="nil"/>
              <w:right w:val="nil"/>
            </w:tcBorders>
            <w:shd w:val="clear" w:color="4F81BD" w:fill="4F81BD"/>
            <w:noWrap/>
            <w:vAlign w:val="center"/>
            <w:hideMark/>
          </w:tcPr>
          <w:p w14:paraId="28980D33" w14:textId="77777777" w:rsidR="00293231" w:rsidRPr="007D4905" w:rsidRDefault="00293231" w:rsidP="00735AE6">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Rescued Food Value</w:t>
            </w:r>
            <w:commentRangeStart w:id="10"/>
            <w:r>
              <w:rPr>
                <w:rFonts w:eastAsia="Calibri" w:cstheme="minorHAnsi"/>
                <w:b/>
                <w:bCs/>
                <w:color w:val="FFFFFF" w:themeColor="background1"/>
                <w:sz w:val="20"/>
                <w:szCs w:val="20"/>
              </w:rPr>
              <w:t>*</w:t>
            </w:r>
            <w:commentRangeEnd w:id="10"/>
            <w:r w:rsidR="007C70BA">
              <w:rPr>
                <w:rStyle w:val="CommentReference"/>
              </w:rPr>
              <w:commentReference w:id="10"/>
            </w:r>
          </w:p>
        </w:tc>
        <w:tc>
          <w:tcPr>
            <w:tcW w:w="1559" w:type="dxa"/>
            <w:tcBorders>
              <w:top w:val="single" w:sz="4" w:space="0" w:color="4F81BD"/>
              <w:left w:val="nil"/>
              <w:bottom w:val="nil"/>
              <w:right w:val="nil"/>
            </w:tcBorders>
            <w:shd w:val="clear" w:color="4F81BD" w:fill="4F81BD"/>
            <w:noWrap/>
            <w:vAlign w:val="center"/>
            <w:hideMark/>
          </w:tcPr>
          <w:p w14:paraId="6C3F2A7A" w14:textId="77777777" w:rsidR="00293231" w:rsidRPr="007D4905" w:rsidRDefault="00293231" w:rsidP="00735AE6">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Environmental-Social Contribution (FAO)</w:t>
            </w:r>
          </w:p>
        </w:tc>
        <w:tc>
          <w:tcPr>
            <w:tcW w:w="1418" w:type="dxa"/>
            <w:tcBorders>
              <w:top w:val="single" w:sz="4" w:space="0" w:color="4F81BD"/>
              <w:left w:val="nil"/>
              <w:bottom w:val="nil"/>
              <w:right w:val="nil"/>
            </w:tcBorders>
            <w:shd w:val="clear" w:color="4F81BD" w:fill="4F81BD"/>
            <w:noWrap/>
            <w:vAlign w:val="center"/>
            <w:hideMark/>
          </w:tcPr>
          <w:p w14:paraId="4E4D7910" w14:textId="77777777" w:rsidR="00293231" w:rsidRPr="007D4905" w:rsidRDefault="00293231" w:rsidP="00735AE6">
            <w:pPr>
              <w:spacing w:after="0" w:line="240" w:lineRule="auto"/>
              <w:jc w:val="center"/>
              <w:rPr>
                <w:rFonts w:eastAsia="Times New Roman" w:cstheme="minorHAnsi"/>
                <w:b/>
                <w:bCs/>
                <w:color w:val="FFFFFF" w:themeColor="background1"/>
                <w:sz w:val="20"/>
                <w:szCs w:val="20"/>
              </w:rPr>
            </w:pPr>
            <w:r w:rsidRPr="007D4905">
              <w:rPr>
                <w:rFonts w:eastAsia="Calibri" w:cstheme="minorHAnsi"/>
                <w:b/>
                <w:bCs/>
                <w:color w:val="FFFFFF" w:themeColor="background1"/>
                <w:sz w:val="20"/>
                <w:szCs w:val="20"/>
              </w:rPr>
              <w:t>Total Value to the National Economy</w:t>
            </w:r>
          </w:p>
        </w:tc>
        <w:tc>
          <w:tcPr>
            <w:tcW w:w="850" w:type="dxa"/>
            <w:tcBorders>
              <w:top w:val="single" w:sz="4" w:space="0" w:color="4F81BD"/>
              <w:left w:val="nil"/>
              <w:bottom w:val="nil"/>
              <w:right w:val="nil"/>
            </w:tcBorders>
            <w:shd w:val="clear" w:color="4F81BD" w:fill="4F81BD"/>
            <w:noWrap/>
            <w:vAlign w:val="center"/>
            <w:hideMark/>
          </w:tcPr>
          <w:p w14:paraId="0D2A467D" w14:textId="77777777" w:rsidR="00293231" w:rsidRPr="007D4905" w:rsidRDefault="00293231" w:rsidP="00735AE6">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Rescue Cost</w:t>
            </w:r>
          </w:p>
        </w:tc>
        <w:tc>
          <w:tcPr>
            <w:tcW w:w="1134" w:type="dxa"/>
            <w:tcBorders>
              <w:top w:val="single" w:sz="4" w:space="0" w:color="4F81BD"/>
              <w:left w:val="nil"/>
              <w:bottom w:val="nil"/>
              <w:right w:val="nil"/>
            </w:tcBorders>
            <w:shd w:val="clear" w:color="4F81BD" w:fill="4F81BD"/>
            <w:noWrap/>
            <w:vAlign w:val="center"/>
            <w:hideMark/>
          </w:tcPr>
          <w:p w14:paraId="29DEDD90" w14:textId="77777777" w:rsidR="00293231" w:rsidRPr="007D4905" w:rsidRDefault="00293231" w:rsidP="00735AE6">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Gain from Food Rescue</w:t>
            </w:r>
          </w:p>
        </w:tc>
        <w:tc>
          <w:tcPr>
            <w:tcW w:w="1701" w:type="dxa"/>
            <w:tcBorders>
              <w:top w:val="single" w:sz="4" w:space="0" w:color="4F81BD"/>
              <w:left w:val="nil"/>
              <w:bottom w:val="nil"/>
              <w:right w:val="single" w:sz="4" w:space="0" w:color="4F81BD"/>
            </w:tcBorders>
            <w:shd w:val="clear" w:color="4F81BD" w:fill="4F81BD"/>
            <w:noWrap/>
            <w:vAlign w:val="center"/>
            <w:hideMark/>
          </w:tcPr>
          <w:p w14:paraId="65E6A0F9" w14:textId="77777777" w:rsidR="00293231" w:rsidRPr="007D4905" w:rsidRDefault="00293231" w:rsidP="00735AE6">
            <w:pPr>
              <w:spacing w:after="0" w:line="240" w:lineRule="auto"/>
              <w:jc w:val="center"/>
              <w:rPr>
                <w:rFonts w:eastAsia="Calibri" w:cstheme="minorHAnsi"/>
                <w:b/>
                <w:bCs/>
                <w:color w:val="FFFFFF" w:themeColor="background1"/>
                <w:sz w:val="20"/>
                <w:szCs w:val="20"/>
              </w:rPr>
            </w:pPr>
            <w:r w:rsidRPr="007D4905">
              <w:rPr>
                <w:rFonts w:eastAsia="Calibri" w:cstheme="minorHAnsi"/>
                <w:b/>
                <w:bCs/>
                <w:color w:val="FFFFFF" w:themeColor="background1"/>
                <w:sz w:val="20"/>
                <w:szCs w:val="20"/>
              </w:rPr>
              <w:t>Multiplier value of rescued food/</w:t>
            </w:r>
            <w:r>
              <w:rPr>
                <w:rFonts w:eastAsia="Calibri" w:cstheme="minorHAnsi"/>
                <w:b/>
                <w:bCs/>
                <w:color w:val="FFFFFF" w:themeColor="background1"/>
                <w:sz w:val="20"/>
                <w:szCs w:val="20"/>
              </w:rPr>
              <w:t xml:space="preserve"> </w:t>
            </w:r>
            <w:r w:rsidRPr="007D4905">
              <w:rPr>
                <w:rFonts w:eastAsia="Calibri" w:cstheme="minorHAnsi"/>
                <w:b/>
                <w:bCs/>
                <w:color w:val="FFFFFF" w:themeColor="background1"/>
                <w:sz w:val="20"/>
                <w:szCs w:val="20"/>
              </w:rPr>
              <w:t>rescue cost</w:t>
            </w:r>
          </w:p>
        </w:tc>
      </w:tr>
      <w:tr w:rsidR="00293231" w:rsidRPr="008F3D9C" w14:paraId="614D7E12" w14:textId="77777777" w:rsidTr="00735AE6">
        <w:trPr>
          <w:trHeight w:val="285"/>
        </w:trPr>
        <w:tc>
          <w:tcPr>
            <w:tcW w:w="2142" w:type="dxa"/>
            <w:tcBorders>
              <w:top w:val="single" w:sz="4" w:space="0" w:color="4F81BD"/>
              <w:left w:val="single" w:sz="4" w:space="0" w:color="4F81BD"/>
              <w:bottom w:val="nil"/>
              <w:right w:val="nil"/>
            </w:tcBorders>
          </w:tcPr>
          <w:p w14:paraId="14E0B5DD" w14:textId="73CD923C" w:rsidR="00293231" w:rsidRPr="007D4905" w:rsidRDefault="00293231" w:rsidP="00735AE6">
            <w:pPr>
              <w:spacing w:after="0" w:line="240" w:lineRule="auto"/>
              <w:rPr>
                <w:rFonts w:cstheme="minorHAnsi"/>
                <w:color w:val="000000"/>
                <w:sz w:val="20"/>
                <w:szCs w:val="20"/>
              </w:rPr>
            </w:pPr>
            <w:r w:rsidRPr="007D4905">
              <w:rPr>
                <w:rFonts w:eastAsia="Calibri" w:cstheme="minorHAnsi"/>
                <w:sz w:val="20"/>
                <w:szCs w:val="20"/>
              </w:rPr>
              <w:t xml:space="preserve">Benefit to </w:t>
            </w:r>
            <w:r w:rsidR="00735AE6" w:rsidRPr="007D4905">
              <w:rPr>
                <w:rFonts w:eastAsia="Calibri" w:cstheme="minorHAnsi"/>
                <w:sz w:val="20"/>
                <w:szCs w:val="20"/>
              </w:rPr>
              <w:t>national economy – excluding external factors</w:t>
            </w:r>
          </w:p>
        </w:tc>
        <w:tc>
          <w:tcPr>
            <w:tcW w:w="992" w:type="dxa"/>
            <w:tcBorders>
              <w:top w:val="single" w:sz="4" w:space="0" w:color="4F81BD"/>
              <w:left w:val="single" w:sz="4" w:space="0" w:color="4F81BD"/>
              <w:bottom w:val="nil"/>
              <w:right w:val="nil"/>
            </w:tcBorders>
            <w:shd w:val="clear" w:color="auto" w:fill="auto"/>
            <w:noWrap/>
            <w:vAlign w:val="center"/>
            <w:hideMark/>
          </w:tcPr>
          <w:p w14:paraId="0BAD8B59" w14:textId="77777777" w:rsidR="00293231" w:rsidRPr="007D4905" w:rsidRDefault="00293231" w:rsidP="00735AE6">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1559" w:type="dxa"/>
            <w:tcBorders>
              <w:top w:val="single" w:sz="4" w:space="0" w:color="4F81BD"/>
              <w:left w:val="nil"/>
              <w:bottom w:val="nil"/>
              <w:right w:val="nil"/>
            </w:tcBorders>
            <w:shd w:val="clear" w:color="auto" w:fill="auto"/>
            <w:noWrap/>
            <w:vAlign w:val="center"/>
          </w:tcPr>
          <w:p w14:paraId="1BC78151" w14:textId="77777777" w:rsidR="00293231" w:rsidRPr="007D4905" w:rsidRDefault="00293231" w:rsidP="00735AE6">
            <w:pPr>
              <w:spacing w:after="0" w:line="240" w:lineRule="auto"/>
              <w:jc w:val="center"/>
              <w:rPr>
                <w:rFonts w:eastAsia="Times New Roman" w:cstheme="minorHAnsi"/>
                <w:color w:val="000000"/>
                <w:sz w:val="20"/>
                <w:szCs w:val="20"/>
              </w:rPr>
            </w:pPr>
            <w:r w:rsidRPr="007D4905">
              <w:rPr>
                <w:rFonts w:eastAsia="Times New Roman" w:cstheme="minorHAnsi"/>
                <w:color w:val="000000"/>
                <w:sz w:val="20"/>
                <w:szCs w:val="20"/>
              </w:rPr>
              <w:t>Not included</w:t>
            </w:r>
          </w:p>
        </w:tc>
        <w:tc>
          <w:tcPr>
            <w:tcW w:w="1418" w:type="dxa"/>
            <w:tcBorders>
              <w:top w:val="single" w:sz="4" w:space="0" w:color="4F81BD"/>
              <w:left w:val="nil"/>
              <w:bottom w:val="nil"/>
              <w:right w:val="nil"/>
            </w:tcBorders>
            <w:shd w:val="clear" w:color="auto" w:fill="auto"/>
            <w:noWrap/>
            <w:vAlign w:val="center"/>
            <w:hideMark/>
          </w:tcPr>
          <w:p w14:paraId="4FB8CBCE" w14:textId="77777777" w:rsidR="00293231" w:rsidRPr="007D4905" w:rsidRDefault="00293231" w:rsidP="00735AE6">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850" w:type="dxa"/>
            <w:tcBorders>
              <w:top w:val="single" w:sz="4" w:space="0" w:color="4F81BD"/>
              <w:left w:val="nil"/>
              <w:bottom w:val="nil"/>
              <w:right w:val="nil"/>
            </w:tcBorders>
            <w:shd w:val="clear" w:color="auto" w:fill="auto"/>
            <w:noWrap/>
            <w:vAlign w:val="center"/>
            <w:hideMark/>
          </w:tcPr>
          <w:p w14:paraId="7F6F6D55" w14:textId="77777777" w:rsidR="00293231" w:rsidRPr="007D4905" w:rsidRDefault="00293231" w:rsidP="00735AE6">
            <w:pPr>
              <w:spacing w:after="0" w:line="240" w:lineRule="auto"/>
              <w:jc w:val="center"/>
              <w:rPr>
                <w:rFonts w:eastAsia="Times New Roman" w:cstheme="minorHAnsi"/>
                <w:color w:val="000000"/>
                <w:sz w:val="20"/>
                <w:szCs w:val="20"/>
              </w:rPr>
            </w:pPr>
            <w:r w:rsidRPr="007D4905">
              <w:rPr>
                <w:rFonts w:cstheme="minorHAnsi"/>
                <w:sz w:val="20"/>
                <w:szCs w:val="20"/>
              </w:rPr>
              <w:t xml:space="preserve">NIS </w:t>
            </w:r>
            <w:r w:rsidRPr="007D4905">
              <w:rPr>
                <w:rFonts w:eastAsia="Times New Roman" w:cstheme="minorHAnsi"/>
                <w:color w:val="000000"/>
                <w:sz w:val="20"/>
                <w:szCs w:val="20"/>
              </w:rPr>
              <w:t>1.4</w:t>
            </w:r>
          </w:p>
        </w:tc>
        <w:tc>
          <w:tcPr>
            <w:tcW w:w="1134" w:type="dxa"/>
            <w:tcBorders>
              <w:top w:val="single" w:sz="4" w:space="0" w:color="4F81BD"/>
              <w:left w:val="nil"/>
              <w:bottom w:val="nil"/>
              <w:right w:val="single" w:sz="2" w:space="0" w:color="4F81BD" w:themeColor="accent1"/>
            </w:tcBorders>
            <w:shd w:val="clear" w:color="auto" w:fill="auto"/>
            <w:noWrap/>
            <w:vAlign w:val="center"/>
            <w:hideMark/>
          </w:tcPr>
          <w:p w14:paraId="70C24B5D" w14:textId="77777777" w:rsidR="00293231" w:rsidRPr="007D4905" w:rsidRDefault="00293231" w:rsidP="00735AE6">
            <w:pPr>
              <w:spacing w:after="0" w:line="240" w:lineRule="auto"/>
              <w:jc w:val="center"/>
              <w:rPr>
                <w:rFonts w:eastAsia="Times New Roman" w:cstheme="minorHAnsi"/>
                <w:color w:val="000000"/>
                <w:sz w:val="20"/>
                <w:szCs w:val="20"/>
                <w:rtl/>
              </w:rPr>
            </w:pPr>
            <w:r w:rsidRPr="007D4905">
              <w:rPr>
                <w:rFonts w:cstheme="minorHAnsi"/>
                <w:sz w:val="20"/>
                <w:szCs w:val="20"/>
              </w:rPr>
              <w:t>NIS</w:t>
            </w:r>
            <w:r w:rsidRPr="007D4905">
              <w:rPr>
                <w:rFonts w:cstheme="minorHAnsi"/>
                <w:color w:val="000000"/>
                <w:sz w:val="20"/>
                <w:szCs w:val="20"/>
              </w:rPr>
              <w:t xml:space="preserve"> 3.7</w:t>
            </w:r>
          </w:p>
        </w:tc>
        <w:tc>
          <w:tcPr>
            <w:tcW w:w="1701" w:type="dxa"/>
            <w:tcBorders>
              <w:top w:val="single" w:sz="4" w:space="0" w:color="4F81BD"/>
              <w:left w:val="single" w:sz="2" w:space="0" w:color="4F81BD" w:themeColor="accent1"/>
              <w:bottom w:val="nil"/>
              <w:right w:val="single" w:sz="4" w:space="0" w:color="4F81BD"/>
            </w:tcBorders>
            <w:shd w:val="clear" w:color="auto" w:fill="auto"/>
            <w:noWrap/>
            <w:vAlign w:val="center"/>
            <w:hideMark/>
          </w:tcPr>
          <w:p w14:paraId="68D227CB" w14:textId="77777777" w:rsidR="00293231" w:rsidRPr="007D4905" w:rsidRDefault="00293231" w:rsidP="00735AE6">
            <w:pPr>
              <w:spacing w:after="0" w:line="240" w:lineRule="auto"/>
              <w:jc w:val="center"/>
              <w:rPr>
                <w:rFonts w:eastAsia="Times New Roman" w:cstheme="minorHAnsi"/>
                <w:b/>
                <w:bCs/>
                <w:color w:val="000000"/>
                <w:sz w:val="20"/>
                <w:szCs w:val="20"/>
              </w:rPr>
            </w:pPr>
            <w:r w:rsidRPr="007D4905">
              <w:rPr>
                <w:rFonts w:cstheme="minorHAnsi"/>
                <w:b/>
                <w:bCs/>
                <w:color w:val="000000"/>
                <w:sz w:val="20"/>
                <w:szCs w:val="20"/>
              </w:rPr>
              <w:t>3.6</w:t>
            </w:r>
          </w:p>
        </w:tc>
      </w:tr>
      <w:tr w:rsidR="00293231" w:rsidRPr="008F3D9C" w14:paraId="2E9AF947" w14:textId="77777777" w:rsidTr="00735AE6">
        <w:trPr>
          <w:trHeight w:val="285"/>
        </w:trPr>
        <w:tc>
          <w:tcPr>
            <w:tcW w:w="2142" w:type="dxa"/>
            <w:tcBorders>
              <w:top w:val="single" w:sz="4" w:space="0" w:color="4F81BD"/>
              <w:left w:val="single" w:sz="4" w:space="0" w:color="4F81BD"/>
              <w:bottom w:val="single" w:sz="4" w:space="0" w:color="4F81BD"/>
              <w:right w:val="nil"/>
            </w:tcBorders>
          </w:tcPr>
          <w:p w14:paraId="74EA64E2" w14:textId="0809061C" w:rsidR="00293231" w:rsidRPr="007D4905" w:rsidRDefault="00293231" w:rsidP="00735AE6">
            <w:pPr>
              <w:spacing w:after="0" w:line="240" w:lineRule="auto"/>
              <w:rPr>
                <w:rFonts w:cstheme="minorHAnsi"/>
                <w:color w:val="000000"/>
                <w:sz w:val="20"/>
                <w:szCs w:val="20"/>
              </w:rPr>
            </w:pPr>
            <w:r w:rsidRPr="007D4905">
              <w:rPr>
                <w:rFonts w:eastAsia="Calibri" w:cstheme="minorHAnsi"/>
                <w:sz w:val="20"/>
                <w:szCs w:val="20"/>
              </w:rPr>
              <w:t xml:space="preserve">Benefit to </w:t>
            </w:r>
            <w:r w:rsidR="00735AE6" w:rsidRPr="007D4905">
              <w:rPr>
                <w:rFonts w:eastAsia="Calibri" w:cstheme="minorHAnsi"/>
                <w:sz w:val="20"/>
                <w:szCs w:val="20"/>
              </w:rPr>
              <w:t>national economy – including external factors</w:t>
            </w:r>
          </w:p>
        </w:tc>
        <w:tc>
          <w:tcPr>
            <w:tcW w:w="992" w:type="dxa"/>
            <w:tcBorders>
              <w:top w:val="single" w:sz="4" w:space="0" w:color="4F81BD"/>
              <w:left w:val="single" w:sz="4" w:space="0" w:color="4F81BD"/>
              <w:bottom w:val="single" w:sz="4" w:space="0" w:color="4F81BD"/>
              <w:right w:val="nil"/>
            </w:tcBorders>
            <w:shd w:val="clear" w:color="auto" w:fill="auto"/>
            <w:noWrap/>
            <w:vAlign w:val="center"/>
            <w:hideMark/>
          </w:tcPr>
          <w:p w14:paraId="5F2D24F7" w14:textId="77777777" w:rsidR="00293231" w:rsidRPr="007D4905" w:rsidRDefault="00293231" w:rsidP="00735AE6">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5.1</w:t>
            </w:r>
            <w:r w:rsidRPr="007D4905">
              <w:rPr>
                <w:rFonts w:cstheme="minorHAnsi"/>
                <w:color w:val="000000"/>
                <w:sz w:val="20"/>
                <w:szCs w:val="20"/>
                <w:rtl/>
              </w:rPr>
              <w:t xml:space="preserve"> </w:t>
            </w:r>
          </w:p>
        </w:tc>
        <w:tc>
          <w:tcPr>
            <w:tcW w:w="1559" w:type="dxa"/>
            <w:tcBorders>
              <w:top w:val="single" w:sz="4" w:space="0" w:color="4F81BD"/>
              <w:left w:val="nil"/>
              <w:bottom w:val="single" w:sz="4" w:space="0" w:color="4F81BD"/>
              <w:right w:val="nil"/>
            </w:tcBorders>
            <w:shd w:val="clear" w:color="auto" w:fill="auto"/>
            <w:noWrap/>
            <w:vAlign w:val="center"/>
            <w:hideMark/>
          </w:tcPr>
          <w:p w14:paraId="61F0031A" w14:textId="77777777" w:rsidR="00293231" w:rsidRPr="007D4905" w:rsidRDefault="00293231" w:rsidP="00735AE6">
            <w:pPr>
              <w:spacing w:after="0" w:line="240" w:lineRule="auto"/>
              <w:jc w:val="center"/>
              <w:rPr>
                <w:rFonts w:eastAsia="Times New Roman" w:cstheme="minorHAnsi"/>
                <w:color w:val="000000"/>
                <w:sz w:val="20"/>
                <w:szCs w:val="20"/>
                <w:rtl/>
              </w:rPr>
            </w:pPr>
            <w:r w:rsidRPr="007D4905">
              <w:rPr>
                <w:rFonts w:cstheme="minorHAnsi"/>
                <w:color w:val="000000"/>
                <w:sz w:val="20"/>
                <w:szCs w:val="20"/>
              </w:rPr>
              <w:t>NIS 5</w:t>
            </w:r>
            <w:r w:rsidRPr="007D4905">
              <w:rPr>
                <w:rFonts w:cstheme="minorHAnsi"/>
                <w:color w:val="000000"/>
                <w:sz w:val="20"/>
                <w:szCs w:val="20"/>
                <w:rtl/>
              </w:rPr>
              <w:t xml:space="preserve"> </w:t>
            </w:r>
          </w:p>
        </w:tc>
        <w:tc>
          <w:tcPr>
            <w:tcW w:w="1418" w:type="dxa"/>
            <w:tcBorders>
              <w:top w:val="single" w:sz="4" w:space="0" w:color="4F81BD"/>
              <w:left w:val="nil"/>
              <w:bottom w:val="single" w:sz="4" w:space="0" w:color="4F81BD"/>
              <w:right w:val="nil"/>
            </w:tcBorders>
            <w:shd w:val="clear" w:color="auto" w:fill="auto"/>
            <w:noWrap/>
            <w:vAlign w:val="center"/>
            <w:hideMark/>
          </w:tcPr>
          <w:p w14:paraId="4FB3E173" w14:textId="77777777" w:rsidR="00293231" w:rsidRPr="007D4905" w:rsidRDefault="00293231" w:rsidP="00735AE6">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cstheme="minorHAnsi"/>
                <w:color w:val="000000"/>
                <w:sz w:val="20"/>
                <w:szCs w:val="20"/>
              </w:rPr>
              <w:t xml:space="preserve"> 10.1 </w:t>
            </w:r>
          </w:p>
        </w:tc>
        <w:tc>
          <w:tcPr>
            <w:tcW w:w="850" w:type="dxa"/>
            <w:tcBorders>
              <w:top w:val="single" w:sz="4" w:space="0" w:color="4F81BD"/>
              <w:left w:val="nil"/>
              <w:bottom w:val="single" w:sz="4" w:space="0" w:color="4F81BD"/>
              <w:right w:val="nil"/>
            </w:tcBorders>
            <w:shd w:val="clear" w:color="auto" w:fill="auto"/>
            <w:noWrap/>
            <w:vAlign w:val="center"/>
            <w:hideMark/>
          </w:tcPr>
          <w:p w14:paraId="42DCCCEC" w14:textId="77777777" w:rsidR="00293231" w:rsidRPr="007D4905" w:rsidRDefault="00293231" w:rsidP="00735AE6">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eastAsia="Times New Roman" w:cstheme="minorHAnsi"/>
                <w:color w:val="000000"/>
                <w:sz w:val="20"/>
                <w:szCs w:val="20"/>
              </w:rPr>
              <w:t xml:space="preserve"> 1.4</w:t>
            </w:r>
          </w:p>
        </w:tc>
        <w:tc>
          <w:tcPr>
            <w:tcW w:w="1134" w:type="dxa"/>
            <w:tcBorders>
              <w:top w:val="single" w:sz="4" w:space="0" w:color="4F81BD"/>
              <w:left w:val="nil"/>
              <w:bottom w:val="single" w:sz="4" w:space="0" w:color="4F81BD"/>
              <w:right w:val="single" w:sz="2" w:space="0" w:color="4F81BD" w:themeColor="accent1"/>
            </w:tcBorders>
            <w:shd w:val="clear" w:color="auto" w:fill="auto"/>
            <w:noWrap/>
            <w:vAlign w:val="center"/>
            <w:hideMark/>
          </w:tcPr>
          <w:p w14:paraId="2BAE52E7" w14:textId="77777777" w:rsidR="00293231" w:rsidRPr="007D4905" w:rsidRDefault="00293231" w:rsidP="00735AE6">
            <w:pPr>
              <w:spacing w:after="0" w:line="240" w:lineRule="auto"/>
              <w:jc w:val="center"/>
              <w:rPr>
                <w:rFonts w:eastAsia="Times New Roman" w:cstheme="minorHAnsi"/>
                <w:color w:val="000000"/>
                <w:sz w:val="20"/>
                <w:szCs w:val="20"/>
              </w:rPr>
            </w:pPr>
            <w:r w:rsidRPr="007D4905">
              <w:rPr>
                <w:rFonts w:cstheme="minorHAnsi"/>
                <w:sz w:val="20"/>
                <w:szCs w:val="20"/>
              </w:rPr>
              <w:t>NIS</w:t>
            </w:r>
            <w:r w:rsidRPr="007D4905">
              <w:rPr>
                <w:rFonts w:cstheme="minorHAnsi"/>
                <w:sz w:val="20"/>
                <w:szCs w:val="20"/>
                <w:rtl/>
              </w:rPr>
              <w:t xml:space="preserve"> </w:t>
            </w:r>
            <w:r w:rsidRPr="007D4905">
              <w:rPr>
                <w:rFonts w:cstheme="minorHAnsi"/>
                <w:color w:val="000000"/>
                <w:sz w:val="20"/>
                <w:szCs w:val="20"/>
              </w:rPr>
              <w:t>8.7</w:t>
            </w:r>
            <w:r w:rsidRPr="007D4905">
              <w:rPr>
                <w:rFonts w:eastAsia="Times New Roman" w:cstheme="minorHAnsi"/>
                <w:color w:val="000000"/>
                <w:sz w:val="20"/>
                <w:szCs w:val="20"/>
                <w:rtl/>
              </w:rPr>
              <w:t xml:space="preserve"> </w:t>
            </w:r>
          </w:p>
        </w:tc>
        <w:tc>
          <w:tcPr>
            <w:tcW w:w="1701" w:type="dxa"/>
            <w:tcBorders>
              <w:top w:val="single" w:sz="4" w:space="0" w:color="4F81BD"/>
              <w:left w:val="single" w:sz="2" w:space="0" w:color="4F81BD" w:themeColor="accent1"/>
              <w:bottom w:val="single" w:sz="4" w:space="0" w:color="4F81BD"/>
              <w:right w:val="single" w:sz="4" w:space="0" w:color="4F81BD"/>
            </w:tcBorders>
            <w:shd w:val="clear" w:color="auto" w:fill="auto"/>
            <w:noWrap/>
            <w:vAlign w:val="center"/>
            <w:hideMark/>
          </w:tcPr>
          <w:p w14:paraId="59AF213D" w14:textId="77777777" w:rsidR="00293231" w:rsidRPr="007D4905" w:rsidRDefault="00293231" w:rsidP="00735AE6">
            <w:pPr>
              <w:spacing w:after="0" w:line="240" w:lineRule="auto"/>
              <w:jc w:val="center"/>
              <w:rPr>
                <w:rFonts w:eastAsia="Times New Roman" w:cstheme="minorHAnsi"/>
                <w:b/>
                <w:bCs/>
                <w:color w:val="000000"/>
                <w:sz w:val="20"/>
                <w:szCs w:val="20"/>
              </w:rPr>
            </w:pPr>
            <w:r w:rsidRPr="007D4905">
              <w:rPr>
                <w:rFonts w:cstheme="minorHAnsi"/>
                <w:b/>
                <w:bCs/>
                <w:color w:val="000000"/>
                <w:sz w:val="20"/>
                <w:szCs w:val="20"/>
              </w:rPr>
              <w:t>7.2</w:t>
            </w:r>
          </w:p>
        </w:tc>
      </w:tr>
    </w:tbl>
    <w:p w14:paraId="4F64E036" w14:textId="659D8A79" w:rsidR="00293231" w:rsidRDefault="00293231" w:rsidP="007C70BA">
      <w:pPr>
        <w:pStyle w:val="Graphnote"/>
        <w:rPr>
          <w:color w:val="FF0000"/>
          <w:sz w:val="28"/>
          <w:szCs w:val="28"/>
        </w:rPr>
      </w:pPr>
      <w:r>
        <w:t xml:space="preserve">* </w:t>
      </w:r>
      <w:r w:rsidRPr="0017340B">
        <w:t>Market price of alternative product with similar nutritional value.</w:t>
      </w:r>
      <w:r w:rsidR="00735AE6">
        <w:t xml:space="preserve"> </w:t>
      </w:r>
      <w:r w:rsidR="007C70BA">
        <w:t xml:space="preserve"> </w:t>
      </w:r>
      <w:r w:rsidRPr="008F3D9C">
        <w:t>Source: BDO estimates</w:t>
      </w:r>
      <w:r>
        <w:br w:type="page"/>
      </w:r>
    </w:p>
    <w:p w14:paraId="23A1EC8B" w14:textId="77777777" w:rsidR="00053DA1" w:rsidRDefault="00053DA1" w:rsidP="00053DA1">
      <w:pPr>
        <w:pStyle w:val="Heading1"/>
        <w:tabs>
          <w:tab w:val="clear" w:pos="567"/>
          <w:tab w:val="left" w:pos="426"/>
        </w:tabs>
        <w:ind w:left="360" w:hanging="360"/>
      </w:pPr>
      <w:bookmarkStart w:id="11" w:name="_Toc505547255"/>
      <w:r w:rsidRPr="002A0903">
        <w:lastRenderedPageBreak/>
        <w:t xml:space="preserve">Food Waste in the </w:t>
      </w:r>
      <w:r>
        <w:t xml:space="preserve">Household </w:t>
      </w:r>
      <w:r>
        <w:rPr>
          <w:rFonts w:hint="cs"/>
        </w:rPr>
        <w:t>C</w:t>
      </w:r>
      <w:r>
        <w:t xml:space="preserve">onsumption </w:t>
      </w:r>
      <w:commentRangeStart w:id="12"/>
      <w:r>
        <w:t>Sector</w:t>
      </w:r>
      <w:commentRangeEnd w:id="12"/>
      <w:r>
        <w:rPr>
          <w:rStyle w:val="CommentReference"/>
          <w:rFonts w:eastAsiaTheme="minorHAnsi" w:cstheme="minorBidi"/>
          <w:b w:val="0"/>
          <w:bCs w:val="0"/>
          <w:iCs w:val="0"/>
          <w:color w:val="auto"/>
          <w:spacing w:val="0"/>
          <w:kern w:val="0"/>
        </w:rPr>
        <w:commentReference w:id="12"/>
      </w:r>
      <w:r>
        <w:t xml:space="preserve">  </w:t>
      </w:r>
    </w:p>
    <w:p w14:paraId="15FC46F9" w14:textId="77777777" w:rsidR="00053DA1" w:rsidRPr="0049442E" w:rsidRDefault="00053DA1" w:rsidP="00053DA1">
      <w:pPr>
        <w:pStyle w:val="BodyText"/>
        <w:rPr>
          <w:rStyle w:val="IntenseEmphasis"/>
        </w:rPr>
      </w:pPr>
      <w:r w:rsidRPr="00423DE0">
        <w:t>Bold chapter head</w:t>
      </w:r>
      <w:r>
        <w:t>ing</w:t>
      </w:r>
      <w:r w:rsidRPr="00A75172">
        <w:t xml:space="preserve">: </w:t>
      </w:r>
      <w:r>
        <w:rPr>
          <w:rStyle w:val="IntenseEmphasis"/>
        </w:rPr>
        <w:t>$2.2</w:t>
      </w:r>
      <w:r w:rsidRPr="0049442E">
        <w:rPr>
          <w:rStyle w:val="IntenseEmphasis"/>
        </w:rPr>
        <w:t xml:space="preserve"> billion worth of food </w:t>
      </w:r>
      <w:r>
        <w:rPr>
          <w:rStyle w:val="IntenseEmphasis"/>
        </w:rPr>
        <w:t xml:space="preserve">was </w:t>
      </w:r>
      <w:r w:rsidRPr="0049442E">
        <w:rPr>
          <w:rStyle w:val="IntenseEmphasis"/>
        </w:rPr>
        <w:t>waste</w:t>
      </w:r>
      <w:r>
        <w:rPr>
          <w:rStyle w:val="IntenseEmphasis"/>
        </w:rPr>
        <w:t>d by</w:t>
      </w:r>
      <w:r w:rsidRPr="0049442E">
        <w:rPr>
          <w:rStyle w:val="IntenseEmphasis"/>
        </w:rPr>
        <w:t xml:space="preserve"> </w:t>
      </w:r>
      <w:r>
        <w:rPr>
          <w:rStyle w:val="IntenseEmphasis"/>
        </w:rPr>
        <w:t xml:space="preserve">Israeli </w:t>
      </w:r>
      <w:r w:rsidRPr="0049442E">
        <w:rPr>
          <w:rStyle w:val="IntenseEmphasis"/>
        </w:rPr>
        <w:t xml:space="preserve">households </w:t>
      </w:r>
      <w:r>
        <w:rPr>
          <w:rStyle w:val="IntenseEmphasis"/>
        </w:rPr>
        <w:t xml:space="preserve">in 2018. </w:t>
      </w:r>
      <w:r w:rsidRPr="0049442E">
        <w:rPr>
          <w:rStyle w:val="IntenseEmphasis"/>
        </w:rPr>
        <w:t>E</w:t>
      </w:r>
      <w:r>
        <w:rPr>
          <w:rStyle w:val="IntenseEmphasis"/>
        </w:rPr>
        <w:t>ach</w:t>
      </w:r>
      <w:r w:rsidRPr="0049442E">
        <w:rPr>
          <w:rStyle w:val="IntenseEmphasis"/>
        </w:rPr>
        <w:t xml:space="preserve"> </w:t>
      </w:r>
      <w:r>
        <w:rPr>
          <w:rStyle w:val="IntenseEmphasis"/>
        </w:rPr>
        <w:t>household</w:t>
      </w:r>
      <w:r w:rsidRPr="0049442E">
        <w:rPr>
          <w:rStyle w:val="IntenseEmphasis"/>
        </w:rPr>
        <w:t xml:space="preserve"> discar</w:t>
      </w:r>
      <w:r>
        <w:rPr>
          <w:rStyle w:val="IntenseEmphasis"/>
        </w:rPr>
        <w:t>ds</w:t>
      </w:r>
      <w:r w:rsidRPr="0049442E">
        <w:rPr>
          <w:rStyle w:val="IntenseEmphasis"/>
        </w:rPr>
        <w:t xml:space="preserve"> food worth </w:t>
      </w:r>
      <w:r>
        <w:rPr>
          <w:rStyle w:val="IntenseEmphasis"/>
        </w:rPr>
        <w:t>$</w:t>
      </w:r>
      <w:r w:rsidRPr="00C24157">
        <w:rPr>
          <w:rStyle w:val="IntenseEmphasis"/>
        </w:rPr>
        <w:t>890</w:t>
      </w:r>
      <w:r>
        <w:rPr>
          <w:rStyle w:val="IntenseEmphasis"/>
        </w:rPr>
        <w:t xml:space="preserve"> per year on average</w:t>
      </w:r>
      <w:r w:rsidRPr="0049442E">
        <w:rPr>
          <w:rStyle w:val="IntenseEmphasis"/>
        </w:rPr>
        <w:t>.</w:t>
      </w:r>
    </w:p>
    <w:p w14:paraId="0A3B73F6" w14:textId="77777777" w:rsidR="00053DA1" w:rsidRDefault="00053DA1" w:rsidP="00053DA1">
      <w:pPr>
        <w:pStyle w:val="BodyText"/>
      </w:pPr>
      <w:r>
        <w:t xml:space="preserve">In Israel, expenditures on household </w:t>
      </w:r>
      <w:r w:rsidRPr="00832A7D">
        <w:t xml:space="preserve">food </w:t>
      </w:r>
      <w:r>
        <w:t>consumption is</w:t>
      </w:r>
      <w:r w:rsidRPr="00832A7D">
        <w:t xml:space="preserve"> a</w:t>
      </w:r>
      <w:r>
        <w:t xml:space="preserve"> central component of each household’s monthly expenses, and averages approximately $</w:t>
      </w:r>
      <w:r w:rsidRPr="00C24157">
        <w:t>555</w:t>
      </w:r>
      <w:r>
        <w:t xml:space="preserve"> per month per household (not including alcohol, soft drinks, and meals eaten outside of the home), which is </w:t>
      </w:r>
      <w:r w:rsidRPr="00832A7D">
        <w:t xml:space="preserve">about </w:t>
      </w:r>
      <w:r>
        <w:t xml:space="preserve">17% of a household’s </w:t>
      </w:r>
      <w:r w:rsidRPr="00CA2C7A">
        <w:t>total expenditures.</w:t>
      </w:r>
      <w:r>
        <w:t xml:space="preserve"> </w:t>
      </w:r>
    </w:p>
    <w:p w14:paraId="25DC4C02" w14:textId="77777777" w:rsidR="00053DA1" w:rsidRDefault="00053DA1" w:rsidP="00053DA1">
      <w:pPr>
        <w:pStyle w:val="BodyText"/>
      </w:pPr>
      <w:r>
        <w:t xml:space="preserve">Findings of the </w:t>
      </w:r>
      <w:r w:rsidRPr="00832A7D">
        <w:t>2</w:t>
      </w:r>
      <w:r>
        <w:t>018 National Food Waste and Rescue Report</w:t>
      </w:r>
      <w:r w:rsidRPr="00832A7D">
        <w:t xml:space="preserve"> </w:t>
      </w:r>
      <w:r>
        <w:t>indicate that Israeli households wasted approximately 1,940 million pounds of food,</w:t>
      </w:r>
      <w:r>
        <w:rPr>
          <w:rStyle w:val="FootnoteReference"/>
        </w:rPr>
        <w:footnoteReference w:id="5"/>
      </w:r>
      <w:r>
        <w:t xml:space="preserve"> worth approximately $2.2 billion. This waste accounts for approximately 13% of the average household expenditure on food. This means that Israeli households discard </w:t>
      </w:r>
      <w:r w:rsidRPr="00061E76">
        <w:t xml:space="preserve">food valued at </w:t>
      </w:r>
      <w:r>
        <w:t>$</w:t>
      </w:r>
      <w:r w:rsidRPr="00C24157">
        <w:t>890</w:t>
      </w:r>
      <w:r w:rsidRPr="00061E76">
        <w:t xml:space="preserve"> each year</w:t>
      </w:r>
      <w:r>
        <w:t xml:space="preserve"> (equivalent to one-and-a-half months of a household’s food consumption).</w:t>
      </w:r>
      <w:r>
        <w:rPr>
          <w:cs/>
        </w:rPr>
        <w:t>‎</w:t>
      </w:r>
    </w:p>
    <w:p w14:paraId="0F5C9F94" w14:textId="77777777" w:rsidR="00053DA1" w:rsidRPr="00832A7D" w:rsidRDefault="00053DA1" w:rsidP="00053DA1">
      <w:pPr>
        <w:pStyle w:val="BodyText"/>
      </w:pPr>
      <w:r>
        <w:t>On a monthly basis</w:t>
      </w:r>
      <w:r w:rsidRPr="00832A7D">
        <w:t xml:space="preserve">, </w:t>
      </w:r>
      <w:r>
        <w:t xml:space="preserve">a household’s financial loss from </w:t>
      </w:r>
      <w:r w:rsidRPr="00832A7D">
        <w:t xml:space="preserve">food </w:t>
      </w:r>
      <w:r>
        <w:t xml:space="preserve">waste </w:t>
      </w:r>
      <w:r w:rsidRPr="00832A7D">
        <w:t xml:space="preserve">is </w:t>
      </w:r>
      <w:r>
        <w:t>$75. Of the loss, fruits and vegetables account for $33, grains and legumes $25, and meat, eggs and fish $12 and milk and dairy $5</w:t>
      </w:r>
    </w:p>
    <w:p w14:paraId="6F62A2BD" w14:textId="77777777" w:rsidR="00053DA1" w:rsidRDefault="00053DA1" w:rsidP="00053DA1">
      <w:pPr>
        <w:pStyle w:val="Tabletitle"/>
      </w:pPr>
      <w:r w:rsidRPr="00C60BD6">
        <w:t>Household</w:t>
      </w:r>
      <w:r w:rsidRPr="00832A7D">
        <w:t xml:space="preserve"> </w:t>
      </w:r>
      <w:r>
        <w:t>Food Waste, in Dollar per month</w:t>
      </w:r>
    </w:p>
    <w:tbl>
      <w:tblPr>
        <w:tblStyle w:val="GridTable5Dark-Accent21"/>
        <w:tblW w:w="7319" w:type="dxa"/>
        <w:jc w:val="center"/>
        <w:tblLook w:val="04A0" w:firstRow="1" w:lastRow="0" w:firstColumn="1" w:lastColumn="0" w:noHBand="0" w:noVBand="1"/>
      </w:tblPr>
      <w:tblGrid>
        <w:gridCol w:w="2507"/>
        <w:gridCol w:w="1559"/>
        <w:gridCol w:w="1560"/>
        <w:gridCol w:w="1693"/>
      </w:tblGrid>
      <w:tr w:rsidR="00053DA1" w:rsidRPr="00221961" w14:paraId="2B0AF0AE" w14:textId="77777777" w:rsidTr="00AB7392">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507" w:type="dxa"/>
            <w:noWrap/>
            <w:hideMark/>
          </w:tcPr>
          <w:p w14:paraId="360A32C8" w14:textId="77777777" w:rsidR="00053DA1" w:rsidRPr="00221961" w:rsidRDefault="00053DA1" w:rsidP="00AB7392">
            <w:pPr>
              <w:spacing w:line="360" w:lineRule="auto"/>
              <w:rPr>
                <w:rFonts w:ascii="Arial" w:eastAsia="Times New Roman" w:hAnsi="Arial" w:cs="Arial"/>
                <w:color w:val="FFFFFF" w:themeColor="background1"/>
              </w:rPr>
            </w:pPr>
            <w:r w:rsidRPr="00221961">
              <w:rPr>
                <w:rFonts w:ascii="Arial" w:eastAsia="Times New Roman" w:hAnsi="Arial" w:cs="Arial"/>
                <w:color w:val="FFFFFF" w:themeColor="background1"/>
              </w:rPr>
              <w:t> </w:t>
            </w:r>
          </w:p>
        </w:tc>
        <w:tc>
          <w:tcPr>
            <w:tcW w:w="1559" w:type="dxa"/>
            <w:vAlign w:val="center"/>
          </w:tcPr>
          <w:p w14:paraId="404B01E4" w14:textId="77777777" w:rsidR="00053DA1" w:rsidRPr="00423DE0" w:rsidRDefault="00053DA1" w:rsidP="00AB7392">
            <w:pPr>
              <w:pStyle w:val="Tableheader"/>
              <w:cnfStyle w:val="100000000000" w:firstRow="1" w:lastRow="0" w:firstColumn="0" w:lastColumn="0" w:oddVBand="0" w:evenVBand="0" w:oddHBand="0" w:evenHBand="0" w:firstRowFirstColumn="0" w:firstRowLastColumn="0" w:lastRowFirstColumn="0" w:lastRowLastColumn="0"/>
              <w:rPr>
                <w:b/>
                <w:bCs/>
              </w:rPr>
            </w:pPr>
            <w:r w:rsidRPr="00423DE0">
              <w:rPr>
                <w:b/>
                <w:bCs/>
              </w:rPr>
              <w:t>Monthly expenditure for food (</w:t>
            </w:r>
            <w:r>
              <w:rPr>
                <w:rFonts w:hint="cs"/>
                <w:b/>
                <w:bCs/>
                <w:rtl/>
              </w:rPr>
              <w:t>$</w:t>
            </w:r>
            <w:r w:rsidRPr="00423DE0">
              <w:rPr>
                <w:b/>
                <w:bCs/>
              </w:rPr>
              <w:t>)</w:t>
            </w:r>
          </w:p>
        </w:tc>
        <w:tc>
          <w:tcPr>
            <w:tcW w:w="1560" w:type="dxa"/>
            <w:vAlign w:val="center"/>
          </w:tcPr>
          <w:p w14:paraId="18945C80" w14:textId="77777777" w:rsidR="00053DA1" w:rsidRPr="00423DE0" w:rsidRDefault="00053DA1" w:rsidP="00AB7392">
            <w:pPr>
              <w:pStyle w:val="Tableheader"/>
              <w:cnfStyle w:val="100000000000" w:firstRow="1" w:lastRow="0" w:firstColumn="0" w:lastColumn="0" w:oddVBand="0" w:evenVBand="0" w:oddHBand="0" w:evenHBand="0" w:firstRowFirstColumn="0" w:firstRowLastColumn="0" w:lastRowFirstColumn="0" w:lastRowLastColumn="0"/>
              <w:rPr>
                <w:b/>
                <w:bCs/>
                <w:rtl/>
              </w:rPr>
            </w:pPr>
            <w:r w:rsidRPr="00423DE0">
              <w:rPr>
                <w:b/>
                <w:bCs/>
              </w:rPr>
              <w:t>Monthly food waste (</w:t>
            </w:r>
            <w:r>
              <w:rPr>
                <w:rFonts w:hint="cs"/>
                <w:b/>
                <w:bCs/>
                <w:rtl/>
              </w:rPr>
              <w:t>$</w:t>
            </w:r>
            <w:r w:rsidRPr="00423DE0">
              <w:rPr>
                <w:b/>
                <w:bCs/>
              </w:rPr>
              <w:t>)</w:t>
            </w:r>
          </w:p>
        </w:tc>
        <w:tc>
          <w:tcPr>
            <w:tcW w:w="1693" w:type="dxa"/>
            <w:vAlign w:val="center"/>
          </w:tcPr>
          <w:p w14:paraId="0EAD57B8" w14:textId="77777777" w:rsidR="00053DA1" w:rsidRPr="00423DE0" w:rsidRDefault="00053DA1" w:rsidP="00AB7392">
            <w:pPr>
              <w:pStyle w:val="Tableheader"/>
              <w:cnfStyle w:val="100000000000" w:firstRow="1" w:lastRow="0" w:firstColumn="0" w:lastColumn="0" w:oddVBand="0" w:evenVBand="0" w:oddHBand="0" w:evenHBand="0" w:firstRowFirstColumn="0" w:firstRowLastColumn="0" w:lastRowFirstColumn="0" w:lastRowLastColumn="0"/>
              <w:rPr>
                <w:b/>
                <w:bCs/>
                <w:rtl/>
              </w:rPr>
            </w:pPr>
            <w:r w:rsidRPr="00423DE0">
              <w:rPr>
                <w:b/>
                <w:bCs/>
              </w:rPr>
              <w:t>% Waste</w:t>
            </w:r>
          </w:p>
        </w:tc>
      </w:tr>
      <w:tr w:rsidR="00053DA1" w:rsidRPr="00221961" w14:paraId="258659BE" w14:textId="77777777" w:rsidTr="00AB7392">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5DC01DF3" w14:textId="77777777" w:rsidR="00053DA1" w:rsidRPr="00423DE0" w:rsidRDefault="00053DA1" w:rsidP="00AB7392">
            <w:pPr>
              <w:pStyle w:val="tabletext"/>
              <w:rPr>
                <w:rtl/>
              </w:rPr>
            </w:pPr>
            <w:r w:rsidRPr="00423DE0">
              <w:t>Fruit &amp; vegetables</w:t>
            </w:r>
          </w:p>
        </w:tc>
        <w:tc>
          <w:tcPr>
            <w:tcW w:w="1559" w:type="dxa"/>
            <w:noWrap/>
            <w:vAlign w:val="center"/>
          </w:tcPr>
          <w:p w14:paraId="2E49CBD8"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Pr>
                <w:rFonts w:ascii="Arial" w:hAnsi="Arial" w:cs="Arial" w:hint="cs"/>
              </w:rPr>
              <w:t>14</w:t>
            </w:r>
            <w:r>
              <w:rPr>
                <w:rFonts w:ascii="Arial" w:hAnsi="Arial" w:cs="Arial"/>
              </w:rPr>
              <w:t>0</w:t>
            </w:r>
          </w:p>
        </w:tc>
        <w:tc>
          <w:tcPr>
            <w:tcW w:w="1560" w:type="dxa"/>
            <w:vAlign w:val="center"/>
          </w:tcPr>
          <w:p w14:paraId="601DEBC4"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Pr>
                <w:rFonts w:ascii="Arial" w:hAnsi="Arial" w:cs="Arial" w:hint="cs"/>
              </w:rPr>
              <w:t>3</w:t>
            </w:r>
            <w:r>
              <w:rPr>
                <w:rFonts w:ascii="Arial" w:hAnsi="Arial" w:cs="Arial"/>
              </w:rPr>
              <w:t>3</w:t>
            </w:r>
          </w:p>
        </w:tc>
        <w:tc>
          <w:tcPr>
            <w:tcW w:w="1693" w:type="dxa"/>
          </w:tcPr>
          <w:p w14:paraId="76EAB749"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423DE0">
              <w:rPr>
                <w:cs/>
              </w:rPr>
              <w:t>‎</w:t>
            </w:r>
            <w:r w:rsidRPr="00423DE0">
              <w:t>23%</w:t>
            </w:r>
            <w:r w:rsidRPr="00423DE0">
              <w:rPr>
                <w:cs/>
              </w:rPr>
              <w:t>‎</w:t>
            </w:r>
          </w:p>
        </w:tc>
      </w:tr>
      <w:tr w:rsidR="00053DA1" w:rsidRPr="00221961" w14:paraId="2969A919" w14:textId="77777777" w:rsidTr="00AB7392">
        <w:trPr>
          <w:trHeight w:val="221"/>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2E2D88FE" w14:textId="77777777" w:rsidR="00053DA1" w:rsidRPr="00423DE0" w:rsidRDefault="00053DA1" w:rsidP="00AB7392">
            <w:pPr>
              <w:pStyle w:val="tabletext"/>
            </w:pPr>
            <w:r w:rsidRPr="00423DE0">
              <w:t>Grains &amp; legumes</w:t>
            </w:r>
          </w:p>
        </w:tc>
        <w:tc>
          <w:tcPr>
            <w:tcW w:w="1559" w:type="dxa"/>
            <w:noWrap/>
            <w:vAlign w:val="center"/>
          </w:tcPr>
          <w:p w14:paraId="23ED503E" w14:textId="77777777" w:rsidR="00053DA1" w:rsidRPr="00423DE0"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Pr>
                <w:rFonts w:ascii="Arial" w:hAnsi="Arial" w:cs="Arial" w:hint="cs"/>
              </w:rPr>
              <w:t>1</w:t>
            </w:r>
            <w:r>
              <w:rPr>
                <w:rFonts w:ascii="Arial" w:hAnsi="Arial" w:cs="Arial"/>
              </w:rPr>
              <w:t>70</w:t>
            </w:r>
          </w:p>
        </w:tc>
        <w:tc>
          <w:tcPr>
            <w:tcW w:w="1560" w:type="dxa"/>
            <w:vAlign w:val="center"/>
          </w:tcPr>
          <w:p w14:paraId="622C1770" w14:textId="77777777" w:rsidR="00053DA1" w:rsidRPr="00423DE0"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Pr>
                <w:rFonts w:ascii="Arial" w:hAnsi="Arial" w:cs="Arial" w:hint="cs"/>
              </w:rPr>
              <w:t>2</w:t>
            </w:r>
            <w:r>
              <w:rPr>
                <w:rFonts w:ascii="Arial" w:hAnsi="Arial" w:cs="Arial"/>
              </w:rPr>
              <w:t>5</w:t>
            </w:r>
          </w:p>
        </w:tc>
        <w:tc>
          <w:tcPr>
            <w:tcW w:w="1693" w:type="dxa"/>
          </w:tcPr>
          <w:p w14:paraId="508C1760" w14:textId="77777777" w:rsidR="00053DA1" w:rsidRPr="00423DE0"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sidRPr="00423DE0">
              <w:rPr>
                <w:cs/>
              </w:rPr>
              <w:t>‎</w:t>
            </w:r>
            <w:r w:rsidRPr="00423DE0">
              <w:t>14%</w:t>
            </w:r>
            <w:r w:rsidRPr="00423DE0">
              <w:rPr>
                <w:cs/>
              </w:rPr>
              <w:t>‎</w:t>
            </w:r>
          </w:p>
        </w:tc>
      </w:tr>
      <w:tr w:rsidR="00053DA1" w:rsidRPr="00221961" w14:paraId="719686B8" w14:textId="77777777" w:rsidTr="00AB7392">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5588FB26" w14:textId="77777777" w:rsidR="00053DA1" w:rsidRPr="00423DE0" w:rsidRDefault="00053DA1" w:rsidP="00AB7392">
            <w:pPr>
              <w:pStyle w:val="tabletext"/>
            </w:pPr>
            <w:r w:rsidRPr="00423DE0">
              <w:t>Meat, eggs, &amp; fish</w:t>
            </w:r>
          </w:p>
        </w:tc>
        <w:tc>
          <w:tcPr>
            <w:tcW w:w="1559" w:type="dxa"/>
            <w:noWrap/>
            <w:vAlign w:val="center"/>
          </w:tcPr>
          <w:p w14:paraId="0317BD32"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Pr>
                <w:rFonts w:ascii="Arial" w:hAnsi="Arial" w:cs="Arial" w:hint="cs"/>
              </w:rPr>
              <w:t>1</w:t>
            </w:r>
            <w:r>
              <w:rPr>
                <w:rFonts w:ascii="Arial" w:hAnsi="Arial" w:cs="Arial"/>
              </w:rPr>
              <w:t>50</w:t>
            </w:r>
          </w:p>
        </w:tc>
        <w:tc>
          <w:tcPr>
            <w:tcW w:w="1560" w:type="dxa"/>
            <w:vAlign w:val="center"/>
          </w:tcPr>
          <w:p w14:paraId="40C1D937"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Pr>
                <w:rFonts w:ascii="Arial" w:hAnsi="Arial" w:cs="Arial"/>
              </w:rPr>
              <w:t>12</w:t>
            </w:r>
          </w:p>
        </w:tc>
        <w:tc>
          <w:tcPr>
            <w:tcW w:w="1693" w:type="dxa"/>
          </w:tcPr>
          <w:p w14:paraId="67B6F9B5"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423DE0">
              <w:rPr>
                <w:cs/>
              </w:rPr>
              <w:t>‎</w:t>
            </w:r>
            <w:r w:rsidRPr="00423DE0">
              <w:t>8%</w:t>
            </w:r>
            <w:r w:rsidRPr="00423DE0">
              <w:rPr>
                <w:cs/>
              </w:rPr>
              <w:t>‎</w:t>
            </w:r>
          </w:p>
        </w:tc>
      </w:tr>
      <w:tr w:rsidR="00053DA1" w:rsidRPr="00221961" w14:paraId="52C81F99" w14:textId="77777777" w:rsidTr="00AB7392">
        <w:trPr>
          <w:trHeight w:val="232"/>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36BB2540" w14:textId="77777777" w:rsidR="00053DA1" w:rsidRPr="00423DE0" w:rsidRDefault="00053DA1" w:rsidP="00AB7392">
            <w:pPr>
              <w:pStyle w:val="tabletext"/>
            </w:pPr>
            <w:r w:rsidRPr="00423DE0">
              <w:t>Milk &amp; dairy products</w:t>
            </w:r>
          </w:p>
        </w:tc>
        <w:tc>
          <w:tcPr>
            <w:tcW w:w="1559" w:type="dxa"/>
            <w:noWrap/>
            <w:vAlign w:val="center"/>
          </w:tcPr>
          <w:p w14:paraId="4490CB03" w14:textId="77777777" w:rsidR="00053DA1" w:rsidRPr="00423DE0"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Pr>
                <w:rFonts w:ascii="Arial" w:hAnsi="Arial" w:cs="Arial"/>
              </w:rPr>
              <w:t>90</w:t>
            </w:r>
          </w:p>
        </w:tc>
        <w:tc>
          <w:tcPr>
            <w:tcW w:w="1560" w:type="dxa"/>
            <w:vAlign w:val="center"/>
          </w:tcPr>
          <w:p w14:paraId="01C905DD" w14:textId="77777777" w:rsidR="00053DA1" w:rsidRPr="00423DE0"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Pr>
                <w:rFonts w:ascii="Arial" w:hAnsi="Arial" w:cs="Arial"/>
              </w:rPr>
              <w:t>5</w:t>
            </w:r>
          </w:p>
        </w:tc>
        <w:tc>
          <w:tcPr>
            <w:tcW w:w="1693" w:type="dxa"/>
          </w:tcPr>
          <w:p w14:paraId="17F2A59C" w14:textId="77777777" w:rsidR="00053DA1" w:rsidRPr="00423DE0"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sidRPr="00423DE0">
              <w:rPr>
                <w:cs/>
              </w:rPr>
              <w:t>‎</w:t>
            </w:r>
            <w:r w:rsidRPr="00423DE0">
              <w:t>7%</w:t>
            </w:r>
            <w:r w:rsidRPr="00423DE0">
              <w:rPr>
                <w:cs/>
              </w:rPr>
              <w:t>‎</w:t>
            </w:r>
          </w:p>
        </w:tc>
      </w:tr>
      <w:tr w:rsidR="00053DA1" w:rsidRPr="00221961" w14:paraId="52092970" w14:textId="77777777" w:rsidTr="00AB7392">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2507" w:type="dxa"/>
            <w:noWrap/>
            <w:hideMark/>
          </w:tcPr>
          <w:p w14:paraId="62711DD3" w14:textId="77777777" w:rsidR="00053DA1" w:rsidRPr="00423DE0" w:rsidRDefault="00053DA1" w:rsidP="00AB7392">
            <w:pPr>
              <w:pStyle w:val="tabletext"/>
            </w:pPr>
            <w:r w:rsidRPr="00423DE0">
              <w:t>Total</w:t>
            </w:r>
          </w:p>
        </w:tc>
        <w:tc>
          <w:tcPr>
            <w:tcW w:w="1559" w:type="dxa"/>
            <w:noWrap/>
            <w:vAlign w:val="center"/>
          </w:tcPr>
          <w:p w14:paraId="2892216A"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rPr>
                <w:b/>
                <w:bCs/>
              </w:rPr>
            </w:pPr>
            <w:r>
              <w:rPr>
                <w:rFonts w:ascii="Arial" w:hAnsi="Arial" w:cs="Arial" w:hint="cs"/>
                <w:b/>
                <w:bCs/>
              </w:rPr>
              <w:t>550</w:t>
            </w:r>
          </w:p>
        </w:tc>
        <w:tc>
          <w:tcPr>
            <w:tcW w:w="1560" w:type="dxa"/>
            <w:vAlign w:val="center"/>
          </w:tcPr>
          <w:p w14:paraId="0918995B"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rPr>
                <w:b/>
                <w:bCs/>
              </w:rPr>
            </w:pPr>
            <w:r>
              <w:rPr>
                <w:rFonts w:ascii="Arial" w:hAnsi="Arial" w:cs="Arial" w:hint="cs"/>
              </w:rPr>
              <w:t>7</w:t>
            </w:r>
            <w:r>
              <w:rPr>
                <w:rFonts w:ascii="Arial" w:hAnsi="Arial" w:cs="Arial"/>
              </w:rPr>
              <w:t>5</w:t>
            </w:r>
          </w:p>
        </w:tc>
        <w:tc>
          <w:tcPr>
            <w:tcW w:w="1693" w:type="dxa"/>
          </w:tcPr>
          <w:p w14:paraId="0FBFF43B" w14:textId="77777777" w:rsidR="00053DA1" w:rsidRPr="00423DE0" w:rsidRDefault="00053DA1" w:rsidP="00AB7392">
            <w:pPr>
              <w:pStyle w:val="Tablenumbers"/>
              <w:cnfStyle w:val="000000100000" w:firstRow="0" w:lastRow="0" w:firstColumn="0" w:lastColumn="0" w:oddVBand="0" w:evenVBand="0" w:oddHBand="1" w:evenHBand="0" w:firstRowFirstColumn="0" w:firstRowLastColumn="0" w:lastRowFirstColumn="0" w:lastRowLastColumn="0"/>
              <w:rPr>
                <w:b/>
                <w:bCs/>
              </w:rPr>
            </w:pPr>
            <w:r w:rsidRPr="00423DE0">
              <w:rPr>
                <w:b/>
                <w:bCs/>
                <w:cs/>
              </w:rPr>
              <w:t>‎</w:t>
            </w:r>
            <w:r w:rsidRPr="00423DE0">
              <w:rPr>
                <w:b/>
                <w:bCs/>
              </w:rPr>
              <w:t>13%</w:t>
            </w:r>
            <w:r w:rsidRPr="00423DE0">
              <w:rPr>
                <w:b/>
                <w:bCs/>
                <w:cs/>
              </w:rPr>
              <w:t>‎</w:t>
            </w:r>
          </w:p>
        </w:tc>
      </w:tr>
    </w:tbl>
    <w:p w14:paraId="44879BC2" w14:textId="77777777" w:rsidR="00053DA1" w:rsidRDefault="00053DA1" w:rsidP="00053DA1">
      <w:pPr>
        <w:pStyle w:val="Graphtitle"/>
        <w:jc w:val="left"/>
      </w:pPr>
    </w:p>
    <w:p w14:paraId="216F34CD" w14:textId="77777777" w:rsidR="00053DA1" w:rsidRDefault="00053DA1" w:rsidP="00053DA1">
      <w:pPr>
        <w:pStyle w:val="BodyText"/>
      </w:pPr>
      <w:r>
        <w:br w:type="page"/>
      </w:r>
    </w:p>
    <w:p w14:paraId="42494F59" w14:textId="77777777" w:rsidR="00053DA1" w:rsidRDefault="00053DA1" w:rsidP="00053DA1">
      <w:pPr>
        <w:pStyle w:val="Tabletitle"/>
      </w:pPr>
      <w:r>
        <w:lastRenderedPageBreak/>
        <w:t>Household</w:t>
      </w:r>
      <w:r w:rsidRPr="00832A7D">
        <w:t xml:space="preserve"> </w:t>
      </w:r>
      <w:r>
        <w:t xml:space="preserve">Food Waste in Israel per year </w:t>
      </w:r>
    </w:p>
    <w:tbl>
      <w:tblPr>
        <w:tblStyle w:val="GridTable5Dark-Accent21"/>
        <w:tblW w:w="7319" w:type="dxa"/>
        <w:jc w:val="center"/>
        <w:tblLook w:val="04A0" w:firstRow="1" w:lastRow="0" w:firstColumn="1" w:lastColumn="0" w:noHBand="0" w:noVBand="1"/>
      </w:tblPr>
      <w:tblGrid>
        <w:gridCol w:w="2507"/>
        <w:gridCol w:w="1559"/>
        <w:gridCol w:w="1560"/>
        <w:gridCol w:w="1693"/>
      </w:tblGrid>
      <w:tr w:rsidR="00053DA1" w:rsidRPr="00221961" w14:paraId="58E955B7" w14:textId="77777777" w:rsidTr="00AB7392">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2507" w:type="dxa"/>
            <w:noWrap/>
            <w:hideMark/>
          </w:tcPr>
          <w:p w14:paraId="1175EFFD" w14:textId="77777777" w:rsidR="00053DA1" w:rsidRPr="00221961" w:rsidRDefault="00053DA1" w:rsidP="00AB7392">
            <w:pPr>
              <w:pStyle w:val="BodyText"/>
            </w:pPr>
            <w:r w:rsidRPr="00221961">
              <w:t> </w:t>
            </w:r>
          </w:p>
        </w:tc>
        <w:tc>
          <w:tcPr>
            <w:tcW w:w="1559" w:type="dxa"/>
            <w:vAlign w:val="center"/>
          </w:tcPr>
          <w:p w14:paraId="74846A8A" w14:textId="77777777" w:rsidR="00053DA1" w:rsidRPr="00C60BD6" w:rsidRDefault="00053DA1" w:rsidP="00AB7392">
            <w:pPr>
              <w:pStyle w:val="Tableheader"/>
              <w:cnfStyle w:val="100000000000" w:firstRow="1" w:lastRow="0" w:firstColumn="0" w:lastColumn="0" w:oddVBand="0" w:evenVBand="0" w:oddHBand="0" w:evenHBand="0" w:firstRowFirstColumn="0" w:firstRowLastColumn="0" w:lastRowFirstColumn="0" w:lastRowLastColumn="0"/>
              <w:rPr>
                <w:b/>
                <w:bCs/>
              </w:rPr>
            </w:pPr>
            <w:r w:rsidRPr="00C60BD6">
              <w:rPr>
                <w:b/>
                <w:bCs/>
              </w:rPr>
              <w:t xml:space="preserve">Waste </w:t>
            </w:r>
            <w:r w:rsidRPr="00C60BD6">
              <w:rPr>
                <w:b/>
                <w:bCs/>
              </w:rPr>
              <w:br/>
              <w:t>(million</w:t>
            </w:r>
            <w:r>
              <w:rPr>
                <w:b/>
                <w:bCs/>
              </w:rPr>
              <w:t xml:space="preserve"> $</w:t>
            </w:r>
            <w:r w:rsidRPr="00C60BD6">
              <w:rPr>
                <w:b/>
                <w:bCs/>
              </w:rPr>
              <w:t>)</w:t>
            </w:r>
          </w:p>
        </w:tc>
        <w:tc>
          <w:tcPr>
            <w:tcW w:w="1560" w:type="dxa"/>
            <w:vAlign w:val="center"/>
          </w:tcPr>
          <w:p w14:paraId="16F821BA" w14:textId="77777777" w:rsidR="00053DA1" w:rsidRPr="00C60BD6" w:rsidRDefault="00053DA1" w:rsidP="00AB7392">
            <w:pPr>
              <w:pStyle w:val="Tableheader"/>
              <w:cnfStyle w:val="100000000000" w:firstRow="1" w:lastRow="0" w:firstColumn="0" w:lastColumn="0" w:oddVBand="0" w:evenVBand="0" w:oddHBand="0" w:evenHBand="0" w:firstRowFirstColumn="0" w:firstRowLastColumn="0" w:lastRowFirstColumn="0" w:lastRowLastColumn="0"/>
              <w:rPr>
                <w:b/>
                <w:bCs/>
                <w:rtl/>
              </w:rPr>
            </w:pPr>
            <w:r w:rsidRPr="00C60BD6">
              <w:rPr>
                <w:b/>
                <w:bCs/>
              </w:rPr>
              <w:t>% Waste</w:t>
            </w:r>
          </w:p>
        </w:tc>
        <w:tc>
          <w:tcPr>
            <w:tcW w:w="1693" w:type="dxa"/>
            <w:vAlign w:val="center"/>
          </w:tcPr>
          <w:p w14:paraId="48329E22" w14:textId="77777777" w:rsidR="00053DA1" w:rsidRPr="00C60BD6" w:rsidRDefault="00053DA1" w:rsidP="00AB7392">
            <w:pPr>
              <w:pStyle w:val="Tableheader"/>
              <w:cnfStyle w:val="100000000000" w:firstRow="1" w:lastRow="0" w:firstColumn="0" w:lastColumn="0" w:oddVBand="0" w:evenVBand="0" w:oddHBand="0" w:evenHBand="0" w:firstRowFirstColumn="0" w:firstRowLastColumn="0" w:lastRowFirstColumn="0" w:lastRowLastColumn="0"/>
              <w:rPr>
                <w:b/>
                <w:bCs/>
                <w:rtl/>
              </w:rPr>
            </w:pPr>
            <w:r w:rsidRPr="00C60BD6">
              <w:rPr>
                <w:b/>
                <w:bCs/>
              </w:rPr>
              <w:t xml:space="preserve">Waste </w:t>
            </w:r>
            <w:r w:rsidRPr="00C60BD6">
              <w:rPr>
                <w:b/>
                <w:bCs/>
              </w:rPr>
              <w:br/>
              <w:t>(</w:t>
            </w:r>
            <w:r w:rsidRPr="009C423F">
              <w:rPr>
                <w:b/>
                <w:bCs/>
              </w:rPr>
              <w:t>Million pound</w:t>
            </w:r>
            <w:r>
              <w:rPr>
                <w:b/>
                <w:bCs/>
              </w:rPr>
              <w:t>s</w:t>
            </w:r>
            <w:r w:rsidRPr="00C60BD6">
              <w:rPr>
                <w:b/>
                <w:bCs/>
              </w:rPr>
              <w:t>)</w:t>
            </w:r>
          </w:p>
        </w:tc>
      </w:tr>
      <w:tr w:rsidR="00053DA1" w:rsidRPr="00221961" w14:paraId="1748D667" w14:textId="77777777" w:rsidTr="00AB7392">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0A8A45BE" w14:textId="77777777" w:rsidR="00053DA1" w:rsidRPr="00C60BD6" w:rsidRDefault="00053DA1" w:rsidP="00AB7392">
            <w:pPr>
              <w:pStyle w:val="tabletext"/>
              <w:rPr>
                <w:rtl/>
              </w:rPr>
            </w:pPr>
            <w:r w:rsidRPr="00C60BD6">
              <w:t>Fruit &amp; vegetables</w:t>
            </w:r>
          </w:p>
        </w:tc>
        <w:tc>
          <w:tcPr>
            <w:tcW w:w="1559" w:type="dxa"/>
            <w:noWrap/>
          </w:tcPr>
          <w:p w14:paraId="75A251F4"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1,000</w:t>
            </w:r>
          </w:p>
        </w:tc>
        <w:tc>
          <w:tcPr>
            <w:tcW w:w="1560" w:type="dxa"/>
          </w:tcPr>
          <w:p w14:paraId="6F2EE5DD"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23%</w:t>
            </w:r>
            <w:r w:rsidRPr="000A2AA7">
              <w:rPr>
                <w:rFonts w:asciiTheme="minorBidi" w:hAnsiTheme="minorBidi" w:hint="eastAsia"/>
                <w:cs/>
              </w:rPr>
              <w:t>‎</w:t>
            </w:r>
          </w:p>
        </w:tc>
        <w:tc>
          <w:tcPr>
            <w:tcW w:w="1693" w:type="dxa"/>
          </w:tcPr>
          <w:p w14:paraId="75354299"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1,310</w:t>
            </w:r>
          </w:p>
        </w:tc>
      </w:tr>
      <w:tr w:rsidR="00053DA1" w:rsidRPr="00221961" w14:paraId="73A45B29" w14:textId="77777777" w:rsidTr="00AB7392">
        <w:trPr>
          <w:trHeight w:val="221"/>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6055F9C5" w14:textId="77777777" w:rsidR="00053DA1" w:rsidRPr="00C60BD6" w:rsidRDefault="00053DA1" w:rsidP="00AB7392">
            <w:pPr>
              <w:pStyle w:val="tabletext"/>
            </w:pPr>
            <w:r w:rsidRPr="00C60BD6">
              <w:t>Grains &amp; legumes</w:t>
            </w:r>
          </w:p>
        </w:tc>
        <w:tc>
          <w:tcPr>
            <w:tcW w:w="1559" w:type="dxa"/>
            <w:noWrap/>
          </w:tcPr>
          <w:p w14:paraId="5D5BD7ED" w14:textId="77777777" w:rsidR="00053DA1" w:rsidRPr="000A2AA7" w:rsidRDefault="00053DA1" w:rsidP="00AB7392">
            <w:pPr>
              <w:pStyle w:val="Tablenumbers"/>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695</w:t>
            </w:r>
            <w:r w:rsidRPr="000A2AA7">
              <w:rPr>
                <w:rFonts w:asciiTheme="minorBidi" w:hAnsiTheme="minorBidi" w:hint="eastAsia"/>
                <w:cs/>
              </w:rPr>
              <w:t>‎</w:t>
            </w:r>
          </w:p>
        </w:tc>
        <w:tc>
          <w:tcPr>
            <w:tcW w:w="1560" w:type="dxa"/>
          </w:tcPr>
          <w:p w14:paraId="27778560" w14:textId="77777777" w:rsidR="00053DA1" w:rsidRPr="000A2AA7" w:rsidRDefault="00053DA1" w:rsidP="00AB7392">
            <w:pPr>
              <w:pStyle w:val="Tablenumbers"/>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14%</w:t>
            </w:r>
            <w:r w:rsidRPr="000A2AA7">
              <w:rPr>
                <w:rFonts w:asciiTheme="minorBidi" w:hAnsiTheme="minorBidi" w:hint="eastAsia"/>
                <w:cs/>
              </w:rPr>
              <w:t>‎</w:t>
            </w:r>
          </w:p>
        </w:tc>
        <w:tc>
          <w:tcPr>
            <w:tcW w:w="1693" w:type="dxa"/>
          </w:tcPr>
          <w:p w14:paraId="2F448B65" w14:textId="77777777" w:rsidR="00053DA1" w:rsidRPr="000A2AA7" w:rsidRDefault="00053DA1" w:rsidP="00AB7392">
            <w:pPr>
              <w:pStyle w:val="Tablenumbers"/>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310</w:t>
            </w:r>
          </w:p>
        </w:tc>
      </w:tr>
      <w:tr w:rsidR="00053DA1" w:rsidRPr="00221961" w14:paraId="13446309" w14:textId="77777777" w:rsidTr="00AB7392">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034A19F3" w14:textId="77777777" w:rsidR="00053DA1" w:rsidRPr="00C60BD6" w:rsidRDefault="00053DA1" w:rsidP="00AB7392">
            <w:pPr>
              <w:pStyle w:val="tabletext"/>
            </w:pPr>
            <w:r w:rsidRPr="00C60BD6">
              <w:t>Meat, eggs, &amp; fish</w:t>
            </w:r>
          </w:p>
        </w:tc>
        <w:tc>
          <w:tcPr>
            <w:tcW w:w="1559" w:type="dxa"/>
            <w:noWrap/>
          </w:tcPr>
          <w:p w14:paraId="4CD2420A"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rPr>
              <w:t>335</w:t>
            </w:r>
          </w:p>
        </w:tc>
        <w:tc>
          <w:tcPr>
            <w:tcW w:w="1560" w:type="dxa"/>
          </w:tcPr>
          <w:p w14:paraId="393C4D68"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8%</w:t>
            </w:r>
            <w:r w:rsidRPr="000A2AA7">
              <w:rPr>
                <w:rFonts w:asciiTheme="minorBidi" w:hAnsiTheme="minorBidi" w:hint="eastAsia"/>
                <w:cs/>
              </w:rPr>
              <w:t>‎</w:t>
            </w:r>
          </w:p>
        </w:tc>
        <w:tc>
          <w:tcPr>
            <w:tcW w:w="1693" w:type="dxa"/>
          </w:tcPr>
          <w:p w14:paraId="59725C1B"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100</w:t>
            </w:r>
          </w:p>
        </w:tc>
      </w:tr>
      <w:tr w:rsidR="00053DA1" w:rsidRPr="00221961" w14:paraId="211215FB" w14:textId="77777777" w:rsidTr="00AB7392">
        <w:trPr>
          <w:trHeight w:val="232"/>
          <w:jc w:val="center"/>
        </w:trPr>
        <w:tc>
          <w:tcPr>
            <w:cnfStyle w:val="001000000000" w:firstRow="0" w:lastRow="0" w:firstColumn="1" w:lastColumn="0" w:oddVBand="0" w:evenVBand="0" w:oddHBand="0" w:evenHBand="0" w:firstRowFirstColumn="0" w:firstRowLastColumn="0" w:lastRowFirstColumn="0" w:lastRowLastColumn="0"/>
            <w:tcW w:w="2507" w:type="dxa"/>
            <w:hideMark/>
          </w:tcPr>
          <w:p w14:paraId="419800F9" w14:textId="77777777" w:rsidR="00053DA1" w:rsidRPr="00C60BD6" w:rsidRDefault="00053DA1" w:rsidP="00AB7392">
            <w:pPr>
              <w:pStyle w:val="tabletext"/>
            </w:pPr>
            <w:r w:rsidRPr="00C60BD6">
              <w:t>Milk &amp; dairy products</w:t>
            </w:r>
          </w:p>
        </w:tc>
        <w:tc>
          <w:tcPr>
            <w:tcW w:w="1559" w:type="dxa"/>
            <w:noWrap/>
          </w:tcPr>
          <w:p w14:paraId="7F6A2CD7" w14:textId="77777777" w:rsidR="00053DA1" w:rsidRPr="000A2AA7" w:rsidRDefault="00053DA1" w:rsidP="00AB7392">
            <w:pPr>
              <w:pStyle w:val="Tablenumbers"/>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170</w:t>
            </w:r>
          </w:p>
        </w:tc>
        <w:tc>
          <w:tcPr>
            <w:tcW w:w="1560" w:type="dxa"/>
          </w:tcPr>
          <w:p w14:paraId="274732E3" w14:textId="77777777" w:rsidR="00053DA1" w:rsidRPr="000A2AA7" w:rsidRDefault="00053DA1" w:rsidP="00AB7392">
            <w:pPr>
              <w:pStyle w:val="Tablenumbers"/>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7%</w:t>
            </w:r>
            <w:r w:rsidRPr="000A2AA7">
              <w:rPr>
                <w:rFonts w:asciiTheme="minorBidi" w:hAnsiTheme="minorBidi" w:hint="eastAsia"/>
                <w:cs/>
              </w:rPr>
              <w:t>‎</w:t>
            </w:r>
          </w:p>
        </w:tc>
        <w:tc>
          <w:tcPr>
            <w:tcW w:w="1693" w:type="dxa"/>
          </w:tcPr>
          <w:p w14:paraId="7177EED3" w14:textId="77777777" w:rsidR="00053DA1" w:rsidRPr="000A2AA7" w:rsidRDefault="00053DA1" w:rsidP="00AB7392">
            <w:pPr>
              <w:pStyle w:val="Tablenumbers"/>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220</w:t>
            </w:r>
          </w:p>
        </w:tc>
      </w:tr>
      <w:tr w:rsidR="00053DA1" w:rsidRPr="00221961" w14:paraId="558691F4" w14:textId="77777777" w:rsidTr="00AB7392">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2507" w:type="dxa"/>
            <w:noWrap/>
            <w:hideMark/>
          </w:tcPr>
          <w:p w14:paraId="4DE20571" w14:textId="77777777" w:rsidR="00053DA1" w:rsidRPr="00C60BD6" w:rsidRDefault="00053DA1" w:rsidP="00AB7392">
            <w:pPr>
              <w:pStyle w:val="tabletext"/>
            </w:pPr>
            <w:r w:rsidRPr="00C60BD6">
              <w:t>Total</w:t>
            </w:r>
          </w:p>
        </w:tc>
        <w:tc>
          <w:tcPr>
            <w:tcW w:w="1559" w:type="dxa"/>
            <w:noWrap/>
          </w:tcPr>
          <w:p w14:paraId="72F78FEC"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2,200</w:t>
            </w:r>
            <w:r w:rsidRPr="000A2AA7">
              <w:rPr>
                <w:rFonts w:asciiTheme="minorBidi" w:hAnsiTheme="minorBidi" w:hint="eastAsia"/>
                <w:cs/>
              </w:rPr>
              <w:t>‎</w:t>
            </w:r>
          </w:p>
        </w:tc>
        <w:tc>
          <w:tcPr>
            <w:tcW w:w="1560" w:type="dxa"/>
          </w:tcPr>
          <w:p w14:paraId="1E5942B4"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13%</w:t>
            </w:r>
            <w:r w:rsidRPr="000A2AA7">
              <w:rPr>
                <w:rFonts w:asciiTheme="minorBidi" w:hAnsiTheme="minorBidi" w:hint="eastAsia"/>
                <w:cs/>
              </w:rPr>
              <w:t>‎</w:t>
            </w:r>
          </w:p>
        </w:tc>
        <w:tc>
          <w:tcPr>
            <w:tcW w:w="1693" w:type="dxa"/>
          </w:tcPr>
          <w:p w14:paraId="6160B181" w14:textId="77777777" w:rsidR="00053DA1" w:rsidRPr="000A2AA7" w:rsidRDefault="00053DA1" w:rsidP="00AB7392">
            <w:pPr>
              <w:pStyle w:val="Tablenumbers"/>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0A2AA7">
              <w:rPr>
                <w:rFonts w:asciiTheme="minorBidi" w:hAnsiTheme="minorBidi" w:hint="eastAsia"/>
                <w:cs/>
              </w:rPr>
              <w:t>‎</w:t>
            </w:r>
            <w:r w:rsidRPr="000A2AA7">
              <w:rPr>
                <w:rFonts w:asciiTheme="minorBidi" w:hAnsiTheme="minorBidi"/>
              </w:rPr>
              <w:t>1,940</w:t>
            </w:r>
          </w:p>
        </w:tc>
      </w:tr>
    </w:tbl>
    <w:p w14:paraId="269A33A8" w14:textId="77777777" w:rsidR="00053DA1" w:rsidRDefault="00053DA1" w:rsidP="00053DA1">
      <w:pPr>
        <w:pStyle w:val="Graphtitle"/>
      </w:pPr>
    </w:p>
    <w:p w14:paraId="04BC6ABC" w14:textId="77777777" w:rsidR="00053DA1" w:rsidRPr="00AB63FF" w:rsidRDefault="00053DA1" w:rsidP="00053DA1">
      <w:pPr>
        <w:pStyle w:val="Graphtitle"/>
        <w:rPr>
          <w:b w:val="0"/>
          <w:bCs w:val="0"/>
        </w:rPr>
      </w:pPr>
      <w:r>
        <w:t xml:space="preserve">Rate of Household Food Waste </w:t>
      </w:r>
      <w:r>
        <w:rPr>
          <w:b w:val="0"/>
          <w:bCs w:val="0"/>
        </w:rPr>
        <w:t>for select products</w:t>
      </w:r>
    </w:p>
    <w:p w14:paraId="4B575256" w14:textId="77777777" w:rsidR="00053DA1" w:rsidRDefault="00053DA1" w:rsidP="00053DA1">
      <w:pPr>
        <w:pStyle w:val="BodyText"/>
        <w:jc w:val="center"/>
      </w:pPr>
      <w:r w:rsidRPr="004107BA">
        <w:rPr>
          <w:noProof/>
        </w:rPr>
        <w:drawing>
          <wp:inline distT="0" distB="0" distL="0" distR="0" wp14:anchorId="78521D4F" wp14:editId="013B4C20">
            <wp:extent cx="4550055" cy="2457907"/>
            <wp:effectExtent l="0" t="0" r="3175" b="0"/>
            <wp:docPr id="287442" name="תרשים 2874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FE953D" w14:textId="77777777" w:rsidR="00053DA1" w:rsidRDefault="00053DA1" w:rsidP="00053DA1">
      <w:pPr>
        <w:pStyle w:val="graphnote0"/>
      </w:pPr>
      <w:r w:rsidRPr="000C5671">
        <w:rPr>
          <w:b/>
          <w:bCs/>
        </w:rPr>
        <w:t>Column captions</w:t>
      </w:r>
      <w:r w:rsidRPr="004E2385">
        <w:t>:</w:t>
      </w:r>
      <w:r>
        <w:t xml:space="preserve"> Vegetables, Fruit, Cooked food, Bread &amp; baked goods, Packaged salads, Meat &amp; poultry, Grains, Milk &amp; dairy, Legumes, Fish &amp; seafood, Eggs</w:t>
      </w:r>
    </w:p>
    <w:p w14:paraId="14B049DC" w14:textId="77777777" w:rsidR="00053DA1" w:rsidRDefault="00053DA1" w:rsidP="00053DA1">
      <w:pPr>
        <w:pStyle w:val="graphnote0"/>
      </w:pPr>
      <w:r>
        <w:t>Source: BDO estimates</w:t>
      </w:r>
    </w:p>
    <w:p w14:paraId="4A0E4AC6" w14:textId="77777777" w:rsidR="00053DA1" w:rsidRDefault="00053DA1" w:rsidP="00053DA1"/>
    <w:p w14:paraId="21575D35" w14:textId="77777777" w:rsidR="00053DA1" w:rsidRPr="000C5671" w:rsidRDefault="00053DA1" w:rsidP="00053DA1">
      <w:pPr>
        <w:pStyle w:val="BodyText"/>
        <w:rPr>
          <w:rStyle w:val="IntenseEmphasis"/>
        </w:rPr>
      </w:pPr>
      <w:r w:rsidRPr="00C60BD6">
        <w:t xml:space="preserve">Bold header: </w:t>
      </w:r>
      <w:r w:rsidRPr="00D6238C">
        <w:rPr>
          <w:rStyle w:val="IntenseEmphasis"/>
        </w:rPr>
        <w:t>Primary cause</w:t>
      </w:r>
      <w:r w:rsidRPr="00C05CE4">
        <w:rPr>
          <w:rStyle w:val="IntenseEmphasis"/>
        </w:rPr>
        <w:t>s</w:t>
      </w:r>
      <w:r w:rsidRPr="00D6238C">
        <w:rPr>
          <w:rStyle w:val="IntenseEmphasis"/>
        </w:rPr>
        <w:t xml:space="preserve"> of household food waste –</w:t>
      </w:r>
      <w:r w:rsidRPr="00C05CE4">
        <w:rPr>
          <w:rStyle w:val="IntenseEmphasis"/>
        </w:rPr>
        <w:t xml:space="preserve"> </w:t>
      </w:r>
      <w:r w:rsidRPr="00D6238C">
        <w:rPr>
          <w:rStyle w:val="IntenseEmphasis"/>
        </w:rPr>
        <w:t xml:space="preserve">Surplus preparation and </w:t>
      </w:r>
      <w:r w:rsidRPr="00C05CE4">
        <w:rPr>
          <w:rStyle w:val="IntenseEmphasis"/>
        </w:rPr>
        <w:t xml:space="preserve">expired </w:t>
      </w:r>
      <w:r>
        <w:rPr>
          <w:rStyle w:val="IntenseEmphasis"/>
        </w:rPr>
        <w:t xml:space="preserve">or damaged </w:t>
      </w:r>
      <w:r w:rsidRPr="00C05CE4">
        <w:rPr>
          <w:rStyle w:val="IntenseEmphasis"/>
        </w:rPr>
        <w:t>food</w:t>
      </w:r>
      <w:r w:rsidRPr="00190A17">
        <w:t xml:space="preserve"> </w:t>
      </w:r>
    </w:p>
    <w:p w14:paraId="2F9F7479" w14:textId="77777777" w:rsidR="00053DA1" w:rsidRDefault="00053DA1" w:rsidP="00053DA1">
      <w:pPr>
        <w:pStyle w:val="BodyText"/>
      </w:pPr>
      <w:r>
        <w:t xml:space="preserve">Waste during household food consumption is caused by a combination of consumer habits and a culture of abundance. It is also influenced by how food is stored and kept fresh. The value of the food wasted by households is </w:t>
      </w:r>
      <w:r w:rsidRPr="00264C39">
        <w:t xml:space="preserve">approximately </w:t>
      </w:r>
      <w:r>
        <w:t>$2.2</w:t>
      </w:r>
      <w:r w:rsidRPr="00264C39">
        <w:t xml:space="preserve"> billion</w:t>
      </w:r>
      <w:r>
        <w:t xml:space="preserve"> per year.</w:t>
      </w:r>
    </w:p>
    <w:p w14:paraId="134424F8" w14:textId="77777777" w:rsidR="00053DA1" w:rsidRDefault="00053DA1" w:rsidP="00053DA1">
      <w:pPr>
        <w:pStyle w:val="BodyText"/>
      </w:pPr>
      <w:r>
        <w:t>According to findings of the consumer survey,</w:t>
      </w:r>
      <w:r>
        <w:rPr>
          <w:rStyle w:val="FootnoteReference"/>
        </w:rPr>
        <w:footnoteReference w:id="6"/>
      </w:r>
      <w:r>
        <w:t xml:space="preserve"> three main factors causing food waste in household consumption are:</w:t>
      </w:r>
    </w:p>
    <w:p w14:paraId="384AFDDC" w14:textId="77777777" w:rsidR="00053DA1" w:rsidRPr="00947DAC" w:rsidRDefault="00053DA1" w:rsidP="00053DA1">
      <w:pPr>
        <w:pStyle w:val="BodyText2"/>
      </w:pPr>
    </w:p>
    <w:p w14:paraId="2FF9AA81" w14:textId="77777777" w:rsidR="00053DA1" w:rsidRPr="00947DAC" w:rsidRDefault="00053DA1" w:rsidP="00053DA1">
      <w:pPr>
        <w:pStyle w:val="BodyText2"/>
      </w:pPr>
      <w:r>
        <w:rPr>
          <w:b/>
          <w:bCs/>
        </w:rPr>
        <w:t>Surplus preparation of food</w:t>
      </w:r>
      <w:r>
        <w:t xml:space="preserve">– </w:t>
      </w:r>
      <w:r w:rsidRPr="00947DAC">
        <w:t xml:space="preserve">Preparing </w:t>
      </w:r>
      <w:r>
        <w:t>more than is needed</w:t>
      </w:r>
      <w:r w:rsidRPr="00947DAC">
        <w:t xml:space="preserve">, </w:t>
      </w:r>
      <w:r>
        <w:t xml:space="preserve">usually excess food that is cooked or prepared unnecessarily and not consumed. </w:t>
      </w:r>
    </w:p>
    <w:p w14:paraId="180ED894" w14:textId="77777777" w:rsidR="00053DA1" w:rsidRPr="00EE5C78" w:rsidRDefault="00053DA1" w:rsidP="00053DA1">
      <w:pPr>
        <w:pStyle w:val="BodyText2"/>
      </w:pPr>
      <w:r w:rsidRPr="00EE5C78">
        <w:rPr>
          <w:b/>
          <w:bCs/>
        </w:rPr>
        <w:t>Expired</w:t>
      </w:r>
      <w:r>
        <w:rPr>
          <w:b/>
          <w:bCs/>
        </w:rPr>
        <w:t xml:space="preserve"> </w:t>
      </w:r>
      <w:r w:rsidRPr="00EE5C78">
        <w:rPr>
          <w:b/>
          <w:bCs/>
        </w:rPr>
        <w:t>food</w:t>
      </w:r>
      <w:r>
        <w:t xml:space="preserve"> – Food that reaches its expiry date before being fully consumed. </w:t>
      </w:r>
    </w:p>
    <w:p w14:paraId="0C9764B5" w14:textId="77777777" w:rsidR="00053DA1" w:rsidRDefault="00053DA1" w:rsidP="00053DA1">
      <w:pPr>
        <w:pStyle w:val="BodyText2"/>
      </w:pPr>
      <w:r w:rsidRPr="00DF6BDF">
        <w:rPr>
          <w:b/>
          <w:bCs/>
        </w:rPr>
        <w:t>Damaged</w:t>
      </w:r>
      <w:r>
        <w:rPr>
          <w:b/>
          <w:bCs/>
        </w:rPr>
        <w:t xml:space="preserve"> or spilled </w:t>
      </w:r>
      <w:r w:rsidRPr="00DF6BDF">
        <w:rPr>
          <w:b/>
          <w:bCs/>
        </w:rPr>
        <w:t>food</w:t>
      </w:r>
      <w:r w:rsidRPr="00947DAC">
        <w:t xml:space="preserve"> </w:t>
      </w:r>
      <w:r>
        <w:t xml:space="preserve">– </w:t>
      </w:r>
      <w:r w:rsidRPr="00947DAC">
        <w:t xml:space="preserve">Food </w:t>
      </w:r>
      <w:r>
        <w:t xml:space="preserve">that has spoiled </w:t>
      </w:r>
      <w:r w:rsidRPr="00947DAC">
        <w:t>due to poor storage, poor cooking or human error</w:t>
      </w:r>
      <w:r>
        <w:t>.</w:t>
      </w:r>
    </w:p>
    <w:p w14:paraId="26FF3D69" w14:textId="77777777" w:rsidR="00053DA1" w:rsidRPr="00C05CE4" w:rsidRDefault="00053DA1" w:rsidP="00053DA1">
      <w:pPr>
        <w:pStyle w:val="Graphtitle"/>
        <w:jc w:val="left"/>
        <w:rPr>
          <w:b w:val="0"/>
          <w:bCs w:val="0"/>
        </w:rPr>
      </w:pPr>
      <w:r w:rsidRPr="00C05CE4">
        <w:rPr>
          <w:b w:val="0"/>
          <w:bCs w:val="0"/>
        </w:rPr>
        <w:t>Other causes of food waste in household consumption are poor preparation or cooking</w:t>
      </w:r>
      <w:r>
        <w:rPr>
          <w:b w:val="0"/>
          <w:bCs w:val="0"/>
        </w:rPr>
        <w:t xml:space="preserve">, </w:t>
      </w:r>
      <w:r w:rsidRPr="00C05CE4">
        <w:rPr>
          <w:b w:val="0"/>
          <w:bCs w:val="0"/>
        </w:rPr>
        <w:t xml:space="preserve">and excessive </w:t>
      </w:r>
      <w:r w:rsidRPr="00D754F5">
        <w:rPr>
          <w:b w:val="0"/>
          <w:bCs w:val="0"/>
        </w:rPr>
        <w:t>purchasing</w:t>
      </w:r>
      <w:r w:rsidRPr="00C05CE4">
        <w:rPr>
          <w:b w:val="0"/>
          <w:bCs w:val="0"/>
        </w:rPr>
        <w:t>.</w:t>
      </w:r>
    </w:p>
    <w:p w14:paraId="28E3ADD4" w14:textId="77777777" w:rsidR="00053DA1" w:rsidRDefault="00053DA1" w:rsidP="00053DA1">
      <w:pPr>
        <w:pStyle w:val="BodyText"/>
        <w:jc w:val="center"/>
        <w:rPr>
          <w:noProof/>
          <w:sz w:val="20"/>
          <w:szCs w:val="20"/>
          <w:lang w:bidi="ar-SA"/>
        </w:rPr>
      </w:pPr>
    </w:p>
    <w:p w14:paraId="419058D6" w14:textId="77777777" w:rsidR="00053DA1" w:rsidRPr="004E2385" w:rsidRDefault="00053DA1" w:rsidP="00053DA1">
      <w:pPr>
        <w:pStyle w:val="graphnote0"/>
      </w:pPr>
      <w:r w:rsidRPr="000C5671">
        <w:rPr>
          <w:b/>
          <w:bCs/>
        </w:rPr>
        <w:t>Column captions</w:t>
      </w:r>
      <w:r w:rsidRPr="004E2385">
        <w:t>:</w:t>
      </w:r>
      <w:r>
        <w:t xml:space="preserve"> Damaged or spilled food; Expir</w:t>
      </w:r>
      <w:r w:rsidRPr="00D40BA6">
        <w:t>e</w:t>
      </w:r>
      <w:r>
        <w:t xml:space="preserve">d; Surplus preparation; Excessive purchasing; Poor preparation/cooking </w:t>
      </w:r>
    </w:p>
    <w:p w14:paraId="59ACD3C5" w14:textId="77777777" w:rsidR="00053DA1" w:rsidRDefault="00053DA1" w:rsidP="00053DA1">
      <w:pPr>
        <w:pStyle w:val="BodyText"/>
      </w:pPr>
      <w:r w:rsidRPr="004107BA">
        <w:rPr>
          <w:rFonts w:ascii="Arial" w:hAnsi="Arial" w:cs="Arial"/>
          <w:b/>
          <w:bCs/>
          <w:noProof/>
          <w:rtl/>
        </w:rPr>
        <w:drawing>
          <wp:inline distT="0" distB="0" distL="0" distR="0" wp14:anchorId="5AE414CE" wp14:editId="7AFF10FA">
            <wp:extent cx="2828925" cy="1962150"/>
            <wp:effectExtent l="19050" t="0" r="9525" b="0"/>
            <wp:docPr id="22" name="דיאגרמה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6451816" w14:textId="77777777" w:rsidR="00053DA1" w:rsidRDefault="00053DA1" w:rsidP="00053DA1">
      <w:pPr>
        <w:pStyle w:val="BodyText"/>
      </w:pPr>
    </w:p>
    <w:p w14:paraId="33B9F6EF" w14:textId="77777777" w:rsidR="00053DA1" w:rsidRDefault="00053DA1" w:rsidP="00053DA1">
      <w:pPr>
        <w:pStyle w:val="BodyText"/>
      </w:pPr>
      <w:r>
        <w:t xml:space="preserve">It should be noted that one-third of the survey respondents reported that a clearer presentation of expiration dates on food packages would be the principal factor causing them to reduce food waste. Similarly, 80% of the respondents said that they would prefer to buy food from a store that encourages waste reduction or protection of the environment.  </w:t>
      </w:r>
    </w:p>
    <w:p w14:paraId="0042FABB" w14:textId="77777777" w:rsidR="00053DA1" w:rsidRDefault="00053DA1" w:rsidP="00053DA1">
      <w:pPr>
        <w:pStyle w:val="BodyText"/>
      </w:pPr>
      <w:r>
        <w:t>Moreover, the survey findings suggest that there is potential for reducing food waste through increased awareness and planning at each stage of household food consumption; this would start with planning before shopping, and continue with informed purchasing appropriate to one’s household needs, proper storage conditions and packaging at home, preparing and cooking suitable quantities, changing eating habits, and reusing surpluses.</w:t>
      </w:r>
    </w:p>
    <w:p w14:paraId="24998B7C" w14:textId="77777777" w:rsidR="00053DA1" w:rsidRDefault="00053DA1" w:rsidP="00053DA1">
      <w:pPr>
        <w:pStyle w:val="BodyText"/>
      </w:pPr>
      <w:r>
        <w:lastRenderedPageBreak/>
        <w:t>Since there is no way of knowing about the level of food safety and hygiene procedures employed in private homes, most of the surplus food in households, except for that food maintained in its original packaging, cannot be rescued.  Moreover, from an economic point of view, it is generally not feasible to rescue surplus food from the household sector in a concentrated manner and transfer it to the needy, due to the due to the inherent characteristics of the food including geographical dispersion and relatively small quantities of surplus that exist in each household. Thus, for purposes of the estimates identified in this report, all household food waste is classified as food that cannot be rescued.</w:t>
      </w:r>
    </w:p>
    <w:p w14:paraId="3188ECB1" w14:textId="77777777" w:rsidR="00053DA1" w:rsidRDefault="00053DA1" w:rsidP="00053DA1">
      <w:pPr>
        <w:pStyle w:val="BodyText"/>
      </w:pPr>
      <w:r>
        <w:t>Therefore, reducing food loss in the household</w:t>
      </w:r>
      <w:r>
        <w:rPr>
          <w:cs/>
        </w:rPr>
        <w:t>‎</w:t>
      </w:r>
      <w:r>
        <w:t xml:space="preserve"> consumption sector requires decreasing the amount of waste at the source, by changing habits and awareness as well as improving food storage conditions throughout all stages of household food consumption.</w:t>
      </w:r>
    </w:p>
    <w:p w14:paraId="6CECFF97" w14:textId="77777777" w:rsidR="00053DA1" w:rsidRDefault="00053DA1" w:rsidP="00053DA1">
      <w:pPr>
        <w:rPr>
          <w:rFonts w:eastAsia="Calibri" w:cs="Times New Roman"/>
          <w:b/>
          <w:bCs/>
          <w:sz w:val="24"/>
          <w:szCs w:val="24"/>
        </w:rPr>
      </w:pPr>
    </w:p>
    <w:p w14:paraId="5B163406" w14:textId="77777777" w:rsidR="00053DA1" w:rsidRPr="0049442E" w:rsidRDefault="00053DA1" w:rsidP="00053DA1">
      <w:pPr>
        <w:pStyle w:val="Graphtitle"/>
      </w:pPr>
      <w:r w:rsidRPr="004107BA">
        <w:rPr>
          <w:rFonts w:ascii="Arial" w:hAnsi="Arial" w:cs="Arial"/>
          <w:b w:val="0"/>
          <w:bCs w:val="0"/>
          <w:noProof/>
        </w:rPr>
        <mc:AlternateContent>
          <mc:Choice Requires="wpg">
            <w:drawing>
              <wp:anchor distT="0" distB="0" distL="114300" distR="114300" simplePos="0" relativeHeight="251692032" behindDoc="0" locked="0" layoutInCell="1" allowOverlap="1" wp14:anchorId="263B52F0" wp14:editId="4CE98E70">
                <wp:simplePos x="0" y="0"/>
                <wp:positionH relativeFrom="margin">
                  <wp:posOffset>3181350</wp:posOffset>
                </wp:positionH>
                <wp:positionV relativeFrom="paragraph">
                  <wp:posOffset>739775</wp:posOffset>
                </wp:positionV>
                <wp:extent cx="1951355" cy="3828415"/>
                <wp:effectExtent l="19050" t="19050" r="10795" b="19685"/>
                <wp:wrapTopAndBottom/>
                <wp:docPr id="31" name="קבוצה 287448"/>
                <wp:cNvGraphicFramePr/>
                <a:graphic xmlns:a="http://schemas.openxmlformats.org/drawingml/2006/main">
                  <a:graphicData uri="http://schemas.microsoft.com/office/word/2010/wordprocessingGroup">
                    <wpg:wgp>
                      <wpg:cNvGrpSpPr/>
                      <wpg:grpSpPr>
                        <a:xfrm>
                          <a:off x="0" y="0"/>
                          <a:ext cx="1951355" cy="3828415"/>
                          <a:chOff x="0" y="0"/>
                          <a:chExt cx="1951629" cy="3829559"/>
                        </a:xfrm>
                      </wpg:grpSpPr>
                      <wpg:grpSp>
                        <wpg:cNvPr id="287424" name="קבוצה 287455"/>
                        <wpg:cNvGrpSpPr/>
                        <wpg:grpSpPr>
                          <a:xfrm>
                            <a:off x="0" y="0"/>
                            <a:ext cx="1951629" cy="3829559"/>
                            <a:chOff x="0" y="0"/>
                            <a:chExt cx="1951629" cy="3829559"/>
                          </a:xfrm>
                        </wpg:grpSpPr>
                        <wps:wsp>
                          <wps:cNvPr id="287425" name="מלבן מעוגל 9"/>
                          <wps:cNvSpPr/>
                          <wps:spPr>
                            <a:xfrm>
                              <a:off x="709683" y="0"/>
                              <a:ext cx="1241946" cy="348018"/>
                            </a:xfrm>
                            <a:prstGeom prst="round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5D252F0" w14:textId="77777777" w:rsidR="00053DA1" w:rsidRDefault="00053DA1" w:rsidP="00053DA1">
                                <w:pPr>
                                  <w:jc w:val="center"/>
                                </w:pPr>
                                <w:r>
                                  <w:t>Planning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7426" name="מלבן מעוגל 13"/>
                          <wps:cNvSpPr/>
                          <wps:spPr>
                            <a:xfrm>
                              <a:off x="709683" y="634621"/>
                              <a:ext cx="1241946" cy="348018"/>
                            </a:xfrm>
                            <a:prstGeom prst="round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0C48585" w14:textId="77777777" w:rsidR="00053DA1" w:rsidRDefault="00053DA1" w:rsidP="00053DA1">
                                <w:pPr>
                                  <w:jc w:val="center"/>
                                </w:pPr>
                                <w:r>
                                  <w:t>Purchasing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7432" name="מחבר חץ ישר 16"/>
                          <wps:cNvCnPr/>
                          <wps:spPr>
                            <a:xfrm>
                              <a:off x="1337480" y="348018"/>
                              <a:ext cx="0" cy="266132"/>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433" name="מלבן מעוגל 19"/>
                          <wps:cNvSpPr/>
                          <wps:spPr>
                            <a:xfrm>
                              <a:off x="0" y="1965278"/>
                              <a:ext cx="817880" cy="347980"/>
                            </a:xfrm>
                            <a:prstGeom prst="round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E433255" w14:textId="77777777" w:rsidR="00053DA1" w:rsidRDefault="00053DA1" w:rsidP="00053DA1">
                                <w:pPr>
                                  <w:jc w:val="center"/>
                                </w:pPr>
                                <w:r>
                                  <w:t>Cooking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7434" name="מלבן מעוגל 20"/>
                          <wps:cNvSpPr/>
                          <wps:spPr>
                            <a:xfrm>
                              <a:off x="709683" y="1262352"/>
                              <a:ext cx="1241946" cy="566175"/>
                            </a:xfrm>
                            <a:prstGeom prst="round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2EEB9D3" w14:textId="77777777" w:rsidR="00053DA1" w:rsidRDefault="00053DA1" w:rsidP="00053DA1">
                                <w:pPr>
                                  <w:jc w:val="center"/>
                                </w:pPr>
                                <w:r>
                                  <w:t>Packaging &amp; Storage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7436" name="מחבר חץ ישר 23"/>
                          <wps:cNvCnPr/>
                          <wps:spPr>
                            <a:xfrm>
                              <a:off x="1330657" y="996287"/>
                              <a:ext cx="0" cy="26606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437" name="מחבר חץ ישר 287444"/>
                          <wps:cNvCnPr/>
                          <wps:spPr>
                            <a:xfrm flipH="1">
                              <a:off x="607325" y="1685499"/>
                              <a:ext cx="218364" cy="252483"/>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438" name="מחבר חץ ישר 287446"/>
                          <wps:cNvCnPr/>
                          <wps:spPr>
                            <a:xfrm>
                              <a:off x="491319" y="2354239"/>
                              <a:ext cx="326561" cy="232012"/>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439" name="מלבן מעוגל 287452"/>
                          <wps:cNvSpPr/>
                          <wps:spPr>
                            <a:xfrm>
                              <a:off x="709683" y="3289110"/>
                              <a:ext cx="1241946" cy="540449"/>
                            </a:xfrm>
                            <a:prstGeom prst="round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0B5BB06B" w14:textId="77777777" w:rsidR="00053DA1" w:rsidRDefault="00053DA1" w:rsidP="00053DA1">
                                <w:pPr>
                                  <w:jc w:val="center"/>
                                </w:pPr>
                                <w:r>
                                  <w:t xml:space="preserve"> Handling surpluses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7440" name="מלבן מעוגל 287453"/>
                          <wps:cNvSpPr/>
                          <wps:spPr>
                            <a:xfrm>
                              <a:off x="709683" y="2654490"/>
                              <a:ext cx="1241946" cy="348018"/>
                            </a:xfrm>
                            <a:prstGeom prst="round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578BA767" w14:textId="77777777" w:rsidR="00053DA1" w:rsidRDefault="00053DA1" w:rsidP="00053DA1">
                                <w:pPr>
                                  <w:jc w:val="center"/>
                                </w:pPr>
                                <w:r>
                                  <w:t>Eating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7441" name="מחבר חץ ישר 287454"/>
                          <wps:cNvCnPr/>
                          <wps:spPr>
                            <a:xfrm>
                              <a:off x="1317009" y="3002508"/>
                              <a:ext cx="0" cy="266132"/>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87443" name="מחבר חץ ישר 287445"/>
                        <wps:cNvCnPr/>
                        <wps:spPr>
                          <a:xfrm>
                            <a:off x="1337481" y="1828527"/>
                            <a:ext cx="6350" cy="7778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63B52F0" id="קבוצה 287448" o:spid="_x0000_s1026" style="position:absolute;left:0;text-align:left;margin-left:250.5pt;margin-top:58.25pt;width:153.65pt;height:301.45pt;z-index:251692032;mso-position-horizontal-relative:margin;mso-height-relative:margin" coordsize="19516,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">
                <v:group id="קבוצה 287455" o:spid="_x0000_s1027" style="position:absolute;width:19516;height:38295" coordsize="19516,38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">
                  <v:roundrect id="מלבן מעוגל 9" o:spid="_x0000_s1028" style="position:absolute;left:7096;width:12420;height:3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" filled="f" strokecolor="#4f81bd [3204]" strokeweight="2.25pt">
                    <v:textbox>
                      <w:txbxContent>
                        <w:p w14:paraId="05D252F0" w14:textId="77777777" w:rsidR="00053DA1" w:rsidRDefault="00053DA1" w:rsidP="00053DA1">
                          <w:pPr>
                            <w:jc w:val="center"/>
                          </w:pPr>
                          <w:r>
                            <w:t>Planning</w:t>
                          </w:r>
                        </w:p>
                      </w:txbxContent>
                    </v:textbox>
                  </v:roundrect>
                  <v:roundrect id="מלבן מעוגל 13" o:spid="_x0000_s1029" style="position:absolute;left:7096;top:6346;width:12420;height:3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" filled="f" strokecolor="#4f81bd [3204]" strokeweight="2.25pt">
                    <v:textbox>
                      <w:txbxContent>
                        <w:p w14:paraId="70C48585" w14:textId="77777777" w:rsidR="00053DA1" w:rsidRDefault="00053DA1" w:rsidP="00053DA1">
                          <w:pPr>
                            <w:jc w:val="center"/>
                          </w:pPr>
                          <w:r>
                            <w:t>Purchasing</w:t>
                          </w:r>
                        </w:p>
                      </w:txbxContent>
                    </v:textbox>
                  </v:roundrect>
                  <v:shapetype id="_x0000_t32" coordsize="21600,21600" o:spt="32" o:oned="t" path="m,l21600,21600e" filled="f">
                    <v:path arrowok="t" fillok="f" o:connecttype="none"/>
                    <o:lock v:ext="edit" shapetype="t"/>
                  </v:shapetype>
                  <v:shape id="מחבר חץ ישר 16" o:spid="_x0000_s1030" type="#_x0000_t32" style="position:absolute;left:13374;top:3480;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" strokecolor="#4f81bd [3204]" strokeweight="2.25pt">
                    <v:stroke endarrow="block"/>
                  </v:shape>
                  <v:roundrect id="מלבן מעוגל 19" o:spid="_x0000_s1031" style="position:absolute;top:19652;width:8178;height:3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" filled="f" strokecolor="#4f81bd [3204]" strokeweight="2.25pt">
                    <v:textbox>
                      <w:txbxContent>
                        <w:p w14:paraId="3E433255" w14:textId="77777777" w:rsidR="00053DA1" w:rsidRDefault="00053DA1" w:rsidP="00053DA1">
                          <w:pPr>
                            <w:jc w:val="center"/>
                          </w:pPr>
                          <w:r>
                            <w:t>Cooking</w:t>
                          </w:r>
                        </w:p>
                      </w:txbxContent>
                    </v:textbox>
                  </v:roundrect>
                  <v:roundrect id="מלבן מעוגל 20" o:spid="_x0000_s1032" style="position:absolute;left:7096;top:12623;width:12420;height:56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" filled="f" strokecolor="#4f81bd [3204]" strokeweight="2.25pt">
                    <v:textbox>
                      <w:txbxContent>
                        <w:p w14:paraId="32EEB9D3" w14:textId="77777777" w:rsidR="00053DA1" w:rsidRDefault="00053DA1" w:rsidP="00053DA1">
                          <w:pPr>
                            <w:jc w:val="center"/>
                          </w:pPr>
                          <w:r>
                            <w:t>Packaging &amp; Storage</w:t>
                          </w:r>
                        </w:p>
                      </w:txbxContent>
                    </v:textbox>
                  </v:roundrect>
                  <v:shape id="מחבר חץ ישר 23" o:spid="_x0000_s1033" type="#_x0000_t32" style="position:absolute;left:13306;top:9962;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" strokecolor="#4f81bd [3204]" strokeweight="2.25pt">
                    <v:stroke endarrow="block"/>
                  </v:shape>
                  <v:shape id="מחבר חץ ישר 287444" o:spid="_x0000_s1034" type="#_x0000_t32" style="position:absolute;left:6073;top:16854;width:2183;height:2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" strokecolor="#4f81bd [3204]" strokeweight="2.25pt">
                    <v:stroke endarrow="block"/>
                  </v:shape>
                  <v:shape id="מחבר חץ ישר 287446" o:spid="_x0000_s1035" type="#_x0000_t32" style="position:absolute;left:4913;top:23542;width:3265;height:2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" strokecolor="#4f81bd [3204]" strokeweight="2.25pt">
                    <v:stroke endarrow="block"/>
                  </v:shape>
                  <v:roundrect id="מלבן מעוגל 287452" o:spid="_x0000_s1036" style="position:absolute;left:7096;top:32891;width:12420;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" filled="f" strokecolor="#4f81bd [3204]" strokeweight="2.25pt">
                    <v:textbox>
                      <w:txbxContent>
                        <w:p w14:paraId="0B5BB06B" w14:textId="77777777" w:rsidR="00053DA1" w:rsidRDefault="00053DA1" w:rsidP="00053DA1">
                          <w:pPr>
                            <w:jc w:val="center"/>
                          </w:pPr>
                          <w:r>
                            <w:t xml:space="preserve"> Handling surpluses</w:t>
                          </w:r>
                        </w:p>
                      </w:txbxContent>
                    </v:textbox>
                  </v:roundrect>
                  <v:roundrect id="מלבן מעוגל 287453" o:spid="_x0000_s1037" style="position:absolute;left:7096;top:26544;width:12420;height:3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" filled="f" strokecolor="#4f81bd [3204]" strokeweight="2.25pt">
                    <v:textbox>
                      <w:txbxContent>
                        <w:p w14:paraId="578BA767" w14:textId="77777777" w:rsidR="00053DA1" w:rsidRDefault="00053DA1" w:rsidP="00053DA1">
                          <w:pPr>
                            <w:jc w:val="center"/>
                          </w:pPr>
                          <w:r>
                            <w:t>Eating</w:t>
                          </w:r>
                        </w:p>
                      </w:txbxContent>
                    </v:textbox>
                  </v:roundrect>
                  <v:shape id="מחבר חץ ישר 287454" o:spid="_x0000_s1038" type="#_x0000_t32" style="position:absolute;left:13170;top:30025;width:0;height:2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" strokecolor="#4f81bd [3204]" strokeweight="2.25pt">
                    <v:stroke endarrow="block"/>
                  </v:shape>
                </v:group>
                <v:shape id="מחבר חץ ישר 287445" o:spid="_x0000_s1039" type="#_x0000_t32" style="position:absolute;left:13374;top:18285;width:64;height:7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" strokecolor="#4579b8 [3044]" strokeweight="2.25pt">
                  <v:stroke endarrow="block"/>
                </v:shape>
                <w10:wrap type="topAndBottom" anchorx="margin"/>
              </v:group>
            </w:pict>
          </mc:Fallback>
        </mc:AlternateContent>
      </w:r>
      <w:r>
        <w:rPr>
          <w:rFonts w:ascii="Arial" w:hAnsi="Arial" w:cs="Arial"/>
          <w:noProof/>
          <w:rtl/>
        </w:rPr>
        <w:drawing>
          <wp:anchor distT="0" distB="0" distL="114300" distR="114300" simplePos="0" relativeHeight="251686912" behindDoc="0" locked="0" layoutInCell="1" allowOverlap="1" wp14:anchorId="370A42F1" wp14:editId="1FB6F2BE">
            <wp:simplePos x="0" y="0"/>
            <wp:positionH relativeFrom="margin">
              <wp:posOffset>600075</wp:posOffset>
            </wp:positionH>
            <wp:positionV relativeFrom="paragraph">
              <wp:posOffset>462280</wp:posOffset>
            </wp:positionV>
            <wp:extent cx="1904365" cy="2120265"/>
            <wp:effectExtent l="0" t="0" r="19685" b="13335"/>
            <wp:wrapTopAndBottom/>
            <wp:docPr id="287444" name="דיאגרמה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Pr="0049442E">
        <w:t xml:space="preserve">Stages of </w:t>
      </w:r>
      <w:r>
        <w:t>Household</w:t>
      </w:r>
      <w:r w:rsidRPr="0049442E">
        <w:t xml:space="preserve"> Food </w:t>
      </w:r>
      <w:r w:rsidRPr="007C5A8F">
        <w:t>Consumption</w:t>
      </w:r>
      <w:r w:rsidRPr="0049442E">
        <w:t xml:space="preserve"> </w:t>
      </w:r>
    </w:p>
    <w:p w14:paraId="7DD6A0DE" w14:textId="77777777" w:rsidR="00053DA1" w:rsidRDefault="00053DA1" w:rsidP="00053DA1">
      <w:pPr>
        <w:rPr>
          <w:rFonts w:eastAsia="Calibri" w:cs="Times New Roman"/>
          <w:sz w:val="24"/>
          <w:szCs w:val="24"/>
        </w:rPr>
      </w:pPr>
      <w:r>
        <w:br w:type="page"/>
      </w:r>
    </w:p>
    <w:p w14:paraId="2DE66AEC" w14:textId="77777777" w:rsidR="00053DA1" w:rsidRPr="0049442E" w:rsidRDefault="00053DA1" w:rsidP="00053DA1">
      <w:pPr>
        <w:pStyle w:val="BodyText"/>
        <w:rPr>
          <w:b/>
          <w:bCs/>
          <w:sz w:val="26"/>
          <w:szCs w:val="26"/>
        </w:rPr>
      </w:pPr>
      <w:r w:rsidRPr="007C5A8F">
        <w:lastRenderedPageBreak/>
        <w:t>Bold header</w:t>
      </w:r>
      <w:r w:rsidRPr="0049442E">
        <w:t xml:space="preserve">: </w:t>
      </w:r>
      <w:r w:rsidRPr="0049442E">
        <w:rPr>
          <w:rStyle w:val="IntenseEmphasis"/>
        </w:rPr>
        <w:t>23% of fruits and vegetables</w:t>
      </w:r>
      <w:r>
        <w:rPr>
          <w:rStyle w:val="IntenseEmphasis"/>
        </w:rPr>
        <w:t>, and</w:t>
      </w:r>
      <w:r w:rsidRPr="0049442E">
        <w:rPr>
          <w:rStyle w:val="IntenseEmphasis"/>
        </w:rPr>
        <w:t xml:space="preserve"> </w:t>
      </w:r>
      <w:r w:rsidRPr="001C4666">
        <w:rPr>
          <w:rStyle w:val="IntenseEmphasis"/>
          <w:rtl/>
        </w:rPr>
        <w:t>14</w:t>
      </w:r>
      <w:r w:rsidRPr="001C4666">
        <w:rPr>
          <w:rStyle w:val="IntenseEmphasis"/>
        </w:rPr>
        <w:t>%</w:t>
      </w:r>
      <w:r w:rsidRPr="0049442E">
        <w:rPr>
          <w:rStyle w:val="IntenseEmphasis"/>
        </w:rPr>
        <w:t xml:space="preserve"> of grain products</w:t>
      </w:r>
      <w:r>
        <w:rPr>
          <w:rStyle w:val="IntenseEmphasis"/>
        </w:rPr>
        <w:t xml:space="preserve"> and legumes </w:t>
      </w:r>
      <w:r w:rsidRPr="0049442E">
        <w:rPr>
          <w:rStyle w:val="IntenseEmphasis"/>
        </w:rPr>
        <w:t xml:space="preserve">are </w:t>
      </w:r>
      <w:r>
        <w:rPr>
          <w:rStyle w:val="IntenseEmphasis"/>
        </w:rPr>
        <w:t>discarded by households</w:t>
      </w:r>
    </w:p>
    <w:p w14:paraId="7BA0A663" w14:textId="77777777" w:rsidR="00053DA1" w:rsidRDefault="00053DA1" w:rsidP="00053DA1">
      <w:pPr>
        <w:pStyle w:val="BodyText"/>
      </w:pPr>
      <w:r w:rsidRPr="007639E8">
        <w:t xml:space="preserve">Food </w:t>
      </w:r>
      <w:r>
        <w:t xml:space="preserve">waste during household </w:t>
      </w:r>
      <w:r w:rsidRPr="007639E8">
        <w:t xml:space="preserve">consumption is not unique to Israel, and the rates of loss in Israel are not exceptional compared to other developed countries. The highest </w:t>
      </w:r>
      <w:r>
        <w:t>percentage of waste</w:t>
      </w:r>
      <w:r w:rsidRPr="007639E8">
        <w:t xml:space="preserve"> in Israel, as in other Western countries, is </w:t>
      </w:r>
      <w:r w:rsidRPr="00D6238C">
        <w:t>from</w:t>
      </w:r>
      <w:r w:rsidRPr="007639E8">
        <w:t xml:space="preserve"> fruits and vegetables</w:t>
      </w:r>
      <w:r>
        <w:t>, with</w:t>
      </w:r>
      <w:r w:rsidRPr="007639E8">
        <w:t xml:space="preserve"> 23% of fruit</w:t>
      </w:r>
      <w:r>
        <w:t>s</w:t>
      </w:r>
      <w:r w:rsidRPr="007639E8">
        <w:t xml:space="preserve"> and </w:t>
      </w:r>
      <w:r>
        <w:t>vegetables purchased</w:t>
      </w:r>
      <w:r w:rsidRPr="007639E8">
        <w:t xml:space="preserve"> in Israel </w:t>
      </w:r>
      <w:r>
        <w:t>being discarded</w:t>
      </w:r>
      <w:r w:rsidRPr="007639E8">
        <w:t>, compared to 28% in the US and 19% in Europe</w:t>
      </w:r>
      <w:r>
        <w:t>.</w:t>
      </w:r>
      <w:r w:rsidRPr="007639E8">
        <w:t xml:space="preserve"> The relatively high </w:t>
      </w:r>
      <w:r>
        <w:t>waste</w:t>
      </w:r>
      <w:r w:rsidRPr="007639E8">
        <w:t xml:space="preserve"> of fruit</w:t>
      </w:r>
      <w:r>
        <w:t>s</w:t>
      </w:r>
      <w:r w:rsidRPr="007639E8">
        <w:t xml:space="preserve"> and vegetables is </w:t>
      </w:r>
      <w:r>
        <w:t xml:space="preserve">primarily </w:t>
      </w:r>
      <w:r w:rsidRPr="007639E8">
        <w:t xml:space="preserve">due to </w:t>
      </w:r>
      <w:r>
        <w:t>their short shelf-</w:t>
      </w:r>
      <w:r w:rsidRPr="007639E8">
        <w:t>life</w:t>
      </w:r>
      <w:r>
        <w:t xml:space="preserve"> and</w:t>
      </w:r>
      <w:r w:rsidRPr="007639E8">
        <w:t xml:space="preserve"> </w:t>
      </w:r>
      <w:r>
        <w:t>a households’ failure to adhere t</w:t>
      </w:r>
      <w:r w:rsidRPr="007639E8">
        <w:t>o optimal storage conditions.</w:t>
      </w:r>
      <w:r>
        <w:t xml:space="preserve"> </w:t>
      </w:r>
    </w:p>
    <w:p w14:paraId="5D1C2F2E" w14:textId="77777777" w:rsidR="00053DA1" w:rsidRDefault="00053DA1" w:rsidP="00053DA1">
      <w:pPr>
        <w:pStyle w:val="Graphtitle"/>
      </w:pPr>
      <w:r>
        <w:rPr>
          <w:noProof/>
        </w:rPr>
        <w:drawing>
          <wp:anchor distT="0" distB="0" distL="114300" distR="114300" simplePos="0" relativeHeight="251687936" behindDoc="0" locked="0" layoutInCell="1" allowOverlap="1" wp14:anchorId="488B18AC" wp14:editId="1B3E5A6D">
            <wp:simplePos x="0" y="0"/>
            <wp:positionH relativeFrom="margin">
              <wp:posOffset>1695450</wp:posOffset>
            </wp:positionH>
            <wp:positionV relativeFrom="paragraph">
              <wp:posOffset>566420</wp:posOffset>
            </wp:positionV>
            <wp:extent cx="2638425" cy="1581150"/>
            <wp:effectExtent l="0" t="0" r="0" b="0"/>
            <wp:wrapTopAndBottom/>
            <wp:docPr id="9"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t xml:space="preserve">International Comparison: </w:t>
      </w:r>
      <w:r w:rsidRPr="00392BAA">
        <w:t xml:space="preserve">Rate of Household Food </w:t>
      </w:r>
      <w:r>
        <w:t>Waste</w:t>
      </w:r>
      <w:r w:rsidRPr="00392BAA">
        <w:t xml:space="preserve"> </w:t>
      </w:r>
    </w:p>
    <w:p w14:paraId="1D4AE46F" w14:textId="77777777" w:rsidR="00053DA1" w:rsidRPr="00392BAA" w:rsidRDefault="00053DA1" w:rsidP="00053DA1">
      <w:pPr>
        <w:pStyle w:val="Graphtitle"/>
      </w:pPr>
      <w:r>
        <w:t>Fruits and Vegetables</w:t>
      </w:r>
    </w:p>
    <w:p w14:paraId="5D2A3F4E" w14:textId="77777777" w:rsidR="00053DA1" w:rsidRPr="00392BAA" w:rsidRDefault="00053DA1" w:rsidP="00053DA1">
      <w:pPr>
        <w:pStyle w:val="graphnote0"/>
      </w:pPr>
      <w:r w:rsidRPr="00392BAA">
        <w:rPr>
          <w:b/>
          <w:bCs/>
        </w:rPr>
        <w:t>Column captions</w:t>
      </w:r>
      <w:r w:rsidRPr="00392BAA">
        <w:t xml:space="preserve">, from left to right: </w:t>
      </w:r>
      <w:r>
        <w:t xml:space="preserve">United States; </w:t>
      </w:r>
      <w:r w:rsidRPr="00392BAA">
        <w:t>Israel; Europe;</w:t>
      </w:r>
      <w:r>
        <w:t xml:space="preserve"> </w:t>
      </w:r>
      <w:r w:rsidRPr="00392BAA">
        <w:t>Japan, China &amp; South Korea</w:t>
      </w:r>
      <w:r>
        <w:t xml:space="preserve">; </w:t>
      </w:r>
      <w:r>
        <w:rPr>
          <w:cs/>
        </w:rPr>
        <w:t>‎</w:t>
      </w:r>
      <w:r w:rsidRPr="00392BAA">
        <w:t xml:space="preserve">North Africa &amp; </w:t>
      </w:r>
      <w:r>
        <w:t>W</w:t>
      </w:r>
      <w:r w:rsidRPr="00392BAA">
        <w:t xml:space="preserve">estern Asia; South America; Southeast Asia; </w:t>
      </w:r>
      <w:r>
        <w:t>Africa</w:t>
      </w:r>
      <w:r w:rsidRPr="00392BAA">
        <w:t xml:space="preserve"> </w:t>
      </w:r>
    </w:p>
    <w:p w14:paraId="38CB6A07" w14:textId="77777777" w:rsidR="00053DA1" w:rsidRPr="000A6A01" w:rsidRDefault="00053DA1" w:rsidP="00053DA1">
      <w:pPr>
        <w:pStyle w:val="Graphtitle"/>
      </w:pPr>
      <w:r>
        <w:rPr>
          <w:noProof/>
        </w:rPr>
        <w:drawing>
          <wp:anchor distT="0" distB="0" distL="114300" distR="114300" simplePos="0" relativeHeight="251691008" behindDoc="0" locked="0" layoutInCell="1" allowOverlap="1" wp14:anchorId="421FB634" wp14:editId="559DC1FB">
            <wp:simplePos x="0" y="0"/>
            <wp:positionH relativeFrom="margin">
              <wp:posOffset>1504950</wp:posOffset>
            </wp:positionH>
            <wp:positionV relativeFrom="paragraph">
              <wp:posOffset>501650</wp:posOffset>
            </wp:positionV>
            <wp:extent cx="2792095" cy="1693545"/>
            <wp:effectExtent l="0" t="0" r="8255" b="1905"/>
            <wp:wrapTopAndBottom/>
            <wp:docPr id="287445"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t>Grains and Legumes</w:t>
      </w:r>
    </w:p>
    <w:p w14:paraId="6EAF6E73" w14:textId="77777777" w:rsidR="00053DA1" w:rsidRDefault="00053DA1" w:rsidP="00053DA1">
      <w:pPr>
        <w:pStyle w:val="graphnote0"/>
      </w:pPr>
      <w:r w:rsidRPr="00392BAA">
        <w:rPr>
          <w:b/>
          <w:bCs/>
        </w:rPr>
        <w:t>Column captions</w:t>
      </w:r>
      <w:r w:rsidRPr="00392BAA">
        <w:t xml:space="preserve">, from left to right: </w:t>
      </w:r>
      <w:r>
        <w:t>United States</w:t>
      </w:r>
      <w:r w:rsidRPr="00392BAA">
        <w:t>; Europe;</w:t>
      </w:r>
      <w:r>
        <w:t xml:space="preserve"> </w:t>
      </w:r>
      <w:r w:rsidRPr="00392BAA">
        <w:t>Japan, China &amp; South Korea</w:t>
      </w:r>
      <w:r>
        <w:t xml:space="preserve">; </w:t>
      </w:r>
      <w:r>
        <w:rPr>
          <w:cs/>
        </w:rPr>
        <w:t>‎</w:t>
      </w:r>
      <w:r w:rsidRPr="00392BAA">
        <w:t>Israel</w:t>
      </w:r>
      <w:r>
        <w:t xml:space="preserve">; </w:t>
      </w:r>
      <w:r w:rsidRPr="00392BAA">
        <w:t xml:space="preserve">North Africa &amp; </w:t>
      </w:r>
      <w:r>
        <w:t>W</w:t>
      </w:r>
      <w:r w:rsidRPr="00392BAA">
        <w:t xml:space="preserve">estern Asia; South America; Southeast Asia; </w:t>
      </w:r>
      <w:r>
        <w:t>Africa</w:t>
      </w:r>
    </w:p>
    <w:p w14:paraId="5B2D1ECC" w14:textId="77777777" w:rsidR="00053DA1" w:rsidRDefault="00053DA1" w:rsidP="00053DA1">
      <w:pPr>
        <w:pStyle w:val="graphnote0"/>
        <w:rPr>
          <w:b/>
          <w:bCs/>
        </w:rPr>
      </w:pPr>
    </w:p>
    <w:p w14:paraId="6D035D09" w14:textId="77777777" w:rsidR="00053DA1" w:rsidRDefault="00053DA1" w:rsidP="00053DA1">
      <w:pPr>
        <w:pStyle w:val="Graphtitle"/>
      </w:pPr>
      <w:r>
        <w:lastRenderedPageBreak/>
        <w:t>Meat, Eggs and Fish</w:t>
      </w:r>
      <w:r w:rsidRPr="00392BAA">
        <w:t xml:space="preserve">: </w:t>
      </w:r>
    </w:p>
    <w:p w14:paraId="351515CF" w14:textId="77777777" w:rsidR="00053DA1" w:rsidRDefault="00053DA1" w:rsidP="00053DA1">
      <w:pPr>
        <w:pStyle w:val="graphnote0"/>
      </w:pPr>
      <w:r>
        <w:rPr>
          <w:noProof/>
        </w:rPr>
        <w:drawing>
          <wp:anchor distT="0" distB="0" distL="114300" distR="114300" simplePos="0" relativeHeight="251688960" behindDoc="0" locked="0" layoutInCell="1" allowOverlap="1" wp14:anchorId="202792E7" wp14:editId="293B5DCB">
            <wp:simplePos x="0" y="0"/>
            <wp:positionH relativeFrom="margin">
              <wp:posOffset>1533525</wp:posOffset>
            </wp:positionH>
            <wp:positionV relativeFrom="paragraph">
              <wp:posOffset>18415</wp:posOffset>
            </wp:positionV>
            <wp:extent cx="2760980" cy="1662430"/>
            <wp:effectExtent l="0" t="0" r="0" b="0"/>
            <wp:wrapTopAndBottom/>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392BAA">
        <w:rPr>
          <w:b/>
          <w:bCs/>
        </w:rPr>
        <w:t>Column captions</w:t>
      </w:r>
      <w:r w:rsidRPr="00392BAA">
        <w:t xml:space="preserve">, from left to right: </w:t>
      </w:r>
      <w:r>
        <w:t>United States</w:t>
      </w:r>
      <w:r w:rsidRPr="00392BAA">
        <w:t>; Europe;</w:t>
      </w:r>
      <w:r w:rsidRPr="00F90E20">
        <w:t xml:space="preserve"> </w:t>
      </w:r>
      <w:r w:rsidRPr="00392BAA">
        <w:t>Israel</w:t>
      </w:r>
      <w:r>
        <w:t xml:space="preserve">; </w:t>
      </w:r>
      <w:r>
        <w:rPr>
          <w:cs/>
        </w:rPr>
        <w:t>‎</w:t>
      </w:r>
      <w:r w:rsidRPr="00392BAA">
        <w:t>Japan, China &amp; South Korea</w:t>
      </w:r>
      <w:r>
        <w:t xml:space="preserve">; </w:t>
      </w:r>
      <w:r>
        <w:rPr>
          <w:cs/>
        </w:rPr>
        <w:t>‎</w:t>
      </w:r>
      <w:r w:rsidRPr="00392BAA">
        <w:t xml:space="preserve">North Africa &amp; </w:t>
      </w:r>
      <w:r>
        <w:t>W</w:t>
      </w:r>
      <w:r w:rsidRPr="00392BAA">
        <w:t xml:space="preserve">estern Asia; South America; Southeast Asia; </w:t>
      </w:r>
      <w:r>
        <w:t>Africa</w:t>
      </w:r>
    </w:p>
    <w:p w14:paraId="04F283A4" w14:textId="77777777" w:rsidR="00053DA1" w:rsidRDefault="00053DA1" w:rsidP="00053DA1">
      <w:pPr>
        <w:pStyle w:val="graphnote0"/>
      </w:pPr>
    </w:p>
    <w:p w14:paraId="66B0CB18" w14:textId="77777777" w:rsidR="00053DA1" w:rsidRDefault="00053DA1" w:rsidP="00053DA1">
      <w:pPr>
        <w:pStyle w:val="Graphtitle"/>
      </w:pPr>
      <w:r>
        <w:rPr>
          <w:noProof/>
        </w:rPr>
        <w:drawing>
          <wp:anchor distT="0" distB="0" distL="114300" distR="114300" simplePos="0" relativeHeight="251689984" behindDoc="0" locked="0" layoutInCell="1" allowOverlap="1" wp14:anchorId="6589FF39" wp14:editId="7A111CAC">
            <wp:simplePos x="0" y="0"/>
            <wp:positionH relativeFrom="column">
              <wp:posOffset>1162050</wp:posOffset>
            </wp:positionH>
            <wp:positionV relativeFrom="paragraph">
              <wp:posOffset>412115</wp:posOffset>
            </wp:positionV>
            <wp:extent cx="2886075" cy="1800225"/>
            <wp:effectExtent l="0" t="0" r="0" b="0"/>
            <wp:wrapTopAndBottom/>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t>Milk and Dairy Products</w:t>
      </w:r>
    </w:p>
    <w:p w14:paraId="276C517B" w14:textId="77777777" w:rsidR="00053DA1" w:rsidRDefault="00053DA1" w:rsidP="00053DA1">
      <w:pPr>
        <w:pStyle w:val="graphnote0"/>
      </w:pPr>
      <w:r w:rsidRPr="00392BAA">
        <w:rPr>
          <w:b/>
          <w:bCs/>
        </w:rPr>
        <w:t>Column captions</w:t>
      </w:r>
      <w:r w:rsidRPr="00392BAA">
        <w:t xml:space="preserve">, from left to right: </w:t>
      </w:r>
      <w:r>
        <w:t>United States</w:t>
      </w:r>
      <w:r w:rsidRPr="00392BAA">
        <w:t>; Israel</w:t>
      </w:r>
      <w:r>
        <w:t xml:space="preserve">; </w:t>
      </w:r>
      <w:r w:rsidRPr="00392BAA">
        <w:t>Europe;</w:t>
      </w:r>
      <w:r w:rsidRPr="00F90E20">
        <w:t xml:space="preserve"> </w:t>
      </w:r>
      <w:r w:rsidRPr="00392BAA">
        <w:t>Japan, China &amp; South Korea</w:t>
      </w:r>
      <w:r>
        <w:t xml:space="preserve">; </w:t>
      </w:r>
      <w:r>
        <w:rPr>
          <w:cs/>
        </w:rPr>
        <w:t>‎</w:t>
      </w:r>
      <w:r w:rsidRPr="00392BAA">
        <w:t xml:space="preserve">South America; North Africa &amp; </w:t>
      </w:r>
      <w:r>
        <w:t>W</w:t>
      </w:r>
      <w:r w:rsidRPr="00392BAA">
        <w:t xml:space="preserve">estern Asia; Southeast Asia; </w:t>
      </w:r>
      <w:r>
        <w:t>Africa</w:t>
      </w:r>
    </w:p>
    <w:p w14:paraId="017E9588" w14:textId="77777777" w:rsidR="00053DA1" w:rsidRDefault="00053DA1" w:rsidP="00053DA1"/>
    <w:p w14:paraId="703B3E92" w14:textId="77777777" w:rsidR="00053DA1" w:rsidRDefault="00053DA1" w:rsidP="00053DA1">
      <w:pPr>
        <w:pStyle w:val="BodyText"/>
      </w:pPr>
      <w:r>
        <w:t>The rate of loss for meat, fish and dairy products</w:t>
      </w:r>
      <w:r w:rsidRPr="00D4416A">
        <w:t xml:space="preserve"> </w:t>
      </w:r>
      <w:r>
        <w:t>is lower and stands at</w:t>
      </w:r>
      <w:r w:rsidRPr="00D4416A">
        <w:t xml:space="preserve"> approximately</w:t>
      </w:r>
      <w:r>
        <w:t xml:space="preserve"> 8%, in part because these products are more expensive per unit of weight, which creates a higher economic incentive for reducing the loss. The rate of loss for these products are similar to those in Europe, and lower than those in the US.</w:t>
      </w:r>
    </w:p>
    <w:p w14:paraId="2BDC61C6" w14:textId="77777777" w:rsidR="00053DA1" w:rsidRDefault="00053DA1" w:rsidP="00053DA1">
      <w:pPr>
        <w:pStyle w:val="BodyText"/>
      </w:pPr>
      <w:r>
        <w:t xml:space="preserve">For grains and legumes, the </w:t>
      </w:r>
      <w:r w:rsidRPr="00BB0458">
        <w:t xml:space="preserve">rate of </w:t>
      </w:r>
      <w:r>
        <w:t>loss</w:t>
      </w:r>
      <w:r w:rsidRPr="00BB0458">
        <w:t xml:space="preserve"> </w:t>
      </w:r>
      <w:r>
        <w:t>is approximately 14%.  The loss for these products stems from the combined result of the short shelf-life of products like bread and pastries, and the relatively long shelf-life of raw grains and legumes.</w:t>
      </w:r>
    </w:p>
    <w:p w14:paraId="409FBC2D" w14:textId="77777777" w:rsidR="00053DA1" w:rsidRDefault="00053DA1" w:rsidP="00053DA1">
      <w:pPr>
        <w:pStyle w:val="BodyText"/>
      </w:pPr>
      <w:r>
        <w:t xml:space="preserve">Based on an international comparison, the amount of food loss in Israel is no different than what exits in European countries. However, the </w:t>
      </w:r>
      <w:r w:rsidRPr="00D86346">
        <w:t xml:space="preserve">survey found that the subjective feeling of respondents in Israel is that the amount of </w:t>
      </w:r>
      <w:r>
        <w:t xml:space="preserve">waste </w:t>
      </w:r>
      <w:r w:rsidRPr="00D86346">
        <w:t xml:space="preserve">is higher than </w:t>
      </w:r>
      <w:r>
        <w:t xml:space="preserve">Europeans’ average </w:t>
      </w:r>
      <w:r w:rsidRPr="00D86346">
        <w:lastRenderedPageBreak/>
        <w:t xml:space="preserve">subjective sense </w:t>
      </w:r>
      <w:r>
        <w:t xml:space="preserve">of food waste, according to a </w:t>
      </w:r>
      <w:r w:rsidRPr="00D86346">
        <w:t>survey</w:t>
      </w:r>
      <w:r>
        <w:t xml:space="preserve"> conducte</w:t>
      </w:r>
      <w:r w:rsidRPr="00D86346">
        <w:t>d in EU-27 countries. In our estimation, th</w:t>
      </w:r>
      <w:r>
        <w:t>is</w:t>
      </w:r>
      <w:r w:rsidRPr="00D86346">
        <w:t xml:space="preserve"> </w:t>
      </w:r>
      <w:r>
        <w:t>discrepancy</w:t>
      </w:r>
      <w:r w:rsidRPr="00D86346">
        <w:t xml:space="preserve"> stems from the cost of living</w:t>
      </w:r>
      <w:r>
        <w:t xml:space="preserve"> since </w:t>
      </w:r>
      <w:r w:rsidRPr="00D86346">
        <w:t>the Israeli consumer</w:t>
      </w:r>
      <w:r>
        <w:t xml:space="preserve"> places greater weight</w:t>
      </w:r>
      <w:r w:rsidRPr="00D86346">
        <w:t xml:space="preserve"> </w:t>
      </w:r>
      <w:r>
        <w:t xml:space="preserve">to the </w:t>
      </w:r>
      <w:r w:rsidRPr="00D86346">
        <w:t xml:space="preserve">amount of food </w:t>
      </w:r>
      <w:r>
        <w:t xml:space="preserve">wasted. </w:t>
      </w:r>
    </w:p>
    <w:p w14:paraId="4B02DC9E" w14:textId="77777777" w:rsidR="00053DA1" w:rsidRDefault="00053DA1" w:rsidP="00053DA1">
      <w:pPr>
        <w:pStyle w:val="Graphtitle"/>
      </w:pPr>
      <w:r>
        <w:t>Rate of Food Waste as Estimated by Household Respondents</w:t>
      </w:r>
    </w:p>
    <w:p w14:paraId="47D6842C" w14:textId="77777777" w:rsidR="00053DA1" w:rsidRPr="00B22BB9" w:rsidRDefault="00053DA1" w:rsidP="00053DA1">
      <w:pPr>
        <w:pStyle w:val="Graphtitle"/>
        <w:rPr>
          <w:sz w:val="22"/>
          <w:szCs w:val="22"/>
        </w:rPr>
      </w:pPr>
      <w:r w:rsidRPr="00B22BB9">
        <w:rPr>
          <w:sz w:val="22"/>
          <w:szCs w:val="22"/>
        </w:rPr>
        <w:t>The rate of households who estimate high loss rates</w:t>
      </w:r>
    </w:p>
    <w:p w14:paraId="0B995F9C" w14:textId="77777777" w:rsidR="00053DA1" w:rsidRDefault="00053DA1" w:rsidP="00053DA1">
      <w:pPr>
        <w:pStyle w:val="Graphtitle"/>
      </w:pPr>
      <w:r w:rsidRPr="00BD2135">
        <w:rPr>
          <w:noProof/>
          <w:highlight w:val="yellow"/>
        </w:rPr>
        <w:drawing>
          <wp:inline distT="0" distB="0" distL="0" distR="0" wp14:anchorId="7D85F30F" wp14:editId="16CA7AF7">
            <wp:extent cx="5618074" cy="2457907"/>
            <wp:effectExtent l="0" t="0" r="1905" b="0"/>
            <wp:docPr id="24"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t xml:space="preserve"> </w:t>
      </w:r>
    </w:p>
    <w:p w14:paraId="15F58C10" w14:textId="77777777" w:rsidR="00053DA1" w:rsidRDefault="00053DA1" w:rsidP="00053DA1">
      <w:pPr>
        <w:pStyle w:val="graphnote0"/>
      </w:pPr>
      <w:r w:rsidRPr="00EE5C78">
        <w:rPr>
          <w:b/>
          <w:bCs/>
        </w:rPr>
        <w:t>Column captions</w:t>
      </w:r>
      <w:r>
        <w:t xml:space="preserve">: Denmark, Israel, Sweden, </w:t>
      </w:r>
      <w:r w:rsidRPr="00416C29">
        <w:t>Netherlands</w:t>
      </w:r>
      <w:r>
        <w:t xml:space="preserve">, Ireland, Greece, Finland, Latvia, Belgium, </w:t>
      </w:r>
      <w:r w:rsidRPr="00416C29">
        <w:t>United Kingdom</w:t>
      </w:r>
      <w:r>
        <w:t xml:space="preserve">, Luxemburg, Italy, Portugal, Germany, EU-27, France, Romania, Hungary, Austria, Slovenia, Bulgaria, Cyprus, Slovakia, Poland, Lithuania, Spain, Estonia, Czech Republic, Malta.  </w:t>
      </w:r>
    </w:p>
    <w:p w14:paraId="080AF19F" w14:textId="77777777" w:rsidR="00053DA1" w:rsidRDefault="00053DA1" w:rsidP="00053DA1">
      <w:pPr>
        <w:pStyle w:val="graphnote0"/>
      </w:pPr>
      <w:r>
        <w:rPr>
          <w:b/>
          <w:bCs/>
        </w:rPr>
        <w:t>Source</w:t>
      </w:r>
      <w:r>
        <w:t xml:space="preserve">: BDO analysis of data from the 2019 </w:t>
      </w:r>
      <w:proofErr w:type="spellStart"/>
      <w:r w:rsidRPr="00554E27">
        <w:t>Geocartography</w:t>
      </w:r>
      <w:proofErr w:type="spellEnd"/>
      <w:r>
        <w:t xml:space="preserve"> survey, and research published in </w:t>
      </w:r>
      <w:r w:rsidRPr="00554E27">
        <w:t>Journal of Food Policy Economic</w:t>
      </w:r>
      <w:r>
        <w:t xml:space="preserve">s, 2015.  </w:t>
      </w:r>
    </w:p>
    <w:p w14:paraId="26E40FE5" w14:textId="77777777" w:rsidR="00053DA1" w:rsidRPr="00B86881" w:rsidRDefault="00053DA1" w:rsidP="00053DA1">
      <w:pPr>
        <w:pStyle w:val="BodyText"/>
        <w:rPr>
          <w:rStyle w:val="IntenseEmphasis"/>
        </w:rPr>
      </w:pPr>
      <w:r>
        <w:t xml:space="preserve">Bold headline: </w:t>
      </w:r>
      <w:r w:rsidRPr="00B86881">
        <w:rPr>
          <w:rStyle w:val="IntenseEmphasis"/>
        </w:rPr>
        <w:t xml:space="preserve">Overall effect of food </w:t>
      </w:r>
      <w:r>
        <w:rPr>
          <w:rStyle w:val="IntenseEmphasis"/>
        </w:rPr>
        <w:t xml:space="preserve">waste </w:t>
      </w:r>
      <w:r w:rsidRPr="00B86881">
        <w:rPr>
          <w:rStyle w:val="IntenseEmphasis"/>
        </w:rPr>
        <w:t>on the cost of living</w:t>
      </w:r>
      <w:r>
        <w:rPr>
          <w:rStyle w:val="IntenseEmphasis"/>
        </w:rPr>
        <w:t>: $1,750 per household</w:t>
      </w:r>
      <w:r w:rsidRPr="00B86881">
        <w:rPr>
          <w:rStyle w:val="IntenseEmphasis"/>
        </w:rPr>
        <w:t xml:space="preserve"> </w:t>
      </w:r>
      <w:r>
        <w:rPr>
          <w:rStyle w:val="IntenseEmphasis"/>
        </w:rPr>
        <w:t xml:space="preserve">annually </w:t>
      </w:r>
    </w:p>
    <w:p w14:paraId="16428156" w14:textId="77777777" w:rsidR="00053DA1" w:rsidRDefault="00053DA1" w:rsidP="00053DA1">
      <w:pPr>
        <w:pStyle w:val="BodyText"/>
      </w:pPr>
      <w:r>
        <w:t>In Israel, where expenditure on food is relatively high by international standards,</w:t>
      </w:r>
      <w:r>
        <w:rPr>
          <w:rStyle w:val="FootnoteReference"/>
        </w:rPr>
        <w:footnoteReference w:id="7"/>
      </w:r>
      <w:r>
        <w:t xml:space="preserve"> food waste contributes to the high cost of living. Food waste impacts the cost of living by leading to excessive expenditures for food while also having an effect on food prices. The overall impact on the cost of living is an additional $1,750 per year per household.</w:t>
      </w:r>
    </w:p>
    <w:p w14:paraId="10687C1D" w14:textId="77777777" w:rsidR="00053DA1" w:rsidRDefault="00053DA1" w:rsidP="00053DA1">
      <w:pPr>
        <w:pStyle w:val="BodyText"/>
      </w:pPr>
      <w:r w:rsidRPr="00A2018E">
        <w:rPr>
          <w:b/>
          <w:bCs/>
          <w:i/>
          <w:iCs/>
        </w:rPr>
        <w:t>Cost</w:t>
      </w:r>
      <w:r>
        <w:rPr>
          <w:b/>
          <w:bCs/>
          <w:i/>
          <w:iCs/>
        </w:rPr>
        <w:t xml:space="preserve"> </w:t>
      </w:r>
      <w:r w:rsidRPr="00A2018E">
        <w:rPr>
          <w:b/>
          <w:bCs/>
          <w:i/>
          <w:iCs/>
        </w:rPr>
        <w:t>of</w:t>
      </w:r>
      <w:r>
        <w:rPr>
          <w:b/>
          <w:bCs/>
          <w:i/>
          <w:iCs/>
        </w:rPr>
        <w:t xml:space="preserve"> </w:t>
      </w:r>
      <w:r w:rsidRPr="00A2018E">
        <w:rPr>
          <w:b/>
          <w:bCs/>
          <w:i/>
          <w:iCs/>
        </w:rPr>
        <w:t>Living – Surplus expenditure</w:t>
      </w:r>
      <w:r>
        <w:t xml:space="preserve">: Food purchased and discarded as waste directly influences the cost to a household. On average, the annual loss from discarded food was determined to be $890 per household. The costs of waste collection and landfill disposal ultimately come from consumers’ pockets as well, in the form of municipal property taxes and fees, adding an additional $55 expenditure per household to dispose of food </w:t>
      </w:r>
      <w:proofErr w:type="gramStart"/>
      <w:r>
        <w:t>waste .</w:t>
      </w:r>
      <w:proofErr w:type="gramEnd"/>
    </w:p>
    <w:p w14:paraId="136E1D09" w14:textId="77777777" w:rsidR="00053DA1" w:rsidRDefault="00053DA1" w:rsidP="00053DA1">
      <w:pPr>
        <w:pStyle w:val="BodyText"/>
      </w:pPr>
      <w:r w:rsidRPr="00B648E4">
        <w:rPr>
          <w:b/>
          <w:bCs/>
          <w:i/>
          <w:iCs/>
        </w:rPr>
        <w:lastRenderedPageBreak/>
        <w:t>Cost</w:t>
      </w:r>
      <w:r>
        <w:rPr>
          <w:b/>
          <w:bCs/>
          <w:i/>
          <w:iCs/>
        </w:rPr>
        <w:t xml:space="preserve"> </w:t>
      </w:r>
      <w:r w:rsidRPr="00B648E4">
        <w:rPr>
          <w:b/>
          <w:bCs/>
          <w:i/>
          <w:iCs/>
        </w:rPr>
        <w:t>of</w:t>
      </w:r>
      <w:r>
        <w:rPr>
          <w:b/>
          <w:bCs/>
          <w:i/>
          <w:iCs/>
        </w:rPr>
        <w:t xml:space="preserve"> L</w:t>
      </w:r>
      <w:r w:rsidRPr="00B648E4">
        <w:rPr>
          <w:b/>
          <w:bCs/>
          <w:i/>
          <w:iCs/>
        </w:rPr>
        <w:t xml:space="preserve">iving </w:t>
      </w:r>
      <w:r>
        <w:rPr>
          <w:b/>
          <w:bCs/>
          <w:i/>
          <w:iCs/>
        </w:rPr>
        <w:t xml:space="preserve">– Higher </w:t>
      </w:r>
      <w:r w:rsidRPr="00B648E4">
        <w:rPr>
          <w:b/>
          <w:bCs/>
          <w:i/>
          <w:iCs/>
        </w:rPr>
        <w:t>food prices</w:t>
      </w:r>
      <w:r>
        <w:t xml:space="preserve">: In addition to a households’ direct surplus expenditure for food purchased but not consumed, food wasted during all stages of the value chain prior to household consumption influences the cost of living. In economic terms, the cost of food reflects total production and sales costs at all stages of the value </w:t>
      </w:r>
      <w:r w:rsidRPr="0028334A">
        <w:t>chain:</w:t>
      </w:r>
      <w:r>
        <w:t xml:space="preserve"> growing, production, packaging, transport and marketing. Therefore, the price of food in supermarkets incorporates the value of food waste in the retail sector. Similarly, the price of wholesale food reflects its loss in the agricultural and industrial sectors. Ultimately, the cost of waste at all stages of the value chain is passed on to the consumer, causing an additional annual cost of $805, in the form of an 11% increase in food prices.</w:t>
      </w:r>
    </w:p>
    <w:p w14:paraId="025C941A" w14:textId="77777777" w:rsidR="00053DA1" w:rsidRDefault="00053DA1" w:rsidP="00053DA1">
      <w:pPr>
        <w:rPr>
          <w:rFonts w:eastAsia="Calibri" w:cs="Times New Roman"/>
          <w:b/>
          <w:bCs/>
          <w:sz w:val="24"/>
          <w:szCs w:val="24"/>
        </w:rPr>
      </w:pPr>
    </w:p>
    <w:p w14:paraId="34AA54E8" w14:textId="77777777" w:rsidR="00053DA1" w:rsidRDefault="00053DA1" w:rsidP="00053DA1">
      <w:pPr>
        <w:pStyle w:val="Tabletitle"/>
      </w:pPr>
      <w:r>
        <w:t>Food Waste: Impact on the Cost of Living</w:t>
      </w:r>
    </w:p>
    <w:tbl>
      <w:tblPr>
        <w:tblStyle w:val="GridTable5Dark-Accent21"/>
        <w:tblW w:w="8680" w:type="dxa"/>
        <w:jc w:val="center"/>
        <w:tblLook w:val="04A0" w:firstRow="1" w:lastRow="0" w:firstColumn="1" w:lastColumn="0" w:noHBand="0" w:noVBand="1"/>
      </w:tblPr>
      <w:tblGrid>
        <w:gridCol w:w="3880"/>
        <w:gridCol w:w="2159"/>
        <w:gridCol w:w="2641"/>
      </w:tblGrid>
      <w:tr w:rsidR="00053DA1" w:rsidRPr="00987855" w14:paraId="57841752" w14:textId="77777777" w:rsidTr="00AB739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left w:val="single" w:sz="4" w:space="0" w:color="auto"/>
            </w:tcBorders>
            <w:hideMark/>
          </w:tcPr>
          <w:p w14:paraId="05880940" w14:textId="77777777" w:rsidR="00053DA1" w:rsidRPr="003149F0" w:rsidRDefault="00053DA1" w:rsidP="00AB7392">
            <w:pPr>
              <w:pStyle w:val="tabletext"/>
            </w:pPr>
          </w:p>
        </w:tc>
        <w:tc>
          <w:tcPr>
            <w:tcW w:w="2159" w:type="dxa"/>
            <w:tcBorders>
              <w:top w:val="single" w:sz="4" w:space="0" w:color="auto"/>
            </w:tcBorders>
            <w:vAlign w:val="center"/>
            <w:hideMark/>
          </w:tcPr>
          <w:p w14:paraId="4ED792DF" w14:textId="77777777" w:rsidR="00053DA1" w:rsidRPr="003149F0" w:rsidRDefault="00053DA1" w:rsidP="00AB7392">
            <w:pPr>
              <w:pStyle w:val="Tableheader"/>
              <w:cnfStyle w:val="100000000000" w:firstRow="1" w:lastRow="0" w:firstColumn="0" w:lastColumn="0" w:oddVBand="0" w:evenVBand="0" w:oddHBand="0" w:evenHBand="0" w:firstRowFirstColumn="0" w:firstRowLastColumn="0" w:lastRowFirstColumn="0" w:lastRowLastColumn="0"/>
            </w:pPr>
            <w:r w:rsidRPr="003149F0">
              <w:t>Annual cost</w:t>
            </w:r>
            <w:r>
              <w:rPr>
                <w:rFonts w:hint="cs"/>
                <w:rtl/>
              </w:rPr>
              <w:t xml:space="preserve"> </w:t>
            </w:r>
            <w:r>
              <w:t>per household ($)</w:t>
            </w:r>
          </w:p>
        </w:tc>
        <w:tc>
          <w:tcPr>
            <w:tcW w:w="2641" w:type="dxa"/>
            <w:tcBorders>
              <w:top w:val="single" w:sz="4" w:space="0" w:color="auto"/>
              <w:right w:val="single" w:sz="4" w:space="0" w:color="auto"/>
            </w:tcBorders>
            <w:vAlign w:val="center"/>
            <w:hideMark/>
          </w:tcPr>
          <w:p w14:paraId="3F2A5ED0" w14:textId="77777777" w:rsidR="00053DA1" w:rsidRPr="003149F0" w:rsidRDefault="00053DA1" w:rsidP="00AB7392">
            <w:pPr>
              <w:pStyle w:val="Tableheader"/>
              <w:cnfStyle w:val="100000000000" w:firstRow="1" w:lastRow="0" w:firstColumn="0" w:lastColumn="0" w:oddVBand="0" w:evenVBand="0" w:oddHBand="0" w:evenHBand="0" w:firstRowFirstColumn="0" w:firstRowLastColumn="0" w:lastRowFirstColumn="0" w:lastRowLastColumn="0"/>
              <w:rPr>
                <w:rtl/>
              </w:rPr>
            </w:pPr>
            <w:r w:rsidRPr="003149F0">
              <w:t>Impact o</w:t>
            </w:r>
            <w:r>
              <w:t>n</w:t>
            </w:r>
            <w:r w:rsidRPr="003149F0">
              <w:t xml:space="preserve"> the cost of food</w:t>
            </w:r>
          </w:p>
        </w:tc>
      </w:tr>
      <w:tr w:rsidR="00053DA1" w:rsidRPr="00987855" w14:paraId="18B0C367" w14:textId="77777777" w:rsidTr="00AB7392">
        <w:trPr>
          <w:cnfStyle w:val="000000100000" w:firstRow="0" w:lastRow="0" w:firstColumn="0" w:lastColumn="0" w:oddVBand="0" w:evenVBand="0" w:oddHBand="1" w:evenHBand="0" w:firstRowFirstColumn="0" w:firstRowLastColumn="0" w:lastRowFirstColumn="0" w:lastRowLastColumn="0"/>
          <w:trHeight w:val="236"/>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tcPr>
          <w:p w14:paraId="017F82C1" w14:textId="77777777" w:rsidR="00053DA1" w:rsidRPr="003149F0" w:rsidRDefault="00053DA1" w:rsidP="00AB7392">
            <w:pPr>
              <w:pStyle w:val="tabletext"/>
              <w:rPr>
                <w:rtl/>
              </w:rPr>
            </w:pPr>
            <w:r w:rsidRPr="003149F0">
              <w:t>Cost of food discarded at home</w:t>
            </w:r>
          </w:p>
        </w:tc>
        <w:tc>
          <w:tcPr>
            <w:tcW w:w="2159" w:type="dxa"/>
          </w:tcPr>
          <w:p w14:paraId="13C7D10D" w14:textId="77777777" w:rsidR="00053DA1" w:rsidRPr="00D9239D"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D9239D">
              <w:rPr>
                <w:rtl/>
              </w:rPr>
              <w:t>‏</w:t>
            </w:r>
            <w:r>
              <w:rPr>
                <w:rFonts w:hint="cs"/>
                <w:rtl/>
              </w:rPr>
              <w:t>890</w:t>
            </w:r>
          </w:p>
        </w:tc>
        <w:tc>
          <w:tcPr>
            <w:tcW w:w="2641" w:type="dxa"/>
            <w:tcBorders>
              <w:right w:val="single" w:sz="4" w:space="0" w:color="auto"/>
            </w:tcBorders>
          </w:tcPr>
          <w:p w14:paraId="73AB9645" w14:textId="77777777" w:rsidR="00053DA1" w:rsidRPr="00D9239D"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D9239D">
              <w:rPr>
                <w:rtl/>
              </w:rPr>
              <w:t>‏-‏</w:t>
            </w:r>
          </w:p>
        </w:tc>
      </w:tr>
      <w:tr w:rsidR="00053DA1" w:rsidRPr="00987855" w14:paraId="49BB01D4" w14:textId="77777777" w:rsidTr="00AB7392">
        <w:trPr>
          <w:trHeight w:val="496"/>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tcPr>
          <w:p w14:paraId="5044F8B2" w14:textId="77777777" w:rsidR="00053DA1" w:rsidRPr="003149F0" w:rsidRDefault="00053DA1" w:rsidP="00AB7392">
            <w:pPr>
              <w:pStyle w:val="tabletext"/>
              <w:rPr>
                <w:rtl/>
              </w:rPr>
            </w:pPr>
            <w:r w:rsidRPr="003149F0">
              <w:t>Cost of collection and landfill</w:t>
            </w:r>
            <w:r>
              <w:t xml:space="preserve"> disposal</w:t>
            </w:r>
            <w:r w:rsidRPr="003149F0">
              <w:t xml:space="preserve"> for discarded food</w:t>
            </w:r>
          </w:p>
        </w:tc>
        <w:tc>
          <w:tcPr>
            <w:tcW w:w="2159" w:type="dxa"/>
          </w:tcPr>
          <w:p w14:paraId="010599F0" w14:textId="77777777" w:rsidR="00053DA1" w:rsidRPr="00D9239D"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sidRPr="00D9239D">
              <w:rPr>
                <w:rtl/>
              </w:rPr>
              <w:t>‏</w:t>
            </w:r>
            <w:r>
              <w:rPr>
                <w:rFonts w:hint="cs"/>
                <w:rtl/>
              </w:rPr>
              <w:t>55</w:t>
            </w:r>
          </w:p>
        </w:tc>
        <w:tc>
          <w:tcPr>
            <w:tcW w:w="2641" w:type="dxa"/>
            <w:tcBorders>
              <w:right w:val="single" w:sz="4" w:space="0" w:color="auto"/>
            </w:tcBorders>
          </w:tcPr>
          <w:p w14:paraId="4EEF346C" w14:textId="77777777" w:rsidR="00053DA1" w:rsidRPr="00D9239D"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sidRPr="00D9239D">
              <w:rPr>
                <w:rtl/>
              </w:rPr>
              <w:t>‏-‏</w:t>
            </w:r>
          </w:p>
        </w:tc>
      </w:tr>
      <w:tr w:rsidR="00053DA1" w:rsidRPr="00987855" w14:paraId="1FD77872" w14:textId="77777777" w:rsidTr="00AB7392">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tcPr>
          <w:p w14:paraId="26420B38" w14:textId="77777777" w:rsidR="00053DA1" w:rsidRPr="003149F0" w:rsidRDefault="00053DA1" w:rsidP="00AB7392">
            <w:pPr>
              <w:pStyle w:val="tabletext"/>
            </w:pPr>
            <w:r w:rsidRPr="003149F0">
              <w:t xml:space="preserve">Increase in the retail price </w:t>
            </w:r>
            <w:r>
              <w:t>due to</w:t>
            </w:r>
            <w:r w:rsidRPr="003149F0">
              <w:t xml:space="preserve"> food loss in the marketing se</w:t>
            </w:r>
            <w:r>
              <w:t>ctor</w:t>
            </w:r>
          </w:p>
        </w:tc>
        <w:tc>
          <w:tcPr>
            <w:tcW w:w="2159" w:type="dxa"/>
          </w:tcPr>
          <w:p w14:paraId="4EB517B8" w14:textId="77777777" w:rsidR="00053DA1" w:rsidRPr="00D9239D"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D9239D">
              <w:rPr>
                <w:rtl/>
              </w:rPr>
              <w:t>‏</w:t>
            </w:r>
            <w:r>
              <w:rPr>
                <w:rFonts w:hint="cs"/>
                <w:rtl/>
              </w:rPr>
              <w:t>470</w:t>
            </w:r>
          </w:p>
        </w:tc>
        <w:tc>
          <w:tcPr>
            <w:tcW w:w="2641" w:type="dxa"/>
            <w:tcBorders>
              <w:right w:val="single" w:sz="4" w:space="0" w:color="auto"/>
            </w:tcBorders>
          </w:tcPr>
          <w:p w14:paraId="145BC669" w14:textId="77777777" w:rsidR="00053DA1" w:rsidRPr="00D9239D"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D9239D">
              <w:rPr>
                <w:rtl/>
              </w:rPr>
              <w:t>‏6%‏</w:t>
            </w:r>
          </w:p>
        </w:tc>
      </w:tr>
      <w:tr w:rsidR="00053DA1" w:rsidRPr="00987855" w14:paraId="761FE49B" w14:textId="77777777" w:rsidTr="00AB7392">
        <w:trPr>
          <w:trHeight w:val="299"/>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tcBorders>
            <w:vAlign w:val="center"/>
          </w:tcPr>
          <w:p w14:paraId="28348023" w14:textId="77777777" w:rsidR="00053DA1" w:rsidRPr="003149F0" w:rsidRDefault="00053DA1" w:rsidP="00AB7392">
            <w:pPr>
              <w:pStyle w:val="tabletext"/>
            </w:pPr>
            <w:r w:rsidRPr="003149F0">
              <w:t xml:space="preserve">Increase in the </w:t>
            </w:r>
            <w:r>
              <w:t>wholesale</w:t>
            </w:r>
            <w:r w:rsidRPr="003149F0">
              <w:t xml:space="preserve"> price </w:t>
            </w:r>
            <w:r>
              <w:t>due to</w:t>
            </w:r>
            <w:r w:rsidRPr="003149F0">
              <w:t xml:space="preserve"> food loss in the production se</w:t>
            </w:r>
            <w:r>
              <w:t>ctor</w:t>
            </w:r>
          </w:p>
        </w:tc>
        <w:tc>
          <w:tcPr>
            <w:tcW w:w="2159" w:type="dxa"/>
          </w:tcPr>
          <w:p w14:paraId="01248693" w14:textId="77777777" w:rsidR="00053DA1" w:rsidRPr="00D9239D"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sidRPr="00D9239D">
              <w:rPr>
                <w:rtl/>
              </w:rPr>
              <w:t>‏</w:t>
            </w:r>
            <w:r>
              <w:rPr>
                <w:rFonts w:hint="cs"/>
                <w:rtl/>
              </w:rPr>
              <w:t>335</w:t>
            </w:r>
          </w:p>
        </w:tc>
        <w:tc>
          <w:tcPr>
            <w:tcW w:w="2641" w:type="dxa"/>
            <w:tcBorders>
              <w:right w:val="single" w:sz="4" w:space="0" w:color="auto"/>
            </w:tcBorders>
          </w:tcPr>
          <w:p w14:paraId="714B704B" w14:textId="77777777" w:rsidR="00053DA1" w:rsidRPr="00D9239D" w:rsidRDefault="00053DA1" w:rsidP="00AB7392">
            <w:pPr>
              <w:pStyle w:val="Tablenumbers"/>
              <w:cnfStyle w:val="000000000000" w:firstRow="0" w:lastRow="0" w:firstColumn="0" w:lastColumn="0" w:oddVBand="0" w:evenVBand="0" w:oddHBand="0" w:evenHBand="0" w:firstRowFirstColumn="0" w:firstRowLastColumn="0" w:lastRowFirstColumn="0" w:lastRowLastColumn="0"/>
            </w:pPr>
            <w:r w:rsidRPr="00D9239D">
              <w:rPr>
                <w:rtl/>
              </w:rPr>
              <w:t>‏5%‏</w:t>
            </w:r>
          </w:p>
        </w:tc>
      </w:tr>
      <w:tr w:rsidR="00053DA1" w:rsidRPr="00987855" w14:paraId="7826225C" w14:textId="77777777" w:rsidTr="00AB7392">
        <w:trPr>
          <w:cnfStyle w:val="000000100000" w:firstRow="0" w:lastRow="0" w:firstColumn="0" w:lastColumn="0" w:oddVBand="0" w:evenVBand="0" w:oddHBand="1" w:evenHBand="0" w:firstRowFirstColumn="0" w:firstRowLastColumn="0" w:lastRowFirstColumn="0" w:lastRowLastColumn="0"/>
          <w:trHeight w:val="110"/>
          <w:jc w:val="center"/>
        </w:trPr>
        <w:tc>
          <w:tcPr>
            <w:cnfStyle w:val="001000000000" w:firstRow="0" w:lastRow="0" w:firstColumn="1" w:lastColumn="0" w:oddVBand="0" w:evenVBand="0" w:oddHBand="0" w:evenHBand="0" w:firstRowFirstColumn="0" w:firstRowLastColumn="0" w:lastRowFirstColumn="0" w:lastRowLastColumn="0"/>
            <w:tcW w:w="3880" w:type="dxa"/>
            <w:tcBorders>
              <w:left w:val="single" w:sz="4" w:space="0" w:color="auto"/>
              <w:bottom w:val="single" w:sz="4" w:space="0" w:color="auto"/>
            </w:tcBorders>
            <w:vAlign w:val="center"/>
          </w:tcPr>
          <w:p w14:paraId="40920153" w14:textId="77777777" w:rsidR="00053DA1" w:rsidRPr="003149F0" w:rsidRDefault="00053DA1" w:rsidP="00AB7392">
            <w:pPr>
              <w:pStyle w:val="tabletext"/>
              <w:rPr>
                <w:rtl/>
              </w:rPr>
            </w:pPr>
            <w:r w:rsidRPr="003149F0">
              <w:t>Total</w:t>
            </w:r>
          </w:p>
        </w:tc>
        <w:tc>
          <w:tcPr>
            <w:tcW w:w="2159" w:type="dxa"/>
            <w:tcBorders>
              <w:bottom w:val="single" w:sz="4" w:space="0" w:color="auto"/>
            </w:tcBorders>
          </w:tcPr>
          <w:p w14:paraId="3C49A019" w14:textId="77777777" w:rsidR="00053DA1" w:rsidRPr="00D9239D"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D9239D">
              <w:rPr>
                <w:rtl/>
              </w:rPr>
              <w:t>‏</w:t>
            </w:r>
            <w:r>
              <w:rPr>
                <w:rFonts w:hint="cs"/>
                <w:rtl/>
              </w:rPr>
              <w:t>1,750</w:t>
            </w:r>
          </w:p>
        </w:tc>
        <w:tc>
          <w:tcPr>
            <w:tcW w:w="2641" w:type="dxa"/>
            <w:tcBorders>
              <w:bottom w:val="single" w:sz="4" w:space="0" w:color="auto"/>
              <w:right w:val="single" w:sz="4" w:space="0" w:color="auto"/>
            </w:tcBorders>
          </w:tcPr>
          <w:p w14:paraId="6F8FBBD7" w14:textId="77777777" w:rsidR="00053DA1" w:rsidRPr="00D9239D" w:rsidRDefault="00053DA1" w:rsidP="00AB7392">
            <w:pPr>
              <w:pStyle w:val="Tablenumbers"/>
              <w:cnfStyle w:val="000000100000" w:firstRow="0" w:lastRow="0" w:firstColumn="0" w:lastColumn="0" w:oddVBand="0" w:evenVBand="0" w:oddHBand="1" w:evenHBand="0" w:firstRowFirstColumn="0" w:firstRowLastColumn="0" w:lastRowFirstColumn="0" w:lastRowLastColumn="0"/>
            </w:pPr>
            <w:r w:rsidRPr="00D9239D">
              <w:rPr>
                <w:rtl/>
              </w:rPr>
              <w:t>‏11%‏</w:t>
            </w:r>
          </w:p>
        </w:tc>
      </w:tr>
    </w:tbl>
    <w:p w14:paraId="6A011BFB" w14:textId="77777777" w:rsidR="00053DA1" w:rsidRDefault="00053DA1" w:rsidP="00053DA1"/>
    <w:p w14:paraId="479B5010" w14:textId="77777777" w:rsidR="00053DA1" w:rsidRDefault="00053DA1" w:rsidP="00053DA1">
      <w:pPr>
        <w:pStyle w:val="BodyText"/>
      </w:pPr>
      <w:r w:rsidRPr="009C0A1F">
        <w:t xml:space="preserve">Beyond </w:t>
      </w:r>
      <w:r>
        <w:t>the direct impact on cost of living and cost of disposal to landfills, other external costs are incurred by the public through the transportation of waste, fuel combustion, road congestion, environmental damage caused by emissions of greenhouse gases, and soil contamination. When organic waste is buried in landfills, it decomposes and emits methane gas, a greenhouse gas whose impact on global warming is twenty-five times greater than that of carbon dioxide.</w:t>
      </w:r>
    </w:p>
    <w:p w14:paraId="2C5B5486" w14:textId="77777777" w:rsidR="00053DA1" w:rsidRDefault="00053DA1" w:rsidP="00053DA1">
      <w:pPr>
        <w:pStyle w:val="BodyText"/>
      </w:pPr>
      <w:r w:rsidRPr="0028334A">
        <w:t xml:space="preserve">According to findings of the 2018 </w:t>
      </w:r>
      <w:r>
        <w:t xml:space="preserve">National </w:t>
      </w:r>
      <w:r w:rsidRPr="0028334A">
        <w:t xml:space="preserve">Food Waste </w:t>
      </w:r>
      <w:r>
        <w:t xml:space="preserve">and Rescue </w:t>
      </w:r>
      <w:r w:rsidRPr="0028334A">
        <w:t>Report</w:t>
      </w:r>
      <w:r>
        <w:t xml:space="preserve">, 1,940 million </w:t>
      </w:r>
      <w:r w:rsidRPr="0052689B">
        <w:t>pounds</w:t>
      </w:r>
      <w:r>
        <w:t xml:space="preserve"> of household food waste in Israel was disposed of in landfills, causing 280,000 additional trips per year by sanitation trucks, thereby increasing air pollution, road congestion, noise and the risk of accidents. Therefore, beyond the $2.2 billion value of household food waste itself and $140 million for its disposal, additional external costs are </w:t>
      </w:r>
      <w:r>
        <w:lastRenderedPageBreak/>
        <w:t>also incurred due to the effects of traffic congestion and resulting impacts to the environment.</w:t>
      </w:r>
    </w:p>
    <w:p w14:paraId="46C662EF" w14:textId="77777777" w:rsidR="00053DA1" w:rsidRPr="007277E7" w:rsidRDefault="00053DA1" w:rsidP="00053DA1">
      <w:pPr>
        <w:pStyle w:val="BodyText"/>
        <w:rPr>
          <w:rStyle w:val="IntenseEmphasis"/>
        </w:rPr>
      </w:pPr>
      <w:r>
        <w:t xml:space="preserve">Bold headline: </w:t>
      </w:r>
      <w:r w:rsidRPr="007277E7">
        <w:rPr>
          <w:rStyle w:val="IntenseEmphasis"/>
        </w:rPr>
        <w:t xml:space="preserve">International Experience </w:t>
      </w:r>
      <w:r>
        <w:rPr>
          <w:rStyle w:val="IntenseEmphasis"/>
        </w:rPr>
        <w:t>–</w:t>
      </w:r>
      <w:r w:rsidRPr="007277E7">
        <w:rPr>
          <w:rStyle w:val="IntenseEmphasis"/>
        </w:rPr>
        <w:t xml:space="preserve"> Measures to Reduce </w:t>
      </w:r>
      <w:r>
        <w:rPr>
          <w:rStyle w:val="IntenseEmphasis"/>
        </w:rPr>
        <w:t xml:space="preserve">Household </w:t>
      </w:r>
      <w:r w:rsidRPr="007277E7">
        <w:rPr>
          <w:rStyle w:val="IntenseEmphasis"/>
        </w:rPr>
        <w:t xml:space="preserve">Food </w:t>
      </w:r>
      <w:r>
        <w:rPr>
          <w:rStyle w:val="IntenseEmphasis"/>
        </w:rPr>
        <w:t xml:space="preserve">Waste </w:t>
      </w:r>
    </w:p>
    <w:p w14:paraId="43CE44E3" w14:textId="77777777" w:rsidR="00053DA1" w:rsidRDefault="00053DA1" w:rsidP="00053DA1">
      <w:pPr>
        <w:pStyle w:val="BodyText"/>
      </w:pPr>
      <w:r>
        <w:t>Several countries have begun efforts to reduce household food waste. These efforts are being made on several levels including: increasing consumer awareness of food wastage, education to prevent loss, the use of technology to reduce waste, taxation and more.</w:t>
      </w:r>
    </w:p>
    <w:p w14:paraId="5B359F0A" w14:textId="77777777" w:rsidR="00053DA1" w:rsidRDefault="00053DA1" w:rsidP="00053DA1">
      <w:pPr>
        <w:pStyle w:val="BodyText"/>
      </w:pPr>
      <w:r>
        <w:t>In 2013, the British Food Rescue Organization WRAP began the “Love Food Hate Waste” project, a campaign to raise awareness about the importance of reducing food loss and helping people take action on the issue. The project included digital publications and community events, such as cooking classes. As part of the project, a dedicated website was created, containing information to help facilitate the reduction of food waste. By way of example, subjects included the calibration of refrigerators to optimal temperatures, and the importance of preparing a shopping list, etc.</w:t>
      </w:r>
    </w:p>
    <w:p w14:paraId="33233606" w14:textId="77777777" w:rsidR="00053DA1" w:rsidRDefault="00053DA1" w:rsidP="00053DA1">
      <w:pPr>
        <w:pStyle w:val="BodyText"/>
      </w:pPr>
      <w:r>
        <w:t xml:space="preserve">WRAP examined the effects of its activities in west London over a six-month period from October 2012 to March 2013. At the end of the campaign, the quantity of food waste dropped by 14%, from 5.7 pound per household in the week before the campaign, to 4.8 pound per household in the week after the campaign. A cost-benefit analysis of the project revealed that every </w:t>
      </w:r>
      <w:r>
        <w:rPr>
          <w:rFonts w:cstheme="minorHAnsi"/>
        </w:rPr>
        <w:t>₤</w:t>
      </w:r>
      <w:r>
        <w:t xml:space="preserve">1.00 invested in the campaign resulted in an </w:t>
      </w:r>
      <w:r w:rsidRPr="0028334A">
        <w:t>₤</w:t>
      </w:r>
      <w:r>
        <w:t>8.00 savings from the reduction of food waste.</w:t>
      </w:r>
    </w:p>
    <w:p w14:paraId="68DC5387" w14:textId="77777777" w:rsidR="00053DA1" w:rsidRDefault="00053DA1" w:rsidP="00053DA1">
      <w:pPr>
        <w:pStyle w:val="BodyText"/>
      </w:pPr>
      <w:r>
        <w:t xml:space="preserve">In Israel, the </w:t>
      </w:r>
      <w:r w:rsidRPr="00703621">
        <w:t xml:space="preserve">Postharvest Science of Fresh Produce </w:t>
      </w:r>
      <w:r>
        <w:t xml:space="preserve">Department at the </w:t>
      </w:r>
      <w:proofErr w:type="spellStart"/>
      <w:r>
        <w:t>Volcani</w:t>
      </w:r>
      <w:proofErr w:type="spellEnd"/>
      <w:r>
        <w:t xml:space="preserve"> Institute has published guidelines for the preservation of fruits and vegetables for private households.</w:t>
      </w:r>
      <w:r>
        <w:rPr>
          <w:rStyle w:val="FootnoteReference"/>
        </w:rPr>
        <w:footnoteReference w:id="8"/>
      </w:r>
    </w:p>
    <w:p w14:paraId="677D4997" w14:textId="77777777" w:rsidR="00053DA1" w:rsidRDefault="00053DA1" w:rsidP="00053DA1">
      <w:pPr>
        <w:pStyle w:val="BodyText"/>
      </w:pPr>
      <w:r>
        <w:t>Technological means provide another path towards reducing food waste. In the Netherlands, research was conducted on optimal temperatures for extending the shelf life of various products. By changing the storage temperatures, researchers were able to significantly extend the shelf life of the products.</w:t>
      </w:r>
    </w:p>
    <w:p w14:paraId="293D6900" w14:textId="2DBB83A3" w:rsidR="00293231" w:rsidRPr="00053DA1" w:rsidRDefault="00053DA1" w:rsidP="00053DA1">
      <w:pPr>
        <w:pStyle w:val="BodyText"/>
      </w:pPr>
      <w:r>
        <w:lastRenderedPageBreak/>
        <w:t xml:space="preserve">An additional way to reduce household waste is through taxation. In many countries, what’s known as the “pay as you throw” method has been employed. Countries currently implementing “pay as you throw” include </w:t>
      </w:r>
      <w:r w:rsidRPr="001D1CD9">
        <w:t>the US, Canada, Austria, Germany, Spain, Japan and other</w:t>
      </w:r>
      <w:r>
        <w:t>s. Through this method, the fee each household pays to the municipality or waste collection agency depends on the amount of unsorted waste it discards. As a result, the “pay as you throw” method encourages both recycling and reduction in food waste, because food accounts for a significant portion of the volume of household waste.</w:t>
      </w:r>
    </w:p>
    <w:p w14:paraId="33F1DC4C" w14:textId="77777777" w:rsidR="00293231" w:rsidRDefault="00293231" w:rsidP="00293231">
      <w:pPr>
        <w:rPr>
          <w:rFonts w:eastAsiaTheme="majorEastAsia" w:cstheme="minorHAnsi"/>
          <w:b/>
          <w:bCs/>
          <w:iCs/>
          <w:color w:val="FF0000"/>
          <w:spacing w:val="5"/>
          <w:kern w:val="28"/>
          <w:sz w:val="32"/>
          <w:szCs w:val="32"/>
        </w:rPr>
      </w:pPr>
      <w:r>
        <w:br w:type="page"/>
      </w:r>
    </w:p>
    <w:p w14:paraId="0896AF17" w14:textId="77777777" w:rsidR="00293231" w:rsidRDefault="00293231" w:rsidP="00293231">
      <w:pPr>
        <w:pStyle w:val="Heading1"/>
      </w:pPr>
      <w:bookmarkStart w:id="13" w:name="_Toc505547256"/>
      <w:bookmarkStart w:id="14" w:name="_Toc951795"/>
      <w:r w:rsidRPr="008F3D9C">
        <w:lastRenderedPageBreak/>
        <w:t>Food Waste and Rescue in Institutional Consumption</w:t>
      </w:r>
      <w:bookmarkEnd w:id="13"/>
      <w:bookmarkEnd w:id="14"/>
    </w:p>
    <w:p w14:paraId="17C7C054" w14:textId="461D1BF8" w:rsidR="00293231" w:rsidRPr="00670086" w:rsidRDefault="00293231" w:rsidP="00E65EFE">
      <w:pPr>
        <w:pStyle w:val="BodyText"/>
        <w:rPr>
          <w:b/>
          <w:bCs/>
        </w:rPr>
      </w:pPr>
      <w:r w:rsidRPr="00670086">
        <w:rPr>
          <w:u w:val="single"/>
        </w:rPr>
        <w:t>Bold chapter head</w:t>
      </w:r>
      <w:r w:rsidRPr="00740FC1">
        <w:t>:</w:t>
      </w:r>
      <w:r>
        <w:t xml:space="preserve"> </w:t>
      </w:r>
      <w:r w:rsidRPr="00670086">
        <w:rPr>
          <w:b/>
          <w:bCs/>
        </w:rPr>
        <w:t>Nearly 1/3 of waste from institutional consumption is rescuable // Approximately 7</w:t>
      </w:r>
      <w:r w:rsidR="00E65EFE" w:rsidRPr="00E65EFE">
        <w:rPr>
          <w:b/>
          <w:bCs/>
          <w:highlight w:val="cyan"/>
        </w:rPr>
        <w:t>5</w:t>
      </w:r>
      <w:r w:rsidRPr="00670086">
        <w:rPr>
          <w:b/>
          <w:bCs/>
        </w:rPr>
        <w:t xml:space="preserve">,000 tons of food could be saved each year, worth NIS 1.2 billion. </w:t>
      </w:r>
    </w:p>
    <w:p w14:paraId="652A081E" w14:textId="5DCA8268" w:rsidR="00293231" w:rsidRPr="008F3D9C" w:rsidRDefault="00293231" w:rsidP="00FF3E09">
      <w:pPr>
        <w:pStyle w:val="BodyText"/>
      </w:pPr>
      <w:r w:rsidRPr="008F3D9C">
        <w:t>Approximately 20% of the food consumed in Israel is served in institutional catering</w:t>
      </w:r>
      <w:r>
        <w:t xml:space="preserve"> operations</w:t>
      </w:r>
      <w:r w:rsidRPr="008F3D9C">
        <w:t xml:space="preserve">: meals served at factories, workplaces, </w:t>
      </w:r>
      <w:r>
        <w:t>security forces (Israel Defense Forces [</w:t>
      </w:r>
      <w:r w:rsidRPr="008F3D9C">
        <w:t>IDF</w:t>
      </w:r>
      <w:r>
        <w:t>] bases</w:t>
      </w:r>
      <w:r w:rsidRPr="008F3D9C">
        <w:t xml:space="preserve">, police stations, </w:t>
      </w:r>
      <w:r>
        <w:t xml:space="preserve">prisons), </w:t>
      </w:r>
      <w:r w:rsidRPr="008F3D9C">
        <w:t>hotels, catering halls, restaurants, schools, hospitals, etc.</w:t>
      </w:r>
      <w:r w:rsidRPr="008F3D9C">
        <w:rPr>
          <w:rStyle w:val="FootnoteReference"/>
        </w:rPr>
        <w:footnoteReference w:id="9"/>
      </w:r>
      <w:r>
        <w:t xml:space="preserve"> </w:t>
      </w:r>
      <w:r w:rsidR="006A6790" w:rsidRPr="006A6790">
        <w:rPr>
          <w:highlight w:val="cyan"/>
        </w:rPr>
        <w:t xml:space="preserve">This sector, in which many diners eat </w:t>
      </w:r>
      <w:r w:rsidR="00053DA1">
        <w:rPr>
          <w:highlight w:val="cyan"/>
        </w:rPr>
        <w:t xml:space="preserve">are </w:t>
      </w:r>
      <w:r w:rsidR="006A6790" w:rsidRPr="006A6790">
        <w:rPr>
          <w:highlight w:val="cyan"/>
        </w:rPr>
        <w:t xml:space="preserve">gathered in one </w:t>
      </w:r>
      <w:r w:rsidR="00053DA1">
        <w:rPr>
          <w:highlight w:val="cyan"/>
        </w:rPr>
        <w:t>location</w:t>
      </w:r>
      <w:r w:rsidR="006A6790" w:rsidRPr="006A6790">
        <w:rPr>
          <w:highlight w:val="cyan"/>
        </w:rPr>
        <w:t>, has the</w:t>
      </w:r>
      <w:r w:rsidR="00FF3E09">
        <w:rPr>
          <w:highlight w:val="cyan"/>
        </w:rPr>
        <w:t xml:space="preserve"> </w:t>
      </w:r>
      <w:r w:rsidR="00053DA1">
        <w:rPr>
          <w:highlight w:val="cyan"/>
        </w:rPr>
        <w:t>greatest</w:t>
      </w:r>
      <w:r w:rsidR="006A6790" w:rsidRPr="006A6790">
        <w:rPr>
          <w:highlight w:val="cyan"/>
        </w:rPr>
        <w:t xml:space="preserve"> potential for food rescue.</w:t>
      </w:r>
    </w:p>
    <w:p w14:paraId="18864A2E" w14:textId="0D0742D7" w:rsidR="00293231" w:rsidRDefault="00293231" w:rsidP="006A6790">
      <w:pPr>
        <w:pStyle w:val="BodyText"/>
      </w:pPr>
      <w:r w:rsidRPr="008F3D9C">
        <w:t xml:space="preserve">According to BDO estimates, on an average day in </w:t>
      </w:r>
      <w:r w:rsidRPr="006A6790">
        <w:rPr>
          <w:highlight w:val="cyan"/>
        </w:rPr>
        <w:t>201</w:t>
      </w:r>
      <w:r w:rsidR="006A6790" w:rsidRPr="006A6790">
        <w:rPr>
          <w:highlight w:val="cyan"/>
        </w:rPr>
        <w:t>8</w:t>
      </w:r>
      <w:r w:rsidRPr="008F3D9C">
        <w:t xml:space="preserve"> approximately </w:t>
      </w:r>
      <w:r w:rsidR="006A6790">
        <w:t>2</w:t>
      </w:r>
      <w:r w:rsidRPr="008F3D9C">
        <w:t xml:space="preserve"> million people ate one meal outside of the home, </w:t>
      </w:r>
      <w:r>
        <w:t>equivalent to</w:t>
      </w:r>
      <w:r w:rsidRPr="008F3D9C">
        <w:t xml:space="preserve"> 6</w:t>
      </w:r>
      <w:r w:rsidR="006A6790" w:rsidRPr="006A6790">
        <w:rPr>
          <w:highlight w:val="cyan"/>
        </w:rPr>
        <w:t>7</w:t>
      </w:r>
      <w:r w:rsidRPr="008F3D9C">
        <w:t>0 million meals</w:t>
      </w:r>
      <w:r>
        <w:t xml:space="preserve"> annually</w:t>
      </w:r>
      <w:r w:rsidRPr="008F3D9C">
        <w:t>. Approximately 7</w:t>
      </w:r>
      <w:r w:rsidR="006A6790" w:rsidRPr="006A6790">
        <w:rPr>
          <w:highlight w:val="cyan"/>
        </w:rPr>
        <w:t>8</w:t>
      </w:r>
      <w:r>
        <w:t>0</w:t>
      </w:r>
      <w:r w:rsidRPr="008F3D9C">
        <w:t xml:space="preserve">,000 tons of food </w:t>
      </w:r>
      <w:r>
        <w:t>is</w:t>
      </w:r>
      <w:r w:rsidRPr="008F3D9C">
        <w:t xml:space="preserve"> used to prepare these meals. </w:t>
      </w:r>
    </w:p>
    <w:p w14:paraId="72D89409" w14:textId="44DCC3F0" w:rsidR="00293231" w:rsidRPr="008F3D9C" w:rsidRDefault="00293231" w:rsidP="006A6790">
      <w:pPr>
        <w:pStyle w:val="BodyText"/>
      </w:pPr>
      <w:r w:rsidRPr="008F3D9C">
        <w:t xml:space="preserve">The value of food used in meals eaten by consumers outside of </w:t>
      </w:r>
      <w:r>
        <w:t>their</w:t>
      </w:r>
      <w:r w:rsidRPr="008F3D9C">
        <w:t xml:space="preserve"> home</w:t>
      </w:r>
      <w:r>
        <w:t>s</w:t>
      </w:r>
      <w:r w:rsidRPr="008F3D9C">
        <w:t xml:space="preserve"> is estimated to be NIS </w:t>
      </w:r>
      <w:r>
        <w:t>1</w:t>
      </w:r>
      <w:r w:rsidR="006A6790" w:rsidRPr="006A6790">
        <w:rPr>
          <w:highlight w:val="cyan"/>
        </w:rPr>
        <w:t>4</w:t>
      </w:r>
      <w:r w:rsidRPr="008F3D9C">
        <w:t xml:space="preserve"> billion annually, equivalent to approximately 17% of the total expenditure for food in Israel, and approximately 11% of the food consumed in quantitative terms.</w:t>
      </w:r>
    </w:p>
    <w:p w14:paraId="79B4087D" w14:textId="432C683C" w:rsidR="00293231" w:rsidRPr="008F3D9C" w:rsidRDefault="00293231" w:rsidP="006A6790">
      <w:pPr>
        <w:pStyle w:val="BodyText"/>
      </w:pPr>
      <w:r>
        <w:t>T</w:t>
      </w:r>
      <w:r w:rsidRPr="008F3D9C">
        <w:t>he total food wasted in the institutional sector amounts to 2</w:t>
      </w:r>
      <w:r w:rsidR="006A6790" w:rsidRPr="006A6790">
        <w:rPr>
          <w:highlight w:val="cyan"/>
        </w:rPr>
        <w:t>3</w:t>
      </w:r>
      <w:r>
        <w:t>0</w:t>
      </w:r>
      <w:r w:rsidRPr="008F3D9C">
        <w:t>,000 tons annually, representing 30% of institutional food consumption</w:t>
      </w:r>
      <w:r>
        <w:t xml:space="preserve">, at a </w:t>
      </w:r>
      <w:r w:rsidRPr="008F3D9C">
        <w:t>cost of approximately NIS 3.</w:t>
      </w:r>
      <w:r w:rsidR="006A6790" w:rsidRPr="006A6790">
        <w:rPr>
          <w:highlight w:val="cyan"/>
        </w:rPr>
        <w:t>8</w:t>
      </w:r>
      <w:r w:rsidRPr="008F3D9C">
        <w:t xml:space="preserve"> billion annually.</w:t>
      </w:r>
    </w:p>
    <w:p w14:paraId="0AB6A0EB" w14:textId="77777777" w:rsidR="00293231" w:rsidRPr="008F3D9C" w:rsidRDefault="00293231" w:rsidP="00293231">
      <w:pPr>
        <w:pStyle w:val="Graphtitle"/>
      </w:pPr>
      <w:r w:rsidRPr="008F3D9C">
        <w:t>Estimated Food Waste in Institutional Consumption</w:t>
      </w:r>
    </w:p>
    <w:tbl>
      <w:tblPr>
        <w:tblStyle w:val="MediumShading1-Accent18"/>
        <w:tblW w:w="8174" w:type="dxa"/>
        <w:jc w:val="center"/>
        <w:tblLayout w:type="fixed"/>
        <w:tblLook w:val="04A0" w:firstRow="1" w:lastRow="0" w:firstColumn="1" w:lastColumn="0" w:noHBand="0" w:noVBand="1"/>
      </w:tblPr>
      <w:tblGrid>
        <w:gridCol w:w="1417"/>
        <w:gridCol w:w="1527"/>
        <w:gridCol w:w="1046"/>
        <w:gridCol w:w="1113"/>
        <w:gridCol w:w="979"/>
        <w:gridCol w:w="1046"/>
        <w:gridCol w:w="1046"/>
      </w:tblGrid>
      <w:tr w:rsidR="00293231" w:rsidRPr="0074481C" w14:paraId="07887E5E" w14:textId="77777777" w:rsidTr="006275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1B481471" w14:textId="77777777" w:rsidR="00293231" w:rsidRPr="00670086" w:rsidRDefault="00293231" w:rsidP="0062753C">
            <w:pPr>
              <w:rPr>
                <w:b w:val="0"/>
                <w:bCs w:val="0"/>
                <w:rtl/>
              </w:rPr>
            </w:pPr>
          </w:p>
        </w:tc>
        <w:tc>
          <w:tcPr>
            <w:tcW w:w="1527" w:type="dxa"/>
            <w:tcMar>
              <w:left w:w="57" w:type="dxa"/>
              <w:right w:w="57" w:type="dxa"/>
            </w:tcMar>
            <w:vAlign w:val="center"/>
          </w:tcPr>
          <w:p w14:paraId="3744E7F3" w14:textId="77777777" w:rsidR="00293231" w:rsidRPr="00670086" w:rsidRDefault="00293231" w:rsidP="0062753C">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Relevant population</w:t>
            </w:r>
            <w:r w:rsidRPr="00670086">
              <w:rPr>
                <w:b/>
                <w:bCs/>
                <w:rtl/>
              </w:rPr>
              <w:t xml:space="preserve"> </w:t>
            </w:r>
            <w:r w:rsidRPr="00670086">
              <w:rPr>
                <w:rFonts w:cstheme="minorHAnsi"/>
                <w:b/>
                <w:bCs/>
                <w:vertAlign w:val="superscript"/>
                <w:rtl/>
              </w:rPr>
              <w:footnoteReference w:id="10"/>
            </w:r>
          </w:p>
        </w:tc>
        <w:tc>
          <w:tcPr>
            <w:tcW w:w="1046" w:type="dxa"/>
            <w:tcMar>
              <w:left w:w="57" w:type="dxa"/>
              <w:right w:w="57" w:type="dxa"/>
            </w:tcMar>
            <w:vAlign w:val="center"/>
          </w:tcPr>
          <w:p w14:paraId="69833841" w14:textId="77777777" w:rsidR="00293231" w:rsidRPr="00670086" w:rsidRDefault="00293231" w:rsidP="0062753C">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Meals served (yearly)</w:t>
            </w:r>
          </w:p>
        </w:tc>
        <w:tc>
          <w:tcPr>
            <w:tcW w:w="1113" w:type="dxa"/>
            <w:tcMar>
              <w:left w:w="57" w:type="dxa"/>
              <w:right w:w="57" w:type="dxa"/>
            </w:tcMar>
            <w:vAlign w:val="center"/>
          </w:tcPr>
          <w:p w14:paraId="6A1213CA" w14:textId="77777777" w:rsidR="00293231" w:rsidRPr="00670086" w:rsidRDefault="00293231" w:rsidP="0062753C">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Food consumed (yearly)</w:t>
            </w:r>
          </w:p>
        </w:tc>
        <w:tc>
          <w:tcPr>
            <w:tcW w:w="979" w:type="dxa"/>
            <w:tcMar>
              <w:left w:w="57" w:type="dxa"/>
              <w:right w:w="57" w:type="dxa"/>
            </w:tcMar>
            <w:vAlign w:val="center"/>
          </w:tcPr>
          <w:p w14:paraId="528E2817" w14:textId="77777777" w:rsidR="00293231" w:rsidRPr="00670086" w:rsidRDefault="00293231" w:rsidP="0062753C">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Annual waste</w:t>
            </w:r>
          </w:p>
        </w:tc>
        <w:tc>
          <w:tcPr>
            <w:tcW w:w="1046" w:type="dxa"/>
            <w:tcMar>
              <w:left w:w="57" w:type="dxa"/>
              <w:right w:w="57" w:type="dxa"/>
            </w:tcMar>
            <w:vAlign w:val="center"/>
          </w:tcPr>
          <w:p w14:paraId="32A4CFED" w14:textId="77777777" w:rsidR="00293231" w:rsidRPr="00670086" w:rsidRDefault="00293231" w:rsidP="0062753C">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Rate of waste</w:t>
            </w:r>
          </w:p>
        </w:tc>
        <w:tc>
          <w:tcPr>
            <w:tcW w:w="1046" w:type="dxa"/>
            <w:tcMar>
              <w:left w:w="57" w:type="dxa"/>
              <w:right w:w="57" w:type="dxa"/>
            </w:tcMar>
            <w:vAlign w:val="center"/>
          </w:tcPr>
          <w:p w14:paraId="77C97B34" w14:textId="77777777" w:rsidR="00293231" w:rsidRPr="00670086" w:rsidRDefault="00293231" w:rsidP="0062753C">
            <w:pPr>
              <w:pStyle w:val="Tableheader"/>
              <w:cnfStyle w:val="100000000000" w:firstRow="1" w:lastRow="0" w:firstColumn="0" w:lastColumn="0" w:oddVBand="0" w:evenVBand="0" w:oddHBand="0" w:evenHBand="0" w:firstRowFirstColumn="0" w:firstRowLastColumn="0" w:lastRowFirstColumn="0" w:lastRowLastColumn="0"/>
              <w:rPr>
                <w:b/>
                <w:bCs/>
                <w:rtl/>
              </w:rPr>
            </w:pPr>
            <w:r w:rsidRPr="00670086">
              <w:rPr>
                <w:b/>
                <w:bCs/>
              </w:rPr>
              <w:t>Rescuable waste</w:t>
            </w:r>
          </w:p>
        </w:tc>
      </w:tr>
      <w:tr w:rsidR="00293231" w:rsidRPr="0074481C" w14:paraId="51A81BE7" w14:textId="77777777" w:rsidTr="006275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1A649506" w14:textId="77777777" w:rsidR="00293231" w:rsidRPr="00670086" w:rsidRDefault="00293231" w:rsidP="0062753C">
            <w:pPr>
              <w:rPr>
                <w:b w:val="0"/>
                <w:bCs w:val="0"/>
                <w:rtl/>
              </w:rPr>
            </w:pPr>
          </w:p>
        </w:tc>
        <w:tc>
          <w:tcPr>
            <w:tcW w:w="1527" w:type="dxa"/>
          </w:tcPr>
          <w:p w14:paraId="1FB5B57D"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1000 people</w:t>
            </w:r>
          </w:p>
        </w:tc>
        <w:tc>
          <w:tcPr>
            <w:tcW w:w="1046" w:type="dxa"/>
          </w:tcPr>
          <w:p w14:paraId="190039A1"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Million meals</w:t>
            </w:r>
          </w:p>
        </w:tc>
        <w:tc>
          <w:tcPr>
            <w:tcW w:w="1113" w:type="dxa"/>
          </w:tcPr>
          <w:p w14:paraId="38AF9853"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437382E4"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c>
          <w:tcPr>
            <w:tcW w:w="979" w:type="dxa"/>
          </w:tcPr>
          <w:p w14:paraId="41713D65"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304D19FE"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c>
          <w:tcPr>
            <w:tcW w:w="1046" w:type="dxa"/>
          </w:tcPr>
          <w:p w14:paraId="18EAF7FF"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w:t>
            </w:r>
          </w:p>
        </w:tc>
        <w:tc>
          <w:tcPr>
            <w:tcW w:w="1046" w:type="dxa"/>
          </w:tcPr>
          <w:p w14:paraId="0938B97F"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Pr>
            </w:pPr>
            <w:r w:rsidRPr="0037552C">
              <w:rPr>
                <w:b w:val="0"/>
                <w:bCs w:val="0"/>
                <w:i/>
                <w:iCs/>
              </w:rPr>
              <w:t>1000</w:t>
            </w:r>
          </w:p>
          <w:p w14:paraId="6030F807" w14:textId="77777777" w:rsidR="00293231" w:rsidRPr="0037552C" w:rsidRDefault="00293231" w:rsidP="0062753C">
            <w:pPr>
              <w:pStyle w:val="tabletext"/>
              <w:cnfStyle w:val="000000100000" w:firstRow="0" w:lastRow="0" w:firstColumn="0" w:lastColumn="0" w:oddVBand="0" w:evenVBand="0" w:oddHBand="1" w:evenHBand="0" w:firstRowFirstColumn="0" w:firstRowLastColumn="0" w:lastRowFirstColumn="0" w:lastRowLastColumn="0"/>
              <w:rPr>
                <w:b w:val="0"/>
                <w:bCs w:val="0"/>
                <w:i/>
                <w:iCs/>
                <w:rtl/>
              </w:rPr>
            </w:pPr>
            <w:r w:rsidRPr="0037552C">
              <w:rPr>
                <w:b w:val="0"/>
                <w:bCs w:val="0"/>
                <w:i/>
                <w:iCs/>
              </w:rPr>
              <w:t>tons</w:t>
            </w:r>
          </w:p>
        </w:tc>
      </w:tr>
      <w:tr w:rsidR="006A6790" w:rsidRPr="0074481C" w14:paraId="54601C67" w14:textId="77777777" w:rsidTr="0062753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9435452" w14:textId="77777777" w:rsidR="006A6790" w:rsidRPr="0037552C" w:rsidRDefault="006A6790" w:rsidP="0062753C">
            <w:pPr>
              <w:pStyle w:val="tabletext"/>
              <w:rPr>
                <w:b/>
                <w:bCs/>
                <w:rtl/>
              </w:rPr>
            </w:pPr>
            <w:r w:rsidRPr="0037552C">
              <w:rPr>
                <w:b/>
                <w:bCs/>
              </w:rPr>
              <w:t>Events</w:t>
            </w:r>
          </w:p>
        </w:tc>
        <w:tc>
          <w:tcPr>
            <w:tcW w:w="1527" w:type="dxa"/>
            <w:vAlign w:val="center"/>
          </w:tcPr>
          <w:p w14:paraId="67069ABD" w14:textId="26585992"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036B3368" w14:textId="39BD1841"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113" w:type="dxa"/>
            <w:vAlign w:val="center"/>
          </w:tcPr>
          <w:p w14:paraId="429FE217" w14:textId="41B0E139"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979" w:type="dxa"/>
            <w:vAlign w:val="center"/>
          </w:tcPr>
          <w:p w14:paraId="0AB166DF" w14:textId="49078CC9"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52C43CAC" w14:textId="4CFE0B62"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4D586D26" w14:textId="6CF6A3FD"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r>
      <w:tr w:rsidR="006A6790" w:rsidRPr="0074481C" w14:paraId="5DDF4A6E" w14:textId="77777777" w:rsidTr="006275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062E6DD8" w14:textId="77777777" w:rsidR="006A6790" w:rsidRPr="0037552C" w:rsidRDefault="006A6790" w:rsidP="0062753C">
            <w:pPr>
              <w:pStyle w:val="tabletext"/>
              <w:rPr>
                <w:b/>
                <w:bCs/>
                <w:rtl/>
              </w:rPr>
            </w:pPr>
            <w:r w:rsidRPr="0037552C">
              <w:rPr>
                <w:b/>
                <w:bCs/>
              </w:rPr>
              <w:t>Hotels</w:t>
            </w:r>
          </w:p>
        </w:tc>
        <w:tc>
          <w:tcPr>
            <w:tcW w:w="1527" w:type="dxa"/>
            <w:vAlign w:val="center"/>
          </w:tcPr>
          <w:p w14:paraId="3E38A374" w14:textId="4A365F80"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1DE36485" w14:textId="5A3BFBC3"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113" w:type="dxa"/>
            <w:vAlign w:val="center"/>
          </w:tcPr>
          <w:p w14:paraId="379411D1" w14:textId="7DB66B36"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979" w:type="dxa"/>
            <w:vAlign w:val="center"/>
          </w:tcPr>
          <w:p w14:paraId="467C4E0D" w14:textId="3DD3B43D"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29CB1B5F" w14:textId="56816A31"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6FE5CC66" w14:textId="2670F55B"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r>
      <w:tr w:rsidR="006A6790" w:rsidRPr="0074481C" w14:paraId="6011743B" w14:textId="77777777" w:rsidTr="0062753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5A375505" w14:textId="77777777" w:rsidR="006A6790" w:rsidRPr="0037552C" w:rsidRDefault="006A6790" w:rsidP="0062753C">
            <w:pPr>
              <w:pStyle w:val="tabletext"/>
              <w:rPr>
                <w:b/>
                <w:bCs/>
                <w:rtl/>
              </w:rPr>
            </w:pPr>
            <w:r w:rsidRPr="0037552C">
              <w:rPr>
                <w:b/>
                <w:bCs/>
              </w:rPr>
              <w:t>Hospitals</w:t>
            </w:r>
          </w:p>
        </w:tc>
        <w:tc>
          <w:tcPr>
            <w:tcW w:w="1527" w:type="dxa"/>
            <w:vAlign w:val="center"/>
          </w:tcPr>
          <w:p w14:paraId="17C592B6" w14:textId="23DECBE6"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119A0731" w14:textId="4B129B5B"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113" w:type="dxa"/>
            <w:vAlign w:val="center"/>
          </w:tcPr>
          <w:p w14:paraId="5D12A9AE" w14:textId="35DBC49D"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979" w:type="dxa"/>
            <w:vAlign w:val="center"/>
          </w:tcPr>
          <w:p w14:paraId="300471F9" w14:textId="179B24B4"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3595174D" w14:textId="013634FB"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33ABC781" w14:textId="22FA8E6A"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r>
      <w:tr w:rsidR="006A6790" w:rsidRPr="0074481C" w14:paraId="40CEA763" w14:textId="77777777" w:rsidTr="006275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18A4E982" w14:textId="77777777" w:rsidR="006A6790" w:rsidRPr="0037552C" w:rsidRDefault="006A6790" w:rsidP="0062753C">
            <w:pPr>
              <w:pStyle w:val="tabletext"/>
              <w:rPr>
                <w:b/>
                <w:bCs/>
                <w:rtl/>
              </w:rPr>
            </w:pPr>
            <w:r w:rsidRPr="0037552C">
              <w:rPr>
                <w:b/>
                <w:bCs/>
              </w:rPr>
              <w:t>Security forces</w:t>
            </w:r>
          </w:p>
        </w:tc>
        <w:tc>
          <w:tcPr>
            <w:tcW w:w="1527" w:type="dxa"/>
            <w:vAlign w:val="center"/>
          </w:tcPr>
          <w:p w14:paraId="099ECD30" w14:textId="68C0B193"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2C325D51" w14:textId="2CAFA103"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113" w:type="dxa"/>
            <w:vAlign w:val="center"/>
          </w:tcPr>
          <w:p w14:paraId="2332ACB7" w14:textId="0D024F7A"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979" w:type="dxa"/>
            <w:vAlign w:val="center"/>
          </w:tcPr>
          <w:p w14:paraId="6A18BC79" w14:textId="6F64E717"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52035F8C" w14:textId="1AE57276"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667565C8" w14:textId="3541083A"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r>
      <w:tr w:rsidR="006A6790" w:rsidRPr="0074481C" w14:paraId="1CD79875" w14:textId="77777777" w:rsidTr="0062753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52F852DC" w14:textId="77777777" w:rsidR="006A6790" w:rsidRPr="0037552C" w:rsidRDefault="006A6790" w:rsidP="0062753C">
            <w:pPr>
              <w:pStyle w:val="tabletext"/>
              <w:rPr>
                <w:b/>
                <w:bCs/>
                <w:rtl/>
              </w:rPr>
            </w:pPr>
            <w:r w:rsidRPr="0037552C">
              <w:rPr>
                <w:b/>
                <w:bCs/>
              </w:rPr>
              <w:t xml:space="preserve">Workplaces </w:t>
            </w:r>
          </w:p>
        </w:tc>
        <w:tc>
          <w:tcPr>
            <w:tcW w:w="1527" w:type="dxa"/>
            <w:vAlign w:val="center"/>
          </w:tcPr>
          <w:p w14:paraId="1B8FB038" w14:textId="5A062E4A"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72681634" w14:textId="3012BDC0"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113" w:type="dxa"/>
            <w:vAlign w:val="center"/>
          </w:tcPr>
          <w:p w14:paraId="1E28BC22" w14:textId="51868114"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979" w:type="dxa"/>
            <w:vAlign w:val="center"/>
          </w:tcPr>
          <w:p w14:paraId="1BC625C4" w14:textId="66FB4B59"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1BA399A3" w14:textId="39756047"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6E49B5FD" w14:textId="43694B2A"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r>
      <w:tr w:rsidR="006A6790" w:rsidRPr="0074481C" w14:paraId="57C75601" w14:textId="77777777" w:rsidTr="006275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16008969" w14:textId="77777777" w:rsidR="006A6790" w:rsidRPr="0037552C" w:rsidRDefault="006A6790" w:rsidP="0062753C">
            <w:pPr>
              <w:pStyle w:val="tabletext"/>
              <w:rPr>
                <w:b/>
                <w:bCs/>
                <w:rtl/>
              </w:rPr>
            </w:pPr>
            <w:r w:rsidRPr="0037552C">
              <w:rPr>
                <w:b/>
                <w:bCs/>
              </w:rPr>
              <w:t>Educational institutions</w:t>
            </w:r>
          </w:p>
        </w:tc>
        <w:tc>
          <w:tcPr>
            <w:tcW w:w="1527" w:type="dxa"/>
            <w:vAlign w:val="center"/>
          </w:tcPr>
          <w:p w14:paraId="2DA450DF" w14:textId="5A6A58C7"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13BF38AE" w14:textId="3BE850A3"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113" w:type="dxa"/>
            <w:vAlign w:val="center"/>
          </w:tcPr>
          <w:p w14:paraId="29EE317F" w14:textId="16830876"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979" w:type="dxa"/>
            <w:vAlign w:val="center"/>
          </w:tcPr>
          <w:p w14:paraId="31ED9726" w14:textId="63D5A760"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02CC679F" w14:textId="1178D6D0"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76AFF7EE" w14:textId="3A2AA7EC"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r>
      <w:tr w:rsidR="006A6790" w:rsidRPr="0074481C" w14:paraId="23383B10" w14:textId="77777777" w:rsidTr="0062753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153B4E64" w14:textId="77777777" w:rsidR="006A6790" w:rsidRPr="0037552C" w:rsidRDefault="006A6790" w:rsidP="0062753C">
            <w:pPr>
              <w:pStyle w:val="tabletext"/>
              <w:rPr>
                <w:b/>
                <w:bCs/>
                <w:rtl/>
              </w:rPr>
            </w:pPr>
            <w:r w:rsidRPr="0037552C">
              <w:rPr>
                <w:b/>
                <w:bCs/>
              </w:rPr>
              <w:lastRenderedPageBreak/>
              <w:t>Restaurants</w:t>
            </w:r>
          </w:p>
        </w:tc>
        <w:tc>
          <w:tcPr>
            <w:tcW w:w="1527" w:type="dxa"/>
            <w:vAlign w:val="center"/>
          </w:tcPr>
          <w:p w14:paraId="1F3B06A1" w14:textId="5E1B4F47"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367A2016" w14:textId="6473B7AF"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113" w:type="dxa"/>
            <w:vAlign w:val="center"/>
          </w:tcPr>
          <w:p w14:paraId="062DBE6B" w14:textId="0B5F5CB1"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979" w:type="dxa"/>
            <w:vAlign w:val="center"/>
          </w:tcPr>
          <w:p w14:paraId="23EEBADB" w14:textId="62A91389"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18832EF0" w14:textId="775DC059"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c>
          <w:tcPr>
            <w:tcW w:w="1046" w:type="dxa"/>
            <w:vAlign w:val="center"/>
          </w:tcPr>
          <w:p w14:paraId="7BAC7CAF" w14:textId="3CDCA2C9" w:rsidR="006A6790" w:rsidRPr="00670086" w:rsidRDefault="006A6790" w:rsidP="0062753C">
            <w:pPr>
              <w:pStyle w:val="Tablenumbers"/>
              <w:cnfStyle w:val="000000010000" w:firstRow="0" w:lastRow="0" w:firstColumn="0" w:lastColumn="0" w:oddVBand="0" w:evenVBand="0" w:oddHBand="0" w:evenHBand="1" w:firstRowFirstColumn="0" w:firstRowLastColumn="0" w:lastRowFirstColumn="0" w:lastRowLastColumn="0"/>
            </w:pPr>
          </w:p>
        </w:tc>
      </w:tr>
      <w:tr w:rsidR="006A6790" w:rsidRPr="0074481C" w14:paraId="4E99317D" w14:textId="77777777" w:rsidTr="006275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14:paraId="3F3EA775" w14:textId="77777777" w:rsidR="006A6790" w:rsidRPr="0037552C" w:rsidRDefault="006A6790" w:rsidP="0062753C">
            <w:pPr>
              <w:pStyle w:val="tabletext"/>
              <w:rPr>
                <w:b/>
                <w:bCs/>
                <w:rtl/>
              </w:rPr>
            </w:pPr>
            <w:r w:rsidRPr="0037552C">
              <w:rPr>
                <w:b/>
                <w:bCs/>
              </w:rPr>
              <w:t>Total</w:t>
            </w:r>
          </w:p>
        </w:tc>
        <w:tc>
          <w:tcPr>
            <w:tcW w:w="1527" w:type="dxa"/>
            <w:vAlign w:val="center"/>
          </w:tcPr>
          <w:p w14:paraId="61AB1AC1" w14:textId="0E924D99"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7C2E437D" w14:textId="15E508E1"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113" w:type="dxa"/>
            <w:vAlign w:val="center"/>
          </w:tcPr>
          <w:p w14:paraId="15E00966" w14:textId="1EFAC85B"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979" w:type="dxa"/>
            <w:vAlign w:val="center"/>
          </w:tcPr>
          <w:p w14:paraId="4ED5529D" w14:textId="3136D0F3"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68CF3297" w14:textId="1C3B7CFE"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c>
          <w:tcPr>
            <w:tcW w:w="1046" w:type="dxa"/>
            <w:vAlign w:val="center"/>
          </w:tcPr>
          <w:p w14:paraId="6FD4B7B9" w14:textId="465A960E" w:rsidR="006A6790" w:rsidRPr="00670086" w:rsidRDefault="006A6790" w:rsidP="0062753C">
            <w:pPr>
              <w:pStyle w:val="Tablenumbers"/>
              <w:cnfStyle w:val="000000100000" w:firstRow="0" w:lastRow="0" w:firstColumn="0" w:lastColumn="0" w:oddVBand="0" w:evenVBand="0" w:oddHBand="1" w:evenHBand="0" w:firstRowFirstColumn="0" w:firstRowLastColumn="0" w:lastRowFirstColumn="0" w:lastRowLastColumn="0"/>
            </w:pPr>
          </w:p>
        </w:tc>
      </w:tr>
    </w:tbl>
    <w:p w14:paraId="660C56DC" w14:textId="77777777" w:rsidR="00293231" w:rsidRPr="008F3D9C" w:rsidRDefault="00293231" w:rsidP="00293231"/>
    <w:p w14:paraId="026D1695" w14:textId="4384F350" w:rsidR="00293231" w:rsidRPr="008F3D9C" w:rsidRDefault="00293231" w:rsidP="00BF187E">
      <w:pPr>
        <w:pStyle w:val="BodyText"/>
      </w:pPr>
      <w:r w:rsidRPr="00BF187E">
        <w:t>Approximately</w:t>
      </w:r>
      <w:r w:rsidRPr="008F3D9C">
        <w:t xml:space="preserve"> one-third of institutional meals wasted are rescuable, meaning that it would be possible to save approximately </w:t>
      </w:r>
      <w:r w:rsidRPr="00BF187E">
        <w:rPr>
          <w:highlight w:val="cyan"/>
        </w:rPr>
        <w:t>7</w:t>
      </w:r>
      <w:r w:rsidR="00BF187E" w:rsidRPr="00BF187E">
        <w:rPr>
          <w:highlight w:val="cyan"/>
        </w:rPr>
        <w:t>5</w:t>
      </w:r>
      <w:r w:rsidRPr="008F3D9C">
        <w:t>,000 tons of food annually, with a total value of approximately NIS 1</w:t>
      </w:r>
      <w:r>
        <w:t>.2</w:t>
      </w:r>
      <w:r w:rsidRPr="008F3D9C">
        <w:t xml:space="preserve"> billion each year</w:t>
      </w:r>
      <w:r>
        <w:t>,</w:t>
      </w:r>
      <w:r w:rsidRPr="008F3D9C">
        <w:t xml:space="preserve"> equivalent to approximately </w:t>
      </w:r>
      <w:r w:rsidRPr="00BF187E">
        <w:rPr>
          <w:highlight w:val="cyan"/>
        </w:rPr>
        <w:t>6</w:t>
      </w:r>
      <w:r w:rsidR="00BF187E" w:rsidRPr="00BF187E">
        <w:rPr>
          <w:highlight w:val="cyan"/>
        </w:rPr>
        <w:t>8</w:t>
      </w:r>
      <w:r w:rsidRPr="008F3D9C">
        <w:t xml:space="preserve"> million meals</w:t>
      </w:r>
      <w:r>
        <w:t>.</w:t>
      </w:r>
    </w:p>
    <w:p w14:paraId="2E0811BF" w14:textId="77777777" w:rsidR="00293231" w:rsidRPr="008F3D9C" w:rsidRDefault="00293231" w:rsidP="00293231">
      <w:pPr>
        <w:pStyle w:val="BodyText"/>
      </w:pPr>
      <w:r w:rsidRPr="00A4038D">
        <w:t xml:space="preserve">Food waste in institutional kitchens is an inevitable part of the economic planning of meals for a large number of </w:t>
      </w:r>
      <w:r>
        <w:t>patrons in congregant settings</w:t>
      </w:r>
      <w:r w:rsidRPr="00A4038D">
        <w:t>, while guaranteeing that the supply and variety meet the requirements of many diverse patrons, and taking into account the inherent elements of uncertainty</w:t>
      </w:r>
      <w:r>
        <w:t xml:space="preserve"> as well</w:t>
      </w:r>
      <w:r w:rsidRPr="008F3D9C">
        <w:t>.</w:t>
      </w:r>
    </w:p>
    <w:p w14:paraId="069D8809" w14:textId="77777777" w:rsidR="00293231" w:rsidRPr="008F3D9C" w:rsidRDefault="00293231" w:rsidP="00293231">
      <w:pPr>
        <w:pStyle w:val="BodyText"/>
      </w:pPr>
      <w:r w:rsidRPr="008F3D9C">
        <w:t xml:space="preserve">In recent years, most institutional kitchens </w:t>
      </w:r>
      <w:r>
        <w:t xml:space="preserve">are being </w:t>
      </w:r>
      <w:r w:rsidRPr="008F3D9C">
        <w:t>operated by external companies with a high level of expertise in the field. Th</w:t>
      </w:r>
      <w:r>
        <w:t xml:space="preserve">ose </w:t>
      </w:r>
      <w:r w:rsidRPr="008F3D9C">
        <w:t xml:space="preserve">companies strive for maximal economic efficiency and reduction of waste. Despite this, catering cannot be planned on the basis of averages alone. Rather, it is necessary to provide appropriate supplies of food even </w:t>
      </w:r>
      <w:r>
        <w:t>for</w:t>
      </w:r>
      <w:r w:rsidRPr="008F3D9C">
        <w:t xml:space="preserve"> non-average days. Therefore, food preparation must allow for sufficient margins to accommodate the risk of variance, rather than relying solely on statistical averages.</w:t>
      </w:r>
    </w:p>
    <w:p w14:paraId="64787BDD" w14:textId="6DDAB201" w:rsidR="00293231" w:rsidRPr="008F3D9C" w:rsidRDefault="00293231" w:rsidP="004F2945">
      <w:pPr>
        <w:pStyle w:val="BodyText"/>
      </w:pPr>
      <w:r w:rsidRPr="00934F84">
        <w:t>The analysis in the report shows that,</w:t>
      </w:r>
      <w:r>
        <w:t xml:space="preserve"> a</w:t>
      </w:r>
      <w:r w:rsidRPr="008F3D9C">
        <w:t xml:space="preserve">s a general rule, a kitchen characterized </w:t>
      </w:r>
      <w:r>
        <w:t>by</w:t>
      </w:r>
      <w:r w:rsidRPr="008F3D9C">
        <w:t xml:space="preserve"> a higher level of uncertainty regarding the number of </w:t>
      </w:r>
      <w:r>
        <w:t>patrons</w:t>
      </w:r>
      <w:r w:rsidRPr="008F3D9C">
        <w:t xml:space="preserve"> can be expected to produce a higher level of waste. For example, </w:t>
      </w:r>
      <w:r>
        <w:t xml:space="preserve">at </w:t>
      </w:r>
      <w:r w:rsidRPr="008F3D9C">
        <w:t xml:space="preserve">open IDF bases and workplaces, where there are accessible alternatives, the food waste will be higher than in schools and prisons, </w:t>
      </w:r>
      <w:r>
        <w:t>where there is</w:t>
      </w:r>
      <w:r w:rsidRPr="008F3D9C">
        <w:t xml:space="preserve"> less uncertainty about the number of meals to be served.</w:t>
      </w:r>
    </w:p>
    <w:p w14:paraId="7D34A8C5" w14:textId="77777777" w:rsidR="00293231" w:rsidRPr="008F3D9C" w:rsidRDefault="00293231" w:rsidP="00293231">
      <w:pPr>
        <w:pStyle w:val="BodyText"/>
      </w:pPr>
      <w:r w:rsidRPr="008F3D9C">
        <w:t xml:space="preserve">In addition, the more varied the menu, the greater the amount of waste that can be expected due to the uncertainty regarding which choices </w:t>
      </w:r>
      <w:r>
        <w:t>patrons</w:t>
      </w:r>
      <w:r w:rsidRPr="008F3D9C">
        <w:t xml:space="preserve"> will prefer. Accordingly, a higher level of waste can be expected at events and in hotels, where a wide variety of choices is offered, rather than workplaces, IDF </w:t>
      </w:r>
      <w:r>
        <w:t xml:space="preserve">bases </w:t>
      </w:r>
      <w:r w:rsidRPr="008F3D9C">
        <w:t xml:space="preserve">and police </w:t>
      </w:r>
      <w:r>
        <w:t>stations</w:t>
      </w:r>
      <w:r w:rsidRPr="008F3D9C">
        <w:t>.</w:t>
      </w:r>
    </w:p>
    <w:p w14:paraId="683B8573" w14:textId="77777777" w:rsidR="00293231" w:rsidRPr="008F3D9C" w:rsidRDefault="00293231" w:rsidP="00293231">
      <w:pPr>
        <w:pStyle w:val="BodyText"/>
      </w:pPr>
      <w:r w:rsidRPr="008F3D9C">
        <w:t>The style of service and payment can also influence the amount of waste. In restaurants, for example, where food is prepared only after it is ordered, less waste is expected than at a buffet where food must be prepared in advance. In situations where the consumer pays only for what is eaten, the amount of waste will be lower than it is in restaurants that charge an all-inclusive price.</w:t>
      </w:r>
    </w:p>
    <w:p w14:paraId="4E7B7E98" w14:textId="75ACC5DC" w:rsidR="00293231" w:rsidRPr="008F3D9C" w:rsidRDefault="00293231" w:rsidP="006E7DBA">
      <w:pPr>
        <w:pStyle w:val="BodyText"/>
      </w:pPr>
      <w:r w:rsidRPr="008F3D9C">
        <w:lastRenderedPageBreak/>
        <w:t xml:space="preserve">The table </w:t>
      </w:r>
      <w:r w:rsidR="006E7DBA" w:rsidRPr="009F26A4">
        <w:rPr>
          <w:highlight w:val="cyan"/>
        </w:rPr>
        <w:t>above</w:t>
      </w:r>
      <w:r w:rsidR="006E7DBA">
        <w:t xml:space="preserve"> </w:t>
      </w:r>
      <w:r w:rsidRPr="008F3D9C">
        <w:t>presents a summary, in quantitative terms, of the estimat</w:t>
      </w:r>
      <w:r>
        <w:t xml:space="preserve">ed </w:t>
      </w:r>
      <w:r w:rsidRPr="008F3D9C">
        <w:t>food waste in the institutional sector.</w:t>
      </w:r>
    </w:p>
    <w:p w14:paraId="72B463AF" w14:textId="77777777" w:rsidR="00293231" w:rsidRPr="008F3D9C" w:rsidRDefault="00293231" w:rsidP="00293231">
      <w:pPr>
        <w:pStyle w:val="Graphtitle"/>
      </w:pPr>
      <w:r w:rsidRPr="008F3D9C">
        <w:t>Rate of Food Waste by Category of Institutional Consumption</w:t>
      </w:r>
    </w:p>
    <w:p w14:paraId="0D6121F2" w14:textId="77777777" w:rsidR="00293231" w:rsidRPr="00FC6589" w:rsidRDefault="00293231" w:rsidP="00293231">
      <w:pPr>
        <w:pStyle w:val="Graphtitle"/>
        <w:rPr>
          <w:b w:val="0"/>
          <w:bCs w:val="0"/>
        </w:rPr>
      </w:pPr>
      <w:r w:rsidRPr="00FC6589">
        <w:rPr>
          <w:b w:val="0"/>
          <w:bCs w:val="0"/>
        </w:rPr>
        <w:t>Rescuable and Non-rescuable waste</w:t>
      </w:r>
    </w:p>
    <w:p w14:paraId="625FEDA5" w14:textId="77777777" w:rsidR="00293231" w:rsidRPr="008F3D9C" w:rsidRDefault="00293231" w:rsidP="00293231">
      <w:pPr>
        <w:pStyle w:val="BodyText"/>
      </w:pPr>
      <w:r>
        <w:rPr>
          <w:noProof/>
          <w:lang w:bidi="ar-SA"/>
        </w:rPr>
        <w:drawing>
          <wp:inline distT="0" distB="0" distL="0" distR="0" wp14:anchorId="6532285F" wp14:editId="5043B3C8">
            <wp:extent cx="4572000" cy="2743200"/>
            <wp:effectExtent l="0" t="0" r="0" b="0"/>
            <wp:docPr id="26"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52CBDA4" w14:textId="77777777" w:rsidR="00293231" w:rsidRPr="008F3D9C" w:rsidRDefault="00293231" w:rsidP="00293231">
      <w:pPr>
        <w:pStyle w:val="Graphnote"/>
        <w:ind w:left="426"/>
      </w:pPr>
      <w:r w:rsidRPr="00FC6589">
        <w:rPr>
          <w:b/>
          <w:bCs/>
        </w:rPr>
        <w:t>Column captions</w:t>
      </w:r>
      <w:r>
        <w:t xml:space="preserve">, from left to right: </w:t>
      </w:r>
      <w:r w:rsidRPr="008F3D9C">
        <w:t xml:space="preserve">Restaurants, Educational institutions, Workplaces, </w:t>
      </w:r>
      <w:r>
        <w:t>Security forces</w:t>
      </w:r>
      <w:r w:rsidRPr="008F3D9C">
        <w:t>, Hospitals, Hotels, Events</w:t>
      </w:r>
    </w:p>
    <w:p w14:paraId="7074093A" w14:textId="77777777" w:rsidR="00293231" w:rsidRPr="008F3D9C" w:rsidRDefault="00293231" w:rsidP="00293231">
      <w:pPr>
        <w:pStyle w:val="Graphnote"/>
        <w:ind w:left="426"/>
        <w:rPr>
          <w:sz w:val="22"/>
          <w:szCs w:val="22"/>
        </w:rPr>
      </w:pPr>
      <w:r w:rsidRPr="00FC6589">
        <w:rPr>
          <w:b/>
          <w:bCs/>
          <w:color w:val="0070C0"/>
        </w:rPr>
        <w:t>Blue</w:t>
      </w:r>
      <w:r>
        <w:t xml:space="preserve">: </w:t>
      </w:r>
      <w:r w:rsidRPr="008F3D9C">
        <w:t xml:space="preserve">Rescuable waste; </w:t>
      </w:r>
      <w:r w:rsidRPr="00FC6589">
        <w:rPr>
          <w:b/>
          <w:bCs/>
          <w:color w:val="FF0000"/>
        </w:rPr>
        <w:t>Red</w:t>
      </w:r>
      <w:r>
        <w:t xml:space="preserve">: </w:t>
      </w:r>
      <w:r w:rsidRPr="008F3D9C">
        <w:t>Non-rescuable waste</w:t>
      </w:r>
    </w:p>
    <w:p w14:paraId="2E92EF4E" w14:textId="77777777" w:rsidR="00293231" w:rsidRPr="008F3D9C" w:rsidRDefault="00293231" w:rsidP="00293231">
      <w:pPr>
        <w:pStyle w:val="BodyText"/>
      </w:pPr>
      <w:r w:rsidRPr="008F3D9C">
        <w:t xml:space="preserve">The total amount of food </w:t>
      </w:r>
      <w:r>
        <w:t xml:space="preserve">that can be </w:t>
      </w:r>
      <w:r w:rsidRPr="008F3D9C">
        <w:t>rescu</w:t>
      </w:r>
      <w:r>
        <w:t xml:space="preserve">ed </w:t>
      </w:r>
      <w:r w:rsidRPr="008F3D9C">
        <w:t>from the institutional sector is valued at approximately NIS 1.</w:t>
      </w:r>
      <w:r>
        <w:t>2</w:t>
      </w:r>
      <w:r w:rsidRPr="008F3D9C">
        <w:t xml:space="preserve"> billion. Approximately half of this amount is from events, from which it is likely possible to rescue approximately </w:t>
      </w:r>
      <w:r>
        <w:t>20</w:t>
      </w:r>
      <w:r w:rsidRPr="008F3D9C">
        <w:t xml:space="preserve">,000 tons of food, with a monetary value of NIS 0.5 billion, annually. Hotels, IDF bases and workplaces are other important focal points for food rescue, and it is probable </w:t>
      </w:r>
      <w:r>
        <w:t xml:space="preserve">that </w:t>
      </w:r>
      <w:r w:rsidRPr="008F3D9C">
        <w:t xml:space="preserve">food worth </w:t>
      </w:r>
      <w:r w:rsidRPr="00406602">
        <w:rPr>
          <w:highlight w:val="green"/>
        </w:rPr>
        <w:t>NIS 140-190</w:t>
      </w:r>
      <w:r w:rsidRPr="008F3D9C">
        <w:t xml:space="preserve"> million </w:t>
      </w:r>
      <w:r>
        <w:t xml:space="preserve">can be rescued </w:t>
      </w:r>
      <w:r w:rsidRPr="008F3D9C">
        <w:t xml:space="preserve">annually from each of these sources. The value of rescuable food from restaurants is similar; approximately </w:t>
      </w:r>
      <w:r w:rsidRPr="00406602">
        <w:rPr>
          <w:highlight w:val="green"/>
        </w:rPr>
        <w:t>NIS 120</w:t>
      </w:r>
      <w:r w:rsidRPr="008F3D9C">
        <w:t xml:space="preserve"> million, but the broader geographical distribution and the lack of a critical mass in any single location generally reduces the economic feasibility of rescuing food from restaurants.</w:t>
      </w:r>
    </w:p>
    <w:p w14:paraId="55F35921" w14:textId="77777777" w:rsidR="00293231" w:rsidRDefault="00293231" w:rsidP="00293231">
      <w:pPr>
        <w:rPr>
          <w:rFonts w:eastAsia="Calibri" w:cs="Times New Roman"/>
          <w:b/>
          <w:bCs/>
          <w:sz w:val="24"/>
          <w:szCs w:val="24"/>
        </w:rPr>
      </w:pPr>
      <w:r>
        <w:rPr>
          <w:b/>
          <w:bCs/>
        </w:rPr>
        <w:br w:type="page"/>
      </w:r>
    </w:p>
    <w:p w14:paraId="73AF2000" w14:textId="77777777" w:rsidR="00293231" w:rsidRPr="008F3D9C" w:rsidRDefault="00293231" w:rsidP="00293231">
      <w:pPr>
        <w:pStyle w:val="Graphtitle"/>
      </w:pPr>
      <w:r w:rsidRPr="008F3D9C">
        <w:lastRenderedPageBreak/>
        <w:t xml:space="preserve">Annual Summary: Rescuable Food from the Institutional Sector </w:t>
      </w:r>
    </w:p>
    <w:p w14:paraId="206B981D" w14:textId="77777777" w:rsidR="00293231" w:rsidRPr="00AF2C48" w:rsidRDefault="00293231" w:rsidP="00293231">
      <w:pPr>
        <w:pStyle w:val="Graphtitle"/>
        <w:rPr>
          <w:b w:val="0"/>
          <w:bCs w:val="0"/>
        </w:rPr>
      </w:pPr>
      <w:r w:rsidRPr="00AF2C48">
        <w:rPr>
          <w:b w:val="0"/>
          <w:bCs w:val="0"/>
        </w:rPr>
        <w:t>(NIS millions)</w:t>
      </w:r>
    </w:p>
    <w:tbl>
      <w:tblPr>
        <w:tblStyle w:val="MediumShading1-Accent110"/>
        <w:tblW w:w="0" w:type="auto"/>
        <w:jc w:val="center"/>
        <w:tblLook w:val="04A0" w:firstRow="1" w:lastRow="0" w:firstColumn="1" w:lastColumn="0" w:noHBand="0" w:noVBand="1"/>
      </w:tblPr>
      <w:tblGrid>
        <w:gridCol w:w="1346"/>
        <w:gridCol w:w="1512"/>
        <w:gridCol w:w="1451"/>
        <w:gridCol w:w="1384"/>
        <w:gridCol w:w="1394"/>
      </w:tblGrid>
      <w:tr w:rsidR="006E7DBA" w:rsidRPr="006E7DBA" w14:paraId="11B6CD2F" w14:textId="77777777" w:rsidTr="006E7D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3ECFA275" w14:textId="77777777" w:rsidR="006E7DBA" w:rsidRPr="006E7DBA" w:rsidRDefault="006E7DBA" w:rsidP="006E7DBA">
            <w:pPr>
              <w:rPr>
                <w:rtl/>
              </w:rPr>
            </w:pPr>
          </w:p>
        </w:tc>
        <w:tc>
          <w:tcPr>
            <w:tcW w:w="1512" w:type="dxa"/>
            <w:vAlign w:val="center"/>
          </w:tcPr>
          <w:p w14:paraId="3E982FAE" w14:textId="77777777" w:rsidR="006E7DBA" w:rsidRPr="006E7DBA" w:rsidRDefault="006E7DBA" w:rsidP="006E7DBA">
            <w:pPr>
              <w:widowControl w:val="0"/>
              <w:jc w:val="center"/>
              <w:cnfStyle w:val="100000000000" w:firstRow="1" w:lastRow="0" w:firstColumn="0" w:lastColumn="0" w:oddVBand="0" w:evenVBand="0" w:oddHBand="0" w:evenHBand="0" w:firstRowFirstColumn="0" w:firstRowLastColumn="0" w:lastRowFirstColumn="0" w:lastRowLastColumn="0"/>
              <w:rPr>
                <w:rFonts w:cs="Miriam"/>
                <w:rtl/>
              </w:rPr>
            </w:pPr>
            <w:r w:rsidRPr="006E7DBA">
              <w:rPr>
                <w:rFonts w:cs="Miriam"/>
              </w:rPr>
              <w:t>Meals/year</w:t>
            </w:r>
          </w:p>
        </w:tc>
        <w:tc>
          <w:tcPr>
            <w:tcW w:w="1451" w:type="dxa"/>
            <w:vAlign w:val="center"/>
          </w:tcPr>
          <w:p w14:paraId="6F6A037E" w14:textId="77777777" w:rsidR="006E7DBA" w:rsidRPr="006E7DBA" w:rsidRDefault="006E7DBA" w:rsidP="006E7DBA">
            <w:pPr>
              <w:widowControl w:val="0"/>
              <w:jc w:val="center"/>
              <w:cnfStyle w:val="100000000000" w:firstRow="1" w:lastRow="0" w:firstColumn="0" w:lastColumn="0" w:oddVBand="0" w:evenVBand="0" w:oddHBand="0" w:evenHBand="0" w:firstRowFirstColumn="0" w:firstRowLastColumn="0" w:lastRowFirstColumn="0" w:lastRowLastColumn="0"/>
              <w:rPr>
                <w:rFonts w:cs="Miriam"/>
                <w:rtl/>
              </w:rPr>
            </w:pPr>
            <w:r w:rsidRPr="006E7DBA">
              <w:rPr>
                <w:rFonts w:cs="Miriam"/>
              </w:rPr>
              <w:t>Market size</w:t>
            </w:r>
          </w:p>
        </w:tc>
        <w:tc>
          <w:tcPr>
            <w:tcW w:w="1384" w:type="dxa"/>
            <w:vAlign w:val="center"/>
          </w:tcPr>
          <w:p w14:paraId="5114FE72" w14:textId="77777777" w:rsidR="006E7DBA" w:rsidRPr="006E7DBA" w:rsidRDefault="006E7DBA" w:rsidP="006E7DBA">
            <w:pPr>
              <w:widowControl w:val="0"/>
              <w:jc w:val="center"/>
              <w:cnfStyle w:val="100000000000" w:firstRow="1" w:lastRow="0" w:firstColumn="0" w:lastColumn="0" w:oddVBand="0" w:evenVBand="0" w:oddHBand="0" w:evenHBand="0" w:firstRowFirstColumn="0" w:firstRowLastColumn="0" w:lastRowFirstColumn="0" w:lastRowLastColumn="0"/>
              <w:rPr>
                <w:rFonts w:cs="Miriam"/>
                <w:rtl/>
              </w:rPr>
            </w:pPr>
            <w:r w:rsidRPr="006E7DBA">
              <w:rPr>
                <w:rFonts w:cs="Miriam"/>
              </w:rPr>
              <w:t>Total waste in NIS</w:t>
            </w:r>
          </w:p>
        </w:tc>
        <w:tc>
          <w:tcPr>
            <w:tcW w:w="1394" w:type="dxa"/>
            <w:vAlign w:val="center"/>
          </w:tcPr>
          <w:p w14:paraId="2D72370E" w14:textId="77777777" w:rsidR="006E7DBA" w:rsidRPr="006E7DBA" w:rsidRDefault="006E7DBA" w:rsidP="006E7DBA">
            <w:pPr>
              <w:widowControl w:val="0"/>
              <w:jc w:val="center"/>
              <w:cnfStyle w:val="100000000000" w:firstRow="1" w:lastRow="0" w:firstColumn="0" w:lastColumn="0" w:oddVBand="0" w:evenVBand="0" w:oddHBand="0" w:evenHBand="0" w:firstRowFirstColumn="0" w:firstRowLastColumn="0" w:lastRowFirstColumn="0" w:lastRowLastColumn="0"/>
              <w:rPr>
                <w:rFonts w:cs="Miriam"/>
                <w:rtl/>
              </w:rPr>
            </w:pPr>
            <w:r w:rsidRPr="006E7DBA">
              <w:rPr>
                <w:rFonts w:cs="Miriam"/>
              </w:rPr>
              <w:t>Rescuable waste in NIS</w:t>
            </w:r>
          </w:p>
        </w:tc>
      </w:tr>
      <w:tr w:rsidR="006E7DBA" w:rsidRPr="006E7DBA" w14:paraId="65B5D0E4" w14:textId="77777777" w:rsidTr="006E7D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CEA4749" w14:textId="77777777" w:rsidR="006E7DBA" w:rsidRPr="006E7DBA" w:rsidRDefault="006E7DBA" w:rsidP="006E7DBA">
            <w:pPr>
              <w:rPr>
                <w:rtl/>
              </w:rPr>
            </w:pPr>
          </w:p>
        </w:tc>
        <w:tc>
          <w:tcPr>
            <w:tcW w:w="1512" w:type="dxa"/>
          </w:tcPr>
          <w:p w14:paraId="32BD92BD" w14:textId="77777777" w:rsidR="006E7DBA" w:rsidRPr="006E7DBA" w:rsidRDefault="006E7DBA" w:rsidP="006E7DBA">
            <w:pPr>
              <w:jc w:val="center"/>
              <w:cnfStyle w:val="000000100000" w:firstRow="0" w:lastRow="0" w:firstColumn="0" w:lastColumn="0" w:oddVBand="0" w:evenVBand="0" w:oddHBand="1" w:evenHBand="0" w:firstRowFirstColumn="0" w:firstRowLastColumn="0" w:lastRowFirstColumn="0" w:lastRowLastColumn="0"/>
              <w:rPr>
                <w:rFonts w:cs="David"/>
                <w:b/>
                <w:bCs/>
                <w:color w:val="000000"/>
                <w:rtl/>
              </w:rPr>
            </w:pPr>
            <w:r w:rsidRPr="006E7DBA">
              <w:rPr>
                <w:rFonts w:cs="David"/>
                <w:b/>
                <w:bCs/>
                <w:color w:val="000000"/>
              </w:rPr>
              <w:t>Million meals</w:t>
            </w:r>
          </w:p>
        </w:tc>
        <w:tc>
          <w:tcPr>
            <w:tcW w:w="1451" w:type="dxa"/>
          </w:tcPr>
          <w:p w14:paraId="2DB3209F" w14:textId="77777777" w:rsidR="006E7DBA" w:rsidRPr="006E7DBA" w:rsidRDefault="006E7DBA" w:rsidP="006E7DBA">
            <w:pPr>
              <w:jc w:val="center"/>
              <w:cnfStyle w:val="000000100000" w:firstRow="0" w:lastRow="0" w:firstColumn="0" w:lastColumn="0" w:oddVBand="0" w:evenVBand="0" w:oddHBand="1" w:evenHBand="0" w:firstRowFirstColumn="0" w:firstRowLastColumn="0" w:lastRowFirstColumn="0" w:lastRowLastColumn="0"/>
              <w:rPr>
                <w:rFonts w:cs="David"/>
                <w:b/>
                <w:bCs/>
                <w:color w:val="000000"/>
                <w:rtl/>
              </w:rPr>
            </w:pPr>
            <w:r w:rsidRPr="006E7DBA">
              <w:rPr>
                <w:rFonts w:cs="David"/>
                <w:b/>
                <w:bCs/>
                <w:color w:val="000000"/>
              </w:rPr>
              <w:t>NIS million</w:t>
            </w:r>
          </w:p>
        </w:tc>
        <w:tc>
          <w:tcPr>
            <w:tcW w:w="1384" w:type="dxa"/>
          </w:tcPr>
          <w:p w14:paraId="4BF743EF" w14:textId="77777777" w:rsidR="006E7DBA" w:rsidRPr="006E7DBA" w:rsidRDefault="006E7DBA" w:rsidP="006E7DBA">
            <w:pPr>
              <w:jc w:val="center"/>
              <w:cnfStyle w:val="000000100000" w:firstRow="0" w:lastRow="0" w:firstColumn="0" w:lastColumn="0" w:oddVBand="0" w:evenVBand="0" w:oddHBand="1" w:evenHBand="0" w:firstRowFirstColumn="0" w:firstRowLastColumn="0" w:lastRowFirstColumn="0" w:lastRowLastColumn="0"/>
              <w:rPr>
                <w:rFonts w:cs="David"/>
                <w:b/>
                <w:bCs/>
                <w:color w:val="000000"/>
              </w:rPr>
            </w:pPr>
            <w:r w:rsidRPr="006E7DBA">
              <w:rPr>
                <w:rFonts w:cs="David"/>
                <w:b/>
                <w:bCs/>
                <w:color w:val="000000"/>
              </w:rPr>
              <w:t>NIS million</w:t>
            </w:r>
          </w:p>
        </w:tc>
        <w:tc>
          <w:tcPr>
            <w:tcW w:w="1394" w:type="dxa"/>
          </w:tcPr>
          <w:p w14:paraId="67F60F4C" w14:textId="77777777" w:rsidR="006E7DBA" w:rsidRPr="006E7DBA" w:rsidRDefault="006E7DBA" w:rsidP="006E7DBA">
            <w:pPr>
              <w:jc w:val="center"/>
              <w:cnfStyle w:val="000000100000" w:firstRow="0" w:lastRow="0" w:firstColumn="0" w:lastColumn="0" w:oddVBand="0" w:evenVBand="0" w:oddHBand="1" w:evenHBand="0" w:firstRowFirstColumn="0" w:firstRowLastColumn="0" w:lastRowFirstColumn="0" w:lastRowLastColumn="0"/>
              <w:rPr>
                <w:rFonts w:cs="David"/>
                <w:b/>
                <w:bCs/>
                <w:color w:val="000000"/>
              </w:rPr>
            </w:pPr>
            <w:r w:rsidRPr="006E7DBA">
              <w:rPr>
                <w:rFonts w:cs="David"/>
                <w:b/>
                <w:bCs/>
                <w:color w:val="000000"/>
              </w:rPr>
              <w:t>NIS million</w:t>
            </w:r>
          </w:p>
        </w:tc>
      </w:tr>
      <w:tr w:rsidR="006E7DBA" w:rsidRPr="006E7DBA" w14:paraId="37C6B65B" w14:textId="77777777" w:rsidTr="006E7D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0B1BA574" w14:textId="77777777" w:rsidR="006E7DBA" w:rsidRPr="006E7DBA" w:rsidRDefault="006E7DBA" w:rsidP="006E7DBA">
            <w:pPr>
              <w:rPr>
                <w:rFonts w:cs="David"/>
                <w:color w:val="000000"/>
                <w:rtl/>
              </w:rPr>
            </w:pPr>
            <w:r w:rsidRPr="006E7DBA">
              <w:rPr>
                <w:rFonts w:cs="David"/>
                <w:color w:val="000000"/>
              </w:rPr>
              <w:t xml:space="preserve">Restaurants </w:t>
            </w:r>
          </w:p>
        </w:tc>
        <w:tc>
          <w:tcPr>
            <w:tcW w:w="1512" w:type="dxa"/>
            <w:vAlign w:val="center"/>
          </w:tcPr>
          <w:p w14:paraId="3EA718D3" w14:textId="12ECC3D5"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451" w:type="dxa"/>
            <w:vAlign w:val="center"/>
          </w:tcPr>
          <w:p w14:paraId="2B702DA5" w14:textId="5EAFA228"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84" w:type="dxa"/>
            <w:vAlign w:val="center"/>
          </w:tcPr>
          <w:p w14:paraId="0993E85D" w14:textId="0DF081C9"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94" w:type="dxa"/>
            <w:vAlign w:val="center"/>
          </w:tcPr>
          <w:p w14:paraId="0A45EDF6" w14:textId="3F5DD63C"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r>
      <w:tr w:rsidR="006E7DBA" w:rsidRPr="006E7DBA" w14:paraId="2FFA7823" w14:textId="77777777" w:rsidTr="006E7D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5D4E9F8B" w14:textId="77777777" w:rsidR="006E7DBA" w:rsidRPr="006E7DBA" w:rsidRDefault="006E7DBA" w:rsidP="006E7DBA">
            <w:pPr>
              <w:rPr>
                <w:rFonts w:cs="David"/>
                <w:color w:val="000000"/>
                <w:rtl/>
              </w:rPr>
            </w:pPr>
            <w:r w:rsidRPr="006E7DBA">
              <w:rPr>
                <w:rFonts w:cs="David"/>
                <w:color w:val="000000"/>
              </w:rPr>
              <w:t xml:space="preserve">Events </w:t>
            </w:r>
          </w:p>
        </w:tc>
        <w:tc>
          <w:tcPr>
            <w:tcW w:w="1512" w:type="dxa"/>
            <w:vAlign w:val="center"/>
          </w:tcPr>
          <w:p w14:paraId="2C4B7336" w14:textId="3B1A2C3C"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451" w:type="dxa"/>
            <w:vAlign w:val="center"/>
          </w:tcPr>
          <w:p w14:paraId="658F9EAE" w14:textId="18E8EEB4"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84" w:type="dxa"/>
            <w:vAlign w:val="center"/>
          </w:tcPr>
          <w:p w14:paraId="51C75EAA" w14:textId="3F541CFD"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94" w:type="dxa"/>
            <w:vAlign w:val="center"/>
          </w:tcPr>
          <w:p w14:paraId="68877759" w14:textId="20217A0E"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r>
      <w:tr w:rsidR="006E7DBA" w:rsidRPr="006E7DBA" w14:paraId="3D3D1A44" w14:textId="77777777" w:rsidTr="006E7D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36DF9249" w14:textId="77777777" w:rsidR="006E7DBA" w:rsidRPr="006E7DBA" w:rsidRDefault="006E7DBA" w:rsidP="006E7DBA">
            <w:pPr>
              <w:rPr>
                <w:rFonts w:cs="David"/>
                <w:color w:val="000000"/>
                <w:rtl/>
              </w:rPr>
            </w:pPr>
            <w:r w:rsidRPr="006E7DBA">
              <w:rPr>
                <w:rFonts w:cs="David"/>
                <w:color w:val="000000"/>
              </w:rPr>
              <w:t xml:space="preserve">Workplaces </w:t>
            </w:r>
          </w:p>
        </w:tc>
        <w:tc>
          <w:tcPr>
            <w:tcW w:w="1512" w:type="dxa"/>
            <w:vAlign w:val="center"/>
          </w:tcPr>
          <w:p w14:paraId="39FBBD82" w14:textId="3BFB4111"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451" w:type="dxa"/>
            <w:vAlign w:val="center"/>
          </w:tcPr>
          <w:p w14:paraId="09A1E68B" w14:textId="2A2A8349"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84" w:type="dxa"/>
            <w:vAlign w:val="center"/>
          </w:tcPr>
          <w:p w14:paraId="23160C75" w14:textId="3B1B8783"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94" w:type="dxa"/>
            <w:vAlign w:val="center"/>
          </w:tcPr>
          <w:p w14:paraId="1FE8B38E" w14:textId="761FC027"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r>
      <w:tr w:rsidR="006E7DBA" w:rsidRPr="006E7DBA" w14:paraId="443A1797" w14:textId="77777777" w:rsidTr="006E7D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6C2567B6" w14:textId="77777777" w:rsidR="006E7DBA" w:rsidRPr="006E7DBA" w:rsidRDefault="006E7DBA" w:rsidP="006E7DBA">
            <w:pPr>
              <w:rPr>
                <w:rFonts w:cs="David"/>
                <w:color w:val="000000"/>
                <w:rtl/>
              </w:rPr>
            </w:pPr>
            <w:r w:rsidRPr="006E7DBA">
              <w:rPr>
                <w:rFonts w:cs="David"/>
                <w:color w:val="000000"/>
              </w:rPr>
              <w:t>Hotels</w:t>
            </w:r>
          </w:p>
        </w:tc>
        <w:tc>
          <w:tcPr>
            <w:tcW w:w="1512" w:type="dxa"/>
            <w:vAlign w:val="center"/>
          </w:tcPr>
          <w:p w14:paraId="7208961E" w14:textId="0D7036C6"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451" w:type="dxa"/>
            <w:vAlign w:val="center"/>
          </w:tcPr>
          <w:p w14:paraId="4E73F768" w14:textId="677EFB01"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84" w:type="dxa"/>
            <w:vAlign w:val="center"/>
          </w:tcPr>
          <w:p w14:paraId="51E72A05" w14:textId="4C2CA33B"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94" w:type="dxa"/>
            <w:vAlign w:val="center"/>
          </w:tcPr>
          <w:p w14:paraId="2C43E878" w14:textId="30FBEFD6"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r>
      <w:tr w:rsidR="006E7DBA" w:rsidRPr="006E7DBA" w14:paraId="4BC28C0A" w14:textId="77777777" w:rsidTr="006E7D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03A7C716" w14:textId="77777777" w:rsidR="006E7DBA" w:rsidRPr="006E7DBA" w:rsidRDefault="006E7DBA" w:rsidP="006E7DBA">
            <w:pPr>
              <w:rPr>
                <w:rFonts w:cs="David"/>
                <w:color w:val="000000"/>
                <w:rtl/>
              </w:rPr>
            </w:pPr>
            <w:r w:rsidRPr="006E7DBA">
              <w:rPr>
                <w:rFonts w:cs="David"/>
                <w:color w:val="000000"/>
              </w:rPr>
              <w:t>Security forces</w:t>
            </w:r>
          </w:p>
        </w:tc>
        <w:tc>
          <w:tcPr>
            <w:tcW w:w="1512" w:type="dxa"/>
            <w:vAlign w:val="center"/>
          </w:tcPr>
          <w:p w14:paraId="568D588E" w14:textId="39DDBC7F"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451" w:type="dxa"/>
            <w:vAlign w:val="center"/>
          </w:tcPr>
          <w:p w14:paraId="078B16F5" w14:textId="63366C18"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84" w:type="dxa"/>
            <w:vAlign w:val="center"/>
          </w:tcPr>
          <w:p w14:paraId="7DFC6089" w14:textId="7356C7A8"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94" w:type="dxa"/>
            <w:vAlign w:val="center"/>
          </w:tcPr>
          <w:p w14:paraId="56105610" w14:textId="24F20281"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r>
      <w:tr w:rsidR="006E7DBA" w:rsidRPr="006E7DBA" w14:paraId="62749976" w14:textId="77777777" w:rsidTr="006E7D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01832883" w14:textId="77777777" w:rsidR="006E7DBA" w:rsidRPr="006E7DBA" w:rsidRDefault="006E7DBA" w:rsidP="006E7DBA">
            <w:pPr>
              <w:rPr>
                <w:rFonts w:cs="David"/>
                <w:color w:val="000000"/>
                <w:rtl/>
              </w:rPr>
            </w:pPr>
            <w:r w:rsidRPr="006E7DBA">
              <w:rPr>
                <w:rFonts w:cs="David"/>
                <w:color w:val="000000"/>
              </w:rPr>
              <w:t>Hospitals</w:t>
            </w:r>
          </w:p>
        </w:tc>
        <w:tc>
          <w:tcPr>
            <w:tcW w:w="1512" w:type="dxa"/>
            <w:vAlign w:val="center"/>
          </w:tcPr>
          <w:p w14:paraId="1FB5EB01" w14:textId="61C7D513"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451" w:type="dxa"/>
            <w:vAlign w:val="center"/>
          </w:tcPr>
          <w:p w14:paraId="21054ECC" w14:textId="2130A21C"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84" w:type="dxa"/>
            <w:vAlign w:val="center"/>
          </w:tcPr>
          <w:p w14:paraId="63ACA762" w14:textId="159C1DD1"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94" w:type="dxa"/>
            <w:vAlign w:val="center"/>
          </w:tcPr>
          <w:p w14:paraId="719E56CB" w14:textId="0A951D92"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r>
      <w:tr w:rsidR="006E7DBA" w:rsidRPr="006E7DBA" w14:paraId="051D31E8" w14:textId="77777777" w:rsidTr="006E7DB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2E303D7A" w14:textId="77777777" w:rsidR="006E7DBA" w:rsidRPr="006E7DBA" w:rsidRDefault="006E7DBA" w:rsidP="006E7DBA">
            <w:pPr>
              <w:rPr>
                <w:rFonts w:cs="David"/>
                <w:color w:val="000000"/>
                <w:rtl/>
              </w:rPr>
            </w:pPr>
            <w:r w:rsidRPr="006E7DBA">
              <w:rPr>
                <w:rFonts w:cs="David"/>
                <w:color w:val="000000"/>
              </w:rPr>
              <w:t xml:space="preserve">Educational institutions </w:t>
            </w:r>
          </w:p>
        </w:tc>
        <w:tc>
          <w:tcPr>
            <w:tcW w:w="1512" w:type="dxa"/>
            <w:vAlign w:val="center"/>
          </w:tcPr>
          <w:p w14:paraId="0BB34398" w14:textId="11F42AC2"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451" w:type="dxa"/>
            <w:vAlign w:val="center"/>
          </w:tcPr>
          <w:p w14:paraId="7734E2A0" w14:textId="39E143D6"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84" w:type="dxa"/>
            <w:vAlign w:val="center"/>
          </w:tcPr>
          <w:p w14:paraId="42E70E1C" w14:textId="01ABE0F2"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c>
          <w:tcPr>
            <w:tcW w:w="1394" w:type="dxa"/>
            <w:vAlign w:val="center"/>
          </w:tcPr>
          <w:p w14:paraId="351516EC" w14:textId="4A462FFD" w:rsidR="006E7DBA" w:rsidRPr="006E7DBA" w:rsidRDefault="006E7DBA" w:rsidP="006E7DBA">
            <w:pPr>
              <w:widowControl w:val="0"/>
              <w:jc w:val="right"/>
              <w:cnfStyle w:val="000000010000" w:firstRow="0" w:lastRow="0" w:firstColumn="0" w:lastColumn="0" w:oddVBand="0" w:evenVBand="0" w:oddHBand="0" w:evenHBand="1" w:firstRowFirstColumn="0" w:firstRowLastColumn="0" w:lastRowFirstColumn="0" w:lastRowLastColumn="0"/>
              <w:rPr>
                <w:rFonts w:cstheme="minorHAnsi"/>
                <w:color w:val="000000"/>
                <w:rtl/>
              </w:rPr>
            </w:pPr>
          </w:p>
        </w:tc>
      </w:tr>
      <w:tr w:rsidR="006E7DBA" w:rsidRPr="006E7DBA" w14:paraId="519AEC08" w14:textId="77777777" w:rsidTr="006E7D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6" w:type="dxa"/>
          </w:tcPr>
          <w:p w14:paraId="4C104069" w14:textId="77777777" w:rsidR="006E7DBA" w:rsidRPr="006E7DBA" w:rsidRDefault="006E7DBA" w:rsidP="006E7DBA">
            <w:pPr>
              <w:rPr>
                <w:rFonts w:cs="David"/>
                <w:color w:val="000000"/>
                <w:rtl/>
              </w:rPr>
            </w:pPr>
            <w:r w:rsidRPr="006E7DBA">
              <w:rPr>
                <w:rFonts w:cs="David"/>
                <w:color w:val="000000"/>
              </w:rPr>
              <w:t>Total</w:t>
            </w:r>
          </w:p>
        </w:tc>
        <w:tc>
          <w:tcPr>
            <w:tcW w:w="1512" w:type="dxa"/>
            <w:vAlign w:val="center"/>
          </w:tcPr>
          <w:p w14:paraId="2683DFA7" w14:textId="5D614440"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451" w:type="dxa"/>
            <w:vAlign w:val="center"/>
          </w:tcPr>
          <w:p w14:paraId="2C27C58A" w14:textId="066B4C78"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84" w:type="dxa"/>
            <w:vAlign w:val="center"/>
          </w:tcPr>
          <w:p w14:paraId="0CD1F7A2" w14:textId="61EAC3ED"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c>
          <w:tcPr>
            <w:tcW w:w="1394" w:type="dxa"/>
            <w:vAlign w:val="center"/>
          </w:tcPr>
          <w:p w14:paraId="6E15B3AD" w14:textId="5F191FEE" w:rsidR="006E7DBA" w:rsidRPr="006E7DBA" w:rsidRDefault="006E7DBA" w:rsidP="006E7DBA">
            <w:pPr>
              <w:widowControl w:val="0"/>
              <w:jc w:val="right"/>
              <w:cnfStyle w:val="000000100000" w:firstRow="0" w:lastRow="0" w:firstColumn="0" w:lastColumn="0" w:oddVBand="0" w:evenVBand="0" w:oddHBand="1" w:evenHBand="0" w:firstRowFirstColumn="0" w:firstRowLastColumn="0" w:lastRowFirstColumn="0" w:lastRowLastColumn="0"/>
              <w:rPr>
                <w:rFonts w:cstheme="minorHAnsi"/>
                <w:color w:val="000000"/>
                <w:rtl/>
              </w:rPr>
            </w:pPr>
          </w:p>
        </w:tc>
      </w:tr>
    </w:tbl>
    <w:p w14:paraId="1B38F72F" w14:textId="77777777" w:rsidR="00293231" w:rsidRPr="008F3D9C" w:rsidRDefault="00293231" w:rsidP="00293231">
      <w:pPr>
        <w:pStyle w:val="BodyText"/>
      </w:pPr>
    </w:p>
    <w:p w14:paraId="736F8FF3" w14:textId="77777777" w:rsidR="00293231" w:rsidRPr="004F3A44" w:rsidRDefault="00293231" w:rsidP="00293231">
      <w:pPr>
        <w:pStyle w:val="BodyText"/>
        <w:rPr>
          <w:rtl/>
        </w:rPr>
      </w:pPr>
      <w:r w:rsidRPr="004F3A44">
        <w:t xml:space="preserve">The high return on investment for food rescue in the institutional sector is a consequence of the relatively high value of the rescued product, </w:t>
      </w:r>
      <w:r>
        <w:t xml:space="preserve">combined with </w:t>
      </w:r>
      <w:r w:rsidRPr="004F3A44">
        <w:t xml:space="preserve">the relatively low logistical costs of collecting food from large kitchens with </w:t>
      </w:r>
      <w:r>
        <w:t>dense</w:t>
      </w:r>
      <w:r w:rsidRPr="004F3A44">
        <w:t xml:space="preserve"> geographic distribution, concentrated in city centers and industrial areas. </w:t>
      </w:r>
    </w:p>
    <w:p w14:paraId="19F2613B" w14:textId="77777777" w:rsidR="00293231" w:rsidRPr="00A4038D" w:rsidRDefault="00293231" w:rsidP="00293231">
      <w:pPr>
        <w:pStyle w:val="BodyText"/>
      </w:pPr>
    </w:p>
    <w:p w14:paraId="0288C2F8" w14:textId="77777777" w:rsidR="00293231" w:rsidRDefault="00293231" w:rsidP="00293231">
      <w:pPr>
        <w:rPr>
          <w:rFonts w:eastAsia="Calibri" w:cs="Times New Roman"/>
          <w:sz w:val="24"/>
          <w:szCs w:val="24"/>
        </w:rPr>
      </w:pPr>
    </w:p>
    <w:p w14:paraId="53AC4FDA" w14:textId="77777777" w:rsidR="00293231" w:rsidRDefault="00293231" w:rsidP="00293231">
      <w:pPr>
        <w:rPr>
          <w:rFonts w:eastAsiaTheme="majorEastAsia" w:cstheme="minorHAnsi"/>
          <w:b/>
          <w:bCs/>
          <w:iCs/>
          <w:color w:val="FF0000"/>
          <w:spacing w:val="5"/>
          <w:kern w:val="28"/>
          <w:sz w:val="32"/>
          <w:szCs w:val="32"/>
        </w:rPr>
      </w:pPr>
      <w:r>
        <w:br w:type="page"/>
      </w:r>
    </w:p>
    <w:p w14:paraId="14803B09" w14:textId="204DBC00" w:rsidR="00293231" w:rsidRDefault="00293231" w:rsidP="00293231">
      <w:pPr>
        <w:pStyle w:val="Heading1"/>
      </w:pPr>
      <w:bookmarkStart w:id="15" w:name="_Toc951796"/>
      <w:r w:rsidRPr="002A0903">
        <w:lastRenderedPageBreak/>
        <w:t xml:space="preserve">Food Waste and Rescue in the Retail and Distribution </w:t>
      </w:r>
      <w:r>
        <w:t>Sectors</w:t>
      </w:r>
      <w:bookmarkEnd w:id="11"/>
      <w:r w:rsidR="006E7DBA">
        <w:rPr>
          <w:rStyle w:val="FootnoteReference"/>
          <w:b w:val="0"/>
          <w:bCs w:val="0"/>
        </w:rPr>
        <w:footnoteReference w:id="11"/>
      </w:r>
      <w:bookmarkEnd w:id="15"/>
    </w:p>
    <w:p w14:paraId="166594C6" w14:textId="77777777" w:rsidR="00293231" w:rsidRPr="00A75172" w:rsidRDefault="00293231" w:rsidP="00293231">
      <w:pPr>
        <w:pStyle w:val="BodyText"/>
        <w:rPr>
          <w:b/>
          <w:bCs/>
        </w:rPr>
      </w:pPr>
      <w:r w:rsidRPr="00A75172">
        <w:rPr>
          <w:u w:val="single"/>
        </w:rPr>
        <w:t xml:space="preserve">Bold </w:t>
      </w:r>
      <w:r>
        <w:rPr>
          <w:u w:val="single"/>
        </w:rPr>
        <w:t xml:space="preserve">chapter </w:t>
      </w:r>
      <w:r w:rsidRPr="00A75172">
        <w:rPr>
          <w:u w:val="single"/>
        </w:rPr>
        <w:t>head</w:t>
      </w:r>
      <w:r w:rsidRPr="00A75172">
        <w:t xml:space="preserve">: </w:t>
      </w:r>
      <w:r w:rsidRPr="00A75172">
        <w:rPr>
          <w:b/>
          <w:bCs/>
        </w:rPr>
        <w:t xml:space="preserve">NIS </w:t>
      </w:r>
      <w:r w:rsidRPr="00406602">
        <w:rPr>
          <w:b/>
          <w:bCs/>
          <w:highlight w:val="green"/>
        </w:rPr>
        <w:t>4.3</w:t>
      </w:r>
      <w:r w:rsidRPr="00A75172">
        <w:rPr>
          <w:b/>
          <w:bCs/>
        </w:rPr>
        <w:t xml:space="preserve"> billion worth of food </w:t>
      </w:r>
      <w:r>
        <w:rPr>
          <w:b/>
          <w:bCs/>
        </w:rPr>
        <w:t>waste</w:t>
      </w:r>
      <w:r w:rsidRPr="00A75172">
        <w:rPr>
          <w:b/>
          <w:bCs/>
        </w:rPr>
        <w:t xml:space="preserve"> in the retail and distribution </w:t>
      </w:r>
      <w:r>
        <w:rPr>
          <w:b/>
          <w:bCs/>
        </w:rPr>
        <w:t>sector</w:t>
      </w:r>
      <w:r w:rsidRPr="00A75172">
        <w:rPr>
          <w:b/>
          <w:bCs/>
        </w:rPr>
        <w:t xml:space="preserve"> // About half of the rescuable food, by value, is in </w:t>
      </w:r>
      <w:r>
        <w:rPr>
          <w:b/>
          <w:bCs/>
        </w:rPr>
        <w:t>these sectors</w:t>
      </w:r>
    </w:p>
    <w:p w14:paraId="520934DD" w14:textId="0CFFAB83" w:rsidR="00293231" w:rsidRPr="00832A7D" w:rsidRDefault="00293231" w:rsidP="006E7DBA">
      <w:pPr>
        <w:pStyle w:val="BodyText"/>
      </w:pPr>
      <w:r w:rsidRPr="00832A7D">
        <w:t>The volume of food sales in Israel is about NIS 7</w:t>
      </w:r>
      <w:r w:rsidR="006E7DBA" w:rsidRPr="006E7DBA">
        <w:rPr>
          <w:highlight w:val="cyan"/>
        </w:rPr>
        <w:t>9</w:t>
      </w:r>
      <w:r w:rsidRPr="00832A7D">
        <w:t xml:space="preserve"> billion a year, marketed to consumers in </w:t>
      </w:r>
      <w:r>
        <w:t>supermarkets</w:t>
      </w:r>
      <w:r w:rsidRPr="00832A7D">
        <w:t xml:space="preserve">, open markets, grocery stores, small retailers and the institutional sector. The total loss in the retail and distribution </w:t>
      </w:r>
      <w:r>
        <w:t>sectors</w:t>
      </w:r>
      <w:r w:rsidRPr="00832A7D">
        <w:t xml:space="preserve"> is about 4</w:t>
      </w:r>
      <w:r w:rsidR="006E7DBA" w:rsidRPr="006E7DBA">
        <w:rPr>
          <w:highlight w:val="cyan"/>
        </w:rPr>
        <w:t>3</w:t>
      </w:r>
      <w:r w:rsidRPr="00832A7D">
        <w:t>0,000 tons of food, valued at approximately NIS 4.</w:t>
      </w:r>
      <w:r w:rsidR="006E7DBA" w:rsidRPr="006E7DBA">
        <w:rPr>
          <w:highlight w:val="cyan"/>
        </w:rPr>
        <w:t>3</w:t>
      </w:r>
      <w:r w:rsidRPr="00832A7D">
        <w:t xml:space="preserve"> billion, which constitutes about 6% of the retail sales of food. Of this amount, the value of the</w:t>
      </w:r>
      <w:r>
        <w:t xml:space="preserve"> </w:t>
      </w:r>
      <w:r w:rsidRPr="00832A7D">
        <w:t>rescuable food is approximately NIS 3</w:t>
      </w:r>
      <w:r w:rsidR="006E7DBA">
        <w:t>.</w:t>
      </w:r>
      <w:r w:rsidR="006E7DBA" w:rsidRPr="006E7DBA">
        <w:rPr>
          <w:highlight w:val="cyan"/>
        </w:rPr>
        <w:t>5</w:t>
      </w:r>
      <w:r w:rsidRPr="00832A7D">
        <w:t>billion.</w:t>
      </w:r>
    </w:p>
    <w:p w14:paraId="463DE052" w14:textId="77777777" w:rsidR="00293231" w:rsidRDefault="00293231" w:rsidP="00293231">
      <w:pPr>
        <w:pStyle w:val="Graphtitle"/>
      </w:pPr>
      <w:r w:rsidRPr="00832A7D">
        <w:t xml:space="preserve">Financial Loss in the </w:t>
      </w:r>
      <w:r w:rsidRPr="002A0903">
        <w:t>Retail and Distribution</w:t>
      </w:r>
      <w:r w:rsidRPr="00832A7D">
        <w:t xml:space="preserve"> </w:t>
      </w:r>
      <w:r>
        <w:t>Sectors</w:t>
      </w:r>
    </w:p>
    <w:tbl>
      <w:tblPr>
        <w:tblW w:w="9012" w:type="dxa"/>
        <w:tblInd w:w="26" w:type="dxa"/>
        <w:tblLayout w:type="fixed"/>
        <w:tblLook w:val="04A0" w:firstRow="1" w:lastRow="0" w:firstColumn="1" w:lastColumn="0" w:noHBand="0" w:noVBand="1"/>
      </w:tblPr>
      <w:tblGrid>
        <w:gridCol w:w="2776"/>
        <w:gridCol w:w="2268"/>
        <w:gridCol w:w="1984"/>
        <w:gridCol w:w="1984"/>
      </w:tblGrid>
      <w:tr w:rsidR="00293231" w:rsidRPr="00832A7D" w14:paraId="6666E163" w14:textId="77777777" w:rsidTr="0062753C">
        <w:trPr>
          <w:trHeight w:val="615"/>
        </w:trPr>
        <w:tc>
          <w:tcPr>
            <w:tcW w:w="2776" w:type="dxa"/>
            <w:tcBorders>
              <w:top w:val="single" w:sz="4" w:space="0" w:color="4BACC6"/>
              <w:left w:val="single" w:sz="4" w:space="0" w:color="4BACC6"/>
              <w:bottom w:val="nil"/>
              <w:right w:val="nil"/>
            </w:tcBorders>
            <w:shd w:val="clear" w:color="000000" w:fill="4BACC6"/>
            <w:noWrap/>
            <w:vAlign w:val="center"/>
            <w:hideMark/>
          </w:tcPr>
          <w:p w14:paraId="4ED3820E" w14:textId="77777777" w:rsidR="00293231" w:rsidRPr="00832A7D" w:rsidRDefault="00293231" w:rsidP="0062753C">
            <w:pPr>
              <w:spacing w:after="0" w:line="240" w:lineRule="auto"/>
              <w:rPr>
                <w:rFonts w:eastAsia="Times New Roman" w:cstheme="minorHAnsi"/>
                <w:b/>
                <w:bCs/>
                <w:color w:val="FFFFFF"/>
              </w:rPr>
            </w:pPr>
            <w:r w:rsidRPr="00832A7D">
              <w:rPr>
                <w:rFonts w:eastAsia="Times New Roman" w:cstheme="minorHAnsi"/>
                <w:b/>
                <w:bCs/>
                <w:color w:val="FFFFFF"/>
              </w:rPr>
              <w:t> </w:t>
            </w:r>
          </w:p>
        </w:tc>
        <w:tc>
          <w:tcPr>
            <w:tcW w:w="2268" w:type="dxa"/>
            <w:tcBorders>
              <w:top w:val="single" w:sz="4" w:space="0" w:color="4BACC6"/>
              <w:left w:val="nil"/>
              <w:bottom w:val="nil"/>
              <w:right w:val="nil"/>
            </w:tcBorders>
            <w:shd w:val="clear" w:color="000000" w:fill="4BACC6"/>
            <w:noWrap/>
            <w:vAlign w:val="center"/>
            <w:hideMark/>
          </w:tcPr>
          <w:p w14:paraId="23312BE1" w14:textId="5CBD8353" w:rsidR="00293231" w:rsidRPr="00832A7D" w:rsidRDefault="006E7DBA" w:rsidP="0062753C">
            <w:pPr>
              <w:spacing w:after="0" w:line="240" w:lineRule="auto"/>
              <w:jc w:val="center"/>
              <w:rPr>
                <w:rFonts w:eastAsia="Times New Roman" w:cstheme="minorHAnsi"/>
                <w:color w:val="FFFFFF"/>
              </w:rPr>
            </w:pPr>
            <w:r>
              <w:rPr>
                <w:rFonts w:eastAsia="Times New Roman" w:cstheme="minorHAnsi"/>
                <w:b/>
                <w:bCs/>
                <w:color w:val="FFFFFF"/>
              </w:rPr>
              <w:t>% Waste</w:t>
            </w:r>
          </w:p>
        </w:tc>
        <w:tc>
          <w:tcPr>
            <w:tcW w:w="1984" w:type="dxa"/>
            <w:tcBorders>
              <w:top w:val="single" w:sz="4" w:space="0" w:color="4BACC6"/>
              <w:left w:val="nil"/>
              <w:bottom w:val="nil"/>
              <w:right w:val="nil"/>
            </w:tcBorders>
            <w:shd w:val="clear" w:color="000000" w:fill="4BACC6"/>
            <w:noWrap/>
            <w:vAlign w:val="center"/>
          </w:tcPr>
          <w:p w14:paraId="306D1395" w14:textId="7F1EFF9C" w:rsidR="00293231" w:rsidRPr="00832A7D" w:rsidRDefault="006E7DBA" w:rsidP="0062753C">
            <w:pPr>
              <w:spacing w:after="0" w:line="240" w:lineRule="auto"/>
              <w:jc w:val="center"/>
              <w:rPr>
                <w:rFonts w:eastAsia="Times New Roman" w:cstheme="minorHAnsi"/>
                <w:b/>
                <w:bCs/>
                <w:color w:val="FFFFFF"/>
                <w:rtl/>
              </w:rPr>
            </w:pPr>
            <w:r>
              <w:rPr>
                <w:rFonts w:eastAsia="Times New Roman" w:cstheme="minorHAnsi"/>
                <w:b/>
                <w:bCs/>
                <w:color w:val="FFFFFF"/>
              </w:rPr>
              <w:t>Market value</w:t>
            </w:r>
            <w:r>
              <w:rPr>
                <w:rFonts w:eastAsia="Times New Roman" w:cstheme="minorHAnsi"/>
                <w:b/>
                <w:bCs/>
                <w:color w:val="FFFFFF"/>
              </w:rPr>
              <w:br/>
            </w:r>
            <w:r>
              <w:rPr>
                <w:rFonts w:eastAsia="Times New Roman" w:cstheme="minorHAnsi"/>
                <w:color w:val="FFFFFF"/>
              </w:rPr>
              <w:t>(NIS millions)</w:t>
            </w:r>
          </w:p>
        </w:tc>
        <w:tc>
          <w:tcPr>
            <w:tcW w:w="1984" w:type="dxa"/>
            <w:tcBorders>
              <w:top w:val="single" w:sz="4" w:space="0" w:color="4BACC6"/>
              <w:left w:val="nil"/>
              <w:bottom w:val="nil"/>
              <w:right w:val="single" w:sz="4" w:space="0" w:color="4BACC6"/>
            </w:tcBorders>
            <w:shd w:val="clear" w:color="000000" w:fill="4BACC6"/>
            <w:vAlign w:val="center"/>
          </w:tcPr>
          <w:p w14:paraId="6395017C" w14:textId="2EF8480D" w:rsidR="00293231" w:rsidRPr="00832A7D" w:rsidRDefault="006E7DBA" w:rsidP="006E7DBA">
            <w:pPr>
              <w:spacing w:after="0" w:line="240" w:lineRule="auto"/>
              <w:jc w:val="center"/>
              <w:rPr>
                <w:rFonts w:eastAsia="Times New Roman" w:cstheme="minorHAnsi"/>
                <w:b/>
                <w:bCs/>
                <w:color w:val="FFFFFF"/>
                <w:rtl/>
              </w:rPr>
            </w:pPr>
            <w:r w:rsidRPr="006E7DBA">
              <w:rPr>
                <w:rFonts w:eastAsia="Times New Roman" w:cstheme="minorHAnsi"/>
                <w:b/>
                <w:bCs/>
                <w:color w:val="FFFFFF"/>
                <w:highlight w:val="cyan"/>
              </w:rPr>
              <w:t xml:space="preserve">Amount </w:t>
            </w:r>
            <w:r w:rsidR="00293231" w:rsidRPr="006E7DBA">
              <w:rPr>
                <w:rFonts w:eastAsia="Times New Roman" w:cstheme="minorHAnsi"/>
                <w:b/>
                <w:bCs/>
                <w:color w:val="FFFFFF"/>
                <w:highlight w:val="cyan"/>
              </w:rPr>
              <w:t>of Waste</w:t>
            </w:r>
            <w:r w:rsidR="00293231" w:rsidRPr="006E7DBA">
              <w:rPr>
                <w:rFonts w:eastAsia="Times New Roman" w:cstheme="minorHAnsi"/>
                <w:b/>
                <w:bCs/>
                <w:color w:val="FFFFFF"/>
                <w:highlight w:val="cyan"/>
              </w:rPr>
              <w:br/>
            </w:r>
            <w:r w:rsidR="00293231" w:rsidRPr="006E7DBA">
              <w:rPr>
                <w:rFonts w:eastAsia="Times New Roman" w:cstheme="minorHAnsi"/>
                <w:color w:val="FFFFFF"/>
                <w:highlight w:val="cyan"/>
              </w:rPr>
              <w:t>(</w:t>
            </w:r>
            <w:r w:rsidRPr="006E7DBA">
              <w:rPr>
                <w:rFonts w:eastAsia="Times New Roman" w:cstheme="minorHAnsi"/>
                <w:color w:val="FFFFFF"/>
                <w:highlight w:val="cyan"/>
              </w:rPr>
              <w:t>1000 tons</w:t>
            </w:r>
            <w:r w:rsidR="00293231" w:rsidRPr="006E7DBA">
              <w:rPr>
                <w:rFonts w:eastAsia="Times New Roman" w:cstheme="minorHAnsi"/>
                <w:color w:val="FFFFFF"/>
                <w:highlight w:val="cyan"/>
              </w:rPr>
              <w:t>)</w:t>
            </w:r>
          </w:p>
        </w:tc>
      </w:tr>
      <w:tr w:rsidR="00293231" w:rsidRPr="00832A7D" w14:paraId="0A306C4F" w14:textId="77777777" w:rsidTr="006E7DBA">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13E19006" w14:textId="77777777" w:rsidR="00293231" w:rsidRPr="00832A7D" w:rsidRDefault="00293231" w:rsidP="0062753C">
            <w:pPr>
              <w:spacing w:after="0" w:line="240" w:lineRule="auto"/>
              <w:rPr>
                <w:rFonts w:eastAsia="Times New Roman" w:cstheme="minorHAnsi"/>
                <w:color w:val="000000"/>
                <w:rtl/>
              </w:rPr>
            </w:pPr>
            <w:r w:rsidRPr="00832A7D">
              <w:rPr>
                <w:rFonts w:eastAsia="Times New Roman" w:cstheme="minorHAnsi"/>
                <w:color w:val="000000"/>
              </w:rPr>
              <w:t>Fresh fruit and vegetables</w:t>
            </w:r>
          </w:p>
        </w:tc>
        <w:tc>
          <w:tcPr>
            <w:tcW w:w="2268" w:type="dxa"/>
            <w:tcBorders>
              <w:top w:val="single" w:sz="8" w:space="0" w:color="92CDDC"/>
              <w:left w:val="nil"/>
              <w:bottom w:val="nil"/>
              <w:right w:val="nil"/>
            </w:tcBorders>
            <w:shd w:val="clear" w:color="000000" w:fill="DAEEF3"/>
            <w:noWrap/>
            <w:vAlign w:val="center"/>
          </w:tcPr>
          <w:p w14:paraId="4F5EEFB9" w14:textId="0A266C8C"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nil"/>
              <w:right w:val="nil"/>
            </w:tcBorders>
            <w:shd w:val="clear" w:color="000000" w:fill="DAEEF3"/>
            <w:noWrap/>
            <w:vAlign w:val="center"/>
          </w:tcPr>
          <w:p w14:paraId="081F793B" w14:textId="4BED12EB"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nil"/>
              <w:right w:val="nil"/>
            </w:tcBorders>
            <w:shd w:val="clear" w:color="000000" w:fill="DAEEF3"/>
            <w:noWrap/>
            <w:vAlign w:val="center"/>
          </w:tcPr>
          <w:p w14:paraId="3A7A8AED" w14:textId="47636A2D" w:rsidR="00293231" w:rsidRPr="00832A7D" w:rsidRDefault="00293231" w:rsidP="0062753C">
            <w:pPr>
              <w:spacing w:after="0" w:line="240" w:lineRule="auto"/>
              <w:jc w:val="center"/>
              <w:rPr>
                <w:rFonts w:eastAsia="Times New Roman" w:cstheme="minorHAnsi"/>
                <w:color w:val="000000"/>
              </w:rPr>
            </w:pPr>
          </w:p>
        </w:tc>
      </w:tr>
      <w:tr w:rsidR="00293231" w:rsidRPr="00832A7D" w14:paraId="24F77678" w14:textId="77777777" w:rsidTr="006E7DBA">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7EB7CDBD" w14:textId="77777777" w:rsidR="00293231" w:rsidRPr="00832A7D" w:rsidRDefault="00293231" w:rsidP="0062753C">
            <w:pPr>
              <w:spacing w:after="0" w:line="240" w:lineRule="auto"/>
              <w:rPr>
                <w:rFonts w:eastAsia="Times New Roman" w:cstheme="minorHAnsi"/>
                <w:color w:val="000000"/>
              </w:rPr>
            </w:pPr>
            <w:r>
              <w:rPr>
                <w:rFonts w:eastAsia="Times New Roman" w:cstheme="minorHAnsi"/>
                <w:color w:val="000000"/>
              </w:rPr>
              <w:t>Bread and baked goods</w:t>
            </w:r>
          </w:p>
        </w:tc>
        <w:tc>
          <w:tcPr>
            <w:tcW w:w="2268" w:type="dxa"/>
            <w:tcBorders>
              <w:top w:val="single" w:sz="8" w:space="0" w:color="92CDDC"/>
              <w:left w:val="nil"/>
              <w:bottom w:val="nil"/>
              <w:right w:val="nil"/>
            </w:tcBorders>
            <w:shd w:val="clear" w:color="auto" w:fill="auto"/>
            <w:noWrap/>
            <w:vAlign w:val="center"/>
          </w:tcPr>
          <w:p w14:paraId="6C5CD0F5" w14:textId="5D7E6517" w:rsidR="00293231" w:rsidRPr="00832A7D" w:rsidRDefault="00293231" w:rsidP="0062753C">
            <w:pPr>
              <w:spacing w:after="0" w:line="240" w:lineRule="auto"/>
              <w:jc w:val="center"/>
              <w:rPr>
                <w:rFonts w:eastAsia="Times New Roman" w:cstheme="minorHAnsi"/>
                <w:color w:val="000000"/>
                <w:rtl/>
              </w:rPr>
            </w:pPr>
          </w:p>
        </w:tc>
        <w:tc>
          <w:tcPr>
            <w:tcW w:w="1984" w:type="dxa"/>
            <w:tcBorders>
              <w:top w:val="single" w:sz="8" w:space="0" w:color="92CDDC"/>
              <w:left w:val="nil"/>
              <w:bottom w:val="nil"/>
              <w:right w:val="nil"/>
            </w:tcBorders>
            <w:shd w:val="clear" w:color="auto" w:fill="auto"/>
            <w:noWrap/>
            <w:vAlign w:val="center"/>
          </w:tcPr>
          <w:p w14:paraId="3FC9263D" w14:textId="23E9DADF"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nil"/>
              <w:right w:val="nil"/>
            </w:tcBorders>
            <w:shd w:val="clear" w:color="auto" w:fill="auto"/>
            <w:noWrap/>
            <w:vAlign w:val="center"/>
          </w:tcPr>
          <w:p w14:paraId="22CCC6E8" w14:textId="30756D2B" w:rsidR="00293231" w:rsidRPr="00832A7D" w:rsidRDefault="00293231" w:rsidP="0062753C">
            <w:pPr>
              <w:spacing w:after="0" w:line="240" w:lineRule="auto"/>
              <w:jc w:val="center"/>
              <w:rPr>
                <w:rFonts w:eastAsia="Times New Roman" w:cstheme="minorHAnsi"/>
                <w:color w:val="000000"/>
              </w:rPr>
            </w:pPr>
          </w:p>
        </w:tc>
      </w:tr>
      <w:tr w:rsidR="00293231" w:rsidRPr="00832A7D" w14:paraId="420FE9BE" w14:textId="77777777" w:rsidTr="006E7DBA">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4488984F" w14:textId="77777777" w:rsidR="00293231" w:rsidRPr="00832A7D" w:rsidRDefault="00293231" w:rsidP="0062753C">
            <w:pPr>
              <w:spacing w:after="0" w:line="240" w:lineRule="auto"/>
              <w:rPr>
                <w:rFonts w:eastAsia="Times New Roman" w:cstheme="minorHAnsi"/>
                <w:color w:val="000000"/>
              </w:rPr>
            </w:pPr>
            <w:r>
              <w:rPr>
                <w:rFonts w:eastAsia="Times New Roman" w:cstheme="minorHAnsi"/>
                <w:color w:val="000000"/>
              </w:rPr>
              <w:t>Grains &amp; legumes</w:t>
            </w:r>
          </w:p>
        </w:tc>
        <w:tc>
          <w:tcPr>
            <w:tcW w:w="2268" w:type="dxa"/>
            <w:tcBorders>
              <w:top w:val="single" w:sz="8" w:space="0" w:color="92CDDC"/>
              <w:left w:val="nil"/>
              <w:bottom w:val="nil"/>
              <w:right w:val="nil"/>
            </w:tcBorders>
            <w:shd w:val="clear" w:color="000000" w:fill="DAEEF3"/>
            <w:noWrap/>
            <w:vAlign w:val="center"/>
          </w:tcPr>
          <w:p w14:paraId="4747E9D0" w14:textId="16879DCE" w:rsidR="00293231" w:rsidRPr="00832A7D" w:rsidRDefault="00293231" w:rsidP="0062753C">
            <w:pPr>
              <w:spacing w:after="0" w:line="240" w:lineRule="auto"/>
              <w:jc w:val="center"/>
              <w:rPr>
                <w:rFonts w:eastAsia="Times New Roman" w:cstheme="minorHAnsi"/>
                <w:color w:val="000000"/>
                <w:rtl/>
              </w:rPr>
            </w:pPr>
          </w:p>
        </w:tc>
        <w:tc>
          <w:tcPr>
            <w:tcW w:w="1984" w:type="dxa"/>
            <w:tcBorders>
              <w:top w:val="single" w:sz="8" w:space="0" w:color="92CDDC"/>
              <w:left w:val="nil"/>
              <w:bottom w:val="nil"/>
              <w:right w:val="nil"/>
            </w:tcBorders>
            <w:shd w:val="clear" w:color="000000" w:fill="DAEEF3"/>
            <w:noWrap/>
            <w:vAlign w:val="center"/>
          </w:tcPr>
          <w:p w14:paraId="2CE1A59C" w14:textId="7354C7F3"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nil"/>
              <w:right w:val="nil"/>
            </w:tcBorders>
            <w:shd w:val="clear" w:color="000000" w:fill="DAEEF3"/>
            <w:noWrap/>
            <w:vAlign w:val="center"/>
          </w:tcPr>
          <w:p w14:paraId="679B0B5D" w14:textId="54F91984" w:rsidR="00293231" w:rsidRPr="00832A7D" w:rsidRDefault="00293231" w:rsidP="0062753C">
            <w:pPr>
              <w:spacing w:after="0" w:line="240" w:lineRule="auto"/>
              <w:jc w:val="center"/>
              <w:rPr>
                <w:rFonts w:eastAsia="Times New Roman" w:cstheme="minorHAnsi"/>
                <w:color w:val="000000"/>
              </w:rPr>
            </w:pPr>
          </w:p>
        </w:tc>
      </w:tr>
      <w:tr w:rsidR="00293231" w:rsidRPr="00832A7D" w14:paraId="08E41FAC" w14:textId="77777777" w:rsidTr="006E7DBA">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7786FAA2" w14:textId="77777777" w:rsidR="00293231" w:rsidRPr="00832A7D" w:rsidRDefault="00293231" w:rsidP="0062753C">
            <w:pPr>
              <w:spacing w:after="0" w:line="240" w:lineRule="auto"/>
              <w:rPr>
                <w:rFonts w:eastAsia="Times New Roman" w:cstheme="minorHAnsi"/>
                <w:color w:val="000000"/>
              </w:rPr>
            </w:pPr>
            <w:r>
              <w:rPr>
                <w:rFonts w:eastAsia="Times New Roman" w:cstheme="minorHAnsi"/>
                <w:color w:val="000000"/>
              </w:rPr>
              <w:t>Meat, eggs, &amp; fish</w:t>
            </w:r>
          </w:p>
        </w:tc>
        <w:tc>
          <w:tcPr>
            <w:tcW w:w="2268" w:type="dxa"/>
            <w:tcBorders>
              <w:top w:val="single" w:sz="8" w:space="0" w:color="92CDDC"/>
              <w:left w:val="nil"/>
              <w:bottom w:val="nil"/>
              <w:right w:val="nil"/>
            </w:tcBorders>
            <w:shd w:val="clear" w:color="auto" w:fill="auto"/>
            <w:noWrap/>
            <w:vAlign w:val="center"/>
          </w:tcPr>
          <w:p w14:paraId="104A062D" w14:textId="011048D3" w:rsidR="00293231" w:rsidRPr="00832A7D" w:rsidRDefault="00293231" w:rsidP="0062753C">
            <w:pPr>
              <w:spacing w:after="0" w:line="240" w:lineRule="auto"/>
              <w:jc w:val="center"/>
              <w:rPr>
                <w:rFonts w:eastAsia="Times New Roman" w:cstheme="minorHAnsi"/>
                <w:color w:val="000000"/>
                <w:rtl/>
              </w:rPr>
            </w:pPr>
          </w:p>
        </w:tc>
        <w:tc>
          <w:tcPr>
            <w:tcW w:w="1984" w:type="dxa"/>
            <w:tcBorders>
              <w:top w:val="single" w:sz="8" w:space="0" w:color="92CDDC"/>
              <w:left w:val="nil"/>
              <w:bottom w:val="nil"/>
              <w:right w:val="nil"/>
            </w:tcBorders>
            <w:shd w:val="clear" w:color="auto" w:fill="auto"/>
            <w:noWrap/>
            <w:vAlign w:val="center"/>
          </w:tcPr>
          <w:p w14:paraId="02DBA06D" w14:textId="663B03DE"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nil"/>
              <w:right w:val="nil"/>
            </w:tcBorders>
            <w:shd w:val="clear" w:color="auto" w:fill="auto"/>
            <w:noWrap/>
            <w:vAlign w:val="center"/>
          </w:tcPr>
          <w:p w14:paraId="3EA6324A" w14:textId="6BBDAA4C" w:rsidR="00293231" w:rsidRPr="00832A7D" w:rsidRDefault="00293231" w:rsidP="0062753C">
            <w:pPr>
              <w:spacing w:after="0" w:line="240" w:lineRule="auto"/>
              <w:jc w:val="center"/>
              <w:rPr>
                <w:rFonts w:eastAsia="Times New Roman" w:cstheme="minorHAnsi"/>
                <w:color w:val="000000"/>
              </w:rPr>
            </w:pPr>
          </w:p>
        </w:tc>
      </w:tr>
      <w:tr w:rsidR="00293231" w:rsidRPr="00832A7D" w14:paraId="5C261462" w14:textId="77777777" w:rsidTr="006E7DBA">
        <w:trPr>
          <w:trHeight w:val="300"/>
        </w:trPr>
        <w:tc>
          <w:tcPr>
            <w:tcW w:w="2776" w:type="dxa"/>
            <w:tcBorders>
              <w:top w:val="single" w:sz="8" w:space="0" w:color="92CDDC"/>
              <w:left w:val="single" w:sz="4" w:space="0" w:color="4BACC6"/>
              <w:bottom w:val="nil"/>
              <w:right w:val="nil"/>
            </w:tcBorders>
            <w:shd w:val="clear" w:color="000000" w:fill="DAEEF3"/>
            <w:noWrap/>
            <w:vAlign w:val="center"/>
          </w:tcPr>
          <w:p w14:paraId="329FCB59" w14:textId="77777777" w:rsidR="00293231" w:rsidRPr="00832A7D" w:rsidRDefault="00293231" w:rsidP="0062753C">
            <w:pPr>
              <w:spacing w:after="0" w:line="240" w:lineRule="auto"/>
              <w:rPr>
                <w:rFonts w:eastAsia="Times New Roman" w:cstheme="minorHAnsi"/>
                <w:color w:val="000000"/>
              </w:rPr>
            </w:pPr>
            <w:r>
              <w:rPr>
                <w:rFonts w:eastAsia="Times New Roman" w:cstheme="minorHAnsi"/>
                <w:color w:val="000000"/>
              </w:rPr>
              <w:t>Milk &amp; dairy products</w:t>
            </w:r>
          </w:p>
        </w:tc>
        <w:tc>
          <w:tcPr>
            <w:tcW w:w="2268" w:type="dxa"/>
            <w:tcBorders>
              <w:top w:val="single" w:sz="8" w:space="0" w:color="92CDDC"/>
              <w:left w:val="nil"/>
              <w:bottom w:val="nil"/>
              <w:right w:val="nil"/>
            </w:tcBorders>
            <w:shd w:val="clear" w:color="000000" w:fill="DAEEF3"/>
            <w:noWrap/>
            <w:vAlign w:val="center"/>
          </w:tcPr>
          <w:p w14:paraId="3748E236" w14:textId="4A37CED2" w:rsidR="00293231" w:rsidRPr="00832A7D" w:rsidRDefault="00293231" w:rsidP="0062753C">
            <w:pPr>
              <w:spacing w:after="0" w:line="240" w:lineRule="auto"/>
              <w:jc w:val="center"/>
              <w:rPr>
                <w:rFonts w:eastAsia="Times New Roman" w:cstheme="minorHAnsi"/>
                <w:color w:val="000000"/>
                <w:rtl/>
              </w:rPr>
            </w:pPr>
          </w:p>
        </w:tc>
        <w:tc>
          <w:tcPr>
            <w:tcW w:w="1984" w:type="dxa"/>
            <w:tcBorders>
              <w:top w:val="single" w:sz="8" w:space="0" w:color="92CDDC"/>
              <w:left w:val="nil"/>
              <w:bottom w:val="nil"/>
              <w:right w:val="nil"/>
            </w:tcBorders>
            <w:shd w:val="clear" w:color="000000" w:fill="DAEEF3"/>
            <w:noWrap/>
            <w:vAlign w:val="center"/>
          </w:tcPr>
          <w:p w14:paraId="021AF309" w14:textId="1F458CD0"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nil"/>
              <w:right w:val="nil"/>
            </w:tcBorders>
            <w:shd w:val="clear" w:color="000000" w:fill="DAEEF3"/>
            <w:noWrap/>
            <w:vAlign w:val="center"/>
          </w:tcPr>
          <w:p w14:paraId="5EEA4356" w14:textId="68C66CB7" w:rsidR="00293231" w:rsidRPr="00832A7D" w:rsidRDefault="00293231" w:rsidP="0062753C">
            <w:pPr>
              <w:spacing w:after="0" w:line="240" w:lineRule="auto"/>
              <w:jc w:val="center"/>
              <w:rPr>
                <w:rFonts w:eastAsia="Times New Roman" w:cstheme="minorHAnsi"/>
                <w:color w:val="000000"/>
              </w:rPr>
            </w:pPr>
          </w:p>
        </w:tc>
      </w:tr>
      <w:tr w:rsidR="00293231" w:rsidRPr="00832A7D" w14:paraId="33202A3A" w14:textId="77777777" w:rsidTr="006E7DBA">
        <w:trPr>
          <w:trHeight w:val="300"/>
        </w:trPr>
        <w:tc>
          <w:tcPr>
            <w:tcW w:w="2776" w:type="dxa"/>
            <w:tcBorders>
              <w:top w:val="single" w:sz="8" w:space="0" w:color="92CDDC"/>
              <w:left w:val="single" w:sz="4" w:space="0" w:color="4BACC6"/>
              <w:bottom w:val="nil"/>
              <w:right w:val="nil"/>
            </w:tcBorders>
            <w:shd w:val="clear" w:color="auto" w:fill="auto"/>
            <w:noWrap/>
            <w:vAlign w:val="center"/>
          </w:tcPr>
          <w:p w14:paraId="3BE8D1C9" w14:textId="77777777" w:rsidR="00293231" w:rsidRPr="00832A7D" w:rsidRDefault="00293231" w:rsidP="0062753C">
            <w:pPr>
              <w:spacing w:after="0" w:line="240" w:lineRule="auto"/>
              <w:rPr>
                <w:rFonts w:eastAsia="Times New Roman" w:cstheme="minorHAnsi"/>
                <w:color w:val="000000"/>
              </w:rPr>
            </w:pPr>
            <w:r>
              <w:rPr>
                <w:rFonts w:eastAsia="Times New Roman" w:cstheme="minorHAnsi"/>
                <w:color w:val="000000"/>
              </w:rPr>
              <w:t>Frozen &amp; other</w:t>
            </w:r>
          </w:p>
        </w:tc>
        <w:tc>
          <w:tcPr>
            <w:tcW w:w="2268" w:type="dxa"/>
            <w:tcBorders>
              <w:top w:val="single" w:sz="8" w:space="0" w:color="92CDDC"/>
              <w:left w:val="nil"/>
              <w:bottom w:val="nil"/>
              <w:right w:val="nil"/>
            </w:tcBorders>
            <w:shd w:val="clear" w:color="auto" w:fill="auto"/>
            <w:noWrap/>
            <w:vAlign w:val="center"/>
          </w:tcPr>
          <w:p w14:paraId="6DC4F238" w14:textId="5B546853" w:rsidR="00293231" w:rsidRPr="00832A7D" w:rsidRDefault="00293231" w:rsidP="0062753C">
            <w:pPr>
              <w:spacing w:after="0" w:line="240" w:lineRule="auto"/>
              <w:jc w:val="center"/>
              <w:rPr>
                <w:rFonts w:eastAsia="Times New Roman" w:cstheme="minorHAnsi"/>
                <w:color w:val="000000"/>
                <w:rtl/>
              </w:rPr>
            </w:pPr>
          </w:p>
        </w:tc>
        <w:tc>
          <w:tcPr>
            <w:tcW w:w="1984" w:type="dxa"/>
            <w:tcBorders>
              <w:top w:val="single" w:sz="8" w:space="0" w:color="92CDDC"/>
              <w:left w:val="nil"/>
              <w:bottom w:val="nil"/>
              <w:right w:val="nil"/>
            </w:tcBorders>
            <w:shd w:val="clear" w:color="auto" w:fill="auto"/>
            <w:noWrap/>
            <w:vAlign w:val="center"/>
          </w:tcPr>
          <w:p w14:paraId="378D4541" w14:textId="37BFFCDC"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nil"/>
              <w:right w:val="nil"/>
            </w:tcBorders>
            <w:shd w:val="clear" w:color="auto" w:fill="auto"/>
            <w:noWrap/>
            <w:vAlign w:val="center"/>
          </w:tcPr>
          <w:p w14:paraId="41A6B2A5" w14:textId="5A061E29" w:rsidR="00293231" w:rsidRPr="00832A7D" w:rsidRDefault="00293231" w:rsidP="0062753C">
            <w:pPr>
              <w:spacing w:after="0" w:line="240" w:lineRule="auto"/>
              <w:jc w:val="center"/>
              <w:rPr>
                <w:rFonts w:eastAsia="Times New Roman" w:cstheme="minorHAnsi"/>
                <w:color w:val="000000"/>
              </w:rPr>
            </w:pPr>
          </w:p>
        </w:tc>
      </w:tr>
      <w:tr w:rsidR="00293231" w:rsidRPr="00832A7D" w14:paraId="5541D094" w14:textId="77777777" w:rsidTr="006E7DBA">
        <w:trPr>
          <w:trHeight w:val="285"/>
        </w:trPr>
        <w:tc>
          <w:tcPr>
            <w:tcW w:w="2776" w:type="dxa"/>
            <w:tcBorders>
              <w:top w:val="single" w:sz="8" w:space="0" w:color="92CDDC"/>
              <w:left w:val="single" w:sz="4" w:space="0" w:color="4BACC6"/>
              <w:bottom w:val="single" w:sz="4" w:space="0" w:color="92CDDC"/>
              <w:right w:val="nil"/>
            </w:tcBorders>
            <w:shd w:val="clear" w:color="000000" w:fill="DAEEF3"/>
            <w:noWrap/>
            <w:vAlign w:val="center"/>
          </w:tcPr>
          <w:p w14:paraId="7400B514" w14:textId="77777777" w:rsidR="00293231" w:rsidRPr="00832A7D" w:rsidRDefault="00293231" w:rsidP="0062753C">
            <w:pPr>
              <w:spacing w:after="0" w:line="240" w:lineRule="auto"/>
              <w:rPr>
                <w:rFonts w:eastAsia="Times New Roman" w:cstheme="minorHAnsi"/>
                <w:color w:val="000000"/>
              </w:rPr>
            </w:pPr>
            <w:r>
              <w:rPr>
                <w:rFonts w:eastAsia="Times New Roman" w:cstheme="minorHAnsi"/>
                <w:color w:val="000000"/>
              </w:rPr>
              <w:t>Total</w:t>
            </w:r>
          </w:p>
        </w:tc>
        <w:tc>
          <w:tcPr>
            <w:tcW w:w="2268" w:type="dxa"/>
            <w:tcBorders>
              <w:top w:val="single" w:sz="8" w:space="0" w:color="92CDDC"/>
              <w:left w:val="nil"/>
              <w:bottom w:val="single" w:sz="4" w:space="0" w:color="92CDDC"/>
              <w:right w:val="nil"/>
            </w:tcBorders>
            <w:shd w:val="clear" w:color="000000" w:fill="DAEEF3"/>
            <w:noWrap/>
            <w:vAlign w:val="center"/>
          </w:tcPr>
          <w:p w14:paraId="5A2FC171" w14:textId="44D49500" w:rsidR="00293231" w:rsidRPr="00832A7D" w:rsidRDefault="00293231" w:rsidP="0062753C">
            <w:pPr>
              <w:spacing w:after="0" w:line="240" w:lineRule="auto"/>
              <w:jc w:val="center"/>
              <w:rPr>
                <w:rFonts w:eastAsia="Times New Roman" w:cstheme="minorHAnsi"/>
                <w:color w:val="000000"/>
                <w:rtl/>
              </w:rPr>
            </w:pPr>
          </w:p>
        </w:tc>
        <w:tc>
          <w:tcPr>
            <w:tcW w:w="1984" w:type="dxa"/>
            <w:tcBorders>
              <w:top w:val="single" w:sz="8" w:space="0" w:color="92CDDC"/>
              <w:left w:val="nil"/>
              <w:bottom w:val="single" w:sz="4" w:space="0" w:color="92CDDC"/>
              <w:right w:val="nil"/>
            </w:tcBorders>
            <w:shd w:val="clear" w:color="000000" w:fill="DAEEF3"/>
            <w:noWrap/>
            <w:vAlign w:val="center"/>
          </w:tcPr>
          <w:p w14:paraId="751CEB95" w14:textId="54907490" w:rsidR="00293231" w:rsidRPr="00832A7D" w:rsidRDefault="00293231" w:rsidP="0062753C">
            <w:pPr>
              <w:spacing w:after="0" w:line="240" w:lineRule="auto"/>
              <w:jc w:val="center"/>
              <w:rPr>
                <w:rFonts w:eastAsia="Times New Roman" w:cstheme="minorHAnsi"/>
                <w:color w:val="000000"/>
              </w:rPr>
            </w:pPr>
          </w:p>
        </w:tc>
        <w:tc>
          <w:tcPr>
            <w:tcW w:w="1984" w:type="dxa"/>
            <w:tcBorders>
              <w:top w:val="single" w:sz="8" w:space="0" w:color="92CDDC"/>
              <w:left w:val="nil"/>
              <w:bottom w:val="single" w:sz="4" w:space="0" w:color="92CDDC"/>
              <w:right w:val="nil"/>
            </w:tcBorders>
            <w:shd w:val="clear" w:color="000000" w:fill="DAEEF3"/>
            <w:noWrap/>
            <w:vAlign w:val="center"/>
          </w:tcPr>
          <w:p w14:paraId="7186A3AB" w14:textId="50332147" w:rsidR="00293231" w:rsidRPr="00832A7D" w:rsidRDefault="00293231" w:rsidP="0062753C">
            <w:pPr>
              <w:spacing w:after="0" w:line="240" w:lineRule="auto"/>
              <w:jc w:val="center"/>
              <w:rPr>
                <w:rFonts w:eastAsia="Times New Roman" w:cstheme="minorHAnsi"/>
                <w:color w:val="000000"/>
              </w:rPr>
            </w:pPr>
          </w:p>
        </w:tc>
      </w:tr>
    </w:tbl>
    <w:p w14:paraId="58EBA88A" w14:textId="77777777" w:rsidR="00293231" w:rsidRDefault="00293231" w:rsidP="00293231">
      <w:pPr>
        <w:pStyle w:val="Graphnote"/>
      </w:pPr>
      <w:r>
        <w:t xml:space="preserve">*Numbers are </w:t>
      </w:r>
      <w:r w:rsidRPr="00832A7D">
        <w:t xml:space="preserve">rounded for ease of presentation </w:t>
      </w:r>
    </w:p>
    <w:p w14:paraId="63AD89C0" w14:textId="77777777" w:rsidR="00293231" w:rsidRPr="00EA4134" w:rsidRDefault="00293231" w:rsidP="00293231">
      <w:pPr>
        <w:pStyle w:val="BodyText"/>
      </w:pPr>
      <w:r w:rsidRPr="00EA4134">
        <w:t xml:space="preserve">The main causes of food </w:t>
      </w:r>
      <w:r>
        <w:t>waste</w:t>
      </w:r>
      <w:r w:rsidRPr="00EA4134">
        <w:t xml:space="preserve"> in the retail and distribution </w:t>
      </w:r>
      <w:r>
        <w:t>sector</w:t>
      </w:r>
      <w:r w:rsidRPr="00EA4134">
        <w:t xml:space="preserve"> are </w:t>
      </w:r>
      <w:r>
        <w:t xml:space="preserve">food that has reached, or will soon reach, its </w:t>
      </w:r>
      <w:r w:rsidRPr="00EA4134">
        <w:t>expir</w:t>
      </w:r>
      <w:r>
        <w:t>ation date,</w:t>
      </w:r>
      <w:r w:rsidRPr="00EA4134">
        <w:t xml:space="preserve"> food</w:t>
      </w:r>
      <w:r>
        <w:t xml:space="preserve"> with</w:t>
      </w:r>
      <w:r w:rsidRPr="00EA4134">
        <w:t xml:space="preserve"> aesthetic defects in </w:t>
      </w:r>
      <w:r>
        <w:t xml:space="preserve">the </w:t>
      </w:r>
      <w:r w:rsidRPr="00EA4134">
        <w:t xml:space="preserve">packaging or product, and food damaged in the marketing process. Food manufacturers, distributors, and retailers have a clear economic incentive to </w:t>
      </w:r>
      <w:r w:rsidRPr="004E2385">
        <w:t>minimize</w:t>
      </w:r>
      <w:r w:rsidRPr="00EA4134">
        <w:t xml:space="preserve"> food </w:t>
      </w:r>
      <w:r>
        <w:t>waste</w:t>
      </w:r>
      <w:r w:rsidRPr="00EA4134">
        <w:t xml:space="preserve"> by effectively managing the supply chain, maintaining proper storage conditions, and planning inventory.</w:t>
      </w:r>
    </w:p>
    <w:p w14:paraId="138A7FDE" w14:textId="77777777" w:rsidR="00293231" w:rsidRPr="00EA4134" w:rsidRDefault="00293231" w:rsidP="00293231">
      <w:pPr>
        <w:pStyle w:val="BodyText"/>
      </w:pPr>
      <w:r w:rsidRPr="00EA4134">
        <w:t xml:space="preserve">Nevertheless, surplus food in the retail and distribution </w:t>
      </w:r>
      <w:r>
        <w:t>sector</w:t>
      </w:r>
      <w:r w:rsidRPr="00EA4134">
        <w:t xml:space="preserve"> is inevitable, even </w:t>
      </w:r>
      <w:r>
        <w:t xml:space="preserve">with </w:t>
      </w:r>
      <w:r w:rsidRPr="00EA4134">
        <w:t xml:space="preserve">optimal planning of </w:t>
      </w:r>
      <w:r>
        <w:t xml:space="preserve">the </w:t>
      </w:r>
      <w:r w:rsidRPr="00EA4134">
        <w:t xml:space="preserve">distribution and marketing systems. This is because retailers are required to ensure a wide, varied and available food supply at all times. Food consumers </w:t>
      </w:r>
      <w:r>
        <w:t xml:space="preserve">will </w:t>
      </w:r>
      <w:r w:rsidRPr="00EA4134">
        <w:t>not tolerat</w:t>
      </w:r>
      <w:r>
        <w:t xml:space="preserve">e </w:t>
      </w:r>
      <w:r w:rsidRPr="00EA4134">
        <w:t xml:space="preserve">a shortage of </w:t>
      </w:r>
      <w:r>
        <w:t xml:space="preserve">the </w:t>
      </w:r>
      <w:r w:rsidRPr="00EA4134">
        <w:t xml:space="preserve">food items they </w:t>
      </w:r>
      <w:r>
        <w:t>seek</w:t>
      </w:r>
      <w:r w:rsidRPr="00EA4134">
        <w:t xml:space="preserve">, so the loss </w:t>
      </w:r>
      <w:r>
        <w:t xml:space="preserve">potentially </w:t>
      </w:r>
      <w:r w:rsidRPr="00EA4134">
        <w:t xml:space="preserve">caused to </w:t>
      </w:r>
      <w:r w:rsidRPr="00EA4134">
        <w:lastRenderedPageBreak/>
        <w:t xml:space="preserve">retailers </w:t>
      </w:r>
      <w:r>
        <w:t>because food products are not immediately a</w:t>
      </w:r>
      <w:r w:rsidRPr="00EA4134">
        <w:t>vailabl</w:t>
      </w:r>
      <w:r>
        <w:t xml:space="preserve">e </w:t>
      </w:r>
      <w:r w:rsidRPr="00EA4134">
        <w:t xml:space="preserve">is far higher than the cost of </w:t>
      </w:r>
      <w:r>
        <w:t xml:space="preserve">offering </w:t>
      </w:r>
      <w:r w:rsidRPr="00EA4134">
        <w:t xml:space="preserve">surpluses. In other words, excess food is an </w:t>
      </w:r>
      <w:r w:rsidRPr="0090500B">
        <w:t>inherent</w:t>
      </w:r>
      <w:r w:rsidRPr="00EA4134">
        <w:t xml:space="preserve"> part of the retail sale process.</w:t>
      </w:r>
    </w:p>
    <w:p w14:paraId="43581774" w14:textId="2148A863" w:rsidR="00293231" w:rsidRPr="00832A7D" w:rsidRDefault="00B757C2" w:rsidP="00293231">
      <w:pPr>
        <w:pStyle w:val="BodyText"/>
      </w:pPr>
      <w:r w:rsidRPr="00B757C2">
        <w:rPr>
          <w:highlight w:val="cyan"/>
        </w:rPr>
        <w:t>From an economic perspective</w:t>
      </w:r>
      <w:r>
        <w:t xml:space="preserve">, </w:t>
      </w:r>
      <w:r w:rsidRPr="00832A7D">
        <w:t xml:space="preserve">the </w:t>
      </w:r>
      <w:r w:rsidR="00293231" w:rsidRPr="00832A7D">
        <w:t xml:space="preserve">fact that excess food is </w:t>
      </w:r>
      <w:r w:rsidR="00293231">
        <w:t>discarded rather than rescued represents a market failure</w:t>
      </w:r>
      <w:r w:rsidR="00293231" w:rsidRPr="00832A7D">
        <w:t>, and therefore one of the government's policy challenges is to create a system of incentives that will save these surpluses and transfer them to the needy.</w:t>
      </w:r>
    </w:p>
    <w:p w14:paraId="258892A3" w14:textId="7EFC5F21" w:rsidR="00293231" w:rsidRDefault="00293231" w:rsidP="00792EA5">
      <w:pPr>
        <w:pStyle w:val="BodyText"/>
      </w:pPr>
      <w:r w:rsidRPr="00832A7D">
        <w:t xml:space="preserve">Naturally, the rate of loss is higher </w:t>
      </w:r>
      <w:r w:rsidR="00792EA5">
        <w:t xml:space="preserve">for </w:t>
      </w:r>
      <w:r w:rsidRPr="00832A7D">
        <w:t>fresh products and short shelf</w:t>
      </w:r>
      <w:r w:rsidR="00792EA5">
        <w:t>-</w:t>
      </w:r>
      <w:r w:rsidRPr="00832A7D">
        <w:t>life products</w:t>
      </w:r>
      <w:r>
        <w:t>,</w:t>
      </w:r>
      <w:r w:rsidRPr="00832A7D">
        <w:t xml:space="preserve"> such as fruits, vegetables, bread and </w:t>
      </w:r>
      <w:r>
        <w:t>baked goods</w:t>
      </w:r>
      <w:r w:rsidRPr="00832A7D">
        <w:t>.</w:t>
      </w:r>
      <w:r>
        <w:t xml:space="preserve"> </w:t>
      </w:r>
    </w:p>
    <w:p w14:paraId="036E345C" w14:textId="77777777" w:rsidR="00293231" w:rsidRPr="004E2385" w:rsidRDefault="00293231" w:rsidP="00293231">
      <w:pPr>
        <w:pStyle w:val="BodyText"/>
        <w:jc w:val="center"/>
        <w:rPr>
          <w:b/>
          <w:bCs/>
        </w:rPr>
      </w:pPr>
      <w:r>
        <w:rPr>
          <w:b/>
          <w:bCs/>
        </w:rPr>
        <w:t>P</w:t>
      </w:r>
      <w:r w:rsidRPr="00251B17">
        <w:rPr>
          <w:b/>
          <w:bCs/>
        </w:rPr>
        <w:t>ercentage</w:t>
      </w:r>
      <w:r w:rsidRPr="004E2385">
        <w:rPr>
          <w:b/>
          <w:bCs/>
        </w:rPr>
        <w:t xml:space="preserve"> of Waste in the</w:t>
      </w:r>
      <w:r>
        <w:rPr>
          <w:b/>
          <w:bCs/>
        </w:rPr>
        <w:t xml:space="preserve"> Retail</w:t>
      </w:r>
      <w:r w:rsidRPr="004E2385">
        <w:rPr>
          <w:b/>
          <w:bCs/>
        </w:rPr>
        <w:t xml:space="preserve"> and Distribution </w:t>
      </w:r>
      <w:r>
        <w:rPr>
          <w:b/>
          <w:bCs/>
        </w:rPr>
        <w:t>Sectors</w:t>
      </w:r>
      <w:r w:rsidRPr="004E2385">
        <w:rPr>
          <w:b/>
          <w:bCs/>
        </w:rPr>
        <w:t xml:space="preserve">, for Selected Food </w:t>
      </w:r>
      <w:r>
        <w:rPr>
          <w:b/>
          <w:bCs/>
        </w:rPr>
        <w:t>Items</w:t>
      </w:r>
    </w:p>
    <w:p w14:paraId="35DB694A" w14:textId="77777777" w:rsidR="00293231" w:rsidRPr="004E2385" w:rsidRDefault="00293231" w:rsidP="00293231">
      <w:pPr>
        <w:pStyle w:val="Graphnote"/>
      </w:pPr>
      <w:r w:rsidRPr="00D107CA">
        <w:rPr>
          <w:b/>
          <w:bCs/>
          <w:noProof/>
          <w:lang w:bidi="ar-SA"/>
        </w:rPr>
        <w:drawing>
          <wp:anchor distT="0" distB="0" distL="114300" distR="114300" simplePos="0" relativeHeight="251666432" behindDoc="0" locked="0" layoutInCell="1" allowOverlap="1" wp14:anchorId="5054CF61" wp14:editId="60A4A044">
            <wp:simplePos x="0" y="0"/>
            <wp:positionH relativeFrom="column">
              <wp:posOffset>581025</wp:posOffset>
            </wp:positionH>
            <wp:positionV relativeFrom="paragraph">
              <wp:posOffset>1270</wp:posOffset>
            </wp:positionV>
            <wp:extent cx="4572000" cy="2743200"/>
            <wp:effectExtent l="0" t="0" r="0" b="0"/>
            <wp:wrapTopAndBottom/>
            <wp:docPr id="27"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D107CA">
        <w:rPr>
          <w:b/>
          <w:bCs/>
        </w:rPr>
        <w:t>Column captions</w:t>
      </w:r>
      <w:r>
        <w:t>, from left to right</w:t>
      </w:r>
      <w:r w:rsidRPr="004E2385">
        <w:t>: Tomatoes, Peppers, Bread &amp; baked goods, Cucumbers, Bananas, Apples, Potatoes, Meat, eggs, &amp; fish, Grains &amp; legumes, Milk &amp; dairy products, Frozen</w:t>
      </w:r>
      <w:r>
        <w:t xml:space="preserve"> </w:t>
      </w:r>
    </w:p>
    <w:p w14:paraId="3D631ABE" w14:textId="77777777" w:rsidR="00293231" w:rsidRDefault="00293231" w:rsidP="00293231">
      <w:pPr>
        <w:pStyle w:val="BodyText"/>
      </w:pPr>
      <w:r w:rsidRPr="0090500B">
        <w:t xml:space="preserve">Compared to international data, Israel’s rate </w:t>
      </w:r>
      <w:r>
        <w:t xml:space="preserve">of waste </w:t>
      </w:r>
      <w:r w:rsidRPr="0090500B">
        <w:t xml:space="preserve">in </w:t>
      </w:r>
      <w:r>
        <w:t xml:space="preserve">the retail and distribution sector is </w:t>
      </w:r>
      <w:r w:rsidRPr="0090500B">
        <w:t xml:space="preserve">similar to </w:t>
      </w:r>
      <w:r>
        <w:t>the accepted level in the developed world, despite the potential for higher losses because of Israel’s warmer climate. This is evidence that the retail and distribution sector in Israel manage their inventories according to a relatively high standard. The percentage of food waste in developing countries is higher, primarily due to the poor conditions during distribution, storage and marketing.</w:t>
      </w:r>
    </w:p>
    <w:p w14:paraId="1E05C337" w14:textId="77777777" w:rsidR="00293231" w:rsidRDefault="00293231" w:rsidP="00293231">
      <w:pPr>
        <w:rPr>
          <w:rFonts w:eastAsia="Calibri" w:cs="Times New Roman"/>
          <w:b/>
          <w:bCs/>
          <w:sz w:val="24"/>
          <w:szCs w:val="24"/>
        </w:rPr>
      </w:pPr>
      <w:r>
        <w:rPr>
          <w:b/>
          <w:bCs/>
        </w:rPr>
        <w:br w:type="page"/>
      </w:r>
    </w:p>
    <w:p w14:paraId="5E1EE6CD" w14:textId="77777777" w:rsidR="00293231" w:rsidRDefault="00293231" w:rsidP="00293231">
      <w:pPr>
        <w:pStyle w:val="Graphtitle"/>
      </w:pPr>
      <w:r>
        <w:lastRenderedPageBreak/>
        <w:t xml:space="preserve">International Comparison: </w:t>
      </w:r>
      <w:r w:rsidRPr="004E2385">
        <w:t xml:space="preserve">Rate of Waste in the </w:t>
      </w:r>
      <w:r>
        <w:t>Retail</w:t>
      </w:r>
      <w:r w:rsidRPr="004E2385">
        <w:t xml:space="preserve"> and Distribution </w:t>
      </w:r>
      <w:r>
        <w:t>Sectors</w:t>
      </w:r>
    </w:p>
    <w:p w14:paraId="62892DCC" w14:textId="77777777" w:rsidR="00293231" w:rsidRPr="004E2385" w:rsidRDefault="00293231" w:rsidP="00293231">
      <w:pPr>
        <w:pStyle w:val="BodyText"/>
        <w:jc w:val="center"/>
        <w:rPr>
          <w:b/>
          <w:bCs/>
        </w:rPr>
      </w:pPr>
      <w:r w:rsidRPr="00072532">
        <w:rPr>
          <w:noProof/>
        </w:rPr>
        <w:t xml:space="preserve"> </w:t>
      </w:r>
      <w:r>
        <w:rPr>
          <w:noProof/>
          <w:lang w:bidi="ar-SA"/>
        </w:rPr>
        <w:drawing>
          <wp:inline distT="0" distB="0" distL="0" distR="0" wp14:anchorId="26A53D5A" wp14:editId="2C2F67B5">
            <wp:extent cx="4038600" cy="2743200"/>
            <wp:effectExtent l="0" t="0" r="0" b="0"/>
            <wp:docPr id="28" name="תרשים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3AED775" w14:textId="77777777" w:rsidR="00293231" w:rsidRDefault="00293231" w:rsidP="00293231">
      <w:pPr>
        <w:pStyle w:val="Graphnote"/>
      </w:pPr>
      <w:r>
        <w:t>Source: FAO data, processed by BDO</w:t>
      </w:r>
    </w:p>
    <w:p w14:paraId="258C7002" w14:textId="77777777" w:rsidR="00293231" w:rsidRDefault="00293231" w:rsidP="00293231">
      <w:pPr>
        <w:pStyle w:val="Graphnote"/>
      </w:pPr>
      <w:r w:rsidRPr="00FD6C0F">
        <w:rPr>
          <w:b/>
          <w:bCs/>
        </w:rPr>
        <w:t>Column captions</w:t>
      </w:r>
      <w:r>
        <w:t>, from left to right:</w:t>
      </w:r>
      <w:r w:rsidRPr="004E2385">
        <w:t xml:space="preserve"> </w:t>
      </w:r>
      <w:r>
        <w:t xml:space="preserve">Africa; North Africa &amp; western Asia; South America; Southeast Asia; North America; Israel; Europe; Japan, China &amp; South Korea </w:t>
      </w:r>
    </w:p>
    <w:p w14:paraId="17B1C1AA" w14:textId="3CF9C93E" w:rsidR="00293231" w:rsidRDefault="00293231" w:rsidP="00792EA5">
      <w:pPr>
        <w:pStyle w:val="BodyText"/>
      </w:pPr>
      <w:r>
        <w:t xml:space="preserve">Food marketers’ investment in establishing advanced logistical centers, online inventory and demand management systems, and keeping an </w:t>
      </w:r>
      <w:r w:rsidRPr="003E5C55">
        <w:t>unbroken cold chain</w:t>
      </w:r>
      <w:r>
        <w:t xml:space="preserve"> have contributed to reducing the volume of loss in the retail and distribution sectors.</w:t>
      </w:r>
    </w:p>
    <w:p w14:paraId="195F4E6F" w14:textId="77777777" w:rsidR="00293231" w:rsidRDefault="00293231" w:rsidP="00293231">
      <w:pPr>
        <w:pStyle w:val="BodyText"/>
      </w:pPr>
      <w:r>
        <w:t>Simultaneously, changes in consumer preferences have increased the volume of food purchased from the large retail chains, and the transition from open markets to indoor, air-conditioned retails and distribution channels also has contributed to a reduce in waste. Moreover, research shows that the transition to large stores with a high volume of activity also contributes to waste reduction. Even more recently, there is nascent trend towards purchasing food on the internet. The development of direct purchase channels, in which food is transported directly to the end customer from a dedicated e-fulfillment center, bypassing the retail branch, may provide an additional contribution to a reduction in food waste levels in the future.</w:t>
      </w:r>
      <w:r w:rsidRPr="004E2385">
        <w:t xml:space="preserve"> </w:t>
      </w:r>
    </w:p>
    <w:p w14:paraId="7850AA39" w14:textId="77777777" w:rsidR="00293231" w:rsidRDefault="00293231" w:rsidP="00293231">
      <w:pPr>
        <w:rPr>
          <w:rFonts w:eastAsia="Calibri" w:cs="Times New Roman"/>
          <w:sz w:val="24"/>
          <w:szCs w:val="24"/>
        </w:rPr>
      </w:pPr>
      <w:r>
        <w:br w:type="page"/>
      </w:r>
    </w:p>
    <w:p w14:paraId="499F4BDC" w14:textId="77777777" w:rsidR="00293231" w:rsidRDefault="00293231" w:rsidP="00293231">
      <w:pPr>
        <w:pStyle w:val="Graphtitle"/>
      </w:pPr>
      <w:r>
        <w:lastRenderedPageBreak/>
        <w:t xml:space="preserve">Consumers Transition to Purchasing to Stores with Lower Percentages of Waste </w:t>
      </w:r>
    </w:p>
    <w:p w14:paraId="7F2E1A33" w14:textId="170DA6A2" w:rsidR="00293231" w:rsidRPr="004E2385" w:rsidRDefault="00FE72A3" w:rsidP="00293231">
      <w:pPr>
        <w:pStyle w:val="BodyText"/>
      </w:pPr>
      <w:r w:rsidRPr="0022614E">
        <w:rPr>
          <w:noProof/>
          <w:sz w:val="20"/>
          <w:szCs w:val="20"/>
          <w:lang w:bidi="ar-SA"/>
        </w:rPr>
        <mc:AlternateContent>
          <mc:Choice Requires="wps">
            <w:drawing>
              <wp:anchor distT="0" distB="0" distL="114300" distR="114300" simplePos="0" relativeHeight="251680768" behindDoc="0" locked="0" layoutInCell="1" allowOverlap="1" wp14:anchorId="01BE616F" wp14:editId="78B75449">
                <wp:simplePos x="0" y="0"/>
                <wp:positionH relativeFrom="column">
                  <wp:posOffset>3338623</wp:posOffset>
                </wp:positionH>
                <wp:positionV relativeFrom="paragraph">
                  <wp:posOffset>1830513</wp:posOffset>
                </wp:positionV>
                <wp:extent cx="1722032" cy="318976"/>
                <wp:effectExtent l="0" t="0" r="12065"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032" cy="318976"/>
                        </a:xfrm>
                        <a:prstGeom prst="rect">
                          <a:avLst/>
                        </a:prstGeom>
                        <a:solidFill>
                          <a:srgbClr val="FFFFFF">
                            <a:alpha val="50000"/>
                          </a:srgbClr>
                        </a:solidFill>
                        <a:ln w="15875" cap="rnd">
                          <a:solidFill>
                            <a:srgbClr val="00B050"/>
                          </a:solidFill>
                          <a:round/>
                          <a:headEnd/>
                          <a:tailEnd/>
                        </a:ln>
                      </wps:spPr>
                      <wps:txbx>
                        <w:txbxContent>
                          <w:p w14:paraId="4AE1DC89" w14:textId="42B6BAF9" w:rsidR="00625208" w:rsidRDefault="00625208" w:rsidP="00FE72A3">
                            <w:r w:rsidRPr="00FE72A3">
                              <w:rPr>
                                <w:highlight w:val="cyan"/>
                              </w:rPr>
                              <w:t>Very low rate of 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E616F" id="_x0000_t202" coordsize="21600,21600" o:spt="202" path="m,l,21600r21600,l21600,xe">
                <v:stroke joinstyle="miter"/>
                <v:path gradientshapeok="t" o:connecttype="rect"/>
              </v:shapetype>
              <v:shape id="Text Box 2" o:spid="_x0000_s1040" type="#_x0000_t202" style="position:absolute;left:0;text-align:left;margin-left:262.9pt;margin-top:144.15pt;width:135.6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" strokecolor="#00b050" strokeweight="1.25pt">
                <v:fill opacity="32896f"/>
                <v:stroke joinstyle="round" endcap="round"/>
                <v:textbox>
                  <w:txbxContent>
                    <w:p w14:paraId="4AE1DC89" w14:textId="42B6BAF9" w:rsidR="00625208" w:rsidRDefault="00625208" w:rsidP="00FE72A3">
                      <w:r w:rsidRPr="00FE72A3">
                        <w:rPr>
                          <w:highlight w:val="cyan"/>
                        </w:rPr>
                        <w:t>Very low rate of waste</w:t>
                      </w:r>
                    </w:p>
                  </w:txbxContent>
                </v:textbox>
              </v:shape>
            </w:pict>
          </mc:Fallback>
        </mc:AlternateContent>
      </w:r>
      <w:r w:rsidRPr="0022614E">
        <w:rPr>
          <w:noProof/>
          <w:sz w:val="20"/>
          <w:szCs w:val="20"/>
          <w:lang w:bidi="ar-SA"/>
        </w:rPr>
        <mc:AlternateContent>
          <mc:Choice Requires="wps">
            <w:drawing>
              <wp:anchor distT="0" distB="0" distL="114300" distR="114300" simplePos="0" relativeHeight="251668480" behindDoc="0" locked="0" layoutInCell="1" allowOverlap="1" wp14:anchorId="3FDD20CC" wp14:editId="09B1AB58">
                <wp:simplePos x="0" y="0"/>
                <wp:positionH relativeFrom="column">
                  <wp:posOffset>2519444</wp:posOffset>
                </wp:positionH>
                <wp:positionV relativeFrom="paragraph">
                  <wp:posOffset>1287780</wp:posOffset>
                </wp:positionV>
                <wp:extent cx="1304925" cy="318976"/>
                <wp:effectExtent l="0" t="0" r="28575" b="241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8976"/>
                        </a:xfrm>
                        <a:prstGeom prst="rect">
                          <a:avLst/>
                        </a:prstGeom>
                        <a:solidFill>
                          <a:srgbClr val="FFFFFF">
                            <a:alpha val="50000"/>
                          </a:srgbClr>
                        </a:solidFill>
                        <a:ln w="15875" cap="rnd">
                          <a:solidFill>
                            <a:srgbClr val="00B050"/>
                          </a:solidFill>
                          <a:round/>
                          <a:headEnd/>
                          <a:tailEnd/>
                        </a:ln>
                      </wps:spPr>
                      <wps:txbx>
                        <w:txbxContent>
                          <w:p w14:paraId="312C6720" w14:textId="721D8BD2" w:rsidR="00625208" w:rsidRDefault="00625208" w:rsidP="00FE72A3">
                            <w:r>
                              <w:t>Low rate of 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20CC" id="_x0000_s1041" type="#_x0000_t202" style="position:absolute;left:0;text-align:left;margin-left:198.4pt;margin-top:101.4pt;width:102.7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" strokecolor="#00b050" strokeweight="1.25pt">
                <v:fill opacity="32896f"/>
                <v:stroke joinstyle="round" endcap="round"/>
                <v:textbox>
                  <w:txbxContent>
                    <w:p w14:paraId="312C6720" w14:textId="721D8BD2" w:rsidR="00625208" w:rsidRDefault="00625208" w:rsidP="00FE72A3">
                      <w:r>
                        <w:t>Low rate of waste</w:t>
                      </w:r>
                    </w:p>
                  </w:txbxContent>
                </v:textbox>
              </v:shape>
            </w:pict>
          </mc:Fallback>
        </mc:AlternateContent>
      </w:r>
      <w:r w:rsidRPr="0022614E">
        <w:rPr>
          <w:noProof/>
          <w:sz w:val="20"/>
          <w:szCs w:val="20"/>
          <w:lang w:bidi="ar-SA"/>
        </w:rPr>
        <mc:AlternateContent>
          <mc:Choice Requires="wps">
            <w:drawing>
              <wp:anchor distT="0" distB="0" distL="114300" distR="114300" simplePos="0" relativeHeight="251667456" behindDoc="0" locked="0" layoutInCell="1" allowOverlap="1" wp14:anchorId="31AA6591" wp14:editId="0F3F3C77">
                <wp:simplePos x="0" y="0"/>
                <wp:positionH relativeFrom="column">
                  <wp:posOffset>1105535</wp:posOffset>
                </wp:positionH>
                <wp:positionV relativeFrom="paragraph">
                  <wp:posOffset>458470</wp:posOffset>
                </wp:positionV>
                <wp:extent cx="1475105" cy="287020"/>
                <wp:effectExtent l="0" t="0" r="1079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7020"/>
                        </a:xfrm>
                        <a:prstGeom prst="rect">
                          <a:avLst/>
                        </a:prstGeom>
                        <a:solidFill>
                          <a:srgbClr val="FFFFFF">
                            <a:alpha val="50000"/>
                          </a:srgbClr>
                        </a:solidFill>
                        <a:ln w="15875" cap="rnd">
                          <a:solidFill>
                            <a:srgbClr val="C00000">
                              <a:alpha val="99000"/>
                            </a:srgbClr>
                          </a:solidFill>
                          <a:round/>
                          <a:headEnd/>
                          <a:tailEnd/>
                        </a:ln>
                      </wps:spPr>
                      <wps:txbx>
                        <w:txbxContent>
                          <w:p w14:paraId="7FE49716" w14:textId="77777777" w:rsidR="00625208" w:rsidRDefault="00625208" w:rsidP="00293231">
                            <w:r>
                              <w:t>Higher rate of waste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6591" id="_x0000_s1042" type="#_x0000_t202" style="position:absolute;left:0;text-align:left;margin-left:87.05pt;margin-top:36.1pt;width:116.1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" strokecolor="#c00000" strokeweight="1.25pt">
                <v:fill opacity="32896f"/>
                <v:stroke opacity="64764f" joinstyle="round" endcap="round"/>
                <v:textbox>
                  <w:txbxContent>
                    <w:p w14:paraId="7FE49716" w14:textId="77777777" w:rsidR="00625208" w:rsidRDefault="00625208" w:rsidP="00293231">
                      <w:r>
                        <w:t>Higher rate of waste</w:t>
                      </w:r>
                    </w:p>
                  </w:txbxContent>
                </v:textbox>
              </v:shape>
            </w:pict>
          </mc:Fallback>
        </mc:AlternateContent>
      </w:r>
      <w:r>
        <w:rPr>
          <w:noProof/>
          <w:lang w:bidi="ar-SA"/>
        </w:rPr>
        <w:drawing>
          <wp:inline distT="0" distB="0" distL="0" distR="0" wp14:anchorId="39E1D6F6" wp14:editId="4ABC540E">
            <wp:extent cx="5732145" cy="3427429"/>
            <wp:effectExtent l="0" t="0" r="1905" b="1905"/>
            <wp:docPr id="7"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6B00A38" w14:textId="2C297240" w:rsidR="00293231" w:rsidRDefault="00293231" w:rsidP="00293231">
      <w:pPr>
        <w:rPr>
          <w:rFonts w:eastAsia="Calibri" w:cs="Times New Roman"/>
          <w:sz w:val="20"/>
          <w:szCs w:val="20"/>
        </w:rPr>
      </w:pPr>
      <w:r>
        <w:rPr>
          <w:rFonts w:eastAsia="Calibri" w:cs="Times New Roman"/>
          <w:sz w:val="20"/>
          <w:szCs w:val="20"/>
        </w:rPr>
        <w:t>Source: CBS</w:t>
      </w:r>
      <w:r w:rsidR="00FE72A3" w:rsidRPr="00FE72A3">
        <w:rPr>
          <w:rFonts w:eastAsia="Calibri" w:cs="Times New Roman"/>
          <w:sz w:val="20"/>
          <w:szCs w:val="20"/>
          <w:highlight w:val="cyan"/>
        </w:rPr>
        <w:t>, analyzed by BDO</w:t>
      </w:r>
    </w:p>
    <w:p w14:paraId="4A84CB34" w14:textId="77777777" w:rsidR="00293231" w:rsidRDefault="00293231" w:rsidP="00293231">
      <w:pPr>
        <w:rPr>
          <w:rFonts w:eastAsia="Calibri" w:cs="Times New Roman"/>
          <w:sz w:val="20"/>
          <w:szCs w:val="20"/>
        </w:rPr>
      </w:pPr>
      <w:r w:rsidRPr="0090418F">
        <w:rPr>
          <w:rFonts w:eastAsia="Calibri" w:cs="Times New Roman"/>
          <w:b/>
          <w:bCs/>
          <w:sz w:val="20"/>
          <w:szCs w:val="20"/>
        </w:rPr>
        <w:t>Blue</w:t>
      </w:r>
      <w:r>
        <w:rPr>
          <w:rFonts w:eastAsia="Calibri" w:cs="Times New Roman"/>
          <w:sz w:val="20"/>
          <w:szCs w:val="20"/>
        </w:rPr>
        <w:t xml:space="preserve">: Supermarkets </w:t>
      </w:r>
      <w:r w:rsidRPr="0090418F">
        <w:rPr>
          <w:rFonts w:eastAsia="Calibri" w:cs="Times New Roman"/>
          <w:b/>
          <w:bCs/>
          <w:color w:val="C00000"/>
          <w:sz w:val="20"/>
          <w:szCs w:val="20"/>
        </w:rPr>
        <w:t>Red</w:t>
      </w:r>
      <w:r>
        <w:rPr>
          <w:rFonts w:eastAsia="Calibri" w:cs="Times New Roman"/>
          <w:sz w:val="20"/>
          <w:szCs w:val="20"/>
        </w:rPr>
        <w:t xml:space="preserve">: Grocery stores </w:t>
      </w:r>
      <w:r w:rsidRPr="0090418F">
        <w:rPr>
          <w:rFonts w:eastAsia="Calibri" w:cs="Times New Roman"/>
          <w:b/>
          <w:bCs/>
          <w:color w:val="92D050"/>
          <w:sz w:val="20"/>
          <w:szCs w:val="20"/>
        </w:rPr>
        <w:t>Green</w:t>
      </w:r>
      <w:r>
        <w:rPr>
          <w:rFonts w:eastAsia="Calibri" w:cs="Times New Roman"/>
          <w:sz w:val="20"/>
          <w:szCs w:val="20"/>
        </w:rPr>
        <w:t xml:space="preserve">: Open markets </w:t>
      </w:r>
      <w:r w:rsidRPr="0090418F">
        <w:rPr>
          <w:rFonts w:eastAsia="Calibri" w:cs="Times New Roman"/>
          <w:b/>
          <w:bCs/>
          <w:color w:val="7030A0"/>
          <w:sz w:val="20"/>
          <w:szCs w:val="20"/>
        </w:rPr>
        <w:t>Purple</w:t>
      </w:r>
      <w:r>
        <w:rPr>
          <w:rFonts w:eastAsia="Calibri" w:cs="Times New Roman"/>
          <w:sz w:val="20"/>
          <w:szCs w:val="20"/>
        </w:rPr>
        <w:t xml:space="preserve">: Other stores (vegetable stores, butcher shops, specialty shops and stalls) </w:t>
      </w:r>
    </w:p>
    <w:p w14:paraId="637460F5" w14:textId="4D10D325" w:rsidR="00293231" w:rsidRPr="0022614E" w:rsidRDefault="00293231" w:rsidP="00293231">
      <w:pPr>
        <w:pStyle w:val="BodyText"/>
      </w:pPr>
      <w:r>
        <w:t xml:space="preserve">Waste </w:t>
      </w:r>
      <w:r w:rsidRPr="0022614E">
        <w:t xml:space="preserve">in the retail and distribution </w:t>
      </w:r>
      <w:r>
        <w:t>sectors</w:t>
      </w:r>
      <w:r w:rsidRPr="0022614E">
        <w:t xml:space="preserve"> </w:t>
      </w:r>
      <w:r>
        <w:t xml:space="preserve">has </w:t>
      </w:r>
      <w:r w:rsidRPr="0022614E">
        <w:t xml:space="preserve">the highest economic value </w:t>
      </w:r>
      <w:r>
        <w:t xml:space="preserve">because </w:t>
      </w:r>
      <w:r w:rsidRPr="0022614E">
        <w:t xml:space="preserve">it includes the entire </w:t>
      </w:r>
      <w:r>
        <w:t xml:space="preserve">previous </w:t>
      </w:r>
      <w:r w:rsidRPr="0022614E">
        <w:t xml:space="preserve">investment </w:t>
      </w:r>
      <w:r>
        <w:t xml:space="preserve">in </w:t>
      </w:r>
      <w:r w:rsidRPr="0022614E">
        <w:t xml:space="preserve">growth, </w:t>
      </w:r>
      <w:r>
        <w:t>manufacturing</w:t>
      </w:r>
      <w:r w:rsidRPr="0022614E">
        <w:t>, packaging and transportation. It is food that is ready for marketing and consumption</w:t>
      </w:r>
      <w:r>
        <w:t xml:space="preserve"> that </w:t>
      </w:r>
      <w:r w:rsidRPr="0022614E">
        <w:t xml:space="preserve">is lost before reaching the end consumer. In addition, due to the characteristics of </w:t>
      </w:r>
      <w:r>
        <w:t xml:space="preserve">waste </w:t>
      </w:r>
      <w:r w:rsidRPr="0022614E">
        <w:t xml:space="preserve">at this stage, the vast majority of </w:t>
      </w:r>
      <w:r>
        <w:t>the food at this stage</w:t>
      </w:r>
      <w:r w:rsidRPr="0022614E">
        <w:t xml:space="preserve"> is </w:t>
      </w:r>
      <w:r>
        <w:t xml:space="preserve">rescuable, whose loss </w:t>
      </w:r>
      <w:r w:rsidRPr="0022614E">
        <w:t xml:space="preserve">can be prevented. As a result, </w:t>
      </w:r>
      <w:r>
        <w:t>these</w:t>
      </w:r>
      <w:r w:rsidRPr="0022614E">
        <w:t xml:space="preserve"> </w:t>
      </w:r>
      <w:r>
        <w:t>sectors</w:t>
      </w:r>
      <w:r w:rsidRPr="0022614E">
        <w:t xml:space="preserve"> constitute about 50% of the potential </w:t>
      </w:r>
      <w:r>
        <w:t xml:space="preserve">for rescue </w:t>
      </w:r>
      <w:r w:rsidRPr="0022614E">
        <w:t xml:space="preserve">in monetary value, about NIS </w:t>
      </w:r>
      <w:r w:rsidRPr="00FE72A3">
        <w:rPr>
          <w:highlight w:val="cyan"/>
        </w:rPr>
        <w:t>3</w:t>
      </w:r>
      <w:r w:rsidR="00FE72A3" w:rsidRPr="00FE72A3">
        <w:rPr>
          <w:highlight w:val="cyan"/>
        </w:rPr>
        <w:t>.5</w:t>
      </w:r>
      <w:r w:rsidRPr="0022614E">
        <w:t xml:space="preserve"> billion, out of </w:t>
      </w:r>
      <w:r>
        <w:t xml:space="preserve">total </w:t>
      </w:r>
      <w:r w:rsidRPr="0022614E">
        <w:t xml:space="preserve">potential </w:t>
      </w:r>
      <w:r>
        <w:t xml:space="preserve">for rescue worth </w:t>
      </w:r>
      <w:r w:rsidRPr="0022614E">
        <w:t xml:space="preserve">NIS 7 billion </w:t>
      </w:r>
      <w:r>
        <w:t xml:space="preserve">to </w:t>
      </w:r>
      <w:r w:rsidRPr="0022614E">
        <w:t>the economy.</w:t>
      </w:r>
    </w:p>
    <w:p w14:paraId="02B87365" w14:textId="77777777" w:rsidR="00293231" w:rsidRPr="0022614E" w:rsidRDefault="00293231" w:rsidP="00293231">
      <w:pPr>
        <w:pStyle w:val="BodyText"/>
      </w:pPr>
      <w:r>
        <w:t>Food waste</w:t>
      </w:r>
      <w:r w:rsidRPr="0022614E">
        <w:t xml:space="preserve"> in the retail and distribution </w:t>
      </w:r>
      <w:r>
        <w:t>sectors</w:t>
      </w:r>
      <w:r w:rsidRPr="0022614E">
        <w:t xml:space="preserve"> stems from three main factors:</w:t>
      </w:r>
    </w:p>
    <w:p w14:paraId="792F9BBE" w14:textId="77777777" w:rsidR="00293231" w:rsidRPr="00FE7882" w:rsidRDefault="00293231" w:rsidP="00293231">
      <w:pPr>
        <w:pStyle w:val="BodyText"/>
        <w:rPr>
          <w:b/>
          <w:bCs/>
        </w:rPr>
      </w:pPr>
      <w:r w:rsidRPr="0022614E">
        <w:t xml:space="preserve">1. </w:t>
      </w:r>
      <w:r w:rsidRPr="00FE7882">
        <w:rPr>
          <w:b/>
          <w:bCs/>
        </w:rPr>
        <w:t xml:space="preserve">Short </w:t>
      </w:r>
      <w:r>
        <w:rPr>
          <w:b/>
          <w:bCs/>
        </w:rPr>
        <w:t>expiry dates</w:t>
      </w:r>
    </w:p>
    <w:p w14:paraId="3276AEC1" w14:textId="1E6E4CE2" w:rsidR="00293231" w:rsidRPr="0022614E" w:rsidRDefault="00293231" w:rsidP="004047B2">
      <w:pPr>
        <w:pStyle w:val="BodyText"/>
      </w:pPr>
      <w:r w:rsidRPr="0022614E">
        <w:t xml:space="preserve">Food products by nature have limited </w:t>
      </w:r>
      <w:r>
        <w:t>shelf lives</w:t>
      </w:r>
      <w:r w:rsidRPr="0022614E">
        <w:t xml:space="preserve"> and</w:t>
      </w:r>
      <w:r>
        <w:t>,</w:t>
      </w:r>
      <w:r w:rsidRPr="0022614E">
        <w:t xml:space="preserve"> therefore, </w:t>
      </w:r>
      <w:r>
        <w:t xml:space="preserve">it </w:t>
      </w:r>
      <w:r w:rsidRPr="0022614E">
        <w:t xml:space="preserve">is inevitable </w:t>
      </w:r>
      <w:r>
        <w:t xml:space="preserve">that some </w:t>
      </w:r>
      <w:r w:rsidRPr="0022614E">
        <w:t xml:space="preserve">products </w:t>
      </w:r>
      <w:r>
        <w:t xml:space="preserve">will </w:t>
      </w:r>
      <w:r w:rsidRPr="0022614E">
        <w:t xml:space="preserve">reach their expiration date before being sold. </w:t>
      </w:r>
      <w:r w:rsidR="004047B2" w:rsidRPr="004047B2">
        <w:rPr>
          <w:highlight w:val="cyan"/>
        </w:rPr>
        <w:t>Foo</w:t>
      </w:r>
      <w:r w:rsidR="004047B2">
        <w:rPr>
          <w:highlight w:val="cyan"/>
        </w:rPr>
        <w:t>d that has reached its expiration date can no longer be sold or distributed to the needy.</w:t>
      </w:r>
      <w:r w:rsidR="004047B2">
        <w:t xml:space="preserve">  </w:t>
      </w:r>
      <w:r w:rsidRPr="0022614E">
        <w:t xml:space="preserve">Therefore, </w:t>
      </w:r>
      <w:r>
        <w:t xml:space="preserve">rescuing </w:t>
      </w:r>
      <w:r w:rsidRPr="0022614E">
        <w:t xml:space="preserve">food in the retail and distribution </w:t>
      </w:r>
      <w:r>
        <w:t>sector</w:t>
      </w:r>
      <w:r w:rsidRPr="0022614E">
        <w:t xml:space="preserve"> requires creatin</w:t>
      </w:r>
      <w:r>
        <w:t>g</w:t>
      </w:r>
      <w:r w:rsidRPr="0022614E">
        <w:t xml:space="preserve"> incentives that will facilitate inventory </w:t>
      </w:r>
      <w:r w:rsidRPr="0022614E">
        <w:lastRenderedPageBreak/>
        <w:t>management t</w:t>
      </w:r>
      <w:r>
        <w:t>o</w:t>
      </w:r>
      <w:r w:rsidRPr="0022614E">
        <w:t xml:space="preserve"> </w:t>
      </w:r>
      <w:r>
        <w:t xml:space="preserve">ensure that </w:t>
      </w:r>
      <w:r w:rsidRPr="0022614E">
        <w:t>short-</w:t>
      </w:r>
      <w:r>
        <w:t xml:space="preserve">dated </w:t>
      </w:r>
      <w:r w:rsidRPr="0022614E">
        <w:t xml:space="preserve">food </w:t>
      </w:r>
      <w:r>
        <w:t xml:space="preserve">is distributed to </w:t>
      </w:r>
      <w:r w:rsidRPr="0022614E">
        <w:t xml:space="preserve">the needy before </w:t>
      </w:r>
      <w:r>
        <w:t xml:space="preserve">it </w:t>
      </w:r>
      <w:r w:rsidRPr="0022614E">
        <w:t>reach</w:t>
      </w:r>
      <w:r>
        <w:t>es its</w:t>
      </w:r>
      <w:r w:rsidRPr="0022614E">
        <w:t xml:space="preserve"> expiry date. Such inventory management is</w:t>
      </w:r>
      <w:r w:rsidRPr="00D107CA">
        <w:t xml:space="preserve"> </w:t>
      </w:r>
      <w:r>
        <w:t>workable</w:t>
      </w:r>
      <w:r w:rsidRPr="0022614E">
        <w:t xml:space="preserve">, </w:t>
      </w:r>
      <w:r>
        <w:t xml:space="preserve">now that </w:t>
      </w:r>
      <w:r w:rsidRPr="0022614E">
        <w:t xml:space="preserve">it is possible to estimate statistically the amount </w:t>
      </w:r>
      <w:r>
        <w:t xml:space="preserve">likely to be </w:t>
      </w:r>
      <w:r w:rsidRPr="0022614E">
        <w:t>consum</w:t>
      </w:r>
      <w:r>
        <w:t xml:space="preserve">ed, </w:t>
      </w:r>
      <w:r w:rsidRPr="0022614E">
        <w:t>compare</w:t>
      </w:r>
      <w:r>
        <w:t xml:space="preserve"> it to current inventory, and donate any </w:t>
      </w:r>
      <w:r w:rsidRPr="0022614E">
        <w:t>surplus at an earlier stage</w:t>
      </w:r>
      <w:r>
        <w:t xml:space="preserve">, </w:t>
      </w:r>
      <w:r w:rsidRPr="0022614E">
        <w:t xml:space="preserve">and certainly before the food </w:t>
      </w:r>
      <w:r>
        <w:t xml:space="preserve">reaches its </w:t>
      </w:r>
      <w:r w:rsidRPr="0022614E">
        <w:t>expir</w:t>
      </w:r>
      <w:r>
        <w:t>y date</w:t>
      </w:r>
      <w:r w:rsidRPr="0022614E">
        <w:t xml:space="preserve">. In addition, a review of food </w:t>
      </w:r>
      <w:r>
        <w:t xml:space="preserve">expiration </w:t>
      </w:r>
      <w:r w:rsidRPr="0022614E">
        <w:t>classification policy is required.</w:t>
      </w:r>
    </w:p>
    <w:p w14:paraId="0E1AEDB8" w14:textId="77777777" w:rsidR="00293231" w:rsidRPr="007D48B1" w:rsidRDefault="00293231" w:rsidP="00293231">
      <w:pPr>
        <w:pStyle w:val="BodyText"/>
        <w:rPr>
          <w:b/>
          <w:bCs/>
        </w:rPr>
      </w:pPr>
      <w:r w:rsidRPr="0022614E">
        <w:t xml:space="preserve">2. </w:t>
      </w:r>
      <w:r w:rsidRPr="007D48B1">
        <w:rPr>
          <w:b/>
          <w:bCs/>
        </w:rPr>
        <w:t>Aesthetic defects in the product and defects in packaging</w:t>
      </w:r>
    </w:p>
    <w:p w14:paraId="3A1E69E3" w14:textId="3066598E" w:rsidR="00293231" w:rsidRPr="0022614E" w:rsidRDefault="00293231" w:rsidP="00FF3E09">
      <w:pPr>
        <w:pStyle w:val="BodyText"/>
      </w:pPr>
      <w:r w:rsidRPr="0022614E">
        <w:t xml:space="preserve">Aesthetic defects damage the market value of </w:t>
      </w:r>
      <w:r>
        <w:t xml:space="preserve">food </w:t>
      </w:r>
      <w:r w:rsidRPr="0022614E">
        <w:t>product</w:t>
      </w:r>
      <w:r>
        <w:t>s</w:t>
      </w:r>
      <w:r w:rsidRPr="0022614E">
        <w:t>, but in most cases do</w:t>
      </w:r>
      <w:r>
        <w:t>es</w:t>
      </w:r>
      <w:r w:rsidRPr="0022614E">
        <w:t xml:space="preserve"> not represent an impairment of the nutritional value of </w:t>
      </w:r>
      <w:r>
        <w:t>such</w:t>
      </w:r>
      <w:r w:rsidRPr="0022614E">
        <w:t xml:space="preserve"> product</w:t>
      </w:r>
      <w:r>
        <w:t>s</w:t>
      </w:r>
      <w:r w:rsidRPr="0022614E">
        <w:t>. Loss of this food reflects a market failure since</w:t>
      </w:r>
      <w:r w:rsidRPr="00D107CA">
        <w:t xml:space="preserve"> </w:t>
      </w:r>
      <w:r>
        <w:t xml:space="preserve">the </w:t>
      </w:r>
      <w:r w:rsidRPr="0022614E">
        <w:t xml:space="preserve">defective </w:t>
      </w:r>
      <w:r>
        <w:t xml:space="preserve">food </w:t>
      </w:r>
      <w:r w:rsidRPr="0022614E">
        <w:t>product</w:t>
      </w:r>
      <w:r>
        <w:t>s</w:t>
      </w:r>
      <w:r w:rsidRPr="0022614E">
        <w:t xml:space="preserve"> </w:t>
      </w:r>
      <w:r>
        <w:t xml:space="preserve">maintain full </w:t>
      </w:r>
      <w:r w:rsidRPr="0022614E">
        <w:t xml:space="preserve">nutritional value for the needy, </w:t>
      </w:r>
      <w:r>
        <w:t xml:space="preserve">despite its low </w:t>
      </w:r>
      <w:r w:rsidRPr="0022614E">
        <w:t>market price.</w:t>
      </w:r>
      <w:r w:rsidR="004047B2">
        <w:t xml:space="preserve"> </w:t>
      </w:r>
      <w:r w:rsidR="004047B2">
        <w:rPr>
          <w:highlight w:val="cyan"/>
        </w:rPr>
        <w:t xml:space="preserve">Some </w:t>
      </w:r>
      <w:r w:rsidR="004047B2" w:rsidRPr="004047B2">
        <w:rPr>
          <w:highlight w:val="cyan"/>
        </w:rPr>
        <w:t>retailers</w:t>
      </w:r>
      <w:r w:rsidR="00792EA5">
        <w:rPr>
          <w:highlight w:val="cyan"/>
        </w:rPr>
        <w:t xml:space="preserve"> </w:t>
      </w:r>
      <w:r w:rsidR="004047B2">
        <w:rPr>
          <w:highlight w:val="cyan"/>
        </w:rPr>
        <w:t xml:space="preserve">handle </w:t>
      </w:r>
      <w:r w:rsidR="004047B2" w:rsidRPr="004047B2">
        <w:rPr>
          <w:highlight w:val="cyan"/>
        </w:rPr>
        <w:t>this problem, for example</w:t>
      </w:r>
      <w:r w:rsidR="004047B2">
        <w:rPr>
          <w:highlight w:val="cyan"/>
        </w:rPr>
        <w:t>,</w:t>
      </w:r>
      <w:r w:rsidR="004047B2" w:rsidRPr="004047B2">
        <w:rPr>
          <w:highlight w:val="cyan"/>
        </w:rPr>
        <w:t xml:space="preserve"> by selling products that have </w:t>
      </w:r>
      <w:r w:rsidR="00FF3E09" w:rsidRPr="004047B2">
        <w:rPr>
          <w:highlight w:val="cyan"/>
        </w:rPr>
        <w:t>aesthetic</w:t>
      </w:r>
      <w:r w:rsidR="00FF3E09">
        <w:rPr>
          <w:highlight w:val="cyan"/>
        </w:rPr>
        <w:t>ally</w:t>
      </w:r>
      <w:r w:rsidR="004047B2" w:rsidRPr="004047B2">
        <w:rPr>
          <w:highlight w:val="cyan"/>
        </w:rPr>
        <w:t xml:space="preserve"> defect</w:t>
      </w:r>
      <w:r w:rsidR="00FF3E09">
        <w:rPr>
          <w:highlight w:val="cyan"/>
        </w:rPr>
        <w:t>ive</w:t>
      </w:r>
      <w:r w:rsidR="004047B2" w:rsidRPr="004047B2">
        <w:rPr>
          <w:highlight w:val="cyan"/>
        </w:rPr>
        <w:t xml:space="preserve"> packaging at a reduced price.</w:t>
      </w:r>
    </w:p>
    <w:p w14:paraId="3BD0EC3A" w14:textId="77777777" w:rsidR="00293231" w:rsidRPr="0022614E" w:rsidRDefault="00293231" w:rsidP="00293231">
      <w:pPr>
        <w:pStyle w:val="BodyText"/>
      </w:pPr>
      <w:r w:rsidRPr="0022614E">
        <w:t xml:space="preserve">3. </w:t>
      </w:r>
      <w:r w:rsidRPr="007D48B1">
        <w:rPr>
          <w:b/>
          <w:bCs/>
        </w:rPr>
        <w:t>Damaged</w:t>
      </w:r>
      <w:r>
        <w:rPr>
          <w:b/>
          <w:bCs/>
        </w:rPr>
        <w:t xml:space="preserve"> </w:t>
      </w:r>
      <w:r w:rsidRPr="007D48B1">
        <w:rPr>
          <w:b/>
          <w:bCs/>
        </w:rPr>
        <w:t>food</w:t>
      </w:r>
    </w:p>
    <w:p w14:paraId="590340D7" w14:textId="77777777" w:rsidR="00293231" w:rsidRPr="0022614E" w:rsidRDefault="00293231" w:rsidP="00293231">
      <w:pPr>
        <w:pStyle w:val="BodyText"/>
      </w:pPr>
      <w:r w:rsidRPr="0022614E">
        <w:t xml:space="preserve">Food damaged </w:t>
      </w:r>
      <w:r>
        <w:t xml:space="preserve">during </w:t>
      </w:r>
      <w:r w:rsidRPr="0022614E">
        <w:t>logistic</w:t>
      </w:r>
      <w:r>
        <w:t xml:space="preserve">al </w:t>
      </w:r>
      <w:r w:rsidRPr="0022614E">
        <w:t>process</w:t>
      </w:r>
      <w:r>
        <w:t>es is a</w:t>
      </w:r>
      <w:r w:rsidRPr="0022614E">
        <w:t xml:space="preserve"> relatively </w:t>
      </w:r>
      <w:r>
        <w:t>minor cause of food waste</w:t>
      </w:r>
      <w:r w:rsidRPr="0022614E">
        <w:t xml:space="preserve">. Damage can be caused at various stages in the retail and distribution process. Damaged food includes broken eggs, spilled products, fallen or damaged fruits and vegetables, </w:t>
      </w:r>
      <w:r>
        <w:t>remains in butcher shops and delis</w:t>
      </w:r>
      <w:r w:rsidRPr="0022614E">
        <w:t xml:space="preserve">, etc. This food is not </w:t>
      </w:r>
      <w:r>
        <w:t>rescuable</w:t>
      </w:r>
      <w:r w:rsidRPr="0022614E">
        <w:t xml:space="preserve">, </w:t>
      </w:r>
      <w:r>
        <w:t xml:space="preserve">but the amount </w:t>
      </w:r>
      <w:r w:rsidRPr="0022614E">
        <w:t xml:space="preserve">is relatively small, </w:t>
      </w:r>
      <w:r>
        <w:t xml:space="preserve">because </w:t>
      </w:r>
      <w:r w:rsidRPr="0022614E">
        <w:t>maxim</w:t>
      </w:r>
      <w:r>
        <w:t>al</w:t>
      </w:r>
      <w:r w:rsidRPr="0022614E">
        <w:t xml:space="preserve"> effort</w:t>
      </w:r>
      <w:r>
        <w:t xml:space="preserve">s are </w:t>
      </w:r>
      <w:r w:rsidRPr="0022614E">
        <w:t xml:space="preserve">being made to reduce </w:t>
      </w:r>
      <w:r>
        <w:t>damage and waste</w:t>
      </w:r>
      <w:r w:rsidRPr="0022614E">
        <w:t>.</w:t>
      </w:r>
    </w:p>
    <w:p w14:paraId="6CDB54CA" w14:textId="77777777" w:rsidR="00293231" w:rsidRPr="006B0963" w:rsidRDefault="00293231" w:rsidP="00293231">
      <w:pPr>
        <w:pStyle w:val="BodyText"/>
        <w:rPr>
          <w:b/>
          <w:bCs/>
        </w:rPr>
      </w:pPr>
      <w:r w:rsidRPr="006B0963">
        <w:rPr>
          <w:b/>
          <w:bCs/>
        </w:rPr>
        <w:t xml:space="preserve">Rescue operations in the retail and distribution </w:t>
      </w:r>
      <w:r>
        <w:rPr>
          <w:b/>
          <w:bCs/>
        </w:rPr>
        <w:t>sector</w:t>
      </w:r>
    </w:p>
    <w:p w14:paraId="3550BDAC" w14:textId="77777777" w:rsidR="00293231" w:rsidRPr="0022614E" w:rsidRDefault="00293231" w:rsidP="00293231">
      <w:pPr>
        <w:pStyle w:val="BodyText"/>
      </w:pPr>
      <w:r w:rsidRPr="0022614E">
        <w:t xml:space="preserve">Retailers and food manufacturers are working to reduce loss and </w:t>
      </w:r>
      <w:r>
        <w:t>rescue</w:t>
      </w:r>
      <w:r w:rsidRPr="0022614E">
        <w:t xml:space="preserve"> food </w:t>
      </w:r>
      <w:r>
        <w:t xml:space="preserve">due to </w:t>
      </w:r>
      <w:r w:rsidRPr="0022614E">
        <w:t xml:space="preserve">economic considerations. Surplus food </w:t>
      </w:r>
      <w:r>
        <w:t xml:space="preserve">can be donated </w:t>
      </w:r>
      <w:r w:rsidRPr="0022614E">
        <w:t>in several ways:</w:t>
      </w:r>
    </w:p>
    <w:p w14:paraId="758945B9" w14:textId="77777777" w:rsidR="00293231" w:rsidRPr="0022614E" w:rsidRDefault="00293231" w:rsidP="00BD1E1B">
      <w:pPr>
        <w:pStyle w:val="BodyText"/>
        <w:numPr>
          <w:ilvl w:val="0"/>
          <w:numId w:val="20"/>
        </w:numPr>
        <w:spacing w:line="264" w:lineRule="auto"/>
        <w:ind w:left="357" w:hanging="357"/>
      </w:pPr>
      <w:r w:rsidRPr="0022614E">
        <w:t>S</w:t>
      </w:r>
      <w:r>
        <w:t>elling</w:t>
      </w:r>
      <w:r w:rsidRPr="0022614E">
        <w:t xml:space="preserve"> of surpluses </w:t>
      </w:r>
      <w:r>
        <w:t xml:space="preserve">at reduced prices – </w:t>
      </w:r>
      <w:r w:rsidRPr="0022614E">
        <w:t>when the</w:t>
      </w:r>
      <w:r>
        <w:t xml:space="preserve">re are </w:t>
      </w:r>
      <w:r w:rsidRPr="0022614E">
        <w:t>products</w:t>
      </w:r>
      <w:r>
        <w:t xml:space="preserve"> that have short expiry dates or are damaged</w:t>
      </w:r>
      <w:r w:rsidRPr="0022614E">
        <w:t>, retailers sometimes offer the</w:t>
      </w:r>
      <w:r>
        <w:t>m</w:t>
      </w:r>
      <w:r w:rsidRPr="0022614E">
        <w:t xml:space="preserve"> at a reduced price. Economically, the transfer of these products to the needy reduces the fear of </w:t>
      </w:r>
      <w:r>
        <w:t xml:space="preserve">reduced </w:t>
      </w:r>
      <w:r w:rsidRPr="0022614E">
        <w:t>sales.</w:t>
      </w:r>
    </w:p>
    <w:p w14:paraId="2E44CD09" w14:textId="77777777" w:rsidR="00293231" w:rsidRPr="0022614E" w:rsidRDefault="00293231" w:rsidP="00BD1E1B">
      <w:pPr>
        <w:pStyle w:val="BodyText"/>
        <w:numPr>
          <w:ilvl w:val="0"/>
          <w:numId w:val="20"/>
        </w:numPr>
        <w:spacing w:line="264" w:lineRule="auto"/>
        <w:ind w:left="357" w:hanging="357"/>
      </w:pPr>
      <w:r w:rsidRPr="0022614E">
        <w:t xml:space="preserve">Contribution of food </w:t>
      </w:r>
      <w:r>
        <w:t xml:space="preserve">– centralized and </w:t>
      </w:r>
      <w:r w:rsidRPr="0022614E">
        <w:t>co</w:t>
      </w:r>
      <w:r>
        <w:t xml:space="preserve">ordinated </w:t>
      </w:r>
      <w:r w:rsidRPr="0022614E">
        <w:t>on the basis of agreements with food</w:t>
      </w:r>
      <w:r>
        <w:t xml:space="preserve"> rescue initiatives</w:t>
      </w:r>
      <w:r w:rsidRPr="0022614E">
        <w:t xml:space="preserve"> and</w:t>
      </w:r>
      <w:r>
        <w:t xml:space="preserve">/or </w:t>
      </w:r>
      <w:r w:rsidRPr="0022614E">
        <w:t xml:space="preserve">as a local initiative </w:t>
      </w:r>
      <w:r>
        <w:t xml:space="preserve">on </w:t>
      </w:r>
      <w:r w:rsidRPr="0022614E">
        <w:t>the branch</w:t>
      </w:r>
      <w:r>
        <w:t xml:space="preserve"> level</w:t>
      </w:r>
      <w:r w:rsidRPr="0022614E">
        <w:t>.</w:t>
      </w:r>
    </w:p>
    <w:p w14:paraId="26993100" w14:textId="21766E67" w:rsidR="00BD1E1B" w:rsidRDefault="00293231" w:rsidP="00BD1E1B">
      <w:pPr>
        <w:pStyle w:val="BodyText"/>
        <w:rPr>
          <w:rFonts w:eastAsiaTheme="majorEastAsia" w:cstheme="minorHAnsi"/>
          <w:b/>
          <w:bCs/>
          <w:iCs/>
          <w:color w:val="FF0000"/>
          <w:spacing w:val="5"/>
          <w:kern w:val="28"/>
          <w:sz w:val="32"/>
          <w:szCs w:val="32"/>
        </w:rPr>
      </w:pPr>
      <w:r w:rsidRPr="0022614E">
        <w:t>Food producers a</w:t>
      </w:r>
      <w:r>
        <w:t>re a</w:t>
      </w:r>
      <w:r w:rsidRPr="0022614E">
        <w:t xml:space="preserve">lso </w:t>
      </w:r>
      <w:r>
        <w:t xml:space="preserve">involved in </w:t>
      </w:r>
      <w:r w:rsidRPr="0022614E">
        <w:t xml:space="preserve">food rescue: </w:t>
      </w:r>
      <w:r>
        <w:t xml:space="preserve">some </w:t>
      </w:r>
      <w:r w:rsidRPr="0022614E">
        <w:t xml:space="preserve">food manufacturers </w:t>
      </w:r>
      <w:r>
        <w:t xml:space="preserve">contract </w:t>
      </w:r>
      <w:r w:rsidRPr="0022614E">
        <w:t xml:space="preserve">with </w:t>
      </w:r>
      <w:r>
        <w:t xml:space="preserve">NPOs </w:t>
      </w:r>
      <w:r w:rsidRPr="0022614E">
        <w:t xml:space="preserve">and </w:t>
      </w:r>
      <w:r>
        <w:t xml:space="preserve">donate </w:t>
      </w:r>
      <w:r w:rsidRPr="0022614E">
        <w:t xml:space="preserve">food </w:t>
      </w:r>
      <w:r>
        <w:t xml:space="preserve">with short expiry dates or </w:t>
      </w:r>
      <w:r w:rsidRPr="0022614E">
        <w:t>production</w:t>
      </w:r>
      <w:r>
        <w:t xml:space="preserve"> surpluses</w:t>
      </w:r>
      <w:r w:rsidRPr="0022614E">
        <w:t xml:space="preserve">. In addition, products </w:t>
      </w:r>
      <w:r>
        <w:t xml:space="preserve">with </w:t>
      </w:r>
      <w:r w:rsidRPr="0022614E">
        <w:t>defect</w:t>
      </w:r>
      <w:r>
        <w:t xml:space="preserve">ive </w:t>
      </w:r>
      <w:r w:rsidRPr="0022614E">
        <w:t>packaging or an aesthetic defect in the product</w:t>
      </w:r>
      <w:r w:rsidRPr="00670086">
        <w:t xml:space="preserve"> </w:t>
      </w:r>
      <w:r w:rsidRPr="0022614E">
        <w:t>are so</w:t>
      </w:r>
      <w:r>
        <w:t>ld in various secondary markets, if the flaws are detected in the factory</w:t>
      </w:r>
      <w:r w:rsidR="004047B2">
        <w:t>,</w:t>
      </w:r>
      <w:r w:rsidRPr="0022614E">
        <w:t xml:space="preserve"> </w:t>
      </w:r>
      <w:r>
        <w:t xml:space="preserve">and the food </w:t>
      </w:r>
      <w:r w:rsidR="004047B2">
        <w:t xml:space="preserve">is </w:t>
      </w:r>
      <w:r w:rsidRPr="0022614E">
        <w:t>still safe and fit for human consumption</w:t>
      </w:r>
      <w:r>
        <w:t>.</w:t>
      </w:r>
      <w:r w:rsidRPr="0022614E">
        <w:t xml:space="preserve"> </w:t>
      </w:r>
      <w:bookmarkStart w:id="16" w:name="_Toc505547257"/>
      <w:r w:rsidR="00BD1E1B">
        <w:br w:type="page"/>
      </w:r>
    </w:p>
    <w:p w14:paraId="558B3F56" w14:textId="1ED6842B" w:rsidR="00293231" w:rsidRDefault="00293231" w:rsidP="00293231">
      <w:pPr>
        <w:pStyle w:val="Heading1"/>
      </w:pPr>
      <w:bookmarkStart w:id="17" w:name="_Toc951797"/>
      <w:r w:rsidRPr="008F3D9C">
        <w:lastRenderedPageBreak/>
        <w:t>Food Rescue: Feasibility to the National Economy</w:t>
      </w:r>
      <w:bookmarkEnd w:id="16"/>
      <w:bookmarkEnd w:id="17"/>
    </w:p>
    <w:p w14:paraId="5A0999F0" w14:textId="45D97B9E" w:rsidR="00293231" w:rsidRPr="001B5551" w:rsidRDefault="00293231" w:rsidP="00BD1E1B">
      <w:pPr>
        <w:pStyle w:val="BodyText"/>
        <w:rPr>
          <w:b/>
          <w:bCs/>
        </w:rPr>
      </w:pPr>
      <w:r w:rsidRPr="001B5551">
        <w:rPr>
          <w:u w:val="single"/>
        </w:rPr>
        <w:t>Bold chapter head</w:t>
      </w:r>
      <w:r w:rsidRPr="005A159F">
        <w:t xml:space="preserve">: </w:t>
      </w:r>
      <w:r w:rsidRPr="001B5551">
        <w:rPr>
          <w:b/>
          <w:bCs/>
        </w:rPr>
        <w:t xml:space="preserve">NIS </w:t>
      </w:r>
      <w:r w:rsidRPr="00BD1E1B">
        <w:rPr>
          <w:b/>
          <w:bCs/>
          <w:highlight w:val="cyan"/>
        </w:rPr>
        <w:t>4</w:t>
      </w:r>
      <w:r w:rsidRPr="001B5551">
        <w:rPr>
          <w:b/>
          <w:bCs/>
        </w:rPr>
        <w:t xml:space="preserve"> billion potential profit for the national economy from food rescue // Rescuing 20% of the food </w:t>
      </w:r>
      <w:r>
        <w:rPr>
          <w:b/>
          <w:bCs/>
        </w:rPr>
        <w:t>waste</w:t>
      </w:r>
      <w:r w:rsidRPr="001B5551">
        <w:rPr>
          <w:b/>
          <w:bCs/>
        </w:rPr>
        <w:t xml:space="preserve"> </w:t>
      </w:r>
      <w:r>
        <w:rPr>
          <w:b/>
          <w:bCs/>
        </w:rPr>
        <w:t>c</w:t>
      </w:r>
      <w:r w:rsidRPr="001B5551">
        <w:rPr>
          <w:b/>
          <w:bCs/>
        </w:rPr>
        <w:t xml:space="preserve">ould close the food insecurity gap in Israel </w:t>
      </w:r>
    </w:p>
    <w:p w14:paraId="3D6361E8" w14:textId="10BECAC8" w:rsidR="00293231" w:rsidRDefault="00293231" w:rsidP="00BD1E1B">
      <w:pPr>
        <w:pStyle w:val="BodyText"/>
      </w:pPr>
      <w:r w:rsidRPr="002E14FC">
        <w:t xml:space="preserve">The rescue of </w:t>
      </w:r>
      <w:r w:rsidRPr="00BD1E1B">
        <w:rPr>
          <w:highlight w:val="cyan"/>
        </w:rPr>
        <w:t>4</w:t>
      </w:r>
      <w:r w:rsidR="00BD1E1B" w:rsidRPr="00BD1E1B">
        <w:rPr>
          <w:highlight w:val="cyan"/>
        </w:rPr>
        <w:t>5</w:t>
      </w:r>
      <w:r w:rsidRPr="00BD1E1B">
        <w:rPr>
          <w:highlight w:val="cyan"/>
        </w:rPr>
        <w:t>0</w:t>
      </w:r>
      <w:r w:rsidRPr="002E14FC">
        <w:t>,000 tons of food annually, constituting 20% of all food waste in Israel,</w:t>
      </w:r>
      <w:r w:rsidRPr="008F3D9C">
        <w:t xml:space="preserve"> would fully bridge the food consumption gap between the normative expenditure of the general population and those suffering from food insecurity. </w:t>
      </w:r>
    </w:p>
    <w:p w14:paraId="28AFD354" w14:textId="405BECA8" w:rsidR="00293231" w:rsidRPr="008F3D9C" w:rsidRDefault="00293231" w:rsidP="00293231">
      <w:pPr>
        <w:pStyle w:val="BodyText"/>
      </w:pPr>
      <w:r w:rsidRPr="008F3D9C">
        <w:t xml:space="preserve">According </w:t>
      </w:r>
      <w:r>
        <w:t xml:space="preserve">to </w:t>
      </w:r>
      <w:r w:rsidRPr="008F3D9C">
        <w:t xml:space="preserve">BDO and Leket Israel estimates, the current rescue multiplier is 3.6, meaning </w:t>
      </w:r>
      <w:r>
        <w:t>that</w:t>
      </w:r>
      <w:r w:rsidRPr="008F3D9C">
        <w:t xml:space="preserve"> every shekel</w:t>
      </w:r>
      <w:r>
        <w:t xml:space="preserve"> (NIS 1.0)</w:t>
      </w:r>
      <w:r w:rsidRPr="008F3D9C">
        <w:t xml:space="preserve"> spent on food rescue saves food </w:t>
      </w:r>
      <w:r>
        <w:t xml:space="preserve">worth </w:t>
      </w:r>
      <w:r w:rsidRPr="008F3D9C">
        <w:t xml:space="preserve">NIS 3.6. </w:t>
      </w:r>
      <w:r w:rsidRPr="002B54ED">
        <w:rPr>
          <w:highlight w:val="green"/>
        </w:rPr>
        <w:t xml:space="preserve">The more food is rescued, the lower the rescue multiplier </w:t>
      </w:r>
      <w:r w:rsidR="00053DA1">
        <w:rPr>
          <w:highlight w:val="green"/>
        </w:rPr>
        <w:t>is due to</w:t>
      </w:r>
      <w:r w:rsidRPr="002B54ED">
        <w:rPr>
          <w:highlight w:val="green"/>
        </w:rPr>
        <w:t xml:space="preserve"> the increasing </w:t>
      </w:r>
      <w:r w:rsidR="00053DA1">
        <w:rPr>
          <w:highlight w:val="green"/>
        </w:rPr>
        <w:t>challenge</w:t>
      </w:r>
      <w:r w:rsidRPr="002B54ED">
        <w:rPr>
          <w:highlight w:val="green"/>
        </w:rPr>
        <w:t xml:space="preserve"> of rescuing larger quantities of food. Therefore, the cost of rescuing NIS 3 billion worth of food would be only NIS 1.2 billion.</w:t>
      </w:r>
      <w:r w:rsidRPr="008F3D9C">
        <w:t xml:space="preserve"> This is equivalent to the full value of the gap in spending on food consumption </w:t>
      </w:r>
      <w:r w:rsidRPr="008F3D9C">
        <w:rPr>
          <w:lang w:bidi="ar-EG"/>
        </w:rPr>
        <w:t>by</w:t>
      </w:r>
      <w:r w:rsidRPr="008F3D9C">
        <w:t xml:space="preserve"> the population suffering from food insecurity in relation to the normative level of </w:t>
      </w:r>
      <w:r w:rsidRPr="005A159F">
        <w:t>consumption.</w:t>
      </w:r>
      <w:r w:rsidRPr="008F3D9C">
        <w:t xml:space="preserve"> </w:t>
      </w:r>
    </w:p>
    <w:p w14:paraId="7C4B1361" w14:textId="77777777" w:rsidR="00293231" w:rsidRPr="008B5FC2" w:rsidRDefault="00293231" w:rsidP="00293231">
      <w:pPr>
        <w:pStyle w:val="BodyText"/>
        <w:rPr>
          <w:b/>
          <w:bCs/>
        </w:rPr>
      </w:pPr>
      <w:r w:rsidRPr="008F3D9C">
        <w:t>Without food rescue, it would require an annual cost of NIS 3 billion to fully finance this gap.</w:t>
      </w:r>
      <w:r>
        <w:t xml:space="preserve"> Therefore, f</w:t>
      </w:r>
      <w:r w:rsidRPr="008F3D9C">
        <w:t>ood rescue is clearly preferable to the alternative of attempting to bridge th</w:t>
      </w:r>
      <w:r>
        <w:t>e</w:t>
      </w:r>
      <w:r w:rsidRPr="008F3D9C">
        <w:t xml:space="preserve"> food insecurity gap by means of allocations, donations, subsidies or support for the needy. Food rescue allows for reaching </w:t>
      </w:r>
      <w:r>
        <w:t xml:space="preserve">the same </w:t>
      </w:r>
      <w:r w:rsidRPr="008F3D9C">
        <w:t>social goal at a significantly lower cost</w:t>
      </w:r>
      <w:r>
        <w:t xml:space="preserve">, approximately </w:t>
      </w:r>
      <w:r w:rsidRPr="008F3D9C">
        <w:t xml:space="preserve">NIS </w:t>
      </w:r>
      <w:r w:rsidRPr="002B54ED">
        <w:rPr>
          <w:highlight w:val="green"/>
        </w:rPr>
        <w:t>1.2 billion</w:t>
      </w:r>
      <w:r w:rsidRPr="008F3D9C">
        <w:t xml:space="preserve"> annually. Specifically, </w:t>
      </w:r>
      <w:r w:rsidRPr="008B5FC2">
        <w:rPr>
          <w:b/>
          <w:bCs/>
        </w:rPr>
        <w:t xml:space="preserve">food rescue alleviates food insecurity </w:t>
      </w:r>
      <w:r>
        <w:rPr>
          <w:b/>
          <w:bCs/>
        </w:rPr>
        <w:t xml:space="preserve">at </w:t>
      </w:r>
      <w:r w:rsidRPr="008B5FC2">
        <w:rPr>
          <w:b/>
          <w:bCs/>
        </w:rPr>
        <w:t xml:space="preserve">a </w:t>
      </w:r>
      <w:r w:rsidRPr="002B54ED">
        <w:rPr>
          <w:b/>
          <w:bCs/>
          <w:highlight w:val="green"/>
        </w:rPr>
        <w:t>60</w:t>
      </w:r>
      <w:r w:rsidRPr="008B5FC2">
        <w:rPr>
          <w:b/>
          <w:bCs/>
        </w:rPr>
        <w:t xml:space="preserve">% cost savings, and also provides significant social and environmental benefits. </w:t>
      </w:r>
    </w:p>
    <w:p w14:paraId="67337695" w14:textId="77777777" w:rsidR="00293231" w:rsidRPr="00E4342E" w:rsidRDefault="00293231" w:rsidP="00BD1E1B">
      <w:pPr>
        <w:pStyle w:val="Graphtitle"/>
        <w:spacing w:after="120" w:line="240" w:lineRule="auto"/>
        <w:rPr>
          <w:b w:val="0"/>
          <w:bCs w:val="0"/>
        </w:rPr>
      </w:pPr>
      <w:r w:rsidRPr="008B5FC2">
        <w:t xml:space="preserve">Food Rescue: Summary of Estimated Feasibility to National Economy </w:t>
      </w:r>
      <w:r>
        <w:br/>
      </w:r>
      <w:r w:rsidRPr="00E4342E">
        <w:rPr>
          <w:b w:val="0"/>
          <w:bCs w:val="0"/>
        </w:rPr>
        <w:t>(NIS millions</w:t>
      </w:r>
      <w:r>
        <w:rPr>
          <w:b w:val="0"/>
          <w:bCs w:val="0"/>
        </w:rPr>
        <w:t>/year</w:t>
      </w:r>
      <w:r w:rsidRPr="00E4342E">
        <w:rPr>
          <w:b w:val="0"/>
          <w:bCs w:val="0"/>
        </w:rPr>
        <w:t>)</w:t>
      </w:r>
    </w:p>
    <w:tbl>
      <w:tblPr>
        <w:tblStyle w:val="MediumShading1-Accent1"/>
        <w:tblW w:w="9242" w:type="dxa"/>
        <w:tblBorders>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3369"/>
        <w:gridCol w:w="1317"/>
        <w:gridCol w:w="1519"/>
        <w:gridCol w:w="1518"/>
        <w:gridCol w:w="1519"/>
      </w:tblGrid>
      <w:tr w:rsidR="00BD1E1B" w:rsidRPr="00E4342E" w14:paraId="1726E9CF" w14:textId="77777777" w:rsidTr="00FD3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71DC7B27" w14:textId="77777777" w:rsidR="00BD1E1B" w:rsidRPr="00FF5699" w:rsidRDefault="00BD1E1B" w:rsidP="00FD3F1E">
            <w:pPr>
              <w:pStyle w:val="Tableheader"/>
              <w:rPr>
                <w:rFonts w:cstheme="minorHAnsi"/>
                <w:b/>
                <w:bCs/>
                <w:sz w:val="21"/>
                <w:szCs w:val="21"/>
                <w:rtl/>
              </w:rPr>
            </w:pPr>
            <w:r w:rsidRPr="00FF5699">
              <w:rPr>
                <w:rFonts w:cstheme="minorHAnsi"/>
                <w:b/>
                <w:bCs/>
                <w:sz w:val="21"/>
                <w:szCs w:val="21"/>
              </w:rPr>
              <w:t>Percentage of Rescued Food from Food Waste</w:t>
            </w:r>
          </w:p>
        </w:tc>
        <w:tc>
          <w:tcPr>
            <w:tcW w:w="1317" w:type="dxa"/>
            <w:vAlign w:val="center"/>
          </w:tcPr>
          <w:p w14:paraId="326D7696" w14:textId="77777777" w:rsidR="00BD1E1B" w:rsidRPr="00FF5699" w:rsidRDefault="00BD1E1B" w:rsidP="00FD3F1E">
            <w:pPr>
              <w:pStyle w:val="Tableheader"/>
              <w:cnfStyle w:val="100000000000" w:firstRow="1" w:lastRow="0" w:firstColumn="0" w:lastColumn="0" w:oddVBand="0" w:evenVBand="0" w:oddHBand="0" w:evenHBand="0" w:firstRowFirstColumn="0" w:firstRowLastColumn="0" w:lastRowFirstColumn="0" w:lastRowLastColumn="0"/>
              <w:rPr>
                <w:rFonts w:cstheme="minorHAnsi"/>
                <w:b/>
                <w:bCs/>
                <w:sz w:val="21"/>
                <w:szCs w:val="21"/>
              </w:rPr>
            </w:pPr>
            <w:r w:rsidRPr="00FF5699">
              <w:rPr>
                <w:rFonts w:cstheme="minorHAnsi"/>
                <w:b/>
                <w:bCs/>
                <w:sz w:val="21"/>
                <w:szCs w:val="21"/>
              </w:rPr>
              <w:t>1</w:t>
            </w:r>
            <w:r w:rsidRPr="00FF5699">
              <w:rPr>
                <w:rFonts w:cstheme="minorHAnsi"/>
                <w:b/>
                <w:bCs/>
                <w:sz w:val="21"/>
                <w:szCs w:val="21"/>
                <w:rtl/>
              </w:rPr>
              <w:t>%</w:t>
            </w:r>
            <w:r w:rsidRPr="00FF5699">
              <w:rPr>
                <w:rFonts w:cstheme="minorHAnsi"/>
                <w:b/>
                <w:bCs/>
                <w:sz w:val="21"/>
                <w:szCs w:val="21"/>
              </w:rPr>
              <w:t xml:space="preserve"> </w:t>
            </w:r>
            <w:r w:rsidRPr="00FF5699">
              <w:rPr>
                <w:rFonts w:cstheme="minorHAnsi"/>
                <w:sz w:val="21"/>
                <w:szCs w:val="21"/>
              </w:rPr>
              <w:t>(currently)</w:t>
            </w:r>
          </w:p>
        </w:tc>
        <w:tc>
          <w:tcPr>
            <w:tcW w:w="1519" w:type="dxa"/>
            <w:vAlign w:val="center"/>
          </w:tcPr>
          <w:p w14:paraId="2C6B363B" w14:textId="77777777" w:rsidR="00BD1E1B" w:rsidRPr="00FF5699" w:rsidRDefault="00BD1E1B" w:rsidP="00FD3F1E">
            <w:pPr>
              <w:pStyle w:val="Tableheader"/>
              <w:cnfStyle w:val="100000000000" w:firstRow="1" w:lastRow="0" w:firstColumn="0" w:lastColumn="0" w:oddVBand="0" w:evenVBand="0" w:oddHBand="0" w:evenHBand="0" w:firstRowFirstColumn="0" w:firstRowLastColumn="0" w:lastRowFirstColumn="0" w:lastRowLastColumn="0"/>
              <w:rPr>
                <w:rFonts w:cstheme="minorHAnsi"/>
                <w:b/>
                <w:bCs/>
                <w:sz w:val="21"/>
                <w:szCs w:val="21"/>
              </w:rPr>
            </w:pPr>
            <w:r w:rsidRPr="00FF5699">
              <w:rPr>
                <w:rFonts w:cstheme="minorHAnsi"/>
                <w:b/>
                <w:bCs/>
                <w:sz w:val="21"/>
                <w:szCs w:val="21"/>
              </w:rPr>
              <w:t>5</w:t>
            </w:r>
            <w:r w:rsidRPr="00FF5699">
              <w:rPr>
                <w:rFonts w:cstheme="minorHAnsi"/>
                <w:b/>
                <w:bCs/>
                <w:sz w:val="21"/>
                <w:szCs w:val="21"/>
                <w:rtl/>
              </w:rPr>
              <w:t>%</w:t>
            </w:r>
          </w:p>
        </w:tc>
        <w:tc>
          <w:tcPr>
            <w:tcW w:w="1518" w:type="dxa"/>
            <w:vAlign w:val="center"/>
          </w:tcPr>
          <w:p w14:paraId="280C31D4" w14:textId="77777777" w:rsidR="00BD1E1B" w:rsidRPr="00FF5699" w:rsidRDefault="00BD1E1B" w:rsidP="00FD3F1E">
            <w:pPr>
              <w:pStyle w:val="Tableheader"/>
              <w:cnfStyle w:val="100000000000" w:firstRow="1" w:lastRow="0" w:firstColumn="0" w:lastColumn="0" w:oddVBand="0" w:evenVBand="0" w:oddHBand="0" w:evenHBand="0" w:firstRowFirstColumn="0" w:firstRowLastColumn="0" w:lastRowFirstColumn="0" w:lastRowLastColumn="0"/>
              <w:rPr>
                <w:rFonts w:cstheme="minorHAnsi"/>
                <w:b/>
                <w:bCs/>
                <w:sz w:val="21"/>
                <w:szCs w:val="21"/>
              </w:rPr>
            </w:pPr>
            <w:r w:rsidRPr="00FF5699">
              <w:rPr>
                <w:rFonts w:cstheme="minorHAnsi"/>
                <w:b/>
                <w:bCs/>
                <w:sz w:val="21"/>
                <w:szCs w:val="21"/>
              </w:rPr>
              <w:t>10</w:t>
            </w:r>
            <w:r w:rsidRPr="00FF5699">
              <w:rPr>
                <w:rFonts w:cstheme="minorHAnsi"/>
                <w:b/>
                <w:bCs/>
                <w:sz w:val="21"/>
                <w:szCs w:val="21"/>
                <w:rtl/>
              </w:rPr>
              <w:t>%</w:t>
            </w:r>
          </w:p>
        </w:tc>
        <w:tc>
          <w:tcPr>
            <w:tcW w:w="1519" w:type="dxa"/>
            <w:vAlign w:val="center"/>
          </w:tcPr>
          <w:p w14:paraId="76E054EC" w14:textId="77777777" w:rsidR="00BD1E1B" w:rsidRPr="00FF5699" w:rsidRDefault="00BD1E1B" w:rsidP="00FD3F1E">
            <w:pPr>
              <w:pStyle w:val="Tableheader"/>
              <w:cnfStyle w:val="100000000000" w:firstRow="1" w:lastRow="0" w:firstColumn="0" w:lastColumn="0" w:oddVBand="0" w:evenVBand="0" w:oddHBand="0" w:evenHBand="0" w:firstRowFirstColumn="0" w:firstRowLastColumn="0" w:lastRowFirstColumn="0" w:lastRowLastColumn="0"/>
              <w:rPr>
                <w:rFonts w:cstheme="minorHAnsi"/>
                <w:b/>
                <w:bCs/>
                <w:sz w:val="21"/>
                <w:szCs w:val="21"/>
              </w:rPr>
            </w:pPr>
            <w:r w:rsidRPr="00FF5699">
              <w:rPr>
                <w:rFonts w:cstheme="minorHAnsi"/>
                <w:b/>
                <w:bCs/>
                <w:sz w:val="21"/>
                <w:szCs w:val="21"/>
              </w:rPr>
              <w:t>20</w:t>
            </w:r>
            <w:r w:rsidRPr="00FF5699">
              <w:rPr>
                <w:rFonts w:cstheme="minorHAnsi"/>
                <w:b/>
                <w:bCs/>
                <w:sz w:val="21"/>
                <w:szCs w:val="21"/>
                <w:rtl/>
              </w:rPr>
              <w:t>%</w:t>
            </w:r>
          </w:p>
        </w:tc>
      </w:tr>
      <w:tr w:rsidR="00BD1E1B" w:rsidRPr="00E4342E" w14:paraId="2364E8E7"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AE45848" w14:textId="77777777" w:rsidR="00BD1E1B" w:rsidRPr="00FF5699" w:rsidRDefault="00BD1E1B" w:rsidP="00FD3F1E">
            <w:pPr>
              <w:pStyle w:val="tabletext"/>
              <w:rPr>
                <w:rFonts w:cstheme="minorHAnsi"/>
                <w:b/>
                <w:bCs/>
                <w:sz w:val="21"/>
                <w:szCs w:val="21"/>
              </w:rPr>
            </w:pPr>
            <w:r w:rsidRPr="00FF5699">
              <w:rPr>
                <w:rFonts w:cstheme="minorHAnsi"/>
                <w:b/>
                <w:bCs/>
                <w:sz w:val="21"/>
                <w:szCs w:val="21"/>
              </w:rPr>
              <w:t>Rescued Food (in 1,000 tons)</w:t>
            </w:r>
          </w:p>
        </w:tc>
        <w:tc>
          <w:tcPr>
            <w:tcW w:w="1317" w:type="dxa"/>
            <w:vAlign w:val="center"/>
          </w:tcPr>
          <w:p w14:paraId="351B90D5" w14:textId="77777777"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r w:rsidRPr="00FF5699">
              <w:rPr>
                <w:sz w:val="21"/>
                <w:szCs w:val="21"/>
              </w:rPr>
              <w:t>28.0</w:t>
            </w:r>
          </w:p>
        </w:tc>
        <w:tc>
          <w:tcPr>
            <w:tcW w:w="1519" w:type="dxa"/>
            <w:vAlign w:val="center"/>
          </w:tcPr>
          <w:p w14:paraId="7D900A93" w14:textId="72AFD329"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8" w:type="dxa"/>
            <w:vAlign w:val="center"/>
          </w:tcPr>
          <w:p w14:paraId="19F2A962" w14:textId="6716D9D6"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9" w:type="dxa"/>
            <w:vAlign w:val="center"/>
          </w:tcPr>
          <w:p w14:paraId="0D58D15F" w14:textId="7A032E5F"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r>
      <w:tr w:rsidR="00BD1E1B" w:rsidRPr="00E4342E" w14:paraId="718E8582"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147B304" w14:textId="77777777" w:rsidR="00BD1E1B" w:rsidRPr="00FF5699" w:rsidRDefault="00BD1E1B" w:rsidP="00FD3F1E">
            <w:pPr>
              <w:pStyle w:val="tabletext"/>
              <w:rPr>
                <w:rFonts w:cstheme="minorHAnsi"/>
                <w:b/>
                <w:bCs/>
                <w:sz w:val="21"/>
                <w:szCs w:val="21"/>
                <w:rtl/>
              </w:rPr>
            </w:pPr>
            <w:r w:rsidRPr="00FF5699">
              <w:rPr>
                <w:rFonts w:cstheme="minorHAnsi"/>
                <w:b/>
                <w:bCs/>
                <w:sz w:val="21"/>
                <w:szCs w:val="21"/>
              </w:rPr>
              <w:t>Part of Food Rescued from Food Insecurity Gap</w:t>
            </w:r>
          </w:p>
        </w:tc>
        <w:tc>
          <w:tcPr>
            <w:tcW w:w="1317" w:type="dxa"/>
            <w:vAlign w:val="center"/>
          </w:tcPr>
          <w:p w14:paraId="66AB9D22" w14:textId="77777777"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r w:rsidRPr="00FF5699">
              <w:rPr>
                <w:sz w:val="21"/>
                <w:szCs w:val="21"/>
              </w:rPr>
              <w:t>6%</w:t>
            </w:r>
          </w:p>
        </w:tc>
        <w:tc>
          <w:tcPr>
            <w:tcW w:w="1519" w:type="dxa"/>
            <w:vAlign w:val="center"/>
          </w:tcPr>
          <w:p w14:paraId="60B804C8" w14:textId="4ACD18CC"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c>
          <w:tcPr>
            <w:tcW w:w="1518" w:type="dxa"/>
            <w:vAlign w:val="center"/>
          </w:tcPr>
          <w:p w14:paraId="0E9C47EC" w14:textId="0F6257C0"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c>
          <w:tcPr>
            <w:tcW w:w="1519" w:type="dxa"/>
            <w:vAlign w:val="center"/>
          </w:tcPr>
          <w:p w14:paraId="1C7FE55B" w14:textId="5E44C5BA"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r>
      <w:tr w:rsidR="00BD1E1B" w:rsidRPr="00E4342E" w14:paraId="327B27D3"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3A4C7F0" w14:textId="77777777" w:rsidR="00BD1E1B" w:rsidRPr="00FF5699" w:rsidRDefault="00BD1E1B" w:rsidP="00FD3F1E">
            <w:pPr>
              <w:pStyle w:val="tabletext"/>
              <w:rPr>
                <w:rFonts w:cstheme="minorHAnsi"/>
                <w:b/>
                <w:bCs/>
                <w:sz w:val="21"/>
                <w:szCs w:val="21"/>
              </w:rPr>
            </w:pPr>
            <w:r w:rsidRPr="00FF5699">
              <w:rPr>
                <w:rFonts w:cstheme="minorHAnsi"/>
                <w:b/>
                <w:bCs/>
                <w:sz w:val="21"/>
                <w:szCs w:val="21"/>
              </w:rPr>
              <w:t>Value of Rescued Food</w:t>
            </w:r>
          </w:p>
        </w:tc>
        <w:tc>
          <w:tcPr>
            <w:tcW w:w="1317" w:type="dxa"/>
            <w:vAlign w:val="center"/>
          </w:tcPr>
          <w:p w14:paraId="6396F177" w14:textId="77777777"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r w:rsidRPr="00FF5699">
              <w:rPr>
                <w:sz w:val="21"/>
                <w:szCs w:val="21"/>
              </w:rPr>
              <w:t>140</w:t>
            </w:r>
          </w:p>
        </w:tc>
        <w:tc>
          <w:tcPr>
            <w:tcW w:w="1519" w:type="dxa"/>
            <w:vAlign w:val="center"/>
          </w:tcPr>
          <w:p w14:paraId="30BA53AC" w14:textId="30F90D1A"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8" w:type="dxa"/>
            <w:vAlign w:val="center"/>
          </w:tcPr>
          <w:p w14:paraId="7728C778" w14:textId="78D57BBD"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9" w:type="dxa"/>
            <w:vAlign w:val="center"/>
          </w:tcPr>
          <w:p w14:paraId="72794C90" w14:textId="393D1EDB"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r>
      <w:tr w:rsidR="00BD1E1B" w:rsidRPr="00E4342E" w14:paraId="18D93621"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39B398B4" w14:textId="77777777" w:rsidR="00BD1E1B" w:rsidRPr="00FF5699" w:rsidRDefault="00BD1E1B" w:rsidP="00FD3F1E">
            <w:pPr>
              <w:pStyle w:val="tabletext"/>
              <w:rPr>
                <w:rFonts w:cstheme="minorHAnsi"/>
                <w:b/>
                <w:bCs/>
                <w:sz w:val="21"/>
                <w:szCs w:val="21"/>
              </w:rPr>
            </w:pPr>
            <w:r w:rsidRPr="00FF5699">
              <w:rPr>
                <w:rFonts w:cstheme="minorHAnsi"/>
                <w:b/>
                <w:bCs/>
                <w:sz w:val="21"/>
                <w:szCs w:val="21"/>
              </w:rPr>
              <w:t>Cost of Food Rescue</w:t>
            </w:r>
          </w:p>
        </w:tc>
        <w:tc>
          <w:tcPr>
            <w:tcW w:w="1317" w:type="dxa"/>
            <w:vAlign w:val="center"/>
          </w:tcPr>
          <w:p w14:paraId="39F5FD12" w14:textId="77777777"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r w:rsidRPr="00FF5699">
              <w:rPr>
                <w:sz w:val="21"/>
                <w:szCs w:val="21"/>
              </w:rPr>
              <w:t>30</w:t>
            </w:r>
          </w:p>
        </w:tc>
        <w:tc>
          <w:tcPr>
            <w:tcW w:w="1519" w:type="dxa"/>
            <w:vAlign w:val="center"/>
          </w:tcPr>
          <w:p w14:paraId="2CFA608D" w14:textId="16A3553A"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c>
          <w:tcPr>
            <w:tcW w:w="1518" w:type="dxa"/>
            <w:vAlign w:val="center"/>
          </w:tcPr>
          <w:p w14:paraId="1C56BFDD" w14:textId="71DF17DC"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c>
          <w:tcPr>
            <w:tcW w:w="1519" w:type="dxa"/>
            <w:vAlign w:val="center"/>
          </w:tcPr>
          <w:p w14:paraId="470B556E" w14:textId="5D7879A2"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r>
      <w:tr w:rsidR="00BD1E1B" w:rsidRPr="00E4342E" w14:paraId="165630E1"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5FFE494F" w14:textId="77777777" w:rsidR="00BD1E1B" w:rsidRPr="00FF5699" w:rsidRDefault="00BD1E1B" w:rsidP="00FD3F1E">
            <w:pPr>
              <w:pStyle w:val="tabletext"/>
              <w:rPr>
                <w:rFonts w:cstheme="minorHAnsi"/>
                <w:b/>
                <w:bCs/>
                <w:sz w:val="21"/>
                <w:szCs w:val="21"/>
                <w:rtl/>
              </w:rPr>
            </w:pPr>
            <w:r w:rsidRPr="00FF5699">
              <w:rPr>
                <w:rFonts w:cstheme="minorHAnsi"/>
                <w:b/>
                <w:bCs/>
                <w:sz w:val="21"/>
                <w:szCs w:val="21"/>
              </w:rPr>
              <w:t>Benefit to National Economy (before externalities)</w:t>
            </w:r>
          </w:p>
        </w:tc>
        <w:tc>
          <w:tcPr>
            <w:tcW w:w="1317" w:type="dxa"/>
            <w:vAlign w:val="center"/>
          </w:tcPr>
          <w:p w14:paraId="394F33D1" w14:textId="77777777"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r w:rsidRPr="00FF5699">
              <w:rPr>
                <w:sz w:val="21"/>
                <w:szCs w:val="21"/>
              </w:rPr>
              <w:t>110</w:t>
            </w:r>
          </w:p>
        </w:tc>
        <w:tc>
          <w:tcPr>
            <w:tcW w:w="1519" w:type="dxa"/>
            <w:vAlign w:val="center"/>
          </w:tcPr>
          <w:p w14:paraId="2E83A3C8" w14:textId="2E4E0ACB"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8" w:type="dxa"/>
            <w:vAlign w:val="center"/>
          </w:tcPr>
          <w:p w14:paraId="0B2EF4BE" w14:textId="6505E5CE"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9" w:type="dxa"/>
            <w:vAlign w:val="center"/>
          </w:tcPr>
          <w:p w14:paraId="236FE2A2" w14:textId="130940C1"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r>
      <w:tr w:rsidR="00BD1E1B" w:rsidRPr="00E4342E" w14:paraId="78453F5E"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039DDAEB" w14:textId="77777777" w:rsidR="00BD1E1B" w:rsidRPr="00FF5699" w:rsidRDefault="00BD1E1B" w:rsidP="00FD3F1E">
            <w:pPr>
              <w:pStyle w:val="tabletext"/>
              <w:rPr>
                <w:rFonts w:cstheme="minorHAnsi"/>
                <w:b/>
                <w:bCs/>
                <w:sz w:val="21"/>
                <w:szCs w:val="21"/>
                <w:rtl/>
              </w:rPr>
            </w:pPr>
            <w:r w:rsidRPr="00FF5699">
              <w:rPr>
                <w:rFonts w:cstheme="minorHAnsi"/>
                <w:b/>
                <w:bCs/>
                <w:sz w:val="21"/>
                <w:szCs w:val="21"/>
              </w:rPr>
              <w:t>Environmental-Social Contribution (FAO)</w:t>
            </w:r>
          </w:p>
        </w:tc>
        <w:tc>
          <w:tcPr>
            <w:tcW w:w="1317" w:type="dxa"/>
            <w:vAlign w:val="center"/>
          </w:tcPr>
          <w:p w14:paraId="59E41F2B" w14:textId="77777777"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r w:rsidRPr="00FF5699">
              <w:rPr>
                <w:sz w:val="21"/>
                <w:szCs w:val="21"/>
              </w:rPr>
              <w:t>140</w:t>
            </w:r>
          </w:p>
        </w:tc>
        <w:tc>
          <w:tcPr>
            <w:tcW w:w="1519" w:type="dxa"/>
            <w:vAlign w:val="center"/>
          </w:tcPr>
          <w:p w14:paraId="1F8C9E7F" w14:textId="039B6D9C"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c>
          <w:tcPr>
            <w:tcW w:w="1518" w:type="dxa"/>
            <w:vAlign w:val="center"/>
          </w:tcPr>
          <w:p w14:paraId="70A93ADC" w14:textId="552B9261"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c>
          <w:tcPr>
            <w:tcW w:w="1519" w:type="dxa"/>
            <w:vAlign w:val="center"/>
          </w:tcPr>
          <w:p w14:paraId="27440A20" w14:textId="0300EA5D" w:rsidR="00BD1E1B" w:rsidRPr="00FF5699" w:rsidRDefault="00BD1E1B" w:rsidP="00FD3F1E">
            <w:pPr>
              <w:pStyle w:val="Tablenumbers"/>
              <w:cnfStyle w:val="000000010000" w:firstRow="0" w:lastRow="0" w:firstColumn="0" w:lastColumn="0" w:oddVBand="0" w:evenVBand="0" w:oddHBand="0" w:evenHBand="1" w:firstRowFirstColumn="0" w:firstRowLastColumn="0" w:lastRowFirstColumn="0" w:lastRowLastColumn="0"/>
              <w:rPr>
                <w:sz w:val="21"/>
                <w:szCs w:val="21"/>
              </w:rPr>
            </w:pPr>
          </w:p>
        </w:tc>
      </w:tr>
      <w:tr w:rsidR="00BD1E1B" w:rsidRPr="00E4342E" w14:paraId="3CB9A230"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139CFFDF" w14:textId="77777777" w:rsidR="00BD1E1B" w:rsidRPr="00FF5699" w:rsidRDefault="00BD1E1B" w:rsidP="00FD3F1E">
            <w:pPr>
              <w:rPr>
                <w:rFonts w:cstheme="minorHAnsi"/>
                <w:sz w:val="21"/>
                <w:szCs w:val="21"/>
                <w:rtl/>
              </w:rPr>
            </w:pPr>
            <w:r w:rsidRPr="00FF5699">
              <w:rPr>
                <w:rFonts w:cstheme="minorHAnsi"/>
                <w:sz w:val="21"/>
                <w:szCs w:val="21"/>
              </w:rPr>
              <w:t>Total Value of Food Rescue to National Economy (Million NIS)</w:t>
            </w:r>
          </w:p>
        </w:tc>
        <w:tc>
          <w:tcPr>
            <w:tcW w:w="1317" w:type="dxa"/>
            <w:vAlign w:val="center"/>
          </w:tcPr>
          <w:p w14:paraId="0910D81F" w14:textId="77777777"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r w:rsidRPr="00FF5699">
              <w:rPr>
                <w:sz w:val="21"/>
                <w:szCs w:val="21"/>
              </w:rPr>
              <w:t>250</w:t>
            </w:r>
          </w:p>
        </w:tc>
        <w:tc>
          <w:tcPr>
            <w:tcW w:w="1519" w:type="dxa"/>
            <w:vAlign w:val="center"/>
          </w:tcPr>
          <w:p w14:paraId="663FC306" w14:textId="02712AEC"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8" w:type="dxa"/>
            <w:vAlign w:val="center"/>
          </w:tcPr>
          <w:p w14:paraId="3729AC00" w14:textId="37B0531C"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c>
          <w:tcPr>
            <w:tcW w:w="1519" w:type="dxa"/>
            <w:vAlign w:val="center"/>
          </w:tcPr>
          <w:p w14:paraId="54B84847" w14:textId="7CC8A008" w:rsidR="00BD1E1B" w:rsidRPr="00FF5699" w:rsidRDefault="00BD1E1B" w:rsidP="00FD3F1E">
            <w:pPr>
              <w:pStyle w:val="Tablenumbers"/>
              <w:cnfStyle w:val="000000100000" w:firstRow="0" w:lastRow="0" w:firstColumn="0" w:lastColumn="0" w:oddVBand="0" w:evenVBand="0" w:oddHBand="1" w:evenHBand="0" w:firstRowFirstColumn="0" w:firstRowLastColumn="0" w:lastRowFirstColumn="0" w:lastRowLastColumn="0"/>
              <w:rPr>
                <w:sz w:val="21"/>
                <w:szCs w:val="21"/>
              </w:rPr>
            </w:pPr>
          </w:p>
        </w:tc>
      </w:tr>
    </w:tbl>
    <w:p w14:paraId="192902AA" w14:textId="77777777" w:rsidR="00293231" w:rsidRPr="008F3D9C" w:rsidRDefault="00293231" w:rsidP="00293231">
      <w:pPr>
        <w:pStyle w:val="Graphnote"/>
        <w:rPr>
          <w:rtl/>
        </w:rPr>
      </w:pPr>
      <w:r w:rsidRPr="008F3D9C">
        <w:t>Source: BDO estimates</w:t>
      </w:r>
    </w:p>
    <w:p w14:paraId="5557F625" w14:textId="77777777" w:rsidR="00293231" w:rsidRDefault="00293231" w:rsidP="00293231">
      <w:pPr>
        <w:pStyle w:val="BodyText"/>
        <w:rPr>
          <w:b/>
          <w:bCs/>
        </w:rPr>
      </w:pPr>
      <w:r w:rsidRPr="00E50FD8">
        <w:lastRenderedPageBreak/>
        <w:t xml:space="preserve">The </w:t>
      </w:r>
      <w:r>
        <w:t xml:space="preserve">problem of food insecurity is not expressed </w:t>
      </w:r>
      <w:proofErr w:type="gramStart"/>
      <w:r>
        <w:t>by  the</w:t>
      </w:r>
      <w:proofErr w:type="gramEnd"/>
      <w:r>
        <w:t xml:space="preserve"> amount of money expended on food purchases; it also affects the types of food consumed. </w:t>
      </w:r>
      <w:r w:rsidRPr="000D0066">
        <w:t>A</w:t>
      </w:r>
      <w:r>
        <w:t>n a</w:t>
      </w:r>
      <w:r w:rsidRPr="000D0066">
        <w:t xml:space="preserve">nalysis of average consumption basket expenditures by the portion of the population experiencing food insecurity reveals that </w:t>
      </w:r>
      <w:r w:rsidRPr="000D0066">
        <w:rPr>
          <w:b/>
          <w:bCs/>
        </w:rPr>
        <w:t xml:space="preserve">food insecurity is accompanied by low expenditures </w:t>
      </w:r>
      <w:r>
        <w:rPr>
          <w:b/>
          <w:bCs/>
        </w:rPr>
        <w:t>particularly</w:t>
      </w:r>
      <w:r w:rsidRPr="000D0066">
        <w:rPr>
          <w:b/>
          <w:bCs/>
        </w:rPr>
        <w:t xml:space="preserve"> for fruit, vegetables, meat and fish, which have high nutritional values.</w:t>
      </w:r>
      <w:r>
        <w:rPr>
          <w:b/>
          <w:bCs/>
        </w:rPr>
        <w:t xml:space="preserve"> </w:t>
      </w:r>
    </w:p>
    <w:p w14:paraId="2A8AC0BC" w14:textId="77777777" w:rsidR="00293231" w:rsidRDefault="00293231" w:rsidP="00293231">
      <w:pPr>
        <w:spacing w:after="0" w:line="300" w:lineRule="auto"/>
        <w:rPr>
          <w:rFonts w:cstheme="majorBidi"/>
          <w:b/>
          <w:bCs/>
          <w:sz w:val="24"/>
          <w:szCs w:val="24"/>
        </w:rPr>
      </w:pPr>
    </w:p>
    <w:p w14:paraId="2810B73A" w14:textId="77777777" w:rsidR="00293231" w:rsidRPr="00E4342E" w:rsidRDefault="00293231" w:rsidP="00293231">
      <w:pPr>
        <w:spacing w:after="0" w:line="300" w:lineRule="auto"/>
        <w:jc w:val="center"/>
        <w:rPr>
          <w:rStyle w:val="GraphtitleChar"/>
        </w:rPr>
      </w:pPr>
      <w:r>
        <w:rPr>
          <w:rFonts w:cstheme="majorBidi"/>
          <w:b/>
          <w:bCs/>
          <w:sz w:val="24"/>
          <w:szCs w:val="24"/>
        </w:rPr>
        <w:t xml:space="preserve">Impact of Food </w:t>
      </w:r>
      <w:r w:rsidRPr="00E4342E">
        <w:rPr>
          <w:rStyle w:val="GraphtitleChar"/>
        </w:rPr>
        <w:t xml:space="preserve">Insecurity on the Food Expenditure Pattern of </w:t>
      </w:r>
      <w:r w:rsidRPr="00E4342E">
        <w:rPr>
          <w:rStyle w:val="GraphtitleChar"/>
        </w:rPr>
        <w:br/>
        <w:t>Households Experiencing Severe Food Insecurity</w:t>
      </w:r>
    </w:p>
    <w:p w14:paraId="2451F820" w14:textId="77777777" w:rsidR="00293231" w:rsidRDefault="00293231" w:rsidP="00293231">
      <w:pPr>
        <w:spacing w:after="0" w:line="300" w:lineRule="auto"/>
        <w:jc w:val="center"/>
        <w:rPr>
          <w:rFonts w:cstheme="majorBidi"/>
          <w:sz w:val="24"/>
          <w:szCs w:val="24"/>
        </w:rPr>
      </w:pPr>
      <w:r w:rsidRPr="007B64AD">
        <w:rPr>
          <w:rFonts w:cstheme="majorBidi"/>
          <w:sz w:val="24"/>
          <w:szCs w:val="24"/>
        </w:rPr>
        <w:t>(100% = Diet of the population with normative food expenditures)</w:t>
      </w:r>
    </w:p>
    <w:p w14:paraId="77A8A51C" w14:textId="77777777" w:rsidR="00293231" w:rsidRPr="007B64AD" w:rsidRDefault="00293231" w:rsidP="00293231">
      <w:pPr>
        <w:spacing w:after="0" w:line="300" w:lineRule="auto"/>
        <w:jc w:val="center"/>
        <w:rPr>
          <w:rFonts w:cstheme="majorBidi"/>
          <w:sz w:val="24"/>
          <w:szCs w:val="24"/>
          <w:rtl/>
        </w:rPr>
      </w:pPr>
      <w:r>
        <w:rPr>
          <w:noProof/>
          <w:lang w:bidi="ar-SA"/>
        </w:rPr>
        <w:drawing>
          <wp:inline distT="0" distB="0" distL="0" distR="0" wp14:anchorId="1A381D1A" wp14:editId="75C11DDF">
            <wp:extent cx="4594412" cy="2768814"/>
            <wp:effectExtent l="0" t="0" r="0" b="0"/>
            <wp:docPr id="29"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BD319F0" w14:textId="77777777" w:rsidR="00293231" w:rsidRDefault="00293231" w:rsidP="00293231">
      <w:pPr>
        <w:pStyle w:val="Graphnote"/>
      </w:pPr>
      <w:r w:rsidRPr="008F3D9C">
        <w:t xml:space="preserve">Source: BDO </w:t>
      </w:r>
      <w:r>
        <w:t xml:space="preserve">analysis and Survey of Household Expenses, CBS </w:t>
      </w:r>
    </w:p>
    <w:p w14:paraId="0C96BBEC" w14:textId="77777777" w:rsidR="00293231" w:rsidRDefault="00293231" w:rsidP="00293231">
      <w:pPr>
        <w:pStyle w:val="Graphnote"/>
      </w:pPr>
      <w:r w:rsidRPr="00B06200">
        <w:rPr>
          <w:b/>
          <w:bCs/>
          <w:color w:val="0070C0"/>
        </w:rPr>
        <w:t>Blue:</w:t>
      </w:r>
      <w:r>
        <w:t xml:space="preserve"> Actual expenditure </w:t>
      </w:r>
      <w:r w:rsidRPr="00B06200">
        <w:rPr>
          <w:b/>
          <w:bCs/>
          <w:color w:val="C00000"/>
        </w:rPr>
        <w:t>Red:</w:t>
      </w:r>
      <w:r w:rsidRPr="00B06200">
        <w:rPr>
          <w:color w:val="C00000"/>
        </w:rPr>
        <w:t xml:space="preserve"> </w:t>
      </w:r>
      <w:r>
        <w:t xml:space="preserve">Gap from normative level </w:t>
      </w:r>
    </w:p>
    <w:p w14:paraId="0DB3F4E6" w14:textId="77777777" w:rsidR="00293231" w:rsidRDefault="00293231" w:rsidP="00293231">
      <w:pPr>
        <w:pStyle w:val="Graphnote"/>
      </w:pPr>
      <w:r w:rsidRPr="00E4342E">
        <w:rPr>
          <w:b/>
          <w:bCs/>
        </w:rPr>
        <w:t>Captions for graph</w:t>
      </w:r>
      <w:r>
        <w:t>, from left to right: Bread and pita, Potatoes and sweet potatoes, Milk and dairy products, Fresh vegetables, Fresh fruit, Meat, poultry and fish</w:t>
      </w:r>
    </w:p>
    <w:p w14:paraId="4BC6DCD1" w14:textId="77777777" w:rsidR="00293231" w:rsidRDefault="00293231" w:rsidP="00293231">
      <w:pPr>
        <w:pStyle w:val="BodyText"/>
      </w:pPr>
      <w:r>
        <w:t xml:space="preserve">The gap in expenditure for highly nutritious food such as meat, poultry, fish, and fresh fruit and vegetables ranges from 55% to 70% of the normative expenditure, while the gap for other products, like potatoes, bread and pita, is lower, from 15% to 25%. </w:t>
      </w:r>
    </w:p>
    <w:p w14:paraId="27121FC9" w14:textId="77777777" w:rsidR="00293231" w:rsidRPr="006A65C7" w:rsidRDefault="00293231" w:rsidP="00293231">
      <w:pPr>
        <w:pStyle w:val="BodyText"/>
      </w:pPr>
      <w:r>
        <w:rPr>
          <w:rFonts w:hint="cs"/>
        </w:rPr>
        <w:t>E</w:t>
      </w:r>
      <w:r>
        <w:t>conomic principles</w:t>
      </w:r>
      <w:r w:rsidRPr="006A65C7">
        <w:t xml:space="preserve"> dictate that </w:t>
      </w:r>
      <w:r>
        <w:t xml:space="preserve">income </w:t>
      </w:r>
      <w:r w:rsidRPr="006A65C7">
        <w:t xml:space="preserve">in goods is an inferior alternative to monetary </w:t>
      </w:r>
      <w:proofErr w:type="gramStart"/>
      <w:r>
        <w:t xml:space="preserve">income </w:t>
      </w:r>
      <w:r w:rsidRPr="006A65C7">
        <w:t>,</w:t>
      </w:r>
      <w:proofErr w:type="gramEnd"/>
      <w:r w:rsidRPr="006A65C7">
        <w:t xml:space="preserve"> </w:t>
      </w:r>
      <w:r>
        <w:t xml:space="preserve">because </w:t>
      </w:r>
      <w:r w:rsidRPr="006A65C7">
        <w:t xml:space="preserve">it deprives those receiving support the freedom to allocate resources according to their full range of needs. Therefore, in principle, the general tendency is to </w:t>
      </w:r>
      <w:r>
        <w:t>provide</w:t>
      </w:r>
      <w:r w:rsidRPr="006A65C7">
        <w:t xml:space="preserve"> monetary support over </w:t>
      </w:r>
      <w:r>
        <w:t xml:space="preserve">the </w:t>
      </w:r>
      <w:r w:rsidRPr="006A65C7">
        <w:t xml:space="preserve">direct provision of products. </w:t>
      </w:r>
      <w:r>
        <w:t>This economic principle is also summarized as, “</w:t>
      </w:r>
      <w:r w:rsidRPr="00F835B9">
        <w:t>Subsidize people, not products</w:t>
      </w:r>
      <w:r>
        <w:t xml:space="preserve">.” </w:t>
      </w:r>
      <w:r w:rsidRPr="006A65C7">
        <w:t xml:space="preserve">However, </w:t>
      </w:r>
      <w:r w:rsidRPr="006A65C7">
        <w:rPr>
          <w:b/>
          <w:bCs/>
        </w:rPr>
        <w:t xml:space="preserve">food rescue </w:t>
      </w:r>
      <w:r>
        <w:rPr>
          <w:b/>
          <w:bCs/>
        </w:rPr>
        <w:t>offers a</w:t>
      </w:r>
      <w:r w:rsidRPr="006A65C7">
        <w:rPr>
          <w:b/>
          <w:bCs/>
        </w:rPr>
        <w:t xml:space="preserve"> unique </w:t>
      </w:r>
      <w:r>
        <w:rPr>
          <w:b/>
          <w:bCs/>
        </w:rPr>
        <w:t xml:space="preserve">set of </w:t>
      </w:r>
      <w:r w:rsidRPr="006A65C7">
        <w:rPr>
          <w:b/>
          <w:bCs/>
        </w:rPr>
        <w:t xml:space="preserve">circumstances in which there is a clear economic preference for supporting </w:t>
      </w:r>
      <w:r w:rsidRPr="006A65C7">
        <w:rPr>
          <w:b/>
          <w:bCs/>
        </w:rPr>
        <w:lastRenderedPageBreak/>
        <w:t>the needy with products over money. This advantage stems from the specific characteristics involved in transforming waste into food</w:t>
      </w:r>
      <w:r>
        <w:rPr>
          <w:b/>
          <w:bCs/>
        </w:rPr>
        <w:t xml:space="preserve"> (i.e.,</w:t>
      </w:r>
      <w:r w:rsidRPr="006A65C7">
        <w:rPr>
          <w:b/>
          <w:bCs/>
        </w:rPr>
        <w:t xml:space="preserve"> that every shekel invested in food rescue generates a direct economic value 3.6 higher than the cost</w:t>
      </w:r>
      <w:r>
        <w:rPr>
          <w:b/>
          <w:bCs/>
        </w:rPr>
        <w:t>)</w:t>
      </w:r>
      <w:r w:rsidRPr="006A65C7">
        <w:t>. Moreover, taking into consideration the FAO</w:t>
      </w:r>
      <w:r>
        <w:t>’s</w:t>
      </w:r>
      <w:r w:rsidRPr="006A65C7">
        <w:t xml:space="preserve"> estimates of external environmental and social impact, the benefit to the economy increases </w:t>
      </w:r>
      <w:r>
        <w:t xml:space="preserve">to </w:t>
      </w:r>
      <w:r w:rsidRPr="006A65C7">
        <w:t xml:space="preserve">7.2 times that of the cost. </w:t>
      </w:r>
    </w:p>
    <w:p w14:paraId="7D5A1E09" w14:textId="77777777" w:rsidR="00293231" w:rsidRPr="006A65C7" w:rsidRDefault="00293231" w:rsidP="00293231">
      <w:pPr>
        <w:pStyle w:val="BodyText"/>
      </w:pPr>
      <w:r w:rsidRPr="006A65C7">
        <w:t xml:space="preserve">In this context, it should be noted that </w:t>
      </w:r>
      <w:r>
        <w:t>those suffering from</w:t>
      </w:r>
      <w:r w:rsidRPr="006A65C7">
        <w:t xml:space="preserve"> food </w:t>
      </w:r>
      <w:r>
        <w:t>insecurity</w:t>
      </w:r>
      <w:r w:rsidRPr="006A65C7">
        <w:t xml:space="preserve"> also suffer from financial insecurity, evident in consumption gaps of other basic necessities (housing, health, education, etc.). It is reasonable to assume that food rescue would enable households to then choose to allocate some of the effective increase in </w:t>
      </w:r>
      <w:r>
        <w:t xml:space="preserve">their </w:t>
      </w:r>
      <w:r w:rsidRPr="006A65C7">
        <w:t>disposable income to consum</w:t>
      </w:r>
      <w:r>
        <w:t>ing</w:t>
      </w:r>
      <w:r w:rsidRPr="006A65C7">
        <w:t xml:space="preserve"> other goods. Socially speaking, these households view consumption of such products as prerequisites for ensuring their financial security. Therefore, beyond the direct value of the rescued food distributed to them, they also benefit from having </w:t>
      </w:r>
      <w:r>
        <w:t xml:space="preserve">more </w:t>
      </w:r>
      <w:r w:rsidRPr="006A65C7">
        <w:t xml:space="preserve">resources available </w:t>
      </w:r>
      <w:r>
        <w:t xml:space="preserve">to purchase </w:t>
      </w:r>
      <w:r w:rsidRPr="006A65C7">
        <w:t xml:space="preserve">other </w:t>
      </w:r>
      <w:r>
        <w:t xml:space="preserve">goods and </w:t>
      </w:r>
      <w:r w:rsidRPr="006A65C7">
        <w:t>services.</w:t>
      </w:r>
    </w:p>
    <w:p w14:paraId="053F2C12" w14:textId="4B745512" w:rsidR="00293231" w:rsidRPr="006A65C7" w:rsidRDefault="00293231" w:rsidP="00FF5699">
      <w:pPr>
        <w:pStyle w:val="BodyText"/>
      </w:pPr>
      <w:r w:rsidRPr="006A65C7">
        <w:t xml:space="preserve">In September 2015, the US government established a national food waste reduction goal of 50% within 15 years. Analysis of the data </w:t>
      </w:r>
      <w:r>
        <w:t xml:space="preserve">in this report </w:t>
      </w:r>
      <w:r w:rsidRPr="006A65C7">
        <w:t xml:space="preserve">shows that rescuing even less than half of the American goal, and contributing it to </w:t>
      </w:r>
      <w:r>
        <w:t xml:space="preserve">the approximately </w:t>
      </w:r>
      <w:r w:rsidRPr="006A65C7">
        <w:t>4</w:t>
      </w:r>
      <w:r w:rsidR="00FF5699" w:rsidRPr="00FF5699">
        <w:rPr>
          <w:highlight w:val="cyan"/>
        </w:rPr>
        <w:t>5</w:t>
      </w:r>
      <w:r w:rsidRPr="006A65C7">
        <w:t>0,000 households suffering from food insecurity</w:t>
      </w:r>
      <w:r>
        <w:t xml:space="preserve"> in Israel</w:t>
      </w:r>
      <w:r w:rsidRPr="006A65C7">
        <w:t>, would provide enough food equivalent to fully cover</w:t>
      </w:r>
      <w:r>
        <w:t xml:space="preserve"> the gap in</w:t>
      </w:r>
      <w:r w:rsidRPr="006A65C7">
        <w:t xml:space="preserve"> their food intake </w:t>
      </w:r>
      <w:r>
        <w:t xml:space="preserve">compared to </w:t>
      </w:r>
      <w:r w:rsidRPr="006A65C7">
        <w:t xml:space="preserve">the normative level. </w:t>
      </w:r>
      <w:r w:rsidRPr="00F835B9">
        <w:rPr>
          <w:b/>
          <w:bCs/>
        </w:rPr>
        <w:t xml:space="preserve">For the national economy, such efforts would generate a value of NIS </w:t>
      </w:r>
      <w:r w:rsidR="00FF5699" w:rsidRPr="00FF5699">
        <w:rPr>
          <w:b/>
          <w:bCs/>
          <w:highlight w:val="cyan"/>
        </w:rPr>
        <w:t>1.8</w:t>
      </w:r>
      <w:r w:rsidR="00FF5699">
        <w:rPr>
          <w:b/>
          <w:bCs/>
        </w:rPr>
        <w:t xml:space="preserve"> </w:t>
      </w:r>
      <w:r w:rsidRPr="00F835B9">
        <w:rPr>
          <w:b/>
          <w:bCs/>
        </w:rPr>
        <w:t>billion annually, bridging the gap between the value of rescued food and food rescue costs</w:t>
      </w:r>
      <w:r w:rsidRPr="006A65C7">
        <w:t xml:space="preserve">. This is even </w:t>
      </w:r>
      <w:r>
        <w:t>before</w:t>
      </w:r>
      <w:r w:rsidRPr="006A65C7">
        <w:t xml:space="preserve"> considering the added benefits to the national economy </w:t>
      </w:r>
      <w:r>
        <w:t>from</w:t>
      </w:r>
      <w:r w:rsidRPr="006A65C7">
        <w:t xml:space="preserve"> </w:t>
      </w:r>
      <w:r>
        <w:t xml:space="preserve">reducing </w:t>
      </w:r>
      <w:r w:rsidRPr="006A65C7">
        <w:t xml:space="preserve">poverty and inequality, and </w:t>
      </w:r>
      <w:r w:rsidR="00FF5699">
        <w:t xml:space="preserve">before factoring </w:t>
      </w:r>
      <w:proofErr w:type="gramStart"/>
      <w:r w:rsidR="00FF5699">
        <w:t>In</w:t>
      </w:r>
      <w:proofErr w:type="gramEnd"/>
      <w:r w:rsidR="00FF5699">
        <w:t xml:space="preserve"> </w:t>
      </w:r>
      <w:r w:rsidRPr="006A65C7">
        <w:t>the external environmental benefits.</w:t>
      </w:r>
    </w:p>
    <w:p w14:paraId="638A581F" w14:textId="77777777" w:rsidR="00293231" w:rsidRPr="00F835B9" w:rsidRDefault="00293231" w:rsidP="00293231">
      <w:pPr>
        <w:pStyle w:val="BodyText"/>
      </w:pPr>
      <w:r w:rsidRPr="00F835B9">
        <w:t xml:space="preserve">It should be emphasized that the incremental realization of a 50% national food waste reduction goal, </w:t>
      </w:r>
      <w:r>
        <w:t>over</w:t>
      </w:r>
      <w:r w:rsidRPr="00F835B9">
        <w:t xml:space="preserve"> a 15-year period, is not expected to reduce the volume of agricultural production in Israel for local consumption compared to current conditions</w:t>
      </w:r>
      <w:r>
        <w:t>.</w:t>
      </w:r>
      <w:r w:rsidRPr="00F835B9">
        <w:t xml:space="preserve"> </w:t>
      </w:r>
      <w:r>
        <w:t>R</w:t>
      </w:r>
      <w:r w:rsidRPr="00F835B9">
        <w:t xml:space="preserve">ather </w:t>
      </w:r>
      <w:r>
        <w:t xml:space="preserve">it </w:t>
      </w:r>
      <w:r w:rsidRPr="00F835B9">
        <w:t xml:space="preserve">is expected to only </w:t>
      </w:r>
      <w:r>
        <w:t xml:space="preserve">slow </w:t>
      </w:r>
      <w:r w:rsidRPr="00F835B9">
        <w:t xml:space="preserve">the growth rate of local food production. </w:t>
      </w:r>
    </w:p>
    <w:p w14:paraId="4D639632" w14:textId="77777777" w:rsidR="00293231" w:rsidRDefault="00293231" w:rsidP="00293231">
      <w:pPr>
        <w:rPr>
          <w:rFonts w:ascii="Calibri" w:eastAsia="Calibri" w:hAnsi="Calibri" w:cs="Arial"/>
          <w:color w:val="FF0000"/>
          <w:sz w:val="28"/>
          <w:szCs w:val="28"/>
        </w:rPr>
      </w:pPr>
      <w:r>
        <w:br w:type="page"/>
      </w:r>
    </w:p>
    <w:p w14:paraId="0085DC73" w14:textId="77777777" w:rsidR="00293231" w:rsidRDefault="00293231" w:rsidP="00293231">
      <w:pPr>
        <w:pStyle w:val="Heading1"/>
      </w:pPr>
      <w:bookmarkStart w:id="18" w:name="_Toc505547258"/>
      <w:bookmarkStart w:id="19" w:name="_Toc951798"/>
      <w:r w:rsidRPr="008F3D9C">
        <w:lastRenderedPageBreak/>
        <w:t xml:space="preserve">Food Waste – How </w:t>
      </w:r>
      <w:r>
        <w:t>M</w:t>
      </w:r>
      <w:r w:rsidRPr="008F3D9C">
        <w:t xml:space="preserve">uch Food </w:t>
      </w:r>
      <w:r>
        <w:t>C</w:t>
      </w:r>
      <w:r w:rsidRPr="008F3D9C">
        <w:t>an be Rescued?</w:t>
      </w:r>
      <w:bookmarkEnd w:id="18"/>
      <w:bookmarkEnd w:id="19"/>
    </w:p>
    <w:p w14:paraId="2A66EAEA" w14:textId="77777777" w:rsidR="00293231" w:rsidRPr="00407287" w:rsidRDefault="00293231" w:rsidP="00293231">
      <w:pPr>
        <w:pStyle w:val="BodyText"/>
      </w:pPr>
      <w:r w:rsidRPr="000218D1">
        <w:rPr>
          <w:u w:val="single"/>
        </w:rPr>
        <w:t xml:space="preserve">Bold </w:t>
      </w:r>
      <w:r>
        <w:rPr>
          <w:u w:val="single"/>
        </w:rPr>
        <w:t xml:space="preserve">chapter </w:t>
      </w:r>
      <w:r w:rsidRPr="000218D1">
        <w:rPr>
          <w:u w:val="single"/>
        </w:rPr>
        <w:t>head</w:t>
      </w:r>
      <w:r>
        <w:t xml:space="preserve">: </w:t>
      </w:r>
      <w:r w:rsidRPr="000218D1">
        <w:rPr>
          <w:b/>
          <w:bCs/>
        </w:rPr>
        <w:t>Roughly 50% of lost food is rescuable and can be used to feed disadvantaged population</w:t>
      </w:r>
      <w:r>
        <w:rPr>
          <w:b/>
          <w:bCs/>
        </w:rPr>
        <w:t>s</w:t>
      </w:r>
      <w:r w:rsidRPr="000218D1">
        <w:rPr>
          <w:b/>
          <w:bCs/>
        </w:rPr>
        <w:t xml:space="preserve"> experiencing food insecurity</w:t>
      </w:r>
      <w:r>
        <w:t>.</w:t>
      </w:r>
    </w:p>
    <w:p w14:paraId="494EE342" w14:textId="28FF6C3F" w:rsidR="00293231" w:rsidRPr="008F3D9C" w:rsidRDefault="00293231" w:rsidP="00C33110">
      <w:pPr>
        <w:pStyle w:val="BodyText"/>
      </w:pPr>
      <w:r w:rsidRPr="008F3D9C">
        <w:t>Approximately 33% of food produced in Israel is lost or wasted during the production, distribution and consumption stages, totaling approximately 2.</w:t>
      </w:r>
      <w:r w:rsidR="00C33110" w:rsidRPr="00C33110">
        <w:rPr>
          <w:highlight w:val="cyan"/>
        </w:rPr>
        <w:t>5</w:t>
      </w:r>
      <w:r w:rsidRPr="008F3D9C">
        <w:t xml:space="preserve"> million tons annually. This translates to food waste valued at NIS 19.</w:t>
      </w:r>
      <w:r w:rsidR="00C33110" w:rsidRPr="00C33110">
        <w:rPr>
          <w:highlight w:val="cyan"/>
        </w:rPr>
        <w:t>7</w:t>
      </w:r>
      <w:r w:rsidRPr="008F3D9C">
        <w:t xml:space="preserve"> billion, equivalent to 1.</w:t>
      </w:r>
      <w:r w:rsidR="00C33110" w:rsidRPr="00C33110">
        <w:rPr>
          <w:highlight w:val="cyan"/>
        </w:rPr>
        <w:t>5</w:t>
      </w:r>
      <w:r w:rsidRPr="008F3D9C">
        <w:t xml:space="preserve">% of the GNP. About half of this waste is considered </w:t>
      </w:r>
      <w:r>
        <w:t>unfit for</w:t>
      </w:r>
      <w:r w:rsidRPr="008F3D9C">
        <w:t xml:space="preserve"> human consumption and is therefore not considered potentially rescuable. </w:t>
      </w:r>
    </w:p>
    <w:p w14:paraId="72712E8E" w14:textId="77777777" w:rsidR="00293231" w:rsidRPr="008F3D9C" w:rsidRDefault="00293231" w:rsidP="00293231">
      <w:pPr>
        <w:pStyle w:val="BodyText"/>
        <w:rPr>
          <w:rtl/>
        </w:rPr>
      </w:pPr>
      <w:r w:rsidRPr="008F3D9C">
        <w:t xml:space="preserve">In terms of food rescue, the most important component is edible foods (fit for consumption with nutritional and health benefits) that do not reach the consumer. There are various reasons for loss in each of the stages of the food value chain. The common denominator is lack of economic viability </w:t>
      </w:r>
      <w:r>
        <w:t>for</w:t>
      </w:r>
      <w:r w:rsidRPr="008F3D9C">
        <w:t xml:space="preserve"> food producers (i.e. farmers, </w:t>
      </w:r>
      <w:r>
        <w:t>manufacturers</w:t>
      </w:r>
      <w:r w:rsidRPr="008F3D9C">
        <w:t>, distributors, etc.) to invest additional resources in the more advanced stages of production and distribution</w:t>
      </w:r>
      <w:r>
        <w:t xml:space="preserve">. </w:t>
      </w:r>
    </w:p>
    <w:p w14:paraId="550C8D18" w14:textId="77777777" w:rsidR="00293231" w:rsidRPr="008F3D9C" w:rsidRDefault="00293231" w:rsidP="00293231">
      <w:pPr>
        <w:pStyle w:val="BodyText"/>
        <w:rPr>
          <w:rtl/>
        </w:rPr>
      </w:pPr>
      <w:r w:rsidRPr="008F3D9C">
        <w:t xml:space="preserve">Reducing food waste, either by prevention or by rescuing surplus, </w:t>
      </w:r>
      <w:r>
        <w:t>is</w:t>
      </w:r>
      <w:r w:rsidRPr="008F3D9C">
        <w:t xml:space="preserve"> a primary public objective</w:t>
      </w:r>
      <w:r>
        <w:t xml:space="preserve"> and a top priority on the international agenda</w:t>
      </w:r>
      <w:r w:rsidRPr="008F3D9C">
        <w:t>.</w:t>
      </w:r>
      <w:r>
        <w:t xml:space="preserve"> The estimated amount of</w:t>
      </w:r>
      <w:r w:rsidRPr="008F3D9C">
        <w:t xml:space="preserve"> food fit for rescue is derived from the value chain model designed specifically for the food industry. </w:t>
      </w:r>
      <w:r>
        <w:t xml:space="preserve">Every type of </w:t>
      </w:r>
      <w:r w:rsidRPr="008F3D9C">
        <w:t>food</w:t>
      </w:r>
      <w:r>
        <w:t xml:space="preserve"> </w:t>
      </w:r>
      <w:r w:rsidRPr="008F3D9C">
        <w:t xml:space="preserve">and </w:t>
      </w:r>
      <w:r>
        <w:t xml:space="preserve">its </w:t>
      </w:r>
      <w:r w:rsidRPr="008F3D9C">
        <w:t>loss</w:t>
      </w:r>
      <w:r>
        <w:t xml:space="preserve">, at </w:t>
      </w:r>
      <w:r w:rsidRPr="008F3D9C">
        <w:t xml:space="preserve">each </w:t>
      </w:r>
      <w:r>
        <w:t xml:space="preserve">stage </w:t>
      </w:r>
      <w:r w:rsidRPr="008F3D9C">
        <w:t>of the value chain</w:t>
      </w:r>
      <w:r>
        <w:t>,</w:t>
      </w:r>
      <w:r w:rsidRPr="008F3D9C">
        <w:t xml:space="preserve"> </w:t>
      </w:r>
      <w:r>
        <w:t xml:space="preserve">was </w:t>
      </w:r>
      <w:r w:rsidRPr="008F3D9C">
        <w:t xml:space="preserve">analyzed </w:t>
      </w:r>
      <w:r>
        <w:t>and c</w:t>
      </w:r>
      <w:r w:rsidRPr="008F3D9C">
        <w:t>lassifi</w:t>
      </w:r>
      <w:r>
        <w:t xml:space="preserve">ed as </w:t>
      </w:r>
      <w:r w:rsidRPr="008F3D9C">
        <w:t xml:space="preserve">rescuable </w:t>
      </w:r>
      <w:r>
        <w:t xml:space="preserve">or </w:t>
      </w:r>
      <w:r w:rsidRPr="008F3D9C">
        <w:t>un</w:t>
      </w:r>
      <w:r>
        <w:t>-</w:t>
      </w:r>
      <w:r w:rsidRPr="008F3D9C">
        <w:t>rescuable (</w:t>
      </w:r>
      <w:r>
        <w:t>unfit</w:t>
      </w:r>
      <w:r w:rsidRPr="008F3D9C">
        <w:t xml:space="preserve"> </w:t>
      </w:r>
      <w:r>
        <w:t>for</w:t>
      </w:r>
      <w:r w:rsidRPr="008F3D9C">
        <w:t xml:space="preserve"> consumption).</w:t>
      </w:r>
    </w:p>
    <w:p w14:paraId="69E88826" w14:textId="77777777" w:rsidR="00C33110" w:rsidRDefault="00293231" w:rsidP="00293231">
      <w:pPr>
        <w:pStyle w:val="BodyText"/>
      </w:pPr>
      <w:r w:rsidRPr="008F3D9C">
        <w:t>It is important to note that classification of rescuable foods does not address economic viability of rescue, but rather the feasibility o</w:t>
      </w:r>
      <w:r>
        <w:t>f</w:t>
      </w:r>
      <w:r w:rsidRPr="008F3D9C">
        <w:t xml:space="preserve"> us</w:t>
      </w:r>
      <w:r>
        <w:t>ing</w:t>
      </w:r>
      <w:r w:rsidRPr="008F3D9C">
        <w:t xml:space="preserve"> </w:t>
      </w:r>
      <w:r>
        <w:t>wasted food</w:t>
      </w:r>
      <w:r w:rsidRPr="008F3D9C">
        <w:t xml:space="preserve"> to feed people. </w:t>
      </w:r>
    </w:p>
    <w:p w14:paraId="7EDD82D5" w14:textId="4F6D62B6" w:rsidR="00C33110" w:rsidRPr="00C33110" w:rsidRDefault="00C33110" w:rsidP="00C33110">
      <w:pPr>
        <w:pStyle w:val="BodyText"/>
      </w:pPr>
      <w:r w:rsidRPr="00C33110">
        <w:rPr>
          <w:i/>
          <w:iCs/>
        </w:rPr>
        <w:t xml:space="preserve">The value of rescuable food is approximately NIS 7 billion, with the value of the loss increasing at each stage along the length of the value chain, as more resources have been invested in raising, producing, packaging and transporting the food that is then wasted. As can be seen in the following table, most of the value of food waste is concentrated in the retail and distribution sector, because the food lost during these stages is ready for marketing and consumption, </w:t>
      </w:r>
      <w:r>
        <w:rPr>
          <w:i/>
          <w:iCs/>
        </w:rPr>
        <w:t>meaning that it is</w:t>
      </w:r>
      <w:r w:rsidRPr="00C33110">
        <w:rPr>
          <w:i/>
          <w:iCs/>
        </w:rPr>
        <w:t xml:space="preserve"> being discarded before reaching the final consumer</w:t>
      </w:r>
      <w:r w:rsidRPr="00C33110">
        <w:t>.</w:t>
      </w:r>
    </w:p>
    <w:p w14:paraId="3270B4DD" w14:textId="77777777" w:rsidR="00C33110" w:rsidRDefault="00C33110" w:rsidP="00293231">
      <w:pPr>
        <w:pStyle w:val="BodyText"/>
      </w:pPr>
    </w:p>
    <w:p w14:paraId="28D74679" w14:textId="77777777" w:rsidR="00C33110" w:rsidRDefault="00C33110" w:rsidP="00293231">
      <w:pPr>
        <w:pStyle w:val="BodyText"/>
      </w:pPr>
    </w:p>
    <w:p w14:paraId="5D4B089C" w14:textId="77777777" w:rsidR="00C33110" w:rsidRDefault="00C33110" w:rsidP="00C33110">
      <w:pPr>
        <w:pStyle w:val="Graphtitle"/>
      </w:pPr>
      <w:r w:rsidRPr="009B5BF0">
        <w:t>Value</w:t>
      </w:r>
      <w:r>
        <w:t xml:space="preserve"> </w:t>
      </w:r>
      <w:r w:rsidRPr="009B5BF0">
        <w:t xml:space="preserve">of </w:t>
      </w:r>
      <w:r>
        <w:t xml:space="preserve">Rescuable </w:t>
      </w:r>
      <w:r w:rsidRPr="009B5BF0">
        <w:t xml:space="preserve">Food </w:t>
      </w:r>
      <w:r>
        <w:t>in the Food Chain</w:t>
      </w:r>
    </w:p>
    <w:p w14:paraId="22961FAA" w14:textId="77777777" w:rsidR="00C33110" w:rsidRPr="00C35729" w:rsidRDefault="00C33110" w:rsidP="00673E4C">
      <w:pPr>
        <w:pStyle w:val="Graphtitle"/>
        <w:spacing w:after="120" w:line="240" w:lineRule="auto"/>
        <w:rPr>
          <w:b w:val="0"/>
          <w:bCs w:val="0"/>
        </w:rPr>
      </w:pPr>
      <w:r w:rsidRPr="00C35729">
        <w:rPr>
          <w:b w:val="0"/>
          <w:bCs w:val="0"/>
        </w:rPr>
        <w:t>(In NIS millions, rounded for ease of presentation)</w:t>
      </w:r>
    </w:p>
    <w:tbl>
      <w:tblPr>
        <w:tblpPr w:leftFromText="180" w:rightFromText="180" w:vertAnchor="text" w:horzAnchor="page" w:tblpX="3733" w:tblpY="190"/>
        <w:tblW w:w="4386" w:type="dxa"/>
        <w:tblLook w:val="04A0" w:firstRow="1" w:lastRow="0" w:firstColumn="1" w:lastColumn="0" w:noHBand="0" w:noVBand="1"/>
      </w:tblPr>
      <w:tblGrid>
        <w:gridCol w:w="2093"/>
        <w:gridCol w:w="2293"/>
      </w:tblGrid>
      <w:tr w:rsidR="00C33110" w:rsidRPr="00A47670" w14:paraId="4F4DDCFD" w14:textId="77777777" w:rsidTr="00FD3F1E">
        <w:trPr>
          <w:trHeight w:val="430"/>
        </w:trPr>
        <w:tc>
          <w:tcPr>
            <w:tcW w:w="2093" w:type="dxa"/>
            <w:tcBorders>
              <w:top w:val="single" w:sz="4" w:space="0" w:color="95B3D7"/>
              <w:left w:val="single" w:sz="4" w:space="0" w:color="95B3D7"/>
              <w:bottom w:val="nil"/>
              <w:right w:val="nil"/>
            </w:tcBorders>
            <w:shd w:val="clear" w:color="4F81BD" w:fill="4F81BD"/>
            <w:noWrap/>
            <w:vAlign w:val="bottom"/>
            <w:hideMark/>
          </w:tcPr>
          <w:p w14:paraId="26E3FF82" w14:textId="77777777" w:rsidR="00C33110" w:rsidRPr="00A47670" w:rsidRDefault="00C33110" w:rsidP="00FD3F1E">
            <w:pPr>
              <w:spacing w:after="0" w:line="240" w:lineRule="auto"/>
              <w:jc w:val="center"/>
              <w:rPr>
                <w:b/>
                <w:bCs/>
              </w:rPr>
            </w:pPr>
            <w:r w:rsidRPr="00A47670">
              <w:rPr>
                <w:b/>
                <w:bCs/>
              </w:rPr>
              <w:t> </w:t>
            </w:r>
          </w:p>
          <w:p w14:paraId="13CDDB72" w14:textId="77777777" w:rsidR="00C33110" w:rsidRPr="00A47670" w:rsidRDefault="00C33110" w:rsidP="00FD3F1E">
            <w:pPr>
              <w:spacing w:after="0" w:line="240" w:lineRule="auto"/>
              <w:jc w:val="center"/>
              <w:rPr>
                <w:b/>
                <w:bCs/>
              </w:rPr>
            </w:pPr>
          </w:p>
        </w:tc>
        <w:tc>
          <w:tcPr>
            <w:tcW w:w="2293" w:type="dxa"/>
            <w:tcBorders>
              <w:top w:val="single" w:sz="4" w:space="0" w:color="95B3D7"/>
              <w:left w:val="nil"/>
              <w:bottom w:val="nil"/>
              <w:right w:val="single" w:sz="4" w:space="0" w:color="95B3D7"/>
            </w:tcBorders>
            <w:shd w:val="clear" w:color="4F81BD" w:fill="4F81BD"/>
            <w:noWrap/>
            <w:vAlign w:val="center"/>
            <w:hideMark/>
          </w:tcPr>
          <w:p w14:paraId="5B686740" w14:textId="77777777" w:rsidR="00C33110" w:rsidRPr="00A47670" w:rsidRDefault="00C33110" w:rsidP="00FD3F1E">
            <w:pPr>
              <w:pStyle w:val="Tableheader"/>
            </w:pPr>
            <w:r w:rsidRPr="00A47670">
              <w:t xml:space="preserve">Value of </w:t>
            </w:r>
            <w:r w:rsidRPr="00A47670">
              <w:br/>
              <w:t>Rescuable Food</w:t>
            </w:r>
          </w:p>
        </w:tc>
      </w:tr>
      <w:tr w:rsidR="00C33110" w:rsidRPr="00A47670" w14:paraId="592D428E" w14:textId="77777777" w:rsidTr="00FD3F1E">
        <w:trPr>
          <w:trHeight w:val="311"/>
        </w:trPr>
        <w:tc>
          <w:tcPr>
            <w:tcW w:w="2093" w:type="dxa"/>
            <w:tcBorders>
              <w:top w:val="single" w:sz="4" w:space="0" w:color="95B3D7"/>
              <w:left w:val="single" w:sz="4" w:space="0" w:color="95B3D7"/>
              <w:bottom w:val="nil"/>
              <w:right w:val="nil"/>
            </w:tcBorders>
            <w:shd w:val="clear" w:color="DCE6F1" w:fill="DCE6F1"/>
            <w:noWrap/>
            <w:vAlign w:val="bottom"/>
            <w:hideMark/>
          </w:tcPr>
          <w:p w14:paraId="7923AE79" w14:textId="77777777" w:rsidR="00C33110" w:rsidRPr="00A47670" w:rsidRDefault="00C33110" w:rsidP="00FD3F1E">
            <w:pPr>
              <w:spacing w:after="0" w:line="240" w:lineRule="auto"/>
              <w:jc w:val="center"/>
              <w:rPr>
                <w:b/>
                <w:bCs/>
                <w:rtl/>
              </w:rPr>
            </w:pPr>
            <w:r w:rsidRPr="00A47670">
              <w:rPr>
                <w:b/>
                <w:bCs/>
              </w:rPr>
              <w:t>Agriculture</w:t>
            </w:r>
            <w:r w:rsidRPr="00A47670">
              <w:rPr>
                <w:b/>
                <w:bCs/>
                <w:rtl/>
              </w:rPr>
              <w:t xml:space="preserve"> </w:t>
            </w:r>
          </w:p>
        </w:tc>
        <w:tc>
          <w:tcPr>
            <w:tcW w:w="2293" w:type="dxa"/>
            <w:tcBorders>
              <w:top w:val="single" w:sz="4" w:space="0" w:color="95B3D7"/>
              <w:left w:val="nil"/>
              <w:bottom w:val="nil"/>
              <w:right w:val="single" w:sz="4" w:space="0" w:color="95B3D7"/>
            </w:tcBorders>
            <w:shd w:val="clear" w:color="DCE6F1" w:fill="DCE6F1"/>
            <w:noWrap/>
            <w:vAlign w:val="center"/>
          </w:tcPr>
          <w:p w14:paraId="68E94C9E" w14:textId="77777777" w:rsidR="00C33110" w:rsidRPr="00A47670" w:rsidRDefault="00C33110" w:rsidP="00FD3F1E">
            <w:pPr>
              <w:spacing w:after="0" w:line="240" w:lineRule="auto"/>
              <w:jc w:val="center"/>
              <w:rPr>
                <w:b/>
                <w:bCs/>
                <w:rtl/>
              </w:rPr>
            </w:pPr>
          </w:p>
        </w:tc>
      </w:tr>
      <w:tr w:rsidR="00C33110" w:rsidRPr="00A47670" w14:paraId="2178888D" w14:textId="77777777" w:rsidTr="00FD3F1E">
        <w:trPr>
          <w:trHeight w:val="255"/>
        </w:trPr>
        <w:tc>
          <w:tcPr>
            <w:tcW w:w="2093" w:type="dxa"/>
            <w:tcBorders>
              <w:top w:val="single" w:sz="4" w:space="0" w:color="95B3D7"/>
              <w:left w:val="single" w:sz="4" w:space="0" w:color="95B3D7"/>
              <w:bottom w:val="nil"/>
              <w:right w:val="nil"/>
            </w:tcBorders>
            <w:shd w:val="clear" w:color="auto" w:fill="auto"/>
            <w:noWrap/>
            <w:vAlign w:val="bottom"/>
            <w:hideMark/>
          </w:tcPr>
          <w:p w14:paraId="385F36C6" w14:textId="77777777" w:rsidR="00C33110" w:rsidRPr="00A47670" w:rsidRDefault="00C33110" w:rsidP="00FD3F1E">
            <w:pPr>
              <w:spacing w:after="0" w:line="240" w:lineRule="auto"/>
              <w:jc w:val="center"/>
              <w:rPr>
                <w:b/>
                <w:bCs/>
              </w:rPr>
            </w:pPr>
            <w:r w:rsidRPr="00A47670">
              <w:rPr>
                <w:b/>
                <w:bCs/>
              </w:rPr>
              <w:t>Sorting &amp; Packaging</w:t>
            </w:r>
          </w:p>
        </w:tc>
        <w:tc>
          <w:tcPr>
            <w:tcW w:w="2293" w:type="dxa"/>
            <w:tcBorders>
              <w:top w:val="single" w:sz="4" w:space="0" w:color="95B3D7"/>
              <w:left w:val="nil"/>
              <w:bottom w:val="nil"/>
              <w:right w:val="single" w:sz="4" w:space="0" w:color="95B3D7"/>
            </w:tcBorders>
            <w:shd w:val="clear" w:color="auto" w:fill="auto"/>
            <w:noWrap/>
            <w:vAlign w:val="center"/>
          </w:tcPr>
          <w:p w14:paraId="37C52711" w14:textId="77777777" w:rsidR="00C33110" w:rsidRPr="00A47670" w:rsidRDefault="00C33110" w:rsidP="00FD3F1E">
            <w:pPr>
              <w:spacing w:after="0" w:line="240" w:lineRule="auto"/>
              <w:jc w:val="center"/>
              <w:rPr>
                <w:b/>
                <w:bCs/>
                <w:rtl/>
              </w:rPr>
            </w:pPr>
          </w:p>
        </w:tc>
      </w:tr>
      <w:tr w:rsidR="00C33110" w:rsidRPr="00A47670" w14:paraId="706FC9C3" w14:textId="77777777" w:rsidTr="00FD3F1E">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281B46BE" w14:textId="77777777" w:rsidR="00C33110" w:rsidRPr="00A47670" w:rsidRDefault="00C33110" w:rsidP="00FD3F1E">
            <w:pPr>
              <w:spacing w:after="0" w:line="240" w:lineRule="auto"/>
              <w:jc w:val="center"/>
              <w:rPr>
                <w:b/>
                <w:bCs/>
              </w:rPr>
            </w:pPr>
            <w:r w:rsidRPr="00A47670">
              <w:rPr>
                <w:b/>
                <w:bCs/>
              </w:rPr>
              <w:t xml:space="preserve">Industry </w:t>
            </w:r>
          </w:p>
        </w:tc>
        <w:tc>
          <w:tcPr>
            <w:tcW w:w="2293" w:type="dxa"/>
            <w:tcBorders>
              <w:top w:val="single" w:sz="4" w:space="0" w:color="95B3D7"/>
              <w:left w:val="nil"/>
              <w:bottom w:val="nil"/>
              <w:right w:val="single" w:sz="4" w:space="0" w:color="95B3D7"/>
            </w:tcBorders>
            <w:shd w:val="clear" w:color="DCE6F1" w:fill="DCE6F1"/>
            <w:noWrap/>
            <w:vAlign w:val="center"/>
          </w:tcPr>
          <w:p w14:paraId="39759F5F" w14:textId="77777777" w:rsidR="00C33110" w:rsidRPr="00A47670" w:rsidRDefault="00C33110" w:rsidP="00FD3F1E">
            <w:pPr>
              <w:spacing w:after="0" w:line="240" w:lineRule="auto"/>
              <w:jc w:val="center"/>
              <w:rPr>
                <w:b/>
                <w:bCs/>
                <w:rtl/>
              </w:rPr>
            </w:pPr>
          </w:p>
        </w:tc>
      </w:tr>
      <w:tr w:rsidR="00C33110" w:rsidRPr="00A47670" w14:paraId="1957A02F" w14:textId="77777777" w:rsidTr="00FD3F1E">
        <w:trPr>
          <w:trHeight w:val="255"/>
        </w:trPr>
        <w:tc>
          <w:tcPr>
            <w:tcW w:w="2093" w:type="dxa"/>
            <w:tcBorders>
              <w:top w:val="single" w:sz="4" w:space="0" w:color="95B3D7"/>
              <w:left w:val="single" w:sz="4" w:space="0" w:color="95B3D7"/>
              <w:bottom w:val="nil"/>
              <w:right w:val="nil"/>
            </w:tcBorders>
            <w:shd w:val="clear" w:color="auto" w:fill="auto"/>
            <w:noWrap/>
            <w:vAlign w:val="bottom"/>
            <w:hideMark/>
          </w:tcPr>
          <w:p w14:paraId="0B9C3E45" w14:textId="77777777" w:rsidR="00C33110" w:rsidRPr="00A47670" w:rsidRDefault="00C33110" w:rsidP="00FD3F1E">
            <w:pPr>
              <w:spacing w:after="0" w:line="240" w:lineRule="auto"/>
              <w:jc w:val="center"/>
              <w:rPr>
                <w:b/>
                <w:bCs/>
              </w:rPr>
            </w:pPr>
            <w:r w:rsidRPr="00A47670">
              <w:rPr>
                <w:b/>
                <w:bCs/>
              </w:rPr>
              <w:t>Retail &amp; Distribution</w:t>
            </w:r>
          </w:p>
        </w:tc>
        <w:tc>
          <w:tcPr>
            <w:tcW w:w="2293" w:type="dxa"/>
            <w:tcBorders>
              <w:top w:val="single" w:sz="4" w:space="0" w:color="95B3D7"/>
              <w:left w:val="nil"/>
              <w:bottom w:val="nil"/>
              <w:right w:val="single" w:sz="4" w:space="0" w:color="95B3D7"/>
            </w:tcBorders>
            <w:shd w:val="clear" w:color="auto" w:fill="auto"/>
            <w:noWrap/>
            <w:vAlign w:val="center"/>
          </w:tcPr>
          <w:p w14:paraId="040D9D49" w14:textId="77777777" w:rsidR="00C33110" w:rsidRPr="00A47670" w:rsidRDefault="00C33110" w:rsidP="00FD3F1E">
            <w:pPr>
              <w:spacing w:after="0" w:line="240" w:lineRule="auto"/>
              <w:jc w:val="center"/>
              <w:rPr>
                <w:b/>
                <w:bCs/>
                <w:rtl/>
              </w:rPr>
            </w:pPr>
          </w:p>
        </w:tc>
      </w:tr>
      <w:tr w:rsidR="00C33110" w:rsidRPr="00A47670" w14:paraId="2A3E41E9" w14:textId="77777777" w:rsidTr="00FD3F1E">
        <w:trPr>
          <w:trHeight w:val="255"/>
        </w:trPr>
        <w:tc>
          <w:tcPr>
            <w:tcW w:w="2093" w:type="dxa"/>
            <w:tcBorders>
              <w:top w:val="single" w:sz="4" w:space="0" w:color="95B3D7"/>
              <w:left w:val="single" w:sz="4" w:space="0" w:color="95B3D7"/>
              <w:bottom w:val="nil"/>
              <w:right w:val="nil"/>
            </w:tcBorders>
            <w:shd w:val="clear" w:color="DCE6F1" w:fill="DCE6F1"/>
            <w:noWrap/>
            <w:vAlign w:val="bottom"/>
            <w:hideMark/>
          </w:tcPr>
          <w:p w14:paraId="51A8FA6C" w14:textId="77777777" w:rsidR="00C33110" w:rsidRPr="00A47670" w:rsidRDefault="00C33110" w:rsidP="00FD3F1E">
            <w:pPr>
              <w:spacing w:after="0" w:line="240" w:lineRule="auto"/>
              <w:jc w:val="center"/>
              <w:rPr>
                <w:b/>
                <w:bCs/>
              </w:rPr>
            </w:pPr>
            <w:r w:rsidRPr="00A47670">
              <w:rPr>
                <w:b/>
                <w:bCs/>
              </w:rPr>
              <w:t>Institutional</w:t>
            </w:r>
          </w:p>
        </w:tc>
        <w:tc>
          <w:tcPr>
            <w:tcW w:w="2293" w:type="dxa"/>
            <w:tcBorders>
              <w:top w:val="single" w:sz="4" w:space="0" w:color="95B3D7"/>
              <w:left w:val="nil"/>
              <w:bottom w:val="nil"/>
              <w:right w:val="single" w:sz="4" w:space="0" w:color="95B3D7"/>
            </w:tcBorders>
            <w:shd w:val="clear" w:color="DCE6F1" w:fill="DCE6F1"/>
            <w:noWrap/>
            <w:vAlign w:val="center"/>
          </w:tcPr>
          <w:p w14:paraId="5A9BE8C9" w14:textId="77777777" w:rsidR="00C33110" w:rsidRPr="00A47670" w:rsidRDefault="00C33110" w:rsidP="00FD3F1E">
            <w:pPr>
              <w:spacing w:after="0" w:line="240" w:lineRule="auto"/>
              <w:jc w:val="center"/>
              <w:rPr>
                <w:b/>
                <w:bCs/>
                <w:rtl/>
              </w:rPr>
            </w:pPr>
          </w:p>
        </w:tc>
      </w:tr>
      <w:tr w:rsidR="00C33110" w:rsidRPr="00A47670" w14:paraId="3F90C2BC" w14:textId="77777777" w:rsidTr="00FD3F1E">
        <w:trPr>
          <w:trHeight w:val="255"/>
        </w:trPr>
        <w:tc>
          <w:tcPr>
            <w:tcW w:w="2093" w:type="dxa"/>
            <w:tcBorders>
              <w:top w:val="single" w:sz="4" w:space="0" w:color="95B3D7"/>
              <w:left w:val="single" w:sz="4" w:space="0" w:color="95B3D7"/>
              <w:bottom w:val="single" w:sz="4" w:space="0" w:color="95B3D7"/>
              <w:right w:val="nil"/>
            </w:tcBorders>
            <w:shd w:val="clear" w:color="auto" w:fill="auto"/>
            <w:noWrap/>
            <w:vAlign w:val="bottom"/>
            <w:hideMark/>
          </w:tcPr>
          <w:p w14:paraId="317347C9" w14:textId="77777777" w:rsidR="00C33110" w:rsidRPr="00A47670" w:rsidRDefault="00C33110" w:rsidP="00FD3F1E">
            <w:pPr>
              <w:spacing w:after="0" w:line="240" w:lineRule="auto"/>
              <w:jc w:val="center"/>
              <w:rPr>
                <w:b/>
                <w:bCs/>
              </w:rPr>
            </w:pPr>
            <w:r w:rsidRPr="00A47670">
              <w:rPr>
                <w:b/>
                <w:bCs/>
              </w:rPr>
              <w:t>Total</w:t>
            </w:r>
          </w:p>
        </w:tc>
        <w:tc>
          <w:tcPr>
            <w:tcW w:w="2293" w:type="dxa"/>
            <w:tcBorders>
              <w:top w:val="single" w:sz="4" w:space="0" w:color="95B3D7"/>
              <w:left w:val="nil"/>
              <w:bottom w:val="single" w:sz="4" w:space="0" w:color="95B3D7"/>
              <w:right w:val="single" w:sz="4" w:space="0" w:color="95B3D7"/>
            </w:tcBorders>
            <w:shd w:val="clear" w:color="auto" w:fill="auto"/>
            <w:noWrap/>
            <w:vAlign w:val="center"/>
          </w:tcPr>
          <w:p w14:paraId="2E95B014" w14:textId="77777777" w:rsidR="00C33110" w:rsidRPr="00A47670" w:rsidRDefault="00C33110" w:rsidP="00FD3F1E">
            <w:pPr>
              <w:spacing w:after="0" w:line="240" w:lineRule="auto"/>
              <w:jc w:val="center"/>
              <w:rPr>
                <w:b/>
                <w:bCs/>
                <w:rtl/>
              </w:rPr>
            </w:pPr>
          </w:p>
        </w:tc>
      </w:tr>
    </w:tbl>
    <w:p w14:paraId="65B74EAC" w14:textId="223496D9" w:rsidR="00C33110" w:rsidRDefault="00C33110" w:rsidP="00C33110"/>
    <w:p w14:paraId="4451F799" w14:textId="77777777" w:rsidR="00C33110" w:rsidRDefault="00C33110" w:rsidP="00293231">
      <w:pPr>
        <w:pStyle w:val="BodyText"/>
      </w:pPr>
    </w:p>
    <w:p w14:paraId="2F8B8D79" w14:textId="77777777" w:rsidR="00C33110" w:rsidRDefault="00C33110" w:rsidP="00293231">
      <w:pPr>
        <w:pStyle w:val="BodyText"/>
      </w:pPr>
    </w:p>
    <w:p w14:paraId="17BF395F" w14:textId="77777777" w:rsidR="00C33110" w:rsidRDefault="00C33110" w:rsidP="00293231">
      <w:pPr>
        <w:pStyle w:val="BodyText"/>
      </w:pPr>
    </w:p>
    <w:p w14:paraId="1E089FE5" w14:textId="77777777" w:rsidR="00C33110" w:rsidRDefault="00C33110" w:rsidP="00293231">
      <w:pPr>
        <w:pStyle w:val="BodyText"/>
      </w:pPr>
    </w:p>
    <w:p w14:paraId="5D8DC1A9" w14:textId="18BBFCCA" w:rsidR="00293231" w:rsidRPr="008F3D9C" w:rsidRDefault="00293231" w:rsidP="00293231">
      <w:pPr>
        <w:pStyle w:val="BodyText"/>
      </w:pPr>
      <w:r w:rsidRPr="008F3D9C">
        <w:t xml:space="preserve">According to </w:t>
      </w:r>
      <w:r>
        <w:t xml:space="preserve">our </w:t>
      </w:r>
      <w:r w:rsidRPr="008F3D9C">
        <w:t xml:space="preserve">estimate, roughly 50% of food waste is rescuable and can, given economic viability </w:t>
      </w:r>
      <w:r>
        <w:t xml:space="preserve">and </w:t>
      </w:r>
      <w:r w:rsidRPr="008F3D9C">
        <w:t xml:space="preserve">appropriate resources, </w:t>
      </w:r>
      <w:r>
        <w:t xml:space="preserve">be used </w:t>
      </w:r>
      <w:r w:rsidRPr="008F3D9C">
        <w:t xml:space="preserve">to feed needy populations suffering from food insecurity. </w:t>
      </w:r>
    </w:p>
    <w:p w14:paraId="224B5879" w14:textId="77777777" w:rsidR="00293231" w:rsidRPr="00C35729" w:rsidRDefault="00293231" w:rsidP="00293231">
      <w:pPr>
        <w:pStyle w:val="Graphtitle"/>
      </w:pPr>
      <w:r w:rsidRPr="008F3D9C">
        <w:t>Estimate</w:t>
      </w:r>
      <w:r>
        <w:t>d</w:t>
      </w:r>
      <w:r w:rsidRPr="008F3D9C">
        <w:t xml:space="preserve"> Amounts of Rescuable Food in Israel (thousands of tons)</w:t>
      </w:r>
    </w:p>
    <w:tbl>
      <w:tblPr>
        <w:tblStyle w:val="MediumShading1-Accent161"/>
        <w:tblW w:w="0" w:type="auto"/>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268"/>
        <w:gridCol w:w="1538"/>
        <w:gridCol w:w="1359"/>
        <w:gridCol w:w="1359"/>
        <w:gridCol w:w="1359"/>
        <w:gridCol w:w="1359"/>
      </w:tblGrid>
      <w:tr w:rsidR="00CD7933" w:rsidRPr="00CD7933" w14:paraId="04FFC19E" w14:textId="77777777" w:rsidTr="00CD793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14:paraId="56856FB6" w14:textId="77777777" w:rsidR="00CD7933" w:rsidRPr="00CD7933" w:rsidRDefault="00CD7933" w:rsidP="00CD7933">
            <w:pPr>
              <w:spacing w:after="60"/>
              <w:jc w:val="center"/>
              <w:rPr>
                <w:rFonts w:eastAsia="Calibri" w:cstheme="minorHAnsi"/>
                <w:rtl/>
              </w:rPr>
            </w:pPr>
          </w:p>
        </w:tc>
        <w:tc>
          <w:tcPr>
            <w:tcW w:w="1538" w:type="dxa"/>
            <w:tcBorders>
              <w:top w:val="none" w:sz="0" w:space="0" w:color="auto"/>
              <w:left w:val="none" w:sz="0" w:space="0" w:color="auto"/>
              <w:bottom w:val="none" w:sz="0" w:space="0" w:color="auto"/>
              <w:right w:val="none" w:sz="0" w:space="0" w:color="auto"/>
            </w:tcBorders>
            <w:vAlign w:val="center"/>
          </w:tcPr>
          <w:p w14:paraId="581B8324" w14:textId="77777777" w:rsidR="00CD7933" w:rsidRPr="00CD7933" w:rsidRDefault="00CD7933" w:rsidP="00CD7933">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CD7933">
              <w:rPr>
                <w:rFonts w:eastAsia="Calibri" w:cstheme="minorHAnsi"/>
              </w:rPr>
              <w:t xml:space="preserve">Total Consumption </w:t>
            </w:r>
          </w:p>
        </w:tc>
        <w:tc>
          <w:tcPr>
            <w:tcW w:w="1359" w:type="dxa"/>
            <w:tcBorders>
              <w:top w:val="none" w:sz="0" w:space="0" w:color="auto"/>
              <w:left w:val="none" w:sz="0" w:space="0" w:color="auto"/>
              <w:bottom w:val="none" w:sz="0" w:space="0" w:color="auto"/>
              <w:right w:val="none" w:sz="0" w:space="0" w:color="auto"/>
            </w:tcBorders>
            <w:vAlign w:val="center"/>
          </w:tcPr>
          <w:p w14:paraId="3282D6BE" w14:textId="77777777" w:rsidR="00CD7933" w:rsidRPr="00CD7933" w:rsidRDefault="00CD7933" w:rsidP="00CD7933">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CD7933">
              <w:rPr>
                <w:rFonts w:eastAsia="Calibri" w:cstheme="minorHAnsi"/>
              </w:rPr>
              <w:t xml:space="preserve">Total Local Production </w:t>
            </w:r>
          </w:p>
        </w:tc>
        <w:tc>
          <w:tcPr>
            <w:tcW w:w="1359" w:type="dxa"/>
            <w:tcBorders>
              <w:top w:val="none" w:sz="0" w:space="0" w:color="auto"/>
              <w:left w:val="none" w:sz="0" w:space="0" w:color="auto"/>
              <w:bottom w:val="none" w:sz="0" w:space="0" w:color="auto"/>
              <w:right w:val="none" w:sz="0" w:space="0" w:color="auto"/>
            </w:tcBorders>
            <w:vAlign w:val="center"/>
          </w:tcPr>
          <w:p w14:paraId="6075089E" w14:textId="77777777" w:rsidR="00CD7933" w:rsidRPr="00CD7933" w:rsidRDefault="00CD7933" w:rsidP="00CD7933">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sidRPr="00CD7933">
              <w:rPr>
                <w:rFonts w:eastAsia="Calibri" w:cstheme="minorHAnsi"/>
              </w:rPr>
              <w:t xml:space="preserve">Loss </w:t>
            </w:r>
          </w:p>
        </w:tc>
        <w:tc>
          <w:tcPr>
            <w:tcW w:w="1359" w:type="dxa"/>
            <w:tcBorders>
              <w:top w:val="none" w:sz="0" w:space="0" w:color="auto"/>
              <w:left w:val="none" w:sz="0" w:space="0" w:color="auto"/>
              <w:bottom w:val="none" w:sz="0" w:space="0" w:color="auto"/>
              <w:right w:val="none" w:sz="0" w:space="0" w:color="auto"/>
            </w:tcBorders>
            <w:vAlign w:val="center"/>
          </w:tcPr>
          <w:p w14:paraId="04D88E30" w14:textId="77777777" w:rsidR="00CD7933" w:rsidRPr="00CD7933" w:rsidRDefault="00CD7933" w:rsidP="00CD7933">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CD7933">
              <w:rPr>
                <w:rFonts w:eastAsia="Calibri" w:cstheme="minorHAnsi"/>
              </w:rPr>
              <w:t>Percentage of Loss</w:t>
            </w:r>
          </w:p>
        </w:tc>
        <w:tc>
          <w:tcPr>
            <w:tcW w:w="1359" w:type="dxa"/>
            <w:tcBorders>
              <w:top w:val="none" w:sz="0" w:space="0" w:color="auto"/>
              <w:left w:val="none" w:sz="0" w:space="0" w:color="auto"/>
              <w:bottom w:val="none" w:sz="0" w:space="0" w:color="auto"/>
              <w:right w:val="none" w:sz="0" w:space="0" w:color="auto"/>
            </w:tcBorders>
            <w:vAlign w:val="center"/>
          </w:tcPr>
          <w:p w14:paraId="02D3736D" w14:textId="77777777" w:rsidR="00CD7933" w:rsidRPr="00CD7933" w:rsidRDefault="00CD7933" w:rsidP="00CD7933">
            <w:pPr>
              <w:spacing w:after="60"/>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sidRPr="00CD7933">
              <w:rPr>
                <w:rFonts w:eastAsia="Calibri" w:cstheme="minorHAnsi"/>
              </w:rPr>
              <w:t>Recoverable Loss</w:t>
            </w:r>
            <w:r w:rsidRPr="00CD7933">
              <w:rPr>
                <w:rFonts w:eastAsia="Calibri" w:cstheme="minorHAnsi"/>
                <w:vertAlign w:val="superscript"/>
              </w:rPr>
              <w:footnoteReference w:id="12"/>
            </w:r>
            <w:r w:rsidRPr="00CD7933">
              <w:rPr>
                <w:rFonts w:eastAsia="Calibri" w:cstheme="minorHAnsi"/>
              </w:rPr>
              <w:t xml:space="preserve"> </w:t>
            </w:r>
          </w:p>
        </w:tc>
      </w:tr>
      <w:tr w:rsidR="00CD7933" w:rsidRPr="00CD7933" w14:paraId="1EAE6D99"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62B37389" w14:textId="77777777" w:rsidR="00CD7933" w:rsidRPr="00CD7933" w:rsidRDefault="00CD7933" w:rsidP="00CD7933">
            <w:pPr>
              <w:spacing w:after="60"/>
              <w:rPr>
                <w:rFonts w:eastAsia="Calibri" w:cstheme="minorHAnsi"/>
                <w:b w:val="0"/>
                <w:bCs w:val="0"/>
                <w:rtl/>
              </w:rPr>
            </w:pPr>
            <w:r w:rsidRPr="00CD7933">
              <w:rPr>
                <w:rFonts w:eastAsia="Calibri" w:cstheme="minorHAnsi"/>
                <w:b w:val="0"/>
                <w:bCs w:val="0"/>
              </w:rPr>
              <w:t xml:space="preserve">Fruit </w:t>
            </w:r>
          </w:p>
        </w:tc>
        <w:tc>
          <w:tcPr>
            <w:tcW w:w="1538" w:type="dxa"/>
            <w:tcBorders>
              <w:left w:val="none" w:sz="0" w:space="0" w:color="auto"/>
              <w:right w:val="none" w:sz="0" w:space="0" w:color="auto"/>
            </w:tcBorders>
            <w:vAlign w:val="bottom"/>
          </w:tcPr>
          <w:p w14:paraId="196434E5" w14:textId="613175C8"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344DF721" w14:textId="00FF677A"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2E0E80D6" w14:textId="6868367E"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7D714F08" w14:textId="5D5D8946"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tcBorders>
            <w:vAlign w:val="bottom"/>
          </w:tcPr>
          <w:p w14:paraId="7EF1D612" w14:textId="586CB4B6"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CD7933" w:rsidRPr="00CD7933" w14:paraId="1C1F2A79"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24AF4034" w14:textId="77777777" w:rsidR="00CD7933" w:rsidRPr="00CD7933" w:rsidRDefault="00CD7933" w:rsidP="00CD7933">
            <w:pPr>
              <w:spacing w:after="60"/>
              <w:rPr>
                <w:rFonts w:eastAsia="Calibri" w:cstheme="minorHAnsi"/>
                <w:b w:val="0"/>
                <w:bCs w:val="0"/>
                <w:rtl/>
              </w:rPr>
            </w:pPr>
            <w:r w:rsidRPr="00CD7933">
              <w:rPr>
                <w:rFonts w:eastAsia="Calibri" w:cstheme="minorHAnsi"/>
                <w:b w:val="0"/>
                <w:bCs w:val="0"/>
              </w:rPr>
              <w:t xml:space="preserve">Vegetables </w:t>
            </w:r>
          </w:p>
        </w:tc>
        <w:tc>
          <w:tcPr>
            <w:tcW w:w="1538" w:type="dxa"/>
            <w:tcBorders>
              <w:left w:val="none" w:sz="0" w:space="0" w:color="auto"/>
              <w:right w:val="none" w:sz="0" w:space="0" w:color="auto"/>
            </w:tcBorders>
            <w:vAlign w:val="bottom"/>
          </w:tcPr>
          <w:p w14:paraId="723ED883" w14:textId="52C1040C"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700520AF" w14:textId="4F42DA64"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0FC3C699" w14:textId="33EE125A"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64A69A25" w14:textId="73B9A4A4"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tcBorders>
            <w:vAlign w:val="bottom"/>
          </w:tcPr>
          <w:p w14:paraId="667470FB" w14:textId="418057EB"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r>
      <w:tr w:rsidR="00CD7933" w:rsidRPr="00CD7933" w14:paraId="454774EF"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72AD1CE6" w14:textId="77777777" w:rsidR="00CD7933" w:rsidRPr="00CD7933" w:rsidRDefault="00CD7933" w:rsidP="00CD7933">
            <w:pPr>
              <w:spacing w:after="60"/>
              <w:rPr>
                <w:rFonts w:eastAsia="Calibri" w:cstheme="minorHAnsi"/>
                <w:b w:val="0"/>
                <w:bCs w:val="0"/>
                <w:rtl/>
              </w:rPr>
            </w:pPr>
            <w:r w:rsidRPr="00CD7933">
              <w:rPr>
                <w:rFonts w:eastAsia="Calibri" w:cstheme="minorHAnsi"/>
                <w:b w:val="0"/>
                <w:bCs w:val="0"/>
              </w:rPr>
              <w:t>Potatoes &amp; Starch</w:t>
            </w:r>
          </w:p>
        </w:tc>
        <w:tc>
          <w:tcPr>
            <w:tcW w:w="1538" w:type="dxa"/>
            <w:tcBorders>
              <w:left w:val="none" w:sz="0" w:space="0" w:color="auto"/>
              <w:right w:val="none" w:sz="0" w:space="0" w:color="auto"/>
            </w:tcBorders>
            <w:vAlign w:val="bottom"/>
          </w:tcPr>
          <w:p w14:paraId="763AA58D" w14:textId="2651B8F6"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42EE181F" w14:textId="10870183"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43202784" w14:textId="4C5FC14A"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4398CD04" w14:textId="105FF5A7"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tcBorders>
            <w:vAlign w:val="bottom"/>
          </w:tcPr>
          <w:p w14:paraId="57FDF907" w14:textId="51C51268"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CD7933" w:rsidRPr="00CD7933" w14:paraId="6CDF4139"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615DC42C" w14:textId="77777777" w:rsidR="00CD7933" w:rsidRPr="00CD7933" w:rsidRDefault="00CD7933" w:rsidP="00CD7933">
            <w:pPr>
              <w:spacing w:after="60"/>
              <w:rPr>
                <w:rFonts w:eastAsia="Calibri" w:cstheme="minorHAnsi"/>
                <w:b w:val="0"/>
                <w:bCs w:val="0"/>
              </w:rPr>
            </w:pPr>
            <w:r w:rsidRPr="00CD7933">
              <w:rPr>
                <w:rFonts w:eastAsia="Calibri" w:cstheme="minorHAnsi"/>
                <w:b w:val="0"/>
                <w:bCs w:val="0"/>
              </w:rPr>
              <w:t>Grains &amp; Legumes</w:t>
            </w:r>
          </w:p>
        </w:tc>
        <w:tc>
          <w:tcPr>
            <w:tcW w:w="1538" w:type="dxa"/>
            <w:tcBorders>
              <w:left w:val="none" w:sz="0" w:space="0" w:color="auto"/>
              <w:right w:val="none" w:sz="0" w:space="0" w:color="auto"/>
            </w:tcBorders>
            <w:vAlign w:val="bottom"/>
          </w:tcPr>
          <w:p w14:paraId="653BB389" w14:textId="33105623"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3E6369A8" w14:textId="0C18EB87"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06D93889" w14:textId="2852D097"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565AA5D4" w14:textId="0D6CF72A"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tcBorders>
            <w:vAlign w:val="bottom"/>
          </w:tcPr>
          <w:p w14:paraId="6E98897C" w14:textId="28317BF4"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r>
      <w:tr w:rsidR="00CD7933" w:rsidRPr="00CD7933" w14:paraId="586A254A"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4BD60631" w14:textId="77777777" w:rsidR="00CD7933" w:rsidRPr="00CD7933" w:rsidRDefault="00CD7933" w:rsidP="00CD7933">
            <w:pPr>
              <w:spacing w:after="60"/>
              <w:rPr>
                <w:rFonts w:eastAsia="Calibri" w:cstheme="minorHAnsi"/>
                <w:b w:val="0"/>
                <w:bCs w:val="0"/>
              </w:rPr>
            </w:pPr>
            <w:r w:rsidRPr="00CD7933">
              <w:rPr>
                <w:rFonts w:eastAsia="Calibri" w:cstheme="minorHAnsi"/>
                <w:b w:val="0"/>
                <w:bCs w:val="0"/>
              </w:rPr>
              <w:t>Meat, Fish &amp; Eggs</w:t>
            </w:r>
          </w:p>
        </w:tc>
        <w:tc>
          <w:tcPr>
            <w:tcW w:w="1538" w:type="dxa"/>
            <w:tcBorders>
              <w:left w:val="none" w:sz="0" w:space="0" w:color="auto"/>
              <w:right w:val="none" w:sz="0" w:space="0" w:color="auto"/>
            </w:tcBorders>
            <w:vAlign w:val="bottom"/>
          </w:tcPr>
          <w:p w14:paraId="6CB86196" w14:textId="17BA533F"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7884A4E2" w14:textId="4534DACA"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13B679CD" w14:textId="2DF5AE84"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5A6B5F26" w14:textId="6FB92CB9"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1359" w:type="dxa"/>
            <w:tcBorders>
              <w:left w:val="none" w:sz="0" w:space="0" w:color="auto"/>
            </w:tcBorders>
            <w:vAlign w:val="bottom"/>
          </w:tcPr>
          <w:p w14:paraId="642E1F0D" w14:textId="14C54A1E"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CD7933" w:rsidRPr="00CD7933" w14:paraId="3BD39F4A"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7B25737A" w14:textId="77777777" w:rsidR="00CD7933" w:rsidRPr="00CD7933" w:rsidRDefault="00CD7933" w:rsidP="00CD7933">
            <w:pPr>
              <w:spacing w:after="60"/>
              <w:rPr>
                <w:rFonts w:eastAsia="Calibri" w:cstheme="minorHAnsi"/>
                <w:b w:val="0"/>
                <w:bCs w:val="0"/>
                <w:rtl/>
              </w:rPr>
            </w:pPr>
            <w:r w:rsidRPr="00CD7933">
              <w:rPr>
                <w:rFonts w:eastAsia="Calibri" w:cstheme="minorHAnsi"/>
                <w:b w:val="0"/>
                <w:bCs w:val="0"/>
              </w:rPr>
              <w:t>Milk &amp; Dairy</w:t>
            </w:r>
          </w:p>
        </w:tc>
        <w:tc>
          <w:tcPr>
            <w:tcW w:w="1538" w:type="dxa"/>
            <w:tcBorders>
              <w:left w:val="none" w:sz="0" w:space="0" w:color="auto"/>
              <w:right w:val="none" w:sz="0" w:space="0" w:color="auto"/>
            </w:tcBorders>
            <w:vAlign w:val="bottom"/>
          </w:tcPr>
          <w:p w14:paraId="66CC093A" w14:textId="7906113F"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3C8AE44A" w14:textId="44B54432"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3764CC24" w14:textId="534CCF30"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right w:val="none" w:sz="0" w:space="0" w:color="auto"/>
            </w:tcBorders>
            <w:vAlign w:val="bottom"/>
          </w:tcPr>
          <w:p w14:paraId="30F85214" w14:textId="5D0992AD"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1359" w:type="dxa"/>
            <w:tcBorders>
              <w:left w:val="none" w:sz="0" w:space="0" w:color="auto"/>
            </w:tcBorders>
            <w:vAlign w:val="bottom"/>
          </w:tcPr>
          <w:p w14:paraId="41718A4E" w14:textId="621865E3" w:rsidR="00CD7933" w:rsidRPr="00CD7933" w:rsidRDefault="00CD7933" w:rsidP="00CD7933">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r>
      <w:tr w:rsidR="00CD7933" w:rsidRPr="00CD7933" w14:paraId="71671851"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vAlign w:val="center"/>
          </w:tcPr>
          <w:p w14:paraId="4092A244" w14:textId="77777777" w:rsidR="00CD7933" w:rsidRPr="00CD7933" w:rsidRDefault="00CD7933" w:rsidP="00CD7933">
            <w:pPr>
              <w:spacing w:after="60"/>
              <w:rPr>
                <w:rFonts w:eastAsia="Calibri" w:cstheme="minorHAnsi"/>
                <w:b w:val="0"/>
                <w:bCs w:val="0"/>
                <w:rtl/>
              </w:rPr>
            </w:pPr>
            <w:r w:rsidRPr="00CD7933">
              <w:rPr>
                <w:rFonts w:eastAsia="Calibri" w:cstheme="minorHAnsi"/>
                <w:b w:val="0"/>
                <w:bCs w:val="0"/>
              </w:rPr>
              <w:t xml:space="preserve">Total </w:t>
            </w:r>
          </w:p>
        </w:tc>
        <w:tc>
          <w:tcPr>
            <w:tcW w:w="1538" w:type="dxa"/>
            <w:tcBorders>
              <w:left w:val="none" w:sz="0" w:space="0" w:color="auto"/>
              <w:right w:val="none" w:sz="0" w:space="0" w:color="auto"/>
            </w:tcBorders>
            <w:vAlign w:val="bottom"/>
          </w:tcPr>
          <w:p w14:paraId="5467D003" w14:textId="7CB36324"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c>
          <w:tcPr>
            <w:tcW w:w="1359" w:type="dxa"/>
            <w:tcBorders>
              <w:left w:val="none" w:sz="0" w:space="0" w:color="auto"/>
              <w:right w:val="none" w:sz="0" w:space="0" w:color="auto"/>
            </w:tcBorders>
            <w:vAlign w:val="bottom"/>
          </w:tcPr>
          <w:p w14:paraId="2DA3DD9B" w14:textId="45B6464A"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c>
          <w:tcPr>
            <w:tcW w:w="1359" w:type="dxa"/>
            <w:tcBorders>
              <w:left w:val="none" w:sz="0" w:space="0" w:color="auto"/>
              <w:right w:val="none" w:sz="0" w:space="0" w:color="auto"/>
            </w:tcBorders>
            <w:vAlign w:val="bottom"/>
          </w:tcPr>
          <w:p w14:paraId="027946F9" w14:textId="445D2DE3"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c>
          <w:tcPr>
            <w:tcW w:w="1359" w:type="dxa"/>
            <w:tcBorders>
              <w:left w:val="none" w:sz="0" w:space="0" w:color="auto"/>
              <w:right w:val="none" w:sz="0" w:space="0" w:color="auto"/>
            </w:tcBorders>
            <w:vAlign w:val="bottom"/>
          </w:tcPr>
          <w:p w14:paraId="01A472C3" w14:textId="7370AB01"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c>
          <w:tcPr>
            <w:tcW w:w="1359" w:type="dxa"/>
            <w:tcBorders>
              <w:left w:val="none" w:sz="0" w:space="0" w:color="auto"/>
            </w:tcBorders>
            <w:vAlign w:val="bottom"/>
          </w:tcPr>
          <w:p w14:paraId="1CD34E14" w14:textId="78D08AFB" w:rsidR="00CD7933" w:rsidRPr="00CD7933" w:rsidRDefault="00CD7933" w:rsidP="00CD7933">
            <w:pPr>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bl>
    <w:p w14:paraId="197D1BDB" w14:textId="77777777" w:rsidR="00293231" w:rsidRPr="008F3D9C" w:rsidRDefault="00293231" w:rsidP="00293231">
      <w:pPr>
        <w:pStyle w:val="Graphnote"/>
        <w:rPr>
          <w:rtl/>
        </w:rPr>
      </w:pPr>
      <w:r w:rsidRPr="00C35729">
        <w:t>Source</w:t>
      </w:r>
      <w:r w:rsidRPr="008F3D9C">
        <w:t>: BDO estimates</w:t>
      </w:r>
    </w:p>
    <w:p w14:paraId="6FA26EB5" w14:textId="5ED9E8C0" w:rsidR="00293231" w:rsidRPr="008F3D9C" w:rsidRDefault="00293231" w:rsidP="00CD7933">
      <w:pPr>
        <w:pStyle w:val="BodyText"/>
      </w:pPr>
      <w:r>
        <w:t>F</w:t>
      </w:r>
      <w:r w:rsidRPr="00D06CCF">
        <w:t xml:space="preserve">ood waste during household consumption was not classified as rescuable. There are various approaches to the issue of food waste in household consumption. Western culture is based on </w:t>
      </w:r>
      <w:r>
        <w:t>a</w:t>
      </w:r>
      <w:r w:rsidRPr="00D06CCF">
        <w:t xml:space="preserve"> notion of consumerism and prosperity, </w:t>
      </w:r>
      <w:r>
        <w:t xml:space="preserve">in which </w:t>
      </w:r>
      <w:r w:rsidRPr="00D06CCF">
        <w:t>consumer</w:t>
      </w:r>
      <w:r>
        <w:t>s</w:t>
      </w:r>
      <w:r w:rsidRPr="00D06CCF">
        <w:t xml:space="preserve"> extract benefit and enjoyment</w:t>
      </w:r>
      <w:r>
        <w:t>,</w:t>
      </w:r>
      <w:r w:rsidRPr="00D06CCF">
        <w:t xml:space="preserve"> not only from food consumption, but also from </w:t>
      </w:r>
      <w:r>
        <w:t xml:space="preserve">having </w:t>
      </w:r>
      <w:r w:rsidRPr="00D06CCF">
        <w:t xml:space="preserve">a range of selections and even excess. Economically, as long as consumers pay the full </w:t>
      </w:r>
      <w:r>
        <w:t>amount for purchased products, there is n</w:t>
      </w:r>
      <w:r w:rsidRPr="00D06CCF">
        <w:t xml:space="preserve">o </w:t>
      </w:r>
      <w:r>
        <w:t xml:space="preserve">justification for </w:t>
      </w:r>
      <w:r w:rsidRPr="00D06CCF">
        <w:t>restrictin</w:t>
      </w:r>
      <w:r>
        <w:t xml:space="preserve">g </w:t>
      </w:r>
      <w:r w:rsidRPr="00D06CCF">
        <w:t>consumption. The problem is that</w:t>
      </w:r>
      <w:r>
        <w:t xml:space="preserve"> food </w:t>
      </w:r>
      <w:r w:rsidRPr="00D06CCF">
        <w:t xml:space="preserve">production entails the use of natural resources and </w:t>
      </w:r>
      <w:r>
        <w:t>has an</w:t>
      </w:r>
      <w:r w:rsidRPr="00D06CCF">
        <w:t xml:space="preserve"> environmental impact, </w:t>
      </w:r>
      <w:r>
        <w:t xml:space="preserve">and </w:t>
      </w:r>
      <w:r w:rsidR="00CD7933">
        <w:t>these</w:t>
      </w:r>
      <w:r>
        <w:t xml:space="preserve"> </w:t>
      </w:r>
      <w:r w:rsidRPr="00D06CCF">
        <w:lastRenderedPageBreak/>
        <w:t xml:space="preserve">external costs are not calculated in the price paid by consumers for food. </w:t>
      </w:r>
      <w:r>
        <w:t>We did not examine these aspects, h</w:t>
      </w:r>
      <w:r w:rsidRPr="00D06CCF">
        <w:t>owever, these circumstances m</w:t>
      </w:r>
      <w:r>
        <w:t xml:space="preserve">ight </w:t>
      </w:r>
      <w:r w:rsidRPr="00D06CCF">
        <w:t xml:space="preserve">justify actions to </w:t>
      </w:r>
      <w:r>
        <w:t>encourage food recovery — perhaps with governmental sponsored public relations campaigns, as has been done in several western countries—to</w:t>
      </w:r>
      <w:r w:rsidRPr="00D06CCF">
        <w:t xml:space="preserve"> rais</w:t>
      </w:r>
      <w:r>
        <w:t xml:space="preserve">e </w:t>
      </w:r>
      <w:r w:rsidRPr="00D06CCF">
        <w:t xml:space="preserve">public awareness regarding the external </w:t>
      </w:r>
      <w:r>
        <w:t>impact</w:t>
      </w:r>
      <w:r w:rsidRPr="00D06CCF">
        <w:t xml:space="preserve"> </w:t>
      </w:r>
      <w:r>
        <w:t>of</w:t>
      </w:r>
      <w:r w:rsidRPr="00D06CCF">
        <w:t xml:space="preserve"> producin</w:t>
      </w:r>
      <w:r>
        <w:t>g</w:t>
      </w:r>
      <w:r w:rsidRPr="00D06CCF">
        <w:t xml:space="preserve"> food that is left unconsumed. </w:t>
      </w:r>
    </w:p>
    <w:tbl>
      <w:tblPr>
        <w:tblStyle w:val="MediumShading1-Accent15"/>
        <w:tblpPr w:leftFromText="180" w:rightFromText="180" w:vertAnchor="text" w:horzAnchor="margin" w:tblpY="227"/>
        <w:tblW w:w="937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08"/>
        <w:gridCol w:w="3870"/>
      </w:tblGrid>
      <w:tr w:rsidR="00CD7933" w:rsidRPr="008F3D9C" w14:paraId="4D8E5093" w14:textId="77777777" w:rsidTr="00FD3F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left w:val="none" w:sz="0" w:space="0" w:color="auto"/>
              <w:right w:val="none" w:sz="0" w:space="0" w:color="auto"/>
            </w:tcBorders>
            <w:shd w:val="clear" w:color="auto" w:fill="FFFFFF" w:themeFill="background1"/>
            <w:vAlign w:val="center"/>
          </w:tcPr>
          <w:p w14:paraId="6D5E50FF" w14:textId="77777777" w:rsidR="00CD7933" w:rsidRPr="008F3D9C" w:rsidRDefault="00CD7933" w:rsidP="00FD3F1E">
            <w:pPr>
              <w:spacing w:line="300" w:lineRule="auto"/>
              <w:jc w:val="center"/>
              <w:rPr>
                <w:rFonts w:ascii="Calibri" w:eastAsia="Calibri" w:hAnsi="Calibri" w:cs="Arial"/>
                <w:color w:val="244061" w:themeColor="accent1" w:themeShade="80"/>
                <w:rtl/>
              </w:rPr>
            </w:pPr>
            <w:r w:rsidRPr="008F3D9C">
              <w:rPr>
                <w:rFonts w:ascii="Calibri" w:eastAsia="Calibri" w:hAnsi="Calibri" w:cs="Arial"/>
                <w:color w:val="244061" w:themeColor="accent1" w:themeShade="80"/>
              </w:rPr>
              <w:t>Rescuable Food</w:t>
            </w:r>
          </w:p>
        </w:tc>
        <w:tc>
          <w:tcPr>
            <w:tcW w:w="3870" w:type="dxa"/>
            <w:tcBorders>
              <w:left w:val="none" w:sz="0" w:space="0" w:color="auto"/>
              <w:right w:val="none" w:sz="0" w:space="0" w:color="auto"/>
            </w:tcBorders>
            <w:shd w:val="clear" w:color="auto" w:fill="FFFFFF" w:themeFill="background1"/>
          </w:tcPr>
          <w:p w14:paraId="565646EA" w14:textId="77777777" w:rsidR="00CD7933" w:rsidRPr="008F3D9C" w:rsidRDefault="00CD7933" w:rsidP="00FD3F1E">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Pr>
            </w:pPr>
            <w:r w:rsidRPr="008F3D9C">
              <w:rPr>
                <w:rFonts w:ascii="Calibri" w:eastAsia="Calibri" w:hAnsi="Calibri" w:cs="Arial"/>
                <w:color w:val="244061" w:themeColor="accent1" w:themeShade="80"/>
              </w:rPr>
              <w:t xml:space="preserve">Food Waste Unworthy </w:t>
            </w:r>
          </w:p>
          <w:p w14:paraId="46EB57A6" w14:textId="77777777" w:rsidR="00CD7933" w:rsidRPr="008F3D9C" w:rsidRDefault="00CD7933" w:rsidP="00FD3F1E">
            <w:pPr>
              <w:spacing w:line="30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color w:val="244061" w:themeColor="accent1" w:themeShade="80"/>
                <w:rtl/>
              </w:rPr>
            </w:pPr>
            <w:r w:rsidRPr="008F3D9C">
              <w:rPr>
                <w:rFonts w:ascii="Calibri" w:eastAsia="Calibri" w:hAnsi="Calibri" w:cs="Arial"/>
                <w:color w:val="244061" w:themeColor="accent1" w:themeShade="80"/>
              </w:rPr>
              <w:t xml:space="preserve">of Human Consumption </w:t>
            </w:r>
          </w:p>
        </w:tc>
      </w:tr>
      <w:tr w:rsidR="00CD7933" w:rsidRPr="008F3D9C" w14:paraId="2CC9B0F5"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top w:val="single" w:sz="8" w:space="0" w:color="7BA0CD"/>
              <w:right w:val="none" w:sz="0" w:space="0" w:color="auto"/>
            </w:tcBorders>
          </w:tcPr>
          <w:p w14:paraId="67B5E600" w14:textId="77777777" w:rsidR="00CD7933" w:rsidRPr="008F3D9C" w:rsidRDefault="00CD7933" w:rsidP="00CD7933">
            <w:pPr>
              <w:numPr>
                <w:ilvl w:val="0"/>
                <w:numId w:val="1"/>
              </w:numPr>
              <w:spacing w:line="300" w:lineRule="auto"/>
              <w:contextualSpacing/>
              <w:rPr>
                <w:rFonts w:ascii="Calibri" w:eastAsia="Calibri" w:hAnsi="Calibri" w:cs="Arial"/>
                <w:rtl/>
              </w:rPr>
            </w:pPr>
            <w:r w:rsidRPr="008F3D9C">
              <w:rPr>
                <w:rFonts w:ascii="Calibri" w:eastAsia="Calibri" w:hAnsi="Calibri" w:cs="Arial"/>
              </w:rPr>
              <w:t>Pre-harvested edible agricultural produce</w:t>
            </w:r>
          </w:p>
        </w:tc>
        <w:tc>
          <w:tcPr>
            <w:tcW w:w="3870" w:type="dxa"/>
            <w:tcBorders>
              <w:top w:val="single" w:sz="8" w:space="0" w:color="7BA0CD"/>
              <w:left w:val="none" w:sz="0" w:space="0" w:color="auto"/>
            </w:tcBorders>
          </w:tcPr>
          <w:p w14:paraId="48457C98" w14:textId="77777777" w:rsidR="00CD7933" w:rsidRPr="008F3D9C" w:rsidRDefault="00CD7933" w:rsidP="00CD7933">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Sick livestock or carcasses</w:t>
            </w:r>
          </w:p>
        </w:tc>
      </w:tr>
      <w:tr w:rsidR="00CD7933" w:rsidRPr="008F3D9C" w14:paraId="482E9F70"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50966365" w14:textId="77777777" w:rsidR="00CD7933" w:rsidRPr="008F3D9C" w:rsidRDefault="00CD7933" w:rsidP="00CD7933">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Aesthetically flawed agricultural produce </w:t>
            </w:r>
          </w:p>
        </w:tc>
        <w:tc>
          <w:tcPr>
            <w:tcW w:w="3870" w:type="dxa"/>
            <w:tcBorders>
              <w:left w:val="none" w:sz="0" w:space="0" w:color="auto"/>
            </w:tcBorders>
          </w:tcPr>
          <w:p w14:paraId="347002F7" w14:textId="77777777" w:rsidR="00CD7933" w:rsidRPr="008F3D9C" w:rsidRDefault="00CD7933" w:rsidP="00CD7933">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Diseased food</w:t>
            </w:r>
          </w:p>
        </w:tc>
      </w:tr>
      <w:tr w:rsidR="00CD7933" w:rsidRPr="008F3D9C" w14:paraId="452326BE" w14:textId="77777777" w:rsidTr="00FD3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3FA76022" w14:textId="77777777" w:rsidR="00CD7933" w:rsidRPr="008F3D9C" w:rsidRDefault="00CD7933" w:rsidP="00CD7933">
            <w:pPr>
              <w:numPr>
                <w:ilvl w:val="0"/>
                <w:numId w:val="1"/>
              </w:numPr>
              <w:spacing w:line="300" w:lineRule="auto"/>
              <w:contextualSpacing/>
              <w:rPr>
                <w:rFonts w:ascii="Calibri" w:eastAsia="Calibri" w:hAnsi="Calibri" w:cs="Arial"/>
                <w:rtl/>
              </w:rPr>
            </w:pPr>
            <w:r w:rsidRPr="008F3D9C">
              <w:rPr>
                <w:rFonts w:ascii="Calibri" w:eastAsia="Calibri" w:hAnsi="Calibri" w:cs="Arial"/>
              </w:rPr>
              <w:t>Agricultural produce not sold in wholesale markets</w:t>
            </w:r>
          </w:p>
        </w:tc>
        <w:tc>
          <w:tcPr>
            <w:tcW w:w="3870" w:type="dxa"/>
            <w:tcBorders>
              <w:left w:val="none" w:sz="0" w:space="0" w:color="auto"/>
            </w:tcBorders>
          </w:tcPr>
          <w:p w14:paraId="131FC708" w14:textId="77777777" w:rsidR="00CD7933" w:rsidRPr="008F3D9C" w:rsidRDefault="00CD7933" w:rsidP="00CD7933">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 xml:space="preserve">Damaged or contaminated food </w:t>
            </w:r>
          </w:p>
        </w:tc>
      </w:tr>
      <w:tr w:rsidR="00CD7933" w:rsidRPr="008F3D9C" w14:paraId="25E345CC"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709220A3" w14:textId="77777777" w:rsidR="00CD7933" w:rsidRPr="008F3D9C" w:rsidRDefault="00CD7933" w:rsidP="00CD7933">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Unsold food surplus in supermarkets/stores </w:t>
            </w:r>
          </w:p>
        </w:tc>
        <w:tc>
          <w:tcPr>
            <w:tcW w:w="3870" w:type="dxa"/>
            <w:tcBorders>
              <w:left w:val="none" w:sz="0" w:space="0" w:color="auto"/>
            </w:tcBorders>
          </w:tcPr>
          <w:p w14:paraId="30FAF059" w14:textId="77777777" w:rsidR="00CD7933" w:rsidRPr="008F3D9C" w:rsidRDefault="00CD7933" w:rsidP="00CD7933">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Spoiled food</w:t>
            </w:r>
          </w:p>
        </w:tc>
      </w:tr>
      <w:tr w:rsidR="00CD7933" w:rsidRPr="008F3D9C" w14:paraId="02163517"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1AF9772E" w14:textId="77777777" w:rsidR="00CD7933" w:rsidRPr="008F3D9C" w:rsidRDefault="00CD7933" w:rsidP="00CD7933">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Surplus prepared food from catering, industrial kitchens &amp; restaurants </w:t>
            </w:r>
          </w:p>
        </w:tc>
        <w:tc>
          <w:tcPr>
            <w:tcW w:w="3870" w:type="dxa"/>
            <w:tcBorders>
              <w:left w:val="none" w:sz="0" w:space="0" w:color="auto"/>
            </w:tcBorders>
          </w:tcPr>
          <w:p w14:paraId="6F5DF1E8" w14:textId="77777777" w:rsidR="00CD7933" w:rsidRPr="008F3D9C" w:rsidRDefault="00CD7933" w:rsidP="00CD7933">
            <w:pPr>
              <w:numPr>
                <w:ilvl w:val="0"/>
                <w:numId w:val="2"/>
              </w:numPr>
              <w:spacing w:line="300"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r w:rsidRPr="008F3D9C">
              <w:rPr>
                <w:rFonts w:ascii="Calibri" w:eastAsia="Calibri" w:hAnsi="Calibri" w:cs="Arial"/>
              </w:rPr>
              <w:t>Production leftovers (peels, seeds, skin, fat)</w:t>
            </w:r>
          </w:p>
        </w:tc>
      </w:tr>
      <w:tr w:rsidR="00CD7933" w:rsidRPr="008F3D9C" w14:paraId="677F0D2D" w14:textId="77777777" w:rsidTr="00FD3F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right w:val="none" w:sz="0" w:space="0" w:color="auto"/>
            </w:tcBorders>
          </w:tcPr>
          <w:p w14:paraId="28FF64BC" w14:textId="77777777" w:rsidR="00CD7933" w:rsidRPr="008F3D9C" w:rsidRDefault="00CD7933" w:rsidP="00CD7933">
            <w:pPr>
              <w:numPr>
                <w:ilvl w:val="0"/>
                <w:numId w:val="1"/>
              </w:numPr>
              <w:spacing w:line="300" w:lineRule="auto"/>
              <w:contextualSpacing/>
              <w:rPr>
                <w:rFonts w:ascii="Calibri" w:eastAsia="Calibri" w:hAnsi="Calibri" w:cs="Arial"/>
                <w:rtl/>
              </w:rPr>
            </w:pPr>
            <w:r w:rsidRPr="008F3D9C">
              <w:rPr>
                <w:rFonts w:ascii="Calibri" w:eastAsia="Calibri" w:hAnsi="Calibri" w:cs="Arial"/>
              </w:rPr>
              <w:t xml:space="preserve">Packaged food with damaged packaging or misshaped </w:t>
            </w:r>
          </w:p>
        </w:tc>
        <w:tc>
          <w:tcPr>
            <w:tcW w:w="3870" w:type="dxa"/>
            <w:tcBorders>
              <w:left w:val="none" w:sz="0" w:space="0" w:color="auto"/>
            </w:tcBorders>
          </w:tcPr>
          <w:p w14:paraId="68C84EAC" w14:textId="77777777" w:rsidR="00CD7933" w:rsidRPr="008F3D9C" w:rsidRDefault="00CD7933" w:rsidP="00CD7933">
            <w:pPr>
              <w:numPr>
                <w:ilvl w:val="0"/>
                <w:numId w:val="2"/>
              </w:numPr>
              <w:spacing w:line="300" w:lineRule="auto"/>
              <w:contextualSpacing/>
              <w:cnfStyle w:val="000000010000" w:firstRow="0" w:lastRow="0" w:firstColumn="0" w:lastColumn="0" w:oddVBand="0" w:evenVBand="0" w:oddHBand="0" w:evenHBand="1" w:firstRowFirstColumn="0" w:firstRowLastColumn="0" w:lastRowFirstColumn="0" w:lastRowLastColumn="0"/>
              <w:rPr>
                <w:rFonts w:ascii="Calibri" w:eastAsia="Calibri" w:hAnsi="Calibri" w:cs="Arial"/>
                <w:rtl/>
              </w:rPr>
            </w:pPr>
            <w:r w:rsidRPr="008F3D9C">
              <w:rPr>
                <w:rFonts w:ascii="Calibri" w:eastAsia="Calibri" w:hAnsi="Calibri" w:cs="Arial"/>
              </w:rPr>
              <w:t xml:space="preserve">Food already served and left unconsumed </w:t>
            </w:r>
          </w:p>
        </w:tc>
      </w:tr>
      <w:tr w:rsidR="00CD7933" w:rsidRPr="008F3D9C" w14:paraId="646D7110" w14:textId="77777777" w:rsidTr="00FD3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Borders>
              <w:bottom w:val="single" w:sz="8" w:space="0" w:color="7BA0CD"/>
              <w:right w:val="none" w:sz="0" w:space="0" w:color="auto"/>
            </w:tcBorders>
          </w:tcPr>
          <w:p w14:paraId="10295862" w14:textId="77777777" w:rsidR="00CD7933" w:rsidRPr="008F3D9C" w:rsidRDefault="00CD7933" w:rsidP="00CD7933">
            <w:pPr>
              <w:numPr>
                <w:ilvl w:val="0"/>
                <w:numId w:val="1"/>
              </w:numPr>
              <w:spacing w:line="300" w:lineRule="auto"/>
              <w:contextualSpacing/>
              <w:rPr>
                <w:rFonts w:ascii="Calibri" w:eastAsia="Calibri" w:hAnsi="Calibri" w:cs="Arial"/>
                <w:rtl/>
              </w:rPr>
            </w:pPr>
            <w:r w:rsidRPr="008F3D9C">
              <w:rPr>
                <w:rFonts w:ascii="Calibri" w:eastAsia="Calibri" w:hAnsi="Calibri" w:cs="Arial"/>
              </w:rPr>
              <w:t>Food nearing its sell-by date that will not be sold</w:t>
            </w:r>
          </w:p>
        </w:tc>
        <w:tc>
          <w:tcPr>
            <w:tcW w:w="3870" w:type="dxa"/>
            <w:tcBorders>
              <w:left w:val="none" w:sz="0" w:space="0" w:color="auto"/>
              <w:bottom w:val="single" w:sz="8" w:space="0" w:color="7BA0CD"/>
            </w:tcBorders>
          </w:tcPr>
          <w:p w14:paraId="1D3063B2" w14:textId="77777777" w:rsidR="00CD7933" w:rsidRPr="008F3D9C" w:rsidRDefault="00CD7933" w:rsidP="00FD3F1E">
            <w:pPr>
              <w:spacing w:line="30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Arial"/>
                <w:rtl/>
              </w:rPr>
            </w:pPr>
          </w:p>
        </w:tc>
      </w:tr>
    </w:tbl>
    <w:p w14:paraId="457E00E7" w14:textId="478F1EA3" w:rsidR="00293231" w:rsidRDefault="00293231" w:rsidP="00293231">
      <w:pPr>
        <w:pStyle w:val="BodyText"/>
      </w:pPr>
    </w:p>
    <w:p w14:paraId="2C0AAA4F" w14:textId="77777777" w:rsidR="00CD7933" w:rsidRDefault="00CD7933">
      <w:pPr>
        <w:rPr>
          <w:rFonts w:eastAsiaTheme="majorEastAsia" w:cstheme="minorHAnsi"/>
          <w:b/>
          <w:bCs/>
          <w:iCs/>
          <w:color w:val="FF0000"/>
          <w:spacing w:val="5"/>
          <w:kern w:val="28"/>
          <w:sz w:val="32"/>
          <w:szCs w:val="32"/>
        </w:rPr>
      </w:pPr>
      <w:bookmarkStart w:id="20" w:name="_Toc505547259"/>
      <w:r>
        <w:br w:type="page"/>
      </w:r>
    </w:p>
    <w:p w14:paraId="7A1A5E7F" w14:textId="55976501" w:rsidR="00293231" w:rsidRDefault="00293231" w:rsidP="00293231">
      <w:pPr>
        <w:pStyle w:val="Heading1"/>
      </w:pPr>
      <w:bookmarkStart w:id="21" w:name="_Toc951799"/>
      <w:r w:rsidRPr="008F3D9C">
        <w:lastRenderedPageBreak/>
        <w:t xml:space="preserve">Food Security – How Much Food </w:t>
      </w:r>
      <w:r>
        <w:t>i</w:t>
      </w:r>
      <w:r w:rsidRPr="008F3D9C">
        <w:t>s Required to Close the Food Security Gap in Israel?</w:t>
      </w:r>
      <w:bookmarkEnd w:id="20"/>
      <w:bookmarkEnd w:id="21"/>
    </w:p>
    <w:p w14:paraId="60A81EAD" w14:textId="2DA40E3B" w:rsidR="00293231" w:rsidRPr="00CD7933" w:rsidRDefault="00293231" w:rsidP="00CD7933">
      <w:pPr>
        <w:rPr>
          <w:b/>
          <w:bCs/>
          <w:sz w:val="24"/>
          <w:szCs w:val="24"/>
        </w:rPr>
      </w:pPr>
      <w:r w:rsidRPr="00C35729">
        <w:rPr>
          <w:sz w:val="24"/>
          <w:szCs w:val="24"/>
          <w:u w:val="single"/>
        </w:rPr>
        <w:t>Bold chapter head</w:t>
      </w:r>
      <w:r w:rsidRPr="00A47670">
        <w:rPr>
          <w:sz w:val="24"/>
          <w:szCs w:val="24"/>
        </w:rPr>
        <w:t>:</w:t>
      </w:r>
      <w:r w:rsidR="00CD7933">
        <w:rPr>
          <w:sz w:val="24"/>
          <w:szCs w:val="24"/>
        </w:rPr>
        <w:t xml:space="preserve"> </w:t>
      </w:r>
      <w:r w:rsidR="00CD7933" w:rsidRPr="00CD7933">
        <w:rPr>
          <w:b/>
          <w:bCs/>
          <w:sz w:val="24"/>
          <w:szCs w:val="24"/>
          <w:highlight w:val="cyan"/>
        </w:rPr>
        <w:t>Rescuing 450,000 tons of food is necessary to close</w:t>
      </w:r>
      <w:r w:rsidR="00CD7933" w:rsidRPr="00CD7933">
        <w:rPr>
          <w:b/>
          <w:bCs/>
          <w:highlight w:val="cyan"/>
        </w:rPr>
        <w:t xml:space="preserve"> the Food Security Gap in Israel</w:t>
      </w:r>
    </w:p>
    <w:p w14:paraId="2CADCC4F" w14:textId="799EC2D6" w:rsidR="00293231" w:rsidRPr="00346159" w:rsidRDefault="00293231" w:rsidP="00471EC2">
      <w:pPr>
        <w:pStyle w:val="BodyText"/>
      </w:pPr>
      <w:r w:rsidRPr="00346159">
        <w:t xml:space="preserve">According OECD data that examines the extent of poverty after taxes and allocations (with the poverty line defined as 50% of median disposable income), Israel’s situation has </w:t>
      </w:r>
      <w:r w:rsidR="00CD7933" w:rsidRPr="00CD7933">
        <w:rPr>
          <w:highlight w:val="cyan"/>
        </w:rPr>
        <w:t>improve</w:t>
      </w:r>
      <w:r w:rsidRPr="00CD7933">
        <w:rPr>
          <w:highlight w:val="cyan"/>
        </w:rPr>
        <w:t>d</w:t>
      </w:r>
      <w:r w:rsidRPr="00346159">
        <w:t xml:space="preserve"> in comparison to last year. </w:t>
      </w:r>
      <w:r w:rsidR="00471EC2">
        <w:t>In</w:t>
      </w:r>
      <w:r w:rsidRPr="00346159">
        <w:t xml:space="preserve"> the OECD</w:t>
      </w:r>
      <w:r w:rsidR="00471EC2">
        <w:t>, Israel is the</w:t>
      </w:r>
      <w:r w:rsidRPr="00346159">
        <w:t xml:space="preserve"> country with the </w:t>
      </w:r>
      <w:r w:rsidR="00471EC2" w:rsidRPr="00471EC2">
        <w:rPr>
          <w:highlight w:val="cyan"/>
        </w:rPr>
        <w:t>second</w:t>
      </w:r>
      <w:r w:rsidR="00471EC2">
        <w:t xml:space="preserve"> </w:t>
      </w:r>
      <w:r w:rsidRPr="00346159">
        <w:t>highest poverty rate</w:t>
      </w:r>
      <w:r w:rsidRPr="00471EC2">
        <w:rPr>
          <w:highlight w:val="cyan"/>
        </w:rPr>
        <w:t xml:space="preserve">, </w:t>
      </w:r>
      <w:r w:rsidR="00471EC2" w:rsidRPr="00471EC2">
        <w:rPr>
          <w:highlight w:val="cyan"/>
        </w:rPr>
        <w:t>after the United States</w:t>
      </w:r>
      <w:r w:rsidRPr="00346159">
        <w:t>. Conversely, the National Insurance Institute Poverty Report contends that poverty among Israeli families decreased from 1</w:t>
      </w:r>
      <w:r w:rsidR="00471EC2">
        <w:t>8</w:t>
      </w:r>
      <w:r w:rsidR="00471EC2" w:rsidRPr="00471EC2">
        <w:rPr>
          <w:highlight w:val="cyan"/>
        </w:rPr>
        <w:t>.5</w:t>
      </w:r>
      <w:r w:rsidRPr="00346159">
        <w:t>% in 201</w:t>
      </w:r>
      <w:r w:rsidR="00471EC2" w:rsidRPr="00471EC2">
        <w:rPr>
          <w:highlight w:val="cyan"/>
        </w:rPr>
        <w:t>6</w:t>
      </w:r>
      <w:r w:rsidRPr="00346159">
        <w:t xml:space="preserve"> to 18</w:t>
      </w:r>
      <w:r w:rsidRPr="00471EC2">
        <w:rPr>
          <w:highlight w:val="cyan"/>
        </w:rPr>
        <w:t>.</w:t>
      </w:r>
      <w:r w:rsidR="00471EC2" w:rsidRPr="00471EC2">
        <w:rPr>
          <w:highlight w:val="cyan"/>
        </w:rPr>
        <w:t>5</w:t>
      </w:r>
      <w:r w:rsidRPr="00346159">
        <w:t>% in 201</w:t>
      </w:r>
      <w:r w:rsidR="00471EC2" w:rsidRPr="00471EC2">
        <w:rPr>
          <w:highlight w:val="cyan"/>
        </w:rPr>
        <w:t>7</w:t>
      </w:r>
      <w:r w:rsidRPr="00346159">
        <w:t xml:space="preserve">. This gap is apparently the result of using a </w:t>
      </w:r>
      <w:proofErr w:type="gramStart"/>
      <w:r w:rsidRPr="00346159">
        <w:t>different scale</w:t>
      </w:r>
      <w:r>
        <w:t>s</w:t>
      </w:r>
      <w:proofErr w:type="gramEnd"/>
      <w:r w:rsidRPr="00346159">
        <w:t xml:space="preserve"> for weighing and presenting the benefit of household size. </w:t>
      </w:r>
    </w:p>
    <w:p w14:paraId="2283B709" w14:textId="31D496E4" w:rsidR="00293231" w:rsidRPr="00346159" w:rsidRDefault="00293231" w:rsidP="00293231">
      <w:pPr>
        <w:pStyle w:val="BodyText"/>
      </w:pPr>
      <w:r w:rsidRPr="00346159">
        <w:t xml:space="preserve">OECD data shows an improvement in the Gini Index of Inequality last year, even though Israel continues to suffer from a high level of inequality. </w:t>
      </w:r>
      <w:r w:rsidRPr="002B54ED">
        <w:rPr>
          <w:highlight w:val="green"/>
        </w:rPr>
        <w:t xml:space="preserve">Israel and Latvia were tied in seventh place for inequality, </w:t>
      </w:r>
      <w:r w:rsidR="00053DA1">
        <w:rPr>
          <w:highlight w:val="green"/>
        </w:rPr>
        <w:t>following</w:t>
      </w:r>
      <w:r w:rsidRPr="002B54ED">
        <w:rPr>
          <w:highlight w:val="green"/>
        </w:rPr>
        <w:t xml:space="preserve"> Mexico, Chile, Turkey, the US, Ireland and New Zealand.</w:t>
      </w:r>
      <w:r w:rsidRPr="00346159">
        <w:t xml:space="preserve"> Inequality in distribution of income is one of the greatest challenges facing the Israeli economy, and food insecurity is a consequence of income inequality. </w:t>
      </w:r>
    </w:p>
    <w:p w14:paraId="3211A0EC" w14:textId="43AD7ED9" w:rsidR="00293231" w:rsidRPr="00C35729" w:rsidRDefault="00293231" w:rsidP="00150AFB">
      <w:pPr>
        <w:pStyle w:val="BodyText"/>
        <w:rPr>
          <w:b/>
          <w:bCs/>
        </w:rPr>
      </w:pPr>
      <w:r w:rsidRPr="00346159">
        <w:t>Using the Food Security Index as the basis for comparison, Israel dropped one place because Portugal</w:t>
      </w:r>
      <w:r w:rsidR="00471EC2">
        <w:t>’s</w:t>
      </w:r>
      <w:r w:rsidRPr="00346159">
        <w:t xml:space="preserve"> </w:t>
      </w:r>
      <w:r w:rsidR="00471EC2">
        <w:t xml:space="preserve">improved </w:t>
      </w:r>
      <w:r w:rsidRPr="00346159">
        <w:t>score while Israel’s remained almost unchanged. For food consumption as a share of expenditures</w:t>
      </w:r>
      <w:r w:rsidRPr="00471EC2">
        <w:t xml:space="preserve">, </w:t>
      </w:r>
      <w:r w:rsidRPr="002B54ED">
        <w:rPr>
          <w:highlight w:val="green"/>
        </w:rPr>
        <w:t>Israel moved down two places because of a decrease in food’s share of consumption in Chile and Greece.</w:t>
      </w:r>
      <w:r w:rsidRPr="00C35729">
        <w:rPr>
          <w:b/>
          <w:bCs/>
        </w:rPr>
        <w:t xml:space="preserve"> </w:t>
      </w:r>
    </w:p>
    <w:p w14:paraId="6957509A" w14:textId="77777777" w:rsidR="00293231" w:rsidRPr="00C61B68" w:rsidRDefault="00293231" w:rsidP="00293231">
      <w:pPr>
        <w:spacing w:after="0" w:line="240" w:lineRule="auto"/>
        <w:jc w:val="center"/>
        <w:rPr>
          <w:rFonts w:ascii="Calibri" w:eastAsia="Calibri" w:hAnsi="Calibri" w:cs="Arial"/>
          <w:b/>
          <w:bCs/>
          <w:sz w:val="24"/>
          <w:szCs w:val="24"/>
        </w:rPr>
      </w:pPr>
      <w:r w:rsidRPr="00C61B68">
        <w:rPr>
          <w:rFonts w:ascii="Calibri" w:eastAsia="Calibri" w:hAnsi="Calibri" w:cs="Arial"/>
          <w:b/>
          <w:bCs/>
          <w:sz w:val="24"/>
          <w:szCs w:val="24"/>
        </w:rPr>
        <w:t>Israe</w:t>
      </w:r>
      <w:r w:rsidRPr="0035723F">
        <w:rPr>
          <w:rStyle w:val="GraphtitleChar"/>
        </w:rPr>
        <w:t>l</w:t>
      </w:r>
      <w:r>
        <w:rPr>
          <w:rFonts w:ascii="Calibri" w:eastAsia="Calibri" w:hAnsi="Calibri" w:cs="Arial"/>
          <w:b/>
          <w:bCs/>
          <w:sz w:val="24"/>
          <w:szCs w:val="24"/>
        </w:rPr>
        <w:t>’</w:t>
      </w:r>
      <w:r w:rsidRPr="00C61B68">
        <w:rPr>
          <w:rFonts w:ascii="Calibri" w:eastAsia="Calibri" w:hAnsi="Calibri" w:cs="Arial"/>
          <w:b/>
          <w:bCs/>
          <w:sz w:val="24"/>
          <w:szCs w:val="24"/>
        </w:rPr>
        <w:t>s Rank in Inequality and Food Security</w:t>
      </w:r>
    </w:p>
    <w:p w14:paraId="55BC201A" w14:textId="77777777" w:rsidR="00293231" w:rsidRPr="008F3D9C" w:rsidRDefault="00293231" w:rsidP="00293231">
      <w:pPr>
        <w:spacing w:after="0" w:line="240" w:lineRule="auto"/>
        <w:jc w:val="center"/>
        <w:rPr>
          <w:rFonts w:ascii="Calibri" w:eastAsia="Calibri" w:hAnsi="Calibri" w:cs="Arial"/>
          <w:b/>
          <w:bCs/>
        </w:rPr>
      </w:pPr>
      <w:r w:rsidRPr="008F3D9C">
        <w:rPr>
          <w:rFonts w:ascii="Calibri" w:eastAsia="Calibri" w:hAnsi="Calibri" w:cs="Arial"/>
          <w:b/>
          <w:bCs/>
        </w:rPr>
        <w:t xml:space="preserve"> </w:t>
      </w:r>
    </w:p>
    <w:tbl>
      <w:tblPr>
        <w:tblStyle w:val="MediumShading1-Accent12"/>
        <w:tblW w:w="0" w:type="auto"/>
        <w:jc w:val="cente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6" w:space="0" w:color="7BA0CD" w:themeColor="accent1" w:themeTint="BF"/>
          <w:insideV w:val="single" w:sz="6" w:space="0" w:color="7BA0CD" w:themeColor="accent1" w:themeTint="BF"/>
        </w:tblBorders>
        <w:tblLook w:val="04A0" w:firstRow="1" w:lastRow="0" w:firstColumn="1" w:lastColumn="0" w:noHBand="0" w:noVBand="1"/>
      </w:tblPr>
      <w:tblGrid>
        <w:gridCol w:w="2838"/>
        <w:gridCol w:w="1276"/>
        <w:gridCol w:w="1275"/>
        <w:gridCol w:w="1942"/>
      </w:tblGrid>
      <w:tr w:rsidR="00293231" w:rsidRPr="008F3D9C" w14:paraId="595742B3" w14:textId="77777777" w:rsidTr="0062753C">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2838" w:type="dxa"/>
            <w:tcBorders>
              <w:top w:val="none" w:sz="0" w:space="0" w:color="auto"/>
              <w:left w:val="none" w:sz="0" w:space="0" w:color="auto"/>
              <w:bottom w:val="none" w:sz="0" w:space="0" w:color="auto"/>
              <w:right w:val="none" w:sz="0" w:space="0" w:color="auto"/>
            </w:tcBorders>
          </w:tcPr>
          <w:p w14:paraId="2D285E76" w14:textId="77777777" w:rsidR="00293231" w:rsidRPr="00C61B68" w:rsidRDefault="00293231" w:rsidP="0062753C">
            <w:pPr>
              <w:spacing w:after="120"/>
              <w:jc w:val="center"/>
              <w:rPr>
                <w:rFonts w:ascii="Calibri" w:eastAsia="Calibri" w:hAnsi="Calibri" w:cs="Arial"/>
                <w:rtl/>
              </w:rPr>
            </w:pPr>
          </w:p>
        </w:tc>
        <w:tc>
          <w:tcPr>
            <w:tcW w:w="1276" w:type="dxa"/>
            <w:tcBorders>
              <w:top w:val="none" w:sz="0" w:space="0" w:color="auto"/>
              <w:left w:val="none" w:sz="0" w:space="0" w:color="auto"/>
              <w:bottom w:val="none" w:sz="0" w:space="0" w:color="auto"/>
              <w:right w:val="none" w:sz="0" w:space="0" w:color="auto"/>
            </w:tcBorders>
          </w:tcPr>
          <w:p w14:paraId="00BCA69E" w14:textId="77777777" w:rsidR="00293231" w:rsidRPr="00C61B68" w:rsidRDefault="00293231" w:rsidP="0062753C">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sidRPr="00C61B68">
              <w:rPr>
                <w:rFonts w:ascii="Calibri" w:eastAsia="Calibri" w:hAnsi="Calibri" w:cs="Arial"/>
              </w:rPr>
              <w:t xml:space="preserve">Israel </w:t>
            </w:r>
          </w:p>
        </w:tc>
        <w:tc>
          <w:tcPr>
            <w:tcW w:w="1275" w:type="dxa"/>
            <w:tcBorders>
              <w:top w:val="none" w:sz="0" w:space="0" w:color="auto"/>
              <w:left w:val="none" w:sz="0" w:space="0" w:color="auto"/>
              <w:bottom w:val="none" w:sz="0" w:space="0" w:color="auto"/>
              <w:right w:val="none" w:sz="0" w:space="0" w:color="auto"/>
            </w:tcBorders>
          </w:tcPr>
          <w:p w14:paraId="6050B564" w14:textId="77777777" w:rsidR="00293231" w:rsidRPr="00C61B68" w:rsidRDefault="00293231" w:rsidP="0062753C">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sidRPr="00C61B68">
              <w:rPr>
                <w:rFonts w:ascii="Calibri" w:eastAsia="Calibri" w:hAnsi="Calibri" w:cs="Arial"/>
              </w:rPr>
              <w:t>OECD average</w:t>
            </w:r>
          </w:p>
        </w:tc>
        <w:tc>
          <w:tcPr>
            <w:tcW w:w="1942" w:type="dxa"/>
            <w:tcBorders>
              <w:top w:val="none" w:sz="0" w:space="0" w:color="auto"/>
              <w:left w:val="none" w:sz="0" w:space="0" w:color="auto"/>
              <w:bottom w:val="none" w:sz="0" w:space="0" w:color="auto"/>
              <w:right w:val="none" w:sz="0" w:space="0" w:color="auto"/>
            </w:tcBorders>
          </w:tcPr>
          <w:p w14:paraId="134BADCD" w14:textId="77777777" w:rsidR="00293231" w:rsidRPr="00C61B68" w:rsidRDefault="00293231" w:rsidP="0062753C">
            <w:pPr>
              <w:spacing w:after="12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Arial"/>
                <w:rtl/>
              </w:rPr>
            </w:pPr>
            <w:r>
              <w:rPr>
                <w:rFonts w:ascii="Calibri" w:eastAsia="Calibri" w:hAnsi="Calibri" w:cs="Arial"/>
              </w:rPr>
              <w:t>Israel’s rank in the OECD</w:t>
            </w:r>
          </w:p>
        </w:tc>
      </w:tr>
      <w:tr w:rsidR="00293231" w:rsidRPr="008F3D9C" w14:paraId="3DF766C7" w14:textId="77777777" w:rsidTr="0062753C">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03A6B3D5" w14:textId="77777777" w:rsidR="00293231" w:rsidRPr="00C61B68" w:rsidRDefault="00293231" w:rsidP="0062753C">
            <w:pPr>
              <w:spacing w:after="120"/>
              <w:rPr>
                <w:rFonts w:ascii="Calibri" w:eastAsia="Calibri" w:hAnsi="Calibri" w:cs="Arial"/>
                <w:rtl/>
              </w:rPr>
            </w:pPr>
            <w:r w:rsidRPr="00C61B68">
              <w:rPr>
                <w:rFonts w:ascii="Calibri" w:eastAsia="Calibri" w:hAnsi="Calibri" w:cs="Arial"/>
              </w:rPr>
              <w:t>Gini Index (inequality)</w:t>
            </w:r>
          </w:p>
        </w:tc>
        <w:tc>
          <w:tcPr>
            <w:tcW w:w="1276" w:type="dxa"/>
            <w:tcBorders>
              <w:left w:val="none" w:sz="0" w:space="0" w:color="auto"/>
              <w:right w:val="none" w:sz="0" w:space="0" w:color="auto"/>
            </w:tcBorders>
            <w:vAlign w:val="center"/>
          </w:tcPr>
          <w:p w14:paraId="2D4DADF3" w14:textId="24DC035B" w:rsidR="00293231" w:rsidRPr="00C61B68" w:rsidRDefault="00293231" w:rsidP="0062753C">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p>
        </w:tc>
        <w:tc>
          <w:tcPr>
            <w:tcW w:w="1275" w:type="dxa"/>
            <w:tcBorders>
              <w:left w:val="none" w:sz="0" w:space="0" w:color="auto"/>
              <w:right w:val="none" w:sz="0" w:space="0" w:color="auto"/>
            </w:tcBorders>
            <w:vAlign w:val="center"/>
          </w:tcPr>
          <w:p w14:paraId="18170644" w14:textId="3CC9CD76" w:rsidR="00293231" w:rsidRPr="00C61B68" w:rsidRDefault="00293231" w:rsidP="0062753C">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p>
        </w:tc>
        <w:tc>
          <w:tcPr>
            <w:tcW w:w="1942" w:type="dxa"/>
            <w:tcBorders>
              <w:left w:val="none" w:sz="0" w:space="0" w:color="auto"/>
            </w:tcBorders>
            <w:vAlign w:val="center"/>
          </w:tcPr>
          <w:p w14:paraId="46582104" w14:textId="125AB476" w:rsidR="00293231" w:rsidRPr="00C61B68" w:rsidRDefault="00293231" w:rsidP="0062753C">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p>
        </w:tc>
      </w:tr>
      <w:tr w:rsidR="00293231" w:rsidRPr="008F3D9C" w14:paraId="6524CD51" w14:textId="77777777" w:rsidTr="0062753C">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572EAF57" w14:textId="77777777" w:rsidR="00293231" w:rsidRPr="00C61B68" w:rsidRDefault="00293231" w:rsidP="0062753C">
            <w:pPr>
              <w:spacing w:after="120"/>
              <w:rPr>
                <w:rFonts w:ascii="Calibri" w:eastAsia="Calibri" w:hAnsi="Calibri" w:cs="Arial"/>
                <w:rtl/>
              </w:rPr>
            </w:pPr>
            <w:r w:rsidRPr="00C61B68">
              <w:rPr>
                <w:rFonts w:ascii="Calibri" w:eastAsia="Calibri" w:hAnsi="Calibri" w:cs="Arial"/>
              </w:rPr>
              <w:t>Poverty Rate</w:t>
            </w:r>
          </w:p>
        </w:tc>
        <w:tc>
          <w:tcPr>
            <w:tcW w:w="1276" w:type="dxa"/>
            <w:tcBorders>
              <w:left w:val="none" w:sz="0" w:space="0" w:color="auto"/>
              <w:right w:val="none" w:sz="0" w:space="0" w:color="auto"/>
            </w:tcBorders>
            <w:vAlign w:val="center"/>
          </w:tcPr>
          <w:p w14:paraId="35098EA6" w14:textId="1C8C9099" w:rsidR="00293231" w:rsidRPr="00C61B68" w:rsidRDefault="00293231" w:rsidP="0062753C">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p>
        </w:tc>
        <w:tc>
          <w:tcPr>
            <w:tcW w:w="1275" w:type="dxa"/>
            <w:tcBorders>
              <w:left w:val="none" w:sz="0" w:space="0" w:color="auto"/>
              <w:right w:val="none" w:sz="0" w:space="0" w:color="auto"/>
            </w:tcBorders>
            <w:vAlign w:val="center"/>
          </w:tcPr>
          <w:p w14:paraId="4AB23B50" w14:textId="7CEC9E94" w:rsidR="00293231" w:rsidRPr="00C61B68" w:rsidRDefault="00293231" w:rsidP="0062753C">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p>
        </w:tc>
        <w:tc>
          <w:tcPr>
            <w:tcW w:w="1942" w:type="dxa"/>
            <w:tcBorders>
              <w:left w:val="none" w:sz="0" w:space="0" w:color="auto"/>
            </w:tcBorders>
            <w:vAlign w:val="center"/>
          </w:tcPr>
          <w:p w14:paraId="329A5111" w14:textId="27798B95" w:rsidR="00293231" w:rsidRPr="00C61B68" w:rsidRDefault="00293231" w:rsidP="0062753C">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p>
        </w:tc>
      </w:tr>
      <w:tr w:rsidR="00293231" w:rsidRPr="008F3D9C" w14:paraId="7DC662D1" w14:textId="77777777" w:rsidTr="0062753C">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4FE59BF4" w14:textId="77777777" w:rsidR="00293231" w:rsidRPr="00C61B68" w:rsidRDefault="00293231" w:rsidP="0062753C">
            <w:pPr>
              <w:spacing w:after="120"/>
              <w:rPr>
                <w:rFonts w:ascii="Calibri" w:eastAsia="Calibri" w:hAnsi="Calibri" w:cs="Arial"/>
                <w:rtl/>
              </w:rPr>
            </w:pPr>
            <w:r w:rsidRPr="00C61B68">
              <w:rPr>
                <w:rFonts w:ascii="Calibri" w:eastAsia="Calibri" w:hAnsi="Calibri" w:cs="Arial"/>
              </w:rPr>
              <w:t>Food Security Index</w:t>
            </w:r>
          </w:p>
        </w:tc>
        <w:tc>
          <w:tcPr>
            <w:tcW w:w="1276" w:type="dxa"/>
            <w:tcBorders>
              <w:left w:val="none" w:sz="0" w:space="0" w:color="auto"/>
              <w:right w:val="none" w:sz="0" w:space="0" w:color="auto"/>
            </w:tcBorders>
            <w:vAlign w:val="center"/>
          </w:tcPr>
          <w:p w14:paraId="369CBF53" w14:textId="3983C652" w:rsidR="00293231" w:rsidRPr="00C61B68" w:rsidRDefault="00293231" w:rsidP="0062753C">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p>
        </w:tc>
        <w:tc>
          <w:tcPr>
            <w:tcW w:w="1275" w:type="dxa"/>
            <w:tcBorders>
              <w:left w:val="none" w:sz="0" w:space="0" w:color="auto"/>
              <w:right w:val="none" w:sz="0" w:space="0" w:color="auto"/>
            </w:tcBorders>
            <w:vAlign w:val="center"/>
          </w:tcPr>
          <w:p w14:paraId="3664AB45" w14:textId="651A3583" w:rsidR="00293231" w:rsidRPr="00C61B68" w:rsidRDefault="00293231" w:rsidP="0062753C">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p>
        </w:tc>
        <w:tc>
          <w:tcPr>
            <w:tcW w:w="1942" w:type="dxa"/>
            <w:tcBorders>
              <w:left w:val="none" w:sz="0" w:space="0" w:color="auto"/>
            </w:tcBorders>
            <w:vAlign w:val="center"/>
          </w:tcPr>
          <w:p w14:paraId="4F0B40EB" w14:textId="57940896" w:rsidR="00293231" w:rsidRPr="00C61B68" w:rsidRDefault="00293231" w:rsidP="0062753C">
            <w:pPr>
              <w:spacing w:after="120"/>
              <w:jc w:val="center"/>
              <w:cnfStyle w:val="000000100000" w:firstRow="0" w:lastRow="0" w:firstColumn="0" w:lastColumn="0" w:oddVBand="0" w:evenVBand="0" w:oddHBand="1" w:evenHBand="0" w:firstRowFirstColumn="0" w:firstRowLastColumn="0" w:lastRowFirstColumn="0" w:lastRowLastColumn="0"/>
              <w:rPr>
                <w:rFonts w:eastAsia="Calibri" w:cs="Arial"/>
                <w:rtl/>
              </w:rPr>
            </w:pPr>
          </w:p>
        </w:tc>
      </w:tr>
      <w:tr w:rsidR="00293231" w:rsidRPr="008F3D9C" w14:paraId="53788736" w14:textId="77777777" w:rsidTr="0062753C">
        <w:trPr>
          <w:cnfStyle w:val="000000010000" w:firstRow="0" w:lastRow="0" w:firstColumn="0" w:lastColumn="0" w:oddVBand="0" w:evenVBand="0" w:oddHBand="0" w:evenHBand="1"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2838" w:type="dxa"/>
            <w:tcBorders>
              <w:right w:val="none" w:sz="0" w:space="0" w:color="auto"/>
            </w:tcBorders>
          </w:tcPr>
          <w:p w14:paraId="3EC9D7E6" w14:textId="77777777" w:rsidR="00293231" w:rsidRPr="00C61B68" w:rsidRDefault="00293231" w:rsidP="0062753C">
            <w:pPr>
              <w:spacing w:after="120"/>
              <w:rPr>
                <w:rFonts w:ascii="Calibri" w:eastAsia="Calibri" w:hAnsi="Calibri" w:cs="Arial"/>
              </w:rPr>
            </w:pPr>
            <w:r w:rsidRPr="00C61B68">
              <w:rPr>
                <w:rFonts w:ascii="Calibri" w:eastAsia="Calibri" w:hAnsi="Calibri" w:cs="Arial"/>
              </w:rPr>
              <w:t>(%) Food Expenditure to PCE</w:t>
            </w:r>
          </w:p>
        </w:tc>
        <w:tc>
          <w:tcPr>
            <w:tcW w:w="1276" w:type="dxa"/>
            <w:tcBorders>
              <w:left w:val="none" w:sz="0" w:space="0" w:color="auto"/>
              <w:right w:val="none" w:sz="0" w:space="0" w:color="auto"/>
            </w:tcBorders>
            <w:vAlign w:val="center"/>
          </w:tcPr>
          <w:p w14:paraId="606C62A7" w14:textId="0AF93484" w:rsidR="00293231" w:rsidRPr="00C61B68" w:rsidRDefault="00293231" w:rsidP="0062753C">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p>
        </w:tc>
        <w:tc>
          <w:tcPr>
            <w:tcW w:w="1275" w:type="dxa"/>
            <w:tcBorders>
              <w:left w:val="none" w:sz="0" w:space="0" w:color="auto"/>
              <w:right w:val="none" w:sz="0" w:space="0" w:color="auto"/>
            </w:tcBorders>
            <w:vAlign w:val="center"/>
          </w:tcPr>
          <w:p w14:paraId="3911812D" w14:textId="58C14ECF" w:rsidR="00293231" w:rsidRPr="00C61B68" w:rsidRDefault="00293231" w:rsidP="0062753C">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p>
        </w:tc>
        <w:tc>
          <w:tcPr>
            <w:tcW w:w="1942" w:type="dxa"/>
            <w:tcBorders>
              <w:left w:val="none" w:sz="0" w:space="0" w:color="auto"/>
            </w:tcBorders>
            <w:vAlign w:val="center"/>
          </w:tcPr>
          <w:p w14:paraId="6F957363" w14:textId="0F5C0891" w:rsidR="00293231" w:rsidRPr="00C61B68" w:rsidRDefault="00293231" w:rsidP="0062753C">
            <w:pPr>
              <w:spacing w:after="120"/>
              <w:jc w:val="center"/>
              <w:cnfStyle w:val="000000010000" w:firstRow="0" w:lastRow="0" w:firstColumn="0" w:lastColumn="0" w:oddVBand="0" w:evenVBand="0" w:oddHBand="0" w:evenHBand="1" w:firstRowFirstColumn="0" w:firstRowLastColumn="0" w:lastRowFirstColumn="0" w:lastRowLastColumn="0"/>
              <w:rPr>
                <w:rFonts w:eastAsia="Calibri" w:cs="Arial"/>
                <w:rtl/>
              </w:rPr>
            </w:pPr>
          </w:p>
        </w:tc>
      </w:tr>
    </w:tbl>
    <w:p w14:paraId="51E8122F" w14:textId="77777777" w:rsidR="00293231" w:rsidRPr="0035723F" w:rsidRDefault="00293231" w:rsidP="00293231">
      <w:pPr>
        <w:pStyle w:val="Graphnote"/>
      </w:pPr>
      <w:r w:rsidRPr="0035723F">
        <w:t>* Israel’s rank among OECD countries.</w:t>
      </w:r>
    </w:p>
    <w:p w14:paraId="4F0E80AC" w14:textId="77777777" w:rsidR="00293231" w:rsidRPr="0035723F" w:rsidRDefault="00293231" w:rsidP="00293231">
      <w:pPr>
        <w:pStyle w:val="Graphnote"/>
      </w:pPr>
      <w:r w:rsidRPr="0035723F">
        <w:t>Source: USDA and Global Food Security Index</w:t>
      </w:r>
    </w:p>
    <w:p w14:paraId="7A6B1A07" w14:textId="77777777" w:rsidR="00293231" w:rsidRPr="008F3D9C" w:rsidRDefault="00293231" w:rsidP="00293231">
      <w:pPr>
        <w:pStyle w:val="BodyText"/>
      </w:pPr>
      <w:r w:rsidRPr="008F3D9C">
        <w:lastRenderedPageBreak/>
        <w:t>Relying on World Health Organization definitions, also used by the National Insurance Institute of Israel (NII), food security is based on three key pillars:</w:t>
      </w:r>
    </w:p>
    <w:p w14:paraId="79D26CAF" w14:textId="77777777" w:rsidR="00293231" w:rsidRPr="008F3D9C" w:rsidRDefault="00293231" w:rsidP="00293231">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Availability</w:t>
      </w:r>
      <w:r w:rsidRPr="008F3D9C">
        <w:rPr>
          <w:rFonts w:ascii="Calibri" w:eastAsia="Calibri" w:hAnsi="Calibri" w:cs="Arial"/>
          <w:sz w:val="24"/>
          <w:szCs w:val="24"/>
        </w:rPr>
        <w:t>: Sufficient quantities of food available on a consistent basis;</w:t>
      </w:r>
    </w:p>
    <w:p w14:paraId="18A0763B" w14:textId="77777777" w:rsidR="00293231" w:rsidRPr="008F3D9C" w:rsidRDefault="00293231" w:rsidP="00293231">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Access</w:t>
      </w:r>
      <w:r w:rsidRPr="008F3D9C">
        <w:rPr>
          <w:rFonts w:ascii="Calibri" w:eastAsia="Calibri" w:hAnsi="Calibri" w:cs="Arial"/>
          <w:sz w:val="24"/>
          <w:szCs w:val="24"/>
        </w:rPr>
        <w:t>: Sufficient resources to obtain appropriate foods for a nutritious diet;</w:t>
      </w:r>
    </w:p>
    <w:p w14:paraId="5EE46443" w14:textId="77777777" w:rsidR="00293231" w:rsidRPr="008F3D9C" w:rsidRDefault="00293231" w:rsidP="00293231">
      <w:pPr>
        <w:numPr>
          <w:ilvl w:val="0"/>
          <w:numId w:val="6"/>
        </w:numPr>
        <w:spacing w:line="240" w:lineRule="auto"/>
        <w:jc w:val="both"/>
        <w:rPr>
          <w:rFonts w:ascii="Calibri" w:eastAsia="Calibri" w:hAnsi="Calibri" w:cs="Arial"/>
          <w:sz w:val="24"/>
          <w:szCs w:val="24"/>
        </w:rPr>
      </w:pPr>
      <w:r w:rsidRPr="008F3D9C">
        <w:rPr>
          <w:rFonts w:ascii="Calibri" w:eastAsia="Calibri" w:hAnsi="Calibri" w:cs="Arial"/>
          <w:b/>
          <w:bCs/>
          <w:sz w:val="24"/>
          <w:szCs w:val="24"/>
        </w:rPr>
        <w:t>Food Use</w:t>
      </w:r>
      <w:r w:rsidRPr="008F3D9C">
        <w:rPr>
          <w:rFonts w:ascii="Calibri" w:eastAsia="Calibri" w:hAnsi="Calibri" w:cs="Arial"/>
          <w:sz w:val="24"/>
          <w:szCs w:val="24"/>
        </w:rPr>
        <w:t>: Adequate water and sanitation</w:t>
      </w:r>
      <w:r>
        <w:rPr>
          <w:rFonts w:ascii="Calibri" w:eastAsia="Calibri" w:hAnsi="Calibri" w:cs="Arial"/>
          <w:sz w:val="24"/>
          <w:szCs w:val="24"/>
        </w:rPr>
        <w:t>; family’s a</w:t>
      </w:r>
      <w:r w:rsidRPr="008F3D9C">
        <w:rPr>
          <w:rFonts w:ascii="Calibri" w:eastAsia="Calibri" w:hAnsi="Calibri" w:cs="Arial"/>
          <w:sz w:val="24"/>
          <w:szCs w:val="24"/>
        </w:rPr>
        <w:t xml:space="preserve">wareness </w:t>
      </w:r>
      <w:r>
        <w:rPr>
          <w:rFonts w:ascii="Calibri" w:eastAsia="Calibri" w:hAnsi="Calibri" w:cs="Arial"/>
          <w:sz w:val="24"/>
          <w:szCs w:val="24"/>
        </w:rPr>
        <w:t xml:space="preserve">about the </w:t>
      </w:r>
      <w:r w:rsidRPr="008F3D9C">
        <w:rPr>
          <w:rFonts w:ascii="Calibri" w:eastAsia="Calibri" w:hAnsi="Calibri" w:cs="Arial"/>
          <w:sz w:val="24"/>
          <w:szCs w:val="24"/>
        </w:rPr>
        <w:t>proper use of food.</w:t>
      </w:r>
    </w:p>
    <w:p w14:paraId="7AE74C55" w14:textId="77777777" w:rsidR="00293231" w:rsidRPr="008F3D9C" w:rsidRDefault="00293231" w:rsidP="00293231">
      <w:pPr>
        <w:pStyle w:val="BodyText"/>
      </w:pPr>
      <w:r w:rsidRPr="008F3D9C">
        <w:t xml:space="preserve">Using these criteria, which are primarily subjective, the NII estimates that approximately 18% of Israel's population suffers from food insecurity; of this number, </w:t>
      </w:r>
      <w:r w:rsidRPr="004301CD">
        <w:rPr>
          <w:highlight w:val="green"/>
        </w:rPr>
        <w:t>8.8</w:t>
      </w:r>
      <w:r w:rsidRPr="008F3D9C">
        <w:t xml:space="preserve">% are in severe food insecurity, and an additional </w:t>
      </w:r>
      <w:r w:rsidRPr="004301CD">
        <w:rPr>
          <w:highlight w:val="green"/>
        </w:rPr>
        <w:t>9</w:t>
      </w:r>
      <w:r w:rsidRPr="008F3D9C">
        <w:t xml:space="preserve">% in moderate or mild food insecurity. </w:t>
      </w:r>
    </w:p>
    <w:p w14:paraId="16684B99" w14:textId="77777777" w:rsidR="00293231" w:rsidRDefault="00293231" w:rsidP="00293231">
      <w:pPr>
        <w:pStyle w:val="BodyText"/>
      </w:pPr>
      <w:r w:rsidRPr="008F3D9C">
        <w:t>According to The Economist 201</w:t>
      </w:r>
      <w:r>
        <w:t>7</w:t>
      </w:r>
      <w:r w:rsidRPr="008F3D9C">
        <w:t xml:space="preserve"> Global Food Security Index, Israel is ranked </w:t>
      </w:r>
      <w:r w:rsidRPr="004301CD">
        <w:rPr>
          <w:highlight w:val="green"/>
        </w:rPr>
        <w:t>19</w:t>
      </w:r>
      <w:r w:rsidRPr="008F3D9C">
        <w:rPr>
          <w:vertAlign w:val="superscript"/>
        </w:rPr>
        <w:t>th</w:t>
      </w:r>
      <w:r w:rsidRPr="008F3D9C">
        <w:t xml:space="preserve"> in food </w:t>
      </w:r>
      <w:r>
        <w:t>in</w:t>
      </w:r>
      <w:r w:rsidRPr="008F3D9C">
        <w:t xml:space="preserve">security among member states of the OECD. Among OECD countries, Israel is ranked </w:t>
      </w:r>
      <w:r>
        <w:t>9</w:t>
      </w:r>
      <w:r w:rsidRPr="008F3D9C">
        <w:rPr>
          <w:vertAlign w:val="superscript"/>
        </w:rPr>
        <w:t>th</w:t>
      </w:r>
      <w:r w:rsidRPr="008F3D9C">
        <w:t xml:space="preserve"> in household expenditure on food.</w:t>
      </w:r>
    </w:p>
    <w:p w14:paraId="7314D1F3" w14:textId="76BE0C4F" w:rsidR="00293231" w:rsidRDefault="00293231" w:rsidP="00F156F0">
      <w:pPr>
        <w:spacing w:after="0" w:line="240" w:lineRule="auto"/>
        <w:rPr>
          <w:rFonts w:ascii="Calibri" w:eastAsia="Calibri" w:hAnsi="Calibri" w:cs="Arial"/>
          <w:b/>
          <w:bCs/>
        </w:rPr>
      </w:pPr>
      <w:r w:rsidRPr="00C61B68">
        <w:rPr>
          <w:rFonts w:ascii="Calibri" w:eastAsia="Calibri" w:hAnsi="Calibri" w:cs="Arial"/>
          <w:b/>
          <w:bCs/>
        </w:rPr>
        <w:t>Food consumption as a share of</w:t>
      </w:r>
      <w:r>
        <w:rPr>
          <w:rFonts w:ascii="Calibri" w:eastAsia="Calibri" w:hAnsi="Calibri" w:cs="Arial"/>
          <w:b/>
          <w:bCs/>
        </w:rPr>
        <w:t xml:space="preserve"> </w:t>
      </w:r>
      <w:r w:rsidRPr="00C61B68">
        <w:rPr>
          <w:rFonts w:ascii="Calibri" w:eastAsia="Calibri" w:hAnsi="Calibri" w:cs="Arial"/>
          <w:b/>
          <w:bCs/>
        </w:rPr>
        <w:t>household expenditure</w:t>
      </w:r>
      <w:r>
        <w:rPr>
          <w:rFonts w:ascii="Calibri" w:eastAsia="Calibri" w:hAnsi="Calibri" w:cs="Arial"/>
          <w:b/>
          <w:bCs/>
        </w:rPr>
        <w:t xml:space="preserve"> </w:t>
      </w:r>
      <w:r w:rsidRPr="00F156F0">
        <w:rPr>
          <w:rFonts w:ascii="Calibri" w:eastAsia="Calibri" w:hAnsi="Calibri" w:cs="Arial"/>
          <w:b/>
          <w:bCs/>
          <w:highlight w:val="cyan"/>
        </w:rPr>
        <w:t>201</w:t>
      </w:r>
      <w:r w:rsidR="00F156F0" w:rsidRPr="00F156F0">
        <w:rPr>
          <w:rFonts w:ascii="Calibri" w:eastAsia="Calibri" w:hAnsi="Calibri" w:cs="Arial"/>
          <w:b/>
          <w:bCs/>
          <w:highlight w:val="cyan"/>
        </w:rPr>
        <w:t>8</w:t>
      </w:r>
    </w:p>
    <w:p w14:paraId="00C7517D" w14:textId="13DC97D9" w:rsidR="00293231" w:rsidRDefault="00293231" w:rsidP="00293231">
      <w:pPr>
        <w:spacing w:after="0" w:line="240" w:lineRule="auto"/>
        <w:rPr>
          <w:rFonts w:ascii="Calibri" w:eastAsia="Calibri" w:hAnsi="Calibri" w:cs="Arial"/>
          <w:b/>
          <w:bCs/>
        </w:rPr>
      </w:pPr>
    </w:p>
    <w:p w14:paraId="10BA1569" w14:textId="19AF2A86" w:rsidR="00F156F0" w:rsidRDefault="00F156F0" w:rsidP="00293231">
      <w:pPr>
        <w:spacing w:after="0" w:line="240" w:lineRule="auto"/>
        <w:rPr>
          <w:rFonts w:ascii="Calibri" w:eastAsia="Calibri" w:hAnsi="Calibri" w:cs="Arial"/>
          <w:b/>
          <w:bCs/>
        </w:rPr>
      </w:pPr>
      <w:r>
        <w:rPr>
          <w:noProof/>
          <w:lang w:bidi="ar-SA"/>
        </w:rPr>
        <w:lastRenderedPageBreak/>
        <w:drawing>
          <wp:anchor distT="0" distB="0" distL="114300" distR="114300" simplePos="0" relativeHeight="251682816" behindDoc="0" locked="0" layoutInCell="1" allowOverlap="1" wp14:anchorId="6FFF1F48" wp14:editId="721F2DE7">
            <wp:simplePos x="0" y="0"/>
            <wp:positionH relativeFrom="column">
              <wp:posOffset>200025</wp:posOffset>
            </wp:positionH>
            <wp:positionV relativeFrom="paragraph">
              <wp:posOffset>147955</wp:posOffset>
            </wp:positionV>
            <wp:extent cx="3226435" cy="5492750"/>
            <wp:effectExtent l="0" t="0" r="0" b="0"/>
            <wp:wrapTopAndBottom/>
            <wp:docPr id="287429"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4DD40BC0" w14:textId="77777777" w:rsidR="00F156F0" w:rsidRDefault="00F156F0" w:rsidP="00293231">
      <w:pPr>
        <w:spacing w:after="0" w:line="240" w:lineRule="auto"/>
        <w:rPr>
          <w:rFonts w:ascii="Calibri" w:eastAsia="Calibri" w:hAnsi="Calibri" w:cs="Arial"/>
          <w:b/>
          <w:bCs/>
        </w:rPr>
      </w:pPr>
    </w:p>
    <w:p w14:paraId="798DE5C6" w14:textId="3C7FC94A" w:rsidR="00293231" w:rsidRPr="00077E08" w:rsidRDefault="00293231" w:rsidP="00F156F0">
      <w:pPr>
        <w:spacing w:after="0" w:line="240" w:lineRule="auto"/>
        <w:rPr>
          <w:sz w:val="20"/>
          <w:szCs w:val="20"/>
        </w:rPr>
      </w:pPr>
      <w:r w:rsidRPr="00077E08">
        <w:rPr>
          <w:sz w:val="20"/>
          <w:szCs w:val="20"/>
        </w:rPr>
        <w:t>Source: Economist 20</w:t>
      </w:r>
      <w:r w:rsidRPr="00F156F0">
        <w:rPr>
          <w:sz w:val="20"/>
          <w:szCs w:val="20"/>
          <w:highlight w:val="cyan"/>
        </w:rPr>
        <w:t>1</w:t>
      </w:r>
      <w:r w:rsidR="00F156F0" w:rsidRPr="00F156F0">
        <w:rPr>
          <w:sz w:val="20"/>
          <w:szCs w:val="20"/>
          <w:highlight w:val="cyan"/>
        </w:rPr>
        <w:t>8</w:t>
      </w:r>
      <w:r w:rsidR="00F156F0">
        <w:rPr>
          <w:sz w:val="20"/>
          <w:szCs w:val="20"/>
        </w:rPr>
        <w:t xml:space="preserve"> </w:t>
      </w:r>
      <w:r w:rsidRPr="00077E08">
        <w:rPr>
          <w:sz w:val="20"/>
          <w:szCs w:val="20"/>
        </w:rPr>
        <w:t>Global Food Security Index</w:t>
      </w:r>
    </w:p>
    <w:p w14:paraId="53B4D411" w14:textId="77777777" w:rsidR="00293231" w:rsidRDefault="00293231" w:rsidP="00293231">
      <w:pPr>
        <w:spacing w:after="0" w:line="240" w:lineRule="auto"/>
        <w:rPr>
          <w:rFonts w:ascii="Calibri" w:eastAsia="Calibri" w:hAnsi="Calibri" w:cs="Arial"/>
          <w:b/>
          <w:bCs/>
        </w:rPr>
      </w:pPr>
    </w:p>
    <w:p w14:paraId="5B386E36" w14:textId="13BD83DA" w:rsidR="00293231" w:rsidRPr="00077E08" w:rsidRDefault="00293231" w:rsidP="00F156F0">
      <w:pPr>
        <w:spacing w:after="0" w:line="240" w:lineRule="auto"/>
        <w:rPr>
          <w:rFonts w:ascii="Calibri" w:eastAsia="Calibri" w:hAnsi="Calibri" w:cs="Arial"/>
        </w:rPr>
      </w:pPr>
      <w:r w:rsidRPr="00077E08">
        <w:rPr>
          <w:rFonts w:ascii="Calibri" w:eastAsia="Calibri" w:hAnsi="Calibri" w:cs="Arial"/>
          <w:u w:val="single"/>
        </w:rPr>
        <w:t>From top to bottom</w:t>
      </w:r>
      <w:r w:rsidRPr="00077E08">
        <w:rPr>
          <w:rFonts w:ascii="Calibri" w:eastAsia="Calibri" w:hAnsi="Calibri" w:cs="Arial"/>
        </w:rPr>
        <w:t>:</w:t>
      </w:r>
      <w:r>
        <w:rPr>
          <w:rFonts w:ascii="Calibri" w:eastAsia="Calibri" w:hAnsi="Calibri" w:cs="Arial"/>
        </w:rPr>
        <w:t xml:space="preserve"> </w:t>
      </w:r>
      <w:r w:rsidR="00F156F0" w:rsidRPr="00F156F0">
        <w:rPr>
          <w:rFonts w:ascii="Calibri" w:eastAsia="Calibri" w:hAnsi="Calibri" w:cs="Arial"/>
          <w:highlight w:val="cyan"/>
        </w:rPr>
        <w:t xml:space="preserve">Mexico, </w:t>
      </w:r>
      <w:r w:rsidRPr="00F156F0">
        <w:rPr>
          <w:rFonts w:ascii="Calibri" w:eastAsia="Calibri" w:hAnsi="Calibri" w:cs="Arial"/>
          <w:highlight w:val="cyan"/>
        </w:rPr>
        <w:t xml:space="preserve">Turkey, Hungary, Slovakia, </w:t>
      </w:r>
      <w:r w:rsidR="00F156F0" w:rsidRPr="00F156F0">
        <w:rPr>
          <w:rFonts w:ascii="Calibri" w:eastAsia="Calibri" w:hAnsi="Calibri" w:cs="Arial"/>
          <w:highlight w:val="cyan"/>
        </w:rPr>
        <w:t xml:space="preserve">Portugal, </w:t>
      </w:r>
      <w:r w:rsidRPr="00F156F0">
        <w:rPr>
          <w:rFonts w:ascii="Calibri" w:eastAsia="Calibri" w:hAnsi="Calibri" w:cs="Arial"/>
          <w:highlight w:val="cyan"/>
        </w:rPr>
        <w:t xml:space="preserve">Poland, </w:t>
      </w:r>
      <w:r w:rsidR="00F156F0" w:rsidRPr="00F156F0">
        <w:rPr>
          <w:rFonts w:ascii="Calibri" w:eastAsia="Calibri" w:hAnsi="Calibri" w:cs="Arial"/>
          <w:color w:val="FF0000"/>
          <w:highlight w:val="cyan"/>
        </w:rPr>
        <w:t>Israel</w:t>
      </w:r>
      <w:r w:rsidR="00F156F0" w:rsidRPr="00F156F0">
        <w:rPr>
          <w:rFonts w:ascii="Calibri" w:eastAsia="Calibri" w:hAnsi="Calibri" w:cs="Arial"/>
          <w:highlight w:val="cyan"/>
        </w:rPr>
        <w:t xml:space="preserve">, Czech Republic, </w:t>
      </w:r>
      <w:r w:rsidRPr="00F156F0">
        <w:rPr>
          <w:rFonts w:ascii="Calibri" w:eastAsia="Calibri" w:hAnsi="Calibri" w:cs="Arial"/>
          <w:highlight w:val="cyan"/>
        </w:rPr>
        <w:t xml:space="preserve">Greece, Chile, </w:t>
      </w:r>
      <w:r w:rsidR="00F156F0" w:rsidRPr="00F156F0">
        <w:rPr>
          <w:rFonts w:ascii="Calibri" w:eastAsia="Calibri" w:hAnsi="Calibri" w:cs="Arial"/>
          <w:highlight w:val="cyan"/>
        </w:rPr>
        <w:t xml:space="preserve">Japan, </w:t>
      </w:r>
      <w:r w:rsidRPr="00F156F0">
        <w:rPr>
          <w:rFonts w:ascii="Calibri" w:eastAsia="Calibri" w:hAnsi="Calibri" w:cs="Arial"/>
          <w:highlight w:val="cyan"/>
        </w:rPr>
        <w:t xml:space="preserve">Italy, </w:t>
      </w:r>
      <w:r w:rsidR="00F156F0" w:rsidRPr="00F156F0">
        <w:rPr>
          <w:rFonts w:ascii="Calibri" w:eastAsia="Calibri" w:hAnsi="Calibri" w:cs="Arial"/>
          <w:highlight w:val="cyan"/>
        </w:rPr>
        <w:t xml:space="preserve">New Zealand, </w:t>
      </w:r>
      <w:r w:rsidRPr="00F156F0">
        <w:rPr>
          <w:rFonts w:ascii="Calibri" w:eastAsia="Calibri" w:hAnsi="Calibri" w:cs="Arial"/>
          <w:color w:val="00B050"/>
          <w:highlight w:val="cyan"/>
        </w:rPr>
        <w:t>OECD average</w:t>
      </w:r>
      <w:r w:rsidRPr="00F156F0">
        <w:rPr>
          <w:rFonts w:ascii="Calibri" w:eastAsia="Calibri" w:hAnsi="Calibri" w:cs="Arial"/>
          <w:highlight w:val="cyan"/>
        </w:rPr>
        <w:t xml:space="preserve">, </w:t>
      </w:r>
      <w:r w:rsidR="00F156F0" w:rsidRPr="00F156F0">
        <w:rPr>
          <w:rFonts w:ascii="Calibri" w:eastAsia="Calibri" w:hAnsi="Calibri" w:cs="Arial"/>
          <w:highlight w:val="cyan"/>
        </w:rPr>
        <w:t xml:space="preserve">Spain, </w:t>
      </w:r>
      <w:r w:rsidRPr="00F156F0">
        <w:rPr>
          <w:rFonts w:ascii="Calibri" w:eastAsia="Calibri" w:hAnsi="Calibri" w:cs="Arial"/>
          <w:highlight w:val="cyan"/>
        </w:rPr>
        <w:t xml:space="preserve">France, Belgium, </w:t>
      </w:r>
      <w:r w:rsidR="00F156F0" w:rsidRPr="00F156F0">
        <w:rPr>
          <w:rFonts w:ascii="Calibri" w:eastAsia="Calibri" w:hAnsi="Calibri" w:cs="Arial"/>
          <w:highlight w:val="cyan"/>
        </w:rPr>
        <w:t xml:space="preserve">Sweden, Norway, </w:t>
      </w:r>
      <w:r w:rsidRPr="00F156F0">
        <w:rPr>
          <w:rFonts w:ascii="Calibri" w:eastAsia="Calibri" w:hAnsi="Calibri" w:cs="Arial"/>
          <w:highlight w:val="cyan"/>
        </w:rPr>
        <w:t>Finland, Holland, Denmark, Germany</w:t>
      </w:r>
      <w:r w:rsidR="00F156F0" w:rsidRPr="00F156F0">
        <w:rPr>
          <w:rFonts w:ascii="Calibri" w:eastAsia="Calibri" w:hAnsi="Calibri" w:cs="Arial"/>
          <w:highlight w:val="cyan"/>
        </w:rPr>
        <w:t>,</w:t>
      </w:r>
      <w:r w:rsidRPr="00F156F0">
        <w:rPr>
          <w:rFonts w:ascii="Calibri" w:eastAsia="Calibri" w:hAnsi="Calibri" w:cs="Arial"/>
          <w:highlight w:val="cyan"/>
        </w:rPr>
        <w:t xml:space="preserve"> </w:t>
      </w:r>
      <w:r w:rsidR="00F156F0" w:rsidRPr="00F156F0">
        <w:rPr>
          <w:rFonts w:ascii="Calibri" w:eastAsia="Calibri" w:hAnsi="Calibri" w:cs="Arial"/>
          <w:highlight w:val="cyan"/>
        </w:rPr>
        <w:t xml:space="preserve">Austria, </w:t>
      </w:r>
      <w:r w:rsidRPr="00F156F0">
        <w:rPr>
          <w:rFonts w:ascii="Calibri" w:eastAsia="Calibri" w:hAnsi="Calibri" w:cs="Arial"/>
          <w:highlight w:val="cyan"/>
        </w:rPr>
        <w:t>Australia, Ireland, Canada, Switzerland, Great Britain, USA.</w:t>
      </w:r>
    </w:p>
    <w:p w14:paraId="1EE8E5E3" w14:textId="77777777" w:rsidR="00293231" w:rsidRDefault="00293231" w:rsidP="00293231">
      <w:pPr>
        <w:spacing w:after="0" w:line="240" w:lineRule="auto"/>
        <w:rPr>
          <w:rFonts w:ascii="Calibri" w:eastAsia="Calibri" w:hAnsi="Calibri" w:cs="Arial"/>
          <w:b/>
          <w:bCs/>
        </w:rPr>
      </w:pPr>
    </w:p>
    <w:p w14:paraId="67C7E7E4" w14:textId="4DBF0C9C" w:rsidR="00293231" w:rsidRPr="008F3D9C" w:rsidRDefault="00293231" w:rsidP="00F156F0">
      <w:pPr>
        <w:spacing w:after="0" w:line="240" w:lineRule="auto"/>
        <w:rPr>
          <w:rFonts w:ascii="Calibri" w:eastAsia="Calibri" w:hAnsi="Calibri" w:cs="Arial"/>
          <w:b/>
          <w:bCs/>
        </w:rPr>
      </w:pPr>
      <w:r>
        <w:rPr>
          <w:rFonts w:ascii="Calibri" w:eastAsia="Calibri" w:hAnsi="Calibri" w:cs="Arial"/>
          <w:b/>
          <w:bCs/>
        </w:rPr>
        <w:br w:type="column"/>
      </w:r>
      <w:r w:rsidR="00F156F0" w:rsidRPr="00F156F0">
        <w:rPr>
          <w:rFonts w:ascii="Calibri" w:eastAsia="Calibri" w:hAnsi="Calibri" w:cs="Arial"/>
          <w:b/>
          <w:bCs/>
          <w:highlight w:val="cyan"/>
        </w:rPr>
        <w:lastRenderedPageBreak/>
        <w:t>Poverty Rate</w:t>
      </w:r>
      <w:r w:rsidRPr="008F3D9C">
        <w:rPr>
          <w:rFonts w:ascii="Calibri" w:eastAsia="Calibri" w:hAnsi="Calibri" w:cs="Arial"/>
          <w:b/>
          <w:bCs/>
        </w:rPr>
        <w:t xml:space="preserve"> - International Comparison </w:t>
      </w:r>
      <w:r>
        <w:rPr>
          <w:rFonts w:ascii="Calibri" w:eastAsia="Calibri" w:hAnsi="Calibri" w:cs="Arial"/>
          <w:b/>
          <w:bCs/>
        </w:rPr>
        <w:t>201</w:t>
      </w:r>
      <w:r w:rsidR="00F156F0" w:rsidRPr="00F156F0">
        <w:rPr>
          <w:rFonts w:ascii="Calibri" w:eastAsia="Calibri" w:hAnsi="Calibri" w:cs="Arial"/>
          <w:b/>
          <w:bCs/>
          <w:highlight w:val="cyan"/>
        </w:rPr>
        <w:t>8</w:t>
      </w:r>
    </w:p>
    <w:p w14:paraId="7B17F908" w14:textId="77777777" w:rsidR="00293231" w:rsidRDefault="00293231" w:rsidP="00293231">
      <w:pPr>
        <w:spacing w:after="0" w:line="240" w:lineRule="auto"/>
        <w:jc w:val="center"/>
        <w:rPr>
          <w:rFonts w:asciiTheme="majorBidi" w:hAnsiTheme="majorBidi" w:cstheme="majorBidi"/>
        </w:rPr>
      </w:pPr>
    </w:p>
    <w:p w14:paraId="61B994A0" w14:textId="178D6D5C" w:rsidR="00293231" w:rsidRDefault="00F156F0" w:rsidP="00293231">
      <w:pPr>
        <w:spacing w:after="0" w:line="240" w:lineRule="auto"/>
        <w:rPr>
          <w:noProof/>
          <w:lang w:bidi="ar-SA"/>
        </w:rPr>
      </w:pPr>
      <w:r>
        <w:rPr>
          <w:noProof/>
          <w:lang w:bidi="ar-SA"/>
        </w:rPr>
        <w:drawing>
          <wp:anchor distT="0" distB="0" distL="114300" distR="114300" simplePos="0" relativeHeight="251684864" behindDoc="0" locked="0" layoutInCell="1" allowOverlap="1" wp14:anchorId="27A91500" wp14:editId="36870CBF">
            <wp:simplePos x="0" y="0"/>
            <wp:positionH relativeFrom="column">
              <wp:posOffset>1333500</wp:posOffset>
            </wp:positionH>
            <wp:positionV relativeFrom="paragraph">
              <wp:posOffset>64135</wp:posOffset>
            </wp:positionV>
            <wp:extent cx="2762250" cy="5581650"/>
            <wp:effectExtent l="0" t="0" r="0" b="0"/>
            <wp:wrapTopAndBottom/>
            <wp:docPr id="287430"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14:paraId="62ED0F52" w14:textId="77777777" w:rsidR="00F156F0" w:rsidRDefault="00F156F0" w:rsidP="00293231">
      <w:pPr>
        <w:spacing w:after="0" w:line="240" w:lineRule="auto"/>
        <w:rPr>
          <w:rFonts w:ascii="Calibri" w:eastAsia="Calibri" w:hAnsi="Calibri" w:cs="Arial"/>
          <w:u w:val="single"/>
        </w:rPr>
      </w:pPr>
    </w:p>
    <w:p w14:paraId="2787AD8C" w14:textId="00C06DC7" w:rsidR="00293231" w:rsidRPr="00077E08" w:rsidRDefault="00293231" w:rsidP="00E5089A">
      <w:pPr>
        <w:spacing w:after="0" w:line="240" w:lineRule="auto"/>
        <w:rPr>
          <w:rFonts w:ascii="Calibri" w:eastAsia="Calibri" w:hAnsi="Calibri" w:cs="Arial"/>
        </w:rPr>
      </w:pPr>
      <w:r w:rsidRPr="00077E08">
        <w:rPr>
          <w:rFonts w:ascii="Calibri" w:eastAsia="Calibri" w:hAnsi="Calibri" w:cs="Arial"/>
          <w:u w:val="single"/>
        </w:rPr>
        <w:t>From top to bottom</w:t>
      </w:r>
      <w:r w:rsidRPr="00077E08">
        <w:rPr>
          <w:rFonts w:ascii="Calibri" w:eastAsia="Calibri" w:hAnsi="Calibri" w:cs="Arial"/>
        </w:rPr>
        <w:t>:</w:t>
      </w:r>
      <w:r>
        <w:rPr>
          <w:rFonts w:ascii="Calibri" w:eastAsia="Calibri" w:hAnsi="Calibri" w:cs="Arial"/>
        </w:rPr>
        <w:t xml:space="preserve"> </w:t>
      </w:r>
      <w:r w:rsidR="00F156F0" w:rsidRPr="00E5089A">
        <w:rPr>
          <w:rFonts w:ascii="Calibri" w:eastAsia="Calibri" w:hAnsi="Calibri" w:cs="Arial"/>
          <w:highlight w:val="cyan"/>
        </w:rPr>
        <w:t xml:space="preserve">USA, </w:t>
      </w:r>
      <w:r w:rsidR="00F156F0" w:rsidRPr="00E5089A">
        <w:rPr>
          <w:rFonts w:ascii="Calibri" w:eastAsia="Calibri" w:hAnsi="Calibri" w:cs="Arial"/>
          <w:color w:val="FF0000"/>
          <w:highlight w:val="cyan"/>
        </w:rPr>
        <w:t>Israel</w:t>
      </w:r>
      <w:r w:rsidR="00F156F0" w:rsidRPr="00E5089A">
        <w:rPr>
          <w:rFonts w:ascii="Calibri" w:eastAsia="Calibri" w:hAnsi="Calibri" w:cs="Arial"/>
          <w:highlight w:val="cyan"/>
        </w:rPr>
        <w:t xml:space="preserve">, </w:t>
      </w:r>
      <w:r w:rsidRPr="00E5089A">
        <w:rPr>
          <w:rFonts w:ascii="Calibri" w:eastAsia="Calibri" w:hAnsi="Calibri" w:cs="Arial"/>
          <w:highlight w:val="cyan"/>
        </w:rPr>
        <w:t xml:space="preserve">Turkey, Mexico, </w:t>
      </w:r>
      <w:r w:rsidR="00E5089A" w:rsidRPr="00E5089A">
        <w:rPr>
          <w:rFonts w:ascii="Calibri" w:eastAsia="Calibri" w:hAnsi="Calibri" w:cs="Arial"/>
          <w:highlight w:val="cyan"/>
        </w:rPr>
        <w:t xml:space="preserve">Estonia, Spain, Greece, Korea, Italy, Portugal, Canada, UK, Luxemburg, </w:t>
      </w:r>
      <w:r w:rsidR="00E5089A" w:rsidRPr="00E5089A">
        <w:rPr>
          <w:rFonts w:ascii="Calibri" w:eastAsia="Calibri" w:hAnsi="Calibri" w:cs="Arial"/>
          <w:color w:val="00B050"/>
          <w:highlight w:val="cyan"/>
        </w:rPr>
        <w:t>OECD average</w:t>
      </w:r>
      <w:r w:rsidR="00E5089A" w:rsidRPr="00E5089A">
        <w:rPr>
          <w:rFonts w:ascii="Calibri" w:eastAsia="Calibri" w:hAnsi="Calibri" w:cs="Arial"/>
          <w:highlight w:val="cyan"/>
        </w:rPr>
        <w:t>, New Zealand, Poland, Hungary, Germany, Ireland, Austria, Belgium, Switzerland, Sweden, Slovenia, Slovakia, France, Holland, Norway, Finland, Czech Republic,</w:t>
      </w:r>
      <w:r w:rsidRPr="00E5089A">
        <w:rPr>
          <w:rFonts w:ascii="Calibri" w:eastAsia="Calibri" w:hAnsi="Calibri" w:cs="Arial"/>
          <w:highlight w:val="cyan"/>
        </w:rPr>
        <w:t xml:space="preserve"> Denmark, </w:t>
      </w:r>
      <w:r w:rsidR="00E5089A" w:rsidRPr="00E5089A">
        <w:rPr>
          <w:rFonts w:ascii="Calibri" w:eastAsia="Calibri" w:hAnsi="Calibri" w:cs="Arial"/>
          <w:highlight w:val="cyan"/>
        </w:rPr>
        <w:t>Iceland</w:t>
      </w:r>
      <w:r w:rsidRPr="00E5089A">
        <w:rPr>
          <w:rFonts w:ascii="Calibri" w:eastAsia="Calibri" w:hAnsi="Calibri" w:cs="Arial"/>
          <w:highlight w:val="cyan"/>
        </w:rPr>
        <w:t>.</w:t>
      </w:r>
      <w:r w:rsidR="00E5089A">
        <w:rPr>
          <w:rFonts w:ascii="Calibri" w:eastAsia="Calibri" w:hAnsi="Calibri" w:cs="Arial"/>
        </w:rPr>
        <w:t xml:space="preserve"> </w:t>
      </w:r>
    </w:p>
    <w:p w14:paraId="1B198B29" w14:textId="3B2B1F32" w:rsidR="00293231" w:rsidRDefault="00E5089A" w:rsidP="00293231">
      <w:pPr>
        <w:spacing w:after="0" w:line="240" w:lineRule="auto"/>
        <w:rPr>
          <w:rFonts w:ascii="Calibri" w:eastAsia="Calibri" w:hAnsi="Calibri" w:cs="Arial"/>
          <w:b/>
          <w:bCs/>
        </w:rPr>
        <w:sectPr w:rsidR="00293231" w:rsidSect="0062753C">
          <w:headerReference w:type="default" r:id="rId41"/>
          <w:footerReference w:type="default" r:id="rId42"/>
          <w:pgSz w:w="11907" w:h="16839" w:code="9"/>
          <w:pgMar w:top="1702" w:right="1440" w:bottom="1440" w:left="1440" w:header="720" w:footer="720" w:gutter="0"/>
          <w:cols w:space="510"/>
          <w:titlePg/>
          <w:docGrid w:linePitch="360"/>
        </w:sectPr>
      </w:pPr>
      <w:r>
        <w:rPr>
          <w:rFonts w:ascii="Calibri" w:eastAsia="Calibri" w:hAnsi="Calibri" w:cs="Arial"/>
        </w:rPr>
        <w:t>,</w:t>
      </w:r>
    </w:p>
    <w:p w14:paraId="3DFC5952" w14:textId="172E2933" w:rsidR="00293231" w:rsidRPr="008F3D9C" w:rsidRDefault="00293231" w:rsidP="00150AFB">
      <w:pPr>
        <w:pStyle w:val="BodyText"/>
      </w:pPr>
      <w:r w:rsidRPr="008F3D9C">
        <w:rPr>
          <w:rFonts w:eastAsia="Times New Roman"/>
        </w:rPr>
        <w:lastRenderedPageBreak/>
        <w:t xml:space="preserve">Comparison of inequality </w:t>
      </w:r>
      <w:r w:rsidRPr="008F3D9C">
        <w:t xml:space="preserve">and </w:t>
      </w:r>
      <w:r w:rsidR="00E5089A" w:rsidRPr="00E5089A">
        <w:rPr>
          <w:highlight w:val="cyan"/>
        </w:rPr>
        <w:t>poverty rate</w:t>
      </w:r>
      <w:r w:rsidRPr="008F3D9C">
        <w:t xml:space="preserve"> data indicates that the US and Israel have similarly high inequality and poverty levels, however food security in the US is paradoxically among the highest in the developed world. It seems that the high US measure of food security, despite high general inequality, is the result of many years of public awareness to the problem of food insecurity, </w:t>
      </w:r>
      <w:r w:rsidRPr="00E87FBE">
        <w:rPr>
          <w:highlight w:val="cyan"/>
        </w:rPr>
        <w:t xml:space="preserve">evident </w:t>
      </w:r>
      <w:r w:rsidR="00E87FBE" w:rsidRPr="00E87FBE">
        <w:rPr>
          <w:highlight w:val="cyan"/>
        </w:rPr>
        <w:t>in programs like</w:t>
      </w:r>
      <w:r w:rsidRPr="00E87FBE">
        <w:rPr>
          <w:highlight w:val="cyan"/>
        </w:rPr>
        <w:t xml:space="preserve"> </w:t>
      </w:r>
      <w:r w:rsidR="00E87FBE" w:rsidRPr="00E87FBE">
        <w:rPr>
          <w:highlight w:val="cyan"/>
        </w:rPr>
        <w:t>SNAP</w:t>
      </w:r>
      <w:r w:rsidR="00E87FBE">
        <w:t xml:space="preserve"> (</w:t>
      </w:r>
      <w:r w:rsidRPr="008F3D9C">
        <w:t>food stamp</w:t>
      </w:r>
      <w:r w:rsidR="00E87FBE">
        <w:t>s</w:t>
      </w:r>
      <w:r w:rsidRPr="008F3D9C">
        <w:t>) t</w:t>
      </w:r>
      <w:r w:rsidR="00150AFB">
        <w:t xml:space="preserve">hat </w:t>
      </w:r>
      <w:r w:rsidRPr="008F3D9C">
        <w:t xml:space="preserve">ensure </w:t>
      </w:r>
      <w:r>
        <w:t xml:space="preserve">adequate </w:t>
      </w:r>
      <w:r w:rsidRPr="008F3D9C">
        <w:t>food provision</w:t>
      </w:r>
      <w:r w:rsidR="00150AFB">
        <w:t>s for</w:t>
      </w:r>
      <w:r w:rsidRPr="008F3D9C">
        <w:t xml:space="preserve"> the needy. Furthermore, the US is a pioneer in </w:t>
      </w:r>
      <w:r>
        <w:t xml:space="preserve">supporting </w:t>
      </w:r>
      <w:r w:rsidRPr="008F3D9C">
        <w:t>food banks</w:t>
      </w:r>
      <w:r>
        <w:t>’</w:t>
      </w:r>
      <w:r w:rsidRPr="008F3D9C">
        <w:t xml:space="preserve"> </w:t>
      </w:r>
      <w:r>
        <w:t xml:space="preserve">efforts </w:t>
      </w:r>
      <w:r w:rsidRPr="008F3D9C">
        <w:t xml:space="preserve">to </w:t>
      </w:r>
      <w:r>
        <w:t xml:space="preserve">recover </w:t>
      </w:r>
      <w:r w:rsidRPr="008F3D9C">
        <w:t>surplus food and distribute it to underprivileged populations</w:t>
      </w:r>
      <w:r w:rsidR="00150AFB">
        <w:t>,</w:t>
      </w:r>
      <w:r w:rsidRPr="008F3D9C">
        <w:t xml:space="preserve"> and is </w:t>
      </w:r>
      <w:r>
        <w:t xml:space="preserve">also </w:t>
      </w:r>
      <w:r w:rsidRPr="008F3D9C">
        <w:t xml:space="preserve">a world leader in establishing policies to remove obstacles for food waste and reuse. </w:t>
      </w:r>
    </w:p>
    <w:p w14:paraId="14FB65D3" w14:textId="77777777" w:rsidR="00293231" w:rsidRPr="009C4CDA" w:rsidRDefault="00293231" w:rsidP="00293231">
      <w:pPr>
        <w:pStyle w:val="BodyText"/>
      </w:pPr>
      <w:r w:rsidRPr="009C4CDA">
        <w:t xml:space="preserve">Despite similar inequality and poverty rates in Israel and the US, food expenses as part of the Personal Consumption Expenditure (PCE) in Israel is among the highest in the world, measured at </w:t>
      </w:r>
      <w:r w:rsidRPr="004301CD">
        <w:rPr>
          <w:highlight w:val="green"/>
        </w:rPr>
        <w:t>17</w:t>
      </w:r>
      <w:r w:rsidRPr="009C4CDA">
        <w:t>%</w:t>
      </w:r>
      <w:r>
        <w:t>,</w:t>
      </w:r>
      <w:r w:rsidRPr="009C4CDA">
        <w:t xml:space="preserve"> 2.5 times th</w:t>
      </w:r>
      <w:r>
        <w:t>e r</w:t>
      </w:r>
      <w:r w:rsidRPr="009C4CDA">
        <w:t>at</w:t>
      </w:r>
      <w:r>
        <w:t>e in</w:t>
      </w:r>
      <w:r w:rsidRPr="009C4CDA">
        <w:t xml:space="preserve"> the US. Therefore, a policy of food rescue and distribution to the underprivileged populace would be an </w:t>
      </w:r>
      <w:r>
        <w:t>especially</w:t>
      </w:r>
      <w:r w:rsidRPr="009C4CDA">
        <w:t xml:space="preserve"> effective welfare policy </w:t>
      </w:r>
      <w:r>
        <w:t xml:space="preserve">in </w:t>
      </w:r>
      <w:r w:rsidRPr="009C4CDA">
        <w:t xml:space="preserve">Israel, where a significant portion of household expenditure is allocated to food. </w:t>
      </w:r>
    </w:p>
    <w:p w14:paraId="0B7E0AA0" w14:textId="77777777" w:rsidR="00293231" w:rsidRPr="008F3D9C" w:rsidRDefault="00293231" w:rsidP="00293231">
      <w:pPr>
        <w:pStyle w:val="BodyText"/>
        <w:rPr>
          <w:rFonts w:cs="Arial"/>
          <w:caps/>
          <w:color w:val="444444"/>
          <w:sz w:val="40"/>
          <w:szCs w:val="40"/>
        </w:rPr>
      </w:pPr>
      <w:r w:rsidRPr="008F3D9C">
        <w:t xml:space="preserve">The definition of food security is subjective. In order to examine food rescue effectiveness as a policy measure to increase food security in Israel, </w:t>
      </w:r>
      <w:r>
        <w:t xml:space="preserve">the report used </w:t>
      </w:r>
      <w:r w:rsidRPr="008F3D9C">
        <w:t xml:space="preserve">the methodology of </w:t>
      </w:r>
      <w:proofErr w:type="spellStart"/>
      <w:r w:rsidRPr="008F3D9C">
        <w:t>Chernichovsky</w:t>
      </w:r>
      <w:proofErr w:type="spellEnd"/>
      <w:r w:rsidRPr="008F3D9C">
        <w:t xml:space="preserve"> and Regev</w:t>
      </w:r>
      <w:r w:rsidRPr="008F3D9C">
        <w:rPr>
          <w:rFonts w:cs="Arial"/>
          <w:vertAlign w:val="superscript"/>
          <w:rtl/>
        </w:rPr>
        <w:footnoteReference w:id="13"/>
      </w:r>
      <w:r w:rsidRPr="008F3D9C">
        <w:t xml:space="preserve"> w</w:t>
      </w:r>
      <w:r>
        <w:t xml:space="preserve">hich </w:t>
      </w:r>
      <w:r w:rsidRPr="008F3D9C">
        <w:t>define</w:t>
      </w:r>
      <w:r>
        <w:t>s</w:t>
      </w:r>
      <w:r w:rsidRPr="008F3D9C">
        <w:t xml:space="preserve"> normative food expenditure as a measure of </w:t>
      </w:r>
      <w:r>
        <w:t xml:space="preserve">a household’s </w:t>
      </w:r>
      <w:r w:rsidRPr="008F3D9C">
        <w:t xml:space="preserve">expenditure </w:t>
      </w:r>
      <w:r>
        <w:t xml:space="preserve">basket </w:t>
      </w:r>
      <w:r w:rsidRPr="008F3D9C">
        <w:t xml:space="preserve">that remains constant even with an increase </w:t>
      </w:r>
      <w:r>
        <w:t>in</w:t>
      </w:r>
      <w:r w:rsidRPr="008F3D9C">
        <w:t xml:space="preserve"> household income. </w:t>
      </w:r>
    </w:p>
    <w:p w14:paraId="7D6A4DB9" w14:textId="77777777" w:rsidR="00293231" w:rsidRPr="008F3D9C" w:rsidRDefault="00293231" w:rsidP="00293231">
      <w:pPr>
        <w:pStyle w:val="BodyText"/>
        <w:spacing w:after="0"/>
        <w:rPr>
          <w:rFonts w:cs="Arial"/>
          <w:caps/>
          <w:color w:val="444444"/>
          <w:sz w:val="40"/>
          <w:szCs w:val="40"/>
        </w:rPr>
      </w:pPr>
      <w:r w:rsidRPr="008F3D9C">
        <w:t>To examine normative food expenditur</w:t>
      </w:r>
      <w:r>
        <w:t>e,</w:t>
      </w:r>
      <w:r w:rsidRPr="008F3D9C">
        <w:rPr>
          <w:rFonts w:cs="Arial"/>
          <w:vertAlign w:val="superscript"/>
          <w:rtl/>
        </w:rPr>
        <w:footnoteReference w:id="14"/>
      </w:r>
      <w:r>
        <w:t xml:space="preserve"> we compared </w:t>
      </w:r>
      <w:r w:rsidRPr="008F3D9C">
        <w:t xml:space="preserve">expenditure on food of the lowest percentiles relative to normative levels. Analysis of the data demonstrates that in the </w:t>
      </w:r>
      <w:proofErr w:type="gramStart"/>
      <w:r w:rsidRPr="008F3D9C">
        <w:t>t</w:t>
      </w:r>
      <w:r>
        <w:t xml:space="preserve">wo </w:t>
      </w:r>
      <w:r w:rsidRPr="008F3D9C">
        <w:t xml:space="preserve"> lowest</w:t>
      </w:r>
      <w:proofErr w:type="gramEnd"/>
      <w:r w:rsidRPr="008F3D9C">
        <w:t xml:space="preserve"> percentiles (in terms of standard per capita consumption), food expenditure was roughly half that of the normative level. </w:t>
      </w:r>
    </w:p>
    <w:p w14:paraId="2A69AF51" w14:textId="77777777" w:rsidR="00E87FBE" w:rsidRDefault="00293231" w:rsidP="00E87FBE">
      <w:pPr>
        <w:keepNext/>
        <w:spacing w:after="0" w:line="240" w:lineRule="auto"/>
        <w:jc w:val="center"/>
        <w:rPr>
          <w:noProof/>
          <w:lang w:bidi="ar-SA"/>
        </w:rPr>
      </w:pPr>
      <w:r w:rsidRPr="008F3D9C">
        <w:rPr>
          <w:b/>
          <w:bCs/>
        </w:rPr>
        <w:lastRenderedPageBreak/>
        <w:t xml:space="preserve">Per Capita Food Expenditure in Israel to Normative </w:t>
      </w:r>
      <w:r w:rsidRPr="008F3D9C">
        <w:rPr>
          <w:b/>
          <w:bCs/>
          <w:shd w:val="clear" w:color="auto" w:fill="FFFFFF" w:themeFill="background1"/>
        </w:rPr>
        <w:t>Expenditure (percentile distribution</w:t>
      </w:r>
      <w:r>
        <w:rPr>
          <w:b/>
          <w:bCs/>
          <w:shd w:val="clear" w:color="auto" w:fill="FFFFFF" w:themeFill="background1"/>
        </w:rPr>
        <w:t>)</w:t>
      </w:r>
      <w:r>
        <w:rPr>
          <w:noProof/>
          <w:lang w:bidi="ar-SA"/>
        </w:rPr>
        <w:t xml:space="preserve"> </w:t>
      </w:r>
    </w:p>
    <w:p w14:paraId="7234BBD9" w14:textId="788DB750" w:rsidR="00293231" w:rsidRPr="008F3D9C" w:rsidRDefault="00E87FBE" w:rsidP="00293231">
      <w:pPr>
        <w:spacing w:after="0" w:line="240" w:lineRule="auto"/>
        <w:jc w:val="center"/>
        <w:rPr>
          <w:b/>
          <w:bCs/>
        </w:rPr>
      </w:pPr>
      <w:r>
        <w:rPr>
          <w:noProof/>
          <w:lang w:bidi="ar-SA"/>
        </w:rPr>
        <w:drawing>
          <wp:inline distT="0" distB="0" distL="0" distR="0" wp14:anchorId="6FBE70EB" wp14:editId="77FEE71F">
            <wp:extent cx="5499597" cy="3352800"/>
            <wp:effectExtent l="0" t="0" r="6350" b="0"/>
            <wp:docPr id="287431"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293231" w:rsidRPr="008F3D9C">
        <w:rPr>
          <w:noProof/>
          <w:lang w:bidi="ar-SA"/>
        </w:rPr>
        <mc:AlternateContent>
          <mc:Choice Requires="wps">
            <w:drawing>
              <wp:anchor distT="0" distB="0" distL="114300" distR="114300" simplePos="0" relativeHeight="251676672" behindDoc="0" locked="0" layoutInCell="1" allowOverlap="1" wp14:anchorId="4C3FD39F" wp14:editId="4B3E26F7">
                <wp:simplePos x="0" y="0"/>
                <wp:positionH relativeFrom="column">
                  <wp:posOffset>1171575</wp:posOffset>
                </wp:positionH>
                <wp:positionV relativeFrom="paragraph">
                  <wp:posOffset>967105</wp:posOffset>
                </wp:positionV>
                <wp:extent cx="885825" cy="371475"/>
                <wp:effectExtent l="0" t="0" r="0" b="0"/>
                <wp:wrapNone/>
                <wp:docPr id="3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85825" cy="371475"/>
                        </a:xfrm>
                        <a:prstGeom prst="rect">
                          <a:avLst/>
                        </a:prstGeom>
                        <a:noFill/>
                        <a:ln w="9525">
                          <a:noFill/>
                          <a:miter lim="800000"/>
                          <a:headEnd/>
                          <a:tailEnd/>
                        </a:ln>
                      </wps:spPr>
                      <wps:txbx>
                        <w:txbxContent>
                          <w:p w14:paraId="48418817" w14:textId="77777777" w:rsidR="00625208" w:rsidRPr="00441EB3" w:rsidRDefault="00625208" w:rsidP="00293231">
                            <w:pPr>
                              <w:jc w:val="center"/>
                              <w:rPr>
                                <w:sz w:val="18"/>
                                <w:szCs w:val="1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FD39F" id="תיבת טקסט 2" o:spid="_x0000_s1043" type="#_x0000_t202" style="position:absolute;left:0;text-align:left;margin-left:92.25pt;margin-top:76.15pt;width:69.75pt;height:29.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" filled="f" stroked="f">
                <v:textbox>
                  <w:txbxContent>
                    <w:p w14:paraId="48418817" w14:textId="77777777" w:rsidR="00625208" w:rsidRPr="00441EB3" w:rsidRDefault="00625208" w:rsidP="00293231">
                      <w:pPr>
                        <w:jc w:val="center"/>
                        <w:rPr>
                          <w:sz w:val="18"/>
                          <w:szCs w:val="18"/>
                          <w:rtl/>
                        </w:rPr>
                      </w:pPr>
                    </w:p>
                  </w:txbxContent>
                </v:textbox>
              </v:shape>
            </w:pict>
          </mc:Fallback>
        </mc:AlternateContent>
      </w:r>
    </w:p>
    <w:p w14:paraId="6C176798" w14:textId="4A52DEC0" w:rsidR="00293231" w:rsidRPr="00147199" w:rsidRDefault="00293231" w:rsidP="00E87FBE">
      <w:pPr>
        <w:pStyle w:val="Graphnote"/>
        <w:spacing w:after="0" w:line="240" w:lineRule="auto"/>
      </w:pPr>
      <w:r w:rsidRPr="00147199">
        <w:t xml:space="preserve">Source: CBS </w:t>
      </w:r>
      <w:r w:rsidR="00E87FBE">
        <w:t>data for 2017 processed by BDO.</w:t>
      </w:r>
    </w:p>
    <w:p w14:paraId="58EE247C" w14:textId="77777777" w:rsidR="00293231" w:rsidRPr="00147199" w:rsidRDefault="00293231" w:rsidP="00293231">
      <w:pPr>
        <w:pStyle w:val="Graphnote"/>
      </w:pPr>
      <w:r w:rsidRPr="00147199">
        <w:t xml:space="preserve">X axis: Household Percentile (Consumption); y Axis: Standard Per Capita Monthly Expenditure </w:t>
      </w:r>
    </w:p>
    <w:p w14:paraId="490D5BFC" w14:textId="3FA5BEB5" w:rsidR="002C7859" w:rsidRDefault="00293231" w:rsidP="00293231">
      <w:pPr>
        <w:pStyle w:val="Graphnote"/>
        <w:spacing w:after="0" w:line="240" w:lineRule="auto"/>
      </w:pPr>
      <w:r w:rsidRPr="00DB1588">
        <w:rPr>
          <w:b/>
          <w:bCs/>
          <w:color w:val="FFFF00"/>
          <w:highlight w:val="lightGray"/>
        </w:rPr>
        <w:t>Yellow</w:t>
      </w:r>
      <w:r w:rsidRPr="00147199">
        <w:t>: Normative expenditure;</w:t>
      </w:r>
      <w:r w:rsidR="002C7859">
        <w:t xml:space="preserve"> </w:t>
      </w:r>
      <w:r w:rsidR="002C7859" w:rsidRPr="002C7859">
        <w:rPr>
          <w:highlight w:val="cyan"/>
        </w:rPr>
        <w:t>Black: Poly. (trend)</w:t>
      </w:r>
    </w:p>
    <w:p w14:paraId="42FA8309" w14:textId="192E5AE9" w:rsidR="00293231" w:rsidRPr="00147199" w:rsidRDefault="00293231" w:rsidP="002C7859">
      <w:pPr>
        <w:pStyle w:val="Graphnote"/>
        <w:spacing w:after="0" w:line="240" w:lineRule="auto"/>
      </w:pPr>
      <w:r w:rsidRPr="00DB1588">
        <w:rPr>
          <w:b/>
          <w:bCs/>
          <w:color w:val="C00000"/>
        </w:rPr>
        <w:t>Red</w:t>
      </w:r>
      <w:r w:rsidRPr="00147199">
        <w:t xml:space="preserve">: </w:t>
      </w:r>
      <w:r w:rsidR="002C7859">
        <w:t xml:space="preserve">Total </w:t>
      </w:r>
      <w:r w:rsidRPr="00147199">
        <w:t>Fruit &amp; Vegetables</w:t>
      </w:r>
      <w:r w:rsidR="002C7859">
        <w:t xml:space="preserve">; </w:t>
      </w:r>
      <w:r w:rsidR="002C7859" w:rsidRPr="002C7859">
        <w:rPr>
          <w:color w:val="548DD4" w:themeColor="text2" w:themeTint="99"/>
          <w:highlight w:val="cyan"/>
        </w:rPr>
        <w:t>Blue</w:t>
      </w:r>
      <w:r w:rsidR="002C7859" w:rsidRPr="002C7859">
        <w:rPr>
          <w:highlight w:val="cyan"/>
        </w:rPr>
        <w:t>: Total food (excluding fruits and vegetables, or food eaten away from home)</w:t>
      </w:r>
    </w:p>
    <w:p w14:paraId="11D89EE6" w14:textId="77777777" w:rsidR="00E87FBE" w:rsidRDefault="00E87FBE" w:rsidP="00293231">
      <w:pPr>
        <w:pStyle w:val="BodyText"/>
      </w:pPr>
    </w:p>
    <w:p w14:paraId="1F81CFE1" w14:textId="77777777" w:rsidR="00293231" w:rsidRPr="008F3D9C" w:rsidRDefault="00293231" w:rsidP="00293231">
      <w:pPr>
        <w:pStyle w:val="BodyText"/>
      </w:pPr>
      <w:r>
        <w:t xml:space="preserve">The </w:t>
      </w:r>
      <w:r w:rsidRPr="008F3D9C">
        <w:t xml:space="preserve">volume of food required to bridge the gap between actual food consumption of </w:t>
      </w:r>
      <w:r>
        <w:t xml:space="preserve">the </w:t>
      </w:r>
      <w:r w:rsidRPr="008F3D9C">
        <w:t xml:space="preserve">food insecure population and </w:t>
      </w:r>
      <w:r>
        <w:t xml:space="preserve">the </w:t>
      </w:r>
      <w:r w:rsidRPr="008F3D9C">
        <w:t xml:space="preserve">normative consumption level (average levels of second-to-fifth percentiles), is valued at approximately NIS </w:t>
      </w:r>
      <w:r w:rsidRPr="008F3D9C">
        <w:rPr>
          <w:lang w:bidi="ar-EG"/>
        </w:rPr>
        <w:t>3</w:t>
      </w:r>
      <w:r w:rsidRPr="008F3D9C">
        <w:t xml:space="preserve"> billion. The cost of eliminating this food expenditure gap relative to normative levels for the severely nutrition-deprived population (</w:t>
      </w:r>
      <w:r w:rsidRPr="004301CD">
        <w:rPr>
          <w:highlight w:val="green"/>
        </w:rPr>
        <w:t>9%</w:t>
      </w:r>
      <w:r w:rsidRPr="008F3D9C">
        <w:t xml:space="preserve"> of Israeli households) is estimated at NIS </w:t>
      </w:r>
      <w:r w:rsidRPr="002C7859">
        <w:rPr>
          <w:highlight w:val="green"/>
        </w:rPr>
        <w:t>2.2</w:t>
      </w:r>
      <w:r w:rsidRPr="008F3D9C">
        <w:t xml:space="preserve"> billion, with an additional NIS </w:t>
      </w:r>
      <w:r w:rsidRPr="004301CD">
        <w:rPr>
          <w:highlight w:val="green"/>
        </w:rPr>
        <w:t>1.0</w:t>
      </w:r>
      <w:r w:rsidRPr="008F3D9C">
        <w:t xml:space="preserve"> billion required to assist populations experiencing moderate nutritional insecurity. </w:t>
      </w:r>
    </w:p>
    <w:p w14:paraId="5210BBE3" w14:textId="77777777" w:rsidR="00293231" w:rsidRPr="008F3D9C" w:rsidRDefault="00293231" w:rsidP="00293231">
      <w:pPr>
        <w:pStyle w:val="Graphtitle"/>
      </w:pPr>
      <w:r w:rsidRPr="008F3D9C">
        <w:t xml:space="preserve">Food Expenditure Gap Relative to Normative Consumption Expenditure </w:t>
      </w:r>
    </w:p>
    <w:p w14:paraId="6704C270" w14:textId="77777777" w:rsidR="00293231" w:rsidRPr="005B04BF" w:rsidRDefault="00293231" w:rsidP="002C7859">
      <w:pPr>
        <w:pStyle w:val="Graphtitle"/>
        <w:spacing w:after="120"/>
        <w:rPr>
          <w:b w:val="0"/>
          <w:bCs w:val="0"/>
        </w:rPr>
      </w:pPr>
      <w:r w:rsidRPr="008F3D9C">
        <w:t xml:space="preserve">for Nutritionally Insecure Populations </w:t>
      </w:r>
      <w:r w:rsidRPr="005B04BF">
        <w:rPr>
          <w:b w:val="0"/>
          <w:bCs w:val="0"/>
        </w:rPr>
        <w:t>(in NIS millions)</w:t>
      </w:r>
    </w:p>
    <w:tbl>
      <w:tblPr>
        <w:tblStyle w:val="MediumShading1-Accent1"/>
        <w:tblW w:w="9243" w:type="dxa"/>
        <w:jc w:val="center"/>
        <w:tblBorders>
          <w:insideH w:val="single" w:sz="6" w:space="0" w:color="7BA0CD" w:themeColor="accent1" w:themeTint="BF"/>
          <w:insideV w:val="single" w:sz="6" w:space="0" w:color="7BA0CD" w:themeColor="accent1" w:themeTint="BF"/>
        </w:tblBorders>
        <w:tblLayout w:type="fixed"/>
        <w:tblLook w:val="04A0" w:firstRow="1" w:lastRow="0" w:firstColumn="1" w:lastColumn="0" w:noHBand="0" w:noVBand="1"/>
      </w:tblPr>
      <w:tblGrid>
        <w:gridCol w:w="2178"/>
        <w:gridCol w:w="2355"/>
        <w:gridCol w:w="2355"/>
        <w:gridCol w:w="2355"/>
      </w:tblGrid>
      <w:tr w:rsidR="002C7859" w:rsidRPr="008F3D9C" w14:paraId="255D663F" w14:textId="77777777" w:rsidTr="002C7859">
        <w:trPr>
          <w:cnfStyle w:val="100000000000" w:firstRow="1" w:lastRow="0" w:firstColumn="0" w:lastColumn="0" w:oddVBand="0" w:evenVBand="0" w:oddHBand="0" w:evenHBand="0" w:firstRowFirstColumn="0" w:firstRowLastColumn="0" w:lastRowFirstColumn="0" w:lastRowLastColumn="0"/>
          <w:trHeight w:val="1018"/>
          <w:jc w:val="center"/>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noWrap/>
            <w:vAlign w:val="center"/>
            <w:hideMark/>
          </w:tcPr>
          <w:p w14:paraId="1FA17703" w14:textId="77777777" w:rsidR="002C7859" w:rsidRPr="005B04BF" w:rsidRDefault="002C7859" w:rsidP="00FD3F1E">
            <w:pPr>
              <w:jc w:val="center"/>
              <w:rPr>
                <w:rFonts w:eastAsia="Times New Roman" w:cstheme="minorHAnsi"/>
              </w:rPr>
            </w:pPr>
          </w:p>
        </w:tc>
        <w:tc>
          <w:tcPr>
            <w:tcW w:w="2355" w:type="dxa"/>
            <w:tcBorders>
              <w:top w:val="none" w:sz="0" w:space="0" w:color="auto"/>
              <w:left w:val="none" w:sz="0" w:space="0" w:color="auto"/>
              <w:bottom w:val="none" w:sz="0" w:space="0" w:color="auto"/>
              <w:right w:val="none" w:sz="0" w:space="0" w:color="auto"/>
            </w:tcBorders>
            <w:noWrap/>
            <w:vAlign w:val="center"/>
            <w:hideMark/>
          </w:tcPr>
          <w:p w14:paraId="105F70A1" w14:textId="77777777" w:rsidR="002C7859" w:rsidRPr="005B04BF" w:rsidRDefault="002C7859" w:rsidP="00FD3F1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5B04BF">
              <w:rPr>
                <w:rFonts w:eastAsia="Times New Roman" w:cstheme="minorHAnsi"/>
              </w:rPr>
              <w:t>Value of Food Required to Bridge the Gap for Severe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14:paraId="38708F5B" w14:textId="77777777" w:rsidR="002C7859" w:rsidRPr="005B04BF" w:rsidRDefault="002C7859" w:rsidP="00FD3F1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5B04BF">
              <w:rPr>
                <w:rFonts w:eastAsia="Times New Roman" w:cstheme="minorHAnsi"/>
              </w:rPr>
              <w:t>Value of Food Required to Bridge the Gap for Moderate Food Insecurity</w:t>
            </w:r>
          </w:p>
        </w:tc>
        <w:tc>
          <w:tcPr>
            <w:tcW w:w="2355" w:type="dxa"/>
            <w:tcBorders>
              <w:top w:val="none" w:sz="0" w:space="0" w:color="auto"/>
              <w:left w:val="none" w:sz="0" w:space="0" w:color="auto"/>
              <w:bottom w:val="none" w:sz="0" w:space="0" w:color="auto"/>
              <w:right w:val="none" w:sz="0" w:space="0" w:color="auto"/>
            </w:tcBorders>
            <w:noWrap/>
            <w:vAlign w:val="center"/>
            <w:hideMark/>
          </w:tcPr>
          <w:p w14:paraId="513858BE" w14:textId="77777777" w:rsidR="002C7859" w:rsidRPr="005B04BF" w:rsidRDefault="002C7859" w:rsidP="00FD3F1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tl/>
              </w:rPr>
            </w:pPr>
            <w:r w:rsidRPr="005B04BF">
              <w:rPr>
                <w:rFonts w:eastAsia="Times New Roman" w:cstheme="minorHAnsi"/>
              </w:rPr>
              <w:t>Total Gap in Food Expenditure</w:t>
            </w:r>
          </w:p>
          <w:p w14:paraId="79B1642F" w14:textId="77777777" w:rsidR="002C7859" w:rsidRPr="005B04BF" w:rsidRDefault="002C7859" w:rsidP="00FD3F1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r>
      <w:tr w:rsidR="002C7859" w:rsidRPr="008F3D9C" w14:paraId="1D2D9C09" w14:textId="77777777" w:rsidTr="002C7859">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0B284C71" w14:textId="77777777" w:rsidR="002C7859" w:rsidRPr="005B04BF" w:rsidRDefault="002C7859" w:rsidP="00FD3F1E">
            <w:pPr>
              <w:rPr>
                <w:rFonts w:eastAsia="Times New Roman" w:cstheme="minorHAnsi"/>
                <w:color w:val="000000"/>
              </w:rPr>
            </w:pPr>
            <w:r w:rsidRPr="005B04BF">
              <w:rPr>
                <w:rFonts w:eastAsia="Times New Roman" w:cstheme="minorHAnsi"/>
                <w:color w:val="000000"/>
              </w:rPr>
              <w:t>Fruit &amp; Vegetables</w:t>
            </w:r>
          </w:p>
        </w:tc>
        <w:tc>
          <w:tcPr>
            <w:tcW w:w="2355" w:type="dxa"/>
            <w:tcBorders>
              <w:left w:val="none" w:sz="0" w:space="0" w:color="auto"/>
              <w:right w:val="none" w:sz="0" w:space="0" w:color="auto"/>
            </w:tcBorders>
            <w:noWrap/>
            <w:vAlign w:val="center"/>
          </w:tcPr>
          <w:p w14:paraId="24093E74" w14:textId="5B700092"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355" w:type="dxa"/>
            <w:tcBorders>
              <w:left w:val="none" w:sz="0" w:space="0" w:color="auto"/>
              <w:right w:val="none" w:sz="0" w:space="0" w:color="auto"/>
            </w:tcBorders>
            <w:noWrap/>
            <w:vAlign w:val="center"/>
          </w:tcPr>
          <w:p w14:paraId="11ADB2D9" w14:textId="7BA09B3A"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355" w:type="dxa"/>
            <w:tcBorders>
              <w:left w:val="none" w:sz="0" w:space="0" w:color="auto"/>
            </w:tcBorders>
            <w:noWrap/>
            <w:vAlign w:val="center"/>
          </w:tcPr>
          <w:p w14:paraId="4FB2E5FB" w14:textId="65C2C230"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2C7859" w:rsidRPr="008F3D9C" w14:paraId="50759A6C" w14:textId="77777777" w:rsidTr="002C7859">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79C7D48A" w14:textId="77777777" w:rsidR="002C7859" w:rsidRPr="005B04BF" w:rsidRDefault="002C7859" w:rsidP="00FD3F1E">
            <w:pPr>
              <w:rPr>
                <w:rFonts w:eastAsia="Times New Roman" w:cstheme="minorHAnsi"/>
                <w:color w:val="000000"/>
                <w:rtl/>
              </w:rPr>
            </w:pPr>
            <w:r w:rsidRPr="005B04BF">
              <w:rPr>
                <w:rFonts w:eastAsia="Times New Roman" w:cstheme="minorHAnsi"/>
                <w:color w:val="000000"/>
              </w:rPr>
              <w:t>Bread &amp; Grains</w:t>
            </w:r>
          </w:p>
        </w:tc>
        <w:tc>
          <w:tcPr>
            <w:tcW w:w="2355" w:type="dxa"/>
            <w:tcBorders>
              <w:left w:val="none" w:sz="0" w:space="0" w:color="auto"/>
              <w:right w:val="none" w:sz="0" w:space="0" w:color="auto"/>
            </w:tcBorders>
            <w:noWrap/>
            <w:vAlign w:val="center"/>
          </w:tcPr>
          <w:p w14:paraId="0231B915" w14:textId="1CBD97AC"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2355" w:type="dxa"/>
            <w:tcBorders>
              <w:left w:val="none" w:sz="0" w:space="0" w:color="auto"/>
              <w:right w:val="none" w:sz="0" w:space="0" w:color="auto"/>
            </w:tcBorders>
            <w:noWrap/>
            <w:vAlign w:val="center"/>
          </w:tcPr>
          <w:p w14:paraId="48961359" w14:textId="1C4EF945"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2355" w:type="dxa"/>
            <w:tcBorders>
              <w:left w:val="none" w:sz="0" w:space="0" w:color="auto"/>
            </w:tcBorders>
            <w:noWrap/>
            <w:vAlign w:val="center"/>
          </w:tcPr>
          <w:p w14:paraId="40712A6E" w14:textId="72D2CEA8"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r>
      <w:tr w:rsidR="002C7859" w:rsidRPr="008F3D9C" w14:paraId="56052F84" w14:textId="77777777" w:rsidTr="002C7859">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4AB2009E" w14:textId="77777777" w:rsidR="002C7859" w:rsidRPr="005B04BF" w:rsidRDefault="002C7859" w:rsidP="00FD3F1E">
            <w:pPr>
              <w:rPr>
                <w:rFonts w:eastAsia="Times New Roman" w:cstheme="minorHAnsi"/>
                <w:color w:val="000000"/>
              </w:rPr>
            </w:pPr>
            <w:r w:rsidRPr="005B04BF">
              <w:rPr>
                <w:rFonts w:eastAsia="Times New Roman" w:cstheme="minorHAnsi"/>
                <w:color w:val="000000"/>
              </w:rPr>
              <w:t>Meat, Fish &amp; Eggs</w:t>
            </w:r>
          </w:p>
        </w:tc>
        <w:tc>
          <w:tcPr>
            <w:tcW w:w="2355" w:type="dxa"/>
            <w:tcBorders>
              <w:left w:val="none" w:sz="0" w:space="0" w:color="auto"/>
              <w:right w:val="none" w:sz="0" w:space="0" w:color="auto"/>
            </w:tcBorders>
            <w:noWrap/>
            <w:vAlign w:val="center"/>
          </w:tcPr>
          <w:p w14:paraId="29CE9001" w14:textId="3B13329B"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355" w:type="dxa"/>
            <w:tcBorders>
              <w:left w:val="none" w:sz="0" w:space="0" w:color="auto"/>
              <w:right w:val="none" w:sz="0" w:space="0" w:color="auto"/>
            </w:tcBorders>
            <w:noWrap/>
            <w:vAlign w:val="center"/>
          </w:tcPr>
          <w:p w14:paraId="747751B3" w14:textId="620D80CD"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355" w:type="dxa"/>
            <w:tcBorders>
              <w:left w:val="none" w:sz="0" w:space="0" w:color="auto"/>
            </w:tcBorders>
            <w:noWrap/>
            <w:vAlign w:val="center"/>
          </w:tcPr>
          <w:p w14:paraId="208629FA" w14:textId="30705F87"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2C7859" w:rsidRPr="008F3D9C" w14:paraId="04B35023" w14:textId="77777777" w:rsidTr="002C7859">
        <w:trPr>
          <w:cnfStyle w:val="000000010000" w:firstRow="0" w:lastRow="0" w:firstColumn="0" w:lastColumn="0" w:oddVBand="0" w:evenVBand="0" w:oddHBand="0" w:evenHBand="1"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1FFCB0AC" w14:textId="77777777" w:rsidR="002C7859" w:rsidRPr="005B04BF" w:rsidRDefault="002C7859" w:rsidP="00FD3F1E">
            <w:pPr>
              <w:rPr>
                <w:rFonts w:eastAsia="Times New Roman" w:cstheme="minorHAnsi"/>
                <w:color w:val="000000"/>
              </w:rPr>
            </w:pPr>
            <w:r w:rsidRPr="005B04BF">
              <w:rPr>
                <w:rFonts w:eastAsia="Times New Roman" w:cstheme="minorHAnsi"/>
                <w:color w:val="000000"/>
              </w:rPr>
              <w:t>Milk &amp; Dairy</w:t>
            </w:r>
          </w:p>
        </w:tc>
        <w:tc>
          <w:tcPr>
            <w:tcW w:w="2355" w:type="dxa"/>
            <w:tcBorders>
              <w:left w:val="none" w:sz="0" w:space="0" w:color="auto"/>
              <w:right w:val="none" w:sz="0" w:space="0" w:color="auto"/>
            </w:tcBorders>
            <w:noWrap/>
            <w:vAlign w:val="center"/>
          </w:tcPr>
          <w:p w14:paraId="3C128888" w14:textId="49461E8E"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2355" w:type="dxa"/>
            <w:tcBorders>
              <w:left w:val="none" w:sz="0" w:space="0" w:color="auto"/>
              <w:right w:val="none" w:sz="0" w:space="0" w:color="auto"/>
            </w:tcBorders>
            <w:noWrap/>
            <w:vAlign w:val="center"/>
          </w:tcPr>
          <w:p w14:paraId="2E0C9F47" w14:textId="2E8F4490"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c>
          <w:tcPr>
            <w:tcW w:w="2355" w:type="dxa"/>
            <w:tcBorders>
              <w:left w:val="none" w:sz="0" w:space="0" w:color="auto"/>
            </w:tcBorders>
            <w:noWrap/>
            <w:vAlign w:val="center"/>
          </w:tcPr>
          <w:p w14:paraId="3547206A" w14:textId="6A8940FE"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p>
        </w:tc>
      </w:tr>
      <w:tr w:rsidR="002C7859" w:rsidRPr="008F3D9C" w14:paraId="339B35A7" w14:textId="77777777" w:rsidTr="002C7859">
        <w:trPr>
          <w:cnfStyle w:val="000000100000" w:firstRow="0" w:lastRow="0" w:firstColumn="0" w:lastColumn="0" w:oddVBand="0" w:evenVBand="0" w:oddHBand="1" w:evenHBand="0" w:firstRowFirstColumn="0" w:firstRowLastColumn="0" w:lastRowFirstColumn="0" w:lastRowLastColumn="0"/>
          <w:trHeight w:val="204"/>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6E160915" w14:textId="77777777" w:rsidR="002C7859" w:rsidRPr="005B04BF" w:rsidRDefault="002C7859" w:rsidP="00FD3F1E">
            <w:pPr>
              <w:rPr>
                <w:rFonts w:eastAsia="Times New Roman" w:cstheme="minorHAnsi"/>
                <w:color w:val="000000"/>
              </w:rPr>
            </w:pPr>
            <w:r w:rsidRPr="005B04BF">
              <w:rPr>
                <w:rFonts w:eastAsia="Times New Roman" w:cstheme="minorHAnsi"/>
                <w:color w:val="000000"/>
              </w:rPr>
              <w:t>Other Foods</w:t>
            </w:r>
          </w:p>
        </w:tc>
        <w:tc>
          <w:tcPr>
            <w:tcW w:w="2355" w:type="dxa"/>
            <w:tcBorders>
              <w:left w:val="none" w:sz="0" w:space="0" w:color="auto"/>
              <w:right w:val="none" w:sz="0" w:space="0" w:color="auto"/>
            </w:tcBorders>
            <w:noWrap/>
            <w:vAlign w:val="center"/>
          </w:tcPr>
          <w:p w14:paraId="5E675793" w14:textId="6B1054A0"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355" w:type="dxa"/>
            <w:tcBorders>
              <w:left w:val="none" w:sz="0" w:space="0" w:color="auto"/>
              <w:right w:val="none" w:sz="0" w:space="0" w:color="auto"/>
            </w:tcBorders>
            <w:noWrap/>
            <w:vAlign w:val="center"/>
          </w:tcPr>
          <w:p w14:paraId="3D97804A" w14:textId="36014DBE"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c>
          <w:tcPr>
            <w:tcW w:w="2355" w:type="dxa"/>
            <w:tcBorders>
              <w:left w:val="none" w:sz="0" w:space="0" w:color="auto"/>
            </w:tcBorders>
            <w:noWrap/>
            <w:vAlign w:val="center"/>
          </w:tcPr>
          <w:p w14:paraId="78216135" w14:textId="220F0A0D" w:rsidR="002C7859" w:rsidRPr="005B04BF" w:rsidRDefault="002C7859" w:rsidP="00FD3F1E">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p>
        </w:tc>
      </w:tr>
      <w:tr w:rsidR="002C7859" w:rsidRPr="008F3D9C" w14:paraId="0FA3D1B6" w14:textId="77777777" w:rsidTr="002C7859">
        <w:trPr>
          <w:cnfStyle w:val="000000010000" w:firstRow="0" w:lastRow="0" w:firstColumn="0" w:lastColumn="0" w:oddVBand="0" w:evenVBand="0" w:oddHBand="0" w:evenHBand="1"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2178" w:type="dxa"/>
            <w:tcBorders>
              <w:right w:val="none" w:sz="0" w:space="0" w:color="auto"/>
            </w:tcBorders>
            <w:noWrap/>
            <w:vAlign w:val="center"/>
            <w:hideMark/>
          </w:tcPr>
          <w:p w14:paraId="646603D5" w14:textId="77777777" w:rsidR="002C7859" w:rsidRPr="005B04BF" w:rsidRDefault="002C7859" w:rsidP="00FD3F1E">
            <w:pPr>
              <w:rPr>
                <w:rFonts w:eastAsia="Times New Roman" w:cstheme="minorHAnsi"/>
                <w:color w:val="000000"/>
                <w:rtl/>
              </w:rPr>
            </w:pPr>
            <w:r w:rsidRPr="005B04BF">
              <w:rPr>
                <w:rFonts w:eastAsia="Times New Roman" w:cstheme="minorHAnsi"/>
                <w:color w:val="000000"/>
              </w:rPr>
              <w:t>Total</w:t>
            </w:r>
          </w:p>
        </w:tc>
        <w:tc>
          <w:tcPr>
            <w:tcW w:w="2355" w:type="dxa"/>
            <w:tcBorders>
              <w:left w:val="none" w:sz="0" w:space="0" w:color="auto"/>
              <w:right w:val="none" w:sz="0" w:space="0" w:color="auto"/>
            </w:tcBorders>
            <w:noWrap/>
            <w:vAlign w:val="center"/>
          </w:tcPr>
          <w:p w14:paraId="38ADFD1D" w14:textId="0DCDE697"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p>
        </w:tc>
        <w:tc>
          <w:tcPr>
            <w:tcW w:w="2355" w:type="dxa"/>
            <w:tcBorders>
              <w:left w:val="none" w:sz="0" w:space="0" w:color="auto"/>
              <w:right w:val="none" w:sz="0" w:space="0" w:color="auto"/>
            </w:tcBorders>
            <w:noWrap/>
            <w:vAlign w:val="center"/>
          </w:tcPr>
          <w:p w14:paraId="05D4093F" w14:textId="3EB3ABAD"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p>
        </w:tc>
        <w:tc>
          <w:tcPr>
            <w:tcW w:w="2355" w:type="dxa"/>
            <w:tcBorders>
              <w:left w:val="none" w:sz="0" w:space="0" w:color="auto"/>
            </w:tcBorders>
            <w:noWrap/>
            <w:vAlign w:val="center"/>
          </w:tcPr>
          <w:p w14:paraId="327362D8" w14:textId="6C8B7FD3" w:rsidR="002C7859" w:rsidRPr="005B04BF" w:rsidRDefault="002C7859" w:rsidP="00FD3F1E">
            <w:pPr>
              <w:jc w:val="center"/>
              <w:cnfStyle w:val="000000010000" w:firstRow="0" w:lastRow="0" w:firstColumn="0" w:lastColumn="0" w:oddVBand="0" w:evenVBand="0" w:oddHBand="0" w:evenHBand="1" w:firstRowFirstColumn="0" w:firstRowLastColumn="0" w:lastRowFirstColumn="0" w:lastRowLastColumn="0"/>
              <w:rPr>
                <w:rFonts w:cstheme="minorHAnsi"/>
                <w:b/>
                <w:bCs/>
                <w:color w:val="000000"/>
              </w:rPr>
            </w:pPr>
          </w:p>
        </w:tc>
      </w:tr>
    </w:tbl>
    <w:p w14:paraId="6EDE1196" w14:textId="77777777" w:rsidR="002C7859" w:rsidRDefault="002C7859" w:rsidP="00293231">
      <w:pPr>
        <w:pStyle w:val="Graphnote"/>
      </w:pPr>
    </w:p>
    <w:p w14:paraId="01F69239" w14:textId="52C18972" w:rsidR="00293231" w:rsidRPr="008F3D9C" w:rsidRDefault="00293231" w:rsidP="00293231">
      <w:pPr>
        <w:pStyle w:val="Graphnote"/>
      </w:pPr>
    </w:p>
    <w:p w14:paraId="6B544230" w14:textId="77777777" w:rsidR="00293231" w:rsidRPr="008F3D9C" w:rsidRDefault="00293231" w:rsidP="00293231">
      <w:pPr>
        <w:pStyle w:val="BodyText"/>
      </w:pPr>
      <w:r w:rsidRPr="008F3D9C">
        <w:t xml:space="preserve">The rescue of </w:t>
      </w:r>
      <w:r w:rsidRPr="007E3F0F">
        <w:rPr>
          <w:highlight w:val="green"/>
        </w:rPr>
        <w:t>450</w:t>
      </w:r>
      <w:r>
        <w:t>,000</w:t>
      </w:r>
      <w:r w:rsidRPr="008F3D9C">
        <w:t xml:space="preserve"> tons of wasted food each year, constituting </w:t>
      </w:r>
      <w:r>
        <w:t>20</w:t>
      </w:r>
      <w:r w:rsidRPr="008F3D9C">
        <w:t xml:space="preserve">% of overall food waste in Israel, would enable the closing of the food gap in Israel. Accordingly, an estimated NIS </w:t>
      </w:r>
      <w:r w:rsidRPr="004301CD">
        <w:rPr>
          <w:highlight w:val="green"/>
        </w:rPr>
        <w:t>1.2 billion</w:t>
      </w:r>
      <w:r w:rsidRPr="008F3D9C">
        <w:t xml:space="preserve"> would enable the rescue</w:t>
      </w:r>
      <w:r>
        <w:t xml:space="preserve"> of food worth</w:t>
      </w:r>
      <w:r w:rsidRPr="008F3D9C">
        <w:t xml:space="preserve"> NIS 3 billion, equivalent to the </w:t>
      </w:r>
      <w:r>
        <w:t xml:space="preserve">entire </w:t>
      </w:r>
      <w:r w:rsidRPr="008F3D9C">
        <w:t xml:space="preserve">gap between </w:t>
      </w:r>
      <w:r>
        <w:t xml:space="preserve">the </w:t>
      </w:r>
      <w:r w:rsidRPr="008F3D9C">
        <w:t xml:space="preserve">food expenditure of food insecure populations and normative expenditure levels. </w:t>
      </w:r>
    </w:p>
    <w:p w14:paraId="76B63CA5" w14:textId="77777777" w:rsidR="00293231" w:rsidRDefault="00293231" w:rsidP="00293231">
      <w:pPr>
        <w:pStyle w:val="BodyText"/>
      </w:pPr>
    </w:p>
    <w:p w14:paraId="0FD15328" w14:textId="6781C238" w:rsidR="00147E6F" w:rsidRDefault="00147E6F" w:rsidP="007E3F0F">
      <w:pPr>
        <w:pStyle w:val="BodyText"/>
      </w:pPr>
      <w:bookmarkStart w:id="22" w:name="_GoBack"/>
      <w:bookmarkEnd w:id="22"/>
    </w:p>
    <w:sectPr w:rsidR="00147E6F" w:rsidSect="0062753C">
      <w:pgSz w:w="11907" w:h="16839" w:code="9"/>
      <w:pgMar w:top="1702" w:right="992"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Liron" w:date="2019-02-14T13:24:00Z" w:initials="L">
    <w:p w14:paraId="4D5010B2" w14:textId="75B48C63" w:rsidR="009935A2" w:rsidRDefault="009935A2">
      <w:pPr>
        <w:pStyle w:val="CommentText"/>
      </w:pPr>
      <w:r>
        <w:rPr>
          <w:rStyle w:val="CommentReference"/>
        </w:rPr>
        <w:annotationRef/>
      </w:r>
      <w:r>
        <w:t>Correct?</w:t>
      </w:r>
    </w:p>
  </w:comment>
  <w:comment w:id="7" w:author="Shoshana Michael-Zucker" w:date="2018-02-07T19:35:00Z" w:initials="SMZ">
    <w:p w14:paraId="073366B5" w14:textId="77777777" w:rsidR="00625208" w:rsidRDefault="00625208" w:rsidP="00F06929">
      <w:pPr>
        <w:pStyle w:val="CommentText"/>
      </w:pPr>
      <w:r>
        <w:rPr>
          <w:rStyle w:val="CommentReference"/>
        </w:rPr>
        <w:annotationRef/>
      </w:r>
      <w:r>
        <w:rPr>
          <w:rStyle w:val="CommentReference"/>
        </w:rPr>
        <w:t xml:space="preserve">Titles for graphs I couldn’t open graph to edit are included in the text. </w:t>
      </w:r>
    </w:p>
  </w:comment>
  <w:comment w:id="10" w:author="translator" w:date="2019-02-12T15:12:00Z" w:initials="TR">
    <w:p w14:paraId="297234AD" w14:textId="67344759" w:rsidR="00625208" w:rsidRDefault="00625208" w:rsidP="007C70BA">
      <w:pPr>
        <w:pStyle w:val="CommentText"/>
      </w:pPr>
      <w:r>
        <w:rPr>
          <w:rStyle w:val="CommentReference"/>
        </w:rPr>
        <w:annotationRef/>
      </w:r>
      <w:r>
        <w:t>The asterisked note was omitted in the 2018 report but the asterisk remained. The note below is from the same table in 2017.</w:t>
      </w:r>
    </w:p>
  </w:comment>
  <w:comment w:id="12" w:author="Liron" w:date="2019-02-14T13:28:00Z" w:initials="L">
    <w:p w14:paraId="54A6C7D9" w14:textId="33818850" w:rsidR="00053DA1" w:rsidRDefault="00053DA1">
      <w:pPr>
        <w:pStyle w:val="CommentText"/>
      </w:pPr>
      <w:r>
        <w:rPr>
          <w:rStyle w:val="CommentReference"/>
        </w:rPr>
        <w:annotationRef/>
      </w:r>
      <w:r>
        <w:t xml:space="preserve">This is the finalized version of Ch. 5 as sent by </w:t>
      </w:r>
      <w:proofErr w:type="spellStart"/>
      <w:r>
        <w:t>Anat</w:t>
      </w:r>
      <w:proofErr w:type="spellEnd"/>
      <w:r>
        <w:t xml:space="preserve"> on Feb. 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5010B2" w15:done="0"/>
  <w15:commentEx w15:paraId="073366B5" w15:done="0"/>
  <w15:commentEx w15:paraId="297234AD" w15:done="0"/>
  <w15:commentEx w15:paraId="54A6C7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010B2" w16cid:durableId="200FEA8D"/>
  <w16cid:commentId w16cid:paraId="073366B5" w16cid:durableId="1E242362"/>
  <w16cid:commentId w16cid:paraId="297234AD" w16cid:durableId="200FE8C3"/>
  <w16cid:commentId w16cid:paraId="54A6C7D9" w16cid:durableId="200FEB6A"/>
</w16cid:commentsIds>
</file>

<file path=word/customizations.xml><?xml version="1.0" encoding="utf-8"?>
<wne:tcg xmlns:r="http://schemas.openxmlformats.org/officeDocument/2006/relationships" xmlns:wne="http://schemas.microsoft.com/office/word/2006/wordml">
  <wne:keymaps>
    <wne:keymap wne:kcmPrimary="0264">
      <wne:acd wne:acdName="acd0"/>
    </wne:keymap>
  </wne:keymaps>
  <wne:toolbars>
    <wne:acdManifest>
      <wne:acdEntry wne:acdName="acd0"/>
    </wne:acdManifest>
  </wne:toolbars>
  <wne:acds>
    <wne:acd wne:argValue="AgBHAHIAYQBwAGgAIAB0AGkAdABs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3C67" w14:textId="77777777" w:rsidR="005D5882" w:rsidRDefault="005D5882" w:rsidP="00B056B5">
      <w:pPr>
        <w:spacing w:after="0" w:line="240" w:lineRule="auto"/>
      </w:pPr>
      <w:r>
        <w:separator/>
      </w:r>
    </w:p>
  </w:endnote>
  <w:endnote w:type="continuationSeparator" w:id="0">
    <w:p w14:paraId="3AB7C171" w14:textId="77777777" w:rsidR="005D5882" w:rsidRDefault="005D5882" w:rsidP="00B0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iriam">
    <w:panose1 w:val="020B05020501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160322"/>
      <w:docPartObj>
        <w:docPartGallery w:val="Page Numbers (Bottom of Page)"/>
        <w:docPartUnique/>
      </w:docPartObj>
    </w:sdtPr>
    <w:sdtEndPr>
      <w:rPr>
        <w:noProof/>
      </w:rPr>
    </w:sdtEndPr>
    <w:sdtContent>
      <w:p w14:paraId="0061C542" w14:textId="501FC809" w:rsidR="00625208" w:rsidRDefault="00625208">
        <w:pPr>
          <w:pStyle w:val="Footer"/>
          <w:jc w:val="center"/>
        </w:pPr>
        <w:r>
          <w:t>Draft for Discussion</w:t>
        </w:r>
        <w:r>
          <w:br/>
        </w:r>
        <w:r>
          <w:fldChar w:fldCharType="begin"/>
        </w:r>
        <w:r>
          <w:instrText xml:space="preserve"> PAGE   \* MERGEFORMAT </w:instrText>
        </w:r>
        <w:r>
          <w:fldChar w:fldCharType="separate"/>
        </w:r>
        <w:r>
          <w:rPr>
            <w:noProof/>
          </w:rPr>
          <w:t>3</w:t>
        </w:r>
        <w:r>
          <w:rPr>
            <w:noProof/>
          </w:rPr>
          <w:fldChar w:fldCharType="end"/>
        </w:r>
      </w:p>
    </w:sdtContent>
  </w:sdt>
  <w:p w14:paraId="14FB8E40" w14:textId="77777777" w:rsidR="00625208" w:rsidRDefault="00625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364C" w14:textId="77777777" w:rsidR="005D5882" w:rsidRDefault="005D5882" w:rsidP="00B056B5">
      <w:pPr>
        <w:spacing w:after="0" w:line="240" w:lineRule="auto"/>
      </w:pPr>
      <w:r>
        <w:separator/>
      </w:r>
    </w:p>
  </w:footnote>
  <w:footnote w:type="continuationSeparator" w:id="0">
    <w:p w14:paraId="09CBB125" w14:textId="77777777" w:rsidR="005D5882" w:rsidRDefault="005D5882" w:rsidP="00B056B5">
      <w:pPr>
        <w:spacing w:after="0" w:line="240" w:lineRule="auto"/>
      </w:pPr>
      <w:r>
        <w:continuationSeparator/>
      </w:r>
    </w:p>
  </w:footnote>
  <w:footnote w:id="1">
    <w:p w14:paraId="47E709B2" w14:textId="77777777" w:rsidR="00625208" w:rsidRDefault="00625208" w:rsidP="00B06200">
      <w:pPr>
        <w:pStyle w:val="FootnoteText"/>
      </w:pPr>
      <w:r>
        <w:rPr>
          <w:rStyle w:val="FootnoteReference"/>
        </w:rPr>
        <w:footnoteRef/>
      </w:r>
      <w:r>
        <w:t xml:space="preserve"> The value chain model does not include beverages, energy boosters, sugar, honey and candy.</w:t>
      </w:r>
    </w:p>
  </w:footnote>
  <w:footnote w:id="2">
    <w:p w14:paraId="056BDE2A" w14:textId="77777777" w:rsidR="00625208" w:rsidRPr="00BA55C4" w:rsidRDefault="00625208" w:rsidP="00B06200">
      <w:pPr>
        <w:pStyle w:val="FootnoteText"/>
        <w:rPr>
          <w:rtl/>
        </w:rPr>
      </w:pPr>
      <w:r w:rsidRPr="00E123B8">
        <w:rPr>
          <w:rStyle w:val="FootnoteReference"/>
          <w:rFonts w:cstheme="majorBidi"/>
          <w:sz w:val="16"/>
          <w:szCs w:val="16"/>
        </w:rPr>
        <w:footnoteRef/>
      </w:r>
      <w:r w:rsidRPr="00E123B8">
        <w:rPr>
          <w:rtl/>
        </w:rPr>
        <w:t xml:space="preserve"> </w:t>
      </w:r>
      <w:r w:rsidRPr="00E123B8">
        <w:t xml:space="preserve">We are aware such estimates may include deviations or inaccuracies that are inevitable </w:t>
      </w:r>
      <w:r>
        <w:t>because there is no</w:t>
      </w:r>
      <w:r w:rsidRPr="00E123B8">
        <w:t xml:space="preserve"> official data. Additionally, the volume of annual food waste also depends on random variables, such as </w:t>
      </w:r>
      <w:r>
        <w:t xml:space="preserve">extreme </w:t>
      </w:r>
      <w:r w:rsidRPr="00E123B8">
        <w:t xml:space="preserve">weather conditions, natural events and pests, deviations in demand, etc. The data presented here is based on an annual analysis and average weather conditions. This data is indicative and intended to serve as the basis for public debate, and </w:t>
      </w:r>
      <w:r>
        <w:t xml:space="preserve">for </w:t>
      </w:r>
      <w:r w:rsidRPr="00E123B8">
        <w:t>further research and study.</w:t>
      </w:r>
      <w:r>
        <w:t xml:space="preserve"> </w:t>
      </w:r>
    </w:p>
  </w:footnote>
  <w:footnote w:id="3">
    <w:p w14:paraId="1636A556" w14:textId="77777777" w:rsidR="00625208" w:rsidRDefault="00625208" w:rsidP="007054AA">
      <w:pPr>
        <w:pStyle w:val="FootnoteText"/>
      </w:pPr>
      <w:r>
        <w:rPr>
          <w:rStyle w:val="FootnoteReference"/>
        </w:rPr>
        <w:footnoteRef/>
      </w:r>
      <w:r>
        <w:rPr>
          <w:rtl/>
        </w:rPr>
        <w:t xml:space="preserve"> </w:t>
      </w:r>
      <w:r>
        <w:t xml:space="preserve">Dr. Ron </w:t>
      </w:r>
      <w:proofErr w:type="spellStart"/>
      <w:r>
        <w:t>Porat</w:t>
      </w:r>
      <w:proofErr w:type="spellEnd"/>
      <w:r>
        <w:t xml:space="preserve">, 2015, </w:t>
      </w:r>
      <w:r w:rsidRPr="003676B4">
        <w:t>2016</w:t>
      </w:r>
    </w:p>
  </w:footnote>
  <w:footnote w:id="4">
    <w:p w14:paraId="0CA05637" w14:textId="36F9106D" w:rsidR="00625208" w:rsidRDefault="00625208" w:rsidP="00E377EB">
      <w:pPr>
        <w:pStyle w:val="FootnoteText"/>
      </w:pPr>
      <w:r>
        <w:rPr>
          <w:rStyle w:val="FootnoteReference"/>
        </w:rPr>
        <w:footnoteRef/>
      </w:r>
      <w:r>
        <w:t xml:space="preserve"> </w:t>
      </w:r>
      <w:r w:rsidRPr="00E377EB">
        <w:rPr>
          <w:highlight w:val="cyan"/>
        </w:rPr>
        <w:t xml:space="preserve">The estimated food waste from industry does not include food that is recycled, </w:t>
      </w:r>
      <w:r w:rsidR="009935A2">
        <w:rPr>
          <w:highlight w:val="cyan"/>
        </w:rPr>
        <w:t>primaril</w:t>
      </w:r>
      <w:r w:rsidRPr="00E377EB">
        <w:rPr>
          <w:highlight w:val="cyan"/>
        </w:rPr>
        <w:t>y as animal feed.</w:t>
      </w:r>
    </w:p>
  </w:footnote>
  <w:footnote w:id="5">
    <w:p w14:paraId="70DC1A96" w14:textId="77777777" w:rsidR="00053DA1" w:rsidRDefault="00053DA1" w:rsidP="00053DA1">
      <w:pPr>
        <w:pStyle w:val="FootnoteText"/>
      </w:pPr>
      <w:r>
        <w:rPr>
          <w:rStyle w:val="FootnoteReference"/>
        </w:rPr>
        <w:footnoteRef/>
      </w:r>
      <w:r>
        <w:t xml:space="preserve"> Based on food value chain model developed by BDO, using weighted data from the Central Bureau of Statistics for 2018, a national survey of the composition of </w:t>
      </w:r>
      <w:r w:rsidRPr="00C60BD6">
        <w:t>household</w:t>
      </w:r>
      <w:r>
        <w:t xml:space="preserve"> garbage conducted by the Ministry of Environmental Protection for 2012-13, and research on household garbage in Israel conducted by Dr. </w:t>
      </w:r>
      <w:proofErr w:type="spellStart"/>
      <w:r w:rsidRPr="00946F9F">
        <w:t>Ofira</w:t>
      </w:r>
      <w:proofErr w:type="spellEnd"/>
      <w:r w:rsidRPr="00946F9F">
        <w:t xml:space="preserve"> Ayalon </w:t>
      </w:r>
      <w:r>
        <w:t xml:space="preserve">and </w:t>
      </w:r>
      <w:r w:rsidRPr="00946F9F">
        <w:t>Efrat Elimelech</w:t>
      </w:r>
      <w:r>
        <w:t xml:space="preserve"> that was published in 2018, and results of a survey conducted by</w:t>
      </w:r>
      <w:r w:rsidRPr="00AB63FF">
        <w:t xml:space="preserve"> </w:t>
      </w:r>
      <w:proofErr w:type="spellStart"/>
      <w:r w:rsidRPr="00AB63FF">
        <w:t>Geocartography</w:t>
      </w:r>
      <w:proofErr w:type="spellEnd"/>
      <w:r w:rsidRPr="00AB63FF">
        <w:t xml:space="preserve"> Research Institute</w:t>
      </w:r>
      <w:r>
        <w:t xml:space="preserve"> in January 2019. </w:t>
      </w:r>
    </w:p>
  </w:footnote>
  <w:footnote w:id="6">
    <w:p w14:paraId="46F4E9EC" w14:textId="77777777" w:rsidR="00053DA1" w:rsidRDefault="00053DA1" w:rsidP="00053DA1">
      <w:pPr>
        <w:pStyle w:val="FootnoteText"/>
      </w:pPr>
      <w:r>
        <w:rPr>
          <w:rStyle w:val="FootnoteReference"/>
        </w:rPr>
        <w:footnoteRef/>
      </w:r>
      <w:r>
        <w:t xml:space="preserve"> </w:t>
      </w:r>
      <w:r w:rsidRPr="00264C39">
        <w:t>Household Food Waste survey of 500 households</w:t>
      </w:r>
      <w:r>
        <w:t>,</w:t>
      </w:r>
      <w:r w:rsidRPr="00264C39">
        <w:t xml:space="preserve"> representative of the Israeli population, conducted by Leket Israel and BDO, with the assistance of </w:t>
      </w:r>
      <w:proofErr w:type="spellStart"/>
      <w:r w:rsidRPr="00264C39">
        <w:t>Geocartography</w:t>
      </w:r>
      <w:proofErr w:type="spellEnd"/>
      <w:r w:rsidRPr="00264C39">
        <w:t xml:space="preserve"> Research Institute</w:t>
      </w:r>
      <w:r>
        <w:t>, in January 2019</w:t>
      </w:r>
      <w:r w:rsidRPr="00264C39">
        <w:t>.</w:t>
      </w:r>
    </w:p>
  </w:footnote>
  <w:footnote w:id="7">
    <w:p w14:paraId="3CBEDF45" w14:textId="77777777" w:rsidR="00053DA1" w:rsidRDefault="00053DA1" w:rsidP="00053DA1">
      <w:pPr>
        <w:pStyle w:val="FootnoteText"/>
      </w:pPr>
      <w:r>
        <w:rPr>
          <w:rStyle w:val="FootnoteReference"/>
        </w:rPr>
        <w:footnoteRef/>
      </w:r>
      <w:r>
        <w:t xml:space="preserve"> </w:t>
      </w:r>
      <w:r w:rsidRPr="0028334A">
        <w:t>Economis</w:t>
      </w:r>
      <w:r>
        <w:t>t</w:t>
      </w:r>
      <w:r w:rsidRPr="0028334A">
        <w:t xml:space="preserve"> Global Food Security Index</w:t>
      </w:r>
      <w:r>
        <w:t>, 2018</w:t>
      </w:r>
    </w:p>
  </w:footnote>
  <w:footnote w:id="8">
    <w:p w14:paraId="0188406C" w14:textId="77777777" w:rsidR="00053DA1" w:rsidRDefault="00053DA1" w:rsidP="00053DA1">
      <w:pPr>
        <w:pStyle w:val="FootnoteText"/>
      </w:pPr>
      <w:r>
        <w:rPr>
          <w:rStyle w:val="FootnoteReference"/>
        </w:rPr>
        <w:footnoteRef/>
      </w:r>
      <w:r>
        <w:t xml:space="preserve"> </w:t>
      </w:r>
      <w:hyperlink r:id="rId1" w:history="1">
        <w:r w:rsidRPr="000366C1">
          <w:rPr>
            <w:rStyle w:val="Hyperlink"/>
          </w:rPr>
          <w:t>https://www.moag.gov.il/subject/the_food_we_eat/Storage_Guidelines_For_Fruits_Vegetables/Pages/Storage_Guidelines_consumer.aspx</w:t>
        </w:r>
      </w:hyperlink>
    </w:p>
  </w:footnote>
  <w:footnote w:id="9">
    <w:p w14:paraId="299D4D21" w14:textId="77777777" w:rsidR="00625208" w:rsidRDefault="00625208" w:rsidP="00293231">
      <w:pPr>
        <w:pStyle w:val="FootnoteText"/>
      </w:pPr>
      <w:r>
        <w:rPr>
          <w:rStyle w:val="FootnoteReference"/>
        </w:rPr>
        <w:footnoteRef/>
      </w:r>
      <w:r>
        <w:rPr>
          <w:rtl/>
        </w:rPr>
        <w:t xml:space="preserve"> </w:t>
      </w:r>
      <w:r>
        <w:t xml:space="preserve">In the </w:t>
      </w:r>
      <w:r w:rsidRPr="00670086">
        <w:t>model</w:t>
      </w:r>
      <w:r>
        <w:t>, each of these branches is weighted according to the characteristics of the meal it serves.</w:t>
      </w:r>
    </w:p>
  </w:footnote>
  <w:footnote w:id="10">
    <w:p w14:paraId="12A4C282" w14:textId="77777777" w:rsidR="00625208" w:rsidRDefault="00625208" w:rsidP="00293231">
      <w:pPr>
        <w:pStyle w:val="FootnoteText"/>
        <w:rPr>
          <w:rtl/>
        </w:rPr>
      </w:pPr>
      <w:r>
        <w:rPr>
          <w:rStyle w:val="FootnoteReference"/>
        </w:rPr>
        <w:footnoteRef/>
      </w:r>
      <w:r>
        <w:rPr>
          <w:rtl/>
        </w:rPr>
        <w:t xml:space="preserve"> </w:t>
      </w:r>
      <w:r>
        <w:t>This figure is based on the number of workdays relevant to each category. The estimate also distinguishes between different populations within each category.</w:t>
      </w:r>
      <w:r>
        <w:rPr>
          <w:rFonts w:hint="cs"/>
          <w:rtl/>
        </w:rPr>
        <w:t xml:space="preserve"> </w:t>
      </w:r>
    </w:p>
  </w:footnote>
  <w:footnote w:id="11">
    <w:p w14:paraId="61321A86" w14:textId="77777777" w:rsidR="00625208" w:rsidRDefault="00625208" w:rsidP="006E7DBA">
      <w:pPr>
        <w:pStyle w:val="FootnoteText"/>
        <w:rPr>
          <w:rtl/>
        </w:rPr>
      </w:pPr>
      <w:r>
        <w:rPr>
          <w:rStyle w:val="FootnoteReference"/>
        </w:rPr>
        <w:footnoteRef/>
      </w:r>
      <w:r>
        <w:rPr>
          <w:rtl/>
        </w:rPr>
        <w:t xml:space="preserve"> </w:t>
      </w:r>
      <w:r>
        <w:t>For purposes of analyzing food waste, this report relates to “</w:t>
      </w:r>
      <w:r w:rsidRPr="00FD6C0F">
        <w:t>Retail and Distribution</w:t>
      </w:r>
      <w:r>
        <w:t>” as a single sector</w:t>
      </w:r>
      <w:r w:rsidRPr="00F712BC">
        <w:t xml:space="preserve"> that includes losses </w:t>
      </w:r>
      <w:r>
        <w:t xml:space="preserve">incurred from </w:t>
      </w:r>
      <w:r w:rsidRPr="00F712BC">
        <w:t xml:space="preserve">the end of the production stage to the sale to the consumer: </w:t>
      </w:r>
      <w:r>
        <w:t xml:space="preserve">any loss of finished products that are </w:t>
      </w:r>
      <w:r w:rsidRPr="00F712BC">
        <w:t xml:space="preserve">ready for marketing by the manufacturers, wholesale loss, returns from retailers to manufacturers and loss in retailers. These constitute the loss in the Retail and Distribution </w:t>
      </w:r>
      <w:r>
        <w:t>sector</w:t>
      </w:r>
      <w:r w:rsidRPr="00F712BC">
        <w:t>.</w:t>
      </w:r>
    </w:p>
  </w:footnote>
  <w:footnote w:id="12">
    <w:p w14:paraId="1B1CDE54" w14:textId="77777777" w:rsidR="00625208" w:rsidRDefault="00625208" w:rsidP="00CD7933">
      <w:pPr>
        <w:pStyle w:val="FootnoteText"/>
      </w:pPr>
      <w:r>
        <w:rPr>
          <w:rStyle w:val="FootnoteReference"/>
        </w:rPr>
        <w:footnoteRef/>
      </w:r>
      <w:r>
        <w:t xml:space="preserve"> Waste of grains and legumes was calculated as a percentage of consumption because the </w:t>
      </w:r>
      <w:r w:rsidRPr="00B505C0">
        <w:t>majority</w:t>
      </w:r>
      <w:r>
        <w:t xml:space="preserve"> of grains are imported to Israel.</w:t>
      </w:r>
    </w:p>
  </w:footnote>
  <w:footnote w:id="13">
    <w:p w14:paraId="51A6D986" w14:textId="77777777" w:rsidR="00625208" w:rsidRPr="003F2D9E" w:rsidRDefault="00625208" w:rsidP="00293231">
      <w:pPr>
        <w:pStyle w:val="FootnoteText"/>
      </w:pPr>
      <w:r w:rsidRPr="003F2D9E">
        <w:rPr>
          <w:rStyle w:val="FootnoteReference"/>
          <w:rFonts w:cstheme="majorBidi"/>
          <w:sz w:val="16"/>
          <w:szCs w:val="16"/>
        </w:rPr>
        <w:footnoteRef/>
      </w:r>
      <w:r w:rsidRPr="003F2D9E">
        <w:rPr>
          <w:rtl/>
        </w:rPr>
        <w:t xml:space="preserve"> </w:t>
      </w:r>
      <w:r w:rsidRPr="003F2D9E">
        <w:t xml:space="preserve">Patterns of Expenditure on Food in Israel, Taub Center, 2014. </w:t>
      </w:r>
    </w:p>
  </w:footnote>
  <w:footnote w:id="14">
    <w:p w14:paraId="08F3CB3D" w14:textId="77777777" w:rsidR="00625208" w:rsidRPr="00442363" w:rsidRDefault="00625208" w:rsidP="00293231">
      <w:pPr>
        <w:pStyle w:val="FootnoteText"/>
      </w:pPr>
      <w:r w:rsidRPr="003F2D9E">
        <w:rPr>
          <w:rStyle w:val="FootnoteReference"/>
          <w:rFonts w:cstheme="majorBidi"/>
          <w:sz w:val="16"/>
          <w:szCs w:val="16"/>
        </w:rPr>
        <w:footnoteRef/>
      </w:r>
      <w:r w:rsidRPr="003F2D9E">
        <w:t xml:space="preserve"> Excluding dining out, alcoholic beverages and carbonated beverages.</w:t>
      </w:r>
      <w:r w:rsidRPr="0044236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4D7B" w14:textId="2151AC71" w:rsidR="00625208" w:rsidRDefault="00625208">
    <w:pPr>
      <w:pStyle w:val="Header"/>
    </w:pPr>
    <w:r w:rsidRPr="004047B2">
      <w:rPr>
        <w:noProof/>
        <w:lang w:bidi="ar-SA"/>
      </w:rPr>
      <w:drawing>
        <wp:anchor distT="0" distB="0" distL="114300" distR="114300" simplePos="0" relativeHeight="251659264" behindDoc="0" locked="0" layoutInCell="1" allowOverlap="1" wp14:anchorId="50A7A1F0" wp14:editId="24C7CA50">
          <wp:simplePos x="0" y="0"/>
          <wp:positionH relativeFrom="margin">
            <wp:posOffset>4713605</wp:posOffset>
          </wp:positionH>
          <wp:positionV relativeFrom="paragraph">
            <wp:posOffset>-24765</wp:posOffset>
          </wp:positionV>
          <wp:extent cx="1162050" cy="438150"/>
          <wp:effectExtent l="0" t="0" r="0" b="0"/>
          <wp:wrapNone/>
          <wp:docPr id="287428"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1"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sidRPr="004047B2">
      <w:rPr>
        <w:noProof/>
        <w:lang w:bidi="ar-SA"/>
      </w:rPr>
      <w:drawing>
        <wp:anchor distT="0" distB="0" distL="114300" distR="114300" simplePos="0" relativeHeight="251660288" behindDoc="0" locked="0" layoutInCell="1" allowOverlap="1" wp14:anchorId="7224535D" wp14:editId="55512365">
          <wp:simplePos x="0" y="0"/>
          <wp:positionH relativeFrom="margin">
            <wp:posOffset>33020</wp:posOffset>
          </wp:positionH>
          <wp:positionV relativeFrom="paragraph">
            <wp:posOffset>-372745</wp:posOffset>
          </wp:positionV>
          <wp:extent cx="863600" cy="863600"/>
          <wp:effectExtent l="0" t="0" r="0" b="0"/>
          <wp:wrapNone/>
          <wp:docPr id="28742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bwMode="auto">
                  <a:xfrm>
                    <a:off x="0" y="0"/>
                    <a:ext cx="86360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B51EE" w14:textId="77777777" w:rsidR="00625208" w:rsidRDefault="00625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041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622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AF6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9636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25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A3B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CA97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44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2C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849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E66FE"/>
    <w:multiLevelType w:val="hybridMultilevel"/>
    <w:tmpl w:val="0CC6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A649D"/>
    <w:multiLevelType w:val="multilevel"/>
    <w:tmpl w:val="3F2CF2D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099001AC"/>
    <w:multiLevelType w:val="hybridMultilevel"/>
    <w:tmpl w:val="9D067FA6"/>
    <w:lvl w:ilvl="0" w:tplc="90A456E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127"/>
    <w:multiLevelType w:val="hybridMultilevel"/>
    <w:tmpl w:val="CCCC4034"/>
    <w:lvl w:ilvl="0" w:tplc="5860DD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41A0C"/>
    <w:multiLevelType w:val="hybridMultilevel"/>
    <w:tmpl w:val="C2C4943A"/>
    <w:lvl w:ilvl="0" w:tplc="3FF6315A">
      <w:start w:val="20"/>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6723C"/>
    <w:multiLevelType w:val="hybridMultilevel"/>
    <w:tmpl w:val="0E7E6E7E"/>
    <w:lvl w:ilvl="0" w:tplc="7982F1D6">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0409AC"/>
    <w:multiLevelType w:val="hybridMultilevel"/>
    <w:tmpl w:val="5CE40A2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2A5D7D43"/>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303E7D2F"/>
    <w:multiLevelType w:val="hybridMultilevel"/>
    <w:tmpl w:val="B4025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58131F"/>
    <w:multiLevelType w:val="hybridMultilevel"/>
    <w:tmpl w:val="1FDA3EC2"/>
    <w:lvl w:ilvl="0" w:tplc="2D7666C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8A5D1F"/>
    <w:multiLevelType w:val="hybridMultilevel"/>
    <w:tmpl w:val="5D4C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50E27"/>
    <w:multiLevelType w:val="hybridMultilevel"/>
    <w:tmpl w:val="2BD29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F5A5B"/>
    <w:multiLevelType w:val="hybridMultilevel"/>
    <w:tmpl w:val="5482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05D30"/>
    <w:multiLevelType w:val="hybridMultilevel"/>
    <w:tmpl w:val="9FA63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A1354"/>
    <w:multiLevelType w:val="hybridMultilevel"/>
    <w:tmpl w:val="3CB68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E61F9F"/>
    <w:multiLevelType w:val="hybridMultilevel"/>
    <w:tmpl w:val="8E36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407F2"/>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62482721"/>
    <w:multiLevelType w:val="multilevel"/>
    <w:tmpl w:val="D8A4C0C4"/>
    <w:lvl w:ilvl="0">
      <w:start w:val="1"/>
      <w:numFmt w:val="decimal"/>
      <w:pStyle w:val="Heading1"/>
      <w:lvlText w:val="%1."/>
      <w:lvlJc w:val="left"/>
      <w:pPr>
        <w:ind w:left="360" w:hanging="360"/>
      </w:pPr>
      <w:rPr>
        <w:rFonts w:hint="default"/>
        <w:lang w:val="en-US"/>
      </w:rPr>
    </w:lvl>
    <w:lvl w:ilvl="1">
      <w:start w:val="4"/>
      <w:numFmt w:val="decimal"/>
      <w:isLgl/>
      <w:lvlText w:val="%1.%2"/>
      <w:lvlJc w:val="left"/>
      <w:pPr>
        <w:ind w:left="720" w:hanging="720"/>
      </w:pPr>
      <w:rPr>
        <w:rFonts w:hint="default"/>
      </w:rPr>
    </w:lvl>
    <w:lvl w:ilvl="2">
      <w:start w:val="1"/>
      <w:numFmt w:val="decimal"/>
      <w:pStyle w:val="Heading3"/>
      <w:isLgl/>
      <w:lvlText w:val="%1.%2.%3"/>
      <w:lvlJc w:val="left"/>
      <w:pPr>
        <w:ind w:left="114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28" w15:restartNumberingAfterBreak="0">
    <w:nsid w:val="66FD33C1"/>
    <w:multiLevelType w:val="hybridMultilevel"/>
    <w:tmpl w:val="5DCCCD06"/>
    <w:lvl w:ilvl="0" w:tplc="90A456E0">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C07AAA"/>
    <w:multiLevelType w:val="multilevel"/>
    <w:tmpl w:val="50CE69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71517DB6"/>
    <w:multiLevelType w:val="multilevel"/>
    <w:tmpl w:val="2098E87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78D85984"/>
    <w:multiLevelType w:val="hybridMultilevel"/>
    <w:tmpl w:val="F226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718B2"/>
    <w:multiLevelType w:val="hybridMultilevel"/>
    <w:tmpl w:val="42D07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15"/>
  </w:num>
  <w:num w:numId="4">
    <w:abstractNumId w:val="27"/>
  </w:num>
  <w:num w:numId="5">
    <w:abstractNumId w:val="13"/>
  </w:num>
  <w:num w:numId="6">
    <w:abstractNumId w:val="23"/>
  </w:num>
  <w:num w:numId="7">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6"/>
  </w:num>
  <w:num w:numId="10">
    <w:abstractNumId w:val="10"/>
  </w:num>
  <w:num w:numId="11">
    <w:abstractNumId w:val="11"/>
  </w:num>
  <w:num w:numId="12">
    <w:abstractNumId w:val="29"/>
  </w:num>
  <w:num w:numId="13">
    <w:abstractNumId w:val="25"/>
  </w:num>
  <w:num w:numId="14">
    <w:abstractNumId w:val="20"/>
  </w:num>
  <w:num w:numId="15">
    <w:abstractNumId w:val="17"/>
  </w:num>
  <w:num w:numId="16">
    <w:abstractNumId w:val="30"/>
  </w:num>
  <w:num w:numId="17">
    <w:abstractNumId w:val="32"/>
  </w:num>
  <w:num w:numId="18">
    <w:abstractNumId w:val="14"/>
  </w:num>
  <w:num w:numId="19">
    <w:abstractNumId w:val="22"/>
  </w:num>
  <w:num w:numId="20">
    <w:abstractNumId w:val="28"/>
  </w:num>
  <w:num w:numId="21">
    <w:abstractNumId w:val="12"/>
  </w:num>
  <w:num w:numId="22">
    <w:abstractNumId w:val="24"/>
  </w:num>
  <w:num w:numId="23">
    <w:abstractNumId w:val="6"/>
  </w:num>
  <w:num w:numId="24">
    <w:abstractNumId w:val="19"/>
  </w:num>
  <w:num w:numId="25">
    <w:abstractNumId w:val="9"/>
  </w:num>
  <w:num w:numId="26">
    <w:abstractNumId w:val="7"/>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lvlOverride w:ilvl="0">
      <w:startOverride w:val="1"/>
    </w:lvlOverride>
  </w:num>
  <w:num w:numId="35">
    <w:abstractNumId w:val="15"/>
  </w:num>
  <w:num w:numId="36">
    <w:abstractNumId w:val="15"/>
    <w:lvlOverride w:ilvl="0">
      <w:startOverride w:val="1"/>
    </w:lvlOverride>
  </w:num>
  <w:num w:numId="37">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6B5"/>
    <w:rsid w:val="00001B48"/>
    <w:rsid w:val="000047B4"/>
    <w:rsid w:val="000204AD"/>
    <w:rsid w:val="000218D1"/>
    <w:rsid w:val="00034AA3"/>
    <w:rsid w:val="00035639"/>
    <w:rsid w:val="000356CC"/>
    <w:rsid w:val="00037CE9"/>
    <w:rsid w:val="00042B73"/>
    <w:rsid w:val="000440EF"/>
    <w:rsid w:val="000450B9"/>
    <w:rsid w:val="00046199"/>
    <w:rsid w:val="00046F4E"/>
    <w:rsid w:val="00050DF7"/>
    <w:rsid w:val="0005123B"/>
    <w:rsid w:val="00053DA1"/>
    <w:rsid w:val="00054892"/>
    <w:rsid w:val="00055E2B"/>
    <w:rsid w:val="00057EA4"/>
    <w:rsid w:val="000604BD"/>
    <w:rsid w:val="000670AD"/>
    <w:rsid w:val="00072532"/>
    <w:rsid w:val="000730B1"/>
    <w:rsid w:val="00077E08"/>
    <w:rsid w:val="00080511"/>
    <w:rsid w:val="000829EA"/>
    <w:rsid w:val="00086542"/>
    <w:rsid w:val="00090134"/>
    <w:rsid w:val="000914BE"/>
    <w:rsid w:val="00093B9E"/>
    <w:rsid w:val="00094155"/>
    <w:rsid w:val="0009551E"/>
    <w:rsid w:val="00097572"/>
    <w:rsid w:val="000A444A"/>
    <w:rsid w:val="000A5368"/>
    <w:rsid w:val="000C2890"/>
    <w:rsid w:val="000C6115"/>
    <w:rsid w:val="000D0066"/>
    <w:rsid w:val="000F1987"/>
    <w:rsid w:val="000F6F7D"/>
    <w:rsid w:val="00100BFD"/>
    <w:rsid w:val="00103564"/>
    <w:rsid w:val="00110D98"/>
    <w:rsid w:val="00117721"/>
    <w:rsid w:val="00117B2D"/>
    <w:rsid w:val="00123D42"/>
    <w:rsid w:val="00130431"/>
    <w:rsid w:val="00133247"/>
    <w:rsid w:val="00133776"/>
    <w:rsid w:val="00140B3F"/>
    <w:rsid w:val="001432D9"/>
    <w:rsid w:val="00146314"/>
    <w:rsid w:val="0014705E"/>
    <w:rsid w:val="00147199"/>
    <w:rsid w:val="00147E6F"/>
    <w:rsid w:val="00150AFB"/>
    <w:rsid w:val="001516CD"/>
    <w:rsid w:val="00152D9B"/>
    <w:rsid w:val="00154D4E"/>
    <w:rsid w:val="001550CE"/>
    <w:rsid w:val="00163ABF"/>
    <w:rsid w:val="00171E80"/>
    <w:rsid w:val="0017340B"/>
    <w:rsid w:val="00175541"/>
    <w:rsid w:val="00176C3E"/>
    <w:rsid w:val="00177817"/>
    <w:rsid w:val="00182091"/>
    <w:rsid w:val="00183A3E"/>
    <w:rsid w:val="00184FCF"/>
    <w:rsid w:val="001864CD"/>
    <w:rsid w:val="00192D54"/>
    <w:rsid w:val="00193143"/>
    <w:rsid w:val="001934AA"/>
    <w:rsid w:val="001A09F4"/>
    <w:rsid w:val="001A73B0"/>
    <w:rsid w:val="001B5551"/>
    <w:rsid w:val="001B5EF3"/>
    <w:rsid w:val="001C108E"/>
    <w:rsid w:val="001C156E"/>
    <w:rsid w:val="001C2DAD"/>
    <w:rsid w:val="001C72FF"/>
    <w:rsid w:val="001D055E"/>
    <w:rsid w:val="001D4433"/>
    <w:rsid w:val="001D65D6"/>
    <w:rsid w:val="001D65DB"/>
    <w:rsid w:val="001D7EFC"/>
    <w:rsid w:val="001E3583"/>
    <w:rsid w:val="001E3B23"/>
    <w:rsid w:val="001E4BC8"/>
    <w:rsid w:val="001E6C39"/>
    <w:rsid w:val="001F2146"/>
    <w:rsid w:val="001F2C2D"/>
    <w:rsid w:val="001F3E16"/>
    <w:rsid w:val="001F5486"/>
    <w:rsid w:val="001F767D"/>
    <w:rsid w:val="00201226"/>
    <w:rsid w:val="0020476D"/>
    <w:rsid w:val="0020537C"/>
    <w:rsid w:val="00211605"/>
    <w:rsid w:val="002140D2"/>
    <w:rsid w:val="00214990"/>
    <w:rsid w:val="00216227"/>
    <w:rsid w:val="002256EC"/>
    <w:rsid w:val="0022614E"/>
    <w:rsid w:val="00230548"/>
    <w:rsid w:val="00232B78"/>
    <w:rsid w:val="00234698"/>
    <w:rsid w:val="00237693"/>
    <w:rsid w:val="00241F08"/>
    <w:rsid w:val="0024222A"/>
    <w:rsid w:val="002427E9"/>
    <w:rsid w:val="00243C70"/>
    <w:rsid w:val="002443BB"/>
    <w:rsid w:val="00245F89"/>
    <w:rsid w:val="00247246"/>
    <w:rsid w:val="002506AE"/>
    <w:rsid w:val="00251B17"/>
    <w:rsid w:val="002536CC"/>
    <w:rsid w:val="0025531D"/>
    <w:rsid w:val="002555DC"/>
    <w:rsid w:val="00255855"/>
    <w:rsid w:val="0025608B"/>
    <w:rsid w:val="00263C94"/>
    <w:rsid w:val="00266AA8"/>
    <w:rsid w:val="00266DA3"/>
    <w:rsid w:val="00272435"/>
    <w:rsid w:val="00273C1B"/>
    <w:rsid w:val="002741F0"/>
    <w:rsid w:val="002756ED"/>
    <w:rsid w:val="00277290"/>
    <w:rsid w:val="00277B58"/>
    <w:rsid w:val="002859CD"/>
    <w:rsid w:val="002926B6"/>
    <w:rsid w:val="00293231"/>
    <w:rsid w:val="002A0903"/>
    <w:rsid w:val="002A1489"/>
    <w:rsid w:val="002A6BE6"/>
    <w:rsid w:val="002C009C"/>
    <w:rsid w:val="002C1718"/>
    <w:rsid w:val="002C1C73"/>
    <w:rsid w:val="002C3FCA"/>
    <w:rsid w:val="002C49B3"/>
    <w:rsid w:val="002C5146"/>
    <w:rsid w:val="002C5A96"/>
    <w:rsid w:val="002C7302"/>
    <w:rsid w:val="002C7859"/>
    <w:rsid w:val="002D179E"/>
    <w:rsid w:val="002D1C84"/>
    <w:rsid w:val="002D3D96"/>
    <w:rsid w:val="002D5244"/>
    <w:rsid w:val="002D6795"/>
    <w:rsid w:val="002E14FC"/>
    <w:rsid w:val="002E4C1C"/>
    <w:rsid w:val="002E6A1A"/>
    <w:rsid w:val="002F1E63"/>
    <w:rsid w:val="002F3D2F"/>
    <w:rsid w:val="002F42F2"/>
    <w:rsid w:val="002F4761"/>
    <w:rsid w:val="002F4CC7"/>
    <w:rsid w:val="002F54A6"/>
    <w:rsid w:val="002F5F00"/>
    <w:rsid w:val="002F60B4"/>
    <w:rsid w:val="0030084B"/>
    <w:rsid w:val="003014DB"/>
    <w:rsid w:val="00303AA8"/>
    <w:rsid w:val="003052C2"/>
    <w:rsid w:val="003069EA"/>
    <w:rsid w:val="003102F3"/>
    <w:rsid w:val="003137CC"/>
    <w:rsid w:val="00315358"/>
    <w:rsid w:val="00315B78"/>
    <w:rsid w:val="0032149C"/>
    <w:rsid w:val="00322346"/>
    <w:rsid w:val="00322597"/>
    <w:rsid w:val="00330040"/>
    <w:rsid w:val="00331373"/>
    <w:rsid w:val="003322BB"/>
    <w:rsid w:val="003336F0"/>
    <w:rsid w:val="003363DA"/>
    <w:rsid w:val="00337F86"/>
    <w:rsid w:val="003419B5"/>
    <w:rsid w:val="003456E8"/>
    <w:rsid w:val="00346159"/>
    <w:rsid w:val="00350ABC"/>
    <w:rsid w:val="003512D1"/>
    <w:rsid w:val="00352346"/>
    <w:rsid w:val="00356F19"/>
    <w:rsid w:val="0035723F"/>
    <w:rsid w:val="00357312"/>
    <w:rsid w:val="003577EA"/>
    <w:rsid w:val="00361C07"/>
    <w:rsid w:val="00363DCB"/>
    <w:rsid w:val="00364555"/>
    <w:rsid w:val="003676B4"/>
    <w:rsid w:val="00370090"/>
    <w:rsid w:val="003702B3"/>
    <w:rsid w:val="003712A1"/>
    <w:rsid w:val="00371472"/>
    <w:rsid w:val="003728AC"/>
    <w:rsid w:val="00374823"/>
    <w:rsid w:val="00374AD6"/>
    <w:rsid w:val="003750C1"/>
    <w:rsid w:val="0037552C"/>
    <w:rsid w:val="0038509C"/>
    <w:rsid w:val="0038785F"/>
    <w:rsid w:val="00391554"/>
    <w:rsid w:val="00393052"/>
    <w:rsid w:val="003931A8"/>
    <w:rsid w:val="00393D2F"/>
    <w:rsid w:val="00397466"/>
    <w:rsid w:val="003A05B3"/>
    <w:rsid w:val="003A7B4B"/>
    <w:rsid w:val="003B247B"/>
    <w:rsid w:val="003B2D12"/>
    <w:rsid w:val="003B4475"/>
    <w:rsid w:val="003C3DE7"/>
    <w:rsid w:val="003C50AD"/>
    <w:rsid w:val="003C66BF"/>
    <w:rsid w:val="003D6059"/>
    <w:rsid w:val="003E0DE2"/>
    <w:rsid w:val="003E148D"/>
    <w:rsid w:val="003E5962"/>
    <w:rsid w:val="003E5C55"/>
    <w:rsid w:val="003E73CF"/>
    <w:rsid w:val="003F117F"/>
    <w:rsid w:val="003F2841"/>
    <w:rsid w:val="003F2D9E"/>
    <w:rsid w:val="003F7FFE"/>
    <w:rsid w:val="004047B2"/>
    <w:rsid w:val="0040530B"/>
    <w:rsid w:val="004059FB"/>
    <w:rsid w:val="00407287"/>
    <w:rsid w:val="00411F54"/>
    <w:rsid w:val="00420DF6"/>
    <w:rsid w:val="00420FD1"/>
    <w:rsid w:val="004242A6"/>
    <w:rsid w:val="0042683A"/>
    <w:rsid w:val="004277AD"/>
    <w:rsid w:val="0043030B"/>
    <w:rsid w:val="004317D9"/>
    <w:rsid w:val="00434193"/>
    <w:rsid w:val="00434FB6"/>
    <w:rsid w:val="004377EC"/>
    <w:rsid w:val="00442363"/>
    <w:rsid w:val="00447484"/>
    <w:rsid w:val="004541CB"/>
    <w:rsid w:val="00455992"/>
    <w:rsid w:val="00455F75"/>
    <w:rsid w:val="00456601"/>
    <w:rsid w:val="0046687F"/>
    <w:rsid w:val="00471EC2"/>
    <w:rsid w:val="00477848"/>
    <w:rsid w:val="00480C3F"/>
    <w:rsid w:val="0048436A"/>
    <w:rsid w:val="00485952"/>
    <w:rsid w:val="00485F60"/>
    <w:rsid w:val="004868A2"/>
    <w:rsid w:val="00487574"/>
    <w:rsid w:val="00487707"/>
    <w:rsid w:val="0049029D"/>
    <w:rsid w:val="00490E72"/>
    <w:rsid w:val="0049713D"/>
    <w:rsid w:val="004A0920"/>
    <w:rsid w:val="004A4489"/>
    <w:rsid w:val="004A469B"/>
    <w:rsid w:val="004A68F1"/>
    <w:rsid w:val="004A792C"/>
    <w:rsid w:val="004B1C89"/>
    <w:rsid w:val="004B4A5C"/>
    <w:rsid w:val="004B6208"/>
    <w:rsid w:val="004B64F6"/>
    <w:rsid w:val="004B71B7"/>
    <w:rsid w:val="004C7BCE"/>
    <w:rsid w:val="004D141F"/>
    <w:rsid w:val="004D23A8"/>
    <w:rsid w:val="004D6671"/>
    <w:rsid w:val="004D72B5"/>
    <w:rsid w:val="004D79FA"/>
    <w:rsid w:val="004E21C0"/>
    <w:rsid w:val="004E2385"/>
    <w:rsid w:val="004E27B3"/>
    <w:rsid w:val="004E2FF8"/>
    <w:rsid w:val="004E71F9"/>
    <w:rsid w:val="004F08E3"/>
    <w:rsid w:val="004F19A0"/>
    <w:rsid w:val="004F2945"/>
    <w:rsid w:val="004F3A44"/>
    <w:rsid w:val="00500D86"/>
    <w:rsid w:val="00500EF3"/>
    <w:rsid w:val="005039F1"/>
    <w:rsid w:val="005063A3"/>
    <w:rsid w:val="005077C9"/>
    <w:rsid w:val="00513744"/>
    <w:rsid w:val="00513887"/>
    <w:rsid w:val="00513FFC"/>
    <w:rsid w:val="00514FCE"/>
    <w:rsid w:val="00524978"/>
    <w:rsid w:val="005251F1"/>
    <w:rsid w:val="00525E60"/>
    <w:rsid w:val="00536A80"/>
    <w:rsid w:val="00543971"/>
    <w:rsid w:val="00552102"/>
    <w:rsid w:val="005552B2"/>
    <w:rsid w:val="00560E65"/>
    <w:rsid w:val="00560E79"/>
    <w:rsid w:val="00561837"/>
    <w:rsid w:val="005623E0"/>
    <w:rsid w:val="00562700"/>
    <w:rsid w:val="00563447"/>
    <w:rsid w:val="0057048D"/>
    <w:rsid w:val="0057134E"/>
    <w:rsid w:val="0057175B"/>
    <w:rsid w:val="005723D0"/>
    <w:rsid w:val="005747E7"/>
    <w:rsid w:val="005762E8"/>
    <w:rsid w:val="00577A98"/>
    <w:rsid w:val="00580371"/>
    <w:rsid w:val="005823EF"/>
    <w:rsid w:val="00582F5E"/>
    <w:rsid w:val="0058555A"/>
    <w:rsid w:val="005870FC"/>
    <w:rsid w:val="00587206"/>
    <w:rsid w:val="00587C14"/>
    <w:rsid w:val="00593D41"/>
    <w:rsid w:val="00597718"/>
    <w:rsid w:val="00597D3F"/>
    <w:rsid w:val="005A016D"/>
    <w:rsid w:val="005A159F"/>
    <w:rsid w:val="005A29DE"/>
    <w:rsid w:val="005A3066"/>
    <w:rsid w:val="005A376A"/>
    <w:rsid w:val="005A790C"/>
    <w:rsid w:val="005B0162"/>
    <w:rsid w:val="005B04BF"/>
    <w:rsid w:val="005B1173"/>
    <w:rsid w:val="005B15AF"/>
    <w:rsid w:val="005B1E22"/>
    <w:rsid w:val="005B276B"/>
    <w:rsid w:val="005C1D5D"/>
    <w:rsid w:val="005C2C53"/>
    <w:rsid w:val="005C3DA8"/>
    <w:rsid w:val="005D5882"/>
    <w:rsid w:val="005D6A45"/>
    <w:rsid w:val="005D7029"/>
    <w:rsid w:val="005E1AC1"/>
    <w:rsid w:val="005E26FE"/>
    <w:rsid w:val="005F1F6C"/>
    <w:rsid w:val="005F6EAB"/>
    <w:rsid w:val="005F7C9A"/>
    <w:rsid w:val="00601A4B"/>
    <w:rsid w:val="006057F8"/>
    <w:rsid w:val="00611346"/>
    <w:rsid w:val="00611BF8"/>
    <w:rsid w:val="006127B4"/>
    <w:rsid w:val="0061604E"/>
    <w:rsid w:val="006249B3"/>
    <w:rsid w:val="00625208"/>
    <w:rsid w:val="0062753C"/>
    <w:rsid w:val="006329E4"/>
    <w:rsid w:val="00632A68"/>
    <w:rsid w:val="006335A7"/>
    <w:rsid w:val="006350F1"/>
    <w:rsid w:val="0064050D"/>
    <w:rsid w:val="006472EE"/>
    <w:rsid w:val="0065229C"/>
    <w:rsid w:val="0065288C"/>
    <w:rsid w:val="00652F66"/>
    <w:rsid w:val="00655182"/>
    <w:rsid w:val="00655328"/>
    <w:rsid w:val="0065538E"/>
    <w:rsid w:val="00661FA8"/>
    <w:rsid w:val="00662B9D"/>
    <w:rsid w:val="006636C8"/>
    <w:rsid w:val="00663E12"/>
    <w:rsid w:val="00665A07"/>
    <w:rsid w:val="00670086"/>
    <w:rsid w:val="00673E4C"/>
    <w:rsid w:val="006802F0"/>
    <w:rsid w:val="00682838"/>
    <w:rsid w:val="006863CE"/>
    <w:rsid w:val="006972B0"/>
    <w:rsid w:val="006A02B4"/>
    <w:rsid w:val="006A1B6E"/>
    <w:rsid w:val="006A3590"/>
    <w:rsid w:val="006A4291"/>
    <w:rsid w:val="006A53D4"/>
    <w:rsid w:val="006A5C9B"/>
    <w:rsid w:val="006A65C7"/>
    <w:rsid w:val="006A6790"/>
    <w:rsid w:val="006A6D66"/>
    <w:rsid w:val="006B0963"/>
    <w:rsid w:val="006B1438"/>
    <w:rsid w:val="006B338B"/>
    <w:rsid w:val="006B3721"/>
    <w:rsid w:val="006B3C01"/>
    <w:rsid w:val="006B3C86"/>
    <w:rsid w:val="006B552E"/>
    <w:rsid w:val="006B558C"/>
    <w:rsid w:val="006B5F87"/>
    <w:rsid w:val="006C0AB8"/>
    <w:rsid w:val="006C388B"/>
    <w:rsid w:val="006C74A7"/>
    <w:rsid w:val="006C7E55"/>
    <w:rsid w:val="006E387C"/>
    <w:rsid w:val="006E408A"/>
    <w:rsid w:val="006E7B72"/>
    <w:rsid w:val="006E7DBA"/>
    <w:rsid w:val="006F20C6"/>
    <w:rsid w:val="006F32A4"/>
    <w:rsid w:val="006F77E9"/>
    <w:rsid w:val="00703FE4"/>
    <w:rsid w:val="00704114"/>
    <w:rsid w:val="007054AA"/>
    <w:rsid w:val="00707921"/>
    <w:rsid w:val="0071165E"/>
    <w:rsid w:val="00713253"/>
    <w:rsid w:val="00716703"/>
    <w:rsid w:val="007221E9"/>
    <w:rsid w:val="007243E6"/>
    <w:rsid w:val="00725731"/>
    <w:rsid w:val="007315F5"/>
    <w:rsid w:val="00734199"/>
    <w:rsid w:val="00734418"/>
    <w:rsid w:val="00735AE6"/>
    <w:rsid w:val="00735B2A"/>
    <w:rsid w:val="00737085"/>
    <w:rsid w:val="00740D81"/>
    <w:rsid w:val="00740FC1"/>
    <w:rsid w:val="00741F37"/>
    <w:rsid w:val="00742D4D"/>
    <w:rsid w:val="0074481C"/>
    <w:rsid w:val="00745196"/>
    <w:rsid w:val="00746AFE"/>
    <w:rsid w:val="00752472"/>
    <w:rsid w:val="007529CB"/>
    <w:rsid w:val="00754FF1"/>
    <w:rsid w:val="007573A9"/>
    <w:rsid w:val="00760BCF"/>
    <w:rsid w:val="00762A22"/>
    <w:rsid w:val="00762A28"/>
    <w:rsid w:val="007652D2"/>
    <w:rsid w:val="0076763A"/>
    <w:rsid w:val="00772ADC"/>
    <w:rsid w:val="00775314"/>
    <w:rsid w:val="0077531A"/>
    <w:rsid w:val="00777D29"/>
    <w:rsid w:val="007803CC"/>
    <w:rsid w:val="0078085C"/>
    <w:rsid w:val="00780F83"/>
    <w:rsid w:val="00785362"/>
    <w:rsid w:val="0078596F"/>
    <w:rsid w:val="00790B3B"/>
    <w:rsid w:val="00790D85"/>
    <w:rsid w:val="00791D8A"/>
    <w:rsid w:val="0079221F"/>
    <w:rsid w:val="007924E7"/>
    <w:rsid w:val="00792EA5"/>
    <w:rsid w:val="007977A4"/>
    <w:rsid w:val="007A07AF"/>
    <w:rsid w:val="007A25C8"/>
    <w:rsid w:val="007A5C55"/>
    <w:rsid w:val="007A5FCF"/>
    <w:rsid w:val="007B0654"/>
    <w:rsid w:val="007B08CD"/>
    <w:rsid w:val="007B64AD"/>
    <w:rsid w:val="007B763B"/>
    <w:rsid w:val="007C4906"/>
    <w:rsid w:val="007C5257"/>
    <w:rsid w:val="007C70BA"/>
    <w:rsid w:val="007C7A7D"/>
    <w:rsid w:val="007D269C"/>
    <w:rsid w:val="007D48B1"/>
    <w:rsid w:val="007D4905"/>
    <w:rsid w:val="007D4F51"/>
    <w:rsid w:val="007D7143"/>
    <w:rsid w:val="007E0F92"/>
    <w:rsid w:val="007E3F0F"/>
    <w:rsid w:val="007E561E"/>
    <w:rsid w:val="007E7FB3"/>
    <w:rsid w:val="007F3027"/>
    <w:rsid w:val="007F3358"/>
    <w:rsid w:val="007F3D0B"/>
    <w:rsid w:val="007F458A"/>
    <w:rsid w:val="007F4A23"/>
    <w:rsid w:val="007F539A"/>
    <w:rsid w:val="007F634D"/>
    <w:rsid w:val="00800794"/>
    <w:rsid w:val="00802A79"/>
    <w:rsid w:val="008071F9"/>
    <w:rsid w:val="00810D67"/>
    <w:rsid w:val="0081228E"/>
    <w:rsid w:val="008130EE"/>
    <w:rsid w:val="00816783"/>
    <w:rsid w:val="008245D1"/>
    <w:rsid w:val="0082618E"/>
    <w:rsid w:val="00827271"/>
    <w:rsid w:val="0083034B"/>
    <w:rsid w:val="00832A7D"/>
    <w:rsid w:val="00844741"/>
    <w:rsid w:val="00850839"/>
    <w:rsid w:val="008575EF"/>
    <w:rsid w:val="0085798B"/>
    <w:rsid w:val="00860D90"/>
    <w:rsid w:val="00863888"/>
    <w:rsid w:val="0086700C"/>
    <w:rsid w:val="00870CE4"/>
    <w:rsid w:val="008744D0"/>
    <w:rsid w:val="00876C4B"/>
    <w:rsid w:val="008823B6"/>
    <w:rsid w:val="00885373"/>
    <w:rsid w:val="008863F0"/>
    <w:rsid w:val="008913E0"/>
    <w:rsid w:val="00891F9E"/>
    <w:rsid w:val="008957D3"/>
    <w:rsid w:val="00897ABF"/>
    <w:rsid w:val="008A0300"/>
    <w:rsid w:val="008A4815"/>
    <w:rsid w:val="008A659D"/>
    <w:rsid w:val="008A6B58"/>
    <w:rsid w:val="008A7333"/>
    <w:rsid w:val="008B1F72"/>
    <w:rsid w:val="008B5FC2"/>
    <w:rsid w:val="008B7078"/>
    <w:rsid w:val="008C351C"/>
    <w:rsid w:val="008C419B"/>
    <w:rsid w:val="008C4715"/>
    <w:rsid w:val="008C63B0"/>
    <w:rsid w:val="008C6949"/>
    <w:rsid w:val="008C6D72"/>
    <w:rsid w:val="008C7197"/>
    <w:rsid w:val="008C76B6"/>
    <w:rsid w:val="008C7E31"/>
    <w:rsid w:val="008D1334"/>
    <w:rsid w:val="008D157A"/>
    <w:rsid w:val="008D1A2A"/>
    <w:rsid w:val="008D248F"/>
    <w:rsid w:val="008D29FD"/>
    <w:rsid w:val="008D6A0D"/>
    <w:rsid w:val="008E580A"/>
    <w:rsid w:val="008F0B60"/>
    <w:rsid w:val="008F2D21"/>
    <w:rsid w:val="008F3D9C"/>
    <w:rsid w:val="008F742E"/>
    <w:rsid w:val="0090418F"/>
    <w:rsid w:val="0090500B"/>
    <w:rsid w:val="009127E2"/>
    <w:rsid w:val="00914209"/>
    <w:rsid w:val="00914E99"/>
    <w:rsid w:val="00916339"/>
    <w:rsid w:val="0091723E"/>
    <w:rsid w:val="00922134"/>
    <w:rsid w:val="00922948"/>
    <w:rsid w:val="00923A5B"/>
    <w:rsid w:val="00925D5D"/>
    <w:rsid w:val="00932C16"/>
    <w:rsid w:val="00934F84"/>
    <w:rsid w:val="00935F0B"/>
    <w:rsid w:val="00937505"/>
    <w:rsid w:val="0094219C"/>
    <w:rsid w:val="00942268"/>
    <w:rsid w:val="00942FD1"/>
    <w:rsid w:val="00945DF8"/>
    <w:rsid w:val="00946AC5"/>
    <w:rsid w:val="009479BE"/>
    <w:rsid w:val="00950026"/>
    <w:rsid w:val="00953CFE"/>
    <w:rsid w:val="00957C1E"/>
    <w:rsid w:val="00960914"/>
    <w:rsid w:val="0096181E"/>
    <w:rsid w:val="00961877"/>
    <w:rsid w:val="00961D41"/>
    <w:rsid w:val="00976590"/>
    <w:rsid w:val="00980AB6"/>
    <w:rsid w:val="00981529"/>
    <w:rsid w:val="009832C6"/>
    <w:rsid w:val="009934B5"/>
    <w:rsid w:val="009935A2"/>
    <w:rsid w:val="00993B38"/>
    <w:rsid w:val="00995451"/>
    <w:rsid w:val="0099620F"/>
    <w:rsid w:val="009A028B"/>
    <w:rsid w:val="009A06F8"/>
    <w:rsid w:val="009A472E"/>
    <w:rsid w:val="009A7155"/>
    <w:rsid w:val="009B1197"/>
    <w:rsid w:val="009B22CB"/>
    <w:rsid w:val="009B252F"/>
    <w:rsid w:val="009B539D"/>
    <w:rsid w:val="009B5BF0"/>
    <w:rsid w:val="009C4CDA"/>
    <w:rsid w:val="009C585E"/>
    <w:rsid w:val="009D2CC8"/>
    <w:rsid w:val="009D489B"/>
    <w:rsid w:val="009D77B2"/>
    <w:rsid w:val="009D7DDC"/>
    <w:rsid w:val="009E0394"/>
    <w:rsid w:val="009E493B"/>
    <w:rsid w:val="009E55E8"/>
    <w:rsid w:val="009F04A2"/>
    <w:rsid w:val="009F26A4"/>
    <w:rsid w:val="009F6D04"/>
    <w:rsid w:val="00A10FFF"/>
    <w:rsid w:val="00A131CE"/>
    <w:rsid w:val="00A157F5"/>
    <w:rsid w:val="00A17BF0"/>
    <w:rsid w:val="00A205C1"/>
    <w:rsid w:val="00A23AC0"/>
    <w:rsid w:val="00A260F4"/>
    <w:rsid w:val="00A31021"/>
    <w:rsid w:val="00A31E2C"/>
    <w:rsid w:val="00A325F4"/>
    <w:rsid w:val="00A327E5"/>
    <w:rsid w:val="00A35641"/>
    <w:rsid w:val="00A36603"/>
    <w:rsid w:val="00A37F4C"/>
    <w:rsid w:val="00A4038D"/>
    <w:rsid w:val="00A41B14"/>
    <w:rsid w:val="00A4437B"/>
    <w:rsid w:val="00A45C19"/>
    <w:rsid w:val="00A47670"/>
    <w:rsid w:val="00A5148E"/>
    <w:rsid w:val="00A5740C"/>
    <w:rsid w:val="00A57FB7"/>
    <w:rsid w:val="00A60637"/>
    <w:rsid w:val="00A6073D"/>
    <w:rsid w:val="00A63271"/>
    <w:rsid w:val="00A637B8"/>
    <w:rsid w:val="00A6520C"/>
    <w:rsid w:val="00A700E7"/>
    <w:rsid w:val="00A735D8"/>
    <w:rsid w:val="00A75172"/>
    <w:rsid w:val="00A81350"/>
    <w:rsid w:val="00A84F53"/>
    <w:rsid w:val="00A854FB"/>
    <w:rsid w:val="00A95137"/>
    <w:rsid w:val="00AA4A54"/>
    <w:rsid w:val="00AB28CC"/>
    <w:rsid w:val="00AB2C24"/>
    <w:rsid w:val="00AB3D3C"/>
    <w:rsid w:val="00AC293D"/>
    <w:rsid w:val="00AC2E1E"/>
    <w:rsid w:val="00AC724E"/>
    <w:rsid w:val="00AD29D3"/>
    <w:rsid w:val="00AD525A"/>
    <w:rsid w:val="00AD79E9"/>
    <w:rsid w:val="00AE06E5"/>
    <w:rsid w:val="00AE37AC"/>
    <w:rsid w:val="00AE4643"/>
    <w:rsid w:val="00AF1228"/>
    <w:rsid w:val="00AF2C48"/>
    <w:rsid w:val="00AF439A"/>
    <w:rsid w:val="00AF6DF0"/>
    <w:rsid w:val="00B00259"/>
    <w:rsid w:val="00B03627"/>
    <w:rsid w:val="00B03654"/>
    <w:rsid w:val="00B03FD8"/>
    <w:rsid w:val="00B04991"/>
    <w:rsid w:val="00B053F7"/>
    <w:rsid w:val="00B056B5"/>
    <w:rsid w:val="00B06200"/>
    <w:rsid w:val="00B12A98"/>
    <w:rsid w:val="00B25229"/>
    <w:rsid w:val="00B26A3C"/>
    <w:rsid w:val="00B3149C"/>
    <w:rsid w:val="00B31DEE"/>
    <w:rsid w:val="00B35A68"/>
    <w:rsid w:val="00B377CC"/>
    <w:rsid w:val="00B40028"/>
    <w:rsid w:val="00B45016"/>
    <w:rsid w:val="00B47A5C"/>
    <w:rsid w:val="00B47AAD"/>
    <w:rsid w:val="00B47DBD"/>
    <w:rsid w:val="00B532F6"/>
    <w:rsid w:val="00B60FC0"/>
    <w:rsid w:val="00B6579D"/>
    <w:rsid w:val="00B706CD"/>
    <w:rsid w:val="00B71E91"/>
    <w:rsid w:val="00B72CC5"/>
    <w:rsid w:val="00B73AE8"/>
    <w:rsid w:val="00B75703"/>
    <w:rsid w:val="00B757C2"/>
    <w:rsid w:val="00B76B60"/>
    <w:rsid w:val="00B77962"/>
    <w:rsid w:val="00B80E1F"/>
    <w:rsid w:val="00B81B9F"/>
    <w:rsid w:val="00B8476B"/>
    <w:rsid w:val="00B84DF1"/>
    <w:rsid w:val="00B85768"/>
    <w:rsid w:val="00B915BA"/>
    <w:rsid w:val="00BA55C4"/>
    <w:rsid w:val="00BA680F"/>
    <w:rsid w:val="00BB3219"/>
    <w:rsid w:val="00BB55D8"/>
    <w:rsid w:val="00BC4B2E"/>
    <w:rsid w:val="00BD1E1B"/>
    <w:rsid w:val="00BD2F14"/>
    <w:rsid w:val="00BD61AE"/>
    <w:rsid w:val="00BD6694"/>
    <w:rsid w:val="00BE05AA"/>
    <w:rsid w:val="00BE1850"/>
    <w:rsid w:val="00BE517B"/>
    <w:rsid w:val="00BF0162"/>
    <w:rsid w:val="00BF02D1"/>
    <w:rsid w:val="00BF187E"/>
    <w:rsid w:val="00BF1E57"/>
    <w:rsid w:val="00BF28E2"/>
    <w:rsid w:val="00BF2C3D"/>
    <w:rsid w:val="00BF511D"/>
    <w:rsid w:val="00BF7D0A"/>
    <w:rsid w:val="00C005E6"/>
    <w:rsid w:val="00C023CD"/>
    <w:rsid w:val="00C02AD4"/>
    <w:rsid w:val="00C038A6"/>
    <w:rsid w:val="00C0633F"/>
    <w:rsid w:val="00C12EA0"/>
    <w:rsid w:val="00C14563"/>
    <w:rsid w:val="00C14C70"/>
    <w:rsid w:val="00C16667"/>
    <w:rsid w:val="00C17688"/>
    <w:rsid w:val="00C17CAF"/>
    <w:rsid w:val="00C206DA"/>
    <w:rsid w:val="00C27288"/>
    <w:rsid w:val="00C313A3"/>
    <w:rsid w:val="00C31717"/>
    <w:rsid w:val="00C33110"/>
    <w:rsid w:val="00C35729"/>
    <w:rsid w:val="00C36581"/>
    <w:rsid w:val="00C3700B"/>
    <w:rsid w:val="00C4055C"/>
    <w:rsid w:val="00C411C7"/>
    <w:rsid w:val="00C46FCE"/>
    <w:rsid w:val="00C53B85"/>
    <w:rsid w:val="00C57125"/>
    <w:rsid w:val="00C60AD3"/>
    <w:rsid w:val="00C61B68"/>
    <w:rsid w:val="00C640EB"/>
    <w:rsid w:val="00C64AEA"/>
    <w:rsid w:val="00C67221"/>
    <w:rsid w:val="00C67A67"/>
    <w:rsid w:val="00C71AB0"/>
    <w:rsid w:val="00C71D0E"/>
    <w:rsid w:val="00C73C12"/>
    <w:rsid w:val="00C74E88"/>
    <w:rsid w:val="00C774BE"/>
    <w:rsid w:val="00C85C49"/>
    <w:rsid w:val="00C87D85"/>
    <w:rsid w:val="00C90E78"/>
    <w:rsid w:val="00C92352"/>
    <w:rsid w:val="00C9608D"/>
    <w:rsid w:val="00CA64AF"/>
    <w:rsid w:val="00CA676F"/>
    <w:rsid w:val="00CA7CF6"/>
    <w:rsid w:val="00CC01FA"/>
    <w:rsid w:val="00CC283B"/>
    <w:rsid w:val="00CC2E7E"/>
    <w:rsid w:val="00CC6638"/>
    <w:rsid w:val="00CC67BB"/>
    <w:rsid w:val="00CD3473"/>
    <w:rsid w:val="00CD3DFC"/>
    <w:rsid w:val="00CD45AF"/>
    <w:rsid w:val="00CD48C2"/>
    <w:rsid w:val="00CD56DB"/>
    <w:rsid w:val="00CD7933"/>
    <w:rsid w:val="00CD7EDB"/>
    <w:rsid w:val="00CE526A"/>
    <w:rsid w:val="00CE546A"/>
    <w:rsid w:val="00CF3848"/>
    <w:rsid w:val="00CF446A"/>
    <w:rsid w:val="00D03298"/>
    <w:rsid w:val="00D057A6"/>
    <w:rsid w:val="00D063C5"/>
    <w:rsid w:val="00D06CCF"/>
    <w:rsid w:val="00D076EE"/>
    <w:rsid w:val="00D07983"/>
    <w:rsid w:val="00D107CA"/>
    <w:rsid w:val="00D15BAD"/>
    <w:rsid w:val="00D253CF"/>
    <w:rsid w:val="00D35558"/>
    <w:rsid w:val="00D40CF4"/>
    <w:rsid w:val="00D41B4A"/>
    <w:rsid w:val="00D41D5B"/>
    <w:rsid w:val="00D452C5"/>
    <w:rsid w:val="00D472C6"/>
    <w:rsid w:val="00D5196F"/>
    <w:rsid w:val="00D53C12"/>
    <w:rsid w:val="00D55A59"/>
    <w:rsid w:val="00D62889"/>
    <w:rsid w:val="00D62D7A"/>
    <w:rsid w:val="00D66969"/>
    <w:rsid w:val="00D66D2D"/>
    <w:rsid w:val="00D70806"/>
    <w:rsid w:val="00D71E3C"/>
    <w:rsid w:val="00D73BB5"/>
    <w:rsid w:val="00D73DD0"/>
    <w:rsid w:val="00D741E7"/>
    <w:rsid w:val="00D81B5D"/>
    <w:rsid w:val="00D8506A"/>
    <w:rsid w:val="00D85557"/>
    <w:rsid w:val="00D85B8D"/>
    <w:rsid w:val="00D87227"/>
    <w:rsid w:val="00D87C9E"/>
    <w:rsid w:val="00D915A8"/>
    <w:rsid w:val="00D9235A"/>
    <w:rsid w:val="00D93372"/>
    <w:rsid w:val="00D95C43"/>
    <w:rsid w:val="00DA36D1"/>
    <w:rsid w:val="00DA3C42"/>
    <w:rsid w:val="00DA675B"/>
    <w:rsid w:val="00DA694A"/>
    <w:rsid w:val="00DA7AAF"/>
    <w:rsid w:val="00DB1588"/>
    <w:rsid w:val="00DB1E40"/>
    <w:rsid w:val="00DB518F"/>
    <w:rsid w:val="00DB68A7"/>
    <w:rsid w:val="00DC2FA4"/>
    <w:rsid w:val="00DC401A"/>
    <w:rsid w:val="00DC4CA2"/>
    <w:rsid w:val="00DC6F3D"/>
    <w:rsid w:val="00DC790C"/>
    <w:rsid w:val="00DC7FA5"/>
    <w:rsid w:val="00DD0403"/>
    <w:rsid w:val="00DD3CA5"/>
    <w:rsid w:val="00DD4813"/>
    <w:rsid w:val="00DE1D9E"/>
    <w:rsid w:val="00DE3AFE"/>
    <w:rsid w:val="00DE4062"/>
    <w:rsid w:val="00DE7074"/>
    <w:rsid w:val="00DF0CB5"/>
    <w:rsid w:val="00DF3459"/>
    <w:rsid w:val="00DF5E62"/>
    <w:rsid w:val="00E04E64"/>
    <w:rsid w:val="00E067F1"/>
    <w:rsid w:val="00E11098"/>
    <w:rsid w:val="00E123B8"/>
    <w:rsid w:val="00E1287E"/>
    <w:rsid w:val="00E1518F"/>
    <w:rsid w:val="00E24937"/>
    <w:rsid w:val="00E274F5"/>
    <w:rsid w:val="00E308F4"/>
    <w:rsid w:val="00E30972"/>
    <w:rsid w:val="00E36D0C"/>
    <w:rsid w:val="00E37438"/>
    <w:rsid w:val="00E377EB"/>
    <w:rsid w:val="00E41B82"/>
    <w:rsid w:val="00E4342E"/>
    <w:rsid w:val="00E43B65"/>
    <w:rsid w:val="00E45365"/>
    <w:rsid w:val="00E458CC"/>
    <w:rsid w:val="00E47865"/>
    <w:rsid w:val="00E5089A"/>
    <w:rsid w:val="00E50FD8"/>
    <w:rsid w:val="00E52F57"/>
    <w:rsid w:val="00E5433C"/>
    <w:rsid w:val="00E56310"/>
    <w:rsid w:val="00E6197C"/>
    <w:rsid w:val="00E64DFF"/>
    <w:rsid w:val="00E65EFE"/>
    <w:rsid w:val="00E72EB8"/>
    <w:rsid w:val="00E7403E"/>
    <w:rsid w:val="00E776A1"/>
    <w:rsid w:val="00E81189"/>
    <w:rsid w:val="00E85A9F"/>
    <w:rsid w:val="00E87BF1"/>
    <w:rsid w:val="00E87FBE"/>
    <w:rsid w:val="00E926FE"/>
    <w:rsid w:val="00EA0AFD"/>
    <w:rsid w:val="00EA134E"/>
    <w:rsid w:val="00EA243A"/>
    <w:rsid w:val="00EA4134"/>
    <w:rsid w:val="00EA7CF3"/>
    <w:rsid w:val="00EB36DC"/>
    <w:rsid w:val="00EB7147"/>
    <w:rsid w:val="00EB72AF"/>
    <w:rsid w:val="00EC0773"/>
    <w:rsid w:val="00EC587A"/>
    <w:rsid w:val="00ED0EF5"/>
    <w:rsid w:val="00ED54BF"/>
    <w:rsid w:val="00EE1AD1"/>
    <w:rsid w:val="00F06929"/>
    <w:rsid w:val="00F10B0E"/>
    <w:rsid w:val="00F12A06"/>
    <w:rsid w:val="00F152E0"/>
    <w:rsid w:val="00F156F0"/>
    <w:rsid w:val="00F16D4A"/>
    <w:rsid w:val="00F17BDD"/>
    <w:rsid w:val="00F17FB4"/>
    <w:rsid w:val="00F2686D"/>
    <w:rsid w:val="00F3381D"/>
    <w:rsid w:val="00F34690"/>
    <w:rsid w:val="00F36197"/>
    <w:rsid w:val="00F3768E"/>
    <w:rsid w:val="00F3769A"/>
    <w:rsid w:val="00F44DEA"/>
    <w:rsid w:val="00F47E65"/>
    <w:rsid w:val="00F52D61"/>
    <w:rsid w:val="00F6088B"/>
    <w:rsid w:val="00F70608"/>
    <w:rsid w:val="00F712BC"/>
    <w:rsid w:val="00F729DF"/>
    <w:rsid w:val="00F741FF"/>
    <w:rsid w:val="00F75A92"/>
    <w:rsid w:val="00F82390"/>
    <w:rsid w:val="00F835B9"/>
    <w:rsid w:val="00F857E7"/>
    <w:rsid w:val="00F85927"/>
    <w:rsid w:val="00F87B34"/>
    <w:rsid w:val="00F93039"/>
    <w:rsid w:val="00F933F2"/>
    <w:rsid w:val="00F948FC"/>
    <w:rsid w:val="00F96CB7"/>
    <w:rsid w:val="00F971F7"/>
    <w:rsid w:val="00FA0D02"/>
    <w:rsid w:val="00FA478D"/>
    <w:rsid w:val="00FB581D"/>
    <w:rsid w:val="00FC3A9A"/>
    <w:rsid w:val="00FC6589"/>
    <w:rsid w:val="00FC671C"/>
    <w:rsid w:val="00FC6739"/>
    <w:rsid w:val="00FC6E7B"/>
    <w:rsid w:val="00FD0BC0"/>
    <w:rsid w:val="00FD1F95"/>
    <w:rsid w:val="00FD36F4"/>
    <w:rsid w:val="00FD3F1E"/>
    <w:rsid w:val="00FD54FE"/>
    <w:rsid w:val="00FD6C0F"/>
    <w:rsid w:val="00FD7754"/>
    <w:rsid w:val="00FE05EC"/>
    <w:rsid w:val="00FE3208"/>
    <w:rsid w:val="00FE3490"/>
    <w:rsid w:val="00FE36DB"/>
    <w:rsid w:val="00FE4621"/>
    <w:rsid w:val="00FE513C"/>
    <w:rsid w:val="00FE6C09"/>
    <w:rsid w:val="00FE72A3"/>
    <w:rsid w:val="00FE7882"/>
    <w:rsid w:val="00FF17E4"/>
    <w:rsid w:val="00FF33FE"/>
    <w:rsid w:val="00FF3E09"/>
    <w:rsid w:val="00FF5699"/>
    <w:rsid w:val="00FF6C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3B23"/>
  <w15:docId w15:val="{61C8E616-4265-4072-88BB-6D78B887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4A2"/>
  </w:style>
  <w:style w:type="paragraph" w:styleId="Heading1">
    <w:name w:val="heading 1"/>
    <w:basedOn w:val="Title"/>
    <w:next w:val="Normal"/>
    <w:link w:val="Heading1Char"/>
    <w:uiPriority w:val="9"/>
    <w:qFormat/>
    <w:rsid w:val="00B06200"/>
    <w:pPr>
      <w:keepNext/>
      <w:numPr>
        <w:numId w:val="4"/>
      </w:numPr>
      <w:pBdr>
        <w:bottom w:val="none" w:sz="0" w:space="0" w:color="auto"/>
      </w:pBdr>
      <w:tabs>
        <w:tab w:val="left" w:pos="567"/>
      </w:tabs>
      <w:spacing w:after="240"/>
      <w:ind w:left="567" w:hanging="567"/>
      <w:jc w:val="both"/>
      <w:outlineLvl w:val="0"/>
    </w:pPr>
    <w:rPr>
      <w:rFonts w:asciiTheme="minorHAnsi" w:hAnsiTheme="minorHAnsi" w:cstheme="minorHAnsi"/>
      <w:b/>
      <w:bCs/>
      <w:iCs/>
      <w:color w:val="FF0000"/>
      <w:sz w:val="32"/>
      <w:szCs w:val="32"/>
    </w:rPr>
  </w:style>
  <w:style w:type="paragraph" w:styleId="Heading2">
    <w:name w:val="heading 2"/>
    <w:basedOn w:val="Normal"/>
    <w:next w:val="Normal"/>
    <w:link w:val="Heading2Char"/>
    <w:uiPriority w:val="9"/>
    <w:unhideWhenUsed/>
    <w:qFormat/>
    <w:rsid w:val="00E72EB8"/>
    <w:pPr>
      <w:tabs>
        <w:tab w:val="left" w:pos="426"/>
        <w:tab w:val="right" w:pos="9360"/>
      </w:tabs>
      <w:spacing w:after="240" w:line="240" w:lineRule="auto"/>
      <w:ind w:left="426" w:hanging="426"/>
      <w:outlineLvl w:val="1"/>
    </w:pPr>
    <w:rPr>
      <w:rFonts w:ascii="Calibri" w:eastAsia="Calibri" w:hAnsi="Calibri" w:cs="Arial"/>
      <w:color w:val="FF0000"/>
      <w:sz w:val="28"/>
      <w:szCs w:val="28"/>
    </w:rPr>
  </w:style>
  <w:style w:type="paragraph" w:styleId="Heading3">
    <w:name w:val="heading 3"/>
    <w:basedOn w:val="Normal"/>
    <w:next w:val="Normal"/>
    <w:link w:val="Heading3Char"/>
    <w:uiPriority w:val="9"/>
    <w:unhideWhenUsed/>
    <w:qFormat/>
    <w:rsid w:val="00560E79"/>
    <w:pPr>
      <w:keepNext/>
      <w:keepLines/>
      <w:numPr>
        <w:ilvl w:val="2"/>
        <w:numId w:val="4"/>
      </w:numPr>
      <w:bidi/>
      <w:spacing w:before="240" w:after="360" w:line="360" w:lineRule="auto"/>
      <w:jc w:val="both"/>
      <w:outlineLvl w:val="2"/>
    </w:pPr>
    <w:rPr>
      <w:rFonts w:asciiTheme="majorHAnsi" w:eastAsiaTheme="majorEastAsia" w:hAnsiTheme="majorHAnsi" w:cs="Arial"/>
      <w:b/>
      <w:bCs/>
      <w:color w:val="00206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06200"/>
    <w:rPr>
      <w:rFonts w:eastAsiaTheme="majorEastAsia" w:cstheme="minorHAnsi"/>
      <w:b/>
      <w:bCs/>
      <w:iCs/>
      <w:color w:val="FF0000"/>
      <w:spacing w:val="5"/>
      <w:kern w:val="28"/>
      <w:sz w:val="32"/>
      <w:szCs w:val="32"/>
    </w:rPr>
  </w:style>
  <w:style w:type="character" w:customStyle="1" w:styleId="Heading2Char">
    <w:name w:val="Heading 2 Char"/>
    <w:basedOn w:val="DefaultParagraphFont"/>
    <w:link w:val="Heading2"/>
    <w:uiPriority w:val="9"/>
    <w:rsid w:val="00E72EB8"/>
    <w:rPr>
      <w:rFonts w:ascii="Calibri" w:eastAsia="Calibri" w:hAnsi="Calibri" w:cs="Arial"/>
      <w:color w:val="FF0000"/>
      <w:sz w:val="28"/>
      <w:szCs w:val="28"/>
    </w:rPr>
  </w:style>
  <w:style w:type="character" w:customStyle="1" w:styleId="Heading3Char">
    <w:name w:val="Heading 3 Char"/>
    <w:basedOn w:val="DefaultParagraphFont"/>
    <w:link w:val="Heading3"/>
    <w:uiPriority w:val="9"/>
    <w:rsid w:val="00560E79"/>
    <w:rPr>
      <w:rFonts w:asciiTheme="majorHAnsi" w:eastAsiaTheme="majorEastAsia" w:hAnsiTheme="majorHAnsi" w:cs="Arial"/>
      <w:b/>
      <w:bCs/>
      <w:color w:val="002060"/>
      <w:szCs w:val="28"/>
    </w:rPr>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B06200"/>
    <w:pPr>
      <w:spacing w:after="0" w:line="240" w:lineRule="auto"/>
      <w:jc w:val="left"/>
    </w:pPr>
    <w:rPr>
      <w:sz w:val="20"/>
      <w:szCs w:val="20"/>
    </w:rPr>
  </w:style>
  <w:style w:type="paragraph" w:styleId="BodyText">
    <w:name w:val="Body Text"/>
    <w:basedOn w:val="Normal"/>
    <w:link w:val="BodyTextChar"/>
    <w:uiPriority w:val="99"/>
    <w:unhideWhenUsed/>
    <w:qFormat/>
    <w:rsid w:val="004E2385"/>
    <w:pPr>
      <w:spacing w:after="120" w:line="360" w:lineRule="auto"/>
      <w:jc w:val="both"/>
    </w:pPr>
    <w:rPr>
      <w:rFonts w:eastAsia="Calibri" w:cs="Times New Roman"/>
      <w:sz w:val="24"/>
      <w:szCs w:val="24"/>
    </w:rPr>
  </w:style>
  <w:style w:type="character" w:customStyle="1" w:styleId="BodyTextChar">
    <w:name w:val="Body Text Char"/>
    <w:basedOn w:val="DefaultParagraphFont"/>
    <w:link w:val="BodyText"/>
    <w:uiPriority w:val="99"/>
    <w:rsid w:val="004E2385"/>
    <w:rPr>
      <w:rFonts w:eastAsia="Calibri" w:cs="Times New Roman"/>
      <w:sz w:val="24"/>
      <w:szCs w:val="24"/>
    </w:rPr>
  </w:style>
  <w:style w:type="character" w:customStyle="1" w:styleId="FootnoteTextChar">
    <w:name w:val="Footnote Text Char"/>
    <w:basedOn w:val="DefaultParagraphFont"/>
    <w:link w:val="FootnoteText"/>
    <w:uiPriority w:val="99"/>
    <w:rsid w:val="00B06200"/>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B77962"/>
    <w:pPr>
      <w:numPr>
        <w:numId w:val="3"/>
      </w:numPr>
      <w:spacing w:line="300" w:lineRule="auto"/>
      <w:contextualSpacing/>
      <w:jc w:val="both"/>
    </w:pPr>
    <w:rPr>
      <w:rFonts w:eastAsia="Calibri" w:cs="Times New Roman"/>
      <w:sz w:val="24"/>
      <w:szCs w:val="24"/>
    </w:rPr>
  </w:style>
  <w:style w:type="character" w:customStyle="1" w:styleId="ListParagraphChar">
    <w:name w:val="List Paragraph Char"/>
    <w:link w:val="ListParagraph"/>
    <w:uiPriority w:val="34"/>
    <w:rsid w:val="00B77962"/>
    <w:rPr>
      <w:rFonts w:eastAsia="Calibri" w:cs="Times New Roman"/>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B77962"/>
    <w:pPr>
      <w:widowControl w:val="0"/>
      <w:spacing w:after="0" w:line="240" w:lineRule="auto"/>
      <w:jc w:val="center"/>
    </w:pPr>
    <w:rPr>
      <w:rFonts w:cs="Miriam"/>
      <w:b/>
      <w:bCs/>
      <w:color w:val="FFFFFF" w:themeColor="background1"/>
    </w:rPr>
  </w:style>
  <w:style w:type="paragraph" w:customStyle="1" w:styleId="Tablenumbers">
    <w:name w:val="Table numbers"/>
    <w:basedOn w:val="Normal"/>
    <w:qFormat/>
    <w:rsid w:val="00B77962"/>
    <w:pPr>
      <w:widowControl w:val="0"/>
      <w:spacing w:after="0" w:line="240" w:lineRule="auto"/>
      <w:jc w:val="right"/>
    </w:pPr>
    <w:rPr>
      <w:rFonts w:cstheme="minorHAnsi"/>
      <w:color w:val="000000"/>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unhideWhenUsed/>
    <w:qFormat/>
    <w:rsid w:val="00B76B60"/>
    <w:pPr>
      <w:keepLines/>
      <w:numPr>
        <w:numId w:val="0"/>
      </w:numPr>
      <w:spacing w:before="480" w:after="0" w:line="276" w:lineRule="auto"/>
      <w:contextualSpacing w:val="0"/>
      <w:jc w:val="left"/>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qFormat/>
    <w:rsid w:val="00B76B60"/>
    <w:pPr>
      <w:spacing w:before="120" w:after="0"/>
      <w:ind w:left="220"/>
    </w:pPr>
    <w:rPr>
      <w:rFonts w:cstheme="minorHAnsi"/>
      <w:i/>
      <w:iCs/>
      <w:sz w:val="20"/>
      <w:szCs w:val="20"/>
    </w:rPr>
  </w:style>
  <w:style w:type="paragraph" w:styleId="TOC1">
    <w:name w:val="toc 1"/>
    <w:basedOn w:val="Normal"/>
    <w:next w:val="Normal"/>
    <w:autoRedefine/>
    <w:uiPriority w:val="39"/>
    <w:unhideWhenUsed/>
    <w:qFormat/>
    <w:rsid w:val="009B539D"/>
    <w:pPr>
      <w:tabs>
        <w:tab w:val="left" w:pos="426"/>
        <w:tab w:val="right" w:pos="9027"/>
      </w:tabs>
      <w:spacing w:before="240" w:after="120"/>
      <w:ind w:right="522"/>
    </w:pPr>
    <w:rPr>
      <w:rFonts w:cstheme="minorHAnsi"/>
      <w:noProof/>
      <w:sz w:val="24"/>
      <w:szCs w:val="24"/>
    </w:rPr>
  </w:style>
  <w:style w:type="character" w:styleId="Hyperlink">
    <w:name w:val="Hyperlink"/>
    <w:basedOn w:val="DefaultParagraphFont"/>
    <w:uiPriority w:val="99"/>
    <w:unhideWhenUsed/>
    <w:rsid w:val="00B76B60"/>
    <w:rPr>
      <w:color w:val="0000FF" w:themeColor="hyperlink"/>
      <w:u w:val="single"/>
    </w:rPr>
  </w:style>
  <w:style w:type="table" w:customStyle="1" w:styleId="MediumShading1-Accent19">
    <w:name w:val="Medium Shading 1 - Accent 19"/>
    <w:basedOn w:val="TableNormal"/>
    <w:next w:val="MediumShading1-Accent1"/>
    <w:uiPriority w:val="63"/>
    <w:rsid w:val="009B5B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Normal"/>
    <w:link w:val="BodyText2Char"/>
    <w:uiPriority w:val="99"/>
    <w:semiHidden/>
    <w:unhideWhenUsed/>
    <w:rsid w:val="00CD3DFC"/>
    <w:pPr>
      <w:spacing w:after="120" w:line="480" w:lineRule="auto"/>
    </w:pPr>
  </w:style>
  <w:style w:type="character" w:customStyle="1" w:styleId="BodyText2Char">
    <w:name w:val="Body Text 2 Char"/>
    <w:basedOn w:val="DefaultParagraphFont"/>
    <w:link w:val="BodyText2"/>
    <w:uiPriority w:val="99"/>
    <w:semiHidden/>
    <w:rsid w:val="00CD3DFC"/>
  </w:style>
  <w:style w:type="paragraph" w:customStyle="1" w:styleId="Graphtitle">
    <w:name w:val="Graph title"/>
    <w:basedOn w:val="Normal"/>
    <w:link w:val="GraphtitleChar"/>
    <w:qFormat/>
    <w:rsid w:val="00B06200"/>
    <w:pPr>
      <w:keepNext/>
      <w:spacing w:after="240" w:line="300" w:lineRule="auto"/>
      <w:contextualSpacing/>
      <w:jc w:val="center"/>
    </w:pPr>
    <w:rPr>
      <w:rFonts w:eastAsia="Calibri" w:cs="Times New Roman"/>
      <w:b/>
      <w:bCs/>
      <w:sz w:val="24"/>
      <w:szCs w:val="24"/>
    </w:rPr>
  </w:style>
  <w:style w:type="character" w:customStyle="1" w:styleId="GraphtitleChar">
    <w:name w:val="Graph title Char"/>
    <w:basedOn w:val="DefaultParagraphFont"/>
    <w:link w:val="Graphtitle"/>
    <w:rsid w:val="00B06200"/>
    <w:rPr>
      <w:rFonts w:eastAsia="Calibri" w:cs="Times New Roman"/>
      <w:b/>
      <w:bCs/>
      <w:sz w:val="24"/>
      <w:szCs w:val="24"/>
    </w:rPr>
  </w:style>
  <w:style w:type="table" w:styleId="TableGrid">
    <w:name w:val="Table Grid"/>
    <w:basedOn w:val="TableNormal"/>
    <w:uiPriority w:val="59"/>
    <w:unhideWhenUsed/>
    <w:rsid w:val="00F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5C55"/>
    <w:rPr>
      <w:i/>
      <w:iCs/>
    </w:rPr>
  </w:style>
  <w:style w:type="table" w:customStyle="1" w:styleId="GridTable5Dark-Accent21">
    <w:name w:val="Grid Table 5 Dark - Accent 21"/>
    <w:basedOn w:val="TableNormal"/>
    <w:uiPriority w:val="50"/>
    <w:rsid w:val="00B0499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character" w:styleId="IntenseEmphasis">
    <w:name w:val="Intense Emphasis"/>
    <w:uiPriority w:val="21"/>
    <w:qFormat/>
    <w:rsid w:val="00B04991"/>
    <w:rPr>
      <w:b/>
      <w:bCs/>
      <w:sz w:val="28"/>
      <w:szCs w:val="28"/>
    </w:rPr>
  </w:style>
  <w:style w:type="paragraph" w:customStyle="1" w:styleId="graphnote0">
    <w:name w:val="graph note"/>
    <w:basedOn w:val="Normal"/>
    <w:link w:val="graphnoteChar0"/>
    <w:qFormat/>
    <w:rsid w:val="00B04991"/>
    <w:pPr>
      <w:spacing w:after="0" w:line="300" w:lineRule="auto"/>
      <w:contextualSpacing/>
    </w:pPr>
    <w:rPr>
      <w:rFonts w:ascii="Calibri" w:eastAsia="Calibri" w:hAnsi="Calibri" w:cs="Arial"/>
      <w:sz w:val="20"/>
      <w:szCs w:val="20"/>
    </w:rPr>
  </w:style>
  <w:style w:type="character" w:customStyle="1" w:styleId="graphnoteChar0">
    <w:name w:val="graph note Char"/>
    <w:basedOn w:val="DefaultParagraphFont"/>
    <w:link w:val="graphnote0"/>
    <w:rsid w:val="00B04991"/>
    <w:rPr>
      <w:rFonts w:ascii="Calibri" w:eastAsia="Calibri" w:hAnsi="Calibri" w:cs="Arial"/>
      <w:sz w:val="20"/>
      <w:szCs w:val="20"/>
    </w:rPr>
  </w:style>
  <w:style w:type="paragraph" w:customStyle="1" w:styleId="Tabletitle">
    <w:name w:val="Table title"/>
    <w:basedOn w:val="Graphtitle"/>
    <w:link w:val="TabletitleChar"/>
    <w:qFormat/>
    <w:rsid w:val="00B04991"/>
    <w:pPr>
      <w:spacing w:after="120"/>
    </w:pPr>
  </w:style>
  <w:style w:type="character" w:customStyle="1" w:styleId="TabletitleChar">
    <w:name w:val="Table title Char"/>
    <w:basedOn w:val="BodyTextChar"/>
    <w:link w:val="Tabletitle"/>
    <w:rsid w:val="00B04991"/>
    <w:rPr>
      <w:rFonts w:eastAsia="Calibri" w:cs="Times New Roman"/>
      <w:b/>
      <w:bCs/>
      <w:sz w:val="24"/>
      <w:szCs w:val="24"/>
    </w:rPr>
  </w:style>
  <w:style w:type="paragraph" w:customStyle="1" w:styleId="apptitle">
    <w:name w:val="app title"/>
    <w:basedOn w:val="Normal"/>
    <w:link w:val="apptitleChar"/>
    <w:qFormat/>
    <w:rsid w:val="00293231"/>
    <w:pPr>
      <w:keepNext/>
      <w:spacing w:line="360" w:lineRule="auto"/>
      <w:jc w:val="center"/>
    </w:pPr>
    <w:rPr>
      <w:rFonts w:eastAsia="Calibri" w:cstheme="minorHAnsi"/>
      <w:b/>
      <w:bCs/>
      <w:sz w:val="24"/>
      <w:szCs w:val="24"/>
      <w:u w:val="single"/>
    </w:rPr>
  </w:style>
  <w:style w:type="character" w:customStyle="1" w:styleId="apptitleChar">
    <w:name w:val="app title Char"/>
    <w:basedOn w:val="DefaultParagraphFont"/>
    <w:link w:val="apptitle"/>
    <w:rsid w:val="00293231"/>
    <w:rPr>
      <w:rFonts w:eastAsia="Calibri" w:cstheme="minorHAnsi"/>
      <w:b/>
      <w:bCs/>
      <w:sz w:val="24"/>
      <w:szCs w:val="24"/>
      <w:u w:val="single"/>
    </w:rPr>
  </w:style>
  <w:style w:type="table" w:customStyle="1" w:styleId="MediumShading1-Accent111">
    <w:name w:val="Medium Shading 1 - Accent 111"/>
    <w:basedOn w:val="TableNormal"/>
    <w:next w:val="MediumShading1-Accent1"/>
    <w:uiPriority w:val="63"/>
    <w:rsid w:val="00735AE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0">
    <w:name w:val="Medium Shading 1 - Accent 110"/>
    <w:basedOn w:val="TableNormal"/>
    <w:next w:val="MediumShading1-Accent1"/>
    <w:uiPriority w:val="63"/>
    <w:rsid w:val="006E7D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rsid w:val="00CD793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3">
    <w:name w:val="toc 3"/>
    <w:basedOn w:val="Normal"/>
    <w:next w:val="Normal"/>
    <w:autoRedefine/>
    <w:uiPriority w:val="39"/>
    <w:unhideWhenUsed/>
    <w:qFormat/>
    <w:rsid w:val="00FD3F1E"/>
    <w:pPr>
      <w:spacing w:after="0"/>
      <w:ind w:left="440"/>
    </w:pPr>
    <w:rPr>
      <w:rFonts w:cstheme="minorHAnsi"/>
      <w:sz w:val="20"/>
      <w:szCs w:val="20"/>
    </w:rPr>
  </w:style>
  <w:style w:type="paragraph" w:styleId="TOC4">
    <w:name w:val="toc 4"/>
    <w:basedOn w:val="Normal"/>
    <w:next w:val="Normal"/>
    <w:autoRedefine/>
    <w:uiPriority w:val="39"/>
    <w:unhideWhenUsed/>
    <w:rsid w:val="009B539D"/>
    <w:pPr>
      <w:spacing w:after="0"/>
      <w:ind w:left="660"/>
    </w:pPr>
    <w:rPr>
      <w:rFonts w:cstheme="minorHAnsi"/>
      <w:sz w:val="20"/>
      <w:szCs w:val="20"/>
    </w:rPr>
  </w:style>
  <w:style w:type="paragraph" w:styleId="TOC5">
    <w:name w:val="toc 5"/>
    <w:basedOn w:val="Normal"/>
    <w:next w:val="Normal"/>
    <w:autoRedefine/>
    <w:uiPriority w:val="39"/>
    <w:unhideWhenUsed/>
    <w:rsid w:val="009B539D"/>
    <w:pPr>
      <w:spacing w:after="0"/>
      <w:ind w:left="880"/>
    </w:pPr>
    <w:rPr>
      <w:rFonts w:cstheme="minorHAnsi"/>
      <w:sz w:val="20"/>
      <w:szCs w:val="20"/>
    </w:rPr>
  </w:style>
  <w:style w:type="paragraph" w:styleId="TOC6">
    <w:name w:val="toc 6"/>
    <w:basedOn w:val="Normal"/>
    <w:next w:val="Normal"/>
    <w:autoRedefine/>
    <w:uiPriority w:val="39"/>
    <w:unhideWhenUsed/>
    <w:rsid w:val="009B539D"/>
    <w:pPr>
      <w:spacing w:after="0"/>
      <w:ind w:left="1100"/>
    </w:pPr>
    <w:rPr>
      <w:rFonts w:cstheme="minorHAnsi"/>
      <w:sz w:val="20"/>
      <w:szCs w:val="20"/>
    </w:rPr>
  </w:style>
  <w:style w:type="paragraph" w:styleId="TOC7">
    <w:name w:val="toc 7"/>
    <w:basedOn w:val="Normal"/>
    <w:next w:val="Normal"/>
    <w:autoRedefine/>
    <w:uiPriority w:val="39"/>
    <w:unhideWhenUsed/>
    <w:rsid w:val="009B539D"/>
    <w:pPr>
      <w:spacing w:after="0"/>
      <w:ind w:left="1320"/>
    </w:pPr>
    <w:rPr>
      <w:rFonts w:cstheme="minorHAnsi"/>
      <w:sz w:val="20"/>
      <w:szCs w:val="20"/>
    </w:rPr>
  </w:style>
  <w:style w:type="paragraph" w:styleId="TOC8">
    <w:name w:val="toc 8"/>
    <w:basedOn w:val="Normal"/>
    <w:next w:val="Normal"/>
    <w:autoRedefine/>
    <w:uiPriority w:val="39"/>
    <w:unhideWhenUsed/>
    <w:rsid w:val="009B539D"/>
    <w:pPr>
      <w:spacing w:after="0"/>
      <w:ind w:left="1540"/>
    </w:pPr>
    <w:rPr>
      <w:rFonts w:cstheme="minorHAnsi"/>
      <w:sz w:val="20"/>
      <w:szCs w:val="20"/>
    </w:rPr>
  </w:style>
  <w:style w:type="paragraph" w:styleId="TOC9">
    <w:name w:val="toc 9"/>
    <w:basedOn w:val="Normal"/>
    <w:next w:val="Normal"/>
    <w:autoRedefine/>
    <w:uiPriority w:val="39"/>
    <w:unhideWhenUsed/>
    <w:rsid w:val="009B539D"/>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552">
      <w:bodyDiv w:val="1"/>
      <w:marLeft w:val="0"/>
      <w:marRight w:val="0"/>
      <w:marTop w:val="0"/>
      <w:marBottom w:val="0"/>
      <w:divBdr>
        <w:top w:val="none" w:sz="0" w:space="0" w:color="auto"/>
        <w:left w:val="none" w:sz="0" w:space="0" w:color="auto"/>
        <w:bottom w:val="none" w:sz="0" w:space="0" w:color="auto"/>
        <w:right w:val="none" w:sz="0" w:space="0" w:color="auto"/>
      </w:divBdr>
    </w:div>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 w:id="18743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chart" Target="charts/chart3.xml"/><Relationship Id="rId26" Type="http://schemas.openxmlformats.org/officeDocument/2006/relationships/diagramQuickStyle" Target="diagrams/quickStyle2.xml"/><Relationship Id="rId39" Type="http://schemas.openxmlformats.org/officeDocument/2006/relationships/chart" Target="charts/chart14.xml"/><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chart" Target="charts/chart9.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diagramLayout" Target="diagrams/layout2.xm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hart" Target="charts/chart1.xml"/><Relationship Id="rId20" Type="http://schemas.openxmlformats.org/officeDocument/2006/relationships/diagramLayout" Target="diagrams/layout1.xml"/><Relationship Id="rId29" Type="http://schemas.openxmlformats.org/officeDocument/2006/relationships/chart" Target="charts/chart4.xml"/><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diagramData" Target="diagrams/data2.xm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chart" Target="charts/chart11.xml"/><Relationship Id="rId10" Type="http://schemas.openxmlformats.org/officeDocument/2006/relationships/image" Target="media/image2.jpeg"/><Relationship Id="rId19" Type="http://schemas.openxmlformats.org/officeDocument/2006/relationships/diagramData" Target="diagrams/data1.xml"/><Relationship Id="rId31" Type="http://schemas.openxmlformats.org/officeDocument/2006/relationships/chart" Target="charts/chart6.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6.xml"/></Relationships>
</file>

<file path=word/_rels/footnotes.xml.rels><?xml version="1.0" encoding="UTF-8" standalone="yes"?>
<Relationships xmlns="http://schemas.openxmlformats.org/package/2006/relationships"><Relationship Id="rId1" Type="http://schemas.openxmlformats.org/officeDocument/2006/relationships/hyperlink" Target="https://www.moag.gov.il/subject/the_food_we_eat/Storage_Guidelines_For_Fruits_Vegetables/Pages/Storage_Guidelines_consumer.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file:///\\bdo\dfsroot\TA_Publics\TA_Public-Consulting\&#1495;&#1489;&#1512;&#1514;%20&#1492;&#1497;&#1506;&#1493;&#1509;\YIUTZ\&#1499;&#1500;&#1499;&#1500;&#1492;\&#1500;&#1511;&#1496;%20&#1497;&#1513;&#1512;&#1488;&#1500;\&#1500;&#1511;&#1496;-2018\&#1502;&#1493;&#1491;&#1500;%20&#1488;&#1493;&#1489;&#1491;&#1503;%20&#1502;&#1494;&#1493;&#1503;%2015.01.1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31.12%20-%20&#1505;&#1490;&#1497;&#1512;&#1514;%20&#1502;&#1505;&#1508;&#1512;&#1497;&#15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11;&#1489;&#1510;&#1497;%20&#1506;&#1489;&#1493;&#1491;&#1492;\&#1492;&#1493;&#1510;&#1488;&#1492;%20&#1506;&#1500;%20&#1502;&#1494;&#1493;&#1503;%20&#1500;&#1508;&#1497;%20&#1505;&#1493;&#1490;%20&#1495;&#1504;&#1493;&#1514;%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5;&#1511;&#1512;%20&#1492;&#1493;&#1510;&#1488;&#1493;&#1514;%20&#1502;&#1513;&#1511;&#1497;%20&#1492;&#1489;&#1497;&#1514;%20-%20&#1504;&#1497;&#1514;&#1493;&#1495;%20&#1489;&#1512;&#1497;&#1488;&#1493;&#1514;&#1497;.xlsb" TargetMode="Externa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4;&#1514;&#1493;&#1504;&#1497;%20&#1489;&#1497;&#1496;&#1495;&#1493;&#1503;%20&#1514;&#1494;&#1493;&#1504;&#1514;&#1497;-%20&#1492;&#1513;&#1493;&#1493;&#1488;&#1492;%20&#1489;&#1497;&#1504;&#1500;&#1488;&#1493;&#1502;&#1497;&#151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4;&#1497;&#1514;&#1493;&#1495;%20&#1505;&#1511;&#1512;%20&#1492;&#1493;&#1510;&#1488;&#1493;&#1514;%20&#1502;&#1513;&#1511;&#1497;%20&#1492;&#1489;&#1497;&#1514;%202017%2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493;&#1491;&#1500;%20&#1488;&#1493;&#1489;&#1491;&#1503;%20&#1502;&#1494;&#1493;&#1503;%2021.01.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5;&#1511;&#1512;%20&#1500;&#1511;&#1496;%20&#1493;BDO\&#1506;&#1493;&#1514;&#1511;%20&#1513;&#1500;%20&#1500;&#1511;&#1496;%20&#1497;&#1513;&#1512;&#1488;&#1500;%20-%20&#1488;&#1493;&#1489;&#1491;&#1503;%20&#1502;&#1494;&#1493;&#1503;%20-%20%2023.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bdo\dfsroot\TA_Publics\TA_Public-Consulting\&#1495;&#1489;&#1512;&#1514;%20&#1492;&#1497;&#1506;&#1493;&#1509;\YIUTZ\&#1499;&#1500;&#1499;&#1500;&#1492;\&#1500;&#1511;&#1496;%20&#1497;&#1513;&#1512;&#1488;&#1500;\&#1500;&#1511;&#1496;-2018\&#1502;&#1511;&#1493;&#1512;&#1493;&#1514;%20&#1502;&#1497;&#1491;&#1506;%20-%20&#1488;&#1493;&#1489;&#1491;&#1503;%20&#1489;&#1502;&#1511;&#1496;&#1506;%20&#1492;&#1489;&#1497;&#1497;&#1514;&#1497;\&#1490;&#1512;&#1508;&#1497;&#1501;%20&#1493;&#1496;&#1489;&#1500;&#1488;&#1493;&#1514;%20&#1500;&#1502;&#1505;&#1502;&#1498;.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do\dfsroot\TA_PublicS\TA_Public-Consulting\&#1495;&#1489;&#1512;&#1514;%20&#1492;&#1497;&#1506;&#1493;&#1509;\YIUTZ\&#1499;&#1500;&#1499;&#1500;&#1492;\&#1500;&#1511;&#1496;%20&#1497;&#1513;&#1512;&#1488;&#1500;\&#1500;&#1511;&#1496;-2018\&#1505;&#1511;&#1512;%20&#1500;&#1511;&#1496;%20&#1493;BDO\&#1506;&#1493;&#1514;&#1511;%20&#1513;&#1500;%20&#1500;&#1511;&#1496;%20&#1497;&#1513;&#1512;&#1488;&#1500;%20-%20&#1488;&#1493;&#1489;&#1491;&#1503;%20&#1502;&#1494;&#1493;&#1503;%20-%20%2023.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tann\Desktop\&#1500;&#1511;&#1496;%20-%202017\&#1508;&#1512;&#1511;%20&#1488;&#1493;&#1489;&#1491;&#1503;%20&#1502;&#1493;&#1505;&#1491;&#1497;\&#1491;&#1493;&#1512;&#1493;&#1503;\&#1506;&#1493;&#1514;&#1511;%20&#1513;&#1500;%20&#1502;&#1493;&#1491;&#1500;%20&#1495;&#1497;&#1513;&#1493;&#1489;%20&#1492;&#1488;&#1493;&#1489;&#1491;&#1504;&#1497;&#1501;%20&#1502;&#1514;&#1503;%204%20(&#1502;&#1513;&#1493;&#1495;&#1494;&#1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doughnutChart>
        <c:varyColors val="1"/>
        <c:ser>
          <c:idx val="0"/>
          <c:order val="0"/>
          <c:cat>
            <c:strRef>
              <c:f>'טבלאות לתקציר הדוח 2017'!$A$64:$A$65</c:f>
              <c:strCache>
                <c:ptCount val="2"/>
                <c:pt idx="0">
                  <c:v>מזון אבוד עד לשלב התעשייה כולל</c:v>
                </c:pt>
                <c:pt idx="1">
                  <c:v>מזון אבוד משלב ההפצה ועד הצריכה</c:v>
                </c:pt>
              </c:strCache>
            </c:strRef>
          </c:cat>
          <c:val>
            <c:numRef>
              <c:f>'טבלאות לתקציר הדוח 2017'!$B$64:$B$65</c:f>
              <c:numCache>
                <c:formatCode>#,##0</c:formatCode>
                <c:ptCount val="2"/>
                <c:pt idx="0">
                  <c:v>3572010.9902294413</c:v>
                </c:pt>
                <c:pt idx="1">
                  <c:v>16099495.283698898</c:v>
                </c:pt>
              </c:numCache>
            </c:numRef>
          </c:val>
          <c:extLst>
            <c:ext xmlns:c16="http://schemas.microsoft.com/office/drawing/2014/chart" uri="{C3380CC4-5D6E-409C-BE32-E72D297353CC}">
              <c16:uniqueId val="{00000000-97F6-4D2B-BE22-05EE0F2C5997}"/>
            </c:ext>
          </c:extLst>
        </c:ser>
        <c:dLbls>
          <c:showLegendKey val="0"/>
          <c:showVal val="0"/>
          <c:showCatName val="0"/>
          <c:showSerName val="0"/>
          <c:showPercent val="0"/>
          <c:showBubbleSize val="0"/>
          <c:showLeaderLines val="1"/>
        </c:dLbls>
        <c:firstSliceAng val="360"/>
        <c:holeSize val="50"/>
      </c:doughnutChart>
    </c:plotArea>
    <c:legend>
      <c:legendPos val="l"/>
      <c:overlay val="0"/>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4.7660594743743866E-2</c:v>
                </c:pt>
                <c:pt idx="8">
                  <c:v>0.02</c:v>
                </c:pt>
                <c:pt idx="9">
                  <c:v>1.6715830875122899E-2</c:v>
                </c:pt>
                <c:pt idx="10">
                  <c:v>1.1563438874589684E-2</c:v>
                </c:pt>
              </c:numCache>
            </c:numRef>
          </c:val>
          <c:extLst>
            <c:ext xmlns:c16="http://schemas.microsoft.com/office/drawing/2014/chart" uri="{C3380CC4-5D6E-409C-BE32-E72D297353CC}">
              <c16:uniqueId val="{00000000-1559-46A5-9AE4-10EBCC554011}"/>
            </c:ext>
          </c:extLst>
        </c:ser>
        <c:dLbls>
          <c:showLegendKey val="0"/>
          <c:showVal val="0"/>
          <c:showCatName val="0"/>
          <c:showSerName val="0"/>
          <c:showPercent val="0"/>
          <c:showBubbleSize val="0"/>
        </c:dLbls>
        <c:gapWidth val="50"/>
        <c:overlap val="-27"/>
        <c:axId val="424215296"/>
        <c:axId val="424216832"/>
      </c:barChart>
      <c:catAx>
        <c:axId val="42421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216832"/>
        <c:crosses val="autoZero"/>
        <c:auto val="1"/>
        <c:lblAlgn val="ctr"/>
        <c:lblOffset val="100"/>
        <c:noMultiLvlLbl val="0"/>
      </c:catAx>
      <c:valAx>
        <c:axId val="4242168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215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'השוואה בינלאומית'!$C$2</c:f>
              <c:strCache>
                <c:ptCount val="1"/>
                <c:pt idx="0">
                  <c:v>שיעור אובדן במקטע הקמעונאי</c:v>
                </c:pt>
              </c:strCache>
            </c:strRef>
          </c:tx>
          <c:spPr>
            <a:solidFill>
              <a:schemeClr val="accent1"/>
            </a:solidFill>
            <a:ln>
              <a:noFill/>
            </a:ln>
            <a:effectLst/>
          </c:spPr>
          <c:invertIfNegative val="0"/>
          <c:dPt>
            <c:idx val="4"/>
            <c:invertIfNegative val="0"/>
            <c:bubble3D val="0"/>
            <c:extLst>
              <c:ext xmlns:c16="http://schemas.microsoft.com/office/drawing/2014/chart" uri="{C3380CC4-5D6E-409C-BE32-E72D297353CC}">
                <c16:uniqueId val="{00000001-9589-4CA3-86D0-B447F59D78CD}"/>
              </c:ext>
            </c:extLst>
          </c:dPt>
          <c:dPt>
            <c:idx val="5"/>
            <c:invertIfNegative val="0"/>
            <c:bubble3D val="0"/>
            <c:spPr>
              <a:solidFill>
                <a:srgbClr val="FF0000"/>
              </a:solidFill>
              <a:ln>
                <a:noFill/>
              </a:ln>
              <a:effectLst/>
            </c:spPr>
            <c:extLst>
              <c:ext xmlns:c16="http://schemas.microsoft.com/office/drawing/2014/chart" uri="{C3380CC4-5D6E-409C-BE32-E72D297353CC}">
                <c16:uniqueId val="{00000003-9589-4CA3-86D0-B447F59D78CD}"/>
              </c:ext>
            </c:extLst>
          </c:dPt>
          <c:cat>
            <c:strRef>
              <c:f>'השוואה בינלאומית'!$B$3:$B$10</c:f>
              <c:strCache>
                <c:ptCount val="8"/>
                <c:pt idx="0">
                  <c:v>אפריקה</c:v>
                </c:pt>
                <c:pt idx="1">
                  <c:v>צפון אפריקה ומערב אסיה</c:v>
                </c:pt>
                <c:pt idx="2">
                  <c:v>דרום אמריקה</c:v>
                </c:pt>
                <c:pt idx="3">
                  <c:v>דרום מזרח אסיה</c:v>
                </c:pt>
                <c:pt idx="4">
                  <c:v>צפון אמריקה</c:v>
                </c:pt>
                <c:pt idx="5">
                  <c:v>ישראל</c:v>
                </c:pt>
                <c:pt idx="6">
                  <c:v>אירופה </c:v>
                </c:pt>
                <c:pt idx="7">
                  <c:v>יפן, סין ודרום קוריאה</c:v>
                </c:pt>
              </c:strCache>
            </c:strRef>
          </c:cat>
          <c:val>
            <c:numRef>
              <c:f>'השוואה בינלאומית'!$C$3:$C$10</c:f>
              <c:numCache>
                <c:formatCode>0.0%</c:formatCode>
                <c:ptCount val="8"/>
                <c:pt idx="0">
                  <c:v>0.11062759009683198</c:v>
                </c:pt>
                <c:pt idx="1">
                  <c:v>9.6958295513889139E-2</c:v>
                </c:pt>
                <c:pt idx="2">
                  <c:v>8.3823093184460434E-2</c:v>
                </c:pt>
                <c:pt idx="3">
                  <c:v>8.3746455596728234E-2</c:v>
                </c:pt>
                <c:pt idx="4">
                  <c:v>6.4041634826824914E-2</c:v>
                </c:pt>
                <c:pt idx="5">
                  <c:v>5.7441896227923894E-2</c:v>
                </c:pt>
                <c:pt idx="6">
                  <c:v>5.558624694869084E-2</c:v>
                </c:pt>
                <c:pt idx="7">
                  <c:v>5.0171895693456647E-2</c:v>
                </c:pt>
              </c:numCache>
            </c:numRef>
          </c:val>
          <c:extLst>
            <c:ext xmlns:c16="http://schemas.microsoft.com/office/drawing/2014/chart" uri="{C3380CC4-5D6E-409C-BE32-E72D297353CC}">
              <c16:uniqueId val="{00000004-9589-4CA3-86D0-B447F59D78CD}"/>
            </c:ext>
          </c:extLst>
        </c:ser>
        <c:dLbls>
          <c:showLegendKey val="0"/>
          <c:showVal val="0"/>
          <c:showCatName val="0"/>
          <c:showSerName val="0"/>
          <c:showPercent val="0"/>
          <c:showBubbleSize val="0"/>
        </c:dLbls>
        <c:gapWidth val="50"/>
        <c:overlap val="-27"/>
        <c:axId val="424807424"/>
        <c:axId val="424821504"/>
      </c:barChart>
      <c:catAx>
        <c:axId val="42480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821504"/>
        <c:crosses val="autoZero"/>
        <c:auto val="1"/>
        <c:lblAlgn val="ctr"/>
        <c:lblOffset val="100"/>
        <c:noMultiLvlLbl val="0"/>
      </c:catAx>
      <c:valAx>
        <c:axId val="4248215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807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5"/>
          <c:order val="0"/>
          <c:tx>
            <c:strRef>
              <c:f>סיכום!$B$69</c:f>
              <c:strCache>
                <c:ptCount val="1"/>
                <c:pt idx="0">
                  <c:v>רכישה מקוונת</c:v>
                </c:pt>
              </c:strCache>
            </c:strRef>
          </c:tx>
          <c:spPr>
            <a:solidFill>
              <a:schemeClr val="accent6"/>
            </a:solidFill>
            <a:ln>
              <a:noFill/>
            </a:ln>
            <a:effectLst/>
          </c:spPr>
          <c:invertIfNegative val="0"/>
          <c:cat>
            <c:numRef>
              <c:f>סיכום!$C$68:$X$68</c:f>
              <c:numCache>
                <c:formatCode>General</c:formatCode>
                <c:ptCount val="22"/>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סיכום!$C$69:$X$69</c:f>
              <c:numCache>
                <c:formatCode>0%</c:formatCode>
                <c:ptCount val="2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0.01</c:v>
                </c:pt>
                <c:pt idx="18">
                  <c:v>1.5874010519681993E-2</c:v>
                </c:pt>
                <c:pt idx="19">
                  <c:v>2.5198420997897458E-2</c:v>
                </c:pt>
                <c:pt idx="20">
                  <c:v>0.04</c:v>
                </c:pt>
                <c:pt idx="21">
                  <c:v>6.3496042078727971E-2</c:v>
                </c:pt>
              </c:numCache>
            </c:numRef>
          </c:val>
          <c:extLst>
            <c:ext xmlns:c16="http://schemas.microsoft.com/office/drawing/2014/chart" uri="{C3380CC4-5D6E-409C-BE32-E72D297353CC}">
              <c16:uniqueId val="{00000000-9E58-4DEF-A381-7B3BF0E4B85A}"/>
            </c:ext>
          </c:extLst>
        </c:ser>
        <c:ser>
          <c:idx val="0"/>
          <c:order val="1"/>
          <c:tx>
            <c:strRef>
              <c:f>סיכום!$B$70</c:f>
              <c:strCache>
                <c:ptCount val="1"/>
                <c:pt idx="0">
                  <c:v>רכישה ברשת שיווק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סיכום!$C$68:$X$68</c:f>
              <c:numCache>
                <c:formatCode>General</c:formatCode>
                <c:ptCount val="22"/>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סיכום!$C$70:$X$70</c:f>
              <c:numCache>
                <c:formatCode>0%</c:formatCode>
                <c:ptCount val="22"/>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0.60099999999999998</c:v>
                </c:pt>
                <c:pt idx="18">
                  <c:v>0.58670599809756641</c:v>
                </c:pt>
                <c:pt idx="19">
                  <c:v>0.59130925571251536</c:v>
                </c:pt>
                <c:pt idx="20">
                  <c:v>0.56672457946420418</c:v>
                </c:pt>
                <c:pt idx="21">
                  <c:v>0.54213990321589289</c:v>
                </c:pt>
              </c:numCache>
            </c:numRef>
          </c:val>
          <c:extLst>
            <c:ext xmlns:c16="http://schemas.microsoft.com/office/drawing/2014/chart" uri="{C3380CC4-5D6E-409C-BE32-E72D297353CC}">
              <c16:uniqueId val="{00000001-9E58-4DEF-A381-7B3BF0E4B85A}"/>
            </c:ext>
          </c:extLst>
        </c:ser>
        <c:ser>
          <c:idx val="1"/>
          <c:order val="2"/>
          <c:tx>
            <c:strRef>
              <c:f>סיכום!$B$71</c:f>
              <c:strCache>
                <c:ptCount val="1"/>
                <c:pt idx="0">
                  <c:v>רכישה במכולת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סיכום!$C$68:$X$68</c:f>
              <c:numCache>
                <c:formatCode>General</c:formatCode>
                <c:ptCount val="22"/>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סיכום!$C$71:$X$71</c:f>
              <c:numCache>
                <c:formatCode>0%</c:formatCode>
                <c:ptCount val="22"/>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pt idx="20">
                  <c:v>0.14071023421004655</c:v>
                </c:pt>
                <c:pt idx="21">
                  <c:v>0.14639903180156769</c:v>
                </c:pt>
              </c:numCache>
            </c:numRef>
          </c:val>
          <c:extLst>
            <c:ext xmlns:c16="http://schemas.microsoft.com/office/drawing/2014/chart" uri="{C3380CC4-5D6E-409C-BE32-E72D297353CC}">
              <c16:uniqueId val="{00000002-9E58-4DEF-A381-7B3BF0E4B85A}"/>
            </c:ext>
          </c:extLst>
        </c:ser>
        <c:ser>
          <c:idx val="2"/>
          <c:order val="3"/>
          <c:tx>
            <c:strRef>
              <c:f>סיכום!$B$72</c:f>
              <c:strCache>
                <c:ptCount val="1"/>
                <c:pt idx="0">
                  <c:v>רכישה בשוקים פתוחים (שוק)</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סיכום!$C$68:$X$68</c:f>
              <c:numCache>
                <c:formatCode>General</c:formatCode>
                <c:ptCount val="22"/>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סיכום!$C$72:$X$72</c:f>
              <c:numCache>
                <c:formatCode>0%</c:formatCode>
                <c:ptCount val="22"/>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pt idx="20">
                  <c:v>4.2007414368697503E-2</c:v>
                </c:pt>
                <c:pt idx="21">
                  <c:v>3.9314421236880989E-2</c:v>
                </c:pt>
              </c:numCache>
            </c:numRef>
          </c:val>
          <c:extLst>
            <c:ext xmlns:c16="http://schemas.microsoft.com/office/drawing/2014/chart" uri="{C3380CC4-5D6E-409C-BE32-E72D297353CC}">
              <c16:uniqueId val="{00000003-9E58-4DEF-A381-7B3BF0E4B85A}"/>
            </c:ext>
          </c:extLst>
        </c:ser>
        <c:ser>
          <c:idx val="3"/>
          <c:order val="4"/>
          <c:tx>
            <c:strRef>
              <c:f>סיכום!$B$73</c:f>
              <c:strCache>
                <c:ptCount val="1"/>
                <c:pt idx="0">
                  <c:v>רכישה בחנויות אחרות (ירקן איטליז דוכן חנות מיוחדת)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סיכום!$C$68:$X$68</c:f>
              <c:numCache>
                <c:formatCode>General</c:formatCode>
                <c:ptCount val="22"/>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numCache>
            </c:numRef>
          </c:cat>
          <c:val>
            <c:numRef>
              <c:f>סיכום!$C$73:$X$73</c:f>
              <c:numCache>
                <c:formatCode>0%</c:formatCode>
                <c:ptCount val="22"/>
                <c:pt idx="0">
                  <c:v>0.26900000000000002</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pt idx="20">
                  <c:v>0.20576390051699525</c:v>
                </c:pt>
                <c:pt idx="21">
                  <c:v>0.2077573218634427</c:v>
                </c:pt>
              </c:numCache>
            </c:numRef>
          </c:val>
          <c:extLst>
            <c:ext xmlns:c16="http://schemas.microsoft.com/office/drawing/2014/chart" uri="{C3380CC4-5D6E-409C-BE32-E72D297353CC}">
              <c16:uniqueId val="{00000004-9E58-4DEF-A381-7B3BF0E4B85A}"/>
            </c:ext>
          </c:extLst>
        </c:ser>
        <c:dLbls>
          <c:showLegendKey val="0"/>
          <c:showVal val="0"/>
          <c:showCatName val="0"/>
          <c:showSerName val="0"/>
          <c:showPercent val="0"/>
          <c:showBubbleSize val="0"/>
        </c:dLbls>
        <c:gapWidth val="30"/>
        <c:overlap val="100"/>
        <c:axId val="424979072"/>
        <c:axId val="425144704"/>
      </c:barChart>
      <c:lineChart>
        <c:grouping val="standard"/>
        <c:varyColors val="0"/>
        <c:ser>
          <c:idx val="4"/>
          <c:order val="5"/>
          <c:tx>
            <c:strRef>
              <c:f>סיכום!$B$75</c:f>
              <c:strCache>
                <c:ptCount val="1"/>
                <c:pt idx="0">
                  <c:v>קו</c:v>
                </c:pt>
              </c:strCache>
            </c:strRef>
          </c:tx>
          <c:spPr>
            <a:ln w="28575" cap="rnd">
              <a:solidFill>
                <a:schemeClr val="tx1"/>
              </a:solidFill>
              <a:round/>
            </a:ln>
            <a:effectLst/>
          </c:spPr>
          <c:marker>
            <c:symbol val="none"/>
          </c:marker>
          <c:cat>
            <c:numRef>
              <c:f>סיכום!$C$68:$W$68</c:f>
              <c:numCache>
                <c:formatCode>General</c:formatCode>
                <c:ptCount val="21"/>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סיכום!$C$75:$X$75</c:f>
              <c:numCache>
                <c:formatCode>0%</c:formatCode>
                <c:ptCount val="22"/>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pt idx="20">
                  <c:v>0.60672457946420422</c:v>
                </c:pt>
                <c:pt idx="21">
                  <c:v>0.60563594529462084</c:v>
                </c:pt>
              </c:numCache>
            </c:numRef>
          </c:val>
          <c:smooth val="0"/>
          <c:extLst>
            <c:ext xmlns:c16="http://schemas.microsoft.com/office/drawing/2014/chart" uri="{C3380CC4-5D6E-409C-BE32-E72D297353CC}">
              <c16:uniqueId val="{00000005-9E58-4DEF-A381-7B3BF0E4B85A}"/>
            </c:ext>
          </c:extLst>
        </c:ser>
        <c:dLbls>
          <c:showLegendKey val="0"/>
          <c:showVal val="0"/>
          <c:showCatName val="0"/>
          <c:showSerName val="0"/>
          <c:showPercent val="0"/>
          <c:showBubbleSize val="0"/>
        </c:dLbls>
        <c:marker val="1"/>
        <c:smooth val="0"/>
        <c:axId val="425147776"/>
        <c:axId val="425146240"/>
      </c:lineChart>
      <c:catAx>
        <c:axId val="42497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144704"/>
        <c:crosses val="autoZero"/>
        <c:auto val="1"/>
        <c:lblAlgn val="ctr"/>
        <c:lblOffset val="100"/>
        <c:noMultiLvlLbl val="0"/>
      </c:catAx>
      <c:valAx>
        <c:axId val="4251447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979072"/>
        <c:crosses val="autoZero"/>
        <c:crossBetween val="between"/>
      </c:valAx>
      <c:valAx>
        <c:axId val="425146240"/>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147776"/>
        <c:crosses val="max"/>
        <c:crossBetween val="between"/>
      </c:valAx>
      <c:catAx>
        <c:axId val="425147776"/>
        <c:scaling>
          <c:orientation val="minMax"/>
        </c:scaling>
        <c:delete val="1"/>
        <c:axPos val="b"/>
        <c:numFmt formatCode="General" sourceLinked="1"/>
        <c:majorTickMark val="out"/>
        <c:minorTickMark val="none"/>
        <c:tickLblPos val="nextTo"/>
        <c:crossAx val="425146240"/>
        <c:crosses val="autoZero"/>
        <c:auto val="1"/>
        <c:lblAlgn val="ctr"/>
        <c:lblOffset val="100"/>
        <c:noMultiLvlLbl val="0"/>
      </c:cat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'הוצאה לנפש על מזון 2015'!$BC$20</c:f>
              <c:strCache>
                <c:ptCount val="1"/>
                <c:pt idx="0">
                  <c:v>הוצאה בפועל</c:v>
                </c:pt>
              </c:strCache>
            </c:strRef>
          </c:tx>
          <c:spPr>
            <a:solidFill>
              <a:schemeClr val="accent1"/>
            </a:solidFill>
            <a:ln>
              <a:noFill/>
            </a:ln>
            <a:effectLst/>
          </c:spPr>
          <c:invertIfNegative val="0"/>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2015'!$BD$20:$BI$20</c:f>
              <c:numCache>
                <c:formatCode>0%</c:formatCode>
                <c:ptCount val="6"/>
                <c:pt idx="0">
                  <c:v>0.8433256168254657</c:v>
                </c:pt>
                <c:pt idx="1">
                  <c:v>0.7619213640154785</c:v>
                </c:pt>
                <c:pt idx="2">
                  <c:v>0.57387941295098677</c:v>
                </c:pt>
                <c:pt idx="3">
                  <c:v>0.42794194085151904</c:v>
                </c:pt>
                <c:pt idx="4">
                  <c:v>0.34402494979820419</c:v>
                </c:pt>
                <c:pt idx="5">
                  <c:v>0.29865054725608919</c:v>
                </c:pt>
              </c:numCache>
            </c:numRef>
          </c:val>
          <c:extLst>
            <c:ext xmlns:c16="http://schemas.microsoft.com/office/drawing/2014/chart" uri="{C3380CC4-5D6E-409C-BE32-E72D297353CC}">
              <c16:uniqueId val="{00000000-DE81-4F53-B839-E6E42CB92F2D}"/>
            </c:ext>
          </c:extLst>
        </c:ser>
        <c:ser>
          <c:idx val="1"/>
          <c:order val="1"/>
          <c:tx>
            <c:strRef>
              <c:f>'הוצאה לנפש על מזון 2015'!$BC$21</c:f>
              <c:strCache>
                <c:ptCount val="1"/>
                <c:pt idx="0">
                  <c:v>מחסור מנורמטיבי</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'הוצאה לנפש על מזון 2015'!$BD$19:$BI$19</c:f>
              <c:strCache>
                <c:ptCount val="6"/>
                <c:pt idx="0">
                  <c:v>לחם פיתות</c:v>
                </c:pt>
                <c:pt idx="1">
                  <c:v>תפוחי אדמה ובטטות</c:v>
                </c:pt>
                <c:pt idx="2">
                  <c:v>חלב ומוצריו</c:v>
                </c:pt>
                <c:pt idx="3">
                  <c:v>ירקות טריים</c:v>
                </c:pt>
                <c:pt idx="4">
                  <c:v>פירות טריים</c:v>
                </c:pt>
                <c:pt idx="5">
                  <c:v>בשר עופות דגים</c:v>
                </c:pt>
              </c:strCache>
            </c:strRef>
          </c:cat>
          <c:val>
            <c:numRef>
              <c:f>'הוצאה לנפש על מזון 2015'!$BD$21:$BI$21</c:f>
              <c:numCache>
                <c:formatCode>0%</c:formatCode>
                <c:ptCount val="6"/>
                <c:pt idx="0">
                  <c:v>0.1566743831745343</c:v>
                </c:pt>
                <c:pt idx="1">
                  <c:v>0.2380786359845215</c:v>
                </c:pt>
                <c:pt idx="2">
                  <c:v>0.42612058704901323</c:v>
                </c:pt>
                <c:pt idx="3">
                  <c:v>0.57205805914848096</c:v>
                </c:pt>
                <c:pt idx="4">
                  <c:v>0.65597505020179581</c:v>
                </c:pt>
                <c:pt idx="5">
                  <c:v>0.70134945274391081</c:v>
                </c:pt>
              </c:numCache>
            </c:numRef>
          </c:val>
          <c:extLst>
            <c:ext xmlns:c16="http://schemas.microsoft.com/office/drawing/2014/chart" uri="{C3380CC4-5D6E-409C-BE32-E72D297353CC}">
              <c16:uniqueId val="{00000001-DE81-4F53-B839-E6E42CB92F2D}"/>
            </c:ext>
          </c:extLst>
        </c:ser>
        <c:dLbls>
          <c:showLegendKey val="0"/>
          <c:showVal val="0"/>
          <c:showCatName val="0"/>
          <c:showSerName val="0"/>
          <c:showPercent val="0"/>
          <c:showBubbleSize val="0"/>
        </c:dLbls>
        <c:gapWidth val="50"/>
        <c:overlap val="100"/>
        <c:axId val="425330560"/>
        <c:axId val="425339136"/>
      </c:barChart>
      <c:catAx>
        <c:axId val="42533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339136"/>
        <c:crosses val="autoZero"/>
        <c:auto val="1"/>
        <c:lblAlgn val="ctr"/>
        <c:lblOffset val="100"/>
        <c:noMultiLvlLbl val="0"/>
      </c:catAx>
      <c:valAx>
        <c:axId val="4253391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33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rtl="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'טבלאות לתקציר הדוח 2017'!$H$256</c:f>
              <c:strCache>
                <c:ptCount val="1"/>
                <c:pt idx="0">
                  <c:v>שיעור ההוצאה על מזון מתוך ההוצאה על צריכה פרטית</c:v>
                </c:pt>
              </c:strCache>
            </c:strRef>
          </c:tx>
          <c:invertIfNegative val="0"/>
          <c:dPt>
            <c:idx val="6"/>
            <c:invertIfNegative val="0"/>
            <c:bubble3D val="0"/>
            <c:spPr>
              <a:solidFill>
                <a:srgbClr val="FF0000"/>
              </a:solidFill>
            </c:spPr>
            <c:extLst>
              <c:ext xmlns:c16="http://schemas.microsoft.com/office/drawing/2014/chart" uri="{C3380CC4-5D6E-409C-BE32-E72D297353CC}">
                <c16:uniqueId val="{00000001-924D-43E1-9F69-B259B1DC3B18}"/>
              </c:ext>
            </c:extLst>
          </c:dPt>
          <c:dPt>
            <c:idx val="8"/>
            <c:invertIfNegative val="0"/>
            <c:bubble3D val="0"/>
            <c:extLst>
              <c:ext xmlns:c16="http://schemas.microsoft.com/office/drawing/2014/chart" uri="{C3380CC4-5D6E-409C-BE32-E72D297353CC}">
                <c16:uniqueId val="{00000002-924D-43E1-9F69-B259B1DC3B18}"/>
              </c:ext>
            </c:extLst>
          </c:dPt>
          <c:dPt>
            <c:idx val="9"/>
            <c:invertIfNegative val="0"/>
            <c:bubble3D val="0"/>
            <c:spPr>
              <a:solidFill>
                <a:schemeClr val="accent1"/>
              </a:solidFill>
            </c:spPr>
            <c:extLst>
              <c:ext xmlns:c16="http://schemas.microsoft.com/office/drawing/2014/chart" uri="{C3380CC4-5D6E-409C-BE32-E72D297353CC}">
                <c16:uniqueId val="{00000004-924D-43E1-9F69-B259B1DC3B18}"/>
              </c:ext>
            </c:extLst>
          </c:dPt>
          <c:dPt>
            <c:idx val="12"/>
            <c:invertIfNegative val="0"/>
            <c:bubble3D val="0"/>
            <c:spPr>
              <a:solidFill>
                <a:schemeClr val="accent1"/>
              </a:solidFill>
            </c:spPr>
            <c:extLst>
              <c:ext xmlns:c16="http://schemas.microsoft.com/office/drawing/2014/chart" uri="{C3380CC4-5D6E-409C-BE32-E72D297353CC}">
                <c16:uniqueId val="{00000006-924D-43E1-9F69-B259B1DC3B18}"/>
              </c:ext>
            </c:extLst>
          </c:dPt>
          <c:dPt>
            <c:idx val="13"/>
            <c:invertIfNegative val="0"/>
            <c:bubble3D val="0"/>
            <c:spPr>
              <a:solidFill>
                <a:srgbClr val="00B050"/>
              </a:solidFill>
            </c:spPr>
            <c:extLst>
              <c:ext xmlns:c16="http://schemas.microsoft.com/office/drawing/2014/chart" uri="{C3380CC4-5D6E-409C-BE32-E72D297353CC}">
                <c16:uniqueId val="{00000008-924D-43E1-9F69-B259B1DC3B18}"/>
              </c:ext>
            </c:extLst>
          </c:dPt>
          <c:dPt>
            <c:idx val="16"/>
            <c:invertIfNegative val="0"/>
            <c:bubble3D val="0"/>
            <c:extLst>
              <c:ext xmlns:c16="http://schemas.microsoft.com/office/drawing/2014/chart" uri="{C3380CC4-5D6E-409C-BE32-E72D297353CC}">
                <c16:uniqueId val="{00000009-924D-43E1-9F69-B259B1DC3B18}"/>
              </c:ext>
            </c:extLst>
          </c:dPt>
          <c:dPt>
            <c:idx val="22"/>
            <c:invertIfNegative val="0"/>
            <c:bubble3D val="0"/>
            <c:extLst>
              <c:ext xmlns:c16="http://schemas.microsoft.com/office/drawing/2014/chart" uri="{C3380CC4-5D6E-409C-BE32-E72D297353CC}">
                <c16:uniqueId val="{0000000A-924D-43E1-9F69-B259B1DC3B18}"/>
              </c:ext>
            </c:extLst>
          </c:dPt>
          <c:cat>
            <c:strRef>
              <c:f>'טבלאות לתקציר הדוח 2017'!$G$257:$G$286</c:f>
              <c:strCache>
                <c:ptCount val="30"/>
                <c:pt idx="0">
                  <c:v>מקסיקו</c:v>
                </c:pt>
                <c:pt idx="1">
                  <c:v>טורקיה</c:v>
                </c:pt>
                <c:pt idx="2">
                  <c:v>הונגריה</c:v>
                </c:pt>
                <c:pt idx="3">
                  <c:v>סלובקיה</c:v>
                </c:pt>
                <c:pt idx="4">
                  <c:v>פורטוגל</c:v>
                </c:pt>
                <c:pt idx="5">
                  <c:v>פולין</c:v>
                </c:pt>
                <c:pt idx="6">
                  <c:v>ישראל</c:v>
                </c:pt>
                <c:pt idx="7">
                  <c:v>צ'כיה</c:v>
                </c:pt>
                <c:pt idx="8">
                  <c:v>יוון</c:v>
                </c:pt>
                <c:pt idx="9">
                  <c:v>צ'ילה</c:v>
                </c:pt>
                <c:pt idx="10">
                  <c:v>יפן</c:v>
                </c:pt>
                <c:pt idx="11">
                  <c:v>איטליה</c:v>
                </c:pt>
                <c:pt idx="12">
                  <c:v>ניו זילנד</c:v>
                </c:pt>
                <c:pt idx="13">
                  <c:v>ממוצע OECD</c:v>
                </c:pt>
                <c:pt idx="14">
                  <c:v>ספרד</c:v>
                </c:pt>
                <c:pt idx="15">
                  <c:v>צרפת</c:v>
                </c:pt>
                <c:pt idx="16">
                  <c:v>בלגיה</c:v>
                </c:pt>
                <c:pt idx="17">
                  <c:v>שוודיה</c:v>
                </c:pt>
                <c:pt idx="18">
                  <c:v>נורווגיה</c:v>
                </c:pt>
                <c:pt idx="19">
                  <c:v>פינלנד</c:v>
                </c:pt>
                <c:pt idx="20">
                  <c:v>הולנד</c:v>
                </c:pt>
                <c:pt idx="21">
                  <c:v>דנמרק</c:v>
                </c:pt>
                <c:pt idx="22">
                  <c:v>גרמניה</c:v>
                </c:pt>
                <c:pt idx="23">
                  <c:v>אוסטריה</c:v>
                </c:pt>
                <c:pt idx="24">
                  <c:v>אוסטרליה</c:v>
                </c:pt>
                <c:pt idx="25">
                  <c:v>אירלנד</c:v>
                </c:pt>
                <c:pt idx="26">
                  <c:v>קנדה</c:v>
                </c:pt>
                <c:pt idx="27">
                  <c:v>שוויץ</c:v>
                </c:pt>
                <c:pt idx="28">
                  <c:v>בריטניה</c:v>
                </c:pt>
                <c:pt idx="29">
                  <c:v>ארה"ב</c:v>
                </c:pt>
              </c:strCache>
            </c:strRef>
          </c:cat>
          <c:val>
            <c:numRef>
              <c:f>'טבלאות לתקציר הדוח 2017'!$H$257:$H$286</c:f>
              <c:numCache>
                <c:formatCode>0%</c:formatCode>
                <c:ptCount val="30"/>
                <c:pt idx="0">
                  <c:v>0.23447984129646415</c:v>
                </c:pt>
                <c:pt idx="1">
                  <c:v>0.21093029043362038</c:v>
                </c:pt>
                <c:pt idx="2">
                  <c:v>0.18213873155489904</c:v>
                </c:pt>
                <c:pt idx="3">
                  <c:v>0.17793423213119014</c:v>
                </c:pt>
                <c:pt idx="4">
                  <c:v>0.16990049888721179</c:v>
                </c:pt>
                <c:pt idx="5">
                  <c:v>0.16876921582543392</c:v>
                </c:pt>
                <c:pt idx="6">
                  <c:v>0.16678266371401451</c:v>
                </c:pt>
                <c:pt idx="7">
                  <c:v>0.16603012550389987</c:v>
                </c:pt>
                <c:pt idx="8">
                  <c:v>0.16597272702632343</c:v>
                </c:pt>
                <c:pt idx="9">
                  <c:v>0.16527198755203978</c:v>
                </c:pt>
                <c:pt idx="10">
                  <c:v>0.15239325103446538</c:v>
                </c:pt>
                <c:pt idx="11">
                  <c:v>0.14226459487983859</c:v>
                </c:pt>
                <c:pt idx="12">
                  <c:v>0.13828922154418369</c:v>
                </c:pt>
                <c:pt idx="13">
                  <c:v>0.13677625810733526</c:v>
                </c:pt>
                <c:pt idx="14">
                  <c:v>0.13400989621122714</c:v>
                </c:pt>
                <c:pt idx="15">
                  <c:v>0.13359750037898566</c:v>
                </c:pt>
                <c:pt idx="16">
                  <c:v>0.13328000023954978</c:v>
                </c:pt>
                <c:pt idx="17">
                  <c:v>0.12509830119101312</c:v>
                </c:pt>
                <c:pt idx="18">
                  <c:v>0.12492218804203961</c:v>
                </c:pt>
                <c:pt idx="19">
                  <c:v>0.12013197797995429</c:v>
                </c:pt>
                <c:pt idx="20">
                  <c:v>0.11728740070795859</c:v>
                </c:pt>
                <c:pt idx="21">
                  <c:v>0.11340567321155388</c:v>
                </c:pt>
                <c:pt idx="22">
                  <c:v>0.10507285268839657</c:v>
                </c:pt>
                <c:pt idx="23">
                  <c:v>9.8599452141365174E-2</c:v>
                </c:pt>
                <c:pt idx="24">
                  <c:v>9.8080185187903235E-2</c:v>
                </c:pt>
                <c:pt idx="25">
                  <c:v>9.5224209009345848E-2</c:v>
                </c:pt>
                <c:pt idx="26">
                  <c:v>9.2401033629770216E-2</c:v>
                </c:pt>
                <c:pt idx="27">
                  <c:v>8.931122631758534E-2</c:v>
                </c:pt>
                <c:pt idx="28">
                  <c:v>8.1049269957517892E-2</c:v>
                </c:pt>
                <c:pt idx="29">
                  <c:v>6.388293683497244E-2</c:v>
                </c:pt>
              </c:numCache>
            </c:numRef>
          </c:val>
          <c:extLst>
            <c:ext xmlns:c16="http://schemas.microsoft.com/office/drawing/2014/chart" uri="{C3380CC4-5D6E-409C-BE32-E72D297353CC}">
              <c16:uniqueId val="{0000000B-924D-43E1-9F69-B259B1DC3B18}"/>
            </c:ext>
          </c:extLst>
        </c:ser>
        <c:dLbls>
          <c:showLegendKey val="0"/>
          <c:showVal val="0"/>
          <c:showCatName val="0"/>
          <c:showSerName val="0"/>
          <c:showPercent val="0"/>
          <c:showBubbleSize val="0"/>
        </c:dLbls>
        <c:gapWidth val="50"/>
        <c:axId val="420121216"/>
        <c:axId val="423854464"/>
      </c:barChart>
      <c:catAx>
        <c:axId val="420121216"/>
        <c:scaling>
          <c:orientation val="maxMin"/>
        </c:scaling>
        <c:delete val="0"/>
        <c:axPos val="r"/>
        <c:numFmt formatCode="General" sourceLinked="0"/>
        <c:majorTickMark val="out"/>
        <c:minorTickMark val="none"/>
        <c:tickLblPos val="nextTo"/>
        <c:crossAx val="423854464"/>
        <c:crosses val="autoZero"/>
        <c:auto val="1"/>
        <c:lblAlgn val="ctr"/>
        <c:lblOffset val="100"/>
        <c:noMultiLvlLbl val="0"/>
      </c:catAx>
      <c:valAx>
        <c:axId val="423854464"/>
        <c:scaling>
          <c:orientation val="maxMin"/>
        </c:scaling>
        <c:delete val="0"/>
        <c:axPos val="t"/>
        <c:majorGridlines>
          <c:spPr>
            <a:ln w="3175">
              <a:solidFill>
                <a:schemeClr val="bg2"/>
              </a:solidFill>
            </a:ln>
          </c:spPr>
        </c:majorGridlines>
        <c:numFmt formatCode="0%" sourceLinked="1"/>
        <c:majorTickMark val="out"/>
        <c:minorTickMark val="none"/>
        <c:tickLblPos val="nextTo"/>
        <c:crossAx val="420121216"/>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FA66-418C-9B9A-536E0A0C4B9C}"/>
              </c:ext>
            </c:extLst>
          </c:dPt>
          <c:dPt>
            <c:idx val="13"/>
            <c:invertIfNegative val="0"/>
            <c:bubble3D val="0"/>
            <c:spPr>
              <a:solidFill>
                <a:srgbClr val="00B050"/>
              </a:solidFill>
              <a:ln>
                <a:noFill/>
              </a:ln>
              <a:effectLst/>
            </c:spPr>
            <c:extLst>
              <c:ext xmlns:c16="http://schemas.microsoft.com/office/drawing/2014/chart" uri="{C3380CC4-5D6E-409C-BE32-E72D297353CC}">
                <c16:uniqueId val="{00000003-FA66-418C-9B9A-536E0A0C4B9C}"/>
              </c:ext>
            </c:extLst>
          </c:dPt>
          <c:cat>
            <c:strRef>
              <c:f>'תוחלת העוני'!$A$2:$A$34</c:f>
              <c:strCache>
                <c:ptCount val="33"/>
                <c:pt idx="0">
                  <c:v>ארה"ב</c:v>
                </c:pt>
                <c:pt idx="1">
                  <c:v>ישראל</c:v>
                </c:pt>
                <c:pt idx="2">
                  <c:v>טורקיה</c:v>
                </c:pt>
                <c:pt idx="3">
                  <c:v>מקסיקו</c:v>
                </c:pt>
                <c:pt idx="4">
                  <c:v>אסטוניה</c:v>
                </c:pt>
                <c:pt idx="5">
                  <c:v>ספרד</c:v>
                </c:pt>
                <c:pt idx="6">
                  <c:v>יוון</c:v>
                </c:pt>
                <c:pt idx="7">
                  <c:v>קוריאה</c:v>
                </c:pt>
                <c:pt idx="8">
                  <c:v>איטליה</c:v>
                </c:pt>
                <c:pt idx="9">
                  <c:v>פורטוגל</c:v>
                </c:pt>
                <c:pt idx="10">
                  <c:v>קנדה</c:v>
                </c:pt>
                <c:pt idx="11">
                  <c:v>אנגליה</c:v>
                </c:pt>
                <c:pt idx="12">
                  <c:v>לוקסמבורג</c:v>
                </c:pt>
                <c:pt idx="13">
                  <c:v>OECD ממוצע</c:v>
                </c:pt>
                <c:pt idx="14">
                  <c:v>ניו זילנד</c:v>
                </c:pt>
                <c:pt idx="15">
                  <c:v>פולין</c:v>
                </c:pt>
                <c:pt idx="16">
                  <c:v>הונגריה</c:v>
                </c:pt>
                <c:pt idx="17">
                  <c:v>גרמניה</c:v>
                </c:pt>
                <c:pt idx="18">
                  <c:v>אוסטרליה</c:v>
                </c:pt>
                <c:pt idx="19">
                  <c:v>אירלנד</c:v>
                </c:pt>
                <c:pt idx="20">
                  <c:v>אוסטריה</c:v>
                </c:pt>
                <c:pt idx="21">
                  <c:v>בלגיה</c:v>
                </c:pt>
                <c:pt idx="22">
                  <c:v>שוויץ</c:v>
                </c:pt>
                <c:pt idx="23">
                  <c:v>שבדיה</c:v>
                </c:pt>
                <c:pt idx="24">
                  <c:v>סלובניה</c:v>
                </c:pt>
                <c:pt idx="25">
                  <c:v>סלובקיה</c:v>
                </c:pt>
                <c:pt idx="26">
                  <c:v>צרפת</c:v>
                </c:pt>
                <c:pt idx="27">
                  <c:v>הולנד</c:v>
                </c:pt>
                <c:pt idx="28">
                  <c:v>נורווגיה</c:v>
                </c:pt>
                <c:pt idx="29">
                  <c:v>פינלנד</c:v>
                </c:pt>
                <c:pt idx="30">
                  <c:v>צ'כיה</c:v>
                </c:pt>
                <c:pt idx="31">
                  <c:v>דנמרק</c:v>
                </c:pt>
                <c:pt idx="32">
                  <c:v>איסלנד</c:v>
                </c:pt>
              </c:strCache>
            </c:strRef>
          </c:cat>
          <c:val>
            <c:numRef>
              <c:f>'תוחלת העוני'!$C$2:$C$34</c:f>
              <c:numCache>
                <c:formatCode>0.0%</c:formatCode>
                <c:ptCount val="33"/>
                <c:pt idx="0" formatCode="0%">
                  <c:v>0.17799999999999999</c:v>
                </c:pt>
                <c:pt idx="1">
                  <c:v>0.17699999999999999</c:v>
                </c:pt>
                <c:pt idx="2" formatCode="0%">
                  <c:v>0.17199999999999999</c:v>
                </c:pt>
                <c:pt idx="3" formatCode="0%">
                  <c:v>0.16700000000000001</c:v>
                </c:pt>
                <c:pt idx="4" formatCode="0%">
                  <c:v>0.157</c:v>
                </c:pt>
                <c:pt idx="5" formatCode="0%">
                  <c:v>0.155</c:v>
                </c:pt>
                <c:pt idx="6" formatCode="0%">
                  <c:v>0.14399999999999999</c:v>
                </c:pt>
                <c:pt idx="7" formatCode="0%">
                  <c:v>0.13800000000000001</c:v>
                </c:pt>
                <c:pt idx="8" formatCode="0%">
                  <c:v>0.13700000000000001</c:v>
                </c:pt>
                <c:pt idx="9" formatCode="0%">
                  <c:v>0.125</c:v>
                </c:pt>
                <c:pt idx="10" formatCode="0%">
                  <c:v>0.124</c:v>
                </c:pt>
                <c:pt idx="11" formatCode="0%">
                  <c:v>0.111</c:v>
                </c:pt>
                <c:pt idx="12" formatCode="0%">
                  <c:v>0.111</c:v>
                </c:pt>
                <c:pt idx="13" formatCode="0%">
                  <c:v>0.11018750000000001</c:v>
                </c:pt>
                <c:pt idx="14" formatCode="0%">
                  <c:v>0.109</c:v>
                </c:pt>
                <c:pt idx="15" formatCode="0%">
                  <c:v>0.10299999999999999</c:v>
                </c:pt>
                <c:pt idx="16" formatCode="0%">
                  <c:v>0.10100000000000001</c:v>
                </c:pt>
                <c:pt idx="17" formatCode="0%">
                  <c:v>0.10100000000000001</c:v>
                </c:pt>
                <c:pt idx="18" formatCode="0%">
                  <c:v>9.8000000000000004E-2</c:v>
                </c:pt>
                <c:pt idx="19" formatCode="0%">
                  <c:v>9.8000000000000004E-2</c:v>
                </c:pt>
                <c:pt idx="20" formatCode="0%">
                  <c:v>9.8000000000000004E-2</c:v>
                </c:pt>
                <c:pt idx="21" formatCode="0%">
                  <c:v>9.7000000000000003E-2</c:v>
                </c:pt>
                <c:pt idx="22" formatCode="0%">
                  <c:v>9.0999999999999998E-2</c:v>
                </c:pt>
                <c:pt idx="23" formatCode="0%">
                  <c:v>9.0999999999999998E-2</c:v>
                </c:pt>
                <c:pt idx="24" formatCode="0%">
                  <c:v>8.6999999999999994E-2</c:v>
                </c:pt>
                <c:pt idx="25" formatCode="0%">
                  <c:v>8.5000000000000006E-2</c:v>
                </c:pt>
                <c:pt idx="26" formatCode="0%">
                  <c:v>8.3000000000000004E-2</c:v>
                </c:pt>
                <c:pt idx="27" formatCode="0%">
                  <c:v>8.3000000000000004E-2</c:v>
                </c:pt>
                <c:pt idx="28" formatCode="0%">
                  <c:v>8.2000000000000003E-2</c:v>
                </c:pt>
                <c:pt idx="29" formatCode="0%">
                  <c:v>5.8000000000000003E-2</c:v>
                </c:pt>
                <c:pt idx="30" formatCode="0%">
                  <c:v>5.6000000000000001E-2</c:v>
                </c:pt>
                <c:pt idx="31" formatCode="0%">
                  <c:v>5.5E-2</c:v>
                </c:pt>
                <c:pt idx="32" formatCode="0%">
                  <c:v>5.3999999999999999E-2</c:v>
                </c:pt>
              </c:numCache>
            </c:numRef>
          </c:val>
          <c:extLst>
            <c:ext xmlns:c16="http://schemas.microsoft.com/office/drawing/2014/chart" uri="{C3380CC4-5D6E-409C-BE32-E72D297353CC}">
              <c16:uniqueId val="{00000004-FA66-418C-9B9A-536E0A0C4B9C}"/>
            </c:ext>
          </c:extLst>
        </c:ser>
        <c:dLbls>
          <c:showLegendKey val="0"/>
          <c:showVal val="0"/>
          <c:showCatName val="0"/>
          <c:showSerName val="0"/>
          <c:showPercent val="0"/>
          <c:showBubbleSize val="0"/>
        </c:dLbls>
        <c:gapWidth val="50"/>
        <c:axId val="425911424"/>
        <c:axId val="425912960"/>
      </c:barChart>
      <c:catAx>
        <c:axId val="425911424"/>
        <c:scaling>
          <c:orientation val="maxMin"/>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25912960"/>
        <c:crosses val="autoZero"/>
        <c:auto val="1"/>
        <c:lblAlgn val="ctr"/>
        <c:lblOffset val="100"/>
        <c:noMultiLvlLbl val="0"/>
      </c:catAx>
      <c:valAx>
        <c:axId val="425912960"/>
        <c:scaling>
          <c:orientation val="maxMin"/>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25911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'גרף לדוח לקט'!$BA$5</c:f>
              <c:strCache>
                <c:ptCount val="1"/>
                <c:pt idx="0">
                  <c:v>מזון (ללא ירקות ופירות) - סך הכל (ללא מזון מחוץ לבית)</c:v>
                </c:pt>
              </c:strCache>
            </c:strRef>
          </c:tx>
          <c:spPr>
            <a:solidFill>
              <a:schemeClr val="accent1"/>
            </a:solidFill>
            <a:ln>
              <a:noFill/>
            </a:ln>
            <a:effectLst/>
          </c:spPr>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לקט'!$BA$6:$BA$105</c:f>
              <c:numCache>
                <c:formatCode>0</c:formatCode>
                <c:ptCount val="100"/>
                <c:pt idx="0">
                  <c:v>235.66184070168944</c:v>
                </c:pt>
                <c:pt idx="1">
                  <c:v>293.91525943396232</c:v>
                </c:pt>
                <c:pt idx="2">
                  <c:v>306.87698267752512</c:v>
                </c:pt>
                <c:pt idx="3">
                  <c:v>357.56596713528171</c:v>
                </c:pt>
                <c:pt idx="4">
                  <c:v>416.17502402494705</c:v>
                </c:pt>
                <c:pt idx="5">
                  <c:v>388.84224518047586</c:v>
                </c:pt>
                <c:pt idx="6">
                  <c:v>360.31368919773183</c:v>
                </c:pt>
                <c:pt idx="7">
                  <c:v>358.87954096962301</c:v>
                </c:pt>
                <c:pt idx="8">
                  <c:v>445.92499028337227</c:v>
                </c:pt>
                <c:pt idx="9">
                  <c:v>426.05715855839196</c:v>
                </c:pt>
                <c:pt idx="10">
                  <c:v>431.26994105801867</c:v>
                </c:pt>
                <c:pt idx="11">
                  <c:v>419.54585226782086</c:v>
                </c:pt>
                <c:pt idx="12">
                  <c:v>460.22448205697373</c:v>
                </c:pt>
                <c:pt idx="13">
                  <c:v>463.46795855253367</c:v>
                </c:pt>
                <c:pt idx="14">
                  <c:v>443.78889172400125</c:v>
                </c:pt>
                <c:pt idx="15">
                  <c:v>512.08145763695529</c:v>
                </c:pt>
                <c:pt idx="16">
                  <c:v>415.46377988213095</c:v>
                </c:pt>
                <c:pt idx="17">
                  <c:v>499.44913662623395</c:v>
                </c:pt>
                <c:pt idx="18">
                  <c:v>517.8726907967756</c:v>
                </c:pt>
                <c:pt idx="19">
                  <c:v>491.8388726795431</c:v>
                </c:pt>
                <c:pt idx="20">
                  <c:v>574.73258905592627</c:v>
                </c:pt>
                <c:pt idx="21">
                  <c:v>542.78907878100438</c:v>
                </c:pt>
                <c:pt idx="22">
                  <c:v>510.31054654012905</c:v>
                </c:pt>
                <c:pt idx="23">
                  <c:v>504.50476876918015</c:v>
                </c:pt>
                <c:pt idx="24">
                  <c:v>509.80231877486074</c:v>
                </c:pt>
                <c:pt idx="25">
                  <c:v>522.82218942491716</c:v>
                </c:pt>
                <c:pt idx="26">
                  <c:v>479.49855597815764</c:v>
                </c:pt>
                <c:pt idx="27">
                  <c:v>519.70067409654962</c:v>
                </c:pt>
                <c:pt idx="28">
                  <c:v>559.05764187922523</c:v>
                </c:pt>
                <c:pt idx="29">
                  <c:v>612.28747805228488</c:v>
                </c:pt>
                <c:pt idx="30">
                  <c:v>580.85048770908804</c:v>
                </c:pt>
                <c:pt idx="31">
                  <c:v>480.72269229213225</c:v>
                </c:pt>
                <c:pt idx="32">
                  <c:v>526.47300042998597</c:v>
                </c:pt>
                <c:pt idx="33">
                  <c:v>586.41167644997245</c:v>
                </c:pt>
                <c:pt idx="34">
                  <c:v>517.7035104509639</c:v>
                </c:pt>
                <c:pt idx="35">
                  <c:v>562.27457064076407</c:v>
                </c:pt>
                <c:pt idx="36">
                  <c:v>573.36149686420811</c:v>
                </c:pt>
                <c:pt idx="37">
                  <c:v>590.01387047205503</c:v>
                </c:pt>
                <c:pt idx="38">
                  <c:v>583.39657301187674</c:v>
                </c:pt>
                <c:pt idx="39">
                  <c:v>533.71702586164372</c:v>
                </c:pt>
                <c:pt idx="40">
                  <c:v>559.65069067183333</c:v>
                </c:pt>
                <c:pt idx="41">
                  <c:v>693.11124580885394</c:v>
                </c:pt>
                <c:pt idx="42">
                  <c:v>576.90107245488889</c:v>
                </c:pt>
                <c:pt idx="43">
                  <c:v>546.49678991650717</c:v>
                </c:pt>
                <c:pt idx="44">
                  <c:v>601.07208287961942</c:v>
                </c:pt>
                <c:pt idx="45">
                  <c:v>622.68217717017649</c:v>
                </c:pt>
                <c:pt idx="46">
                  <c:v>590.31967301422605</c:v>
                </c:pt>
                <c:pt idx="47">
                  <c:v>647.58845962367081</c:v>
                </c:pt>
                <c:pt idx="48">
                  <c:v>595.73762297465839</c:v>
                </c:pt>
                <c:pt idx="49">
                  <c:v>646.8665260135034</c:v>
                </c:pt>
                <c:pt idx="50">
                  <c:v>587.93216334340252</c:v>
                </c:pt>
                <c:pt idx="51">
                  <c:v>619.64465151309344</c:v>
                </c:pt>
                <c:pt idx="52">
                  <c:v>669.79778013618704</c:v>
                </c:pt>
                <c:pt idx="53">
                  <c:v>657.71965639063751</c:v>
                </c:pt>
                <c:pt idx="54">
                  <c:v>692.57884886579041</c:v>
                </c:pt>
                <c:pt idx="55">
                  <c:v>692.68429776248763</c:v>
                </c:pt>
                <c:pt idx="56">
                  <c:v>714.5833317145615</c:v>
                </c:pt>
                <c:pt idx="57">
                  <c:v>687.66258988179243</c:v>
                </c:pt>
                <c:pt idx="58">
                  <c:v>606.60475196609855</c:v>
                </c:pt>
                <c:pt idx="59">
                  <c:v>718.45705895646006</c:v>
                </c:pt>
                <c:pt idx="60">
                  <c:v>688.78625245792568</c:v>
                </c:pt>
                <c:pt idx="61">
                  <c:v>710.89596818664199</c:v>
                </c:pt>
                <c:pt idx="62">
                  <c:v>740.4363288755568</c:v>
                </c:pt>
                <c:pt idx="63">
                  <c:v>680.61449493449265</c:v>
                </c:pt>
                <c:pt idx="64">
                  <c:v>727.98503664559075</c:v>
                </c:pt>
                <c:pt idx="65">
                  <c:v>722.14312267867535</c:v>
                </c:pt>
                <c:pt idx="66">
                  <c:v>717.6538932669547</c:v>
                </c:pt>
                <c:pt idx="67">
                  <c:v>660.19524813945736</c:v>
                </c:pt>
                <c:pt idx="68">
                  <c:v>711.38441082474037</c:v>
                </c:pt>
                <c:pt idx="69">
                  <c:v>777.5599680324857</c:v>
                </c:pt>
                <c:pt idx="70">
                  <c:v>634.77666033580022</c:v>
                </c:pt>
                <c:pt idx="71">
                  <c:v>837.46296585510504</c:v>
                </c:pt>
                <c:pt idx="72">
                  <c:v>753.70327996903359</c:v>
                </c:pt>
                <c:pt idx="73">
                  <c:v>781.58978484049726</c:v>
                </c:pt>
                <c:pt idx="74">
                  <c:v>800.64910459166003</c:v>
                </c:pt>
                <c:pt idx="75">
                  <c:v>743.28821680129374</c:v>
                </c:pt>
                <c:pt idx="76">
                  <c:v>826.16237678212383</c:v>
                </c:pt>
                <c:pt idx="77">
                  <c:v>815.18162484053096</c:v>
                </c:pt>
                <c:pt idx="78">
                  <c:v>906.58404223767138</c:v>
                </c:pt>
                <c:pt idx="79">
                  <c:v>709.65420846205586</c:v>
                </c:pt>
                <c:pt idx="80">
                  <c:v>839.56647359841929</c:v>
                </c:pt>
                <c:pt idx="81">
                  <c:v>836.8477600800519</c:v>
                </c:pt>
                <c:pt idx="82">
                  <c:v>843.9136958656353</c:v>
                </c:pt>
                <c:pt idx="83">
                  <c:v>999.262530291698</c:v>
                </c:pt>
                <c:pt idx="84">
                  <c:v>774.43018334392502</c:v>
                </c:pt>
                <c:pt idx="85">
                  <c:v>811.83121526713103</c:v>
                </c:pt>
                <c:pt idx="86">
                  <c:v>788.0787643749261</c:v>
                </c:pt>
                <c:pt idx="87">
                  <c:v>800.44823805787314</c:v>
                </c:pt>
                <c:pt idx="88">
                  <c:v>837.12573312049869</c:v>
                </c:pt>
                <c:pt idx="89">
                  <c:v>843.43121911754542</c:v>
                </c:pt>
                <c:pt idx="90">
                  <c:v>939.97745487678105</c:v>
                </c:pt>
                <c:pt idx="91">
                  <c:v>808.13567651847052</c:v>
                </c:pt>
                <c:pt idx="92">
                  <c:v>950.33950644778497</c:v>
                </c:pt>
                <c:pt idx="93">
                  <c:v>925.75809240683645</c:v>
                </c:pt>
                <c:pt idx="94">
                  <c:v>856.91376594137921</c:v>
                </c:pt>
                <c:pt idx="95">
                  <c:v>1081.4147060194739</c:v>
                </c:pt>
                <c:pt idx="96">
                  <c:v>1101.6047985248724</c:v>
                </c:pt>
                <c:pt idx="97">
                  <c:v>1063.2647964690677</c:v>
                </c:pt>
                <c:pt idx="98">
                  <c:v>1211.6688757678569</c:v>
                </c:pt>
                <c:pt idx="99">
                  <c:v>1136.1692822015484</c:v>
                </c:pt>
              </c:numCache>
            </c:numRef>
          </c:val>
          <c:extLst>
            <c:ext xmlns:c16="http://schemas.microsoft.com/office/drawing/2014/chart" uri="{C3380CC4-5D6E-409C-BE32-E72D297353CC}">
              <c16:uniqueId val="{00000000-A381-4894-8C15-DCAABA3A70BB}"/>
            </c:ext>
          </c:extLst>
        </c:ser>
        <c:ser>
          <c:idx val="1"/>
          <c:order val="1"/>
          <c:tx>
            <c:strRef>
              <c:f>'גרף לדוח לקט'!$BB$5</c:f>
              <c:strCache>
                <c:ptCount val="1"/>
                <c:pt idx="0">
                  <c:v>ירקות ופירות - סך הכל</c:v>
                </c:pt>
              </c:strCache>
            </c:strRef>
          </c:tx>
          <c:spPr>
            <a:solidFill>
              <a:schemeClr val="accent2"/>
            </a:solidFill>
            <a:ln>
              <a:noFill/>
            </a:ln>
            <a:effectLst/>
          </c:spPr>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לקט'!$BB$6:$BB$105</c:f>
              <c:numCache>
                <c:formatCode>0</c:formatCode>
                <c:ptCount val="100"/>
                <c:pt idx="0">
                  <c:v>85.65409606609937</c:v>
                </c:pt>
                <c:pt idx="1">
                  <c:v>92.547274633123664</c:v>
                </c:pt>
                <c:pt idx="2">
                  <c:v>118.56160961941617</c:v>
                </c:pt>
                <c:pt idx="3">
                  <c:v>113.09053104575167</c:v>
                </c:pt>
                <c:pt idx="4">
                  <c:v>137.94922977416721</c:v>
                </c:pt>
                <c:pt idx="5">
                  <c:v>131.61880468963631</c:v>
                </c:pt>
                <c:pt idx="6">
                  <c:v>127.99156396858571</c:v>
                </c:pt>
                <c:pt idx="7">
                  <c:v>146.50760386997973</c:v>
                </c:pt>
                <c:pt idx="8">
                  <c:v>160.71279768214271</c:v>
                </c:pt>
                <c:pt idx="9">
                  <c:v>135.41093568874092</c:v>
                </c:pt>
                <c:pt idx="10">
                  <c:v>162.48445809886348</c:v>
                </c:pt>
                <c:pt idx="11">
                  <c:v>152.41924845825596</c:v>
                </c:pt>
                <c:pt idx="12">
                  <c:v>186.71686364921206</c:v>
                </c:pt>
                <c:pt idx="13">
                  <c:v>164.68051767300426</c:v>
                </c:pt>
                <c:pt idx="14">
                  <c:v>151.8906700142563</c:v>
                </c:pt>
                <c:pt idx="15">
                  <c:v>193.58596172381561</c:v>
                </c:pt>
                <c:pt idx="16">
                  <c:v>148.23592823564553</c:v>
                </c:pt>
                <c:pt idx="17">
                  <c:v>134.28395403230425</c:v>
                </c:pt>
                <c:pt idx="18">
                  <c:v>178.39672972201126</c:v>
                </c:pt>
                <c:pt idx="19">
                  <c:v>167.54339971602653</c:v>
                </c:pt>
                <c:pt idx="20">
                  <c:v>235.72418973371271</c:v>
                </c:pt>
                <c:pt idx="21">
                  <c:v>168.6555353422402</c:v>
                </c:pt>
                <c:pt idx="22">
                  <c:v>173.01546801210989</c:v>
                </c:pt>
                <c:pt idx="23">
                  <c:v>180.96095558017782</c:v>
                </c:pt>
                <c:pt idx="24">
                  <c:v>213.97032236906597</c:v>
                </c:pt>
                <c:pt idx="25">
                  <c:v>210.752966055586</c:v>
                </c:pt>
                <c:pt idx="26">
                  <c:v>150.50804942758853</c:v>
                </c:pt>
                <c:pt idx="27">
                  <c:v>186.0559108313341</c:v>
                </c:pt>
                <c:pt idx="28">
                  <c:v>191.2970638312616</c:v>
                </c:pt>
                <c:pt idx="29">
                  <c:v>179.4348912476915</c:v>
                </c:pt>
                <c:pt idx="30">
                  <c:v>212.09156920161189</c:v>
                </c:pt>
                <c:pt idx="31">
                  <c:v>191.27855603838762</c:v>
                </c:pt>
                <c:pt idx="32">
                  <c:v>181.21495836306147</c:v>
                </c:pt>
                <c:pt idx="33">
                  <c:v>196.17536276065863</c:v>
                </c:pt>
                <c:pt idx="34">
                  <c:v>197.43616056654037</c:v>
                </c:pt>
                <c:pt idx="35">
                  <c:v>179.67765758414131</c:v>
                </c:pt>
                <c:pt idx="36">
                  <c:v>188.53113002159844</c:v>
                </c:pt>
                <c:pt idx="37">
                  <c:v>219.50401393405213</c:v>
                </c:pt>
                <c:pt idx="38">
                  <c:v>181.8047839183034</c:v>
                </c:pt>
                <c:pt idx="39">
                  <c:v>172.93200050967772</c:v>
                </c:pt>
                <c:pt idx="40">
                  <c:v>188.39325112909978</c:v>
                </c:pt>
                <c:pt idx="41">
                  <c:v>207.906881581893</c:v>
                </c:pt>
                <c:pt idx="42">
                  <c:v>198.3975453718636</c:v>
                </c:pt>
                <c:pt idx="43">
                  <c:v>240.30513162144481</c:v>
                </c:pt>
                <c:pt idx="44">
                  <c:v>230.72720461600321</c:v>
                </c:pt>
                <c:pt idx="45">
                  <c:v>187.82539476078779</c:v>
                </c:pt>
                <c:pt idx="46">
                  <c:v>205.24077857866735</c:v>
                </c:pt>
                <c:pt idx="47">
                  <c:v>209.49798205473286</c:v>
                </c:pt>
                <c:pt idx="48">
                  <c:v>177.78154508587772</c:v>
                </c:pt>
                <c:pt idx="49">
                  <c:v>201.94212800836686</c:v>
                </c:pt>
                <c:pt idx="50">
                  <c:v>177.78265234761179</c:v>
                </c:pt>
                <c:pt idx="51">
                  <c:v>206.45081209113479</c:v>
                </c:pt>
                <c:pt idx="52">
                  <c:v>204.72621348487098</c:v>
                </c:pt>
                <c:pt idx="53">
                  <c:v>220.87129900592248</c:v>
                </c:pt>
                <c:pt idx="54">
                  <c:v>240.57304848466944</c:v>
                </c:pt>
                <c:pt idx="55">
                  <c:v>226.70904552988941</c:v>
                </c:pt>
                <c:pt idx="56">
                  <c:v>218.26669157934387</c:v>
                </c:pt>
                <c:pt idx="57">
                  <c:v>233.44611841504954</c:v>
                </c:pt>
                <c:pt idx="58">
                  <c:v>196.65932918885989</c:v>
                </c:pt>
                <c:pt idx="59">
                  <c:v>241.83941148395544</c:v>
                </c:pt>
                <c:pt idx="60">
                  <c:v>233.81714629925511</c:v>
                </c:pt>
                <c:pt idx="61">
                  <c:v>227.1402608612959</c:v>
                </c:pt>
                <c:pt idx="62">
                  <c:v>304.99985682029876</c:v>
                </c:pt>
                <c:pt idx="63">
                  <c:v>239.64292495541579</c:v>
                </c:pt>
                <c:pt idx="64">
                  <c:v>245.74667347442318</c:v>
                </c:pt>
                <c:pt idx="65">
                  <c:v>231.51806071184402</c:v>
                </c:pt>
                <c:pt idx="66">
                  <c:v>259.18130072630993</c:v>
                </c:pt>
                <c:pt idx="67">
                  <c:v>208.90953670796441</c:v>
                </c:pt>
                <c:pt idx="68">
                  <c:v>252.77473785315738</c:v>
                </c:pt>
                <c:pt idx="69">
                  <c:v>214.94205401301585</c:v>
                </c:pt>
                <c:pt idx="70">
                  <c:v>238.11363153848865</c:v>
                </c:pt>
                <c:pt idx="71">
                  <c:v>239.67277184299908</c:v>
                </c:pt>
                <c:pt idx="72">
                  <c:v>241.72138523741006</c:v>
                </c:pt>
                <c:pt idx="73">
                  <c:v>253.65156880469198</c:v>
                </c:pt>
                <c:pt idx="74">
                  <c:v>277.92149875155377</c:v>
                </c:pt>
                <c:pt idx="75">
                  <c:v>235.70285414106863</c:v>
                </c:pt>
                <c:pt idx="76">
                  <c:v>236.58660416967598</c:v>
                </c:pt>
                <c:pt idx="77">
                  <c:v>273.725343975025</c:v>
                </c:pt>
                <c:pt idx="78">
                  <c:v>242.50812970379505</c:v>
                </c:pt>
                <c:pt idx="79">
                  <c:v>220.8599390249484</c:v>
                </c:pt>
                <c:pt idx="80">
                  <c:v>250.53592131703684</c:v>
                </c:pt>
                <c:pt idx="81">
                  <c:v>246.97367920523249</c:v>
                </c:pt>
                <c:pt idx="82">
                  <c:v>261.64858968775104</c:v>
                </c:pt>
                <c:pt idx="83">
                  <c:v>276.09542220906388</c:v>
                </c:pt>
                <c:pt idx="84">
                  <c:v>261.23496839172924</c:v>
                </c:pt>
                <c:pt idx="85">
                  <c:v>237.24141166527377</c:v>
                </c:pt>
                <c:pt idx="86">
                  <c:v>274.30989992942818</c:v>
                </c:pt>
                <c:pt idx="87">
                  <c:v>262.64219344025611</c:v>
                </c:pt>
                <c:pt idx="88">
                  <c:v>254.70377541869536</c:v>
                </c:pt>
                <c:pt idx="89">
                  <c:v>290.04082156256015</c:v>
                </c:pt>
                <c:pt idx="90">
                  <c:v>290.17751457058006</c:v>
                </c:pt>
                <c:pt idx="91">
                  <c:v>305.16480932420836</c:v>
                </c:pt>
                <c:pt idx="92">
                  <c:v>276.28202114328656</c:v>
                </c:pt>
                <c:pt idx="93">
                  <c:v>271.45706095818736</c:v>
                </c:pt>
                <c:pt idx="94">
                  <c:v>257.02701701929652</c:v>
                </c:pt>
                <c:pt idx="95">
                  <c:v>323.91480385615836</c:v>
                </c:pt>
                <c:pt idx="96">
                  <c:v>363.3538314220433</c:v>
                </c:pt>
                <c:pt idx="97">
                  <c:v>322.6939073549662</c:v>
                </c:pt>
                <c:pt idx="98">
                  <c:v>271.90197313020622</c:v>
                </c:pt>
                <c:pt idx="99">
                  <c:v>296.83760171638272</c:v>
                </c:pt>
              </c:numCache>
            </c:numRef>
          </c:val>
          <c:extLst>
            <c:ext xmlns:c16="http://schemas.microsoft.com/office/drawing/2014/chart" uri="{C3380CC4-5D6E-409C-BE32-E72D297353CC}">
              <c16:uniqueId val="{00000001-A381-4894-8C15-DCAABA3A70BB}"/>
            </c:ext>
          </c:extLst>
        </c:ser>
        <c:dLbls>
          <c:showLegendKey val="0"/>
          <c:showVal val="0"/>
          <c:showCatName val="0"/>
          <c:showSerName val="0"/>
          <c:showPercent val="0"/>
          <c:showBubbleSize val="0"/>
        </c:dLbls>
        <c:axId val="435997696"/>
        <c:axId val="451380352"/>
      </c:areaChart>
      <c:lineChart>
        <c:grouping val="standard"/>
        <c:varyColors val="0"/>
        <c:ser>
          <c:idx val="2"/>
          <c:order val="2"/>
          <c:tx>
            <c:strRef>
              <c:f>'גרף לדוח לקט'!$BC$5</c:f>
              <c:strCache>
                <c:ptCount val="1"/>
                <c:pt idx="0">
                  <c:v>קו מגמה</c:v>
                </c:pt>
              </c:strCache>
            </c:strRef>
          </c:tx>
          <c:spPr>
            <a:ln w="28575" cap="rnd">
              <a:noFill/>
              <a:round/>
            </a:ln>
            <a:effectLst/>
          </c:spPr>
          <c:marker>
            <c:symbol val="none"/>
          </c:marker>
          <c:trendline>
            <c:spPr>
              <a:ln w="19050" cap="rnd">
                <a:solidFill>
                  <a:schemeClr val="tx1"/>
                </a:solidFill>
                <a:prstDash val="solid"/>
              </a:ln>
              <a:effectLst/>
            </c:spPr>
            <c:trendlineType val="poly"/>
            <c:order val="6"/>
            <c:dispRSqr val="0"/>
            <c:dispEq val="0"/>
          </c:trendline>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לקט'!$BC$6:$BC$105</c:f>
              <c:numCache>
                <c:formatCode>0</c:formatCode>
                <c:ptCount val="100"/>
                <c:pt idx="0">
                  <c:v>321.3159367677888</c:v>
                </c:pt>
                <c:pt idx="1">
                  <c:v>386.46253406708598</c:v>
                </c:pt>
                <c:pt idx="2">
                  <c:v>425.43859229694129</c:v>
                </c:pt>
                <c:pt idx="3">
                  <c:v>470.65649818103338</c:v>
                </c:pt>
                <c:pt idx="4">
                  <c:v>554.12425379911429</c:v>
                </c:pt>
                <c:pt idx="5">
                  <c:v>520.46104987011222</c:v>
                </c:pt>
                <c:pt idx="6">
                  <c:v>488.30525316631753</c:v>
                </c:pt>
                <c:pt idx="7">
                  <c:v>505.38714483960274</c:v>
                </c:pt>
                <c:pt idx="8">
                  <c:v>606.63778796551492</c:v>
                </c:pt>
                <c:pt idx="9">
                  <c:v>561.46809424713285</c:v>
                </c:pt>
                <c:pt idx="10">
                  <c:v>593.75439915688219</c:v>
                </c:pt>
                <c:pt idx="11">
                  <c:v>571.9651007260768</c:v>
                </c:pt>
                <c:pt idx="12">
                  <c:v>646.94134570618576</c:v>
                </c:pt>
                <c:pt idx="13">
                  <c:v>628.14847622553793</c:v>
                </c:pt>
                <c:pt idx="14">
                  <c:v>595.67956173825758</c:v>
                </c:pt>
                <c:pt idx="15">
                  <c:v>705.66741936077096</c:v>
                </c:pt>
                <c:pt idx="16">
                  <c:v>563.69970811777648</c:v>
                </c:pt>
                <c:pt idx="17">
                  <c:v>633.73309065853823</c:v>
                </c:pt>
                <c:pt idx="18">
                  <c:v>696.26942051878689</c:v>
                </c:pt>
                <c:pt idx="19">
                  <c:v>659.38227239556966</c:v>
                </c:pt>
                <c:pt idx="20">
                  <c:v>810.45677878963897</c:v>
                </c:pt>
                <c:pt idx="21">
                  <c:v>711.44461412324461</c:v>
                </c:pt>
                <c:pt idx="22">
                  <c:v>683.32601455223892</c:v>
                </c:pt>
                <c:pt idx="23">
                  <c:v>685.46572434935797</c:v>
                </c:pt>
                <c:pt idx="24">
                  <c:v>723.77264114392665</c:v>
                </c:pt>
                <c:pt idx="25">
                  <c:v>733.5751554805031</c:v>
                </c:pt>
                <c:pt idx="26">
                  <c:v>630.0066054057462</c:v>
                </c:pt>
                <c:pt idx="27">
                  <c:v>705.75658492788375</c:v>
                </c:pt>
                <c:pt idx="28">
                  <c:v>750.35470571048677</c:v>
                </c:pt>
                <c:pt idx="29">
                  <c:v>791.72236929997644</c:v>
                </c:pt>
                <c:pt idx="30">
                  <c:v>792.94205691069988</c:v>
                </c:pt>
                <c:pt idx="31">
                  <c:v>672.00124833051984</c:v>
                </c:pt>
                <c:pt idx="32">
                  <c:v>707.68795879304741</c:v>
                </c:pt>
                <c:pt idx="33">
                  <c:v>782.58703921063102</c:v>
                </c:pt>
                <c:pt idx="34">
                  <c:v>715.13967101750427</c:v>
                </c:pt>
                <c:pt idx="35">
                  <c:v>741.95222822490541</c:v>
                </c:pt>
                <c:pt idx="36">
                  <c:v>761.89262688580652</c:v>
                </c:pt>
                <c:pt idx="37">
                  <c:v>809.51788440610721</c:v>
                </c:pt>
                <c:pt idx="38">
                  <c:v>765.20135693018017</c:v>
                </c:pt>
                <c:pt idx="39">
                  <c:v>706.6490263713215</c:v>
                </c:pt>
                <c:pt idx="40">
                  <c:v>748.04394180093311</c:v>
                </c:pt>
                <c:pt idx="41">
                  <c:v>901.01812739074694</c:v>
                </c:pt>
                <c:pt idx="42">
                  <c:v>775.29861782675243</c:v>
                </c:pt>
                <c:pt idx="43">
                  <c:v>786.80192153795201</c:v>
                </c:pt>
                <c:pt idx="44">
                  <c:v>831.79928749562259</c:v>
                </c:pt>
                <c:pt idx="45">
                  <c:v>810.50757193096433</c:v>
                </c:pt>
                <c:pt idx="46">
                  <c:v>795.5604515928934</c:v>
                </c:pt>
                <c:pt idx="47">
                  <c:v>857.08644167840362</c:v>
                </c:pt>
                <c:pt idx="48">
                  <c:v>773.51916806053612</c:v>
                </c:pt>
                <c:pt idx="49">
                  <c:v>848.80865402187032</c:v>
                </c:pt>
                <c:pt idx="50">
                  <c:v>765.71481569101434</c:v>
                </c:pt>
                <c:pt idx="51">
                  <c:v>826.09546360422826</c:v>
                </c:pt>
                <c:pt idx="52">
                  <c:v>874.52399362105803</c:v>
                </c:pt>
                <c:pt idx="53">
                  <c:v>878.59095539656005</c:v>
                </c:pt>
                <c:pt idx="54">
                  <c:v>933.15189735045988</c:v>
                </c:pt>
                <c:pt idx="55">
                  <c:v>919.39334329237704</c:v>
                </c:pt>
                <c:pt idx="56">
                  <c:v>932.85002329390534</c:v>
                </c:pt>
                <c:pt idx="57">
                  <c:v>921.108708296842</c:v>
                </c:pt>
                <c:pt idx="58">
                  <c:v>803.26408115495838</c:v>
                </c:pt>
                <c:pt idx="59">
                  <c:v>960.29647044041553</c:v>
                </c:pt>
                <c:pt idx="60">
                  <c:v>922.6033987571808</c:v>
                </c:pt>
                <c:pt idx="61">
                  <c:v>938.03622904793792</c:v>
                </c:pt>
                <c:pt idx="62">
                  <c:v>1045.4361856958556</c:v>
                </c:pt>
                <c:pt idx="63">
                  <c:v>920.25741988990842</c:v>
                </c:pt>
                <c:pt idx="64">
                  <c:v>973.73171012001399</c:v>
                </c:pt>
                <c:pt idx="65">
                  <c:v>953.66118339051934</c:v>
                </c:pt>
                <c:pt idx="66">
                  <c:v>976.83519399326462</c:v>
                </c:pt>
                <c:pt idx="67">
                  <c:v>869.1047848474218</c:v>
                </c:pt>
                <c:pt idx="68">
                  <c:v>964.15914867789775</c:v>
                </c:pt>
                <c:pt idx="69">
                  <c:v>992.50202204550158</c:v>
                </c:pt>
                <c:pt idx="70">
                  <c:v>872.89029187428889</c:v>
                </c:pt>
                <c:pt idx="71">
                  <c:v>1077.1357376981041</c:v>
                </c:pt>
                <c:pt idx="72">
                  <c:v>995.42466520644371</c:v>
                </c:pt>
                <c:pt idx="73">
                  <c:v>1035.2413536451893</c:v>
                </c:pt>
                <c:pt idx="74">
                  <c:v>1078.5706033432139</c:v>
                </c:pt>
                <c:pt idx="75">
                  <c:v>978.9910709423624</c:v>
                </c:pt>
                <c:pt idx="76">
                  <c:v>1062.7489809517997</c:v>
                </c:pt>
                <c:pt idx="77">
                  <c:v>1088.906968815556</c:v>
                </c:pt>
                <c:pt idx="78">
                  <c:v>1149.0921719414664</c:v>
                </c:pt>
                <c:pt idx="79">
                  <c:v>930.51414748700427</c:v>
                </c:pt>
                <c:pt idx="80">
                  <c:v>1090.1023949154562</c:v>
                </c:pt>
                <c:pt idx="81">
                  <c:v>1083.8214392852844</c:v>
                </c:pt>
                <c:pt idx="82">
                  <c:v>1105.5622855533863</c:v>
                </c:pt>
                <c:pt idx="83">
                  <c:v>1275.3579525007619</c:v>
                </c:pt>
                <c:pt idx="84">
                  <c:v>1035.6651517356543</c:v>
                </c:pt>
                <c:pt idx="85">
                  <c:v>1049.0726269324048</c:v>
                </c:pt>
                <c:pt idx="86">
                  <c:v>1062.3886643043543</c:v>
                </c:pt>
                <c:pt idx="87">
                  <c:v>1063.0904314981292</c:v>
                </c:pt>
                <c:pt idx="88">
                  <c:v>1091.829508539194</c:v>
                </c:pt>
                <c:pt idx="89">
                  <c:v>1133.4720406801057</c:v>
                </c:pt>
                <c:pt idx="90">
                  <c:v>1230.1549694473611</c:v>
                </c:pt>
                <c:pt idx="91">
                  <c:v>1113.3004858426789</c:v>
                </c:pt>
                <c:pt idx="92">
                  <c:v>1226.6215275910715</c:v>
                </c:pt>
                <c:pt idx="93">
                  <c:v>1197.2151533650238</c:v>
                </c:pt>
                <c:pt idx="94">
                  <c:v>1113.9407829606757</c:v>
                </c:pt>
                <c:pt idx="95">
                  <c:v>1405.3295098756323</c:v>
                </c:pt>
                <c:pt idx="96">
                  <c:v>1464.9586299469156</c:v>
                </c:pt>
                <c:pt idx="97">
                  <c:v>1385.9587038240338</c:v>
                </c:pt>
                <c:pt idx="98">
                  <c:v>1483.5708488980631</c:v>
                </c:pt>
                <c:pt idx="99">
                  <c:v>1433.0068839179312</c:v>
                </c:pt>
              </c:numCache>
            </c:numRef>
          </c:val>
          <c:smooth val="0"/>
          <c:extLst>
            <c:ext xmlns:c16="http://schemas.microsoft.com/office/drawing/2014/chart" uri="{C3380CC4-5D6E-409C-BE32-E72D297353CC}">
              <c16:uniqueId val="{00000002-A381-4894-8C15-DCAABA3A70BB}"/>
            </c:ext>
          </c:extLst>
        </c:ser>
        <c:ser>
          <c:idx val="3"/>
          <c:order val="3"/>
          <c:tx>
            <c:strRef>
              <c:f>'גרף לדוח לקט'!$BD$5</c:f>
              <c:strCache>
                <c:ptCount val="1"/>
                <c:pt idx="0">
                  <c:v>הוצאה נורמטיבית</c:v>
                </c:pt>
              </c:strCache>
            </c:strRef>
          </c:tx>
          <c:spPr>
            <a:ln w="28575" cap="rnd">
              <a:solidFill>
                <a:srgbClr val="FFC000"/>
              </a:solidFill>
              <a:round/>
            </a:ln>
            <a:effectLst/>
          </c:spPr>
          <c:marker>
            <c:symbol val="none"/>
          </c:marker>
          <c:cat>
            <c:numRef>
              <c:f>'גרף לדוח לקט'!$AZ$6:$AZ$105</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'גרף לדוח לקט'!$BD$6:$BD$105</c:f>
              <c:numCache>
                <c:formatCode>0</c:formatCode>
                <c:ptCount val="100"/>
                <c:pt idx="0">
                  <c:v>720</c:v>
                </c:pt>
                <c:pt idx="1">
                  <c:v>720</c:v>
                </c:pt>
                <c:pt idx="2">
                  <c:v>720</c:v>
                </c:pt>
                <c:pt idx="3">
                  <c:v>720</c:v>
                </c:pt>
                <c:pt idx="4">
                  <c:v>720</c:v>
                </c:pt>
                <c:pt idx="5">
                  <c:v>720</c:v>
                </c:pt>
                <c:pt idx="6">
                  <c:v>720</c:v>
                </c:pt>
                <c:pt idx="7">
                  <c:v>720</c:v>
                </c:pt>
                <c:pt idx="8">
                  <c:v>720</c:v>
                </c:pt>
                <c:pt idx="9">
                  <c:v>720</c:v>
                </c:pt>
                <c:pt idx="10">
                  <c:v>720</c:v>
                </c:pt>
                <c:pt idx="11">
                  <c:v>720</c:v>
                </c:pt>
                <c:pt idx="12">
                  <c:v>720</c:v>
                </c:pt>
                <c:pt idx="13">
                  <c:v>720</c:v>
                </c:pt>
                <c:pt idx="14">
                  <c:v>720</c:v>
                </c:pt>
                <c:pt idx="15">
                  <c:v>720</c:v>
                </c:pt>
                <c:pt idx="16">
                  <c:v>720</c:v>
                </c:pt>
                <c:pt idx="17">
                  <c:v>720</c:v>
                </c:pt>
                <c:pt idx="18">
                  <c:v>720</c:v>
                </c:pt>
                <c:pt idx="19">
                  <c:v>720</c:v>
                </c:pt>
                <c:pt idx="20">
                  <c:v>720</c:v>
                </c:pt>
                <c:pt idx="21">
                  <c:v>720</c:v>
                </c:pt>
                <c:pt idx="22">
                  <c:v>720</c:v>
                </c:pt>
                <c:pt idx="23">
                  <c:v>720</c:v>
                </c:pt>
                <c:pt idx="24">
                  <c:v>720</c:v>
                </c:pt>
                <c:pt idx="25">
                  <c:v>720</c:v>
                </c:pt>
                <c:pt idx="26">
                  <c:v>720</c:v>
                </c:pt>
                <c:pt idx="27">
                  <c:v>720</c:v>
                </c:pt>
                <c:pt idx="28">
                  <c:v>720</c:v>
                </c:pt>
                <c:pt idx="29">
                  <c:v>720</c:v>
                </c:pt>
                <c:pt idx="30">
                  <c:v>720</c:v>
                </c:pt>
                <c:pt idx="31">
                  <c:v>720</c:v>
                </c:pt>
                <c:pt idx="32">
                  <c:v>720</c:v>
                </c:pt>
                <c:pt idx="33">
                  <c:v>720</c:v>
                </c:pt>
                <c:pt idx="34">
                  <c:v>720</c:v>
                </c:pt>
                <c:pt idx="35">
                  <c:v>720</c:v>
                </c:pt>
                <c:pt idx="36">
                  <c:v>720</c:v>
                </c:pt>
                <c:pt idx="37">
                  <c:v>720</c:v>
                </c:pt>
                <c:pt idx="38">
                  <c:v>720</c:v>
                </c:pt>
                <c:pt idx="39">
                  <c:v>720</c:v>
                </c:pt>
                <c:pt idx="40">
                  <c:v>720</c:v>
                </c:pt>
                <c:pt idx="41">
                  <c:v>720</c:v>
                </c:pt>
                <c:pt idx="42">
                  <c:v>720</c:v>
                </c:pt>
                <c:pt idx="43">
                  <c:v>720</c:v>
                </c:pt>
                <c:pt idx="44">
                  <c:v>720</c:v>
                </c:pt>
                <c:pt idx="45">
                  <c:v>720</c:v>
                </c:pt>
                <c:pt idx="46">
                  <c:v>720</c:v>
                </c:pt>
                <c:pt idx="47">
                  <c:v>720</c:v>
                </c:pt>
                <c:pt idx="48">
                  <c:v>720</c:v>
                </c:pt>
                <c:pt idx="49">
                  <c:v>720</c:v>
                </c:pt>
                <c:pt idx="50">
                  <c:v>720</c:v>
                </c:pt>
                <c:pt idx="51">
                  <c:v>720</c:v>
                </c:pt>
                <c:pt idx="52">
                  <c:v>720</c:v>
                </c:pt>
                <c:pt idx="53">
                  <c:v>720</c:v>
                </c:pt>
                <c:pt idx="54">
                  <c:v>720</c:v>
                </c:pt>
                <c:pt idx="55">
                  <c:v>720</c:v>
                </c:pt>
                <c:pt idx="56">
                  <c:v>720</c:v>
                </c:pt>
                <c:pt idx="57">
                  <c:v>720</c:v>
                </c:pt>
                <c:pt idx="58">
                  <c:v>720</c:v>
                </c:pt>
                <c:pt idx="59">
                  <c:v>720</c:v>
                </c:pt>
                <c:pt idx="60">
                  <c:v>720</c:v>
                </c:pt>
                <c:pt idx="61">
                  <c:v>720</c:v>
                </c:pt>
                <c:pt idx="62">
                  <c:v>720</c:v>
                </c:pt>
                <c:pt idx="63">
                  <c:v>720</c:v>
                </c:pt>
                <c:pt idx="64">
                  <c:v>720</c:v>
                </c:pt>
                <c:pt idx="65">
                  <c:v>720</c:v>
                </c:pt>
                <c:pt idx="66">
                  <c:v>720</c:v>
                </c:pt>
                <c:pt idx="67">
                  <c:v>720</c:v>
                </c:pt>
                <c:pt idx="68">
                  <c:v>720</c:v>
                </c:pt>
                <c:pt idx="69">
                  <c:v>720</c:v>
                </c:pt>
                <c:pt idx="70">
                  <c:v>720</c:v>
                </c:pt>
                <c:pt idx="71">
                  <c:v>720</c:v>
                </c:pt>
                <c:pt idx="72">
                  <c:v>720</c:v>
                </c:pt>
                <c:pt idx="73">
                  <c:v>720</c:v>
                </c:pt>
                <c:pt idx="74">
                  <c:v>720</c:v>
                </c:pt>
                <c:pt idx="75">
                  <c:v>720</c:v>
                </c:pt>
                <c:pt idx="76">
                  <c:v>720</c:v>
                </c:pt>
                <c:pt idx="77">
                  <c:v>720</c:v>
                </c:pt>
                <c:pt idx="78">
                  <c:v>720</c:v>
                </c:pt>
                <c:pt idx="79">
                  <c:v>720</c:v>
                </c:pt>
                <c:pt idx="80">
                  <c:v>720</c:v>
                </c:pt>
                <c:pt idx="81">
                  <c:v>720</c:v>
                </c:pt>
                <c:pt idx="82">
                  <c:v>720</c:v>
                </c:pt>
                <c:pt idx="83">
                  <c:v>720</c:v>
                </c:pt>
                <c:pt idx="84">
                  <c:v>720</c:v>
                </c:pt>
                <c:pt idx="85">
                  <c:v>720</c:v>
                </c:pt>
                <c:pt idx="86">
                  <c:v>720</c:v>
                </c:pt>
                <c:pt idx="87">
                  <c:v>720</c:v>
                </c:pt>
                <c:pt idx="88">
                  <c:v>720</c:v>
                </c:pt>
                <c:pt idx="89">
                  <c:v>720</c:v>
                </c:pt>
                <c:pt idx="90">
                  <c:v>720</c:v>
                </c:pt>
                <c:pt idx="91">
                  <c:v>720</c:v>
                </c:pt>
                <c:pt idx="92">
                  <c:v>720</c:v>
                </c:pt>
                <c:pt idx="93">
                  <c:v>720</c:v>
                </c:pt>
                <c:pt idx="94">
                  <c:v>720</c:v>
                </c:pt>
                <c:pt idx="95">
                  <c:v>720</c:v>
                </c:pt>
                <c:pt idx="96">
                  <c:v>720</c:v>
                </c:pt>
                <c:pt idx="97">
                  <c:v>720</c:v>
                </c:pt>
                <c:pt idx="98">
                  <c:v>720</c:v>
                </c:pt>
                <c:pt idx="99">
                  <c:v>720</c:v>
                </c:pt>
              </c:numCache>
            </c:numRef>
          </c:val>
          <c:smooth val="0"/>
          <c:extLst>
            <c:ext xmlns:c16="http://schemas.microsoft.com/office/drawing/2014/chart" uri="{C3380CC4-5D6E-409C-BE32-E72D297353CC}">
              <c16:uniqueId val="{00000003-A381-4894-8C15-DCAABA3A70BB}"/>
            </c:ext>
          </c:extLst>
        </c:ser>
        <c:dLbls>
          <c:showLegendKey val="0"/>
          <c:showVal val="0"/>
          <c:showCatName val="0"/>
          <c:showSerName val="0"/>
          <c:showPercent val="0"/>
          <c:showBubbleSize val="0"/>
        </c:dLbls>
        <c:marker val="1"/>
        <c:smooth val="0"/>
        <c:axId val="435997696"/>
        <c:axId val="451380352"/>
      </c:lineChart>
      <c:dateAx>
        <c:axId val="435997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מאיון</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380352"/>
        <c:crosses val="autoZero"/>
        <c:auto val="0"/>
        <c:lblOffset val="100"/>
        <c:baseTimeUnit val="days"/>
        <c:majorUnit val="10"/>
        <c:majorTimeUnit val="days"/>
      </c:dateAx>
      <c:valAx>
        <c:axId val="451380352"/>
        <c:scaling>
          <c:orientation val="minMax"/>
          <c:max val="160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b="0" i="0" baseline="0">
                    <a:effectLst/>
                  </a:rPr>
                  <a:t>ש"ח לחודש הוצאה לנפש סטנדרטית</a:t>
                </a:r>
                <a:endParaRPr lang="he-IL" sz="600">
                  <a:effectLst/>
                </a:endParaRPr>
              </a:p>
            </c:rich>
          </c:tx>
          <c:layout>
            <c:manualLayout>
              <c:xMode val="edge"/>
              <c:yMode val="edge"/>
              <c:x val="2.0000003149606795E-2"/>
              <c:y val="2.5695826867129942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99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Pt>
            <c:idx val="1"/>
            <c:invertIfNegative val="0"/>
            <c:bubble3D val="0"/>
            <c:spPr>
              <a:noFill/>
            </c:spPr>
            <c:extLst>
              <c:ext xmlns:c16="http://schemas.microsoft.com/office/drawing/2014/chart" uri="{C3380CC4-5D6E-409C-BE32-E72D297353CC}">
                <c16:uniqueId val="{00000001-C1A2-4ED8-A0FB-3037ECA6CF1C}"/>
              </c:ext>
            </c:extLst>
          </c:dPt>
          <c:dPt>
            <c:idx val="2"/>
            <c:invertIfNegative val="0"/>
            <c:bubble3D val="0"/>
            <c:spPr>
              <a:noFill/>
            </c:spPr>
            <c:extLst>
              <c:ext xmlns:c16="http://schemas.microsoft.com/office/drawing/2014/chart" uri="{C3380CC4-5D6E-409C-BE32-E72D297353CC}">
                <c16:uniqueId val="{00000003-C1A2-4ED8-A0FB-3037ECA6CF1C}"/>
              </c:ext>
            </c:extLst>
          </c:dPt>
          <c:dPt>
            <c:idx val="3"/>
            <c:invertIfNegative val="0"/>
            <c:bubble3D val="0"/>
            <c:spPr>
              <a:noFill/>
            </c:spPr>
            <c:extLst>
              <c:ext xmlns:c16="http://schemas.microsoft.com/office/drawing/2014/chart" uri="{C3380CC4-5D6E-409C-BE32-E72D297353CC}">
                <c16:uniqueId val="{00000005-C1A2-4ED8-A0FB-3037ECA6CF1C}"/>
              </c:ext>
            </c:extLst>
          </c:dPt>
          <c:dPt>
            <c:idx val="4"/>
            <c:invertIfNegative val="0"/>
            <c:bubble3D val="0"/>
            <c:spPr>
              <a:noFill/>
            </c:spPr>
            <c:extLst>
              <c:ext xmlns:c16="http://schemas.microsoft.com/office/drawing/2014/chart" uri="{C3380CC4-5D6E-409C-BE32-E72D297353CC}">
                <c16:uniqueId val="{00000007-C1A2-4ED8-A0FB-3037ECA6CF1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2017'!$AC$148:$AC$152</c:f>
              <c:numCache>
                <c:formatCode>0%</c:formatCode>
                <c:ptCount val="5"/>
                <c:pt idx="0">
                  <c:v>9.0409352320101513E-2</c:v>
                </c:pt>
                <c:pt idx="1">
                  <c:v>9.0409352320101513E-2</c:v>
                </c:pt>
                <c:pt idx="2">
                  <c:v>9.0409352320101513E-2</c:v>
                </c:pt>
                <c:pt idx="3">
                  <c:v>9.0409352320101513E-2</c:v>
                </c:pt>
                <c:pt idx="4">
                  <c:v>9.0409352320101513E-2</c:v>
                </c:pt>
              </c:numCache>
            </c:numRef>
          </c:val>
          <c:extLst>
            <c:ext xmlns:c16="http://schemas.microsoft.com/office/drawing/2014/chart" uri="{C3380CC4-5D6E-409C-BE32-E72D297353CC}">
              <c16:uniqueId val="{00000009-C1A2-4ED8-A0FB-3037ECA6CF1C}"/>
            </c:ext>
          </c:extLst>
        </c:ser>
        <c:ser>
          <c:idx val="1"/>
          <c:order val="1"/>
          <c:invertIfNegative val="0"/>
          <c:dPt>
            <c:idx val="2"/>
            <c:invertIfNegative val="0"/>
            <c:bubble3D val="0"/>
            <c:spPr>
              <a:noFill/>
            </c:spPr>
            <c:extLst>
              <c:ext xmlns:c16="http://schemas.microsoft.com/office/drawing/2014/chart" uri="{C3380CC4-5D6E-409C-BE32-E72D297353CC}">
                <c16:uniqueId val="{0000000B-C1A2-4ED8-A0FB-3037ECA6CF1C}"/>
              </c:ext>
            </c:extLst>
          </c:dPt>
          <c:dPt>
            <c:idx val="3"/>
            <c:invertIfNegative val="0"/>
            <c:bubble3D val="0"/>
            <c:spPr>
              <a:noFill/>
            </c:spPr>
            <c:extLst>
              <c:ext xmlns:c16="http://schemas.microsoft.com/office/drawing/2014/chart" uri="{C3380CC4-5D6E-409C-BE32-E72D297353CC}">
                <c16:uniqueId val="{0000000D-C1A2-4ED8-A0FB-3037ECA6CF1C}"/>
              </c:ext>
            </c:extLst>
          </c:dPt>
          <c:dPt>
            <c:idx val="4"/>
            <c:invertIfNegative val="0"/>
            <c:bubble3D val="0"/>
            <c:spPr>
              <a:noFill/>
            </c:spPr>
            <c:extLst>
              <c:ext xmlns:c16="http://schemas.microsoft.com/office/drawing/2014/chart" uri="{C3380CC4-5D6E-409C-BE32-E72D297353CC}">
                <c16:uniqueId val="{0000000F-C1A2-4ED8-A0FB-3037ECA6CF1C}"/>
              </c:ext>
            </c:extLst>
          </c:dPt>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2017'!$AD$148:$AD$152</c:f>
              <c:numCache>
                <c:formatCode>0%</c:formatCode>
                <c:ptCount val="5"/>
                <c:pt idx="1">
                  <c:v>3.3298227743804219E-2</c:v>
                </c:pt>
                <c:pt idx="2">
                  <c:v>3.3298227743804219E-2</c:v>
                </c:pt>
                <c:pt idx="3">
                  <c:v>3.3298227743804219E-2</c:v>
                </c:pt>
                <c:pt idx="4">
                  <c:v>3.3298227743804219E-2</c:v>
                </c:pt>
              </c:numCache>
            </c:numRef>
          </c:val>
          <c:extLst>
            <c:ext xmlns:c16="http://schemas.microsoft.com/office/drawing/2014/chart" uri="{C3380CC4-5D6E-409C-BE32-E72D297353CC}">
              <c16:uniqueId val="{00000011-C1A2-4ED8-A0FB-3037ECA6CF1C}"/>
            </c:ext>
          </c:extLst>
        </c:ser>
        <c:ser>
          <c:idx val="2"/>
          <c:order val="2"/>
          <c:invertIfNegative val="0"/>
          <c:dPt>
            <c:idx val="3"/>
            <c:invertIfNegative val="0"/>
            <c:bubble3D val="0"/>
            <c:spPr>
              <a:noFill/>
            </c:spPr>
            <c:extLst>
              <c:ext xmlns:c16="http://schemas.microsoft.com/office/drawing/2014/chart" uri="{C3380CC4-5D6E-409C-BE32-E72D297353CC}">
                <c16:uniqueId val="{00000013-C1A2-4ED8-A0FB-3037ECA6CF1C}"/>
              </c:ext>
            </c:extLst>
          </c:dPt>
          <c:dPt>
            <c:idx val="4"/>
            <c:invertIfNegative val="0"/>
            <c:bubble3D val="0"/>
            <c:spPr>
              <a:noFill/>
            </c:spPr>
            <c:extLst>
              <c:ext xmlns:c16="http://schemas.microsoft.com/office/drawing/2014/chart" uri="{C3380CC4-5D6E-409C-BE32-E72D297353CC}">
                <c16:uniqueId val="{00000015-C1A2-4ED8-A0FB-3037ECA6CF1C}"/>
              </c:ext>
            </c:extLst>
          </c:dPt>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2017'!$AE$148:$AE$152</c:f>
              <c:numCache>
                <c:formatCode>General</c:formatCode>
                <c:ptCount val="5"/>
                <c:pt idx="2" formatCode="0%">
                  <c:v>2.7591062189410043E-2</c:v>
                </c:pt>
                <c:pt idx="3" formatCode="0%">
                  <c:v>2.7591062189410043E-2</c:v>
                </c:pt>
                <c:pt idx="4" formatCode="0%">
                  <c:v>2.7591062189410043E-2</c:v>
                </c:pt>
              </c:numCache>
            </c:numRef>
          </c:val>
          <c:extLst>
            <c:ext xmlns:c16="http://schemas.microsoft.com/office/drawing/2014/chart" uri="{C3380CC4-5D6E-409C-BE32-E72D297353CC}">
              <c16:uniqueId val="{00000017-C1A2-4ED8-A0FB-3037ECA6CF1C}"/>
            </c:ext>
          </c:extLst>
        </c:ser>
        <c:ser>
          <c:idx val="3"/>
          <c:order val="3"/>
          <c:invertIfNegative val="0"/>
          <c:dPt>
            <c:idx val="4"/>
            <c:invertIfNegative val="0"/>
            <c:bubble3D val="0"/>
            <c:spPr>
              <a:noFill/>
            </c:spPr>
            <c:extLst>
              <c:ext xmlns:c16="http://schemas.microsoft.com/office/drawing/2014/chart" uri="{C3380CC4-5D6E-409C-BE32-E72D297353CC}">
                <c16:uniqueId val="{00000019-C1A2-4ED8-A0FB-3037ECA6CF1C}"/>
              </c:ext>
            </c:extLst>
          </c:dPt>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1A2-4ED8-A0FB-3037ECA6CF1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2017'!$AF$148:$AF$152</c:f>
              <c:numCache>
                <c:formatCode>General</c:formatCode>
                <c:ptCount val="5"/>
                <c:pt idx="3" formatCode="0%">
                  <c:v>5.7489580969854549E-2</c:v>
                </c:pt>
                <c:pt idx="4" formatCode="0%">
                  <c:v>5.7489580969854549E-2</c:v>
                </c:pt>
              </c:numCache>
            </c:numRef>
          </c:val>
          <c:extLst>
            <c:ext xmlns:c16="http://schemas.microsoft.com/office/drawing/2014/chart" uri="{C3380CC4-5D6E-409C-BE32-E72D297353CC}">
              <c16:uniqueId val="{0000001B-C1A2-4ED8-A0FB-3037ECA6CF1C}"/>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'טבלאות לתקציר הדוח 2017'!$AB$148:$AB$152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2017'!$AG$148:$AG$152</c:f>
              <c:numCache>
                <c:formatCode>General</c:formatCode>
                <c:ptCount val="5"/>
                <c:pt idx="4" formatCode="0%">
                  <c:v>0.15955521305627918</c:v>
                </c:pt>
              </c:numCache>
            </c:numRef>
          </c:val>
          <c:extLst>
            <c:ext xmlns:c16="http://schemas.microsoft.com/office/drawing/2014/chart" uri="{C3380CC4-5D6E-409C-BE32-E72D297353CC}">
              <c16:uniqueId val="{0000001C-C1A2-4ED8-A0FB-3037ECA6CF1C}"/>
            </c:ext>
          </c:extLst>
        </c:ser>
        <c:dLbls>
          <c:showLegendKey val="0"/>
          <c:showVal val="0"/>
          <c:showCatName val="0"/>
          <c:showSerName val="0"/>
          <c:showPercent val="0"/>
          <c:showBubbleSize val="0"/>
        </c:dLbls>
        <c:gapWidth val="50"/>
        <c:overlap val="100"/>
        <c:axId val="420533376"/>
        <c:axId val="420689792"/>
      </c:barChart>
      <c:catAx>
        <c:axId val="420533376"/>
        <c:scaling>
          <c:orientation val="minMax"/>
        </c:scaling>
        <c:delete val="0"/>
        <c:axPos val="b"/>
        <c:numFmt formatCode="General" sourceLinked="0"/>
        <c:majorTickMark val="out"/>
        <c:minorTickMark val="none"/>
        <c:tickLblPos val="nextTo"/>
        <c:crossAx val="420689792"/>
        <c:crosses val="autoZero"/>
        <c:auto val="1"/>
        <c:lblAlgn val="ctr"/>
        <c:lblOffset val="100"/>
        <c:noMultiLvlLbl val="0"/>
      </c:catAx>
      <c:valAx>
        <c:axId val="420689792"/>
        <c:scaling>
          <c:orientation val="minMax"/>
        </c:scaling>
        <c:delete val="0"/>
        <c:axPos val="l"/>
        <c:majorGridlines/>
        <c:title>
          <c:tx>
            <c:rich>
              <a:bodyPr rot="-5400000" vert="horz"/>
              <a:lstStyle/>
              <a:p>
                <a:pPr>
                  <a:defRPr/>
                </a:pPr>
                <a:r>
                  <a:rPr lang="he-IL"/>
                  <a:t>שיעור אובדן</a:t>
                </a:r>
              </a:p>
            </c:rich>
          </c:tx>
          <c:overlay val="0"/>
        </c:title>
        <c:numFmt formatCode="0%" sourceLinked="1"/>
        <c:majorTickMark val="out"/>
        <c:minorTickMark val="none"/>
        <c:tickLblPos val="nextTo"/>
        <c:crossAx val="42053337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גרפים!$A$133:$A$143</c:f>
              <c:strCache>
                <c:ptCount val="11"/>
                <c:pt idx="0">
                  <c:v>ירקות</c:v>
                </c:pt>
                <c:pt idx="1">
                  <c:v>פירות</c:v>
                </c:pt>
                <c:pt idx="2">
                  <c:v>מזון מבושל</c:v>
                </c:pt>
                <c:pt idx="3">
                  <c:v>לחם ומוצרי מאפה</c:v>
                </c:pt>
                <c:pt idx="4">
                  <c:v>סלטים ארוזים</c:v>
                </c:pt>
                <c:pt idx="5">
                  <c:v>בשר ועוף</c:v>
                </c:pt>
                <c:pt idx="6">
                  <c:v>דגנים</c:v>
                </c:pt>
                <c:pt idx="7">
                  <c:v>חלב ומוצריו</c:v>
                </c:pt>
                <c:pt idx="8">
                  <c:v>קטניות </c:v>
                </c:pt>
                <c:pt idx="9">
                  <c:v>דגים ומאכלי ים</c:v>
                </c:pt>
                <c:pt idx="10">
                  <c:v>ביצים</c:v>
                </c:pt>
              </c:strCache>
            </c:strRef>
          </c:cat>
          <c:val>
            <c:numRef>
              <c:f>גרפים!$C$133:$C$143</c:f>
              <c:numCache>
                <c:formatCode>0%</c:formatCode>
                <c:ptCount val="11"/>
                <c:pt idx="0">
                  <c:v>0.25137370950938626</c:v>
                </c:pt>
                <c:pt idx="1">
                  <c:v>0.21201045346853006</c:v>
                </c:pt>
                <c:pt idx="2">
                  <c:v>0.20071130967562095</c:v>
                </c:pt>
                <c:pt idx="3">
                  <c:v>0.1583413802249517</c:v>
                </c:pt>
                <c:pt idx="4">
                  <c:v>0.12631106609243528</c:v>
                </c:pt>
                <c:pt idx="5">
                  <c:v>0.12136689292732593</c:v>
                </c:pt>
                <c:pt idx="6">
                  <c:v>0.11328775155503849</c:v>
                </c:pt>
                <c:pt idx="7">
                  <c:v>6.5734271966605862E-2</c:v>
                </c:pt>
                <c:pt idx="8">
                  <c:v>6.4965723483848076E-2</c:v>
                </c:pt>
                <c:pt idx="9">
                  <c:v>6.3475949334109077E-2</c:v>
                </c:pt>
                <c:pt idx="10">
                  <c:v>4.9924903970647583E-2</c:v>
                </c:pt>
              </c:numCache>
            </c:numRef>
          </c:val>
          <c:extLst>
            <c:ext xmlns:c16="http://schemas.microsoft.com/office/drawing/2014/chart" uri="{C3380CC4-5D6E-409C-BE32-E72D297353CC}">
              <c16:uniqueId val="{00000000-9023-42BE-8AF1-81DCCED47711}"/>
            </c:ext>
          </c:extLst>
        </c:ser>
        <c:dLbls>
          <c:showLegendKey val="0"/>
          <c:showVal val="0"/>
          <c:showCatName val="0"/>
          <c:showSerName val="0"/>
          <c:showPercent val="0"/>
          <c:showBubbleSize val="0"/>
        </c:dLbls>
        <c:gapWidth val="50"/>
        <c:overlap val="-27"/>
        <c:axId val="96125312"/>
        <c:axId val="97783168"/>
      </c:barChart>
      <c:catAx>
        <c:axId val="9612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783168"/>
        <c:crosses val="autoZero"/>
        <c:auto val="1"/>
        <c:lblAlgn val="ctr"/>
        <c:lblOffset val="100"/>
        <c:noMultiLvlLbl val="0"/>
      </c:catAx>
      <c:valAx>
        <c:axId val="97783168"/>
        <c:scaling>
          <c:orientation val="minMax"/>
          <c:max val="0.2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25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55B2-41EB-845A-4ABA7458656D}"/>
              </c:ext>
            </c:extLst>
          </c:dPt>
          <c:cat>
            <c:strRef>
              <c:f>'אובדן מזון בינלאומי'!$A$24:$A$31</c:f>
              <c:strCache>
                <c:ptCount val="8"/>
                <c:pt idx="0">
                  <c:v>ארה"ב</c:v>
                </c:pt>
                <c:pt idx="1">
                  <c:v>ישראל</c:v>
                </c:pt>
                <c:pt idx="2">
                  <c:v>אירופה</c:v>
                </c:pt>
                <c:pt idx="3">
                  <c:v>יפן, סין וד' קוריאה</c:v>
                </c:pt>
                <c:pt idx="4">
                  <c:v>צ' אפריקה ומערב אסיה</c:v>
                </c:pt>
                <c:pt idx="5">
                  <c:v>ד' אמריקה</c:v>
                </c:pt>
                <c:pt idx="6">
                  <c:v>ד' מזרח אסיה</c:v>
                </c:pt>
                <c:pt idx="7">
                  <c:v>אפריקה</c:v>
                </c:pt>
              </c:strCache>
            </c:strRef>
          </c:cat>
          <c:val>
            <c:numRef>
              <c:f>'אובדן מזון בינלאומי'!$B$24:$B$31</c:f>
              <c:numCache>
                <c:formatCode>0%</c:formatCode>
                <c:ptCount val="8"/>
                <c:pt idx="0">
                  <c:v>0.28000000000000003</c:v>
                </c:pt>
                <c:pt idx="1">
                  <c:v>0.23156509718742055</c:v>
                </c:pt>
                <c:pt idx="2">
                  <c:v>0.19</c:v>
                </c:pt>
                <c:pt idx="3">
                  <c:v>0.15</c:v>
                </c:pt>
                <c:pt idx="4">
                  <c:v>0.12</c:v>
                </c:pt>
                <c:pt idx="5">
                  <c:v>0.1</c:v>
                </c:pt>
                <c:pt idx="6">
                  <c:v>7.0000000000000007E-2</c:v>
                </c:pt>
                <c:pt idx="7">
                  <c:v>0.05</c:v>
                </c:pt>
              </c:numCache>
            </c:numRef>
          </c:val>
          <c:extLst>
            <c:ext xmlns:c16="http://schemas.microsoft.com/office/drawing/2014/chart" uri="{C3380CC4-5D6E-409C-BE32-E72D297353CC}">
              <c16:uniqueId val="{00000002-55B2-41EB-845A-4ABA7458656D}"/>
            </c:ext>
          </c:extLst>
        </c:ser>
        <c:dLbls>
          <c:showLegendKey val="0"/>
          <c:showVal val="0"/>
          <c:showCatName val="0"/>
          <c:showSerName val="0"/>
          <c:showPercent val="0"/>
          <c:showBubbleSize val="0"/>
        </c:dLbls>
        <c:gapWidth val="50"/>
        <c:overlap val="-27"/>
        <c:axId val="123964800"/>
        <c:axId val="137405568"/>
      </c:barChart>
      <c:catAx>
        <c:axId val="12396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37405568"/>
        <c:crosses val="autoZero"/>
        <c:auto val="1"/>
        <c:lblAlgn val="ctr"/>
        <c:lblOffset val="100"/>
        <c:noMultiLvlLbl val="0"/>
      </c:catAx>
      <c:valAx>
        <c:axId val="137405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u="none" strike="noStrike" baseline="0">
                    <a:effectLst/>
                  </a:rPr>
                  <a:t>Rate of loss: Fruits &amp; Vegetables </a:t>
                </a:r>
                <a:endParaRPr lang="he-IL" sz="700"/>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23964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764D-471A-840A-A7E366248F63}"/>
              </c:ext>
            </c:extLst>
          </c:dPt>
          <c:cat>
            <c:strRef>
              <c:f>'אובדן מזון בינלאומי'!$A$36:$A$43</c:f>
              <c:strCache>
                <c:ptCount val="8"/>
                <c:pt idx="0">
                  <c:v>ארה"ב</c:v>
                </c:pt>
                <c:pt idx="1">
                  <c:v>אירופה</c:v>
                </c:pt>
                <c:pt idx="2">
                  <c:v>יפן, סין וד' קוריאה</c:v>
                </c:pt>
                <c:pt idx="3">
                  <c:v>ישראל</c:v>
                </c:pt>
                <c:pt idx="4">
                  <c:v>צ' אפריקה ומערב אסיה</c:v>
                </c:pt>
                <c:pt idx="5">
                  <c:v>ד' אמריקה</c:v>
                </c:pt>
                <c:pt idx="6">
                  <c:v>ד' מזרח אסיה</c:v>
                </c:pt>
                <c:pt idx="7">
                  <c:v>אפריקה</c:v>
                </c:pt>
              </c:strCache>
            </c:strRef>
          </c:cat>
          <c:val>
            <c:numRef>
              <c:f>'אובדן מזון בינלאומי'!$B$36:$B$43</c:f>
              <c:numCache>
                <c:formatCode>0%</c:formatCode>
                <c:ptCount val="8"/>
                <c:pt idx="0">
                  <c:v>0.27</c:v>
                </c:pt>
                <c:pt idx="1">
                  <c:v>0.25</c:v>
                </c:pt>
                <c:pt idx="2">
                  <c:v>0.2</c:v>
                </c:pt>
                <c:pt idx="3">
                  <c:v>0.13881777688334712</c:v>
                </c:pt>
                <c:pt idx="4">
                  <c:v>0.12</c:v>
                </c:pt>
                <c:pt idx="5">
                  <c:v>0.1</c:v>
                </c:pt>
                <c:pt idx="6">
                  <c:v>0.03</c:v>
                </c:pt>
                <c:pt idx="7">
                  <c:v>0.01</c:v>
                </c:pt>
              </c:numCache>
            </c:numRef>
          </c:val>
          <c:extLst>
            <c:ext xmlns:c16="http://schemas.microsoft.com/office/drawing/2014/chart" uri="{C3380CC4-5D6E-409C-BE32-E72D297353CC}">
              <c16:uniqueId val="{00000002-764D-471A-840A-A7E366248F63}"/>
            </c:ext>
          </c:extLst>
        </c:ser>
        <c:dLbls>
          <c:showLegendKey val="0"/>
          <c:showVal val="0"/>
          <c:showCatName val="0"/>
          <c:showSerName val="0"/>
          <c:showPercent val="0"/>
          <c:showBubbleSize val="0"/>
        </c:dLbls>
        <c:gapWidth val="50"/>
        <c:overlap val="-27"/>
        <c:axId val="137422720"/>
        <c:axId val="137424256"/>
      </c:barChart>
      <c:catAx>
        <c:axId val="13742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37424256"/>
        <c:crosses val="autoZero"/>
        <c:auto val="1"/>
        <c:lblAlgn val="ctr"/>
        <c:lblOffset val="100"/>
        <c:noMultiLvlLbl val="0"/>
      </c:catAx>
      <c:valAx>
        <c:axId val="13742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u="none" strike="noStrike" baseline="0">
                    <a:effectLst/>
                  </a:rPr>
                  <a:t>Rate of loss: Legumes &amp; Grains </a:t>
                </a:r>
                <a:endParaRPr lang="he-IL" sz="700"/>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37422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rgbClr val="C00000"/>
              </a:solidFill>
              <a:ln>
                <a:noFill/>
              </a:ln>
              <a:effectLst/>
            </c:spPr>
            <c:extLst>
              <c:ext xmlns:c16="http://schemas.microsoft.com/office/drawing/2014/chart" uri="{C3380CC4-5D6E-409C-BE32-E72D297353CC}">
                <c16:uniqueId val="{00000001-047C-4090-AFAC-7604205DC977}"/>
              </c:ext>
            </c:extLst>
          </c:dPt>
          <c:cat>
            <c:strRef>
              <c:f>'אובדן מזון בינלאומי'!$A$49:$A$56</c:f>
              <c:strCache>
                <c:ptCount val="8"/>
                <c:pt idx="0">
                  <c:v>ארה"ב</c:v>
                </c:pt>
                <c:pt idx="1">
                  <c:v>אירופה</c:v>
                </c:pt>
                <c:pt idx="2">
                  <c:v>ישראל</c:v>
                </c:pt>
                <c:pt idx="3">
                  <c:v>יפן, סין וד' קוריאה</c:v>
                </c:pt>
                <c:pt idx="4">
                  <c:v>צ' אפריקה ומערב אסיה</c:v>
                </c:pt>
                <c:pt idx="5">
                  <c:v>ד' אמריקה</c:v>
                </c:pt>
                <c:pt idx="6">
                  <c:v>ד' מזרח אסיה</c:v>
                </c:pt>
                <c:pt idx="7">
                  <c:v>אפריקה</c:v>
                </c:pt>
              </c:strCache>
            </c:strRef>
          </c:cat>
          <c:val>
            <c:numRef>
              <c:f>'אובדן מזון בינלאומי'!$B$49:$B$56</c:f>
              <c:numCache>
                <c:formatCode>0%</c:formatCode>
                <c:ptCount val="8"/>
                <c:pt idx="0">
                  <c:v>0.13156484498143717</c:v>
                </c:pt>
                <c:pt idx="1">
                  <c:v>0.11</c:v>
                </c:pt>
                <c:pt idx="2">
                  <c:v>0.08</c:v>
                </c:pt>
                <c:pt idx="3">
                  <c:v>0.08</c:v>
                </c:pt>
                <c:pt idx="4">
                  <c:v>0.08</c:v>
                </c:pt>
                <c:pt idx="5">
                  <c:v>5.8039559547142086E-2</c:v>
                </c:pt>
                <c:pt idx="6">
                  <c:v>3.8039559547142082E-2</c:v>
                </c:pt>
                <c:pt idx="7">
                  <c:v>0.02</c:v>
                </c:pt>
              </c:numCache>
            </c:numRef>
          </c:val>
          <c:extLst>
            <c:ext xmlns:c16="http://schemas.microsoft.com/office/drawing/2014/chart" uri="{C3380CC4-5D6E-409C-BE32-E72D297353CC}">
              <c16:uniqueId val="{00000002-047C-4090-AFAC-7604205DC977}"/>
            </c:ext>
          </c:extLst>
        </c:ser>
        <c:dLbls>
          <c:showLegendKey val="0"/>
          <c:showVal val="0"/>
          <c:showCatName val="0"/>
          <c:showSerName val="0"/>
          <c:showPercent val="0"/>
          <c:showBubbleSize val="0"/>
        </c:dLbls>
        <c:gapWidth val="50"/>
        <c:overlap val="-27"/>
        <c:axId val="148947328"/>
        <c:axId val="148948864"/>
      </c:barChart>
      <c:catAx>
        <c:axId val="1489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8948864"/>
        <c:crosses val="autoZero"/>
        <c:auto val="1"/>
        <c:lblAlgn val="ctr"/>
        <c:lblOffset val="100"/>
        <c:noMultiLvlLbl val="0"/>
      </c:catAx>
      <c:valAx>
        <c:axId val="148948864"/>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u="none" strike="noStrike" baseline="0">
                    <a:effectLst/>
                  </a:rPr>
                  <a:t>Rate of loss: Meat, Eggs &amp; Fish </a:t>
                </a:r>
                <a:endParaRPr lang="he-IL" sz="700"/>
              </a:p>
            </c:rich>
          </c:tx>
          <c:layout>
            <c:manualLayout>
              <c:xMode val="edge"/>
              <c:yMode val="edge"/>
              <c:x val="5.0597976080956765E-2"/>
              <c:y val="3.819709702062643E-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48947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A720-41BA-A178-6D0DD9E0D649}"/>
              </c:ext>
            </c:extLst>
          </c:dPt>
          <c:cat>
            <c:strRef>
              <c:f>'אובדן מזון בינלאומי'!$A$59:$A$66</c:f>
              <c:strCache>
                <c:ptCount val="8"/>
                <c:pt idx="0">
                  <c:v>ארה"ב</c:v>
                </c:pt>
                <c:pt idx="1">
                  <c:v>ישראל</c:v>
                </c:pt>
                <c:pt idx="2">
                  <c:v>אירופה</c:v>
                </c:pt>
                <c:pt idx="3">
                  <c:v>יפן, סין וד' קוריאה</c:v>
                </c:pt>
                <c:pt idx="4">
                  <c:v>ד' אמריקה</c:v>
                </c:pt>
                <c:pt idx="5">
                  <c:v>צ' אפריקה ומערב אסיה</c:v>
                </c:pt>
                <c:pt idx="6">
                  <c:v>ד' מזרח אסיה</c:v>
                </c:pt>
                <c:pt idx="7">
                  <c:v>אפריקה</c:v>
                </c:pt>
              </c:strCache>
            </c:strRef>
          </c:cat>
          <c:val>
            <c:numRef>
              <c:f>'אובדן מזון בינלאומי'!$B$59:$B$66</c:f>
              <c:numCache>
                <c:formatCode>0%</c:formatCode>
                <c:ptCount val="8"/>
                <c:pt idx="0">
                  <c:v>0.15</c:v>
                </c:pt>
                <c:pt idx="1">
                  <c:v>7.0000000000000007E-2</c:v>
                </c:pt>
                <c:pt idx="2">
                  <c:v>7.0000000000000007E-2</c:v>
                </c:pt>
                <c:pt idx="3">
                  <c:v>0.05</c:v>
                </c:pt>
                <c:pt idx="4">
                  <c:v>0.04</c:v>
                </c:pt>
                <c:pt idx="5">
                  <c:v>0.02</c:v>
                </c:pt>
                <c:pt idx="6">
                  <c:v>0.01</c:v>
                </c:pt>
                <c:pt idx="7">
                  <c:v>1E-3</c:v>
                </c:pt>
              </c:numCache>
            </c:numRef>
          </c:val>
          <c:extLst>
            <c:ext xmlns:c16="http://schemas.microsoft.com/office/drawing/2014/chart" uri="{C3380CC4-5D6E-409C-BE32-E72D297353CC}">
              <c16:uniqueId val="{00000002-A720-41BA-A178-6D0DD9E0D649}"/>
            </c:ext>
          </c:extLst>
        </c:ser>
        <c:dLbls>
          <c:showLegendKey val="0"/>
          <c:showVal val="0"/>
          <c:showCatName val="0"/>
          <c:showSerName val="0"/>
          <c:showPercent val="0"/>
          <c:showBubbleSize val="0"/>
        </c:dLbls>
        <c:gapWidth val="50"/>
        <c:overlap val="-27"/>
        <c:axId val="150207104"/>
        <c:axId val="151130496"/>
      </c:barChart>
      <c:catAx>
        <c:axId val="15020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1130496"/>
        <c:crosses val="autoZero"/>
        <c:auto val="1"/>
        <c:lblAlgn val="ctr"/>
        <c:lblOffset val="100"/>
        <c:noMultiLvlLbl val="0"/>
      </c:catAx>
      <c:valAx>
        <c:axId val="151130496"/>
        <c:scaling>
          <c:orientation val="minMax"/>
          <c:max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b="0" i="0" u="none" strike="noStrike" baseline="0">
                    <a:effectLst/>
                  </a:rPr>
                  <a:t>Rate of loss: Milk &amp; Dairy products </a:t>
                </a:r>
                <a:endParaRPr lang="he-IL" sz="700"/>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50207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19617219770214"/>
          <c:y val="5.7377362713381758E-2"/>
          <c:w val="0.84967598785655352"/>
          <c:h val="0.66271785794217586"/>
        </c:manualLayout>
      </c:layout>
      <c:barChart>
        <c:barDir val="col"/>
        <c:grouping val="stacked"/>
        <c:varyColors val="0"/>
        <c:ser>
          <c:idx val="0"/>
          <c:order val="0"/>
          <c:tx>
            <c:strRef>
              <c:f>'השוואה בינלאומית'!$B$178</c:f>
              <c:strCache>
                <c:ptCount val="1"/>
                <c:pt idx="0">
                  <c:v>6%-15%</c:v>
                </c:pt>
              </c:strCache>
            </c:strRef>
          </c:tx>
          <c:spPr>
            <a:solidFill>
              <a:schemeClr val="accent1"/>
            </a:solidFill>
            <a:ln>
              <a:noFill/>
            </a:ln>
            <a:effectLst/>
          </c:spPr>
          <c:invertIfNegative val="0"/>
          <c:cat>
            <c:strRef>
              <c:f>'השוואה בינלאומית'!$A$179:$A$207</c:f>
              <c:strCache>
                <c:ptCount val="29"/>
                <c:pt idx="0">
                  <c:v>דנמרק</c:v>
                </c:pt>
                <c:pt idx="1">
                  <c:v>ישראל</c:v>
                </c:pt>
                <c:pt idx="2">
                  <c:v>שבדיה</c:v>
                </c:pt>
                <c:pt idx="3">
                  <c:v>הולנד</c:v>
                </c:pt>
                <c:pt idx="4">
                  <c:v>אירלנד</c:v>
                </c:pt>
                <c:pt idx="5">
                  <c:v>יוון</c:v>
                </c:pt>
                <c:pt idx="6">
                  <c:v>פינדלנד</c:v>
                </c:pt>
                <c:pt idx="7">
                  <c:v>לטביה</c:v>
                </c:pt>
                <c:pt idx="8">
                  <c:v>בלגיה</c:v>
                </c:pt>
                <c:pt idx="9">
                  <c:v>בריטניה</c:v>
                </c:pt>
                <c:pt idx="10">
                  <c:v>לוקסמבורג</c:v>
                </c:pt>
                <c:pt idx="11">
                  <c:v>איטליה</c:v>
                </c:pt>
                <c:pt idx="12">
                  <c:v>פורטוגל</c:v>
                </c:pt>
                <c:pt idx="13">
                  <c:v>גרמניה</c:v>
                </c:pt>
                <c:pt idx="14">
                  <c:v>EU-27</c:v>
                </c:pt>
                <c:pt idx="15">
                  <c:v>צרפת</c:v>
                </c:pt>
                <c:pt idx="16">
                  <c:v>רומניה</c:v>
                </c:pt>
                <c:pt idx="17">
                  <c:v>הונגריה</c:v>
                </c:pt>
                <c:pt idx="18">
                  <c:v>אוסטריה</c:v>
                </c:pt>
                <c:pt idx="19">
                  <c:v>סלובניה</c:v>
                </c:pt>
                <c:pt idx="20">
                  <c:v>בולגריה</c:v>
                </c:pt>
                <c:pt idx="21">
                  <c:v>קפריסין</c:v>
                </c:pt>
                <c:pt idx="22">
                  <c:v>סלובקיה</c:v>
                </c:pt>
                <c:pt idx="23">
                  <c:v>פולין</c:v>
                </c:pt>
                <c:pt idx="24">
                  <c:v>ליטא</c:v>
                </c:pt>
                <c:pt idx="25">
                  <c:v>ספרד</c:v>
                </c:pt>
                <c:pt idx="26">
                  <c:v>אסטוניה</c:v>
                </c:pt>
                <c:pt idx="27">
                  <c:v>צ'כיה</c:v>
                </c:pt>
                <c:pt idx="28">
                  <c:v>מלטה</c:v>
                </c:pt>
              </c:strCache>
            </c:strRef>
          </c:cat>
          <c:val>
            <c:numRef>
              <c:f>'השוואה בינלאומית'!$B$179:$B$207</c:f>
              <c:numCache>
                <c:formatCode>0%</c:formatCode>
                <c:ptCount val="29"/>
                <c:pt idx="0">
                  <c:v>0.40858505564387981</c:v>
                </c:pt>
                <c:pt idx="1">
                  <c:v>0.31720430107526881</c:v>
                </c:pt>
                <c:pt idx="2">
                  <c:v>0.34285714285714225</c:v>
                </c:pt>
                <c:pt idx="3">
                  <c:v>0.33646322378716725</c:v>
                </c:pt>
                <c:pt idx="4">
                  <c:v>0.31388012618296551</c:v>
                </c:pt>
                <c:pt idx="5">
                  <c:v>0.25769854132901171</c:v>
                </c:pt>
                <c:pt idx="6">
                  <c:v>0.32018927444794937</c:v>
                </c:pt>
                <c:pt idx="7">
                  <c:v>0.23076923076923039</c:v>
                </c:pt>
                <c:pt idx="8">
                  <c:v>0.30914826498422665</c:v>
                </c:pt>
                <c:pt idx="9">
                  <c:v>0.27672955974842728</c:v>
                </c:pt>
                <c:pt idx="10">
                  <c:v>0.28125000000000122</c:v>
                </c:pt>
                <c:pt idx="11">
                  <c:v>0.25442834138486348</c:v>
                </c:pt>
                <c:pt idx="12">
                  <c:v>0.23817567567567569</c:v>
                </c:pt>
                <c:pt idx="13">
                  <c:v>0.25508607198748134</c:v>
                </c:pt>
                <c:pt idx="14">
                  <c:v>0.24683544303797508</c:v>
                </c:pt>
                <c:pt idx="15">
                  <c:v>0.25394321766561517</c:v>
                </c:pt>
                <c:pt idx="16">
                  <c:v>0.21383647798742089</c:v>
                </c:pt>
                <c:pt idx="17">
                  <c:v>0.22187004754358186</c:v>
                </c:pt>
                <c:pt idx="18">
                  <c:v>0.19718309859154887</c:v>
                </c:pt>
                <c:pt idx="19">
                  <c:v>0.21909233176838833</c:v>
                </c:pt>
                <c:pt idx="20">
                  <c:v>0.19936708860759436</c:v>
                </c:pt>
                <c:pt idx="21">
                  <c:v>0.19968304278922303</c:v>
                </c:pt>
                <c:pt idx="22">
                  <c:v>0.18690095846645405</c:v>
                </c:pt>
                <c:pt idx="23">
                  <c:v>0.18838304552590285</c:v>
                </c:pt>
                <c:pt idx="24">
                  <c:v>0.17007874015748065</c:v>
                </c:pt>
                <c:pt idx="25">
                  <c:v>0.20312500000000022</c:v>
                </c:pt>
                <c:pt idx="26">
                  <c:v>0.18454258675078911</c:v>
                </c:pt>
                <c:pt idx="27">
                  <c:v>0.15433070866141765</c:v>
                </c:pt>
                <c:pt idx="28">
                  <c:v>0.16613418530351509</c:v>
                </c:pt>
              </c:numCache>
            </c:numRef>
          </c:val>
          <c:extLst>
            <c:ext xmlns:c16="http://schemas.microsoft.com/office/drawing/2014/chart" uri="{C3380CC4-5D6E-409C-BE32-E72D297353CC}">
              <c16:uniqueId val="{00000000-93BE-454B-8D7A-F29BDACAF7A0}"/>
            </c:ext>
          </c:extLst>
        </c:ser>
        <c:ser>
          <c:idx val="1"/>
          <c:order val="1"/>
          <c:tx>
            <c:strRef>
              <c:f>'השוואה בינלאומית'!$C$178</c:f>
              <c:strCache>
                <c:ptCount val="1"/>
                <c:pt idx="0">
                  <c:v>6% ומעלה</c:v>
                </c:pt>
              </c:strCache>
            </c:strRef>
          </c:tx>
          <c:spPr>
            <a:solidFill>
              <a:schemeClr val="accent2"/>
            </a:solidFill>
            <a:ln>
              <a:noFill/>
            </a:ln>
            <a:effectLst/>
          </c:spPr>
          <c:invertIfNegative val="0"/>
          <c:cat>
            <c:strRef>
              <c:f>'השוואה בינלאומית'!$A$179:$A$207</c:f>
              <c:strCache>
                <c:ptCount val="29"/>
                <c:pt idx="0">
                  <c:v>דנמרק</c:v>
                </c:pt>
                <c:pt idx="1">
                  <c:v>ישראל</c:v>
                </c:pt>
                <c:pt idx="2">
                  <c:v>שבדיה</c:v>
                </c:pt>
                <c:pt idx="3">
                  <c:v>הולנד</c:v>
                </c:pt>
                <c:pt idx="4">
                  <c:v>אירלנד</c:v>
                </c:pt>
                <c:pt idx="5">
                  <c:v>יוון</c:v>
                </c:pt>
                <c:pt idx="6">
                  <c:v>פינדלנד</c:v>
                </c:pt>
                <c:pt idx="7">
                  <c:v>לטביה</c:v>
                </c:pt>
                <c:pt idx="8">
                  <c:v>בלגיה</c:v>
                </c:pt>
                <c:pt idx="9">
                  <c:v>בריטניה</c:v>
                </c:pt>
                <c:pt idx="10">
                  <c:v>לוקסמבורג</c:v>
                </c:pt>
                <c:pt idx="11">
                  <c:v>איטליה</c:v>
                </c:pt>
                <c:pt idx="12">
                  <c:v>פורטוגל</c:v>
                </c:pt>
                <c:pt idx="13">
                  <c:v>גרמניה</c:v>
                </c:pt>
                <c:pt idx="14">
                  <c:v>EU-27</c:v>
                </c:pt>
                <c:pt idx="15">
                  <c:v>צרפת</c:v>
                </c:pt>
                <c:pt idx="16">
                  <c:v>רומניה</c:v>
                </c:pt>
                <c:pt idx="17">
                  <c:v>הונגריה</c:v>
                </c:pt>
                <c:pt idx="18">
                  <c:v>אוסטריה</c:v>
                </c:pt>
                <c:pt idx="19">
                  <c:v>סלובניה</c:v>
                </c:pt>
                <c:pt idx="20">
                  <c:v>בולגריה</c:v>
                </c:pt>
                <c:pt idx="21">
                  <c:v>קפריסין</c:v>
                </c:pt>
                <c:pt idx="22">
                  <c:v>סלובקיה</c:v>
                </c:pt>
                <c:pt idx="23">
                  <c:v>פולין</c:v>
                </c:pt>
                <c:pt idx="24">
                  <c:v>ליטא</c:v>
                </c:pt>
                <c:pt idx="25">
                  <c:v>ספרד</c:v>
                </c:pt>
                <c:pt idx="26">
                  <c:v>אסטוניה</c:v>
                </c:pt>
                <c:pt idx="27">
                  <c:v>צ'כיה</c:v>
                </c:pt>
                <c:pt idx="28">
                  <c:v>מלטה</c:v>
                </c:pt>
              </c:strCache>
            </c:strRef>
          </c:cat>
          <c:val>
            <c:numRef>
              <c:f>'השוואה בינלאומית'!$C$179:$C$207</c:f>
              <c:numCache>
                <c:formatCode>0%</c:formatCode>
                <c:ptCount val="29"/>
                <c:pt idx="0">
                  <c:v>0.11923688394276588</c:v>
                </c:pt>
                <c:pt idx="1">
                  <c:v>0.18602150537634404</c:v>
                </c:pt>
                <c:pt idx="2">
                  <c:v>0.1000000000000007</c:v>
                </c:pt>
                <c:pt idx="3">
                  <c:v>9.3896713615023553E-2</c:v>
                </c:pt>
                <c:pt idx="4">
                  <c:v>0.10725552050473208</c:v>
                </c:pt>
                <c:pt idx="5">
                  <c:v>0.15397082658022654</c:v>
                </c:pt>
                <c:pt idx="6">
                  <c:v>7.5709779179810976E-2</c:v>
                </c:pt>
                <c:pt idx="7">
                  <c:v>0.15384615384615435</c:v>
                </c:pt>
                <c:pt idx="8">
                  <c:v>7.0977917981073113E-2</c:v>
                </c:pt>
                <c:pt idx="9">
                  <c:v>9.4339622641509469E-2</c:v>
                </c:pt>
                <c:pt idx="10">
                  <c:v>7.6562499999999256E-2</c:v>
                </c:pt>
                <c:pt idx="11">
                  <c:v>9.0177133655394925E-2</c:v>
                </c:pt>
                <c:pt idx="12">
                  <c:v>9.7972972972973221E-2</c:v>
                </c:pt>
                <c:pt idx="13">
                  <c:v>7.1987480438184148E-2</c:v>
                </c:pt>
                <c:pt idx="14">
                  <c:v>7.5949367088607805E-2</c:v>
                </c:pt>
                <c:pt idx="15">
                  <c:v>5.5205047318612477E-2</c:v>
                </c:pt>
                <c:pt idx="16">
                  <c:v>8.805031446540923E-2</c:v>
                </c:pt>
                <c:pt idx="17">
                  <c:v>7.1315372424722301E-2</c:v>
                </c:pt>
                <c:pt idx="18">
                  <c:v>9.5461658841940522E-2</c:v>
                </c:pt>
                <c:pt idx="19">
                  <c:v>6.4162754303599356E-2</c:v>
                </c:pt>
                <c:pt idx="20">
                  <c:v>8.2278481012659027E-2</c:v>
                </c:pt>
                <c:pt idx="21">
                  <c:v>8.0824088748018913E-2</c:v>
                </c:pt>
                <c:pt idx="22">
                  <c:v>8.3067092651757102E-2</c:v>
                </c:pt>
                <c:pt idx="23">
                  <c:v>7.378335949764453E-2</c:v>
                </c:pt>
                <c:pt idx="24">
                  <c:v>9.1338582677165603E-2</c:v>
                </c:pt>
                <c:pt idx="25">
                  <c:v>5.4687499999999611E-2</c:v>
                </c:pt>
                <c:pt idx="26">
                  <c:v>3.6277602523658969E-2</c:v>
                </c:pt>
                <c:pt idx="27">
                  <c:v>3.6220472440944645E-2</c:v>
                </c:pt>
                <c:pt idx="28">
                  <c:v>2.2364217252395791E-2</c:v>
                </c:pt>
              </c:numCache>
            </c:numRef>
          </c:val>
          <c:extLst>
            <c:ext xmlns:c16="http://schemas.microsoft.com/office/drawing/2014/chart" uri="{C3380CC4-5D6E-409C-BE32-E72D297353CC}">
              <c16:uniqueId val="{00000001-93BE-454B-8D7A-F29BDACAF7A0}"/>
            </c:ext>
          </c:extLst>
        </c:ser>
        <c:dLbls>
          <c:showLegendKey val="0"/>
          <c:showVal val="0"/>
          <c:showCatName val="0"/>
          <c:showSerName val="0"/>
          <c:showPercent val="0"/>
          <c:showBubbleSize val="0"/>
        </c:dLbls>
        <c:gapWidth val="50"/>
        <c:overlap val="100"/>
        <c:axId val="155449600"/>
        <c:axId val="165683200"/>
      </c:barChart>
      <c:catAx>
        <c:axId val="1554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5683200"/>
        <c:crosses val="autoZero"/>
        <c:auto val="1"/>
        <c:lblAlgn val="ctr"/>
        <c:lblOffset val="100"/>
        <c:noMultiLvlLbl val="0"/>
      </c:catAx>
      <c:valAx>
        <c:axId val="165683200"/>
        <c:scaling>
          <c:orientation val="minMax"/>
          <c:max val="0.5500000000000000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a:solidFill>
                      <a:sysClr val="windowText" lastClr="000000"/>
                    </a:solidFill>
                    <a:latin typeface="+mn-lt"/>
                  </a:rPr>
                  <a:t>Household</a:t>
                </a:r>
                <a:r>
                  <a:rPr lang="en-US" sz="1100" baseline="0">
                    <a:solidFill>
                      <a:sysClr val="windowText" lastClr="000000"/>
                    </a:solidFill>
                    <a:latin typeface="+mn-lt"/>
                  </a:rPr>
                  <a:t> rate</a:t>
                </a:r>
                <a:endParaRPr lang="he-IL" sz="1100">
                  <a:solidFill>
                    <a:sysClr val="windowText" lastClr="000000"/>
                  </a:solidFill>
                  <a:latin typeface="+mn-lt"/>
                </a:endParaRP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5449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סיכום!$H$105</c:f>
              <c:strCache>
                <c:ptCount val="1"/>
                <c:pt idx="0">
                  <c:v>אובדן שאינו בר הצלה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סיכום!$H$106:$H$112</c:f>
              <c:numCache>
                <c:formatCode>0%</c:formatCode>
                <c:ptCount val="7"/>
                <c:pt idx="0">
                  <c:v>0.11510349754884103</c:v>
                </c:pt>
                <c:pt idx="1">
                  <c:v>0.13461538461538458</c:v>
                </c:pt>
                <c:pt idx="2">
                  <c:v>0.18910987936093898</c:v>
                </c:pt>
                <c:pt idx="3">
                  <c:v>0.18971681755478986</c:v>
                </c:pt>
                <c:pt idx="4">
                  <c:v>0.22330097087378631</c:v>
                </c:pt>
                <c:pt idx="5">
                  <c:v>0.29431841218244414</c:v>
                </c:pt>
                <c:pt idx="6">
                  <c:v>0.24690432858723199</c:v>
                </c:pt>
              </c:numCache>
            </c:numRef>
          </c:val>
          <c:extLst>
            <c:ext xmlns:c16="http://schemas.microsoft.com/office/drawing/2014/chart" uri="{C3380CC4-5D6E-409C-BE32-E72D297353CC}">
              <c16:uniqueId val="{00000000-4BF5-4A4F-A13E-B8AB96F45E2D}"/>
            </c:ext>
          </c:extLst>
        </c:ser>
        <c:ser>
          <c:idx val="0"/>
          <c:order val="1"/>
          <c:tx>
            <c:strRef>
              <c:f>סיכום!$G$105</c:f>
              <c:strCache>
                <c:ptCount val="1"/>
                <c:pt idx="0">
                  <c:v>אובדן בר הצלה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סיכום!$E$106:$E$112</c:f>
              <c:strCache>
                <c:ptCount val="7"/>
                <c:pt idx="0">
                  <c:v>מסעדות</c:v>
                </c:pt>
                <c:pt idx="1">
                  <c:v>מוסדות חינוך</c:v>
                </c:pt>
                <c:pt idx="2">
                  <c:v>מקומות עבודה</c:v>
                </c:pt>
                <c:pt idx="3">
                  <c:v>כוחות הביטחון</c:v>
                </c:pt>
                <c:pt idx="4">
                  <c:v>בתי-חולים</c:v>
                </c:pt>
                <c:pt idx="5">
                  <c:v>מלונות</c:v>
                </c:pt>
                <c:pt idx="6">
                  <c:v>אירועים</c:v>
                </c:pt>
              </c:strCache>
            </c:strRef>
          </c:cat>
          <c:val>
            <c:numRef>
              <c:f>סיכום!$G$106:$G$112</c:f>
              <c:numCache>
                <c:formatCode>0%</c:formatCode>
                <c:ptCount val="7"/>
                <c:pt idx="0">
                  <c:v>2.7088668442382419E-2</c:v>
                </c:pt>
                <c:pt idx="1">
                  <c:v>2.8949081787020547E-2</c:v>
                </c:pt>
                <c:pt idx="2">
                  <c:v>0.10010466253668082</c:v>
                </c:pt>
                <c:pt idx="3">
                  <c:v>0.11150511840139572</c:v>
                </c:pt>
                <c:pt idx="4">
                  <c:v>9.7087378640776698E-2</c:v>
                </c:pt>
                <c:pt idx="5">
                  <c:v>8.3823347984964797E-2</c:v>
                </c:pt>
                <c:pt idx="6">
                  <c:v>0.18056596367269745</c:v>
                </c:pt>
              </c:numCache>
            </c:numRef>
          </c:val>
          <c:extLst>
            <c:ext xmlns:c16="http://schemas.microsoft.com/office/drawing/2014/chart" uri="{C3380CC4-5D6E-409C-BE32-E72D297353CC}">
              <c16:uniqueId val="{00000001-4BF5-4A4F-A13E-B8AB96F45E2D}"/>
            </c:ext>
          </c:extLst>
        </c:ser>
        <c:dLbls>
          <c:showLegendKey val="0"/>
          <c:showVal val="0"/>
          <c:showCatName val="0"/>
          <c:showSerName val="0"/>
          <c:showPercent val="0"/>
          <c:showBubbleSize val="0"/>
        </c:dLbls>
        <c:gapWidth val="50"/>
        <c:overlap val="100"/>
        <c:axId val="424139392"/>
        <c:axId val="424149376"/>
      </c:barChart>
      <c:catAx>
        <c:axId val="42413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149376"/>
        <c:crosses val="autoZero"/>
        <c:auto val="1"/>
        <c:lblAlgn val="ctr"/>
        <c:lblOffset val="100"/>
        <c:noMultiLvlLbl val="0"/>
      </c:catAx>
      <c:valAx>
        <c:axId val="424149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13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115ADE-B4F8-4B20-928C-663A85CC3587}"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pPr rtl="1"/>
          <a:endParaRPr lang="he-IL"/>
        </a:p>
      </dgm:t>
    </dgm:pt>
    <dgm:pt modelId="{16C67D44-F53A-4ACE-8117-B79F495EB2F4}">
      <dgm:prSet phldrT="[טקסט]" custT="1"/>
      <dgm:spPr/>
      <dgm:t>
        <a:bodyPr/>
        <a:lstStyle/>
        <a:p>
          <a:pPr algn="l" rtl="0"/>
          <a:r>
            <a:rPr lang="en-US" sz="1200" b="1"/>
            <a:t>1. Surplus preparation</a:t>
          </a:r>
          <a:endParaRPr lang="he-IL" sz="1200" b="1"/>
        </a:p>
      </dgm:t>
    </dgm:pt>
    <dgm:pt modelId="{6930558E-3603-4AC6-A5D2-5F983B27BD45}" type="parTrans" cxnId="{EEE812F8-1CAF-4354-AE14-37BF0D4A0ACF}">
      <dgm:prSet/>
      <dgm:spPr/>
      <dgm:t>
        <a:bodyPr/>
        <a:lstStyle/>
        <a:p>
          <a:pPr rtl="1"/>
          <a:endParaRPr lang="he-IL" sz="1200"/>
        </a:p>
      </dgm:t>
    </dgm:pt>
    <dgm:pt modelId="{4F744DBC-F6AF-445C-B425-A983D15D6731}" type="sibTrans" cxnId="{EEE812F8-1CAF-4354-AE14-37BF0D4A0ACF}">
      <dgm:prSet/>
      <dgm:spPr/>
      <dgm:t>
        <a:bodyPr/>
        <a:lstStyle/>
        <a:p>
          <a:pPr rtl="1"/>
          <a:endParaRPr lang="he-IL" sz="1200"/>
        </a:p>
      </dgm:t>
    </dgm:pt>
    <dgm:pt modelId="{9D9B7C42-47B4-4C27-B0A6-E3BDD30680AA}">
      <dgm:prSet phldrT="[טקסט]" custT="1"/>
      <dgm:spPr/>
      <dgm:t>
        <a:bodyPr/>
        <a:lstStyle/>
        <a:p>
          <a:pPr algn="l" rtl="0"/>
          <a:r>
            <a:rPr lang="en-US" sz="1200" b="1"/>
            <a:t>2. Expired</a:t>
          </a:r>
          <a:endParaRPr lang="he-IL" sz="1200" b="1"/>
        </a:p>
      </dgm:t>
    </dgm:pt>
    <dgm:pt modelId="{C8F3AED5-44BB-4A39-8638-58E0CE9D42D9}" type="parTrans" cxnId="{A73AB530-A964-43EF-99E2-6CA6431E7DBB}">
      <dgm:prSet/>
      <dgm:spPr/>
      <dgm:t>
        <a:bodyPr/>
        <a:lstStyle/>
        <a:p>
          <a:pPr rtl="1"/>
          <a:endParaRPr lang="he-IL" sz="1200"/>
        </a:p>
      </dgm:t>
    </dgm:pt>
    <dgm:pt modelId="{232F098D-B9C4-4CCF-81CC-D1882DDC3C9A}" type="sibTrans" cxnId="{A73AB530-A964-43EF-99E2-6CA6431E7DBB}">
      <dgm:prSet/>
      <dgm:spPr/>
      <dgm:t>
        <a:bodyPr/>
        <a:lstStyle/>
        <a:p>
          <a:pPr rtl="1"/>
          <a:endParaRPr lang="he-IL" sz="1200"/>
        </a:p>
      </dgm:t>
    </dgm:pt>
    <dgm:pt modelId="{95951398-32A1-41EF-94BB-064C24859AF2}">
      <dgm:prSet phldrT="[טקסט]" custT="1"/>
      <dgm:spPr/>
      <dgm:t>
        <a:bodyPr/>
        <a:lstStyle/>
        <a:p>
          <a:pPr algn="l" rtl="0"/>
          <a:r>
            <a:rPr lang="en-US" sz="1200" b="1"/>
            <a:t>3. Damaged or spilled food</a:t>
          </a:r>
          <a:endParaRPr lang="he-IL" sz="1200" b="1"/>
        </a:p>
      </dgm:t>
    </dgm:pt>
    <dgm:pt modelId="{203D9675-70B3-4C9F-ADA8-19A4713FF704}" type="parTrans" cxnId="{93E73A76-12FF-4F86-AB85-B35FA74B147E}">
      <dgm:prSet/>
      <dgm:spPr/>
      <dgm:t>
        <a:bodyPr/>
        <a:lstStyle/>
        <a:p>
          <a:pPr rtl="1"/>
          <a:endParaRPr lang="he-IL" sz="1200"/>
        </a:p>
      </dgm:t>
    </dgm:pt>
    <dgm:pt modelId="{5B83477A-07C0-45CD-969C-6A1A91638A8C}" type="sibTrans" cxnId="{93E73A76-12FF-4F86-AB85-B35FA74B147E}">
      <dgm:prSet/>
      <dgm:spPr/>
      <dgm:t>
        <a:bodyPr/>
        <a:lstStyle/>
        <a:p>
          <a:pPr rtl="1"/>
          <a:endParaRPr lang="he-IL" sz="1200"/>
        </a:p>
      </dgm:t>
    </dgm:pt>
    <dgm:pt modelId="{9938C594-50EE-4FEE-AD1D-1913F7831352}">
      <dgm:prSet phldrT="[טקסט]" custT="1"/>
      <dgm:spPr/>
      <dgm:t>
        <a:bodyPr/>
        <a:lstStyle/>
        <a:p>
          <a:pPr algn="l" rtl="0"/>
          <a:r>
            <a:rPr lang="en-US" sz="1200" b="1"/>
            <a:t>4. Poor preparation/cooking</a:t>
          </a:r>
          <a:endParaRPr lang="he-IL" sz="1200" b="1"/>
        </a:p>
      </dgm:t>
    </dgm:pt>
    <dgm:pt modelId="{10245901-6510-4E7D-BEBA-3A711ECC8C58}" type="parTrans" cxnId="{497A5DFB-A122-457E-8C8F-280E13465661}">
      <dgm:prSet/>
      <dgm:spPr/>
      <dgm:t>
        <a:bodyPr/>
        <a:lstStyle/>
        <a:p>
          <a:pPr rtl="1"/>
          <a:endParaRPr lang="he-IL" sz="1200"/>
        </a:p>
      </dgm:t>
    </dgm:pt>
    <dgm:pt modelId="{E16CE65C-BDC8-4A4F-AB1A-1B25774573B6}" type="sibTrans" cxnId="{497A5DFB-A122-457E-8C8F-280E13465661}">
      <dgm:prSet/>
      <dgm:spPr/>
      <dgm:t>
        <a:bodyPr/>
        <a:lstStyle/>
        <a:p>
          <a:pPr rtl="1"/>
          <a:endParaRPr lang="he-IL" sz="1200"/>
        </a:p>
      </dgm:t>
    </dgm:pt>
    <dgm:pt modelId="{E745959D-2C93-47F0-AC0A-EBA28DEA498B}">
      <dgm:prSet phldrT="[טקסט]" custT="1"/>
      <dgm:spPr/>
      <dgm:t>
        <a:bodyPr/>
        <a:lstStyle/>
        <a:p>
          <a:pPr algn="l" rtl="0"/>
          <a:r>
            <a:rPr lang="en-US" sz="1200" b="1"/>
            <a:t>5. Excess purchasing</a:t>
          </a:r>
          <a:endParaRPr lang="he-IL" sz="1200" b="1"/>
        </a:p>
      </dgm:t>
    </dgm:pt>
    <dgm:pt modelId="{9964F484-2402-4C6D-B558-256A7B37FDCD}" type="parTrans" cxnId="{D5F36D85-6D97-4B47-A1B4-B996ECF0922B}">
      <dgm:prSet/>
      <dgm:spPr/>
      <dgm:t>
        <a:bodyPr/>
        <a:lstStyle/>
        <a:p>
          <a:pPr rtl="1"/>
          <a:endParaRPr lang="he-IL" sz="1200"/>
        </a:p>
      </dgm:t>
    </dgm:pt>
    <dgm:pt modelId="{DFF03A44-3601-4154-B9E6-9F1204C4D5D3}" type="sibTrans" cxnId="{D5F36D85-6D97-4B47-A1B4-B996ECF0922B}">
      <dgm:prSet/>
      <dgm:spPr/>
      <dgm:t>
        <a:bodyPr/>
        <a:lstStyle/>
        <a:p>
          <a:pPr rtl="1"/>
          <a:endParaRPr lang="he-IL" sz="1200"/>
        </a:p>
      </dgm:t>
    </dgm:pt>
    <dgm:pt modelId="{B5384405-FF74-432D-952D-B73ADB07A3C1}" type="pres">
      <dgm:prSet presAssocID="{6A115ADE-B4F8-4B20-928C-663A85CC3587}" presName="Name0" presStyleCnt="0">
        <dgm:presLayoutVars>
          <dgm:chMax val="7"/>
          <dgm:chPref val="7"/>
          <dgm:dir val="rev"/>
        </dgm:presLayoutVars>
      </dgm:prSet>
      <dgm:spPr/>
    </dgm:pt>
    <dgm:pt modelId="{E62BE186-83C4-44EF-A884-F64F3E9DDE2F}" type="pres">
      <dgm:prSet presAssocID="{6A115ADE-B4F8-4B20-928C-663A85CC3587}" presName="Name1" presStyleCnt="0"/>
      <dgm:spPr/>
    </dgm:pt>
    <dgm:pt modelId="{69F597E0-5BAC-4154-B075-B7AB276A2DAD}" type="pres">
      <dgm:prSet presAssocID="{6A115ADE-B4F8-4B20-928C-663A85CC3587}" presName="cycle" presStyleCnt="0"/>
      <dgm:spPr/>
    </dgm:pt>
    <dgm:pt modelId="{7A96A40A-D934-47B9-B928-AFC51F8CF76E}" type="pres">
      <dgm:prSet presAssocID="{6A115ADE-B4F8-4B20-928C-663A85CC3587}" presName="srcNode" presStyleLbl="node1" presStyleIdx="0" presStyleCnt="5"/>
      <dgm:spPr/>
    </dgm:pt>
    <dgm:pt modelId="{D6799315-5106-4A1C-9EFD-E853F322B33D}" type="pres">
      <dgm:prSet presAssocID="{6A115ADE-B4F8-4B20-928C-663A85CC3587}" presName="conn" presStyleLbl="parChTrans1D2" presStyleIdx="0" presStyleCnt="1"/>
      <dgm:spPr/>
    </dgm:pt>
    <dgm:pt modelId="{A9964373-5135-4898-AB24-273712B1EFCD}" type="pres">
      <dgm:prSet presAssocID="{6A115ADE-B4F8-4B20-928C-663A85CC3587}" presName="extraNode" presStyleLbl="node1" presStyleIdx="0" presStyleCnt="5"/>
      <dgm:spPr/>
    </dgm:pt>
    <dgm:pt modelId="{52815A12-F553-4405-B200-C6F81ECDFA53}" type="pres">
      <dgm:prSet presAssocID="{6A115ADE-B4F8-4B20-928C-663A85CC3587}" presName="dstNode" presStyleLbl="node1" presStyleIdx="0" presStyleCnt="5"/>
      <dgm:spPr/>
    </dgm:pt>
    <dgm:pt modelId="{287B38BD-14D3-42CA-9B1A-288D64E22B2C}" type="pres">
      <dgm:prSet presAssocID="{16C67D44-F53A-4ACE-8117-B79F495EB2F4}" presName="text_1" presStyleLbl="node1" presStyleIdx="0" presStyleCnt="5">
        <dgm:presLayoutVars>
          <dgm:bulletEnabled val="1"/>
        </dgm:presLayoutVars>
      </dgm:prSet>
      <dgm:spPr/>
    </dgm:pt>
    <dgm:pt modelId="{7F724854-BE9A-4B02-A561-F001E425BD51}" type="pres">
      <dgm:prSet presAssocID="{16C67D44-F53A-4ACE-8117-B79F495EB2F4}" presName="accent_1" presStyleCnt="0"/>
      <dgm:spPr/>
    </dgm:pt>
    <dgm:pt modelId="{6FD6734C-02E3-4C4C-88D8-15B9E29A7ED0}" type="pres">
      <dgm:prSet presAssocID="{16C67D44-F53A-4ACE-8117-B79F495EB2F4}" presName="accentRepeatNode" presStyleLbl="solidFgAcc1" presStyleIdx="0" presStyleCnt="5"/>
      <dgm:spPr/>
    </dgm:pt>
    <dgm:pt modelId="{ED0B4AAD-3D98-4929-B1EC-5030B56314DB}" type="pres">
      <dgm:prSet presAssocID="{9D9B7C42-47B4-4C27-B0A6-E3BDD30680AA}" presName="text_2" presStyleLbl="node1" presStyleIdx="1" presStyleCnt="5">
        <dgm:presLayoutVars>
          <dgm:bulletEnabled val="1"/>
        </dgm:presLayoutVars>
      </dgm:prSet>
      <dgm:spPr/>
    </dgm:pt>
    <dgm:pt modelId="{65DDC162-F5F7-418F-970D-B42FF57DC3AC}" type="pres">
      <dgm:prSet presAssocID="{9D9B7C42-47B4-4C27-B0A6-E3BDD30680AA}" presName="accent_2" presStyleCnt="0"/>
      <dgm:spPr/>
    </dgm:pt>
    <dgm:pt modelId="{77D4F62F-30E5-4B40-BD8A-F6CBB16EED43}" type="pres">
      <dgm:prSet presAssocID="{9D9B7C42-47B4-4C27-B0A6-E3BDD30680AA}" presName="accentRepeatNode" presStyleLbl="solidFgAcc1" presStyleIdx="1" presStyleCnt="5"/>
      <dgm:spPr/>
    </dgm:pt>
    <dgm:pt modelId="{2FA56100-73A2-414B-BC8B-3BA65F65F671}" type="pres">
      <dgm:prSet presAssocID="{95951398-32A1-41EF-94BB-064C24859AF2}" presName="text_3" presStyleLbl="node1" presStyleIdx="2" presStyleCnt="5">
        <dgm:presLayoutVars>
          <dgm:bulletEnabled val="1"/>
        </dgm:presLayoutVars>
      </dgm:prSet>
      <dgm:spPr/>
    </dgm:pt>
    <dgm:pt modelId="{307EFA36-9244-4AB4-8452-D52E9E67C869}" type="pres">
      <dgm:prSet presAssocID="{95951398-32A1-41EF-94BB-064C24859AF2}" presName="accent_3" presStyleCnt="0"/>
      <dgm:spPr/>
    </dgm:pt>
    <dgm:pt modelId="{6EE8D5AC-BDF1-40B5-A75E-D0157DA62C41}" type="pres">
      <dgm:prSet presAssocID="{95951398-32A1-41EF-94BB-064C24859AF2}" presName="accentRepeatNode" presStyleLbl="solidFgAcc1" presStyleIdx="2" presStyleCnt="5"/>
      <dgm:spPr/>
    </dgm:pt>
    <dgm:pt modelId="{080A5B96-6410-4208-997D-E1C45E1F2A35}" type="pres">
      <dgm:prSet presAssocID="{9938C594-50EE-4FEE-AD1D-1913F7831352}" presName="text_4" presStyleLbl="node1" presStyleIdx="3" presStyleCnt="5">
        <dgm:presLayoutVars>
          <dgm:bulletEnabled val="1"/>
        </dgm:presLayoutVars>
      </dgm:prSet>
      <dgm:spPr/>
    </dgm:pt>
    <dgm:pt modelId="{1D4F4DA2-8406-4D07-818D-5C2B63143C95}" type="pres">
      <dgm:prSet presAssocID="{9938C594-50EE-4FEE-AD1D-1913F7831352}" presName="accent_4" presStyleCnt="0"/>
      <dgm:spPr/>
    </dgm:pt>
    <dgm:pt modelId="{F09ED587-F6A4-4EEA-BB27-637B276FDD0B}" type="pres">
      <dgm:prSet presAssocID="{9938C594-50EE-4FEE-AD1D-1913F7831352}" presName="accentRepeatNode" presStyleLbl="solidFgAcc1" presStyleIdx="3" presStyleCnt="5"/>
      <dgm:spPr/>
    </dgm:pt>
    <dgm:pt modelId="{16C0764E-54E9-44BE-98F7-8ADF9978356C}" type="pres">
      <dgm:prSet presAssocID="{E745959D-2C93-47F0-AC0A-EBA28DEA498B}" presName="text_5" presStyleLbl="node1" presStyleIdx="4" presStyleCnt="5">
        <dgm:presLayoutVars>
          <dgm:bulletEnabled val="1"/>
        </dgm:presLayoutVars>
      </dgm:prSet>
      <dgm:spPr/>
    </dgm:pt>
    <dgm:pt modelId="{DFA446E7-71EF-4C18-9A5B-C26E0EF9F473}" type="pres">
      <dgm:prSet presAssocID="{E745959D-2C93-47F0-AC0A-EBA28DEA498B}" presName="accent_5" presStyleCnt="0"/>
      <dgm:spPr/>
    </dgm:pt>
    <dgm:pt modelId="{1DAEDA1F-5553-4BDB-852B-D7C092DAE450}" type="pres">
      <dgm:prSet presAssocID="{E745959D-2C93-47F0-AC0A-EBA28DEA498B}" presName="accentRepeatNode" presStyleLbl="solidFgAcc1" presStyleIdx="4" presStyleCnt="5"/>
      <dgm:spPr/>
    </dgm:pt>
  </dgm:ptLst>
  <dgm:cxnLst>
    <dgm:cxn modelId="{A85AD80F-EE3B-4841-B3DD-CE2748596685}" type="presOf" srcId="{9D9B7C42-47B4-4C27-B0A6-E3BDD30680AA}" destId="{ED0B4AAD-3D98-4929-B1EC-5030B56314DB}" srcOrd="0" destOrd="0" presId="urn:microsoft.com/office/officeart/2008/layout/VerticalCurvedList"/>
    <dgm:cxn modelId="{05F5871F-3053-4EDC-988C-2E930402A69E}" type="presOf" srcId="{16C67D44-F53A-4ACE-8117-B79F495EB2F4}" destId="{287B38BD-14D3-42CA-9B1A-288D64E22B2C}" srcOrd="0" destOrd="0" presId="urn:microsoft.com/office/officeart/2008/layout/VerticalCurvedList"/>
    <dgm:cxn modelId="{A73AB530-A964-43EF-99E2-6CA6431E7DBB}" srcId="{6A115ADE-B4F8-4B20-928C-663A85CC3587}" destId="{9D9B7C42-47B4-4C27-B0A6-E3BDD30680AA}" srcOrd="1" destOrd="0" parTransId="{C8F3AED5-44BB-4A39-8638-58E0CE9D42D9}" sibTransId="{232F098D-B9C4-4CCF-81CC-D1882DDC3C9A}"/>
    <dgm:cxn modelId="{0231A93B-40F4-40D0-AA2D-69DD5320177D}" type="presOf" srcId="{E745959D-2C93-47F0-AC0A-EBA28DEA498B}" destId="{16C0764E-54E9-44BE-98F7-8ADF9978356C}" srcOrd="0" destOrd="0" presId="urn:microsoft.com/office/officeart/2008/layout/VerticalCurvedList"/>
    <dgm:cxn modelId="{C19EF26D-1F1B-42D8-BC62-22BA376C5B28}" type="presOf" srcId="{4F744DBC-F6AF-445C-B425-A983D15D6731}" destId="{D6799315-5106-4A1C-9EFD-E853F322B33D}" srcOrd="0" destOrd="0" presId="urn:microsoft.com/office/officeart/2008/layout/VerticalCurvedList"/>
    <dgm:cxn modelId="{93E73A76-12FF-4F86-AB85-B35FA74B147E}" srcId="{6A115ADE-B4F8-4B20-928C-663A85CC3587}" destId="{95951398-32A1-41EF-94BB-064C24859AF2}" srcOrd="2" destOrd="0" parTransId="{203D9675-70B3-4C9F-ADA8-19A4713FF704}" sibTransId="{5B83477A-07C0-45CD-969C-6A1A91638A8C}"/>
    <dgm:cxn modelId="{D5F36D85-6D97-4B47-A1B4-B996ECF0922B}" srcId="{6A115ADE-B4F8-4B20-928C-663A85CC3587}" destId="{E745959D-2C93-47F0-AC0A-EBA28DEA498B}" srcOrd="4" destOrd="0" parTransId="{9964F484-2402-4C6D-B558-256A7B37FDCD}" sibTransId="{DFF03A44-3601-4154-B9E6-9F1204C4D5D3}"/>
    <dgm:cxn modelId="{665797A9-6F53-4948-8A7C-B8F763C1A965}" type="presOf" srcId="{6A115ADE-B4F8-4B20-928C-663A85CC3587}" destId="{B5384405-FF74-432D-952D-B73ADB07A3C1}" srcOrd="0" destOrd="0" presId="urn:microsoft.com/office/officeart/2008/layout/VerticalCurvedList"/>
    <dgm:cxn modelId="{5B229EAA-7FDE-421F-B38B-99ED491D98A3}" type="presOf" srcId="{95951398-32A1-41EF-94BB-064C24859AF2}" destId="{2FA56100-73A2-414B-BC8B-3BA65F65F671}" srcOrd="0" destOrd="0" presId="urn:microsoft.com/office/officeart/2008/layout/VerticalCurvedList"/>
    <dgm:cxn modelId="{6D8487EC-B367-488D-9E0F-86E030660F58}" type="presOf" srcId="{9938C594-50EE-4FEE-AD1D-1913F7831352}" destId="{080A5B96-6410-4208-997D-E1C45E1F2A35}" srcOrd="0" destOrd="0" presId="urn:microsoft.com/office/officeart/2008/layout/VerticalCurvedList"/>
    <dgm:cxn modelId="{EEE812F8-1CAF-4354-AE14-37BF0D4A0ACF}" srcId="{6A115ADE-B4F8-4B20-928C-663A85CC3587}" destId="{16C67D44-F53A-4ACE-8117-B79F495EB2F4}" srcOrd="0" destOrd="0" parTransId="{6930558E-3603-4AC6-A5D2-5F983B27BD45}" sibTransId="{4F744DBC-F6AF-445C-B425-A983D15D6731}"/>
    <dgm:cxn modelId="{497A5DFB-A122-457E-8C8F-280E13465661}" srcId="{6A115ADE-B4F8-4B20-928C-663A85CC3587}" destId="{9938C594-50EE-4FEE-AD1D-1913F7831352}" srcOrd="3" destOrd="0" parTransId="{10245901-6510-4E7D-BEBA-3A711ECC8C58}" sibTransId="{E16CE65C-BDC8-4A4F-AB1A-1B25774573B6}"/>
    <dgm:cxn modelId="{B50C2FEB-7796-49ED-8743-7F5851622DBD}" type="presParOf" srcId="{B5384405-FF74-432D-952D-B73ADB07A3C1}" destId="{E62BE186-83C4-44EF-A884-F64F3E9DDE2F}" srcOrd="0" destOrd="0" presId="urn:microsoft.com/office/officeart/2008/layout/VerticalCurvedList"/>
    <dgm:cxn modelId="{E997A7D6-D42C-467D-93C8-14BD49B2FFC8}" type="presParOf" srcId="{E62BE186-83C4-44EF-A884-F64F3E9DDE2F}" destId="{69F597E0-5BAC-4154-B075-B7AB276A2DAD}" srcOrd="0" destOrd="0" presId="urn:microsoft.com/office/officeart/2008/layout/VerticalCurvedList"/>
    <dgm:cxn modelId="{F9FCC73F-4B8C-439B-956C-0E4AFE5F6534}" type="presParOf" srcId="{69F597E0-5BAC-4154-B075-B7AB276A2DAD}" destId="{7A96A40A-D934-47B9-B928-AFC51F8CF76E}" srcOrd="0" destOrd="0" presId="urn:microsoft.com/office/officeart/2008/layout/VerticalCurvedList"/>
    <dgm:cxn modelId="{84175FF0-F5FB-4DD2-822C-FDE87BFF2F47}" type="presParOf" srcId="{69F597E0-5BAC-4154-B075-B7AB276A2DAD}" destId="{D6799315-5106-4A1C-9EFD-E853F322B33D}" srcOrd="1" destOrd="0" presId="urn:microsoft.com/office/officeart/2008/layout/VerticalCurvedList"/>
    <dgm:cxn modelId="{99014058-8C1E-4426-8663-3224ECA59719}" type="presParOf" srcId="{69F597E0-5BAC-4154-B075-B7AB276A2DAD}" destId="{A9964373-5135-4898-AB24-273712B1EFCD}" srcOrd="2" destOrd="0" presId="urn:microsoft.com/office/officeart/2008/layout/VerticalCurvedList"/>
    <dgm:cxn modelId="{266BF2A6-F197-4341-97C2-B65A4C89EC50}" type="presParOf" srcId="{69F597E0-5BAC-4154-B075-B7AB276A2DAD}" destId="{52815A12-F553-4405-B200-C6F81ECDFA53}" srcOrd="3" destOrd="0" presId="urn:microsoft.com/office/officeart/2008/layout/VerticalCurvedList"/>
    <dgm:cxn modelId="{7FCD75A2-6E8B-4873-A304-60D1280440D7}" type="presParOf" srcId="{E62BE186-83C4-44EF-A884-F64F3E9DDE2F}" destId="{287B38BD-14D3-42CA-9B1A-288D64E22B2C}" srcOrd="1" destOrd="0" presId="urn:microsoft.com/office/officeart/2008/layout/VerticalCurvedList"/>
    <dgm:cxn modelId="{2D304322-6DCE-4213-A0BA-1C36311DBB2C}" type="presParOf" srcId="{E62BE186-83C4-44EF-A884-F64F3E9DDE2F}" destId="{7F724854-BE9A-4B02-A561-F001E425BD51}" srcOrd="2" destOrd="0" presId="urn:microsoft.com/office/officeart/2008/layout/VerticalCurvedList"/>
    <dgm:cxn modelId="{66E31484-0AC1-4A58-8DC9-457C44FD1CBB}" type="presParOf" srcId="{7F724854-BE9A-4B02-A561-F001E425BD51}" destId="{6FD6734C-02E3-4C4C-88D8-15B9E29A7ED0}" srcOrd="0" destOrd="0" presId="urn:microsoft.com/office/officeart/2008/layout/VerticalCurvedList"/>
    <dgm:cxn modelId="{708D38F7-4ECF-4CA9-8CA4-CD5925485ED6}" type="presParOf" srcId="{E62BE186-83C4-44EF-A884-F64F3E9DDE2F}" destId="{ED0B4AAD-3D98-4929-B1EC-5030B56314DB}" srcOrd="3" destOrd="0" presId="urn:microsoft.com/office/officeart/2008/layout/VerticalCurvedList"/>
    <dgm:cxn modelId="{082557C6-ED33-42A2-8870-11698B9BAF9A}" type="presParOf" srcId="{E62BE186-83C4-44EF-A884-F64F3E9DDE2F}" destId="{65DDC162-F5F7-418F-970D-B42FF57DC3AC}" srcOrd="4" destOrd="0" presId="urn:microsoft.com/office/officeart/2008/layout/VerticalCurvedList"/>
    <dgm:cxn modelId="{601A73D5-5EC6-48AD-91D1-A97A65B44877}" type="presParOf" srcId="{65DDC162-F5F7-418F-970D-B42FF57DC3AC}" destId="{77D4F62F-30E5-4B40-BD8A-F6CBB16EED43}" srcOrd="0" destOrd="0" presId="urn:microsoft.com/office/officeart/2008/layout/VerticalCurvedList"/>
    <dgm:cxn modelId="{4A10CAE7-4266-4897-9866-FB8E768AA437}" type="presParOf" srcId="{E62BE186-83C4-44EF-A884-F64F3E9DDE2F}" destId="{2FA56100-73A2-414B-BC8B-3BA65F65F671}" srcOrd="5" destOrd="0" presId="urn:microsoft.com/office/officeart/2008/layout/VerticalCurvedList"/>
    <dgm:cxn modelId="{1ECCCECE-99AD-4C81-8859-AE8810C9057C}" type="presParOf" srcId="{E62BE186-83C4-44EF-A884-F64F3E9DDE2F}" destId="{307EFA36-9244-4AB4-8452-D52E9E67C869}" srcOrd="6" destOrd="0" presId="urn:microsoft.com/office/officeart/2008/layout/VerticalCurvedList"/>
    <dgm:cxn modelId="{96163DD6-868F-434F-9AFE-DAE97FD06D24}" type="presParOf" srcId="{307EFA36-9244-4AB4-8452-D52E9E67C869}" destId="{6EE8D5AC-BDF1-40B5-A75E-D0157DA62C41}" srcOrd="0" destOrd="0" presId="urn:microsoft.com/office/officeart/2008/layout/VerticalCurvedList"/>
    <dgm:cxn modelId="{E76B57DF-7A39-4908-8A7E-D48342CFDFB7}" type="presParOf" srcId="{E62BE186-83C4-44EF-A884-F64F3E9DDE2F}" destId="{080A5B96-6410-4208-997D-E1C45E1F2A35}" srcOrd="7" destOrd="0" presId="urn:microsoft.com/office/officeart/2008/layout/VerticalCurvedList"/>
    <dgm:cxn modelId="{016CAB6E-9267-4FE3-81C9-FF50400AA71C}" type="presParOf" srcId="{E62BE186-83C4-44EF-A884-F64F3E9DDE2F}" destId="{1D4F4DA2-8406-4D07-818D-5C2B63143C95}" srcOrd="8" destOrd="0" presId="urn:microsoft.com/office/officeart/2008/layout/VerticalCurvedList"/>
    <dgm:cxn modelId="{EDE78E55-97F4-47E5-AC4C-86ADF63BEE03}" type="presParOf" srcId="{1D4F4DA2-8406-4D07-818D-5C2B63143C95}" destId="{F09ED587-F6A4-4EEA-BB27-637B276FDD0B}" srcOrd="0" destOrd="0" presId="urn:microsoft.com/office/officeart/2008/layout/VerticalCurvedList"/>
    <dgm:cxn modelId="{09DDB901-F81B-4F66-95B3-A8E866726F49}" type="presParOf" srcId="{E62BE186-83C4-44EF-A884-F64F3E9DDE2F}" destId="{16C0764E-54E9-44BE-98F7-8ADF9978356C}" srcOrd="9" destOrd="0" presId="urn:microsoft.com/office/officeart/2008/layout/VerticalCurvedList"/>
    <dgm:cxn modelId="{74C0DA66-EDD1-4094-BDBF-B675A7AEC5C6}" type="presParOf" srcId="{E62BE186-83C4-44EF-A884-F64F3E9DDE2F}" destId="{DFA446E7-71EF-4C18-9A5B-C26E0EF9F473}" srcOrd="10" destOrd="0" presId="urn:microsoft.com/office/officeart/2008/layout/VerticalCurvedList"/>
    <dgm:cxn modelId="{846DCBD1-28EE-453A-BC7D-CD6681EE34EF}" type="presParOf" srcId="{DFA446E7-71EF-4C18-9A5B-C26E0EF9F473}" destId="{1DAEDA1F-5553-4BDB-852B-D7C092DAE450}"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6DD18C-9E78-4FF4-9F5E-A1653EC22A65}"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pPr rtl="1"/>
          <a:endParaRPr lang="he-IL"/>
        </a:p>
      </dgm:t>
    </dgm:pt>
    <dgm:pt modelId="{EBDADD86-1702-449B-A593-DD0F2C74B977}">
      <dgm:prSet phldrT="[טקסט]"/>
      <dgm:spPr/>
      <dgm:t>
        <a:bodyPr/>
        <a:lstStyle/>
        <a:p>
          <a:pPr algn="ctr" rtl="0"/>
          <a:r>
            <a:rPr lang="en-US" b="1"/>
            <a:t>Planning</a:t>
          </a:r>
          <a:endParaRPr lang="he-IL" b="1"/>
        </a:p>
      </dgm:t>
    </dgm:pt>
    <dgm:pt modelId="{8CF5EAF6-CA73-4AFC-9A2A-3A32AB190360}" type="parTrans" cxnId="{C7651416-2E4E-46A6-9FAD-1D7A9ABBDC4D}">
      <dgm:prSet/>
      <dgm:spPr/>
      <dgm:t>
        <a:bodyPr/>
        <a:lstStyle/>
        <a:p>
          <a:pPr algn="ctr" rtl="1"/>
          <a:endParaRPr lang="he-IL" b="1"/>
        </a:p>
      </dgm:t>
    </dgm:pt>
    <dgm:pt modelId="{55EB67C1-2A6C-49A4-B78A-2A30C908AFFE}" type="sibTrans" cxnId="{C7651416-2E4E-46A6-9FAD-1D7A9ABBDC4D}">
      <dgm:prSet/>
      <dgm:spPr/>
      <dgm:t>
        <a:bodyPr/>
        <a:lstStyle/>
        <a:p>
          <a:pPr algn="ctr" rtl="1"/>
          <a:endParaRPr lang="he-IL" b="1"/>
        </a:p>
      </dgm:t>
    </dgm:pt>
    <dgm:pt modelId="{A25AA23E-31A3-4825-8212-1CAF83923546}">
      <dgm:prSet phldrT="[טקסט]"/>
      <dgm:spPr/>
      <dgm:t>
        <a:bodyPr/>
        <a:lstStyle/>
        <a:p>
          <a:pPr algn="ctr" rtl="0"/>
          <a:r>
            <a:rPr lang="en-US" b="1"/>
            <a:t>Purchasing</a:t>
          </a:r>
          <a:endParaRPr lang="he-IL" b="1"/>
        </a:p>
      </dgm:t>
    </dgm:pt>
    <dgm:pt modelId="{278B8DF2-29D5-4F9B-86DB-469E4188A3C3}" type="parTrans" cxnId="{E335E20B-F0E5-4463-A19B-F2A0A07B8BF1}">
      <dgm:prSet/>
      <dgm:spPr/>
      <dgm:t>
        <a:bodyPr/>
        <a:lstStyle/>
        <a:p>
          <a:pPr algn="ctr" rtl="1"/>
          <a:endParaRPr lang="he-IL" b="1"/>
        </a:p>
      </dgm:t>
    </dgm:pt>
    <dgm:pt modelId="{4BBE9CCF-FCBC-46C6-A682-508B48D70607}" type="sibTrans" cxnId="{E335E20B-F0E5-4463-A19B-F2A0A07B8BF1}">
      <dgm:prSet/>
      <dgm:spPr/>
      <dgm:t>
        <a:bodyPr/>
        <a:lstStyle/>
        <a:p>
          <a:pPr algn="ctr" rtl="1"/>
          <a:endParaRPr lang="he-IL" b="1"/>
        </a:p>
      </dgm:t>
    </dgm:pt>
    <dgm:pt modelId="{151E939A-DD88-42C5-A345-BA96D9B580B0}">
      <dgm:prSet phldrT="[טקסט]"/>
      <dgm:spPr/>
      <dgm:t>
        <a:bodyPr/>
        <a:lstStyle/>
        <a:p>
          <a:pPr algn="ctr" rtl="0"/>
          <a:r>
            <a:rPr lang="en-US" b="1"/>
            <a:t>Packaging &amp; Storage</a:t>
          </a:r>
          <a:endParaRPr lang="he-IL" b="1"/>
        </a:p>
      </dgm:t>
    </dgm:pt>
    <dgm:pt modelId="{75290F6D-B31F-4F9D-9CDF-D41253DCE5F0}" type="parTrans" cxnId="{96653981-049A-4F00-A546-A731DD11C27D}">
      <dgm:prSet/>
      <dgm:spPr/>
      <dgm:t>
        <a:bodyPr/>
        <a:lstStyle/>
        <a:p>
          <a:pPr algn="ctr" rtl="1"/>
          <a:endParaRPr lang="he-IL" b="1"/>
        </a:p>
      </dgm:t>
    </dgm:pt>
    <dgm:pt modelId="{C8393511-C545-4348-B638-DC628DCC0BBB}" type="sibTrans" cxnId="{96653981-049A-4F00-A546-A731DD11C27D}">
      <dgm:prSet/>
      <dgm:spPr/>
      <dgm:t>
        <a:bodyPr/>
        <a:lstStyle/>
        <a:p>
          <a:pPr algn="ctr" rtl="1"/>
          <a:endParaRPr lang="he-IL" b="1"/>
        </a:p>
      </dgm:t>
    </dgm:pt>
    <dgm:pt modelId="{2D118E01-0ADD-4511-B238-68218C37579C}">
      <dgm:prSet phldrT="[טקסט]"/>
      <dgm:spPr/>
      <dgm:t>
        <a:bodyPr/>
        <a:lstStyle/>
        <a:p>
          <a:pPr algn="ctr" rtl="0"/>
          <a:r>
            <a:rPr lang="en-US" b="1"/>
            <a:t>Cooking</a:t>
          </a:r>
          <a:endParaRPr lang="he-IL" b="1"/>
        </a:p>
      </dgm:t>
    </dgm:pt>
    <dgm:pt modelId="{CA95B0F5-2598-4FE2-8E59-8F1F0C5FFCC3}" type="parTrans" cxnId="{975FF962-B4FC-4D35-BE94-A07F150DF679}">
      <dgm:prSet/>
      <dgm:spPr/>
      <dgm:t>
        <a:bodyPr/>
        <a:lstStyle/>
        <a:p>
          <a:pPr algn="ctr" rtl="1"/>
          <a:endParaRPr lang="he-IL" b="1"/>
        </a:p>
      </dgm:t>
    </dgm:pt>
    <dgm:pt modelId="{193886C5-3400-4776-82D8-BDC45C3FC926}" type="sibTrans" cxnId="{975FF962-B4FC-4D35-BE94-A07F150DF679}">
      <dgm:prSet/>
      <dgm:spPr/>
      <dgm:t>
        <a:bodyPr/>
        <a:lstStyle/>
        <a:p>
          <a:pPr algn="ctr" rtl="1"/>
          <a:endParaRPr lang="he-IL" b="1"/>
        </a:p>
      </dgm:t>
    </dgm:pt>
    <dgm:pt modelId="{DD3A31FF-92E6-4068-AF05-9C2DCB0D7326}">
      <dgm:prSet phldrT="[טקסט]"/>
      <dgm:spPr/>
      <dgm:t>
        <a:bodyPr/>
        <a:lstStyle/>
        <a:p>
          <a:pPr algn="ctr" rtl="0"/>
          <a:r>
            <a:rPr lang="en-US" b="1"/>
            <a:t>Eating</a:t>
          </a:r>
          <a:endParaRPr lang="he-IL" b="1"/>
        </a:p>
      </dgm:t>
    </dgm:pt>
    <dgm:pt modelId="{6991DC6F-0F8B-44BF-84BD-0BFA9181E9C7}" type="parTrans" cxnId="{36CC7419-703C-4F6C-9BEE-F81EF390341D}">
      <dgm:prSet/>
      <dgm:spPr/>
      <dgm:t>
        <a:bodyPr/>
        <a:lstStyle/>
        <a:p>
          <a:pPr algn="ctr" rtl="1"/>
          <a:endParaRPr lang="he-IL" b="1"/>
        </a:p>
      </dgm:t>
    </dgm:pt>
    <dgm:pt modelId="{8B2E9B10-2F44-4AAE-8FBF-89656FA7BAFD}" type="sibTrans" cxnId="{36CC7419-703C-4F6C-9BEE-F81EF390341D}">
      <dgm:prSet/>
      <dgm:spPr/>
      <dgm:t>
        <a:bodyPr/>
        <a:lstStyle/>
        <a:p>
          <a:pPr algn="ctr" rtl="1"/>
          <a:endParaRPr lang="he-IL" b="1"/>
        </a:p>
      </dgm:t>
    </dgm:pt>
    <dgm:pt modelId="{826FC6BD-D48B-4E15-A7A4-EEDDC943F80A}">
      <dgm:prSet phldrT="[טקסט]"/>
      <dgm:spPr/>
      <dgm:t>
        <a:bodyPr/>
        <a:lstStyle/>
        <a:p>
          <a:pPr algn="ctr" rtl="0"/>
          <a:r>
            <a:rPr lang="en-US" b="1"/>
            <a:t>Handling Leftovers</a:t>
          </a:r>
          <a:endParaRPr lang="he-IL" b="1"/>
        </a:p>
      </dgm:t>
    </dgm:pt>
    <dgm:pt modelId="{B94409E3-0C5A-4518-9913-C812D32FBA6F}" type="parTrans" cxnId="{92EF6657-BD58-4A05-9B3F-85DB0FE00E2E}">
      <dgm:prSet/>
      <dgm:spPr/>
      <dgm:t>
        <a:bodyPr/>
        <a:lstStyle/>
        <a:p>
          <a:pPr algn="ctr" rtl="1"/>
          <a:endParaRPr lang="he-IL" b="1"/>
        </a:p>
      </dgm:t>
    </dgm:pt>
    <dgm:pt modelId="{6934DC0B-CD30-4CA5-AC4A-A592F9883A48}" type="sibTrans" cxnId="{92EF6657-BD58-4A05-9B3F-85DB0FE00E2E}">
      <dgm:prSet/>
      <dgm:spPr/>
      <dgm:t>
        <a:bodyPr/>
        <a:lstStyle/>
        <a:p>
          <a:pPr algn="ctr" rtl="1"/>
          <a:endParaRPr lang="he-IL" b="1"/>
        </a:p>
      </dgm:t>
    </dgm:pt>
    <dgm:pt modelId="{6223F66A-D466-4C11-9104-4F8C56296BB5}" type="pres">
      <dgm:prSet presAssocID="{CE6DD18C-9E78-4FF4-9F5E-A1653EC22A65}" presName="Name0" presStyleCnt="0">
        <dgm:presLayoutVars>
          <dgm:dir/>
          <dgm:animLvl val="lvl"/>
          <dgm:resizeHandles val="exact"/>
        </dgm:presLayoutVars>
      </dgm:prSet>
      <dgm:spPr/>
    </dgm:pt>
    <dgm:pt modelId="{7C2F8F5C-8867-443D-8BCA-575E14E0FA2F}" type="pres">
      <dgm:prSet presAssocID="{826FC6BD-D48B-4E15-A7A4-EEDDC943F80A}" presName="boxAndChildren" presStyleCnt="0"/>
      <dgm:spPr/>
    </dgm:pt>
    <dgm:pt modelId="{E839C101-E522-41D9-9DE7-88EF87B3D122}" type="pres">
      <dgm:prSet presAssocID="{826FC6BD-D48B-4E15-A7A4-EEDDC943F80A}" presName="parentTextBox" presStyleLbl="node1" presStyleIdx="0" presStyleCnt="6"/>
      <dgm:spPr/>
    </dgm:pt>
    <dgm:pt modelId="{41063D54-C051-4D64-83F9-EE682B4E7603}" type="pres">
      <dgm:prSet presAssocID="{8B2E9B10-2F44-4AAE-8FBF-89656FA7BAFD}" presName="sp" presStyleCnt="0"/>
      <dgm:spPr/>
    </dgm:pt>
    <dgm:pt modelId="{E0477D0D-2B14-418D-B3A1-085A2967A1B9}" type="pres">
      <dgm:prSet presAssocID="{DD3A31FF-92E6-4068-AF05-9C2DCB0D7326}" presName="arrowAndChildren" presStyleCnt="0"/>
      <dgm:spPr/>
    </dgm:pt>
    <dgm:pt modelId="{38745D58-EF7B-47EF-B242-7D4E777870AA}" type="pres">
      <dgm:prSet presAssocID="{DD3A31FF-92E6-4068-AF05-9C2DCB0D7326}" presName="parentTextArrow" presStyleLbl="node1" presStyleIdx="1" presStyleCnt="6"/>
      <dgm:spPr/>
    </dgm:pt>
    <dgm:pt modelId="{DE90FFEE-363C-4B27-BEE3-FFF482333325}" type="pres">
      <dgm:prSet presAssocID="{193886C5-3400-4776-82D8-BDC45C3FC926}" presName="sp" presStyleCnt="0"/>
      <dgm:spPr/>
    </dgm:pt>
    <dgm:pt modelId="{946A8D5F-F5E5-4869-A94F-BA7484CFCEF9}" type="pres">
      <dgm:prSet presAssocID="{2D118E01-0ADD-4511-B238-68218C37579C}" presName="arrowAndChildren" presStyleCnt="0"/>
      <dgm:spPr/>
    </dgm:pt>
    <dgm:pt modelId="{E81B72D8-74C0-470A-B77D-FEE87186A34E}" type="pres">
      <dgm:prSet presAssocID="{2D118E01-0ADD-4511-B238-68218C37579C}" presName="parentTextArrow" presStyleLbl="node1" presStyleIdx="2" presStyleCnt="6"/>
      <dgm:spPr/>
    </dgm:pt>
    <dgm:pt modelId="{9FF46EB2-1BC1-4E1B-B2FF-2783B78F0D0B}" type="pres">
      <dgm:prSet presAssocID="{C8393511-C545-4348-B638-DC628DCC0BBB}" presName="sp" presStyleCnt="0"/>
      <dgm:spPr/>
    </dgm:pt>
    <dgm:pt modelId="{3E8CBCE1-6C08-4AE5-A3BC-C337C862FBB1}" type="pres">
      <dgm:prSet presAssocID="{151E939A-DD88-42C5-A345-BA96D9B580B0}" presName="arrowAndChildren" presStyleCnt="0"/>
      <dgm:spPr/>
    </dgm:pt>
    <dgm:pt modelId="{FDF794C9-52C6-4DD8-82C2-10DC224FCDBC}" type="pres">
      <dgm:prSet presAssocID="{151E939A-DD88-42C5-A345-BA96D9B580B0}" presName="parentTextArrow" presStyleLbl="node1" presStyleIdx="3" presStyleCnt="6"/>
      <dgm:spPr/>
    </dgm:pt>
    <dgm:pt modelId="{0537E43E-2555-479E-A0E1-F411B8F8D257}" type="pres">
      <dgm:prSet presAssocID="{4BBE9CCF-FCBC-46C6-A682-508B48D70607}" presName="sp" presStyleCnt="0"/>
      <dgm:spPr/>
    </dgm:pt>
    <dgm:pt modelId="{868B77AE-518C-4032-BEC7-F8443C21C181}" type="pres">
      <dgm:prSet presAssocID="{A25AA23E-31A3-4825-8212-1CAF83923546}" presName="arrowAndChildren" presStyleCnt="0"/>
      <dgm:spPr/>
    </dgm:pt>
    <dgm:pt modelId="{091804B2-F059-47E1-9E2C-DF770775E5EE}" type="pres">
      <dgm:prSet presAssocID="{A25AA23E-31A3-4825-8212-1CAF83923546}" presName="parentTextArrow" presStyleLbl="node1" presStyleIdx="4" presStyleCnt="6"/>
      <dgm:spPr/>
    </dgm:pt>
    <dgm:pt modelId="{6B595293-C5E9-4AC1-9339-EDD3B592B925}" type="pres">
      <dgm:prSet presAssocID="{55EB67C1-2A6C-49A4-B78A-2A30C908AFFE}" presName="sp" presStyleCnt="0"/>
      <dgm:spPr/>
    </dgm:pt>
    <dgm:pt modelId="{FB47BBBC-C393-4141-ADA5-19AEFA4BF3D3}" type="pres">
      <dgm:prSet presAssocID="{EBDADD86-1702-449B-A593-DD0F2C74B977}" presName="arrowAndChildren" presStyleCnt="0"/>
      <dgm:spPr/>
    </dgm:pt>
    <dgm:pt modelId="{1798BC67-E8D3-4D08-ACB2-E623A507E2A3}" type="pres">
      <dgm:prSet presAssocID="{EBDADD86-1702-449B-A593-DD0F2C74B977}" presName="parentTextArrow" presStyleLbl="node1" presStyleIdx="5" presStyleCnt="6" custLinFactNeighborY="-265"/>
      <dgm:spPr/>
    </dgm:pt>
  </dgm:ptLst>
  <dgm:cxnLst>
    <dgm:cxn modelId="{E335E20B-F0E5-4463-A19B-F2A0A07B8BF1}" srcId="{CE6DD18C-9E78-4FF4-9F5E-A1653EC22A65}" destId="{A25AA23E-31A3-4825-8212-1CAF83923546}" srcOrd="1" destOrd="0" parTransId="{278B8DF2-29D5-4F9B-86DB-469E4188A3C3}" sibTransId="{4BBE9CCF-FCBC-46C6-A682-508B48D70607}"/>
    <dgm:cxn modelId="{C7651416-2E4E-46A6-9FAD-1D7A9ABBDC4D}" srcId="{CE6DD18C-9E78-4FF4-9F5E-A1653EC22A65}" destId="{EBDADD86-1702-449B-A593-DD0F2C74B977}" srcOrd="0" destOrd="0" parTransId="{8CF5EAF6-CA73-4AFC-9A2A-3A32AB190360}" sibTransId="{55EB67C1-2A6C-49A4-B78A-2A30C908AFFE}"/>
    <dgm:cxn modelId="{36CC7419-703C-4F6C-9BEE-F81EF390341D}" srcId="{CE6DD18C-9E78-4FF4-9F5E-A1653EC22A65}" destId="{DD3A31FF-92E6-4068-AF05-9C2DCB0D7326}" srcOrd="4" destOrd="0" parTransId="{6991DC6F-0F8B-44BF-84BD-0BFA9181E9C7}" sibTransId="{8B2E9B10-2F44-4AAE-8FBF-89656FA7BAFD}"/>
    <dgm:cxn modelId="{62300F22-3CC3-4142-B89B-8684ED8B6A1F}" type="presOf" srcId="{A25AA23E-31A3-4825-8212-1CAF83923546}" destId="{091804B2-F059-47E1-9E2C-DF770775E5EE}" srcOrd="0" destOrd="0" presId="urn:microsoft.com/office/officeart/2005/8/layout/process4"/>
    <dgm:cxn modelId="{975FF962-B4FC-4D35-BE94-A07F150DF679}" srcId="{CE6DD18C-9E78-4FF4-9F5E-A1653EC22A65}" destId="{2D118E01-0ADD-4511-B238-68218C37579C}" srcOrd="3" destOrd="0" parTransId="{CA95B0F5-2598-4FE2-8E59-8F1F0C5FFCC3}" sibTransId="{193886C5-3400-4776-82D8-BDC45C3FC926}"/>
    <dgm:cxn modelId="{6D6FCA47-5131-4B21-8A9E-45663A498925}" type="presOf" srcId="{CE6DD18C-9E78-4FF4-9F5E-A1653EC22A65}" destId="{6223F66A-D466-4C11-9104-4F8C56296BB5}" srcOrd="0" destOrd="0" presId="urn:microsoft.com/office/officeart/2005/8/layout/process4"/>
    <dgm:cxn modelId="{92EF6657-BD58-4A05-9B3F-85DB0FE00E2E}" srcId="{CE6DD18C-9E78-4FF4-9F5E-A1653EC22A65}" destId="{826FC6BD-D48B-4E15-A7A4-EEDDC943F80A}" srcOrd="5" destOrd="0" parTransId="{B94409E3-0C5A-4518-9913-C812D32FBA6F}" sibTransId="{6934DC0B-CD30-4CA5-AC4A-A592F9883A48}"/>
    <dgm:cxn modelId="{E94BF17D-2DCA-4D89-A11C-CCB00F0EF494}" type="presOf" srcId="{826FC6BD-D48B-4E15-A7A4-EEDDC943F80A}" destId="{E839C101-E522-41D9-9DE7-88EF87B3D122}" srcOrd="0" destOrd="0" presId="urn:microsoft.com/office/officeart/2005/8/layout/process4"/>
    <dgm:cxn modelId="{96653981-049A-4F00-A546-A731DD11C27D}" srcId="{CE6DD18C-9E78-4FF4-9F5E-A1653EC22A65}" destId="{151E939A-DD88-42C5-A345-BA96D9B580B0}" srcOrd="2" destOrd="0" parTransId="{75290F6D-B31F-4F9D-9CDF-D41253DCE5F0}" sibTransId="{C8393511-C545-4348-B638-DC628DCC0BBB}"/>
    <dgm:cxn modelId="{78A2A794-82FA-4C8C-BD49-98394BB5414F}" type="presOf" srcId="{EBDADD86-1702-449B-A593-DD0F2C74B977}" destId="{1798BC67-E8D3-4D08-ACB2-E623A507E2A3}" srcOrd="0" destOrd="0" presId="urn:microsoft.com/office/officeart/2005/8/layout/process4"/>
    <dgm:cxn modelId="{A87F8F99-E029-4DF6-B45B-B461859A4EBE}" type="presOf" srcId="{151E939A-DD88-42C5-A345-BA96D9B580B0}" destId="{FDF794C9-52C6-4DD8-82C2-10DC224FCDBC}" srcOrd="0" destOrd="0" presId="urn:microsoft.com/office/officeart/2005/8/layout/process4"/>
    <dgm:cxn modelId="{96AA05C2-AF81-403B-9F22-5A9939EEE1D4}" type="presOf" srcId="{DD3A31FF-92E6-4068-AF05-9C2DCB0D7326}" destId="{38745D58-EF7B-47EF-B242-7D4E777870AA}" srcOrd="0" destOrd="0" presId="urn:microsoft.com/office/officeart/2005/8/layout/process4"/>
    <dgm:cxn modelId="{93F287C6-2156-4DC3-AD50-2E9F1E91BE40}" type="presOf" srcId="{2D118E01-0ADD-4511-B238-68218C37579C}" destId="{E81B72D8-74C0-470A-B77D-FEE87186A34E}" srcOrd="0" destOrd="0" presId="urn:microsoft.com/office/officeart/2005/8/layout/process4"/>
    <dgm:cxn modelId="{2E44C0F6-460D-42FE-9AD2-CC427D4A2CB6}" type="presParOf" srcId="{6223F66A-D466-4C11-9104-4F8C56296BB5}" destId="{7C2F8F5C-8867-443D-8BCA-575E14E0FA2F}" srcOrd="0" destOrd="0" presId="urn:microsoft.com/office/officeart/2005/8/layout/process4"/>
    <dgm:cxn modelId="{33A04ED6-9C17-4BE0-A403-FDD793452FF9}" type="presParOf" srcId="{7C2F8F5C-8867-443D-8BCA-575E14E0FA2F}" destId="{E839C101-E522-41D9-9DE7-88EF87B3D122}" srcOrd="0" destOrd="0" presId="urn:microsoft.com/office/officeart/2005/8/layout/process4"/>
    <dgm:cxn modelId="{A0807B5D-43E7-4098-946A-2DB9E913CF46}" type="presParOf" srcId="{6223F66A-D466-4C11-9104-4F8C56296BB5}" destId="{41063D54-C051-4D64-83F9-EE682B4E7603}" srcOrd="1" destOrd="0" presId="urn:microsoft.com/office/officeart/2005/8/layout/process4"/>
    <dgm:cxn modelId="{A5E01BC3-3009-412D-A352-7C3244AD2736}" type="presParOf" srcId="{6223F66A-D466-4C11-9104-4F8C56296BB5}" destId="{E0477D0D-2B14-418D-B3A1-085A2967A1B9}" srcOrd="2" destOrd="0" presId="urn:microsoft.com/office/officeart/2005/8/layout/process4"/>
    <dgm:cxn modelId="{95471148-5AC9-4CB5-A08A-13BE15FEBE17}" type="presParOf" srcId="{E0477D0D-2B14-418D-B3A1-085A2967A1B9}" destId="{38745D58-EF7B-47EF-B242-7D4E777870AA}" srcOrd="0" destOrd="0" presId="urn:microsoft.com/office/officeart/2005/8/layout/process4"/>
    <dgm:cxn modelId="{3F316507-B0C7-4206-AC61-DA292A721DFF}" type="presParOf" srcId="{6223F66A-D466-4C11-9104-4F8C56296BB5}" destId="{DE90FFEE-363C-4B27-BEE3-FFF482333325}" srcOrd="3" destOrd="0" presId="urn:microsoft.com/office/officeart/2005/8/layout/process4"/>
    <dgm:cxn modelId="{BB0080D4-9649-4325-BA8D-9DE495A66F07}" type="presParOf" srcId="{6223F66A-D466-4C11-9104-4F8C56296BB5}" destId="{946A8D5F-F5E5-4869-A94F-BA7484CFCEF9}" srcOrd="4" destOrd="0" presId="urn:microsoft.com/office/officeart/2005/8/layout/process4"/>
    <dgm:cxn modelId="{F585C94D-5F62-4BCE-ADC3-FBCC52866105}" type="presParOf" srcId="{946A8D5F-F5E5-4869-A94F-BA7484CFCEF9}" destId="{E81B72D8-74C0-470A-B77D-FEE87186A34E}" srcOrd="0" destOrd="0" presId="urn:microsoft.com/office/officeart/2005/8/layout/process4"/>
    <dgm:cxn modelId="{E6C37B34-A939-4B74-B1A4-167D58415C7A}" type="presParOf" srcId="{6223F66A-D466-4C11-9104-4F8C56296BB5}" destId="{9FF46EB2-1BC1-4E1B-B2FF-2783B78F0D0B}" srcOrd="5" destOrd="0" presId="urn:microsoft.com/office/officeart/2005/8/layout/process4"/>
    <dgm:cxn modelId="{39CC4B29-BED9-4BBB-9484-45FFC3CE41FA}" type="presParOf" srcId="{6223F66A-D466-4C11-9104-4F8C56296BB5}" destId="{3E8CBCE1-6C08-4AE5-A3BC-C337C862FBB1}" srcOrd="6" destOrd="0" presId="urn:microsoft.com/office/officeart/2005/8/layout/process4"/>
    <dgm:cxn modelId="{719A885A-5BCD-4FEF-B4C4-3301CEF7DF7C}" type="presParOf" srcId="{3E8CBCE1-6C08-4AE5-A3BC-C337C862FBB1}" destId="{FDF794C9-52C6-4DD8-82C2-10DC224FCDBC}" srcOrd="0" destOrd="0" presId="urn:microsoft.com/office/officeart/2005/8/layout/process4"/>
    <dgm:cxn modelId="{46E0983F-1635-4ED7-A23A-3AE07A05B47F}" type="presParOf" srcId="{6223F66A-D466-4C11-9104-4F8C56296BB5}" destId="{0537E43E-2555-479E-A0E1-F411B8F8D257}" srcOrd="7" destOrd="0" presId="urn:microsoft.com/office/officeart/2005/8/layout/process4"/>
    <dgm:cxn modelId="{C9D659FA-2E30-4178-98B8-EADC53F63412}" type="presParOf" srcId="{6223F66A-D466-4C11-9104-4F8C56296BB5}" destId="{868B77AE-518C-4032-BEC7-F8443C21C181}" srcOrd="8" destOrd="0" presId="urn:microsoft.com/office/officeart/2005/8/layout/process4"/>
    <dgm:cxn modelId="{C14E8615-5234-43FC-8AAD-FB83ADBD291E}" type="presParOf" srcId="{868B77AE-518C-4032-BEC7-F8443C21C181}" destId="{091804B2-F059-47E1-9E2C-DF770775E5EE}" srcOrd="0" destOrd="0" presId="urn:microsoft.com/office/officeart/2005/8/layout/process4"/>
    <dgm:cxn modelId="{593EDD7A-A1FA-4436-B85C-327DDB8DAAFD}" type="presParOf" srcId="{6223F66A-D466-4C11-9104-4F8C56296BB5}" destId="{6B595293-C5E9-4AC1-9339-EDD3B592B925}" srcOrd="9" destOrd="0" presId="urn:microsoft.com/office/officeart/2005/8/layout/process4"/>
    <dgm:cxn modelId="{27436542-12C8-4773-BDBA-CD31CE5A9095}" type="presParOf" srcId="{6223F66A-D466-4C11-9104-4F8C56296BB5}" destId="{FB47BBBC-C393-4141-ADA5-19AEFA4BF3D3}" srcOrd="10" destOrd="0" presId="urn:microsoft.com/office/officeart/2005/8/layout/process4"/>
    <dgm:cxn modelId="{98A839A1-16DC-441D-B0AC-856BD99C9E65}" type="presParOf" srcId="{FB47BBBC-C393-4141-ADA5-19AEFA4BF3D3}" destId="{1798BC67-E8D3-4D08-ACB2-E623A507E2A3}" srcOrd="0"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99315-5106-4A1C-9EFD-E853F322B33D}">
      <dsp:nvSpPr>
        <dsp:cNvPr id="0" name=""/>
        <dsp:cNvSpPr/>
      </dsp:nvSpPr>
      <dsp:spPr>
        <a:xfrm>
          <a:off x="2397336" y="-342889"/>
          <a:ext cx="2647929" cy="2647929"/>
        </a:xfrm>
        <a:prstGeom prst="blockArc">
          <a:avLst>
            <a:gd name="adj1" fmla="val 8100000"/>
            <a:gd name="adj2" fmla="val 13500000"/>
            <a:gd name="adj3" fmla="val 816"/>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B38BD-14D3-42CA-9B1A-288D64E22B2C}">
      <dsp:nvSpPr>
        <dsp:cNvPr id="0" name=""/>
        <dsp:cNvSpPr/>
      </dsp:nvSpPr>
      <dsp:spPr>
        <a:xfrm>
          <a:off x="21990" y="122595"/>
          <a:ext cx="2616620" cy="245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194744" bIns="30480" numCol="1" spcCol="1270" anchor="ctr" anchorCtr="0">
          <a:noAutofit/>
        </a:bodyPr>
        <a:lstStyle/>
        <a:p>
          <a:pPr marL="0" lvl="0" indent="0" algn="l" defTabSz="533400" rtl="0">
            <a:lnSpc>
              <a:spcPct val="90000"/>
            </a:lnSpc>
            <a:spcBef>
              <a:spcPct val="0"/>
            </a:spcBef>
            <a:spcAft>
              <a:spcPct val="35000"/>
            </a:spcAft>
            <a:buNone/>
          </a:pPr>
          <a:r>
            <a:rPr lang="en-US" sz="1200" b="1" kern="1200"/>
            <a:t>1. Surplus preparation</a:t>
          </a:r>
          <a:endParaRPr lang="he-IL" sz="1200" b="1" kern="1200"/>
        </a:p>
      </dsp:txBody>
      <dsp:txXfrm>
        <a:off x="21990" y="122595"/>
        <a:ext cx="2616620" cy="245347"/>
      </dsp:txXfrm>
    </dsp:sp>
    <dsp:sp modelId="{6FD6734C-02E3-4C4C-88D8-15B9E29A7ED0}">
      <dsp:nvSpPr>
        <dsp:cNvPr id="0" name=""/>
        <dsp:cNvSpPr/>
      </dsp:nvSpPr>
      <dsp:spPr>
        <a:xfrm>
          <a:off x="2485268" y="91926"/>
          <a:ext cx="306684" cy="306684"/>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D0B4AAD-3D98-4929-B1EC-5030B56314DB}">
      <dsp:nvSpPr>
        <dsp:cNvPr id="0" name=""/>
        <dsp:cNvSpPr/>
      </dsp:nvSpPr>
      <dsp:spPr>
        <a:xfrm>
          <a:off x="21990" y="490498"/>
          <a:ext cx="2440811" cy="245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194744" bIns="30480" numCol="1" spcCol="1270" anchor="ctr" anchorCtr="0">
          <a:noAutofit/>
        </a:bodyPr>
        <a:lstStyle/>
        <a:p>
          <a:pPr marL="0" lvl="0" indent="0" algn="l" defTabSz="533400" rtl="0">
            <a:lnSpc>
              <a:spcPct val="90000"/>
            </a:lnSpc>
            <a:spcBef>
              <a:spcPct val="0"/>
            </a:spcBef>
            <a:spcAft>
              <a:spcPct val="35000"/>
            </a:spcAft>
            <a:buNone/>
          </a:pPr>
          <a:r>
            <a:rPr lang="en-US" sz="1200" b="1" kern="1200"/>
            <a:t>2. Expired</a:t>
          </a:r>
          <a:endParaRPr lang="he-IL" sz="1200" b="1" kern="1200"/>
        </a:p>
      </dsp:txBody>
      <dsp:txXfrm>
        <a:off x="21990" y="490498"/>
        <a:ext cx="2440811" cy="245347"/>
      </dsp:txXfrm>
    </dsp:sp>
    <dsp:sp modelId="{77D4F62F-30E5-4B40-BD8A-F6CBB16EED43}">
      <dsp:nvSpPr>
        <dsp:cNvPr id="0" name=""/>
        <dsp:cNvSpPr/>
      </dsp:nvSpPr>
      <dsp:spPr>
        <a:xfrm>
          <a:off x="2309459" y="459829"/>
          <a:ext cx="306684" cy="306684"/>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FA56100-73A2-414B-BC8B-3BA65F65F671}">
      <dsp:nvSpPr>
        <dsp:cNvPr id="0" name=""/>
        <dsp:cNvSpPr/>
      </dsp:nvSpPr>
      <dsp:spPr>
        <a:xfrm>
          <a:off x="21990" y="858401"/>
          <a:ext cx="2386852" cy="245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194744" bIns="30480" numCol="1" spcCol="1270" anchor="ctr" anchorCtr="0">
          <a:noAutofit/>
        </a:bodyPr>
        <a:lstStyle/>
        <a:p>
          <a:pPr marL="0" lvl="0" indent="0" algn="l" defTabSz="533400" rtl="0">
            <a:lnSpc>
              <a:spcPct val="90000"/>
            </a:lnSpc>
            <a:spcBef>
              <a:spcPct val="0"/>
            </a:spcBef>
            <a:spcAft>
              <a:spcPct val="35000"/>
            </a:spcAft>
            <a:buNone/>
          </a:pPr>
          <a:r>
            <a:rPr lang="en-US" sz="1200" b="1" kern="1200"/>
            <a:t>3. Damaged or spilled food</a:t>
          </a:r>
          <a:endParaRPr lang="he-IL" sz="1200" b="1" kern="1200"/>
        </a:p>
      </dsp:txBody>
      <dsp:txXfrm>
        <a:off x="21990" y="858401"/>
        <a:ext cx="2386852" cy="245347"/>
      </dsp:txXfrm>
    </dsp:sp>
    <dsp:sp modelId="{6EE8D5AC-BDF1-40B5-A75E-D0157DA62C41}">
      <dsp:nvSpPr>
        <dsp:cNvPr id="0" name=""/>
        <dsp:cNvSpPr/>
      </dsp:nvSpPr>
      <dsp:spPr>
        <a:xfrm>
          <a:off x="2255500" y="827732"/>
          <a:ext cx="306684" cy="306684"/>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80A5B96-6410-4208-997D-E1C45E1F2A35}">
      <dsp:nvSpPr>
        <dsp:cNvPr id="0" name=""/>
        <dsp:cNvSpPr/>
      </dsp:nvSpPr>
      <dsp:spPr>
        <a:xfrm>
          <a:off x="21990" y="1226304"/>
          <a:ext cx="2440811" cy="245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194744" bIns="30480" numCol="1" spcCol="1270" anchor="ctr" anchorCtr="0">
          <a:noAutofit/>
        </a:bodyPr>
        <a:lstStyle/>
        <a:p>
          <a:pPr marL="0" lvl="0" indent="0" algn="l" defTabSz="533400" rtl="0">
            <a:lnSpc>
              <a:spcPct val="90000"/>
            </a:lnSpc>
            <a:spcBef>
              <a:spcPct val="0"/>
            </a:spcBef>
            <a:spcAft>
              <a:spcPct val="35000"/>
            </a:spcAft>
            <a:buNone/>
          </a:pPr>
          <a:r>
            <a:rPr lang="en-US" sz="1200" b="1" kern="1200"/>
            <a:t>4. Poor preparation/cooking</a:t>
          </a:r>
          <a:endParaRPr lang="he-IL" sz="1200" b="1" kern="1200"/>
        </a:p>
      </dsp:txBody>
      <dsp:txXfrm>
        <a:off x="21990" y="1226304"/>
        <a:ext cx="2440811" cy="245347"/>
      </dsp:txXfrm>
    </dsp:sp>
    <dsp:sp modelId="{F09ED587-F6A4-4EEA-BB27-637B276FDD0B}">
      <dsp:nvSpPr>
        <dsp:cNvPr id="0" name=""/>
        <dsp:cNvSpPr/>
      </dsp:nvSpPr>
      <dsp:spPr>
        <a:xfrm>
          <a:off x="2309459" y="1195636"/>
          <a:ext cx="306684" cy="306684"/>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6C0764E-54E9-44BE-98F7-8ADF9978356C}">
      <dsp:nvSpPr>
        <dsp:cNvPr id="0" name=""/>
        <dsp:cNvSpPr/>
      </dsp:nvSpPr>
      <dsp:spPr>
        <a:xfrm>
          <a:off x="21990" y="1594207"/>
          <a:ext cx="2616620" cy="245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194744" bIns="30480" numCol="1" spcCol="1270" anchor="ctr" anchorCtr="0">
          <a:noAutofit/>
        </a:bodyPr>
        <a:lstStyle/>
        <a:p>
          <a:pPr marL="0" lvl="0" indent="0" algn="l" defTabSz="533400" rtl="0">
            <a:lnSpc>
              <a:spcPct val="90000"/>
            </a:lnSpc>
            <a:spcBef>
              <a:spcPct val="0"/>
            </a:spcBef>
            <a:spcAft>
              <a:spcPct val="35000"/>
            </a:spcAft>
            <a:buNone/>
          </a:pPr>
          <a:r>
            <a:rPr lang="en-US" sz="1200" b="1" kern="1200"/>
            <a:t>5. Excess purchasing</a:t>
          </a:r>
          <a:endParaRPr lang="he-IL" sz="1200" b="1" kern="1200"/>
        </a:p>
      </dsp:txBody>
      <dsp:txXfrm>
        <a:off x="21990" y="1594207"/>
        <a:ext cx="2616620" cy="245347"/>
      </dsp:txXfrm>
    </dsp:sp>
    <dsp:sp modelId="{1DAEDA1F-5553-4BDB-852B-D7C092DAE450}">
      <dsp:nvSpPr>
        <dsp:cNvPr id="0" name=""/>
        <dsp:cNvSpPr/>
      </dsp:nvSpPr>
      <dsp:spPr>
        <a:xfrm>
          <a:off x="2485268" y="1563539"/>
          <a:ext cx="306684" cy="306684"/>
        </a:xfrm>
        <a:prstGeom prst="ellipse">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9C101-E522-41D9-9DE7-88EF87B3D122}">
      <dsp:nvSpPr>
        <dsp:cNvPr id="0" name=""/>
        <dsp:cNvSpPr/>
      </dsp:nvSpPr>
      <dsp:spPr>
        <a:xfrm>
          <a:off x="0" y="1873381"/>
          <a:ext cx="1904365" cy="245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US" sz="800" b="1" kern="1200"/>
            <a:t>Handling Leftovers</a:t>
          </a:r>
          <a:endParaRPr lang="he-IL" sz="800" b="1" kern="1200"/>
        </a:p>
      </dsp:txBody>
      <dsp:txXfrm>
        <a:off x="0" y="1873381"/>
        <a:ext cx="1904365" cy="245880"/>
      </dsp:txXfrm>
    </dsp:sp>
    <dsp:sp modelId="{38745D58-EF7B-47EF-B242-7D4E777870AA}">
      <dsp:nvSpPr>
        <dsp:cNvPr id="0" name=""/>
        <dsp:cNvSpPr/>
      </dsp:nvSpPr>
      <dsp:spPr>
        <a:xfrm rot="10800000">
          <a:off x="0" y="1498905"/>
          <a:ext cx="1904365" cy="3781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US" sz="800" b="1" kern="1200"/>
            <a:t>Eating</a:t>
          </a:r>
          <a:endParaRPr lang="he-IL" sz="800" b="1" kern="1200"/>
        </a:p>
      </dsp:txBody>
      <dsp:txXfrm rot="10800000">
        <a:off x="0" y="1498905"/>
        <a:ext cx="1904365" cy="245719"/>
      </dsp:txXfrm>
    </dsp:sp>
    <dsp:sp modelId="{E81B72D8-74C0-470A-B77D-FEE87186A34E}">
      <dsp:nvSpPr>
        <dsp:cNvPr id="0" name=""/>
        <dsp:cNvSpPr/>
      </dsp:nvSpPr>
      <dsp:spPr>
        <a:xfrm rot="10800000">
          <a:off x="0" y="1124430"/>
          <a:ext cx="1904365" cy="3781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US" sz="800" b="1" kern="1200"/>
            <a:t>Cooking</a:t>
          </a:r>
          <a:endParaRPr lang="he-IL" sz="800" b="1" kern="1200"/>
        </a:p>
      </dsp:txBody>
      <dsp:txXfrm rot="10800000">
        <a:off x="0" y="1124430"/>
        <a:ext cx="1904365" cy="245719"/>
      </dsp:txXfrm>
    </dsp:sp>
    <dsp:sp modelId="{FDF794C9-52C6-4DD8-82C2-10DC224FCDBC}">
      <dsp:nvSpPr>
        <dsp:cNvPr id="0" name=""/>
        <dsp:cNvSpPr/>
      </dsp:nvSpPr>
      <dsp:spPr>
        <a:xfrm rot="10800000">
          <a:off x="0" y="749954"/>
          <a:ext cx="1904365" cy="3781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US" sz="800" b="1" kern="1200"/>
            <a:t>Packaging &amp; Storage</a:t>
          </a:r>
          <a:endParaRPr lang="he-IL" sz="800" b="1" kern="1200"/>
        </a:p>
      </dsp:txBody>
      <dsp:txXfrm rot="10800000">
        <a:off x="0" y="749954"/>
        <a:ext cx="1904365" cy="245719"/>
      </dsp:txXfrm>
    </dsp:sp>
    <dsp:sp modelId="{091804B2-F059-47E1-9E2C-DF770775E5EE}">
      <dsp:nvSpPr>
        <dsp:cNvPr id="0" name=""/>
        <dsp:cNvSpPr/>
      </dsp:nvSpPr>
      <dsp:spPr>
        <a:xfrm rot="10800000">
          <a:off x="0" y="375478"/>
          <a:ext cx="1904365" cy="3781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US" sz="800" b="1" kern="1200"/>
            <a:t>Purchasing</a:t>
          </a:r>
          <a:endParaRPr lang="he-IL" sz="800" b="1" kern="1200"/>
        </a:p>
      </dsp:txBody>
      <dsp:txXfrm rot="10800000">
        <a:off x="0" y="375478"/>
        <a:ext cx="1904365" cy="245719"/>
      </dsp:txXfrm>
    </dsp:sp>
    <dsp:sp modelId="{1798BC67-E8D3-4D08-ACB2-E623A507E2A3}">
      <dsp:nvSpPr>
        <dsp:cNvPr id="0" name=""/>
        <dsp:cNvSpPr/>
      </dsp:nvSpPr>
      <dsp:spPr>
        <a:xfrm rot="10800000">
          <a:off x="0" y="0"/>
          <a:ext cx="1904365" cy="3781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n-US" sz="800" b="1" kern="1200"/>
            <a:t>Planning</a:t>
          </a:r>
          <a:endParaRPr lang="he-IL" sz="800" b="1" kern="1200"/>
        </a:p>
      </dsp:txBody>
      <dsp:txXfrm rot="10800000">
        <a:off x="0" y="0"/>
        <a:ext cx="1904365" cy="245719"/>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0.49678</cdr:x>
      <cdr:y>0.08527</cdr:y>
    </cdr:from>
    <cdr:to>
      <cdr:x>0.83757</cdr:x>
      <cdr:y>0.2093</cdr:y>
    </cdr:to>
    <cdr:sp macro="" textlink="">
      <cdr:nvSpPr>
        <cdr:cNvPr id="4" name="Rounded Rectangle 3"/>
        <cdr:cNvSpPr/>
      </cdr:nvSpPr>
      <cdr:spPr>
        <a:xfrm xmlns:a="http://schemas.openxmlformats.org/drawingml/2006/main">
          <a:off x="2790825" y="209550"/>
          <a:ext cx="1914525" cy="304800"/>
        </a:xfrm>
        <a:prstGeom xmlns:a="http://schemas.openxmlformats.org/drawingml/2006/main" prst="roundRect">
          <a:avLst/>
        </a:prstGeom>
        <a:noFill xmlns:a="http://schemas.openxmlformats.org/drawingml/2006/main"/>
        <a:ln xmlns:a="http://schemas.openxmlformats.org/drawingml/2006/main" w="12700">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Rate</a:t>
          </a:r>
          <a:r>
            <a:rPr lang="en-US" baseline="0">
              <a:solidFill>
                <a:sysClr val="windowText" lastClr="000000"/>
              </a:solidFill>
            </a:rPr>
            <a:t> of Waste: 15% and more</a:t>
          </a:r>
          <a:endParaRPr lang="en-US">
            <a:solidFill>
              <a:sysClr val="windowText" lastClr="000000"/>
            </a:solidFill>
          </a:endParaRPr>
        </a:p>
      </cdr:txBody>
    </cdr:sp>
  </cdr:relSizeAnchor>
  <cdr:relSizeAnchor xmlns:cdr="http://schemas.openxmlformats.org/drawingml/2006/chartDrawing">
    <cdr:from>
      <cdr:x>0.14412</cdr:x>
      <cdr:y>0.51163</cdr:y>
    </cdr:from>
    <cdr:to>
      <cdr:x>0.42557</cdr:x>
      <cdr:y>0.63566</cdr:y>
    </cdr:to>
    <cdr:sp macro="" textlink="">
      <cdr:nvSpPr>
        <cdr:cNvPr id="5" name="Rounded Rectangle 4"/>
        <cdr:cNvSpPr/>
      </cdr:nvSpPr>
      <cdr:spPr>
        <a:xfrm xmlns:a="http://schemas.openxmlformats.org/drawingml/2006/main">
          <a:off x="809626" y="1257300"/>
          <a:ext cx="1581150" cy="304800"/>
        </a:xfrm>
        <a:prstGeom xmlns:a="http://schemas.openxmlformats.org/drawingml/2006/main" prst="roundRect">
          <a:avLst/>
        </a:prstGeom>
        <a:solidFill xmlns:a="http://schemas.openxmlformats.org/drawingml/2006/main">
          <a:schemeClr val="bg1">
            <a:alpha val="61000"/>
          </a:schemeClr>
        </a:solidFill>
        <a:ln xmlns:a="http://schemas.openxmlformats.org/drawingml/2006/main" w="12700">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Rate</a:t>
          </a:r>
          <a:r>
            <a:rPr lang="en-US" baseline="0">
              <a:solidFill>
                <a:sysClr val="windowText" lastClr="000000"/>
              </a:solidFill>
            </a:rPr>
            <a:t> of Waste: 6%-15% </a:t>
          </a:r>
          <a:endParaRPr lang="en-US">
            <a:solidFill>
              <a:sysClr val="windowText" lastClr="00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03CD-1761-42F3-80D3-A2ABA51B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46</Pages>
  <Words>9778</Words>
  <Characters>55736</Characters>
  <Application>Microsoft Office Word</Application>
  <DocSecurity>0</DocSecurity>
  <Lines>464</Lines>
  <Paragraphs>130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dc:creator>
  <cp:lastModifiedBy>Liron</cp:lastModifiedBy>
  <cp:revision>11</cp:revision>
  <cp:lastPrinted>2016-12-19T16:49:00Z</cp:lastPrinted>
  <dcterms:created xsi:type="dcterms:W3CDTF">2019-02-12T11:46:00Z</dcterms:created>
  <dcterms:modified xsi:type="dcterms:W3CDTF">2019-02-14T11:31:00Z</dcterms:modified>
</cp:coreProperties>
</file>