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FFCC2" w14:textId="77777777" w:rsidR="00BE638E" w:rsidRDefault="00BE638E" w:rsidP="00BE638E">
      <w:pPr>
        <w:bidi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14408F8C" w14:textId="2A94DAA4" w:rsidR="00BE638E" w:rsidRDefault="00BE638E" w:rsidP="00BE638E">
      <w:pPr>
        <w:bidi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Temple Jewish literature having become a well-established field in its own right, it can now boast of its own (scholarly) traditions. LAB is widely accepted as falling into the “Rewritten Bible” category identified by Vermes as a particular form of exegesis. As long as the latter was treated as just such a type of biblical interpretation, the compositional techniques it employs thus tended to be regarded as part of the “Jewish literary/hermeneutical tool[box].” This article demonstrates that in referring to one historical event in the framework of an account relating to another, later incident and the drawing of a comparison between the two, LAB in fact conforms to the conventions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exemplum – </w:t>
      </w:r>
      <w:r>
        <w:rPr>
          <w:rFonts w:ascii="Times New Roman" w:hAnsi="Times New Roman" w:cs="Times New Roman"/>
          <w:sz w:val="24"/>
          <w:szCs w:val="24"/>
        </w:rPr>
        <w:t>at least in the specific case of Jephthah’s daughter (LAB 39,10-40,9). This passage thus reveals that the author draws not only upon biblical techniques but also classical rhetorical devices in rewriting Scripture.</w:t>
      </w:r>
    </w:p>
    <w:p w14:paraId="2B948A70" w14:textId="7C8FC1C0" w:rsidR="00643535" w:rsidRDefault="00643535" w:rsidP="00643535">
      <w:pPr>
        <w:bidi w:val="0"/>
        <w:spacing w:after="120"/>
        <w:rPr>
          <w:rFonts w:ascii="Times New Roman" w:hAnsi="Times New Roman" w:cs="Times New Roman"/>
          <w:sz w:val="24"/>
          <w:szCs w:val="24"/>
        </w:rPr>
      </w:pPr>
    </w:p>
    <w:p w14:paraId="3208E580" w14:textId="09761E01" w:rsidR="00643535" w:rsidRPr="002965F9" w:rsidRDefault="002965F9" w:rsidP="00643535">
      <w:pPr>
        <w:bidi w:val="0"/>
        <w:spacing w:after="12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 d</w:t>
      </w:r>
      <w:r w:rsidR="00643535" w:rsidRPr="002965F9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r w:rsidRPr="002965F9">
        <w:rPr>
          <w:rFonts w:ascii="Times New Roman" w:hAnsi="Times New Roman" w:cs="Times New Roman"/>
          <w:sz w:val="24"/>
          <w:szCs w:val="24"/>
          <w:lang w:val="de-DE"/>
        </w:rPr>
        <w:t>jüdische Second Temple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-Literatur mittlerweile ein 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>wohl</w:t>
      </w:r>
      <w:r>
        <w:rPr>
          <w:rFonts w:ascii="Times New Roman" w:hAnsi="Times New Roman" w:cs="Times New Roman"/>
          <w:sz w:val="24"/>
          <w:szCs w:val="24"/>
          <w:lang w:val="de-DE"/>
        </w:rPr>
        <w:t>etabliertes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Forschungsfeld </w:t>
      </w:r>
      <w:r w:rsidR="00A11CCA">
        <w:rPr>
          <w:rFonts w:ascii="Times New Roman" w:hAnsi="Times New Roman" w:cs="Times New Roman"/>
          <w:sz w:val="24"/>
          <w:szCs w:val="24"/>
          <w:lang w:val="de-DE"/>
        </w:rPr>
        <w:t>bildet</w:t>
      </w:r>
      <w:r>
        <w:rPr>
          <w:rFonts w:ascii="Times New Roman" w:hAnsi="Times New Roman" w:cs="Times New Roman"/>
          <w:sz w:val="24"/>
          <w:szCs w:val="24"/>
          <w:lang w:val="de-DE"/>
        </w:rPr>
        <w:t>, hat sie natürlich auch ihre eigenen (wissenschaftlichen) Traditionen. LAB wird in diesem Kontext weithin der Kategorie „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Rewritten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Bible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“ zugeordnet, die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Vermes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als Sonderform der Exegese begründet hat. Solange </w:t>
      </w:r>
      <w:r w:rsidR="00A11CCA">
        <w:rPr>
          <w:rFonts w:ascii="Times New Roman" w:hAnsi="Times New Roman" w:cs="Times New Roman"/>
          <w:sz w:val="24"/>
          <w:szCs w:val="24"/>
          <w:lang w:val="de-DE"/>
        </w:rPr>
        <w:t>sie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nur als </w:t>
      </w:r>
      <w:r w:rsidR="00A11CCA">
        <w:rPr>
          <w:rFonts w:ascii="Times New Roman" w:hAnsi="Times New Roman" w:cs="Times New Roman"/>
          <w:sz w:val="24"/>
          <w:szCs w:val="24"/>
          <w:lang w:val="de-DE"/>
        </w:rPr>
        <w:t>dieser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Typ biblischer Auslegung behandelt wurde, 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>neigte man dazu,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ihre Kompositionstechniken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als Teil des „literarischen/hermeneutischen Instrumentariums jüdischer Tradition“ anzusehen. Dieser Artikel will zeigen, dass LAB in der Auseinandersetzung mit einem historischen Ereignis im Rahmen einer Erzählung, die sich auf ein</w:t>
      </w:r>
      <w:r w:rsidR="00120EBE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andere, spätere</w:t>
      </w:r>
      <w:r w:rsidR="00120EBE">
        <w:rPr>
          <w:rFonts w:ascii="Times New Roman" w:hAnsi="Times New Roman" w:cs="Times New Roman"/>
          <w:sz w:val="24"/>
          <w:szCs w:val="24"/>
          <w:lang w:val="de-DE"/>
        </w:rPr>
        <w:t xml:space="preserve"> Begebenheit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bezieht </w:t>
      </w:r>
      <w:r w:rsidR="00120EBE">
        <w:rPr>
          <w:rFonts w:ascii="Times New Roman" w:hAnsi="Times New Roman" w:cs="Times New Roman"/>
          <w:sz w:val="24"/>
          <w:szCs w:val="24"/>
          <w:lang w:val="de-DE"/>
        </w:rPr>
        <w:t>sowie im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Vergleich beider tatsächlich die Kriterien eines </w:t>
      </w:r>
      <w:r w:rsidR="00182864" w:rsidRPr="003700F0">
        <w:rPr>
          <w:rFonts w:ascii="Times New Roman" w:hAnsi="Times New Roman" w:cs="Times New Roman"/>
          <w:i/>
          <w:iCs/>
          <w:sz w:val="24"/>
          <w:szCs w:val="24"/>
          <w:lang w:val="de-DE"/>
        </w:rPr>
        <w:t>exemplum</w:t>
      </w:r>
      <w:r w:rsidR="00182864">
        <w:rPr>
          <w:rFonts w:ascii="Times New Roman" w:hAnsi="Times New Roman" w:cs="Times New Roman"/>
          <w:sz w:val="24"/>
          <w:szCs w:val="24"/>
          <w:lang w:val="de-DE"/>
        </w:rPr>
        <w:t xml:space="preserve"> erfüllt – zumindest i</w:t>
      </w:r>
      <w:r w:rsidR="003700F0">
        <w:rPr>
          <w:rFonts w:ascii="Times New Roman" w:hAnsi="Times New Roman" w:cs="Times New Roman"/>
          <w:sz w:val="24"/>
          <w:szCs w:val="24"/>
          <w:lang w:val="de-DE"/>
        </w:rPr>
        <w:t xml:space="preserve">m speziellen Fall von </w:t>
      </w:r>
      <w:proofErr w:type="spellStart"/>
      <w:r w:rsidR="003700F0">
        <w:rPr>
          <w:rFonts w:ascii="Times New Roman" w:hAnsi="Times New Roman" w:cs="Times New Roman"/>
          <w:sz w:val="24"/>
          <w:szCs w:val="24"/>
          <w:lang w:val="de-DE"/>
        </w:rPr>
        <w:t>Jephthas</w:t>
      </w:r>
      <w:proofErr w:type="spellEnd"/>
      <w:r w:rsidR="003700F0">
        <w:rPr>
          <w:rFonts w:ascii="Times New Roman" w:hAnsi="Times New Roman" w:cs="Times New Roman"/>
          <w:sz w:val="24"/>
          <w:szCs w:val="24"/>
          <w:lang w:val="de-DE"/>
        </w:rPr>
        <w:t xml:space="preserve"> Tochter (LAB 39,10-40,9). Diese Textstelle offenbart, dass der Verfasser nicht nur biblische Techniken, sondern auch klassische rhetorische Mittel bei der Umschreibung der Schrift einsetzt.</w:t>
      </w:r>
    </w:p>
    <w:p w14:paraId="0BCFA503" w14:textId="77777777" w:rsidR="001F5478" w:rsidRPr="002965F9" w:rsidRDefault="001F5478">
      <w:pPr>
        <w:rPr>
          <w:lang w:val="de-DE"/>
        </w:rPr>
      </w:pPr>
    </w:p>
    <w:sectPr w:rsidR="001F5478" w:rsidRPr="002965F9" w:rsidSect="00F42CA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8E"/>
    <w:rsid w:val="00120EBE"/>
    <w:rsid w:val="00182864"/>
    <w:rsid w:val="001F5478"/>
    <w:rsid w:val="002965F9"/>
    <w:rsid w:val="003700F0"/>
    <w:rsid w:val="00643535"/>
    <w:rsid w:val="00A11CCA"/>
    <w:rsid w:val="00BE638E"/>
    <w:rsid w:val="00F4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C0B"/>
  <w15:chartTrackingRefBased/>
  <w15:docId w15:val="{0064D338-F46A-4B2E-99CC-27C63377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638E"/>
    <w:pPr>
      <w:bidi/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 Livneh</dc:creator>
  <cp:keywords/>
  <dc:description/>
  <cp:lastModifiedBy>Jan Heberlein</cp:lastModifiedBy>
  <cp:revision>3</cp:revision>
  <dcterms:created xsi:type="dcterms:W3CDTF">2020-07-22T06:22:00Z</dcterms:created>
  <dcterms:modified xsi:type="dcterms:W3CDTF">2020-07-27T08:24:00Z</dcterms:modified>
</cp:coreProperties>
</file>