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5C935" w14:textId="660B2E01" w:rsidR="00583B16" w:rsidRPr="0039072E" w:rsidRDefault="00583B16" w:rsidP="0039072E">
      <w:pPr>
        <w:pStyle w:val="Heading1"/>
        <w:spacing w:before="120"/>
        <w:rPr>
          <w:rFonts w:asciiTheme="majorBidi" w:hAnsiTheme="majorBidi"/>
          <w:b/>
          <w:bCs/>
          <w:color w:val="000000" w:themeColor="text1"/>
          <w:sz w:val="24"/>
          <w:szCs w:val="24"/>
        </w:rPr>
      </w:pPr>
      <w:r w:rsidRPr="0039072E">
        <w:rPr>
          <w:rFonts w:asciiTheme="majorBidi" w:hAnsiTheme="majorBidi"/>
          <w:b/>
          <w:bCs/>
          <w:color w:val="000000" w:themeColor="text1"/>
          <w:sz w:val="24"/>
          <w:szCs w:val="24"/>
        </w:rPr>
        <w:t xml:space="preserve">The </w:t>
      </w:r>
      <w:proofErr w:type="spellStart"/>
      <w:r w:rsidRPr="0039072E">
        <w:rPr>
          <w:rFonts w:asciiTheme="majorBidi" w:hAnsiTheme="majorBidi"/>
          <w:b/>
          <w:bCs/>
          <w:i/>
          <w:iCs/>
          <w:color w:val="000000" w:themeColor="text1"/>
          <w:sz w:val="24"/>
          <w:szCs w:val="24"/>
        </w:rPr>
        <w:t>Mahapa</w:t>
      </w:r>
      <w:r w:rsidR="00C82B8B" w:rsidRPr="0039072E">
        <w:rPr>
          <w:rFonts w:asciiTheme="majorBidi" w:hAnsiTheme="majorBidi"/>
          <w:b/>
          <w:bCs/>
          <w:i/>
          <w:iCs/>
          <w:color w:val="000000" w:themeColor="text1"/>
          <w:sz w:val="24"/>
          <w:szCs w:val="24"/>
        </w:rPr>
        <w:t>k</w:t>
      </w:r>
      <w:r w:rsidRPr="0039072E">
        <w:rPr>
          <w:rFonts w:asciiTheme="majorBidi" w:hAnsiTheme="majorBidi"/>
          <w:b/>
          <w:bCs/>
          <w:i/>
          <w:iCs/>
          <w:color w:val="000000" w:themeColor="text1"/>
          <w:sz w:val="24"/>
          <w:szCs w:val="24"/>
        </w:rPr>
        <w:t>h</w:t>
      </w:r>
      <w:proofErr w:type="spellEnd"/>
      <w:r w:rsidRPr="0039072E">
        <w:rPr>
          <w:rFonts w:asciiTheme="majorBidi" w:hAnsiTheme="majorBidi"/>
          <w:b/>
          <w:bCs/>
          <w:color w:val="000000" w:themeColor="text1"/>
          <w:sz w:val="24"/>
          <w:szCs w:val="24"/>
        </w:rPr>
        <w:t>: Short and to the Point</w:t>
      </w:r>
    </w:p>
    <w:p w14:paraId="45FB4D84" w14:textId="77777777" w:rsidR="00556DEB" w:rsidRPr="00556DEB" w:rsidRDefault="00556DEB" w:rsidP="0039072E">
      <w:pPr>
        <w:spacing w:before="120"/>
      </w:pPr>
    </w:p>
    <w:p w14:paraId="0F44ACA8" w14:textId="0AF4BE11" w:rsidR="00D765AE" w:rsidRDefault="00041F37" w:rsidP="0039072E">
      <w:pPr>
        <w:pStyle w:val="SB"/>
        <w:spacing w:before="120" w:after="0"/>
        <w:rPr>
          <w:rtl/>
        </w:rPr>
      </w:pPr>
      <w:r>
        <w:t>“Ladies and gentlemen, a ‘</w:t>
      </w:r>
      <w:proofErr w:type="spellStart"/>
      <w:r w:rsidRPr="0039072E">
        <w:rPr>
          <w:i/>
          <w:iCs/>
        </w:rPr>
        <w:t>Mahapa</w:t>
      </w:r>
      <w:r w:rsidR="00C82B8B" w:rsidRPr="0039072E">
        <w:rPr>
          <w:i/>
          <w:iCs/>
        </w:rPr>
        <w:t>k</w:t>
      </w:r>
      <w:r w:rsidRPr="0039072E">
        <w:rPr>
          <w:i/>
          <w:iCs/>
        </w:rPr>
        <w:t>h</w:t>
      </w:r>
      <w:proofErr w:type="spellEnd"/>
      <w:r w:rsidR="008D6568">
        <w:t>!’</w:t>
      </w:r>
      <w:r>
        <w:t xml:space="preserve"> (</w:t>
      </w:r>
      <w:r w:rsidR="00487B46">
        <w:t xml:space="preserve">political upheaval)” </w:t>
      </w:r>
      <w:r w:rsidR="00F730F1">
        <w:t>announced</w:t>
      </w:r>
      <w:r w:rsidR="00487B46">
        <w:t xml:space="preserve"> television </w:t>
      </w:r>
      <w:r w:rsidR="000E3D71">
        <w:t xml:space="preserve">presenter </w:t>
      </w:r>
      <w:r w:rsidR="008D6568">
        <w:t xml:space="preserve">Haim </w:t>
      </w:r>
      <w:proofErr w:type="spellStart"/>
      <w:r w:rsidR="008D6568">
        <w:t>Yavin</w:t>
      </w:r>
      <w:proofErr w:type="spellEnd"/>
      <w:r w:rsidR="008D6568">
        <w:t xml:space="preserve">, </w:t>
      </w:r>
      <w:r w:rsidR="00F730F1">
        <w:t>the moment</w:t>
      </w:r>
      <w:r w:rsidR="008D6568">
        <w:t xml:space="preserve"> he was informed of the Likud victory in the Israeli elections</w:t>
      </w:r>
      <w:r w:rsidR="00487B46">
        <w:t xml:space="preserve"> </w:t>
      </w:r>
      <w:r w:rsidR="008D6568">
        <w:t xml:space="preserve">of May 1977. The exclamation </w:t>
      </w:r>
      <w:r w:rsidR="000E3D71">
        <w:t>‘</w:t>
      </w:r>
      <w:proofErr w:type="spellStart"/>
      <w:r w:rsidR="008D6568" w:rsidRPr="0039072E">
        <w:rPr>
          <w:i/>
          <w:iCs/>
        </w:rPr>
        <w:t>Mahapa</w:t>
      </w:r>
      <w:r w:rsidR="00C82B8B" w:rsidRPr="0039072E">
        <w:rPr>
          <w:i/>
          <w:iCs/>
        </w:rPr>
        <w:t>k</w:t>
      </w:r>
      <w:r w:rsidR="008D6568" w:rsidRPr="0039072E">
        <w:rPr>
          <w:i/>
          <w:iCs/>
        </w:rPr>
        <w:t>h</w:t>
      </w:r>
      <w:proofErr w:type="spellEnd"/>
      <w:r w:rsidR="000E3D71">
        <w:t>’</w:t>
      </w:r>
      <w:r w:rsidR="008D6568">
        <w:t xml:space="preserve"> expressed astonishment as well as anticipation of dramatic change in the </w:t>
      </w:r>
      <w:r w:rsidR="008D6568">
        <w:rPr>
          <w:rFonts w:asciiTheme="majorBidi" w:hAnsiTheme="majorBidi" w:cstheme="majorBidi"/>
        </w:rPr>
        <w:t>political</w:t>
      </w:r>
      <w:r w:rsidR="008D6568">
        <w:t xml:space="preserve"> system: For the first time in the annals of Zionism and </w:t>
      </w:r>
      <w:r w:rsidR="008D6568">
        <w:rPr>
          <w:rFonts w:asciiTheme="majorBidi" w:hAnsiTheme="majorBidi" w:cstheme="majorBidi"/>
        </w:rPr>
        <w:t>Israel</w:t>
      </w:r>
      <w:r w:rsidR="008D6568">
        <w:t xml:space="preserve">, the Likud, the </w:t>
      </w:r>
      <w:r w:rsidR="008D6568">
        <w:rPr>
          <w:rFonts w:asciiTheme="majorBidi" w:hAnsiTheme="majorBidi" w:cstheme="majorBidi"/>
        </w:rPr>
        <w:t>political</w:t>
      </w:r>
      <w:r w:rsidR="008D6568">
        <w:t xml:space="preserve"> </w:t>
      </w:r>
      <w:r w:rsidR="00A85970">
        <w:t xml:space="preserve">incarnation </w:t>
      </w:r>
      <w:r w:rsidR="008D6568">
        <w:t xml:space="preserve">of the </w:t>
      </w:r>
      <w:commentRangeStart w:id="0"/>
      <w:r w:rsidR="008D6568">
        <w:t xml:space="preserve">Revisionist </w:t>
      </w:r>
      <w:commentRangeEnd w:id="0"/>
      <w:r w:rsidR="00556DEB">
        <w:rPr>
          <w:rStyle w:val="CommentReference"/>
          <w:rFonts w:asciiTheme="minorHAnsi" w:hAnsiTheme="minorHAnsi"/>
        </w:rPr>
        <w:commentReference w:id="0"/>
      </w:r>
      <w:r w:rsidR="008D6568">
        <w:t xml:space="preserve">movement founded in 1925, </w:t>
      </w:r>
      <w:r w:rsidR="008D6568" w:rsidRPr="008D6568">
        <w:t>had taken over</w:t>
      </w:r>
      <w:r w:rsidR="008D6568">
        <w:t xml:space="preserve"> the government</w:t>
      </w:r>
      <w:r w:rsidR="008A5048">
        <w:t>,</w:t>
      </w:r>
      <w:r w:rsidR="008D6568">
        <w:t xml:space="preserve"> under the leadership of Menachem Begin.</w:t>
      </w:r>
    </w:p>
    <w:p w14:paraId="58A0578F" w14:textId="011B9581" w:rsidR="008D6568" w:rsidRDefault="008D6568" w:rsidP="0039072E">
      <w:pPr>
        <w:pStyle w:val="SB"/>
        <w:spacing w:before="120" w:after="0"/>
        <w:rPr>
          <w:rFonts w:asciiTheme="majorBidi" w:hAnsiTheme="majorBidi" w:cstheme="majorBidi"/>
        </w:rPr>
      </w:pPr>
      <w:r>
        <w:t xml:space="preserve">From our perspective of 40 years, </w:t>
      </w:r>
      <w:r w:rsidR="00217E50">
        <w:t xml:space="preserve">we know that </w:t>
      </w:r>
      <w:r>
        <w:t xml:space="preserve">the </w:t>
      </w:r>
      <w:proofErr w:type="spellStart"/>
      <w:r w:rsidRPr="0039072E">
        <w:rPr>
          <w:i/>
          <w:iCs/>
        </w:rPr>
        <w:t>Mahapa</w:t>
      </w:r>
      <w:r w:rsidR="00C82B8B" w:rsidRPr="0039072E">
        <w:rPr>
          <w:i/>
          <w:iCs/>
        </w:rPr>
        <w:t>k</w:t>
      </w:r>
      <w:r w:rsidRPr="0039072E">
        <w:rPr>
          <w:i/>
          <w:iCs/>
        </w:rPr>
        <w:t>h</w:t>
      </w:r>
      <w:proofErr w:type="spellEnd"/>
      <w:r w:rsidR="008A5048">
        <w:rPr>
          <w:i/>
          <w:iCs/>
        </w:rPr>
        <w:t xml:space="preserve"> </w:t>
      </w:r>
      <w:r w:rsidR="00881C30">
        <w:t>deeply affect</w:t>
      </w:r>
      <w:r w:rsidR="008A5048">
        <w:t>ed</w:t>
      </w:r>
      <w:r w:rsidR="00881C30">
        <w:t xml:space="preserve"> </w:t>
      </w:r>
      <w:r w:rsidR="00881C30">
        <w:rPr>
          <w:rFonts w:asciiTheme="majorBidi" w:hAnsiTheme="majorBidi" w:cstheme="majorBidi"/>
        </w:rPr>
        <w:t>Israel</w:t>
      </w:r>
      <w:r w:rsidR="00881C30">
        <w:t xml:space="preserve">’s </w:t>
      </w:r>
      <w:r w:rsidR="00F730F1">
        <w:t xml:space="preserve">political </w:t>
      </w:r>
      <w:proofErr w:type="gramStart"/>
      <w:r w:rsidR="008A5048">
        <w:t>trajectory</w:t>
      </w:r>
      <w:proofErr w:type="gramEnd"/>
      <w:r w:rsidR="008A5048">
        <w:t xml:space="preserve"> </w:t>
      </w:r>
      <w:r w:rsidR="00881C30">
        <w:t>but it must not be understood as a surprising</w:t>
      </w:r>
      <w:r w:rsidR="006420D4" w:rsidRPr="0039072E">
        <w:rPr>
          <w:highlight w:val="green"/>
        </w:rPr>
        <w:t xml:space="preserve">, </w:t>
      </w:r>
      <w:r w:rsidR="00BA10F4" w:rsidRPr="008A5048">
        <w:rPr>
          <w:highlight w:val="green"/>
        </w:rPr>
        <w:t>unforeseen</w:t>
      </w:r>
      <w:r w:rsidR="00881C30">
        <w:t xml:space="preserve"> event. It was the outcome of historical, sociological and </w:t>
      </w:r>
      <w:r w:rsidR="00881C30">
        <w:rPr>
          <w:rFonts w:asciiTheme="majorBidi" w:hAnsiTheme="majorBidi" w:cstheme="majorBidi"/>
        </w:rPr>
        <w:t>political</w:t>
      </w:r>
      <w:r w:rsidR="00881C30">
        <w:t xml:space="preserve"> developments that were consolidated over an extended </w:t>
      </w:r>
      <w:proofErr w:type="gramStart"/>
      <w:r w:rsidR="00881C30">
        <w:t>time period</w:t>
      </w:r>
      <w:proofErr w:type="gramEnd"/>
      <w:r w:rsidR="00881C30">
        <w:t>, mainly in the pre</w:t>
      </w:r>
      <w:r w:rsidR="006420D4">
        <w:t>c</w:t>
      </w:r>
      <w:r w:rsidR="00881C30">
        <w:t>eding decade</w:t>
      </w:r>
      <w:r w:rsidR="00F730F1">
        <w:t xml:space="preserve">, and erupted </w:t>
      </w:r>
      <w:r w:rsidR="00881C30">
        <w:t xml:space="preserve">on </w:t>
      </w:r>
      <w:r w:rsidR="00556DEB">
        <w:t>of the day of elections for</w:t>
      </w:r>
      <w:r w:rsidR="00881C30">
        <w:t xml:space="preserve"> the Ninth Knesset. I will attempt to briefly address the ramifications of the </w:t>
      </w:r>
      <w:proofErr w:type="spellStart"/>
      <w:r w:rsidR="00881C30" w:rsidRPr="0039072E">
        <w:rPr>
          <w:i/>
          <w:iCs/>
        </w:rPr>
        <w:t>Mahapa</w:t>
      </w:r>
      <w:r w:rsidR="00C82B8B" w:rsidRPr="0039072E">
        <w:rPr>
          <w:i/>
          <w:iCs/>
        </w:rPr>
        <w:t>k</w:t>
      </w:r>
      <w:r w:rsidR="00881C30" w:rsidRPr="0039072E">
        <w:rPr>
          <w:i/>
          <w:iCs/>
        </w:rPr>
        <w:t>h</w:t>
      </w:r>
      <w:proofErr w:type="spellEnd"/>
      <w:r w:rsidR="00881C30">
        <w:t xml:space="preserve"> </w:t>
      </w:r>
      <w:r w:rsidR="00556DEB">
        <w:t xml:space="preserve">for </w:t>
      </w:r>
      <w:r w:rsidR="00881C30">
        <w:t xml:space="preserve">contemporary </w:t>
      </w:r>
      <w:r w:rsidR="00881C30">
        <w:rPr>
          <w:rFonts w:asciiTheme="majorBidi" w:hAnsiTheme="majorBidi" w:cstheme="majorBidi"/>
        </w:rPr>
        <w:t xml:space="preserve">politics, but first I </w:t>
      </w:r>
      <w:r w:rsidR="00556DEB">
        <w:rPr>
          <w:rFonts w:asciiTheme="majorBidi" w:hAnsiTheme="majorBidi" w:cstheme="majorBidi"/>
        </w:rPr>
        <w:t xml:space="preserve">will deal with </w:t>
      </w:r>
      <w:r w:rsidR="006C51F6">
        <w:rPr>
          <w:rFonts w:asciiTheme="majorBidi" w:hAnsiTheme="majorBidi" w:cstheme="majorBidi"/>
        </w:rPr>
        <w:t>the main reasons for its emergence</w:t>
      </w:r>
      <w:r w:rsidR="00881C30">
        <w:rPr>
          <w:rFonts w:asciiTheme="majorBidi" w:hAnsiTheme="majorBidi" w:cstheme="majorBidi"/>
        </w:rPr>
        <w:t>.</w:t>
      </w:r>
    </w:p>
    <w:p w14:paraId="1A4C0170" w14:textId="05774035" w:rsidR="00881C30" w:rsidRDefault="00881C30" w:rsidP="0039072E">
      <w:pPr>
        <w:pStyle w:val="SB"/>
        <w:spacing w:before="120" w:after="0"/>
      </w:pPr>
      <w:r>
        <w:t xml:space="preserve">The Yom Kippur war erupted in </w:t>
      </w:r>
      <w:r>
        <w:rPr>
          <w:rFonts w:asciiTheme="majorBidi" w:hAnsiTheme="majorBidi" w:cstheme="majorBidi"/>
        </w:rPr>
        <w:t xml:space="preserve">October </w:t>
      </w:r>
      <w:r>
        <w:t xml:space="preserve">1973 and caught the </w:t>
      </w:r>
      <w:r>
        <w:rPr>
          <w:rFonts w:asciiTheme="majorBidi" w:hAnsiTheme="majorBidi" w:cstheme="majorBidi"/>
        </w:rPr>
        <w:t xml:space="preserve">Israel Defense Forces </w:t>
      </w:r>
      <w:r>
        <w:t>(IDF) unprepared for the Egyptian and Syrian assaults</w:t>
      </w:r>
      <w:r w:rsidR="006420D4">
        <w:t>;</w:t>
      </w:r>
      <w:r>
        <w:t xml:space="preserve"> </w:t>
      </w:r>
      <w:r w:rsidR="006420D4">
        <w:t>these</w:t>
      </w:r>
      <w:r>
        <w:t xml:space="preserve"> exacted the heavy price of thousands of slain and wounded </w:t>
      </w:r>
      <w:r w:rsidR="006C51F6" w:rsidRPr="006C51F6">
        <w:rPr>
          <w:highlight w:val="green"/>
        </w:rPr>
        <w:t>Israeli</w:t>
      </w:r>
      <w:r w:rsidR="006C51F6">
        <w:t xml:space="preserve"> </w:t>
      </w:r>
      <w:r>
        <w:t xml:space="preserve">soldiers. For the first time in the history of the state, </w:t>
      </w:r>
      <w:r w:rsidR="00D50B8D">
        <w:t>a</w:t>
      </w:r>
      <w:r>
        <w:t xml:space="preserve"> war led to widespread, grass-roots demonstrations that crossed all sectors and parties</w:t>
      </w:r>
      <w:r w:rsidR="006C51F6">
        <w:t xml:space="preserve"> in</w:t>
      </w:r>
      <w:r>
        <w:t xml:space="preserve"> </w:t>
      </w:r>
      <w:r w:rsidR="00D50B8D">
        <w:t>a</w:t>
      </w:r>
      <w:r>
        <w:t xml:space="preserve"> </w:t>
      </w:r>
      <w:proofErr w:type="gramStart"/>
      <w:r>
        <w:t>protest against</w:t>
      </w:r>
      <w:proofErr w:type="gramEnd"/>
      <w:r>
        <w:t xml:space="preserve"> the failures of the leadership, headed by</w:t>
      </w:r>
      <w:r w:rsidR="00DA3C61">
        <w:t xml:space="preserve"> senior members of the </w:t>
      </w:r>
      <w:r w:rsidR="00556DEB">
        <w:t>Alignment (today’s Israeli Labor Party).</w:t>
      </w:r>
      <w:r w:rsidR="00DA3C61">
        <w:t xml:space="preserve"> Even though the </w:t>
      </w:r>
      <w:r w:rsidR="00556DEB">
        <w:t xml:space="preserve">Alignment </w:t>
      </w:r>
      <w:r w:rsidR="00CA2475">
        <w:t xml:space="preserve">still won the elections that were held immediately after the war ended (in </w:t>
      </w:r>
      <w:r w:rsidR="00CA2475">
        <w:rPr>
          <w:rFonts w:asciiTheme="majorBidi" w:hAnsiTheme="majorBidi" w:cstheme="majorBidi"/>
        </w:rPr>
        <w:t xml:space="preserve">December </w:t>
      </w:r>
      <w:r w:rsidR="00CA2475">
        <w:t xml:space="preserve">1973), it turned </w:t>
      </w:r>
      <w:r w:rsidR="00CA2475">
        <w:lastRenderedPageBreak/>
        <w:t xml:space="preserve">out that </w:t>
      </w:r>
      <w:r w:rsidR="006C51F6">
        <w:t xml:space="preserve">the </w:t>
      </w:r>
      <w:r w:rsidR="00CA2475">
        <w:t>trauma erupt</w:t>
      </w:r>
      <w:r w:rsidR="006C51F6">
        <w:t>ed</w:t>
      </w:r>
      <w:r w:rsidR="00CA2475">
        <w:t xml:space="preserve"> belatedly, as</w:t>
      </w:r>
      <w:r w:rsidR="00D50B8D">
        <w:t xml:space="preserve"> traumas usually do according to </w:t>
      </w:r>
      <w:r w:rsidR="00CA2475">
        <w:t>Sigmund Freud. It took the public another four years to express their protests at the ballot-box.</w:t>
      </w:r>
    </w:p>
    <w:p w14:paraId="70DFDC28" w14:textId="45A91915" w:rsidR="006420D4" w:rsidRDefault="00CA2475" w:rsidP="0039072E">
      <w:pPr>
        <w:pStyle w:val="SB"/>
        <w:spacing w:before="120" w:after="0"/>
      </w:pPr>
      <w:r>
        <w:t xml:space="preserve">The </w:t>
      </w:r>
      <w:proofErr w:type="spellStart"/>
      <w:r w:rsidRPr="0039072E">
        <w:rPr>
          <w:i/>
          <w:iCs/>
        </w:rPr>
        <w:t>Mahapa</w:t>
      </w:r>
      <w:r w:rsidR="00C82B8B" w:rsidRPr="0039072E">
        <w:rPr>
          <w:i/>
          <w:iCs/>
        </w:rPr>
        <w:t>k</w:t>
      </w:r>
      <w:r w:rsidRPr="0039072E">
        <w:rPr>
          <w:i/>
          <w:iCs/>
        </w:rPr>
        <w:t>h</w:t>
      </w:r>
      <w:proofErr w:type="spellEnd"/>
      <w:r>
        <w:t xml:space="preserve"> must </w:t>
      </w:r>
      <w:r w:rsidR="00556DEB">
        <w:t xml:space="preserve">also </w:t>
      </w:r>
      <w:r>
        <w:t xml:space="preserve">be understood </w:t>
      </w:r>
      <w:r w:rsidR="00556DEB">
        <w:t xml:space="preserve">against </w:t>
      </w:r>
      <w:r>
        <w:t xml:space="preserve">the background of the changes that </w:t>
      </w:r>
      <w:r w:rsidR="00556DEB">
        <w:t xml:space="preserve">were taking </w:t>
      </w:r>
      <w:r>
        <w:t xml:space="preserve">place in the </w:t>
      </w:r>
      <w:r>
        <w:rPr>
          <w:rFonts w:asciiTheme="majorBidi" w:hAnsiTheme="majorBidi" w:cstheme="majorBidi"/>
        </w:rPr>
        <w:t>political</w:t>
      </w:r>
      <w:r>
        <w:t xml:space="preserve"> system. Begin </w:t>
      </w:r>
      <w:r w:rsidR="00556DEB">
        <w:t>came</w:t>
      </w:r>
      <w:r w:rsidR="00D50B8D">
        <w:t xml:space="preserve"> a long way</w:t>
      </w:r>
      <w:r w:rsidR="006420D4">
        <w:t xml:space="preserve"> </w:t>
      </w:r>
      <w:r w:rsidR="00556DEB">
        <w:t>between founding</w:t>
      </w:r>
      <w:r>
        <w:t xml:space="preserve"> the </w:t>
      </w:r>
      <w:r w:rsidR="008A5048">
        <w:t xml:space="preserve">1948 founding of </w:t>
      </w:r>
      <w:proofErr w:type="spellStart"/>
      <w:r>
        <w:t>Herut</w:t>
      </w:r>
      <w:proofErr w:type="spellEnd"/>
      <w:r w:rsidR="008A5048">
        <w:t xml:space="preserve"> </w:t>
      </w:r>
      <w:r w:rsidR="0020645F">
        <w:t>–</w:t>
      </w:r>
      <w:r>
        <w:t xml:space="preserve"> </w:t>
      </w:r>
      <w:r w:rsidR="006C51F6">
        <w:t xml:space="preserve">then </w:t>
      </w:r>
      <w:r>
        <w:t xml:space="preserve">a radical party </w:t>
      </w:r>
      <w:r w:rsidR="0020645F">
        <w:t>of</w:t>
      </w:r>
      <w:r>
        <w:t xml:space="preserve"> activists who had belonged to the </w:t>
      </w:r>
      <w:commentRangeStart w:id="1"/>
      <w:r>
        <w:t xml:space="preserve">Etzel </w:t>
      </w:r>
      <w:commentRangeEnd w:id="1"/>
      <w:r w:rsidR="004946D9">
        <w:rPr>
          <w:rStyle w:val="CommentReference"/>
          <w:rFonts w:asciiTheme="minorHAnsi" w:hAnsiTheme="minorHAnsi"/>
        </w:rPr>
        <w:commentReference w:id="1"/>
      </w:r>
      <w:r>
        <w:t xml:space="preserve">underground </w:t>
      </w:r>
      <w:r w:rsidR="006C51F6">
        <w:t>organization</w:t>
      </w:r>
      <w:r>
        <w:t xml:space="preserve"> </w:t>
      </w:r>
      <w:r w:rsidR="006C51F6">
        <w:t>or were</w:t>
      </w:r>
      <w:r>
        <w:t xml:space="preserve"> members of the Revisionist movement</w:t>
      </w:r>
      <w:r w:rsidR="0020645F">
        <w:t xml:space="preserve"> – </w:t>
      </w:r>
      <w:r w:rsidR="00556DEB">
        <w:t xml:space="preserve">and </w:t>
      </w:r>
      <w:r w:rsidR="0020645F">
        <w:t xml:space="preserve">the formation of the Likud in 1973. (The Likud </w:t>
      </w:r>
      <w:r w:rsidR="00284B1A">
        <w:t xml:space="preserve">party </w:t>
      </w:r>
      <w:r w:rsidR="0020645F">
        <w:t xml:space="preserve">included </w:t>
      </w:r>
      <w:proofErr w:type="spellStart"/>
      <w:r w:rsidR="0020645F">
        <w:t>Herut</w:t>
      </w:r>
      <w:proofErr w:type="spellEnd"/>
      <w:r w:rsidR="0020645F">
        <w:t xml:space="preserve"> members, the Liberal party, and </w:t>
      </w:r>
      <w:r w:rsidR="00284B1A">
        <w:t xml:space="preserve">small </w:t>
      </w:r>
      <w:r w:rsidR="0020645F">
        <w:t xml:space="preserve">satellite parties that supported the </w:t>
      </w:r>
      <w:r w:rsidR="00964025">
        <w:t xml:space="preserve">idea of </w:t>
      </w:r>
      <w:r w:rsidR="0020645F" w:rsidRPr="0020645F">
        <w:t>Greater Israel</w:t>
      </w:r>
      <w:r w:rsidR="0020645F">
        <w:t>.)</w:t>
      </w:r>
      <w:r w:rsidR="00284B1A">
        <w:t xml:space="preserve"> In </w:t>
      </w:r>
      <w:r w:rsidR="00964025">
        <w:t xml:space="preserve">Israel’s </w:t>
      </w:r>
      <w:r w:rsidR="00284B1A">
        <w:t>first elections</w:t>
      </w:r>
      <w:r w:rsidR="00964025">
        <w:t>,</w:t>
      </w:r>
      <w:r w:rsidR="00284B1A">
        <w:t xml:space="preserve"> held in 1949, </w:t>
      </w:r>
      <w:proofErr w:type="spellStart"/>
      <w:r w:rsidR="00284B1A">
        <w:t>Herut</w:t>
      </w:r>
      <w:proofErr w:type="spellEnd"/>
      <w:r w:rsidR="00284B1A">
        <w:t xml:space="preserve"> focused on call</w:t>
      </w:r>
      <w:r w:rsidR="00964025">
        <w:t>ing</w:t>
      </w:r>
      <w:r w:rsidR="00284B1A">
        <w:t xml:space="preserve"> for the enlargement of the state’s borders even at the </w:t>
      </w:r>
      <w:r w:rsidR="00D50B8D">
        <w:t>price</w:t>
      </w:r>
      <w:r w:rsidR="00284B1A">
        <w:t xml:space="preserve"> of another war, </w:t>
      </w:r>
      <w:r w:rsidR="00964025">
        <w:t xml:space="preserve">and </w:t>
      </w:r>
      <w:r w:rsidR="00284B1A">
        <w:t xml:space="preserve">it </w:t>
      </w:r>
      <w:r w:rsidR="00964025">
        <w:t xml:space="preserve">failed to achieve its goal of becoming the country’s main opposition party, winning only 14 seats. (In 1951 the party fell to just eight seats.) </w:t>
      </w:r>
      <w:r w:rsidR="005872E4">
        <w:t xml:space="preserve">Meanwhile the policy of David Ben-Gurion, </w:t>
      </w:r>
      <w:r w:rsidR="00964025">
        <w:t xml:space="preserve">prime minister and </w:t>
      </w:r>
      <w:r w:rsidR="005872E4">
        <w:t xml:space="preserve">chairman </w:t>
      </w:r>
      <w:r w:rsidR="00964025">
        <w:t xml:space="preserve">of </w:t>
      </w:r>
      <w:proofErr w:type="spellStart"/>
      <w:r w:rsidR="00964025">
        <w:t>Mapai</w:t>
      </w:r>
      <w:proofErr w:type="spellEnd"/>
      <w:r w:rsidR="00964025">
        <w:t xml:space="preserve"> (the ruling party which later constituted part of the Alignment)</w:t>
      </w:r>
      <w:r w:rsidR="005872E4">
        <w:t xml:space="preserve">, was to negate the very legitimacy of </w:t>
      </w:r>
      <w:proofErr w:type="spellStart"/>
      <w:r w:rsidR="005872E4">
        <w:t>Herut</w:t>
      </w:r>
      <w:proofErr w:type="spellEnd"/>
      <w:r w:rsidR="005872E4">
        <w:t xml:space="preserve"> and </w:t>
      </w:r>
      <w:r w:rsidR="00964025">
        <w:t xml:space="preserve">to </w:t>
      </w:r>
      <w:r w:rsidR="006C51F6">
        <w:t>exclude</w:t>
      </w:r>
      <w:r w:rsidR="005872E4">
        <w:t xml:space="preserve"> </w:t>
      </w:r>
      <w:r w:rsidR="000C332C">
        <w:t xml:space="preserve">it, </w:t>
      </w:r>
      <w:r w:rsidR="00F80D63">
        <w:t>along with</w:t>
      </w:r>
      <w:r w:rsidR="000C332C">
        <w:t xml:space="preserve"> </w:t>
      </w:r>
      <w:r w:rsidR="00964025">
        <w:t>the Israeli Communist Party (</w:t>
      </w:r>
      <w:r w:rsidR="005872E4">
        <w:t>Maki</w:t>
      </w:r>
      <w:r w:rsidR="00964025">
        <w:t>)</w:t>
      </w:r>
      <w:r w:rsidR="005872E4">
        <w:t xml:space="preserve"> </w:t>
      </w:r>
      <w:r w:rsidR="006C51F6">
        <w:t xml:space="preserve">from </w:t>
      </w:r>
      <w:r w:rsidR="002E25DC">
        <w:t xml:space="preserve">any </w:t>
      </w:r>
      <w:r w:rsidR="006C51F6">
        <w:t>coalition he formed</w:t>
      </w:r>
      <w:r w:rsidR="005872E4">
        <w:t xml:space="preserve">. </w:t>
      </w:r>
    </w:p>
    <w:p w14:paraId="570DECC1" w14:textId="130804F8" w:rsidR="00CA2475" w:rsidRDefault="005872E4" w:rsidP="0039072E">
      <w:pPr>
        <w:pStyle w:val="SB"/>
        <w:spacing w:before="120" w:after="0"/>
        <w:rPr>
          <w:rFonts w:asciiTheme="majorBidi" w:hAnsiTheme="majorBidi" w:cstheme="majorBidi"/>
        </w:rPr>
      </w:pPr>
      <w:r>
        <w:t xml:space="preserve">Therefore, </w:t>
      </w:r>
      <w:r w:rsidR="006420D4">
        <w:t>in the 1950s</w:t>
      </w:r>
      <w:r>
        <w:rPr>
          <w:rStyle w:val="FootnoteReference"/>
        </w:rPr>
        <w:footnoteReference w:id="1"/>
      </w:r>
      <w:r>
        <w:t xml:space="preserve"> </w:t>
      </w:r>
      <w:r w:rsidR="0019144B">
        <w:t xml:space="preserve">Begin began to work on broadening his electoral base </w:t>
      </w:r>
      <w:r w:rsidR="006420D4">
        <w:t xml:space="preserve">and </w:t>
      </w:r>
      <w:proofErr w:type="spellStart"/>
      <w:r>
        <w:t>Herut</w:t>
      </w:r>
      <w:proofErr w:type="spellEnd"/>
      <w:r>
        <w:t xml:space="preserve"> merged with the </w:t>
      </w:r>
      <w:r w:rsidRPr="00E6414A">
        <w:t>Liberal party</w:t>
      </w:r>
      <w:r w:rsidR="006420D4">
        <w:t xml:space="preserve"> in 1965</w:t>
      </w:r>
      <w:r w:rsidRPr="00E6414A">
        <w:t xml:space="preserve">. In order to pave the way for an alliance with the religious parties, </w:t>
      </w:r>
      <w:proofErr w:type="gramStart"/>
      <w:r w:rsidRPr="00E6414A">
        <w:t>Begin</w:t>
      </w:r>
      <w:proofErr w:type="gramEnd"/>
      <w:r w:rsidRPr="00E6414A">
        <w:t xml:space="preserve"> </w:t>
      </w:r>
      <w:r w:rsidR="00F36EF4">
        <w:t>abandoned previous</w:t>
      </w:r>
      <w:r w:rsidR="0019144B">
        <w:t xml:space="preserve"> efforts to create a</w:t>
      </w:r>
      <w:r w:rsidR="00E6414A" w:rsidRPr="00E6414A">
        <w:t xml:space="preserve"> constitution</w:t>
      </w:r>
      <w:r w:rsidR="00F36EF4">
        <w:t>,</w:t>
      </w:r>
      <w:r w:rsidR="00E6414A" w:rsidRPr="00E6414A">
        <w:t xml:space="preserve"> even though </w:t>
      </w:r>
      <w:r w:rsidR="0019144B">
        <w:t>such a goal had</w:t>
      </w:r>
      <w:r w:rsidR="00E6414A" w:rsidRPr="00E6414A">
        <w:t xml:space="preserve"> originally appeared in the </w:t>
      </w:r>
      <w:proofErr w:type="spellStart"/>
      <w:r w:rsidR="00E6414A" w:rsidRPr="00E6414A">
        <w:t>Herut</w:t>
      </w:r>
      <w:proofErr w:type="spellEnd"/>
      <w:r w:rsidR="00E6414A" w:rsidRPr="00E6414A">
        <w:t xml:space="preserve"> political platform.</w:t>
      </w:r>
      <w:r w:rsidR="00E6414A">
        <w:t xml:space="preserve"> In June 1967, on the eve of the Six Day War, </w:t>
      </w:r>
      <w:proofErr w:type="spellStart"/>
      <w:r w:rsidR="00E6414A">
        <w:t>Herut</w:t>
      </w:r>
      <w:proofErr w:type="spellEnd"/>
      <w:r w:rsidR="00E6414A">
        <w:t xml:space="preserve"> joined the unity </w:t>
      </w:r>
      <w:r w:rsidR="00E6414A">
        <w:rPr>
          <w:rFonts w:asciiTheme="majorBidi" w:hAnsiTheme="majorBidi" w:cstheme="majorBidi"/>
        </w:rPr>
        <w:t>government of Levi Eshkol</w:t>
      </w:r>
      <w:r w:rsidR="007B0AC4">
        <w:rPr>
          <w:rFonts w:asciiTheme="majorBidi" w:hAnsiTheme="majorBidi" w:cstheme="majorBidi"/>
        </w:rPr>
        <w:t xml:space="preserve">, who </w:t>
      </w:r>
      <w:r w:rsidR="0019144B">
        <w:rPr>
          <w:rFonts w:asciiTheme="majorBidi" w:hAnsiTheme="majorBidi" w:cstheme="majorBidi"/>
        </w:rPr>
        <w:t xml:space="preserve">had </w:t>
      </w:r>
      <w:r w:rsidR="00E6414A">
        <w:rPr>
          <w:rFonts w:asciiTheme="majorBidi" w:hAnsiTheme="majorBidi" w:cstheme="majorBidi"/>
        </w:rPr>
        <w:lastRenderedPageBreak/>
        <w:t>replaced Ben</w:t>
      </w:r>
      <w:r w:rsidR="00F80D63">
        <w:rPr>
          <w:rFonts w:asciiTheme="majorBidi" w:hAnsiTheme="majorBidi" w:cstheme="majorBidi"/>
        </w:rPr>
        <w:t>-</w:t>
      </w:r>
      <w:r w:rsidR="00E6414A">
        <w:rPr>
          <w:rFonts w:asciiTheme="majorBidi" w:hAnsiTheme="majorBidi" w:cstheme="majorBidi"/>
        </w:rPr>
        <w:t xml:space="preserve">Gurion </w:t>
      </w:r>
      <w:r w:rsidR="007B0AC4">
        <w:rPr>
          <w:rFonts w:asciiTheme="majorBidi" w:hAnsiTheme="majorBidi" w:cstheme="majorBidi"/>
        </w:rPr>
        <w:t xml:space="preserve">after the latter resigned </w:t>
      </w:r>
      <w:r w:rsidR="00E6414A">
        <w:rPr>
          <w:rFonts w:asciiTheme="majorBidi" w:hAnsiTheme="majorBidi" w:cstheme="majorBidi"/>
        </w:rPr>
        <w:t>in 1963</w:t>
      </w:r>
      <w:r w:rsidR="007B0AC4">
        <w:rPr>
          <w:rFonts w:asciiTheme="majorBidi" w:hAnsiTheme="majorBidi" w:cstheme="majorBidi"/>
        </w:rPr>
        <w:t xml:space="preserve">, and who presented a more open ideological approach with respect to the </w:t>
      </w:r>
      <w:r w:rsidR="00E6414A">
        <w:rPr>
          <w:rFonts w:asciiTheme="majorBidi" w:hAnsiTheme="majorBidi" w:cstheme="majorBidi"/>
        </w:rPr>
        <w:t>Revisionists.</w:t>
      </w:r>
    </w:p>
    <w:p w14:paraId="4C409CA0" w14:textId="3719675F" w:rsidR="00E6414A" w:rsidRDefault="007B0AC4" w:rsidP="0039072E">
      <w:pPr>
        <w:pStyle w:val="SB"/>
        <w:spacing w:before="120" w:after="0"/>
      </w:pPr>
      <w:r>
        <w:t xml:space="preserve">Ideological changes also influenced </w:t>
      </w:r>
      <w:r w:rsidR="00E6414A">
        <w:t xml:space="preserve">the </w:t>
      </w:r>
      <w:proofErr w:type="spellStart"/>
      <w:r w:rsidR="00E6414A" w:rsidRPr="0039072E">
        <w:rPr>
          <w:i/>
          <w:iCs/>
        </w:rPr>
        <w:t>Mahapa</w:t>
      </w:r>
      <w:r w:rsidR="00C82B8B" w:rsidRPr="0039072E">
        <w:rPr>
          <w:i/>
          <w:iCs/>
        </w:rPr>
        <w:t>k</w:t>
      </w:r>
      <w:r w:rsidR="00E6414A" w:rsidRPr="0039072E">
        <w:rPr>
          <w:i/>
          <w:iCs/>
        </w:rPr>
        <w:t>h</w:t>
      </w:r>
      <w:proofErr w:type="spellEnd"/>
      <w:r>
        <w:t>.</w:t>
      </w:r>
      <w:r w:rsidR="00E6414A">
        <w:t xml:space="preserve"> </w:t>
      </w:r>
      <w:proofErr w:type="gramStart"/>
      <w:r w:rsidR="00E6414A">
        <w:t>In order to</w:t>
      </w:r>
      <w:proofErr w:type="gramEnd"/>
      <w:r w:rsidR="00E6414A">
        <w:t xml:space="preserve"> understand these, </w:t>
      </w:r>
      <w:r>
        <w:t>one needs to consider</w:t>
      </w:r>
      <w:r w:rsidR="00E6414A">
        <w:t xml:space="preserve"> the </w:t>
      </w:r>
      <w:r>
        <w:t xml:space="preserve">Six Day War, which </w:t>
      </w:r>
      <w:r w:rsidR="00E6414A">
        <w:t>erupted a decade earlier.</w:t>
      </w:r>
    </w:p>
    <w:p w14:paraId="65C59145" w14:textId="45C20BD7" w:rsidR="00E6414A" w:rsidRDefault="00E6414A" w:rsidP="0039072E">
      <w:pPr>
        <w:pStyle w:val="SB"/>
        <w:spacing w:before="120" w:after="0"/>
        <w:rPr>
          <w:rFonts w:asciiTheme="majorBidi" w:hAnsiTheme="majorBidi" w:cstheme="majorBidi"/>
        </w:rPr>
      </w:pPr>
      <w:r>
        <w:t xml:space="preserve">Before 1967, </w:t>
      </w:r>
      <w:proofErr w:type="spellStart"/>
      <w:r>
        <w:t>Begin’s</w:t>
      </w:r>
      <w:proofErr w:type="spellEnd"/>
      <w:r>
        <w:t xml:space="preserve"> maximalist </w:t>
      </w:r>
      <w:r w:rsidR="006966CC">
        <w:t xml:space="preserve">attitude toward the Land of Israel </w:t>
      </w:r>
      <w:r>
        <w:t>was viewed as radical and almost irrelev</w:t>
      </w:r>
      <w:r w:rsidR="006966CC">
        <w:t>a</w:t>
      </w:r>
      <w:r>
        <w:t>nt</w:t>
      </w:r>
      <w:r w:rsidR="00946381">
        <w:t xml:space="preserve">. </w:t>
      </w:r>
      <w:r w:rsidR="006966CC">
        <w:t>Indeed,</w:t>
      </w:r>
      <w:r w:rsidR="00946381">
        <w:t xml:space="preserve"> one of the conditions </w:t>
      </w:r>
      <w:r w:rsidR="00B73C26">
        <w:t>stipulated by</w:t>
      </w:r>
      <w:r w:rsidR="00946381">
        <w:t xml:space="preserve"> </w:t>
      </w:r>
      <w:r w:rsidR="00472993">
        <w:t xml:space="preserve">the </w:t>
      </w:r>
      <w:r w:rsidR="00946381">
        <w:t xml:space="preserve">Liberal party for uniting with </w:t>
      </w:r>
      <w:proofErr w:type="spellStart"/>
      <w:r w:rsidR="00946381">
        <w:t>Herut</w:t>
      </w:r>
      <w:proofErr w:type="spellEnd"/>
      <w:r w:rsidR="00946381">
        <w:t xml:space="preserve"> was </w:t>
      </w:r>
      <w:r w:rsidR="00472993">
        <w:t>removal</w:t>
      </w:r>
      <w:r w:rsidR="00EB2864">
        <w:t xml:space="preserve"> of</w:t>
      </w:r>
      <w:r w:rsidR="00946381">
        <w:t xml:space="preserve"> the call for the ‘conquest of Greater Israel’ from the party platform. But t</w:t>
      </w:r>
      <w:r>
        <w:t xml:space="preserve">he conquest of </w:t>
      </w:r>
      <w:r>
        <w:rPr>
          <w:rFonts w:asciiTheme="majorBidi" w:hAnsiTheme="majorBidi" w:cstheme="majorBidi"/>
        </w:rPr>
        <w:t>territories in 1967</w:t>
      </w:r>
      <w:r w:rsidR="00946381">
        <w:rPr>
          <w:rFonts w:asciiTheme="majorBidi" w:hAnsiTheme="majorBidi" w:cstheme="majorBidi"/>
        </w:rPr>
        <w:t xml:space="preserve"> </w:t>
      </w:r>
      <w:r w:rsidR="006966CC">
        <w:rPr>
          <w:rFonts w:asciiTheme="majorBidi" w:hAnsiTheme="majorBidi" w:cstheme="majorBidi"/>
        </w:rPr>
        <w:t xml:space="preserve">turned this previously marginal position into one that was almost a </w:t>
      </w:r>
      <w:r w:rsidR="00946381">
        <w:rPr>
          <w:rFonts w:asciiTheme="majorBidi" w:hAnsiTheme="majorBidi" w:cstheme="majorBidi"/>
        </w:rPr>
        <w:t>consensus. The “</w:t>
      </w:r>
      <w:r w:rsidR="00F36EF4">
        <w:rPr>
          <w:rFonts w:asciiTheme="majorBidi" w:hAnsiTheme="majorBidi" w:cstheme="majorBidi"/>
        </w:rPr>
        <w:t>M</w:t>
      </w:r>
      <w:r w:rsidR="00946381">
        <w:rPr>
          <w:rFonts w:asciiTheme="majorBidi" w:hAnsiTheme="majorBidi" w:cstheme="majorBidi"/>
        </w:rPr>
        <w:t xml:space="preserve">ovement for Greater Israel” </w:t>
      </w:r>
      <w:r w:rsidR="009A780C">
        <w:rPr>
          <w:rFonts w:asciiTheme="majorBidi" w:hAnsiTheme="majorBidi" w:cstheme="majorBidi"/>
        </w:rPr>
        <w:t xml:space="preserve">– </w:t>
      </w:r>
      <w:r w:rsidR="00946381">
        <w:rPr>
          <w:rFonts w:asciiTheme="majorBidi" w:hAnsiTheme="majorBidi" w:cstheme="majorBidi"/>
        </w:rPr>
        <w:t xml:space="preserve">which was founded in </w:t>
      </w:r>
      <w:r w:rsidR="00946381" w:rsidRPr="00946381">
        <w:rPr>
          <w:rFonts w:asciiTheme="majorBidi" w:hAnsiTheme="majorBidi" w:cstheme="majorBidi"/>
        </w:rPr>
        <w:t>November</w:t>
      </w:r>
      <w:r w:rsidR="00946381">
        <w:rPr>
          <w:rFonts w:asciiTheme="majorBidi" w:hAnsiTheme="majorBidi" w:cstheme="majorBidi"/>
        </w:rPr>
        <w:t xml:space="preserve"> 1967 </w:t>
      </w:r>
      <w:r w:rsidR="009A780C">
        <w:rPr>
          <w:rFonts w:asciiTheme="majorBidi" w:hAnsiTheme="majorBidi" w:cstheme="majorBidi"/>
        </w:rPr>
        <w:t xml:space="preserve">and </w:t>
      </w:r>
      <w:r w:rsidR="00946381">
        <w:rPr>
          <w:rFonts w:asciiTheme="majorBidi" w:hAnsiTheme="majorBidi" w:cstheme="majorBidi"/>
        </w:rPr>
        <w:t xml:space="preserve">included </w:t>
      </w:r>
      <w:r w:rsidR="00EB2864">
        <w:rPr>
          <w:rFonts w:asciiTheme="majorBidi" w:hAnsiTheme="majorBidi" w:cstheme="majorBidi"/>
        </w:rPr>
        <w:t xml:space="preserve">personalities </w:t>
      </w:r>
      <w:r w:rsidR="00946381">
        <w:rPr>
          <w:rFonts w:asciiTheme="majorBidi" w:hAnsiTheme="majorBidi" w:cstheme="majorBidi"/>
        </w:rPr>
        <w:t xml:space="preserve">from the Labor </w:t>
      </w:r>
      <w:r w:rsidR="00946381" w:rsidRPr="00946381">
        <w:rPr>
          <w:rFonts w:asciiTheme="majorBidi" w:hAnsiTheme="majorBidi" w:cstheme="majorBidi"/>
        </w:rPr>
        <w:t>movement</w:t>
      </w:r>
      <w:r w:rsidR="009A780C">
        <w:rPr>
          <w:rFonts w:asciiTheme="majorBidi" w:hAnsiTheme="majorBidi" w:cstheme="majorBidi"/>
        </w:rPr>
        <w:t xml:space="preserve">, the Revisionist </w:t>
      </w:r>
      <w:r w:rsidR="009A780C" w:rsidRPr="009A780C">
        <w:rPr>
          <w:rFonts w:asciiTheme="majorBidi" w:hAnsiTheme="majorBidi" w:cstheme="majorBidi"/>
        </w:rPr>
        <w:t>movement</w:t>
      </w:r>
      <w:r w:rsidR="009A780C">
        <w:rPr>
          <w:rFonts w:asciiTheme="majorBidi" w:hAnsiTheme="majorBidi" w:cstheme="majorBidi"/>
        </w:rPr>
        <w:t xml:space="preserve">, and the </w:t>
      </w:r>
      <w:commentRangeStart w:id="2"/>
      <w:r w:rsidR="0019144B">
        <w:rPr>
          <w:rFonts w:asciiTheme="majorBidi" w:hAnsiTheme="majorBidi" w:cstheme="majorBidi"/>
        </w:rPr>
        <w:t>R</w:t>
      </w:r>
      <w:r w:rsidR="009A780C" w:rsidRPr="009A780C">
        <w:rPr>
          <w:rFonts w:asciiTheme="majorBidi" w:hAnsiTheme="majorBidi" w:cstheme="majorBidi"/>
        </w:rPr>
        <w:t>eligious</w:t>
      </w:r>
      <w:r w:rsidR="009A780C">
        <w:rPr>
          <w:rFonts w:asciiTheme="majorBidi" w:hAnsiTheme="majorBidi" w:cstheme="majorBidi"/>
        </w:rPr>
        <w:t xml:space="preserve"> </w:t>
      </w:r>
      <w:r w:rsidR="00A64EAF">
        <w:rPr>
          <w:rFonts w:asciiTheme="majorBidi" w:hAnsiTheme="majorBidi" w:cstheme="majorBidi"/>
        </w:rPr>
        <w:t>Zionist</w:t>
      </w:r>
      <w:commentRangeEnd w:id="2"/>
      <w:r w:rsidR="00A64EAF">
        <w:rPr>
          <w:rStyle w:val="CommentReference"/>
          <w:rFonts w:asciiTheme="minorHAnsi" w:hAnsiTheme="minorHAnsi"/>
        </w:rPr>
        <w:commentReference w:id="2"/>
      </w:r>
      <w:r w:rsidR="00A64EAF">
        <w:rPr>
          <w:rFonts w:asciiTheme="majorBidi" w:hAnsiTheme="majorBidi" w:cstheme="majorBidi"/>
        </w:rPr>
        <w:t xml:space="preserve"> </w:t>
      </w:r>
      <w:r w:rsidR="009A780C" w:rsidRPr="009A780C">
        <w:rPr>
          <w:rFonts w:asciiTheme="majorBidi" w:hAnsiTheme="majorBidi" w:cstheme="majorBidi"/>
        </w:rPr>
        <w:t>movement</w:t>
      </w:r>
      <w:r w:rsidR="009A780C">
        <w:rPr>
          <w:rFonts w:asciiTheme="majorBidi" w:hAnsiTheme="majorBidi" w:cstheme="majorBidi"/>
        </w:rPr>
        <w:t xml:space="preserve"> – is a prominent example of the change.</w:t>
      </w:r>
    </w:p>
    <w:p w14:paraId="6762FA87" w14:textId="1DD9C9B8" w:rsidR="009A780C" w:rsidRDefault="009139BA" w:rsidP="0039072E">
      <w:pPr>
        <w:pStyle w:val="SB"/>
        <w:spacing w:before="120" w:after="0"/>
      </w:pPr>
      <w:r>
        <w:t xml:space="preserve">Yet </w:t>
      </w:r>
      <w:r w:rsidR="009A780C">
        <w:t xml:space="preserve">among the variety of </w:t>
      </w:r>
      <w:r>
        <w:t xml:space="preserve">factors </w:t>
      </w:r>
      <w:r w:rsidRPr="0039072E">
        <w:rPr>
          <w:highlight w:val="green"/>
        </w:rPr>
        <w:t xml:space="preserve">which led to </w:t>
      </w:r>
      <w:r w:rsidR="00F36EF4" w:rsidRPr="00EB2864">
        <w:rPr>
          <w:highlight w:val="green"/>
        </w:rPr>
        <w:t xml:space="preserve">the </w:t>
      </w:r>
      <w:r w:rsidR="00F36EF4" w:rsidRPr="00F36EF4">
        <w:rPr>
          <w:highlight w:val="green"/>
        </w:rPr>
        <w:t>Likud</w:t>
      </w:r>
      <w:r>
        <w:rPr>
          <w:highlight w:val="green"/>
        </w:rPr>
        <w:t>’s victory</w:t>
      </w:r>
      <w:r w:rsidR="009A780C">
        <w:t>, th</w:t>
      </w:r>
      <w:r>
        <w:t>at of ethnicity is</w:t>
      </w:r>
      <w:r w:rsidR="009A780C">
        <w:t xml:space="preserve"> most important. Sociologist </w:t>
      </w:r>
      <w:proofErr w:type="spellStart"/>
      <w:r w:rsidR="009A780C">
        <w:t>Yonathan</w:t>
      </w:r>
      <w:proofErr w:type="spellEnd"/>
      <w:r w:rsidR="009A780C">
        <w:t xml:space="preserve"> Shapiro found that “</w:t>
      </w:r>
      <w:r w:rsidR="00B947CB">
        <w:t>starting from</w:t>
      </w:r>
      <w:r w:rsidR="009A780C">
        <w:t xml:space="preserve"> 1955, Mizra</w:t>
      </w:r>
      <w:bookmarkStart w:id="3" w:name="_GoBack"/>
      <w:bookmarkEnd w:id="3"/>
      <w:r w:rsidR="009A780C">
        <w:t>hi</w:t>
      </w:r>
      <w:r w:rsidR="009A780C" w:rsidRPr="009A780C">
        <w:t xml:space="preserve"> </w:t>
      </w:r>
      <w:r>
        <w:t xml:space="preserve">Jews </w:t>
      </w:r>
      <w:r w:rsidR="00D361CD">
        <w:t>[</w:t>
      </w:r>
      <w:r>
        <w:t xml:space="preserve">i.e. </w:t>
      </w:r>
      <w:r w:rsidR="00D361CD" w:rsidRPr="00D361CD">
        <w:rPr>
          <w:highlight w:val="green"/>
        </w:rPr>
        <w:t xml:space="preserve">Jews </w:t>
      </w:r>
      <w:r>
        <w:rPr>
          <w:highlight w:val="green"/>
        </w:rPr>
        <w:t xml:space="preserve">originally </w:t>
      </w:r>
      <w:r w:rsidR="00D361CD" w:rsidRPr="00D361CD">
        <w:rPr>
          <w:highlight w:val="green"/>
        </w:rPr>
        <w:t>from Islamic countries</w:t>
      </w:r>
      <w:r w:rsidR="00D361CD">
        <w:t>]</w:t>
      </w:r>
      <w:r w:rsidR="009A780C">
        <w:t xml:space="preserve"> constituted about 55 to 60 percent of all </w:t>
      </w:r>
      <w:proofErr w:type="spellStart"/>
      <w:r w:rsidR="00D361CD">
        <w:t>Herut</w:t>
      </w:r>
      <w:proofErr w:type="spellEnd"/>
      <w:r w:rsidR="00D361CD">
        <w:t xml:space="preserve"> </w:t>
      </w:r>
      <w:r>
        <w:t>voters</w:t>
      </w:r>
      <w:r w:rsidR="009A780C">
        <w:t xml:space="preserve">, </w:t>
      </w:r>
      <w:r>
        <w:t>but among</w:t>
      </w:r>
      <w:r w:rsidR="009A780C">
        <w:t xml:space="preserve"> </w:t>
      </w:r>
      <w:r w:rsidR="00B947CB">
        <w:t xml:space="preserve">all </w:t>
      </w:r>
      <w:r w:rsidR="009A780C">
        <w:t xml:space="preserve">voters </w:t>
      </w:r>
      <w:r>
        <w:t xml:space="preserve">of </w:t>
      </w:r>
      <w:r w:rsidR="009A780C">
        <w:t xml:space="preserve">Mizrahi </w:t>
      </w:r>
      <w:r>
        <w:t>origin</w:t>
      </w:r>
      <w:r w:rsidR="009A780C">
        <w:t xml:space="preserve">, only 25-30 percent voted for </w:t>
      </w:r>
      <w:proofErr w:type="spellStart"/>
      <w:r w:rsidR="009A780C">
        <w:t>Herut</w:t>
      </w:r>
      <w:proofErr w:type="spellEnd"/>
      <w:r w:rsidR="009A780C">
        <w:t xml:space="preserve"> or </w:t>
      </w:r>
      <w:proofErr w:type="spellStart"/>
      <w:r w:rsidR="009A780C">
        <w:t>Gahal</w:t>
      </w:r>
      <w:proofErr w:type="spellEnd"/>
      <w:r w:rsidR="009A780C">
        <w:t xml:space="preserve"> . . . </w:t>
      </w:r>
      <w:r>
        <w:t xml:space="preserve">Until </w:t>
      </w:r>
      <w:r w:rsidR="009A780C">
        <w:t>1973</w:t>
      </w:r>
      <w:r>
        <w:t>,</w:t>
      </w:r>
      <w:r w:rsidR="009A780C">
        <w:t xml:space="preserve"> most Mizrahi</w:t>
      </w:r>
      <w:r w:rsidR="00D361CD">
        <w:t xml:space="preserve"> Jews</w:t>
      </w:r>
      <w:r w:rsidR="009A780C">
        <w:t xml:space="preserve">, about 55-60 percent, voted for </w:t>
      </w:r>
      <w:proofErr w:type="spellStart"/>
      <w:r w:rsidR="009A780C">
        <w:t>Mapai</w:t>
      </w:r>
      <w:proofErr w:type="spellEnd"/>
      <w:r w:rsidR="009A780C">
        <w:t>.”</w:t>
      </w:r>
      <w:r w:rsidR="009A780C">
        <w:rPr>
          <w:rStyle w:val="FootnoteReference"/>
        </w:rPr>
        <w:footnoteReference w:id="2"/>
      </w:r>
      <w:r w:rsidR="009A780C">
        <w:t xml:space="preserve"> </w:t>
      </w:r>
      <w:r w:rsidR="009A780C">
        <w:lastRenderedPageBreak/>
        <w:t xml:space="preserve">However, in 1977 more than half of the Jews from Islamic countries and </w:t>
      </w:r>
      <w:r w:rsidR="00F90AD3">
        <w:t xml:space="preserve">their second-generation descendants </w:t>
      </w:r>
      <w:r w:rsidR="009A780C">
        <w:t>voted for Likud.</w:t>
      </w:r>
      <w:r w:rsidR="00B947CB">
        <w:rPr>
          <w:rStyle w:val="FootnoteReference"/>
        </w:rPr>
        <w:footnoteReference w:id="3"/>
      </w:r>
    </w:p>
    <w:p w14:paraId="5B31ED8D" w14:textId="27876C2A" w:rsidR="00B947CB" w:rsidRDefault="00B947CB" w:rsidP="0039072E">
      <w:pPr>
        <w:pStyle w:val="SB"/>
        <w:spacing w:before="120" w:after="0"/>
      </w:pPr>
      <w:r>
        <w:t>How can we explain the support of Mizrahi Jews for the Likud, a phenomenon that is still relevant</w:t>
      </w:r>
      <w:r w:rsidR="00D361CD">
        <w:t xml:space="preserve"> today</w:t>
      </w:r>
      <w:r>
        <w:t>?</w:t>
      </w:r>
      <w:r>
        <w:rPr>
          <w:rStyle w:val="FootnoteReference"/>
        </w:rPr>
        <w:footnoteReference w:id="4"/>
      </w:r>
    </w:p>
    <w:p w14:paraId="25731244" w14:textId="550DBDE9" w:rsidR="00B947CB" w:rsidRDefault="00EB2864" w:rsidP="0039072E">
      <w:pPr>
        <w:pStyle w:val="SB"/>
        <w:spacing w:before="120" w:after="0"/>
      </w:pPr>
      <w:r>
        <w:t>A conventional explanation</w:t>
      </w:r>
      <w:r w:rsidR="00B947CB">
        <w:t xml:space="preserve"> argues for </w:t>
      </w:r>
      <w:r w:rsidR="00F90AD3">
        <w:t xml:space="preserve">an </w:t>
      </w:r>
      <w:r w:rsidR="00B947CB">
        <w:t>“alliance of the underprivileged</w:t>
      </w:r>
      <w:r>
        <w:t>.</w:t>
      </w:r>
      <w:r w:rsidR="00B947CB">
        <w:t xml:space="preserve">” </w:t>
      </w:r>
      <w:r w:rsidR="001D1B02">
        <w:t>J</w:t>
      </w:r>
      <w:r w:rsidR="00B947CB">
        <w:t xml:space="preserve">ust as the </w:t>
      </w:r>
      <w:r w:rsidR="00B947CB">
        <w:rPr>
          <w:rFonts w:asciiTheme="majorBidi" w:hAnsiTheme="majorBidi" w:cstheme="majorBidi"/>
        </w:rPr>
        <w:t>Revisionists</w:t>
      </w:r>
      <w:r w:rsidR="00B947CB">
        <w:t xml:space="preserve"> faced political discrimination </w:t>
      </w:r>
      <w:r w:rsidR="00B22E9F">
        <w:t>on an ideological basis by</w:t>
      </w:r>
      <w:r w:rsidR="00D361CD">
        <w:t xml:space="preserve"> the </w:t>
      </w:r>
      <w:proofErr w:type="spellStart"/>
      <w:r w:rsidR="00D361CD">
        <w:t>Mapai</w:t>
      </w:r>
      <w:proofErr w:type="spellEnd"/>
      <w:r w:rsidR="00D361CD">
        <w:t xml:space="preserve"> establishment</w:t>
      </w:r>
      <w:r w:rsidR="00B947CB">
        <w:t xml:space="preserve"> even in the pre-State era, Mizrahi Jews faced economic and </w:t>
      </w:r>
      <w:r w:rsidR="00B947CB">
        <w:rPr>
          <w:rFonts w:asciiTheme="majorBidi" w:hAnsiTheme="majorBidi" w:cstheme="majorBidi"/>
        </w:rPr>
        <w:t>cultural</w:t>
      </w:r>
      <w:r w:rsidR="00B947CB">
        <w:t xml:space="preserve"> discrimination for ethnic reasons.</w:t>
      </w:r>
    </w:p>
    <w:p w14:paraId="4A907E96" w14:textId="021B0774" w:rsidR="00B947CB" w:rsidRDefault="00B947CB" w:rsidP="0039072E">
      <w:pPr>
        <w:pStyle w:val="SB"/>
        <w:spacing w:before="120" w:after="0"/>
      </w:pPr>
      <w:r>
        <w:t xml:space="preserve">The problem with </w:t>
      </w:r>
      <w:r w:rsidR="001D1B02">
        <w:t>this</w:t>
      </w:r>
      <w:r w:rsidR="00D7346A">
        <w:t xml:space="preserve"> theory</w:t>
      </w:r>
      <w:r>
        <w:t xml:space="preserve"> is that it is difficult to prove empirically, and </w:t>
      </w:r>
      <w:r w:rsidR="00B22E9F">
        <w:t xml:space="preserve">smacks of </w:t>
      </w:r>
      <w:proofErr w:type="spellStart"/>
      <w:r w:rsidR="00B22E9F">
        <w:t>p</w:t>
      </w:r>
      <w:r w:rsidR="00B22E9F" w:rsidRPr="00B22E9F">
        <w:t>sychologism</w:t>
      </w:r>
      <w:proofErr w:type="spellEnd"/>
      <w:r w:rsidR="00D7346A">
        <w:t xml:space="preserve">. Perhaps, in the spirit of theories that hold that </w:t>
      </w:r>
      <w:commentRangeStart w:id="4"/>
      <w:r w:rsidR="00D7346A">
        <w:t>“</w:t>
      </w:r>
      <w:r w:rsidR="00B22E9F">
        <w:t>class</w:t>
      </w:r>
      <w:r w:rsidR="00D7346A">
        <w:t xml:space="preserve">-based approaches are </w:t>
      </w:r>
      <w:r w:rsidR="00D7346A">
        <w:lastRenderedPageBreak/>
        <w:t>the most fruitful way to investigate issues of ethnicity and race</w:t>
      </w:r>
      <w:r w:rsidR="005C6019">
        <w:t>,</w:t>
      </w:r>
      <w:r w:rsidR="00D7346A">
        <w:t>”</w:t>
      </w:r>
      <w:commentRangeEnd w:id="4"/>
      <w:r w:rsidR="001D1B02">
        <w:rPr>
          <w:rStyle w:val="CommentReference"/>
          <w:rFonts w:asciiTheme="minorHAnsi" w:hAnsiTheme="minorHAnsi"/>
        </w:rPr>
        <w:commentReference w:id="4"/>
      </w:r>
      <w:r w:rsidR="00D7346A">
        <w:rPr>
          <w:rStyle w:val="FootnoteReference"/>
        </w:rPr>
        <w:footnoteReference w:id="5"/>
      </w:r>
      <w:r w:rsidR="005C6019">
        <w:t xml:space="preserve"> </w:t>
      </w:r>
      <w:r w:rsidR="00D361CD">
        <w:t>we</w:t>
      </w:r>
      <w:r w:rsidR="005C6019">
        <w:t xml:space="preserve"> </w:t>
      </w:r>
      <w:r w:rsidR="00275044">
        <w:t xml:space="preserve">ought to </w:t>
      </w:r>
      <w:r w:rsidR="005C6019">
        <w:t xml:space="preserve">direct our gaze at the </w:t>
      </w:r>
      <w:r w:rsidR="00D361CD">
        <w:t>socio-</w:t>
      </w:r>
      <w:r w:rsidR="00275044">
        <w:t xml:space="preserve">economic </w:t>
      </w:r>
      <w:r w:rsidR="00B22E9F">
        <w:t>class</w:t>
      </w:r>
      <w:r w:rsidR="005C6019">
        <w:t xml:space="preserve"> </w:t>
      </w:r>
      <w:r w:rsidR="00D361CD">
        <w:t>angle</w:t>
      </w:r>
      <w:r w:rsidR="005C6019">
        <w:t xml:space="preserve">. </w:t>
      </w:r>
      <w:r w:rsidR="00D361CD">
        <w:t>The</w:t>
      </w:r>
      <w:r w:rsidR="005C6019">
        <w:t xml:space="preserve"> </w:t>
      </w:r>
      <w:r w:rsidR="00B22E9F">
        <w:t>dichotomy</w:t>
      </w:r>
      <w:r w:rsidR="004605D8">
        <w:t xml:space="preserve"> between</w:t>
      </w:r>
      <w:r w:rsidR="005C6019">
        <w:t xml:space="preserve"> Mizrahi and Ashkenazi </w:t>
      </w:r>
      <w:r w:rsidR="004605D8">
        <w:t>populations</w:t>
      </w:r>
      <w:r w:rsidR="005C6019">
        <w:t xml:space="preserve"> is congruent with low socioeconomic</w:t>
      </w:r>
      <w:r w:rsidR="00D361CD">
        <w:t xml:space="preserve"> status,</w:t>
      </w:r>
      <w:r w:rsidR="005C6019">
        <w:t xml:space="preserve"> </w:t>
      </w:r>
      <w:r w:rsidR="004605D8">
        <w:t>and</w:t>
      </w:r>
      <w:r w:rsidR="005C6019">
        <w:t xml:space="preserve"> middle</w:t>
      </w:r>
      <w:r w:rsidR="004605D8">
        <w:t>-</w:t>
      </w:r>
      <w:r w:rsidR="005C6019">
        <w:t xml:space="preserve"> and upper</w:t>
      </w:r>
      <w:r w:rsidR="004605D8">
        <w:t>-</w:t>
      </w:r>
      <w:r w:rsidR="005C6019">
        <w:t xml:space="preserve">class </w:t>
      </w:r>
      <w:r w:rsidR="004605D8">
        <w:t xml:space="preserve">status, </w:t>
      </w:r>
      <w:r w:rsidR="004605D8" w:rsidRPr="0039072E">
        <w:t>respectively</w:t>
      </w:r>
      <w:r w:rsidR="005C6019">
        <w:t xml:space="preserve">. </w:t>
      </w:r>
      <w:proofErr w:type="gramStart"/>
      <w:r w:rsidR="005C6019">
        <w:t>New studies</w:t>
      </w:r>
      <w:proofErr w:type="gramEnd"/>
      <w:r w:rsidR="005C6019">
        <w:t xml:space="preserve"> regarding </w:t>
      </w:r>
      <w:proofErr w:type="spellStart"/>
      <w:r w:rsidR="005C6019">
        <w:t>Mapai</w:t>
      </w:r>
      <w:proofErr w:type="spellEnd"/>
      <w:r w:rsidR="005C6019">
        <w:t xml:space="preserve"> policy in </w:t>
      </w:r>
      <w:r w:rsidR="005C6019">
        <w:rPr>
          <w:rFonts w:asciiTheme="majorBidi" w:hAnsiTheme="majorBidi" w:cstheme="majorBidi"/>
        </w:rPr>
        <w:t>Israel</w:t>
      </w:r>
      <w:r w:rsidR="005C6019">
        <w:t xml:space="preserve">’s formative years show that until the </w:t>
      </w:r>
      <w:r w:rsidR="00275044">
        <w:t>early</w:t>
      </w:r>
      <w:r w:rsidR="005C6019">
        <w:t xml:space="preserve"> 1960s, </w:t>
      </w:r>
      <w:proofErr w:type="spellStart"/>
      <w:r w:rsidR="005C6019">
        <w:t>Mapai</w:t>
      </w:r>
      <w:proofErr w:type="spellEnd"/>
      <w:r w:rsidR="005C6019">
        <w:t xml:space="preserve"> worked to narrow wage gaps in the public sector – in stark contrast to</w:t>
      </w:r>
      <w:r w:rsidR="00D361CD">
        <w:t xml:space="preserve"> </w:t>
      </w:r>
      <w:r w:rsidR="00776FFB">
        <w:t xml:space="preserve">its </w:t>
      </w:r>
      <w:r w:rsidR="00D361CD">
        <w:t xml:space="preserve">perceived </w:t>
      </w:r>
      <w:r w:rsidR="00776FFB">
        <w:t xml:space="preserve">image. However, in doing so the </w:t>
      </w:r>
      <w:proofErr w:type="spellStart"/>
      <w:r w:rsidR="00776FFB">
        <w:t>Mapai</w:t>
      </w:r>
      <w:proofErr w:type="spellEnd"/>
      <w:r w:rsidR="00776FFB">
        <w:t xml:space="preserve"> created dependence on the </w:t>
      </w:r>
      <w:r w:rsidR="00770D44">
        <w:t>“establishment,”</w:t>
      </w:r>
      <w:r w:rsidR="00776FFB" w:rsidRPr="00776FFB">
        <w:t xml:space="preserve"> </w:t>
      </w:r>
      <w:proofErr w:type="gramStart"/>
      <w:r w:rsidR="00275044">
        <w:t>in particular</w:t>
      </w:r>
      <w:r w:rsidR="00776FFB">
        <w:t xml:space="preserve"> the</w:t>
      </w:r>
      <w:proofErr w:type="gramEnd"/>
      <w:r w:rsidR="00776FFB">
        <w:t xml:space="preserve"> </w:t>
      </w:r>
      <w:proofErr w:type="spellStart"/>
      <w:r w:rsidR="00776FFB">
        <w:t>Histadrut</w:t>
      </w:r>
      <w:proofErr w:type="spellEnd"/>
      <w:r w:rsidR="00275044">
        <w:t xml:space="preserve"> </w:t>
      </w:r>
      <w:r w:rsidR="00275044" w:rsidRPr="0039072E">
        <w:rPr>
          <w:highlight w:val="green"/>
        </w:rPr>
        <w:t>labor union</w:t>
      </w:r>
      <w:r w:rsidR="00776FFB">
        <w:t>.</w:t>
      </w:r>
      <w:r w:rsidR="00776FFB">
        <w:rPr>
          <w:rStyle w:val="FootnoteReference"/>
        </w:rPr>
        <w:footnoteReference w:id="6"/>
      </w:r>
      <w:r w:rsidR="00776FFB">
        <w:t xml:space="preserve"> Mizrahi Jews </w:t>
      </w:r>
      <w:r w:rsidR="00275044">
        <w:t xml:space="preserve">of </w:t>
      </w:r>
      <w:r w:rsidR="00776FFB">
        <w:t xml:space="preserve">low socio-economic </w:t>
      </w:r>
      <w:r w:rsidR="00275044">
        <w:t>status</w:t>
      </w:r>
      <w:r w:rsidR="00776FFB">
        <w:t xml:space="preserve"> </w:t>
      </w:r>
      <w:r w:rsidR="00275044">
        <w:t xml:space="preserve">thus </w:t>
      </w:r>
      <w:r w:rsidR="00776FFB">
        <w:t xml:space="preserve">had a rational interest in voting </w:t>
      </w:r>
      <w:proofErr w:type="spellStart"/>
      <w:r w:rsidR="00776FFB">
        <w:t>Mapai</w:t>
      </w:r>
      <w:proofErr w:type="spellEnd"/>
      <w:r w:rsidR="00776FFB">
        <w:t xml:space="preserve"> until the 1960s. A</w:t>
      </w:r>
      <w:r w:rsidR="00770D44">
        <w:t>fter</w:t>
      </w:r>
      <w:r w:rsidR="00776FFB">
        <w:t xml:space="preserve"> that point, </w:t>
      </w:r>
      <w:r w:rsidR="00275044">
        <w:t xml:space="preserve">when the party no longer served their economic interests, </w:t>
      </w:r>
      <w:r w:rsidR="00776FFB">
        <w:t xml:space="preserve">Mizrahi Jews </w:t>
      </w:r>
      <w:r w:rsidR="009619D6">
        <w:t xml:space="preserve">began to </w:t>
      </w:r>
      <w:r w:rsidR="00776FFB">
        <w:t xml:space="preserve">distance themselves </w:t>
      </w:r>
      <w:r w:rsidR="00873B4D">
        <w:t xml:space="preserve">from </w:t>
      </w:r>
      <w:r w:rsidR="00275044">
        <w:t xml:space="preserve">it and to protest </w:t>
      </w:r>
      <w:r w:rsidR="009619D6">
        <w:t xml:space="preserve">the dependence </w:t>
      </w:r>
      <w:r w:rsidR="00C301C2">
        <w:t xml:space="preserve">that </w:t>
      </w:r>
      <w:r w:rsidR="00275044">
        <w:t>it had fostered. (S</w:t>
      </w:r>
      <w:r w:rsidR="00C301C2">
        <w:t xml:space="preserve">imultaneously, many Mizrahi Jews turned to </w:t>
      </w:r>
      <w:r w:rsidR="00854E5A">
        <w:t>‘</w:t>
      </w:r>
      <w:r w:rsidR="00C301C2">
        <w:t>independent</w:t>
      </w:r>
      <w:r w:rsidR="00854E5A">
        <w:t>’</w:t>
      </w:r>
      <w:r w:rsidR="00C301C2">
        <w:t xml:space="preserve"> occupations from the 1970s</w:t>
      </w:r>
      <w:r w:rsidR="00854E5A">
        <w:t xml:space="preserve">, thus negating their </w:t>
      </w:r>
      <w:r w:rsidR="00C301C2">
        <w:t xml:space="preserve">dependence on the </w:t>
      </w:r>
      <w:proofErr w:type="spellStart"/>
      <w:r w:rsidR="00C301C2">
        <w:t>Histadrut</w:t>
      </w:r>
      <w:proofErr w:type="spellEnd"/>
      <w:r w:rsidR="00C301C2">
        <w:t>.</w:t>
      </w:r>
      <w:r w:rsidR="004605D8">
        <w:t>)</w:t>
      </w:r>
      <w:r w:rsidR="00C301C2">
        <w:rPr>
          <w:rStyle w:val="FootnoteReference"/>
        </w:rPr>
        <w:footnoteReference w:id="7"/>
      </w:r>
    </w:p>
    <w:p w14:paraId="27847174" w14:textId="08C9B44C" w:rsidR="000F5D93" w:rsidRDefault="00C301C2" w:rsidP="000F5D93">
      <w:pPr>
        <w:pStyle w:val="SB"/>
        <w:spacing w:before="120" w:after="0"/>
      </w:pPr>
      <w:r>
        <w:t xml:space="preserve">What is missing </w:t>
      </w:r>
      <w:r w:rsidR="0053513C">
        <w:t xml:space="preserve">from </w:t>
      </w:r>
      <w:r>
        <w:t>the economic, class-based explanation for the affinity of Mizrahi Jews to</w:t>
      </w:r>
      <w:r w:rsidR="00873B4D">
        <w:t>ward</w:t>
      </w:r>
      <w:r>
        <w:t xml:space="preserve"> the Likud, as </w:t>
      </w:r>
      <w:r w:rsidR="00873B4D">
        <w:t xml:space="preserve">is often the case </w:t>
      </w:r>
      <w:r>
        <w:t xml:space="preserve">in materialistic theories, is the ideological </w:t>
      </w:r>
      <w:r w:rsidR="00873B4D">
        <w:lastRenderedPageBreak/>
        <w:t>dimension</w:t>
      </w:r>
      <w:r>
        <w:t>.</w:t>
      </w:r>
      <w:r w:rsidR="004B17C2">
        <w:t xml:space="preserve"> Shapiro raised the </w:t>
      </w:r>
      <w:r w:rsidR="0053513C">
        <w:t xml:space="preserve">claim that Mizrahi Jews were captivated by </w:t>
      </w:r>
      <w:proofErr w:type="spellStart"/>
      <w:r w:rsidR="0053513C">
        <w:t>Begin’s</w:t>
      </w:r>
      <w:proofErr w:type="spellEnd"/>
      <w:r w:rsidR="0053513C">
        <w:t xml:space="preserve"> rhetorical manipulation, which incited them against the </w:t>
      </w:r>
      <w:proofErr w:type="spellStart"/>
      <w:r w:rsidR="0053513C">
        <w:t>Mapai</w:t>
      </w:r>
      <w:proofErr w:type="spellEnd"/>
      <w:r w:rsidR="0053513C">
        <w:t>.</w:t>
      </w:r>
      <w:r w:rsidR="0053513C">
        <w:rPr>
          <w:rStyle w:val="FootnoteReference"/>
        </w:rPr>
        <w:footnoteReference w:id="8"/>
      </w:r>
      <w:r w:rsidR="0053513C">
        <w:t xml:space="preserve"> (A similar claim is prevalent in the media today with respect to </w:t>
      </w:r>
      <w:r w:rsidR="004B17C2">
        <w:t xml:space="preserve">Mizrahi affinity for </w:t>
      </w:r>
      <w:r w:rsidR="0053513C">
        <w:t xml:space="preserve">Benjamin </w:t>
      </w:r>
      <w:r w:rsidR="004B17C2">
        <w:rPr>
          <w:rFonts w:asciiTheme="majorBidi" w:hAnsiTheme="majorBidi" w:cstheme="majorBidi"/>
        </w:rPr>
        <w:t>Netanyahu</w:t>
      </w:r>
      <w:r w:rsidR="004B17C2">
        <w:t xml:space="preserve"> and </w:t>
      </w:r>
      <w:r w:rsidR="0053513C">
        <w:t xml:space="preserve">today’s </w:t>
      </w:r>
      <w:r w:rsidR="004B17C2">
        <w:t>Likud</w:t>
      </w:r>
      <w:r w:rsidR="0053513C">
        <w:t>.</w:t>
      </w:r>
      <w:r w:rsidR="004B17C2">
        <w:t>)</w:t>
      </w:r>
      <w:r w:rsidR="0053513C">
        <w:t xml:space="preserve"> </w:t>
      </w:r>
      <w:r w:rsidR="004B17C2">
        <w:t xml:space="preserve">According to this theory, </w:t>
      </w:r>
      <w:proofErr w:type="spellStart"/>
      <w:r w:rsidR="00D06D04">
        <w:t>Mizrahim</w:t>
      </w:r>
      <w:proofErr w:type="spellEnd"/>
      <w:r w:rsidR="004B17C2">
        <w:t xml:space="preserve"> adopted hawkish </w:t>
      </w:r>
      <w:r w:rsidR="00D06D04">
        <w:t xml:space="preserve">stances </w:t>
      </w:r>
      <w:proofErr w:type="gramStart"/>
      <w:r w:rsidR="005A638C">
        <w:t>similar to</w:t>
      </w:r>
      <w:proofErr w:type="gramEnd"/>
      <w:r w:rsidR="005A638C">
        <w:t xml:space="preserve"> those </w:t>
      </w:r>
      <w:r w:rsidR="00D06D04">
        <w:t xml:space="preserve">of the </w:t>
      </w:r>
      <w:r w:rsidR="004B17C2">
        <w:t xml:space="preserve">Likud </w:t>
      </w:r>
      <w:r w:rsidR="00123DC4">
        <w:t xml:space="preserve">only </w:t>
      </w:r>
      <w:r w:rsidR="005A638C">
        <w:t xml:space="preserve">as a result of these </w:t>
      </w:r>
      <w:r w:rsidR="006772B4">
        <w:t>manipulations</w:t>
      </w:r>
      <w:r w:rsidR="004B17C2">
        <w:t xml:space="preserve">. However, </w:t>
      </w:r>
      <w:r w:rsidR="004605D8">
        <w:t>th</w:t>
      </w:r>
      <w:r w:rsidR="000F5D93">
        <w:t>is</w:t>
      </w:r>
      <w:r w:rsidR="004B17C2">
        <w:t xml:space="preserve"> argument is </w:t>
      </w:r>
      <w:r w:rsidR="000F5D93">
        <w:t xml:space="preserve">a </w:t>
      </w:r>
      <w:r w:rsidR="004B17C2">
        <w:t xml:space="preserve">problematic </w:t>
      </w:r>
      <w:r w:rsidR="000F5D93">
        <w:t xml:space="preserve">one that </w:t>
      </w:r>
      <w:r w:rsidR="009619D6">
        <w:t>smacks of the</w:t>
      </w:r>
      <w:r w:rsidR="004B17C2">
        <w:t xml:space="preserve"> </w:t>
      </w:r>
      <w:r w:rsidR="004B17C2" w:rsidRPr="004B17C2">
        <w:t>patronizing</w:t>
      </w:r>
      <w:r w:rsidR="004B17C2">
        <w:t xml:space="preserve"> attitude that still prevails in the media and academia vis-à-vis Mizrahi Jew</w:t>
      </w:r>
      <w:r w:rsidR="005A638C">
        <w:t>s</w:t>
      </w:r>
      <w:r w:rsidR="004B17C2">
        <w:t xml:space="preserve">. </w:t>
      </w:r>
      <w:r w:rsidR="005A638C">
        <w:t>E</w:t>
      </w:r>
      <w:r w:rsidR="004B17C2">
        <w:t>motional manipulation</w:t>
      </w:r>
      <w:r w:rsidR="005A638C">
        <w:t xml:space="preserve"> </w:t>
      </w:r>
      <w:r w:rsidR="000F5D93">
        <w:t>is</w:t>
      </w:r>
      <w:r w:rsidR="005A638C">
        <w:t xml:space="preserve"> not</w:t>
      </w:r>
      <w:r w:rsidR="004B17C2">
        <w:t xml:space="preserve"> necessa</w:t>
      </w:r>
      <w:r w:rsidR="005A638C">
        <w:t xml:space="preserve">rily </w:t>
      </w:r>
      <w:r w:rsidR="000F5D93">
        <w:t>effective against</w:t>
      </w:r>
      <w:r w:rsidR="005A638C">
        <w:t xml:space="preserve"> people </w:t>
      </w:r>
      <w:r w:rsidR="004B17C2">
        <w:t xml:space="preserve">of </w:t>
      </w:r>
      <w:r w:rsidR="000F5D93">
        <w:t>one particular background</w:t>
      </w:r>
      <w:r w:rsidR="004B17C2">
        <w:t xml:space="preserve">, and in any </w:t>
      </w:r>
      <w:proofErr w:type="gramStart"/>
      <w:r w:rsidR="004B17C2">
        <w:t>case</w:t>
      </w:r>
      <w:proofErr w:type="gramEnd"/>
      <w:r w:rsidR="004B17C2">
        <w:t xml:space="preserve"> politicians</w:t>
      </w:r>
      <w:r w:rsidR="005A638C">
        <w:t xml:space="preserve"> employ manipulation in order to </w:t>
      </w:r>
      <w:r w:rsidR="00E011A7">
        <w:t>influence public opinion</w:t>
      </w:r>
      <w:r w:rsidR="004605D8">
        <w:t xml:space="preserve"> </w:t>
      </w:r>
      <w:r w:rsidR="000F5D93">
        <w:t xml:space="preserve">across </w:t>
      </w:r>
      <w:r w:rsidR="009619D6">
        <w:t>sectors</w:t>
      </w:r>
      <w:r w:rsidR="00E011A7">
        <w:t xml:space="preserve">. </w:t>
      </w:r>
      <w:r w:rsidR="000F5D93">
        <w:t xml:space="preserve">Nevertheless, the claim that </w:t>
      </w:r>
      <w:proofErr w:type="spellStart"/>
      <w:r w:rsidR="000F5D93">
        <w:t>Mizrahim</w:t>
      </w:r>
      <w:proofErr w:type="spellEnd"/>
      <w:r w:rsidR="000F5D93">
        <w:t xml:space="preserve"> adopted </w:t>
      </w:r>
      <w:r w:rsidR="00E011A7">
        <w:t xml:space="preserve">hawkish </w:t>
      </w:r>
      <w:r w:rsidR="000F5D93">
        <w:t xml:space="preserve">positions because of their support for the Likud, and not the other way around, is </w:t>
      </w:r>
      <w:r w:rsidR="00E011A7">
        <w:t>worthy of attention.</w:t>
      </w:r>
      <w:r w:rsidR="004605D8">
        <w:t xml:space="preserve"> </w:t>
      </w:r>
    </w:p>
    <w:p w14:paraId="73219B0B" w14:textId="42443BF0" w:rsidR="00E011A7" w:rsidRDefault="000F5D93" w:rsidP="0039072E">
      <w:pPr>
        <w:pStyle w:val="SB"/>
        <w:spacing w:before="120" w:after="0"/>
        <w:rPr>
          <w:rFonts w:asciiTheme="majorBidi" w:hAnsiTheme="majorBidi" w:cstheme="majorBidi"/>
        </w:rPr>
      </w:pPr>
      <w:r>
        <w:t xml:space="preserve">When one examines the </w:t>
      </w:r>
      <w:r w:rsidR="00E011A7">
        <w:t xml:space="preserve">cases in which Likud leaders chose to withdraw from </w:t>
      </w:r>
      <w:r w:rsidR="00E011A7">
        <w:rPr>
          <w:rFonts w:asciiTheme="majorBidi" w:hAnsiTheme="majorBidi" w:cstheme="majorBidi"/>
        </w:rPr>
        <w:t xml:space="preserve">territories despite their avowed </w:t>
      </w:r>
      <w:r>
        <w:rPr>
          <w:rFonts w:asciiTheme="majorBidi" w:hAnsiTheme="majorBidi" w:cstheme="majorBidi"/>
        </w:rPr>
        <w:t xml:space="preserve">policy, one finds that most of the opponents of these moves were not </w:t>
      </w:r>
      <w:r w:rsidRPr="00E011A7">
        <w:rPr>
          <w:rFonts w:asciiTheme="majorBidi" w:hAnsiTheme="majorBidi" w:cstheme="majorBidi"/>
        </w:rPr>
        <w:t xml:space="preserve">Mizrahi </w:t>
      </w:r>
      <w:r>
        <w:rPr>
          <w:rFonts w:asciiTheme="majorBidi" w:hAnsiTheme="majorBidi" w:cstheme="majorBidi"/>
        </w:rPr>
        <w:t xml:space="preserve">Jews, but rather Religious-Zionist Jews of Ashkenazi extraction. </w:t>
      </w:r>
      <w:r w:rsidR="00A64EAF">
        <w:rPr>
          <w:rFonts w:asciiTheme="majorBidi" w:hAnsiTheme="majorBidi" w:cstheme="majorBidi"/>
        </w:rPr>
        <w:t xml:space="preserve">Such was the case </w:t>
      </w:r>
      <w:r w:rsidR="007C6BE3">
        <w:rPr>
          <w:rFonts w:asciiTheme="majorBidi" w:hAnsiTheme="majorBidi" w:cstheme="majorBidi"/>
        </w:rPr>
        <w:t>with respect to</w:t>
      </w:r>
      <w:r w:rsidR="00A64EAF">
        <w:rPr>
          <w:rFonts w:asciiTheme="majorBidi" w:hAnsiTheme="majorBidi" w:cstheme="majorBidi"/>
        </w:rPr>
        <w:t xml:space="preserve"> </w:t>
      </w:r>
      <w:r w:rsidR="00E011A7">
        <w:rPr>
          <w:rFonts w:asciiTheme="majorBidi" w:hAnsiTheme="majorBidi" w:cstheme="majorBidi"/>
        </w:rPr>
        <w:t xml:space="preserve">the withdrawal from the Sinai </w:t>
      </w:r>
      <w:r w:rsidR="00625493">
        <w:rPr>
          <w:rFonts w:asciiTheme="majorBidi" w:hAnsiTheme="majorBidi" w:cstheme="majorBidi"/>
        </w:rPr>
        <w:t>P</w:t>
      </w:r>
      <w:r w:rsidR="00E011A7">
        <w:rPr>
          <w:rFonts w:asciiTheme="majorBidi" w:hAnsiTheme="majorBidi" w:cstheme="majorBidi"/>
        </w:rPr>
        <w:t>eninsula in exchange for peace with Egypt in 1979</w:t>
      </w:r>
      <w:r w:rsidR="007C6BE3">
        <w:rPr>
          <w:rFonts w:asciiTheme="majorBidi" w:hAnsiTheme="majorBidi" w:cstheme="majorBidi"/>
        </w:rPr>
        <w:t xml:space="preserve"> (</w:t>
      </w:r>
      <w:r w:rsidR="00E011A7">
        <w:rPr>
          <w:rFonts w:asciiTheme="majorBidi" w:hAnsiTheme="majorBidi" w:cstheme="majorBidi"/>
        </w:rPr>
        <w:t xml:space="preserve">during the Begin </w:t>
      </w:r>
      <w:r w:rsidR="007C6BE3">
        <w:rPr>
          <w:rFonts w:asciiTheme="majorBidi" w:hAnsiTheme="majorBidi" w:cstheme="majorBidi"/>
        </w:rPr>
        <w:t>administration), and the d</w:t>
      </w:r>
      <w:r w:rsidR="00E011A7">
        <w:rPr>
          <w:rFonts w:asciiTheme="majorBidi" w:hAnsiTheme="majorBidi" w:cstheme="majorBidi"/>
        </w:rPr>
        <w:t xml:space="preserve">isengagement from the </w:t>
      </w:r>
      <w:r w:rsidR="00E011A7" w:rsidRPr="00E011A7">
        <w:rPr>
          <w:rFonts w:asciiTheme="majorBidi" w:hAnsiTheme="majorBidi" w:cstheme="majorBidi"/>
        </w:rPr>
        <w:t>Gaza Strip</w:t>
      </w:r>
      <w:r w:rsidR="00E011A7">
        <w:rPr>
          <w:rFonts w:asciiTheme="majorBidi" w:hAnsiTheme="majorBidi" w:cstheme="majorBidi"/>
        </w:rPr>
        <w:t xml:space="preserve"> in 2005</w:t>
      </w:r>
      <w:r w:rsidR="007C6BE3">
        <w:rPr>
          <w:rFonts w:asciiTheme="majorBidi" w:hAnsiTheme="majorBidi" w:cstheme="majorBidi"/>
        </w:rPr>
        <w:t>,</w:t>
      </w:r>
      <w:r w:rsidR="00E011A7">
        <w:rPr>
          <w:rFonts w:asciiTheme="majorBidi" w:hAnsiTheme="majorBidi" w:cstheme="majorBidi"/>
        </w:rPr>
        <w:t xml:space="preserve"> when Ariel Sharon led the </w:t>
      </w:r>
      <w:r w:rsidR="00E011A7" w:rsidRPr="00E011A7">
        <w:rPr>
          <w:rFonts w:asciiTheme="majorBidi" w:hAnsiTheme="majorBidi" w:cstheme="majorBidi"/>
        </w:rPr>
        <w:t>Likud</w:t>
      </w:r>
      <w:r w:rsidR="00E011A7">
        <w:rPr>
          <w:rFonts w:asciiTheme="majorBidi" w:hAnsiTheme="majorBidi" w:cstheme="majorBidi"/>
        </w:rPr>
        <w:t xml:space="preserve">. Therefore, even though </w:t>
      </w:r>
      <w:r w:rsidR="009619D6">
        <w:rPr>
          <w:rFonts w:asciiTheme="majorBidi" w:hAnsiTheme="majorBidi" w:cstheme="majorBidi"/>
        </w:rPr>
        <w:t xml:space="preserve">Mizrahi </w:t>
      </w:r>
      <w:r w:rsidR="00E011A7">
        <w:rPr>
          <w:rFonts w:asciiTheme="majorBidi" w:hAnsiTheme="majorBidi" w:cstheme="majorBidi"/>
        </w:rPr>
        <w:t xml:space="preserve">ethnic-based votes strengthen the </w:t>
      </w:r>
      <w:r w:rsidR="00823402">
        <w:rPr>
          <w:rFonts w:asciiTheme="majorBidi" w:hAnsiTheme="majorBidi" w:cstheme="majorBidi"/>
        </w:rPr>
        <w:t>r</w:t>
      </w:r>
      <w:r w:rsidR="00E011A7">
        <w:rPr>
          <w:rFonts w:asciiTheme="majorBidi" w:hAnsiTheme="majorBidi" w:cstheme="majorBidi"/>
        </w:rPr>
        <w:t xml:space="preserve">ight, </w:t>
      </w:r>
      <w:r w:rsidR="007C6BE3">
        <w:rPr>
          <w:rFonts w:asciiTheme="majorBidi" w:hAnsiTheme="majorBidi" w:cstheme="majorBidi"/>
        </w:rPr>
        <w:t xml:space="preserve">this is not necessarily a consequence of a shared ideology </w:t>
      </w:r>
      <w:r w:rsidR="00E011A7">
        <w:rPr>
          <w:rFonts w:asciiTheme="majorBidi" w:hAnsiTheme="majorBidi" w:cstheme="majorBidi"/>
        </w:rPr>
        <w:t xml:space="preserve">regarding </w:t>
      </w:r>
      <w:r w:rsidR="007C6BE3">
        <w:rPr>
          <w:rFonts w:asciiTheme="majorBidi" w:hAnsiTheme="majorBidi" w:cstheme="majorBidi"/>
        </w:rPr>
        <w:t>the Land of Israel</w:t>
      </w:r>
      <w:r w:rsidR="00E011A7">
        <w:rPr>
          <w:rFonts w:asciiTheme="majorBidi" w:hAnsiTheme="majorBidi" w:cstheme="majorBidi"/>
        </w:rPr>
        <w:t xml:space="preserve"> or hawkish positions regarding foreign and defense-related affairs. </w:t>
      </w:r>
    </w:p>
    <w:p w14:paraId="6B45EEE7" w14:textId="10375192" w:rsidR="00E011A7" w:rsidRDefault="00665C8C" w:rsidP="0039072E">
      <w:pPr>
        <w:pStyle w:val="SB"/>
        <w:spacing w:before="120" w:after="0"/>
        <w:rPr>
          <w:rtl/>
        </w:rPr>
      </w:pPr>
      <w:r>
        <w:lastRenderedPageBreak/>
        <w:t>I</w:t>
      </w:r>
      <w:r w:rsidR="007C6BE3">
        <w:t xml:space="preserve">n my view, </w:t>
      </w:r>
      <w:r>
        <w:t xml:space="preserve">Mizrahi </w:t>
      </w:r>
      <w:r w:rsidR="007C6BE3">
        <w:t xml:space="preserve">affinity for </w:t>
      </w:r>
      <w:r>
        <w:t xml:space="preserve">the Likud since the days of Begin should be </w:t>
      </w:r>
      <w:r w:rsidR="007C6BE3">
        <w:t>understood against the backdrop</w:t>
      </w:r>
      <w:r>
        <w:t xml:space="preserve"> of </w:t>
      </w:r>
      <w:r w:rsidR="007C6BE3">
        <w:t xml:space="preserve">a shared approach regarding the place of Jewish tradition within the Zionist project. </w:t>
      </w:r>
      <w:commentRangeStart w:id="5"/>
      <w:r w:rsidR="007C6BE3">
        <w:t>This approach treats Mizrahi Jews as independent subject</w:t>
      </w:r>
      <w:commentRangeEnd w:id="5"/>
      <w:r w:rsidR="007C6BE3">
        <w:rPr>
          <w:rStyle w:val="CommentReference"/>
          <w:rFonts w:asciiTheme="minorHAnsi" w:hAnsiTheme="minorHAnsi"/>
        </w:rPr>
        <w:commentReference w:id="5"/>
      </w:r>
      <w:r w:rsidR="00B345A6">
        <w:t>s</w:t>
      </w:r>
      <w:r w:rsidR="007C6BE3">
        <w:t xml:space="preserve">. </w:t>
      </w:r>
      <w:r>
        <w:t xml:space="preserve">When Jews </w:t>
      </w:r>
      <w:r w:rsidR="002569E0">
        <w:t xml:space="preserve">from </w:t>
      </w:r>
      <w:r>
        <w:t xml:space="preserve">Islamic countries </w:t>
      </w:r>
      <w:r w:rsidR="00873CB1">
        <w:t xml:space="preserve">were exposed to </w:t>
      </w:r>
      <w:r w:rsidR="00532F92">
        <w:t>the concept</w:t>
      </w:r>
      <w:r>
        <w:t xml:space="preserve"> </w:t>
      </w:r>
      <w:r w:rsidR="00532F92">
        <w:t xml:space="preserve">of Zionism, they tended to see it as a natural extension of </w:t>
      </w:r>
      <w:r w:rsidR="001E1D95">
        <w:t xml:space="preserve">their moderate, traditional </w:t>
      </w:r>
      <w:r w:rsidR="00532F92">
        <w:t>way of life</w:t>
      </w:r>
      <w:r w:rsidR="009B5EA2">
        <w:t xml:space="preserve"> – as did Begin</w:t>
      </w:r>
      <w:r w:rsidR="00532F92">
        <w:t xml:space="preserve">. </w:t>
      </w:r>
      <w:r w:rsidR="00B345A6">
        <w:t xml:space="preserve">They saw it as a </w:t>
      </w:r>
      <w:r w:rsidR="00532F92">
        <w:t xml:space="preserve">modern </w:t>
      </w:r>
      <w:r w:rsidR="00532F92" w:rsidRPr="00532F92">
        <w:t>embodiment</w:t>
      </w:r>
      <w:r w:rsidR="00532F92">
        <w:t xml:space="preserve"> of the </w:t>
      </w:r>
      <w:r w:rsidR="00B345A6">
        <w:t>national dimension</w:t>
      </w:r>
      <w:r w:rsidR="00532F92">
        <w:t xml:space="preserve"> of </w:t>
      </w:r>
      <w:r w:rsidR="00B345A6">
        <w:t xml:space="preserve">Jewish </w:t>
      </w:r>
      <w:r w:rsidR="00532F92">
        <w:t xml:space="preserve">religious texts – and not </w:t>
      </w:r>
      <w:r w:rsidR="00B345A6">
        <w:t xml:space="preserve">as </w:t>
      </w:r>
      <w:r w:rsidR="00532F92">
        <w:t xml:space="preserve">a revolutionary concept inspired by </w:t>
      </w:r>
      <w:r w:rsidR="00783BC8">
        <w:t xml:space="preserve">the </w:t>
      </w:r>
      <w:r w:rsidR="00532F92">
        <w:t>nationalism</w:t>
      </w:r>
      <w:r w:rsidR="00B345A6">
        <w:t>s</w:t>
      </w:r>
      <w:r w:rsidR="00532F92">
        <w:t xml:space="preserve"> that </w:t>
      </w:r>
      <w:r w:rsidR="00783BC8">
        <w:t xml:space="preserve">had </w:t>
      </w:r>
      <w:r w:rsidR="00B345A6">
        <w:t xml:space="preserve">stirred </w:t>
      </w:r>
      <w:r w:rsidR="00532F92">
        <w:t xml:space="preserve">the </w:t>
      </w:r>
      <w:r w:rsidR="00B345A6">
        <w:t>peoples</w:t>
      </w:r>
      <w:r w:rsidR="00532F92">
        <w:t xml:space="preserve"> of Eastern and Central </w:t>
      </w:r>
      <w:r w:rsidR="00532F92">
        <w:rPr>
          <w:rFonts w:asciiTheme="majorBidi" w:hAnsiTheme="majorBidi" w:cstheme="majorBidi"/>
        </w:rPr>
        <w:t>Europe</w:t>
      </w:r>
      <w:r w:rsidR="00532F92">
        <w:t xml:space="preserve">. </w:t>
      </w:r>
      <w:r w:rsidR="00B345A6">
        <w:t xml:space="preserve">In Israel, too, they </w:t>
      </w:r>
      <w:r w:rsidR="006420D4">
        <w:t xml:space="preserve">continued to view tradition as a tool for </w:t>
      </w:r>
      <w:r w:rsidR="00426355">
        <w:t>expressing</w:t>
      </w:r>
      <w:r w:rsidR="006420D4">
        <w:t xml:space="preserve"> continuity </w:t>
      </w:r>
      <w:r w:rsidR="00426355">
        <w:t xml:space="preserve">with </w:t>
      </w:r>
      <w:r w:rsidR="006420D4">
        <w:t>the</w:t>
      </w:r>
      <w:r w:rsidR="00560B70">
        <w:t>ir</w:t>
      </w:r>
      <w:r w:rsidR="006420D4">
        <w:t xml:space="preserve"> national and familial </w:t>
      </w:r>
      <w:commentRangeStart w:id="6"/>
      <w:r w:rsidR="00690FB1">
        <w:rPr>
          <w:highlight w:val="yellow"/>
        </w:rPr>
        <w:t>legacy</w:t>
      </w:r>
      <w:commentRangeEnd w:id="6"/>
      <w:r w:rsidR="00B345A6">
        <w:rPr>
          <w:rStyle w:val="CommentReference"/>
          <w:rFonts w:asciiTheme="minorHAnsi" w:hAnsiTheme="minorHAnsi"/>
        </w:rPr>
        <w:commentReference w:id="6"/>
      </w:r>
      <w:r w:rsidR="006420D4" w:rsidRPr="00ED4ECF">
        <w:t xml:space="preserve">, </w:t>
      </w:r>
      <w:r w:rsidR="006420D4" w:rsidRPr="006420D4">
        <w:t>without</w:t>
      </w:r>
      <w:r w:rsidR="006420D4">
        <w:t xml:space="preserve"> having to renounce a modern lifestyle</w:t>
      </w:r>
      <w:r w:rsidR="006420D4" w:rsidRPr="005A56E6">
        <w:t xml:space="preserve">. </w:t>
      </w:r>
      <w:r w:rsidR="005A56E6" w:rsidRPr="005A56E6">
        <w:t xml:space="preserve">This </w:t>
      </w:r>
      <w:proofErr w:type="gramStart"/>
      <w:r w:rsidR="005A56E6" w:rsidRPr="005A56E6">
        <w:t>was in</w:t>
      </w:r>
      <w:r w:rsidR="005A56E6">
        <w:t xml:space="preserve"> </w:t>
      </w:r>
      <w:r w:rsidR="000A7932">
        <w:t>contrast</w:t>
      </w:r>
      <w:r w:rsidR="005A56E6">
        <w:t xml:space="preserve"> to</w:t>
      </w:r>
      <w:proofErr w:type="gramEnd"/>
      <w:r w:rsidR="005A56E6">
        <w:t xml:space="preserve"> the original aspirations of the founding fathers of the Labor movement, who aimed to create </w:t>
      </w:r>
      <w:r w:rsidR="00311049" w:rsidRPr="000A7932">
        <w:t xml:space="preserve">a </w:t>
      </w:r>
      <w:r w:rsidR="000A7932" w:rsidRPr="000A7932">
        <w:t>shared</w:t>
      </w:r>
      <w:r w:rsidR="00311049" w:rsidRPr="000A7932">
        <w:t xml:space="preserve"> </w:t>
      </w:r>
      <w:r w:rsidR="000A7932">
        <w:t xml:space="preserve">Zionist-Hebrew </w:t>
      </w:r>
      <w:r w:rsidR="00311049" w:rsidRPr="000A7932">
        <w:t>culture</w:t>
      </w:r>
      <w:r w:rsidR="000A7932" w:rsidRPr="000A7932">
        <w:t xml:space="preserve"> </w:t>
      </w:r>
      <w:r w:rsidR="000A7932">
        <w:t>dis</w:t>
      </w:r>
      <w:r w:rsidR="000A7932" w:rsidRPr="000A7932">
        <w:t>connected</w:t>
      </w:r>
      <w:r w:rsidR="000A7932">
        <w:t xml:space="preserve"> from the </w:t>
      </w:r>
      <w:r w:rsidR="003A2C92">
        <w:t xml:space="preserve">traditional </w:t>
      </w:r>
      <w:r w:rsidR="000A7932">
        <w:t xml:space="preserve">rabbinic Judaism of the Diaspora. Begin, the founding father of the Likud, </w:t>
      </w:r>
      <w:r w:rsidR="00250786">
        <w:t xml:space="preserve">presented the religious tradition </w:t>
      </w:r>
      <w:r w:rsidR="000A7932">
        <w:t xml:space="preserve">as a bridge and common denominator </w:t>
      </w:r>
      <w:r w:rsidR="00250786">
        <w:t xml:space="preserve">that could </w:t>
      </w:r>
      <w:r w:rsidR="000A7932">
        <w:t>unite the different ethnic groups. This, in turn, infused a sense of equality</w:t>
      </w:r>
      <w:r w:rsidR="00CA7A89">
        <w:t xml:space="preserve"> </w:t>
      </w:r>
      <w:r w:rsidR="00250786">
        <w:t xml:space="preserve">among </w:t>
      </w:r>
      <w:r w:rsidR="00CA7A89">
        <w:t xml:space="preserve">Mizrahi Jews. </w:t>
      </w:r>
      <w:proofErr w:type="spellStart"/>
      <w:r w:rsidR="00CA7A89">
        <w:t>Begin’s</w:t>
      </w:r>
      <w:proofErr w:type="spellEnd"/>
      <w:r w:rsidR="00CA7A89">
        <w:t xml:space="preserve"> Likud was, as Dani </w:t>
      </w:r>
      <w:proofErr w:type="spellStart"/>
      <w:r w:rsidR="00CA7A89">
        <w:t>Filc</w:t>
      </w:r>
      <w:proofErr w:type="spellEnd"/>
      <w:r w:rsidR="00CA7A89">
        <w:t xml:space="preserve"> called it, “a</w:t>
      </w:r>
      <w:r w:rsidR="00250786">
        <w:t>n inclusive</w:t>
      </w:r>
      <w:r w:rsidR="00CA7A89">
        <w:t xml:space="preserve"> populistic movement.”</w:t>
      </w:r>
      <w:r w:rsidR="00CA7A89">
        <w:rPr>
          <w:rStyle w:val="FootnoteReference"/>
        </w:rPr>
        <w:footnoteReference w:id="9"/>
      </w:r>
      <w:r w:rsidR="00CA7A89">
        <w:t xml:space="preserve"> </w:t>
      </w:r>
      <w:proofErr w:type="spellStart"/>
      <w:r w:rsidR="00CA7A89">
        <w:t>Begin’s</w:t>
      </w:r>
      <w:proofErr w:type="spellEnd"/>
      <w:r w:rsidR="00CA7A89">
        <w:t xml:space="preserve"> ideology expanded the boundaries of affiliation</w:t>
      </w:r>
      <w:r w:rsidR="00250786">
        <w:t xml:space="preserve">, offering Mizrahi Jews traditionalism as an entry </w:t>
      </w:r>
      <w:r w:rsidR="00CA7A89">
        <w:t xml:space="preserve">ticket to </w:t>
      </w:r>
      <w:r w:rsidR="0072655A" w:rsidRPr="0039072E">
        <w:t>the</w:t>
      </w:r>
      <w:r w:rsidR="00CA7A89" w:rsidRPr="0039072E">
        <w:t xml:space="preserve"> society</w:t>
      </w:r>
      <w:r w:rsidR="00CA7A89">
        <w:t xml:space="preserve"> of immigrants</w:t>
      </w:r>
      <w:r w:rsidR="00641145">
        <w:t xml:space="preserve"> that was forming in </w:t>
      </w:r>
      <w:r w:rsidR="00641145">
        <w:rPr>
          <w:rFonts w:asciiTheme="majorBidi" w:hAnsiTheme="majorBidi" w:cstheme="majorBidi"/>
        </w:rPr>
        <w:t>Israel</w:t>
      </w:r>
      <w:r w:rsidR="00641145">
        <w:t>.</w:t>
      </w:r>
    </w:p>
    <w:p w14:paraId="74EB0222" w14:textId="53D47523" w:rsidR="0072655A" w:rsidRDefault="0072655A" w:rsidP="0039072E">
      <w:pPr>
        <w:pStyle w:val="SB"/>
        <w:spacing w:before="120" w:after="0"/>
      </w:pPr>
      <w:r>
        <w:t>In fact, Mizrahi Jews and Begin also shared a similar stance regarding the desirable</w:t>
      </w:r>
      <w:r w:rsidR="00EB35A8">
        <w:t xml:space="preserve"> form that religiosity should take</w:t>
      </w:r>
      <w:r w:rsidR="00ED4ECF">
        <w:t>.</w:t>
      </w:r>
      <w:r>
        <w:t xml:space="preserve"> </w:t>
      </w:r>
      <w:r w:rsidR="005E5E10">
        <w:t xml:space="preserve">Mizrahi Jews espoused a moderate religious approach: on the </w:t>
      </w:r>
      <w:r w:rsidR="005E5E10">
        <w:lastRenderedPageBreak/>
        <w:t xml:space="preserve">one hand they did not rebel against Orthodox Judaism, but on the other hand </w:t>
      </w:r>
      <w:commentRangeStart w:id="7"/>
      <w:r w:rsidR="005E5E10">
        <w:t xml:space="preserve">they </w:t>
      </w:r>
      <w:commentRangeEnd w:id="7"/>
      <w:r w:rsidR="003A2C92">
        <w:rPr>
          <w:rStyle w:val="CommentReference"/>
          <w:rFonts w:asciiTheme="minorHAnsi" w:hAnsiTheme="minorHAnsi"/>
        </w:rPr>
        <w:commentReference w:id="7"/>
      </w:r>
      <w:r w:rsidR="005E5E10">
        <w:t xml:space="preserve">were not scrupulous in </w:t>
      </w:r>
      <w:r w:rsidR="00EB35A8">
        <w:t xml:space="preserve">the </w:t>
      </w:r>
      <w:proofErr w:type="gramStart"/>
      <w:r w:rsidR="00EB35A8">
        <w:t>fine details</w:t>
      </w:r>
      <w:proofErr w:type="gramEnd"/>
      <w:r w:rsidR="00EB35A8">
        <w:t xml:space="preserve"> of </w:t>
      </w:r>
      <w:r w:rsidR="005E5E10">
        <w:t>observance. This approach can be called simply “traditional.”</w:t>
      </w:r>
      <w:r w:rsidR="005E5E10">
        <w:rPr>
          <w:rStyle w:val="FootnoteReference"/>
        </w:rPr>
        <w:footnoteReference w:id="10"/>
      </w:r>
      <w:r w:rsidR="005E5E10">
        <w:t xml:space="preserve"> Begin himself was not fully observant but </w:t>
      </w:r>
      <w:r w:rsidR="00EB35A8">
        <w:t xml:space="preserve">practiced </w:t>
      </w:r>
      <w:r w:rsidR="005E5E10">
        <w:t xml:space="preserve">certain traditions in the Orthodox style, especially </w:t>
      </w:r>
      <w:r w:rsidR="006A2912">
        <w:t>the</w:t>
      </w:r>
      <w:r w:rsidR="005E5E10">
        <w:t xml:space="preserve"> nationalistic expressions of religion.</w:t>
      </w:r>
      <w:r w:rsidR="005E5E10">
        <w:rPr>
          <w:rStyle w:val="FootnoteReference"/>
        </w:rPr>
        <w:footnoteReference w:id="11"/>
      </w:r>
      <w:r w:rsidR="005E5E10">
        <w:t xml:space="preserve"> Therefore, although Begin was of Polish</w:t>
      </w:r>
      <w:r w:rsidR="005E5E10" w:rsidRPr="0039072E">
        <w:rPr>
          <w:highlight w:val="green"/>
        </w:rPr>
        <w:t>-</w:t>
      </w:r>
      <w:r w:rsidR="005E5E10" w:rsidRPr="005E5E10">
        <w:rPr>
          <w:highlight w:val="green"/>
        </w:rPr>
        <w:t>Ashkenazi</w:t>
      </w:r>
      <w:r w:rsidR="005E5E10">
        <w:t xml:space="preserve"> origin, his stance toward religion </w:t>
      </w:r>
      <w:r w:rsidR="005E5E10" w:rsidRPr="0039072E">
        <w:t>resonated</w:t>
      </w:r>
      <w:r w:rsidR="005E5E10">
        <w:t xml:space="preserve"> with many </w:t>
      </w:r>
      <w:proofErr w:type="spellStart"/>
      <w:r w:rsidR="005E5E10">
        <w:t>Mizrahi</w:t>
      </w:r>
      <w:r w:rsidR="00EB35A8">
        <w:t>m</w:t>
      </w:r>
      <w:proofErr w:type="spellEnd"/>
      <w:r w:rsidR="005E5E10">
        <w:t>.</w:t>
      </w:r>
    </w:p>
    <w:p w14:paraId="76BDDA0B" w14:textId="46AAEAE2" w:rsidR="006A2912" w:rsidRDefault="006A2912" w:rsidP="0039072E">
      <w:pPr>
        <w:pStyle w:val="SB"/>
        <w:spacing w:before="120" w:after="0"/>
      </w:pPr>
      <w:proofErr w:type="spellStart"/>
      <w:r>
        <w:t>Begin’s</w:t>
      </w:r>
      <w:proofErr w:type="spellEnd"/>
      <w:r>
        <w:t xml:space="preserve"> empathetic attitude toward religion extended beyond his connection to Mizrahi Jews and their support in brin</w:t>
      </w:r>
      <w:r w:rsidR="00783BC8">
        <w:t>g</w:t>
      </w:r>
      <w:r>
        <w:t xml:space="preserve">ing him to power. His </w:t>
      </w:r>
      <w:r>
        <w:rPr>
          <w:rFonts w:asciiTheme="majorBidi" w:hAnsiTheme="majorBidi" w:cstheme="majorBidi"/>
        </w:rPr>
        <w:t>government</w:t>
      </w:r>
      <w:r>
        <w:t xml:space="preserve">s </w:t>
      </w:r>
      <w:r w:rsidR="003A2C92">
        <w:t xml:space="preserve">(1977-1982) </w:t>
      </w:r>
      <w:r>
        <w:t xml:space="preserve">created a series of </w:t>
      </w:r>
      <w:r>
        <w:rPr>
          <w:rFonts w:asciiTheme="majorBidi" w:hAnsiTheme="majorBidi" w:cstheme="majorBidi"/>
        </w:rPr>
        <w:t>political</w:t>
      </w:r>
      <w:r>
        <w:t xml:space="preserve"> </w:t>
      </w:r>
      <w:r w:rsidRPr="006A2912">
        <w:t>precedent</w:t>
      </w:r>
      <w:r>
        <w:t xml:space="preserve">s in the religious context which shaped the face of the </w:t>
      </w:r>
      <w:r>
        <w:rPr>
          <w:rFonts w:asciiTheme="majorBidi" w:hAnsiTheme="majorBidi" w:cstheme="majorBidi"/>
        </w:rPr>
        <w:t>political</w:t>
      </w:r>
      <w:r>
        <w:t xml:space="preserve"> system for the following decades, and even affected how Judaism in </w:t>
      </w:r>
      <w:r>
        <w:rPr>
          <w:rFonts w:asciiTheme="majorBidi" w:hAnsiTheme="majorBidi" w:cstheme="majorBidi"/>
        </w:rPr>
        <w:t>Israel</w:t>
      </w:r>
      <w:r>
        <w:t xml:space="preserve"> is viewed and defined. The first precedent was </w:t>
      </w:r>
      <w:proofErr w:type="gramStart"/>
      <w:r>
        <w:t>with regard to</w:t>
      </w:r>
      <w:proofErr w:type="gramEnd"/>
      <w:r>
        <w:t xml:space="preserve"> the ultra-Orthodox </w:t>
      </w:r>
      <w:proofErr w:type="spellStart"/>
      <w:r>
        <w:t>Agudath</w:t>
      </w:r>
      <w:proofErr w:type="spellEnd"/>
      <w:r>
        <w:t xml:space="preserve"> Israel, </w:t>
      </w:r>
      <w:r w:rsidR="00ED4ECF">
        <w:t>which</w:t>
      </w:r>
      <w:r>
        <w:t xml:space="preserve"> quit the </w:t>
      </w:r>
      <w:r w:rsidR="003A2C92">
        <w:t xml:space="preserve">governing </w:t>
      </w:r>
      <w:r>
        <w:rPr>
          <w:rFonts w:asciiTheme="majorBidi" w:hAnsiTheme="majorBidi" w:cstheme="majorBidi"/>
        </w:rPr>
        <w:t>coalition in 1952 when Ben</w:t>
      </w:r>
      <w:r w:rsidR="00F80D63">
        <w:rPr>
          <w:rFonts w:asciiTheme="majorBidi" w:hAnsiTheme="majorBidi" w:cstheme="majorBidi"/>
        </w:rPr>
        <w:t>-</w:t>
      </w:r>
      <w:r>
        <w:rPr>
          <w:rFonts w:asciiTheme="majorBidi" w:hAnsiTheme="majorBidi" w:cstheme="majorBidi"/>
        </w:rPr>
        <w:t xml:space="preserve">Gurion’s </w:t>
      </w:r>
      <w:r w:rsidRPr="006A2912">
        <w:rPr>
          <w:rFonts w:asciiTheme="majorBidi" w:hAnsiTheme="majorBidi" w:cstheme="majorBidi"/>
        </w:rPr>
        <w:t>government</w:t>
      </w:r>
      <w:r>
        <w:rPr>
          <w:rFonts w:asciiTheme="majorBidi" w:hAnsiTheme="majorBidi" w:cstheme="majorBidi"/>
        </w:rPr>
        <w:t xml:space="preserve"> mandated the drafting of women to the IDF. </w:t>
      </w:r>
      <w:proofErr w:type="spellStart"/>
      <w:r w:rsidR="00237C66">
        <w:t>Agudath</w:t>
      </w:r>
      <w:proofErr w:type="spellEnd"/>
      <w:r w:rsidR="00237C66">
        <w:t xml:space="preserve"> Israel only joined another secular coalition when the Likud rose to power. Since then, the ultra-Orthodox parties</w:t>
      </w:r>
      <w:r w:rsidR="00ED4ECF">
        <w:t xml:space="preserve"> </w:t>
      </w:r>
      <w:r w:rsidR="00237C66">
        <w:t xml:space="preserve">have traditionally joined secular coalitions </w:t>
      </w:r>
      <w:r w:rsidR="00783BC8">
        <w:t xml:space="preserve">where they </w:t>
      </w:r>
      <w:r w:rsidR="00237C66">
        <w:t>benefit</w:t>
      </w:r>
      <w:r w:rsidR="00783BC8">
        <w:t xml:space="preserve"> </w:t>
      </w:r>
      <w:r w:rsidR="00237C66">
        <w:t xml:space="preserve">from huge </w:t>
      </w:r>
      <w:r w:rsidR="00783BC8">
        <w:t>budgets</w:t>
      </w:r>
      <w:r w:rsidR="00237C66">
        <w:t xml:space="preserve"> and </w:t>
      </w:r>
      <w:r w:rsidR="00ED4ECF">
        <w:t xml:space="preserve">can </w:t>
      </w:r>
      <w:r w:rsidR="00237C66">
        <w:t xml:space="preserve">influence the </w:t>
      </w:r>
      <w:r w:rsidR="00237C66">
        <w:rPr>
          <w:rFonts w:asciiTheme="majorBidi" w:hAnsiTheme="majorBidi" w:cstheme="majorBidi"/>
        </w:rPr>
        <w:t>political</w:t>
      </w:r>
      <w:r w:rsidR="00237C66">
        <w:t xml:space="preserve"> agenda.</w:t>
      </w:r>
      <w:r w:rsidR="00353886">
        <w:t xml:space="preserve"> </w:t>
      </w:r>
      <w:r w:rsidR="00237C66">
        <w:t xml:space="preserve">The Shas party heads the list; although it </w:t>
      </w:r>
      <w:r w:rsidR="003A2C92">
        <w:t xml:space="preserve">defines </w:t>
      </w:r>
      <w:r w:rsidR="00237C66">
        <w:t xml:space="preserve">itself as ultra-Orthodox, many of its constituents come from the traditional </w:t>
      </w:r>
      <w:r w:rsidR="00353886">
        <w:t xml:space="preserve">public </w:t>
      </w:r>
      <w:r w:rsidR="00237C66">
        <w:t xml:space="preserve">or are </w:t>
      </w:r>
      <w:r w:rsidR="00353886">
        <w:t xml:space="preserve">newly </w:t>
      </w:r>
      <w:r w:rsidR="00353886">
        <w:lastRenderedPageBreak/>
        <w:t>religious</w:t>
      </w:r>
      <w:r w:rsidR="00237C66">
        <w:t xml:space="preserve">. There were many reasons for the emergence of Shas </w:t>
      </w:r>
      <w:r w:rsidR="00ED24EE">
        <w:t>and</w:t>
      </w:r>
      <w:r w:rsidR="00237C66">
        <w:t xml:space="preserve"> I will not address them </w:t>
      </w:r>
      <w:r w:rsidR="00ED4ECF">
        <w:t>here</w:t>
      </w:r>
      <w:r w:rsidR="00237C66">
        <w:t>, ex</w:t>
      </w:r>
      <w:r w:rsidR="00ED24EE">
        <w:t>c</w:t>
      </w:r>
      <w:r w:rsidR="00237C66">
        <w:t xml:space="preserve">ept </w:t>
      </w:r>
      <w:r w:rsidR="00353886">
        <w:t xml:space="preserve">to note </w:t>
      </w:r>
      <w:r w:rsidR="00237C66">
        <w:t xml:space="preserve">that </w:t>
      </w:r>
      <w:r w:rsidR="00ED4ECF">
        <w:t>the party</w:t>
      </w:r>
      <w:r w:rsidR="00237C66">
        <w:t xml:space="preserve"> was founded in 1984, only a year after Begin resigned. Perhaps that is because the </w:t>
      </w:r>
      <w:proofErr w:type="spellStart"/>
      <w:r w:rsidR="00237C66" w:rsidRPr="0039072E">
        <w:rPr>
          <w:i/>
          <w:iCs/>
        </w:rPr>
        <w:t>Mahapa</w:t>
      </w:r>
      <w:r w:rsidR="00C82B8B" w:rsidRPr="0039072E">
        <w:rPr>
          <w:i/>
          <w:iCs/>
        </w:rPr>
        <w:t>k</w:t>
      </w:r>
      <w:r w:rsidR="00237C66" w:rsidRPr="0039072E">
        <w:rPr>
          <w:i/>
          <w:iCs/>
        </w:rPr>
        <w:t>h</w:t>
      </w:r>
      <w:proofErr w:type="spellEnd"/>
      <w:r w:rsidR="00237C66">
        <w:t xml:space="preserve"> </w:t>
      </w:r>
      <w:r w:rsidR="00ED24EE">
        <w:t xml:space="preserve">had </w:t>
      </w:r>
      <w:r w:rsidR="00237C66">
        <w:t xml:space="preserve">strengthened Mizrahi politics and </w:t>
      </w:r>
      <w:proofErr w:type="spellStart"/>
      <w:r w:rsidR="00237C66">
        <w:t>Begin’s</w:t>
      </w:r>
      <w:proofErr w:type="spellEnd"/>
      <w:r w:rsidR="00237C66">
        <w:t xml:space="preserve"> departure left a gap in the </w:t>
      </w:r>
      <w:r w:rsidR="00237C66">
        <w:rPr>
          <w:rFonts w:asciiTheme="majorBidi" w:hAnsiTheme="majorBidi" w:cstheme="majorBidi"/>
        </w:rPr>
        <w:t>political</w:t>
      </w:r>
      <w:r w:rsidR="00237C66">
        <w:t xml:space="preserve"> world, to be filled by</w:t>
      </w:r>
      <w:r w:rsidR="008129E7">
        <w:t xml:space="preserve"> </w:t>
      </w:r>
      <w:r w:rsidR="00ED24EE">
        <w:t xml:space="preserve">a </w:t>
      </w:r>
      <w:r w:rsidR="008129E7">
        <w:t>party that represented Mizrahi ultra-Orthodox Jews with a Zionist orientation.</w:t>
      </w:r>
    </w:p>
    <w:p w14:paraId="6C62D666" w14:textId="638DEA64" w:rsidR="00193AC6" w:rsidRDefault="008129E7" w:rsidP="0039072E">
      <w:pPr>
        <w:pStyle w:val="SB"/>
        <w:spacing w:before="120" w:after="0"/>
      </w:pPr>
      <w:r>
        <w:t>The second precedent relates to the</w:t>
      </w:r>
      <w:r w:rsidR="00193AC6">
        <w:t xml:space="preserve"> bestowal of the Education Ministry on a minister from the National Religious </w:t>
      </w:r>
      <w:r w:rsidR="002A393C">
        <w:t>P</w:t>
      </w:r>
      <w:r w:rsidR="00193AC6">
        <w:t>arty</w:t>
      </w:r>
      <w:r w:rsidR="00683A50">
        <w:t xml:space="preserve"> (NRP)</w:t>
      </w:r>
      <w:r w:rsidR="00193AC6">
        <w:t xml:space="preserve">, and not to a </w:t>
      </w:r>
      <w:r w:rsidR="00ED24EE">
        <w:t>member of</w:t>
      </w:r>
      <w:r w:rsidR="00193AC6">
        <w:t xml:space="preserve"> </w:t>
      </w:r>
      <w:r w:rsidR="002A393C">
        <w:t>ruling party itself</w:t>
      </w:r>
      <w:r w:rsidR="00193AC6">
        <w:t xml:space="preserve">. From then until these very days, </w:t>
      </w:r>
      <w:r w:rsidR="008E128D">
        <w:t xml:space="preserve">NRP </w:t>
      </w:r>
      <w:r w:rsidR="00ED4ECF">
        <w:t>m</w:t>
      </w:r>
      <w:r w:rsidR="00193AC6">
        <w:t xml:space="preserve">inisters have received that portfolio </w:t>
      </w:r>
      <w:commentRangeStart w:id="8"/>
      <w:r w:rsidR="00193AC6">
        <w:t>almost every time the Likud ruled alone</w:t>
      </w:r>
      <w:commentRangeEnd w:id="8"/>
      <w:r w:rsidR="003A2C92">
        <w:rPr>
          <w:rStyle w:val="CommentReference"/>
          <w:rFonts w:asciiTheme="minorHAnsi" w:hAnsiTheme="minorHAnsi"/>
        </w:rPr>
        <w:commentReference w:id="8"/>
      </w:r>
      <w:r w:rsidR="00193AC6">
        <w:t xml:space="preserve">. (A religious </w:t>
      </w:r>
      <w:r w:rsidR="008E128D">
        <w:t xml:space="preserve">education </w:t>
      </w:r>
      <w:r w:rsidR="00193AC6">
        <w:t xml:space="preserve">minister serves under </w:t>
      </w:r>
      <w:r w:rsidR="00193AC6">
        <w:rPr>
          <w:rFonts w:asciiTheme="majorBidi" w:hAnsiTheme="majorBidi" w:cstheme="majorBidi"/>
        </w:rPr>
        <w:t>Netanyahu</w:t>
      </w:r>
      <w:r w:rsidR="00193AC6">
        <w:t xml:space="preserve">’s current </w:t>
      </w:r>
      <w:r w:rsidR="00193AC6">
        <w:rPr>
          <w:rFonts w:asciiTheme="majorBidi" w:hAnsiTheme="majorBidi" w:cstheme="majorBidi"/>
        </w:rPr>
        <w:t>government</w:t>
      </w:r>
      <w:r w:rsidR="008E128D">
        <w:t xml:space="preserve"> –</w:t>
      </w:r>
      <w:r w:rsidR="00193AC6">
        <w:t xml:space="preserve"> Naftali</w:t>
      </w:r>
      <w:r w:rsidR="008E128D">
        <w:t xml:space="preserve"> </w:t>
      </w:r>
      <w:r w:rsidR="00193AC6">
        <w:t xml:space="preserve">Bennett from the </w:t>
      </w:r>
      <w:r w:rsidR="008E128D">
        <w:t>Jewish Home</w:t>
      </w:r>
      <w:r w:rsidR="00193AC6">
        <w:t xml:space="preserve"> party</w:t>
      </w:r>
      <w:r w:rsidR="008E128D">
        <w:t>, which is the current incarnation of the NRP</w:t>
      </w:r>
      <w:r w:rsidR="00193AC6">
        <w:t>.)</w:t>
      </w:r>
    </w:p>
    <w:p w14:paraId="26C7F161" w14:textId="1B588DEC" w:rsidR="008129E7" w:rsidRDefault="00F61C5F" w:rsidP="0039072E">
      <w:pPr>
        <w:pStyle w:val="SB"/>
        <w:spacing w:before="120" w:after="0"/>
      </w:pPr>
      <w:r>
        <w:t xml:space="preserve">One might wonder about </w:t>
      </w:r>
      <w:r w:rsidR="002C3D11">
        <w:rPr>
          <w:lang w:val="en-AU" w:bidi="ar-EG"/>
        </w:rPr>
        <w:t xml:space="preserve">the </w:t>
      </w:r>
      <w:r w:rsidR="00193AC6">
        <w:t xml:space="preserve">the fact that a religious agenda has </w:t>
      </w:r>
      <w:r w:rsidR="00F41713">
        <w:t>reigned</w:t>
      </w:r>
      <w:r w:rsidR="002C3D11">
        <w:t xml:space="preserve"> at </w:t>
      </w:r>
      <w:r w:rsidR="00CF2938">
        <w:t>the</w:t>
      </w:r>
      <w:r w:rsidR="00193AC6">
        <w:t xml:space="preserve"> Education Ministry for almost half of the </w:t>
      </w:r>
      <w:r w:rsidR="002C3D11">
        <w:t>period</w:t>
      </w:r>
      <w:r w:rsidR="00193AC6">
        <w:t xml:space="preserve"> since 1977</w:t>
      </w:r>
      <w:r w:rsidR="00CF2938">
        <w:t xml:space="preserve">, </w:t>
      </w:r>
      <w:r w:rsidR="002C3D11">
        <w:t>and the</w:t>
      </w:r>
      <w:r w:rsidR="00ED24EE">
        <w:t xml:space="preserve"> </w:t>
      </w:r>
      <w:r w:rsidR="002C3D11">
        <w:t xml:space="preserve">impact </w:t>
      </w:r>
      <w:r w:rsidR="00ED24EE">
        <w:t xml:space="preserve">on </w:t>
      </w:r>
      <w:r w:rsidR="00CF2938">
        <w:t xml:space="preserve">generations of </w:t>
      </w:r>
      <w:r w:rsidR="002C3D11">
        <w:t>students</w:t>
      </w:r>
      <w:r w:rsidR="00CF2938">
        <w:t xml:space="preserve">. It is no coincidence that surveys conducted since the 1990s on the subject show that most </w:t>
      </w:r>
      <w:r w:rsidR="00CF2938">
        <w:rPr>
          <w:rFonts w:asciiTheme="majorBidi" w:hAnsiTheme="majorBidi" w:cstheme="majorBidi"/>
        </w:rPr>
        <w:t>Israel</w:t>
      </w:r>
      <w:r w:rsidR="00CF2938">
        <w:t>is view the Jewish</w:t>
      </w:r>
      <w:r w:rsidR="00ED24EE">
        <w:t>-</w:t>
      </w:r>
      <w:r w:rsidR="00ED24EE" w:rsidRPr="00ED24EE">
        <w:t xml:space="preserve"> </w:t>
      </w:r>
      <w:r w:rsidR="00ED24EE">
        <w:t>traditional</w:t>
      </w:r>
      <w:r w:rsidR="00CF2938">
        <w:t xml:space="preserve"> component of their identity </w:t>
      </w:r>
      <w:r w:rsidR="002C3D11">
        <w:t>as</w:t>
      </w:r>
      <w:r w:rsidR="00CF2938">
        <w:t xml:space="preserve"> more significant than the civi</w:t>
      </w:r>
      <w:r w:rsidR="002C3D11">
        <w:t>c</w:t>
      </w:r>
      <w:r w:rsidR="00CF2938">
        <w:t>-</w:t>
      </w:r>
      <w:r w:rsidR="00CF2938">
        <w:rPr>
          <w:rFonts w:asciiTheme="majorBidi" w:hAnsiTheme="majorBidi" w:cstheme="majorBidi"/>
        </w:rPr>
        <w:t>Israel</w:t>
      </w:r>
      <w:r w:rsidR="00CF2938">
        <w:t>i element.</w:t>
      </w:r>
      <w:r w:rsidR="00CF2938">
        <w:rPr>
          <w:rStyle w:val="FootnoteReference"/>
        </w:rPr>
        <w:footnoteReference w:id="12"/>
      </w:r>
    </w:p>
    <w:p w14:paraId="5F83E67C" w14:textId="5C0A4244" w:rsidR="00CF2938" w:rsidRDefault="00CF2938" w:rsidP="0039072E">
      <w:pPr>
        <w:pStyle w:val="SB"/>
        <w:spacing w:before="120" w:after="0"/>
      </w:pPr>
      <w:r>
        <w:lastRenderedPageBreak/>
        <w:t xml:space="preserve">In </w:t>
      </w:r>
      <w:r w:rsidR="008D01DE">
        <w:t>fact</w:t>
      </w:r>
      <w:r>
        <w:t xml:space="preserve">, </w:t>
      </w:r>
      <w:r w:rsidR="008D01DE">
        <w:t xml:space="preserve">since 1977 </w:t>
      </w:r>
      <w:r>
        <w:t xml:space="preserve">the division </w:t>
      </w:r>
      <w:r>
        <w:rPr>
          <w:rFonts w:asciiTheme="majorBidi" w:hAnsiTheme="majorBidi" w:cstheme="majorBidi"/>
        </w:rPr>
        <w:t>between</w:t>
      </w:r>
      <w:r>
        <w:t xml:space="preserve"> the </w:t>
      </w:r>
      <w:r w:rsidR="008D01DE">
        <w:t xml:space="preserve">political </w:t>
      </w:r>
      <w:r>
        <w:t>right and left in Israel</w:t>
      </w:r>
      <w:r w:rsidR="008D01DE">
        <w:t xml:space="preserve"> </w:t>
      </w:r>
      <w:r w:rsidR="00ED24EE">
        <w:t>largely</w:t>
      </w:r>
      <w:r>
        <w:t xml:space="preserve"> </w:t>
      </w:r>
      <w:r w:rsidR="008D01DE">
        <w:t xml:space="preserve">corresponds to other divisions: </w:t>
      </w:r>
      <w:r>
        <w:t>Mizrahi/Ashkenazi</w:t>
      </w:r>
      <w:r w:rsidR="00ED24EE">
        <w:t xml:space="preserve">, </w:t>
      </w:r>
      <w:r>
        <w:t xml:space="preserve">traditional/secular, </w:t>
      </w:r>
      <w:r w:rsidR="00DE705A">
        <w:t>low</w:t>
      </w:r>
      <w:r w:rsidR="008D01DE">
        <w:t>/</w:t>
      </w:r>
      <w:r w:rsidR="00DE705A">
        <w:t>high</w:t>
      </w:r>
      <w:r w:rsidR="00ED24EE">
        <w:t xml:space="preserve"> </w:t>
      </w:r>
      <w:r>
        <w:t>socio</w:t>
      </w:r>
      <w:r w:rsidR="008D01DE">
        <w:t>-</w:t>
      </w:r>
      <w:r>
        <w:t xml:space="preserve">economic status. </w:t>
      </w:r>
      <w:r w:rsidR="008D01DE">
        <w:t>T</w:t>
      </w:r>
      <w:r>
        <w:t xml:space="preserve">he </w:t>
      </w:r>
      <w:r w:rsidR="008D01DE">
        <w:t xml:space="preserve">concept of </w:t>
      </w:r>
      <w:r>
        <w:t xml:space="preserve">Greater Israel has </w:t>
      </w:r>
      <w:r w:rsidR="008D01DE">
        <w:t>been made into a defining criterion for a</w:t>
      </w:r>
      <w:r w:rsidR="00ED24EE">
        <w:t xml:space="preserve"> </w:t>
      </w:r>
      <w:r>
        <w:t>pro-traditional outlook.</w:t>
      </w:r>
      <w:r>
        <w:rPr>
          <w:rStyle w:val="FootnoteReference"/>
        </w:rPr>
        <w:footnoteReference w:id="13"/>
      </w:r>
      <w:r>
        <w:t xml:space="preserve"> </w:t>
      </w:r>
      <w:r w:rsidR="008D01DE">
        <w:t>This identity politics</w:t>
      </w:r>
      <w:r w:rsidR="00F1691B">
        <w:t xml:space="preserve">, </w:t>
      </w:r>
      <w:r w:rsidR="008D01DE">
        <w:t xml:space="preserve">along with </w:t>
      </w:r>
      <w:r w:rsidR="00F1691B">
        <w:t xml:space="preserve">the connection </w:t>
      </w:r>
      <w:r w:rsidR="00F1691B">
        <w:rPr>
          <w:rFonts w:asciiTheme="majorBidi" w:hAnsiTheme="majorBidi" w:cstheme="majorBidi"/>
        </w:rPr>
        <w:t>between</w:t>
      </w:r>
      <w:r w:rsidR="00F1691B">
        <w:t xml:space="preserve"> Judaism and </w:t>
      </w:r>
      <w:r w:rsidR="008D01DE" w:rsidRPr="0039072E">
        <w:rPr>
          <w:highlight w:val="green"/>
        </w:rPr>
        <w:t>one’s stance regarding</w:t>
      </w:r>
      <w:r w:rsidR="008D01DE">
        <w:t xml:space="preserve"> </w:t>
      </w:r>
      <w:r w:rsidR="00BA10F4">
        <w:t>the</w:t>
      </w:r>
      <w:r w:rsidR="00F1691B">
        <w:t xml:space="preserve"> territori</w:t>
      </w:r>
      <w:r w:rsidR="00BA10F4">
        <w:t>es</w:t>
      </w:r>
      <w:r w:rsidR="00F1691B">
        <w:t>, is the key to understand</w:t>
      </w:r>
      <w:r w:rsidR="00302957">
        <w:t>ing</w:t>
      </w:r>
      <w:r w:rsidR="00F1691B">
        <w:t xml:space="preserve"> </w:t>
      </w:r>
      <w:r w:rsidR="008D01DE">
        <w:t>events</w:t>
      </w:r>
      <w:r w:rsidR="00F1691B">
        <w:t xml:space="preserve"> in the </w:t>
      </w:r>
      <w:r w:rsidR="00F1691B">
        <w:rPr>
          <w:rFonts w:asciiTheme="majorBidi" w:hAnsiTheme="majorBidi" w:cstheme="majorBidi"/>
        </w:rPr>
        <w:t>political</w:t>
      </w:r>
      <w:r w:rsidR="00F1691B">
        <w:t xml:space="preserve"> field.</w:t>
      </w:r>
    </w:p>
    <w:p w14:paraId="622E117D" w14:textId="1881576D" w:rsidR="00F1691B" w:rsidRDefault="00F1691B" w:rsidP="0039072E">
      <w:pPr>
        <w:pStyle w:val="SB"/>
        <w:spacing w:before="120" w:after="0"/>
        <w:rPr>
          <w:rFonts w:asciiTheme="majorBidi" w:hAnsiTheme="majorBidi" w:cstheme="majorBidi"/>
        </w:rPr>
      </w:pPr>
      <w:r>
        <w:t xml:space="preserve">The paradox is that </w:t>
      </w:r>
      <w:r w:rsidR="008D01DE">
        <w:t xml:space="preserve">a </w:t>
      </w:r>
      <w:r>
        <w:t>pro-traditional outlook and Mizrahi identity are usually associated with the more hawkish parties</w:t>
      </w:r>
      <w:r w:rsidR="008D01DE">
        <w:t xml:space="preserve">, </w:t>
      </w:r>
      <w:proofErr w:type="gramStart"/>
      <w:r w:rsidR="0077427D">
        <w:t>despite the fact that</w:t>
      </w:r>
      <w:proofErr w:type="gramEnd"/>
      <w:r w:rsidR="0077427D">
        <w:t xml:space="preserve"> </w:t>
      </w:r>
      <w:r>
        <w:t xml:space="preserve">Mizrahi Jewry was </w:t>
      </w:r>
      <w:r w:rsidR="00BA10F4">
        <w:t xml:space="preserve">originally </w:t>
      </w:r>
      <w:r>
        <w:rPr>
          <w:rFonts w:asciiTheme="majorBidi" w:hAnsiTheme="majorBidi" w:cstheme="majorBidi"/>
        </w:rPr>
        <w:t>characterized by moderation</w:t>
      </w:r>
      <w:r w:rsidR="0077427D">
        <w:rPr>
          <w:rFonts w:asciiTheme="majorBidi" w:hAnsiTheme="majorBidi" w:cstheme="majorBidi"/>
        </w:rPr>
        <w:t xml:space="preserve"> –</w:t>
      </w:r>
      <w:r>
        <w:rPr>
          <w:rFonts w:asciiTheme="majorBidi" w:hAnsiTheme="majorBidi" w:cstheme="majorBidi"/>
        </w:rPr>
        <w:t xml:space="preserve"> with</w:t>
      </w:r>
      <w:r w:rsidR="0077427D">
        <w:rPr>
          <w:rFonts w:asciiTheme="majorBidi" w:hAnsiTheme="majorBidi" w:cstheme="majorBidi"/>
        </w:rPr>
        <w:t xml:space="preserve"> </w:t>
      </w:r>
      <w:r>
        <w:rPr>
          <w:rFonts w:asciiTheme="majorBidi" w:hAnsiTheme="majorBidi" w:cstheme="majorBidi"/>
        </w:rPr>
        <w:t xml:space="preserve">regard to relations with the Arabs, </w:t>
      </w:r>
      <w:r w:rsidR="00DE705A">
        <w:rPr>
          <w:rFonts w:asciiTheme="majorBidi" w:hAnsiTheme="majorBidi" w:cstheme="majorBidi"/>
        </w:rPr>
        <w:t>as well</w:t>
      </w:r>
      <w:r>
        <w:rPr>
          <w:rFonts w:asciiTheme="majorBidi" w:hAnsiTheme="majorBidi" w:cstheme="majorBidi"/>
        </w:rPr>
        <w:t xml:space="preserve"> </w:t>
      </w:r>
      <w:r w:rsidR="00DE705A">
        <w:rPr>
          <w:rFonts w:asciiTheme="majorBidi" w:hAnsiTheme="majorBidi" w:cstheme="majorBidi"/>
        </w:rPr>
        <w:t>as to</w:t>
      </w:r>
      <w:r>
        <w:rPr>
          <w:rFonts w:asciiTheme="majorBidi" w:hAnsiTheme="majorBidi" w:cstheme="majorBidi"/>
        </w:rPr>
        <w:t xml:space="preserve"> religion</w:t>
      </w:r>
      <w:r w:rsidR="0077427D">
        <w:rPr>
          <w:rFonts w:asciiTheme="majorBidi" w:hAnsiTheme="majorBidi" w:cstheme="majorBidi"/>
        </w:rPr>
        <w:t xml:space="preserve"> – which could have made it a potential match for the </w:t>
      </w:r>
      <w:r w:rsidR="00823402">
        <w:rPr>
          <w:rFonts w:asciiTheme="majorBidi" w:hAnsiTheme="majorBidi" w:cstheme="majorBidi"/>
        </w:rPr>
        <w:t>l</w:t>
      </w:r>
      <w:r w:rsidR="0077427D">
        <w:rPr>
          <w:rFonts w:asciiTheme="majorBidi" w:hAnsiTheme="majorBidi" w:cstheme="majorBidi"/>
        </w:rPr>
        <w:t>eft</w:t>
      </w:r>
      <w:r>
        <w:rPr>
          <w:rFonts w:asciiTheme="majorBidi" w:hAnsiTheme="majorBidi" w:cstheme="majorBidi"/>
        </w:rPr>
        <w:t xml:space="preserve">. When </w:t>
      </w:r>
      <w:proofErr w:type="spellStart"/>
      <w:r>
        <w:rPr>
          <w:rFonts w:asciiTheme="majorBidi" w:hAnsiTheme="majorBidi" w:cstheme="majorBidi"/>
        </w:rPr>
        <w:t>Avi</w:t>
      </w:r>
      <w:proofErr w:type="spellEnd"/>
      <w:r>
        <w:rPr>
          <w:rFonts w:asciiTheme="majorBidi" w:hAnsiTheme="majorBidi" w:cstheme="majorBidi"/>
        </w:rPr>
        <w:t xml:space="preserve"> </w:t>
      </w:r>
      <w:proofErr w:type="spellStart"/>
      <w:r>
        <w:rPr>
          <w:rFonts w:asciiTheme="majorBidi" w:hAnsiTheme="majorBidi" w:cstheme="majorBidi"/>
        </w:rPr>
        <w:t>Gab</w:t>
      </w:r>
      <w:r w:rsidR="0077427D">
        <w:rPr>
          <w:rFonts w:asciiTheme="majorBidi" w:hAnsiTheme="majorBidi" w:cstheme="majorBidi"/>
        </w:rPr>
        <w:t>b</w:t>
      </w:r>
      <w:r>
        <w:rPr>
          <w:rFonts w:asciiTheme="majorBidi" w:hAnsiTheme="majorBidi" w:cstheme="majorBidi"/>
        </w:rPr>
        <w:t>a</w:t>
      </w:r>
      <w:r w:rsidR="0077427D">
        <w:rPr>
          <w:rFonts w:asciiTheme="majorBidi" w:hAnsiTheme="majorBidi" w:cstheme="majorBidi"/>
        </w:rPr>
        <w:t>y</w:t>
      </w:r>
      <w:proofErr w:type="spellEnd"/>
      <w:r w:rsidR="0077427D">
        <w:rPr>
          <w:rFonts w:asciiTheme="majorBidi" w:hAnsiTheme="majorBidi" w:cstheme="majorBidi"/>
        </w:rPr>
        <w:t>, who has Moroccan roots,</w:t>
      </w:r>
      <w:r>
        <w:rPr>
          <w:rFonts w:asciiTheme="majorBidi" w:hAnsiTheme="majorBidi" w:cstheme="majorBidi"/>
        </w:rPr>
        <w:t xml:space="preserve"> was </w:t>
      </w:r>
      <w:r w:rsidR="000800C0">
        <w:rPr>
          <w:rFonts w:asciiTheme="majorBidi" w:hAnsiTheme="majorBidi" w:cstheme="majorBidi"/>
        </w:rPr>
        <w:t>e</w:t>
      </w:r>
      <w:r>
        <w:rPr>
          <w:rFonts w:asciiTheme="majorBidi" w:hAnsiTheme="majorBidi" w:cstheme="majorBidi"/>
        </w:rPr>
        <w:t>lected to head the Labor party in 2017</w:t>
      </w:r>
      <w:r w:rsidR="0077427D">
        <w:rPr>
          <w:rFonts w:asciiTheme="majorBidi" w:hAnsiTheme="majorBidi" w:cstheme="majorBidi"/>
        </w:rPr>
        <w:t>,</w:t>
      </w:r>
      <w:r>
        <w:rPr>
          <w:rFonts w:asciiTheme="majorBidi" w:hAnsiTheme="majorBidi" w:cstheme="majorBidi"/>
        </w:rPr>
        <w:t xml:space="preserve"> he claimed that </w:t>
      </w:r>
      <w:r w:rsidRPr="00F1691B">
        <w:rPr>
          <w:rFonts w:asciiTheme="majorBidi" w:hAnsiTheme="majorBidi" w:cstheme="majorBidi"/>
        </w:rPr>
        <w:t>Netanyahu</w:t>
      </w:r>
      <w:r>
        <w:rPr>
          <w:rFonts w:asciiTheme="majorBidi" w:hAnsiTheme="majorBidi" w:cstheme="majorBidi"/>
        </w:rPr>
        <w:t xml:space="preserve"> was correct when he </w:t>
      </w:r>
      <w:r w:rsidR="0077427D">
        <w:rPr>
          <w:rFonts w:asciiTheme="majorBidi" w:hAnsiTheme="majorBidi" w:cstheme="majorBidi"/>
        </w:rPr>
        <w:t xml:space="preserve">stated </w:t>
      </w:r>
      <w:r>
        <w:rPr>
          <w:rFonts w:asciiTheme="majorBidi" w:hAnsiTheme="majorBidi" w:cstheme="majorBidi"/>
        </w:rPr>
        <w:t xml:space="preserve">in the past that “the </w:t>
      </w:r>
      <w:r w:rsidR="00823402">
        <w:rPr>
          <w:rFonts w:asciiTheme="majorBidi" w:hAnsiTheme="majorBidi" w:cstheme="majorBidi"/>
        </w:rPr>
        <w:t>l</w:t>
      </w:r>
      <w:r>
        <w:rPr>
          <w:rFonts w:asciiTheme="majorBidi" w:hAnsiTheme="majorBidi" w:cstheme="majorBidi"/>
        </w:rPr>
        <w:t xml:space="preserve">eft has forgotten what it means to be </w:t>
      </w:r>
      <w:r w:rsidR="0077427D">
        <w:rPr>
          <w:rFonts w:asciiTheme="majorBidi" w:hAnsiTheme="majorBidi" w:cstheme="majorBidi"/>
        </w:rPr>
        <w:t>Jewish</w:t>
      </w:r>
      <w:r>
        <w:rPr>
          <w:rFonts w:asciiTheme="majorBidi" w:hAnsiTheme="majorBidi" w:cstheme="majorBidi"/>
        </w:rPr>
        <w:t>.”</w:t>
      </w:r>
      <w:r w:rsidR="000800C0">
        <w:rPr>
          <w:rFonts w:asciiTheme="majorBidi" w:hAnsiTheme="majorBidi" w:cstheme="majorBidi"/>
        </w:rPr>
        <w:t xml:space="preserve"> With these words, </w:t>
      </w:r>
      <w:proofErr w:type="spellStart"/>
      <w:r w:rsidR="000800C0">
        <w:rPr>
          <w:rFonts w:asciiTheme="majorBidi" w:hAnsiTheme="majorBidi" w:cstheme="majorBidi"/>
        </w:rPr>
        <w:t>Gab</w:t>
      </w:r>
      <w:r w:rsidR="0077427D">
        <w:rPr>
          <w:rFonts w:asciiTheme="majorBidi" w:hAnsiTheme="majorBidi" w:cstheme="majorBidi"/>
        </w:rPr>
        <w:t>b</w:t>
      </w:r>
      <w:r w:rsidR="000800C0">
        <w:rPr>
          <w:rFonts w:asciiTheme="majorBidi" w:hAnsiTheme="majorBidi" w:cstheme="majorBidi"/>
        </w:rPr>
        <w:t>a</w:t>
      </w:r>
      <w:r w:rsidR="0077427D">
        <w:rPr>
          <w:rFonts w:asciiTheme="majorBidi" w:hAnsiTheme="majorBidi" w:cstheme="majorBidi"/>
        </w:rPr>
        <w:t>y</w:t>
      </w:r>
      <w:proofErr w:type="spellEnd"/>
      <w:r w:rsidR="000800C0">
        <w:rPr>
          <w:rFonts w:asciiTheme="majorBidi" w:hAnsiTheme="majorBidi" w:cstheme="majorBidi"/>
        </w:rPr>
        <w:t xml:space="preserve"> wanted to revive a discussion on the variety of ways that a connection with Judaism could strengthen the </w:t>
      </w:r>
      <w:r w:rsidR="00823402">
        <w:rPr>
          <w:rFonts w:asciiTheme="majorBidi" w:hAnsiTheme="majorBidi" w:cstheme="majorBidi"/>
        </w:rPr>
        <w:t>l</w:t>
      </w:r>
      <w:r w:rsidR="000800C0">
        <w:rPr>
          <w:rFonts w:asciiTheme="majorBidi" w:hAnsiTheme="majorBidi" w:cstheme="majorBidi"/>
        </w:rPr>
        <w:t xml:space="preserve">eft, and why </w:t>
      </w:r>
      <w:r w:rsidR="0077427D">
        <w:rPr>
          <w:rFonts w:asciiTheme="majorBidi" w:hAnsiTheme="majorBidi" w:cstheme="majorBidi"/>
        </w:rPr>
        <w:t xml:space="preserve">a </w:t>
      </w:r>
      <w:r w:rsidR="000800C0">
        <w:rPr>
          <w:rFonts w:asciiTheme="majorBidi" w:hAnsiTheme="majorBidi" w:cstheme="majorBidi"/>
        </w:rPr>
        <w:t>pro-</w:t>
      </w:r>
      <w:r w:rsidR="000800C0" w:rsidRPr="000800C0">
        <w:rPr>
          <w:rFonts w:asciiTheme="majorBidi" w:hAnsiTheme="majorBidi" w:cstheme="majorBidi"/>
        </w:rPr>
        <w:t>traditional</w:t>
      </w:r>
      <w:r w:rsidR="000800C0">
        <w:rPr>
          <w:rFonts w:asciiTheme="majorBidi" w:hAnsiTheme="majorBidi" w:cstheme="majorBidi"/>
        </w:rPr>
        <w:t xml:space="preserve"> </w:t>
      </w:r>
      <w:r w:rsidR="0077427D">
        <w:rPr>
          <w:rFonts w:asciiTheme="majorBidi" w:hAnsiTheme="majorBidi" w:cstheme="majorBidi"/>
        </w:rPr>
        <w:t>orientation is</w:t>
      </w:r>
      <w:r w:rsidR="000800C0">
        <w:rPr>
          <w:rFonts w:asciiTheme="majorBidi" w:hAnsiTheme="majorBidi" w:cstheme="majorBidi"/>
        </w:rPr>
        <w:t xml:space="preserve"> identified with hawkish politics</w:t>
      </w:r>
      <w:r w:rsidR="0077427D">
        <w:rPr>
          <w:rFonts w:asciiTheme="majorBidi" w:hAnsiTheme="majorBidi" w:cstheme="majorBidi"/>
        </w:rPr>
        <w:t xml:space="preserve"> in Israel</w:t>
      </w:r>
      <w:r w:rsidR="000800C0">
        <w:rPr>
          <w:rFonts w:asciiTheme="majorBidi" w:hAnsiTheme="majorBidi" w:cstheme="majorBidi"/>
        </w:rPr>
        <w:t xml:space="preserve">. </w:t>
      </w:r>
      <w:r w:rsidR="0077427D" w:rsidRPr="0039072E">
        <w:rPr>
          <w:rFonts w:asciiTheme="majorBidi" w:hAnsiTheme="majorBidi" w:cstheme="majorBidi"/>
        </w:rPr>
        <w:t>However</w:t>
      </w:r>
      <w:r w:rsidR="000800C0">
        <w:rPr>
          <w:rFonts w:asciiTheme="majorBidi" w:hAnsiTheme="majorBidi" w:cstheme="majorBidi"/>
        </w:rPr>
        <w:t xml:space="preserve">, his words were </w:t>
      </w:r>
      <w:r w:rsidR="0077427D">
        <w:rPr>
          <w:rFonts w:asciiTheme="majorBidi" w:hAnsiTheme="majorBidi" w:cstheme="majorBidi"/>
        </w:rPr>
        <w:t xml:space="preserve">interpreted </w:t>
      </w:r>
      <w:r w:rsidR="000800C0">
        <w:rPr>
          <w:rFonts w:asciiTheme="majorBidi" w:hAnsiTheme="majorBidi" w:cstheme="majorBidi"/>
        </w:rPr>
        <w:t xml:space="preserve">as criticism of his own camp, and the </w:t>
      </w:r>
      <w:r w:rsidR="0077427D">
        <w:rPr>
          <w:rFonts w:asciiTheme="majorBidi" w:hAnsiTheme="majorBidi" w:cstheme="majorBidi"/>
        </w:rPr>
        <w:t xml:space="preserve">discussion </w:t>
      </w:r>
      <w:r w:rsidR="000800C0">
        <w:rPr>
          <w:rFonts w:asciiTheme="majorBidi" w:hAnsiTheme="majorBidi" w:cstheme="majorBidi"/>
        </w:rPr>
        <w:t xml:space="preserve">was </w:t>
      </w:r>
      <w:r w:rsidR="0077427D">
        <w:rPr>
          <w:rFonts w:asciiTheme="majorBidi" w:hAnsiTheme="majorBidi" w:cstheme="majorBidi"/>
        </w:rPr>
        <w:t xml:space="preserve">thus </w:t>
      </w:r>
      <w:r w:rsidR="000800C0">
        <w:rPr>
          <w:rFonts w:asciiTheme="majorBidi" w:hAnsiTheme="majorBidi" w:cstheme="majorBidi"/>
        </w:rPr>
        <w:t>nipped in the bud.</w:t>
      </w:r>
    </w:p>
    <w:p w14:paraId="09F71909" w14:textId="73EC9394" w:rsidR="000800C0" w:rsidRDefault="000800C0" w:rsidP="0039072E">
      <w:pPr>
        <w:pStyle w:val="SB"/>
        <w:spacing w:before="120" w:after="0"/>
      </w:pPr>
      <w:r>
        <w:t xml:space="preserve">So long as the </w:t>
      </w:r>
      <w:r w:rsidR="00DE705A">
        <w:t xml:space="preserve">accepted </w:t>
      </w:r>
      <w:r>
        <w:t xml:space="preserve">equation still ties </w:t>
      </w:r>
      <w:r w:rsidR="0077427D">
        <w:t xml:space="preserve">traditionalists and </w:t>
      </w:r>
      <w:proofErr w:type="spellStart"/>
      <w:r w:rsidR="0077427D">
        <w:t>Mizrahim</w:t>
      </w:r>
      <w:proofErr w:type="spellEnd"/>
      <w:r w:rsidR="0077427D">
        <w:t xml:space="preserve"> to</w:t>
      </w:r>
      <w:r>
        <w:t xml:space="preserve"> the </w:t>
      </w:r>
      <w:r w:rsidR="00823402">
        <w:t>r</w:t>
      </w:r>
      <w:r>
        <w:t xml:space="preserve">ight, and Ashkenazim and secular Jews to the </w:t>
      </w:r>
      <w:r w:rsidR="00823402">
        <w:t>l</w:t>
      </w:r>
      <w:r>
        <w:t>eft</w:t>
      </w:r>
      <w:r w:rsidR="0077427D">
        <w:t>,</w:t>
      </w:r>
      <w:r>
        <w:t xml:space="preserve"> the </w:t>
      </w:r>
      <w:r w:rsidR="008C2E5A">
        <w:t xml:space="preserve">Israeli </w:t>
      </w:r>
      <w:r>
        <w:rPr>
          <w:rFonts w:asciiTheme="majorBidi" w:hAnsiTheme="majorBidi" w:cstheme="majorBidi"/>
        </w:rPr>
        <w:t>political</w:t>
      </w:r>
      <w:r>
        <w:t xml:space="preserve"> system will continue to be </w:t>
      </w:r>
      <w:r w:rsidR="008C2E5A">
        <w:t xml:space="preserve">shaped by </w:t>
      </w:r>
      <w:r>
        <w:t xml:space="preserve">the influence of the </w:t>
      </w:r>
      <w:proofErr w:type="spellStart"/>
      <w:r w:rsidRPr="0039072E">
        <w:rPr>
          <w:i/>
          <w:iCs/>
        </w:rPr>
        <w:t>Mahapa</w:t>
      </w:r>
      <w:r w:rsidR="00C82B8B" w:rsidRPr="0039072E">
        <w:rPr>
          <w:i/>
          <w:iCs/>
        </w:rPr>
        <w:t>k</w:t>
      </w:r>
      <w:r w:rsidRPr="0039072E">
        <w:rPr>
          <w:i/>
          <w:iCs/>
        </w:rPr>
        <w:t>h</w:t>
      </w:r>
      <w:proofErr w:type="spellEnd"/>
      <w:r>
        <w:t>.</w:t>
      </w:r>
    </w:p>
    <w:sectPr w:rsidR="000800C0">
      <w:head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rian Sackson" w:date="2018-02-12T10:19:00Z" w:initials="AS">
    <w:p w14:paraId="0C4546F9" w14:textId="3A55A682" w:rsidR="003A2C92" w:rsidRDefault="003A2C92">
      <w:pPr>
        <w:pStyle w:val="CommentText"/>
      </w:pPr>
      <w:r>
        <w:rPr>
          <w:rStyle w:val="CommentReference"/>
        </w:rPr>
        <w:annotationRef/>
      </w:r>
      <w:r>
        <w:t>Perhaps specify: Revisionist Zionist</w:t>
      </w:r>
    </w:p>
  </w:comment>
  <w:comment w:id="1" w:author="Adrian Sackson" w:date="2018-02-13T09:22:00Z" w:initials="AS">
    <w:p w14:paraId="493834A2" w14:textId="7B4F1B41" w:rsidR="003A2C92" w:rsidRDefault="003A2C92">
      <w:pPr>
        <w:pStyle w:val="CommentText"/>
      </w:pPr>
      <w:r>
        <w:rPr>
          <w:rStyle w:val="CommentReference"/>
        </w:rPr>
        <w:annotationRef/>
      </w:r>
      <w:r>
        <w:t>Or: Irgun (as it is sometimes referred to in English)</w:t>
      </w:r>
    </w:p>
  </w:comment>
  <w:comment w:id="2" w:author="Adrian Sackson" w:date="2018-02-12T13:41:00Z" w:initials="AS">
    <w:p w14:paraId="4429E44B" w14:textId="43AB7650" w:rsidR="003A2C92" w:rsidRDefault="003A2C92">
      <w:pPr>
        <w:pStyle w:val="CommentText"/>
      </w:pPr>
      <w:r>
        <w:rPr>
          <w:rStyle w:val="CommentReference"/>
        </w:rPr>
        <w:annotationRef/>
      </w:r>
      <w:r>
        <w:t>In English, Religious Zionist is standard, rather than National Religious.</w:t>
      </w:r>
    </w:p>
  </w:comment>
  <w:comment w:id="4" w:author="Adrian Sackson" w:date="2018-02-12T11:22:00Z" w:initials="AS">
    <w:p w14:paraId="5ABFBB75" w14:textId="6EF8F578" w:rsidR="003A2C92" w:rsidRDefault="003A2C92">
      <w:pPr>
        <w:pStyle w:val="CommentText"/>
      </w:pPr>
      <w:r>
        <w:rPr>
          <w:rStyle w:val="CommentReference"/>
        </w:rPr>
        <w:annotationRef/>
      </w:r>
      <w:r>
        <w:t>The quote has been translated from Hebrew but if the original was in English then you should always use the original text itself.</w:t>
      </w:r>
    </w:p>
  </w:comment>
  <w:comment w:id="5" w:author="Adrian Sackson" w:date="2018-02-12T13:49:00Z" w:initials="AS">
    <w:p w14:paraId="685AFE45" w14:textId="1D99F39D" w:rsidR="003A2C92" w:rsidRDefault="003A2C92">
      <w:pPr>
        <w:pStyle w:val="CommentText"/>
      </w:pPr>
      <w:r>
        <w:rPr>
          <w:rStyle w:val="CommentReference"/>
        </w:rPr>
        <w:annotationRef/>
      </w:r>
      <w:r>
        <w:t>Understood correctly?</w:t>
      </w:r>
    </w:p>
    <w:p w14:paraId="36239D03" w14:textId="78585BFC" w:rsidR="003A2C92" w:rsidRDefault="003A2C92">
      <w:pPr>
        <w:pStyle w:val="CommentText"/>
      </w:pPr>
    </w:p>
    <w:p w14:paraId="70CDC5B6" w14:textId="157E623D" w:rsidR="003A2C92" w:rsidRDefault="003A2C92">
      <w:pPr>
        <w:pStyle w:val="CommentText"/>
      </w:pPr>
      <w:r>
        <w:t>If so, consider rewording as follows:</w:t>
      </w:r>
    </w:p>
    <w:p w14:paraId="4C8E1703" w14:textId="3105C8BF" w:rsidR="003A2C92" w:rsidRDefault="003A2C92">
      <w:pPr>
        <w:pStyle w:val="CommentText"/>
      </w:pPr>
      <w:r>
        <w:t>“This approach treats Mizrahi Jews as independent subjects who are not merely acted upon by external forces.”</w:t>
      </w:r>
    </w:p>
  </w:comment>
  <w:comment w:id="6" w:author="Adrian Sackson" w:date="2018-02-12T14:02:00Z" w:initials="AS">
    <w:p w14:paraId="4195E0A2" w14:textId="1B41C790" w:rsidR="003A2C92" w:rsidRPr="00B345A6" w:rsidRDefault="003A2C92">
      <w:pPr>
        <w:pStyle w:val="CommentText"/>
        <w:rPr>
          <w:lang w:val="en-AU" w:bidi="ar-EG"/>
        </w:rPr>
      </w:pPr>
      <w:r>
        <w:rPr>
          <w:rStyle w:val="CommentReference"/>
        </w:rPr>
        <w:annotationRef/>
      </w:r>
      <w:r>
        <w:rPr>
          <w:rFonts w:hint="cs"/>
          <w:rtl/>
        </w:rPr>
        <w:t>שושלת</w:t>
      </w:r>
      <w:r>
        <w:rPr>
          <w:lang w:val="en-AU" w:bidi="ar-EG"/>
        </w:rPr>
        <w:t xml:space="preserve"> is literally ‘dynasty’, but that doesn’t really work here.</w:t>
      </w:r>
    </w:p>
  </w:comment>
  <w:comment w:id="7" w:author="Adrian Sackson" w:date="2018-02-13T09:40:00Z" w:initials="AS">
    <w:p w14:paraId="3AA6D323" w14:textId="77777777" w:rsidR="003A2C92" w:rsidRDefault="003A2C92">
      <w:pPr>
        <w:pStyle w:val="CommentText"/>
      </w:pPr>
      <w:r>
        <w:rPr>
          <w:rStyle w:val="CommentReference"/>
        </w:rPr>
        <w:annotationRef/>
      </w:r>
      <w:r>
        <w:t>Or: many</w:t>
      </w:r>
    </w:p>
    <w:p w14:paraId="4ECDAF53" w14:textId="77777777" w:rsidR="003A2C92" w:rsidRDefault="003A2C92">
      <w:pPr>
        <w:pStyle w:val="CommentText"/>
      </w:pPr>
    </w:p>
    <w:p w14:paraId="20A23D11" w14:textId="441393BE" w:rsidR="003A2C92" w:rsidRPr="003A2C92" w:rsidRDefault="003A2C92">
      <w:pPr>
        <w:pStyle w:val="CommentText"/>
      </w:pPr>
      <w:r>
        <w:t xml:space="preserve">(‘they’ makes it sound like you are talking about </w:t>
      </w:r>
      <w:r>
        <w:rPr>
          <w:i/>
          <w:iCs/>
        </w:rPr>
        <w:t xml:space="preserve">all </w:t>
      </w:r>
      <w:proofErr w:type="spellStart"/>
      <w:r>
        <w:t>Mizrahim</w:t>
      </w:r>
      <w:proofErr w:type="spellEnd"/>
      <w:r>
        <w:t>.)</w:t>
      </w:r>
    </w:p>
  </w:comment>
  <w:comment w:id="8" w:author="Adrian Sackson" w:date="2018-02-13T09:44:00Z" w:initials="AS">
    <w:p w14:paraId="739CC876" w14:textId="77777777" w:rsidR="003A2C92" w:rsidRDefault="003A2C92">
      <w:pPr>
        <w:pStyle w:val="CommentText"/>
      </w:pPr>
      <w:r>
        <w:rPr>
          <w:rStyle w:val="CommentReference"/>
        </w:rPr>
        <w:annotationRef/>
      </w:r>
      <w:r>
        <w:t>Or: almost every time the Likud headed a coalition that was not a ‘national unity government.’</w:t>
      </w:r>
    </w:p>
    <w:p w14:paraId="2C9BD56A" w14:textId="77777777" w:rsidR="003A2C92" w:rsidRDefault="003A2C92">
      <w:pPr>
        <w:pStyle w:val="CommentText"/>
      </w:pPr>
    </w:p>
    <w:p w14:paraId="1A8A3D62" w14:textId="023EB7DB" w:rsidR="003A2C92" w:rsidRDefault="003A2C92">
      <w:pPr>
        <w:pStyle w:val="CommentText"/>
      </w:pPr>
      <w:r>
        <w:t>(‘alone’ makes it sound like the Likud itself held 61+ seats)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4546F9" w15:done="0"/>
  <w15:commentEx w15:paraId="493834A2" w15:done="0"/>
  <w15:commentEx w15:paraId="4429E44B" w15:done="0"/>
  <w15:commentEx w15:paraId="5ABFBB75" w15:done="0"/>
  <w15:commentEx w15:paraId="4C8E1703" w15:done="0"/>
  <w15:commentEx w15:paraId="4195E0A2" w15:done="0"/>
  <w15:commentEx w15:paraId="20A23D11" w15:done="0"/>
  <w15:commentEx w15:paraId="1A8A3D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4546F9" w16cid:durableId="1E2BE899"/>
  <w16cid:commentId w16cid:paraId="493834A2" w16cid:durableId="1E2D2CBF"/>
  <w16cid:commentId w16cid:paraId="4429E44B" w16cid:durableId="1E2C17F3"/>
  <w16cid:commentId w16cid:paraId="5ABFBB75" w16cid:durableId="1E2BF775"/>
  <w16cid:commentId w16cid:paraId="4C8E1703" w16cid:durableId="1E2C1A04"/>
  <w16cid:commentId w16cid:paraId="4195E0A2" w16cid:durableId="1E2C1CDA"/>
  <w16cid:commentId w16cid:paraId="20A23D11" w16cid:durableId="1E2D310F"/>
  <w16cid:commentId w16cid:paraId="1A8A3D62" w16cid:durableId="1E2D32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E4B98" w14:textId="77777777" w:rsidR="00ED3C77" w:rsidRDefault="00ED3C77" w:rsidP="00D57559">
      <w:pPr>
        <w:spacing w:after="0" w:line="240" w:lineRule="auto"/>
      </w:pPr>
      <w:r>
        <w:separator/>
      </w:r>
    </w:p>
  </w:endnote>
  <w:endnote w:type="continuationSeparator" w:id="0">
    <w:p w14:paraId="294E7B86" w14:textId="77777777" w:rsidR="00ED3C77" w:rsidRDefault="00ED3C77" w:rsidP="00D5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F0103" w14:textId="77777777" w:rsidR="00ED3C77" w:rsidRDefault="00ED3C77" w:rsidP="00D57559">
      <w:pPr>
        <w:spacing w:after="0" w:line="240" w:lineRule="auto"/>
      </w:pPr>
      <w:r>
        <w:separator/>
      </w:r>
    </w:p>
  </w:footnote>
  <w:footnote w:type="continuationSeparator" w:id="0">
    <w:p w14:paraId="74A0D1D1" w14:textId="77777777" w:rsidR="00ED3C77" w:rsidRDefault="00ED3C77" w:rsidP="00D57559">
      <w:pPr>
        <w:spacing w:after="0" w:line="240" w:lineRule="auto"/>
      </w:pPr>
      <w:r>
        <w:continuationSeparator/>
      </w:r>
    </w:p>
  </w:footnote>
  <w:footnote w:id="1">
    <w:p w14:paraId="0505BD3A" w14:textId="28025912" w:rsidR="003A2C92" w:rsidRPr="0039072E" w:rsidRDefault="003A2C92" w:rsidP="00DE705A">
      <w:pPr>
        <w:pStyle w:val="FootnoteText"/>
        <w:spacing w:line="480" w:lineRule="auto"/>
        <w:rPr>
          <w:rFonts w:asciiTheme="majorBidi" w:hAnsiTheme="majorBidi" w:cstheme="majorBidi"/>
          <w:sz w:val="24"/>
          <w:szCs w:val="24"/>
        </w:rPr>
      </w:pPr>
      <w:r w:rsidRPr="0039072E">
        <w:rPr>
          <w:rStyle w:val="FootnoteReference"/>
          <w:rFonts w:asciiTheme="majorBidi" w:hAnsiTheme="majorBidi" w:cstheme="majorBidi"/>
        </w:rPr>
        <w:footnoteRef/>
      </w:r>
      <w:r w:rsidRPr="0039072E">
        <w:rPr>
          <w:rFonts w:asciiTheme="majorBidi" w:hAnsiTheme="majorBidi" w:cstheme="majorBidi"/>
        </w:rPr>
        <w:t xml:space="preserve"> </w:t>
      </w:r>
      <w:r w:rsidRPr="0039072E">
        <w:rPr>
          <w:rFonts w:asciiTheme="majorBidi" w:hAnsiTheme="majorBidi" w:cstheme="majorBidi"/>
          <w:sz w:val="24"/>
          <w:szCs w:val="24"/>
        </w:rPr>
        <w:t xml:space="preserve">Amir Goldstein, “Menachem Begin and the Establishment of the Likud Party,” </w:t>
      </w:r>
      <w:r w:rsidRPr="0039072E">
        <w:rPr>
          <w:rFonts w:asciiTheme="majorBidi" w:hAnsiTheme="majorBidi" w:cstheme="majorBidi"/>
          <w:i/>
          <w:iCs/>
          <w:sz w:val="24"/>
          <w:szCs w:val="24"/>
        </w:rPr>
        <w:t>Middle Eastern Studies</w:t>
      </w:r>
      <w:r w:rsidRPr="0039072E">
        <w:rPr>
          <w:rFonts w:asciiTheme="majorBidi" w:hAnsiTheme="majorBidi" w:cstheme="majorBidi"/>
          <w:sz w:val="24"/>
          <w:szCs w:val="24"/>
        </w:rPr>
        <w:t xml:space="preserve"> 536 (2017): 915–33.</w:t>
      </w:r>
    </w:p>
  </w:footnote>
  <w:footnote w:id="2">
    <w:p w14:paraId="48390813" w14:textId="6AB168ED" w:rsidR="003A2C92" w:rsidRPr="0039072E" w:rsidRDefault="003A2C92" w:rsidP="00DE705A">
      <w:pPr>
        <w:pStyle w:val="FootnoteText"/>
        <w:spacing w:line="480" w:lineRule="auto"/>
        <w:rPr>
          <w:rFonts w:asciiTheme="majorBidi" w:hAnsiTheme="majorBidi" w:cstheme="majorBidi"/>
        </w:rPr>
      </w:pPr>
      <w:r w:rsidRPr="0039072E">
        <w:rPr>
          <w:rStyle w:val="FootnoteReference"/>
          <w:rFonts w:asciiTheme="majorBidi" w:hAnsiTheme="majorBidi" w:cstheme="majorBidi"/>
        </w:rPr>
        <w:footnoteRef/>
      </w:r>
      <w:r w:rsidRPr="0039072E">
        <w:rPr>
          <w:rFonts w:asciiTheme="majorBidi" w:hAnsiTheme="majorBidi" w:cstheme="majorBidi"/>
        </w:rPr>
        <w:t xml:space="preserve"> </w:t>
      </w:r>
      <w:proofErr w:type="spellStart"/>
      <w:r w:rsidRPr="0039072E">
        <w:rPr>
          <w:rFonts w:asciiTheme="majorBidi" w:hAnsiTheme="majorBidi" w:cstheme="majorBidi"/>
          <w:sz w:val="24"/>
          <w:szCs w:val="24"/>
        </w:rPr>
        <w:t>Yonathan</w:t>
      </w:r>
      <w:proofErr w:type="spellEnd"/>
      <w:r w:rsidRPr="0039072E">
        <w:rPr>
          <w:rFonts w:asciiTheme="majorBidi" w:hAnsiTheme="majorBidi" w:cstheme="majorBidi"/>
          <w:sz w:val="24"/>
          <w:szCs w:val="24"/>
        </w:rPr>
        <w:t xml:space="preserve"> Shapiro, </w:t>
      </w:r>
      <w:r w:rsidRPr="0039072E">
        <w:rPr>
          <w:rFonts w:asciiTheme="majorBidi" w:hAnsiTheme="majorBidi" w:cstheme="majorBidi"/>
          <w:i/>
          <w:iCs/>
          <w:sz w:val="24"/>
          <w:szCs w:val="24"/>
        </w:rPr>
        <w:t xml:space="preserve">Chosen to Command: The Road to Power of the </w:t>
      </w:r>
      <w:proofErr w:type="spellStart"/>
      <w:r w:rsidRPr="0039072E">
        <w:rPr>
          <w:rFonts w:asciiTheme="majorBidi" w:hAnsiTheme="majorBidi" w:cstheme="majorBidi"/>
          <w:i/>
          <w:iCs/>
          <w:sz w:val="24"/>
          <w:szCs w:val="24"/>
        </w:rPr>
        <w:t>Herut</w:t>
      </w:r>
      <w:proofErr w:type="spellEnd"/>
      <w:r w:rsidRPr="0039072E">
        <w:rPr>
          <w:rFonts w:asciiTheme="majorBidi" w:hAnsiTheme="majorBidi" w:cstheme="majorBidi"/>
          <w:i/>
          <w:iCs/>
          <w:sz w:val="24"/>
          <w:szCs w:val="24"/>
        </w:rPr>
        <w:t xml:space="preserve"> Party — A Sociopolitical Interpretation</w:t>
      </w:r>
      <w:r w:rsidRPr="0039072E">
        <w:rPr>
          <w:rFonts w:asciiTheme="majorBidi" w:hAnsiTheme="majorBidi" w:cstheme="majorBidi"/>
          <w:sz w:val="24"/>
          <w:szCs w:val="24"/>
        </w:rPr>
        <w:t>, (Hebrew; Tel Aviv, 1989), 176-8.</w:t>
      </w:r>
    </w:p>
  </w:footnote>
  <w:footnote w:id="3">
    <w:p w14:paraId="4EF7AEF9" w14:textId="7D1FC7E6" w:rsidR="003A2C92" w:rsidRPr="0039072E" w:rsidRDefault="003A2C92" w:rsidP="00DE705A">
      <w:pPr>
        <w:pStyle w:val="FootnoteText"/>
        <w:spacing w:line="480" w:lineRule="auto"/>
        <w:rPr>
          <w:rFonts w:asciiTheme="majorBidi" w:hAnsiTheme="majorBidi" w:cstheme="majorBidi"/>
          <w:sz w:val="24"/>
          <w:szCs w:val="24"/>
        </w:rPr>
      </w:pPr>
      <w:r w:rsidRPr="0039072E">
        <w:rPr>
          <w:rStyle w:val="FootnoteReference"/>
          <w:rFonts w:asciiTheme="majorBidi" w:hAnsiTheme="majorBidi" w:cstheme="majorBidi"/>
        </w:rPr>
        <w:footnoteRef/>
      </w:r>
      <w:r w:rsidRPr="0039072E">
        <w:rPr>
          <w:rFonts w:asciiTheme="majorBidi" w:hAnsiTheme="majorBidi" w:cstheme="majorBidi"/>
        </w:rPr>
        <w:t xml:space="preserve"> </w:t>
      </w:r>
      <w:r w:rsidRPr="0039072E">
        <w:rPr>
          <w:rFonts w:asciiTheme="majorBidi" w:hAnsiTheme="majorBidi" w:cstheme="majorBidi"/>
          <w:sz w:val="24"/>
          <w:szCs w:val="24"/>
        </w:rPr>
        <w:t>Asher Arian, “</w:t>
      </w:r>
      <w:r w:rsidRPr="0039072E">
        <w:rPr>
          <w:rFonts w:asciiTheme="majorBidi" w:eastAsia="Calibri" w:hAnsiTheme="majorBidi" w:cstheme="majorBidi"/>
          <w:sz w:val="24"/>
          <w:szCs w:val="24"/>
        </w:rPr>
        <w:t>The</w:t>
      </w:r>
      <w:r w:rsidRPr="0039072E">
        <w:rPr>
          <w:rFonts w:asciiTheme="majorBidi" w:hAnsiTheme="majorBidi" w:cstheme="majorBidi"/>
          <w:sz w:val="24"/>
          <w:szCs w:val="24"/>
        </w:rPr>
        <w:t xml:space="preserve"> </w:t>
      </w:r>
      <w:r w:rsidRPr="0039072E">
        <w:rPr>
          <w:rFonts w:asciiTheme="majorBidi" w:eastAsia="Calibri" w:hAnsiTheme="majorBidi" w:cstheme="majorBidi"/>
          <w:sz w:val="24"/>
          <w:szCs w:val="24"/>
        </w:rPr>
        <w:t>Israeli</w:t>
      </w:r>
      <w:r w:rsidRPr="0039072E">
        <w:rPr>
          <w:rFonts w:asciiTheme="majorBidi" w:hAnsiTheme="majorBidi" w:cstheme="majorBidi"/>
          <w:sz w:val="24"/>
          <w:szCs w:val="24"/>
        </w:rPr>
        <w:t xml:space="preserve"> </w:t>
      </w:r>
      <w:r w:rsidRPr="0039072E">
        <w:rPr>
          <w:rFonts w:asciiTheme="majorBidi" w:eastAsia="Calibri" w:hAnsiTheme="majorBidi" w:cstheme="majorBidi"/>
          <w:sz w:val="24"/>
          <w:szCs w:val="24"/>
        </w:rPr>
        <w:t>Electorate,</w:t>
      </w:r>
      <w:r w:rsidRPr="0039072E">
        <w:rPr>
          <w:rFonts w:asciiTheme="majorBidi" w:hAnsiTheme="majorBidi" w:cstheme="majorBidi"/>
          <w:sz w:val="24"/>
          <w:szCs w:val="24"/>
        </w:rPr>
        <w:t xml:space="preserve"> 1977,” </w:t>
      </w:r>
      <w:r w:rsidRPr="0039072E">
        <w:rPr>
          <w:rFonts w:asciiTheme="majorBidi" w:eastAsia="Calibri" w:hAnsiTheme="majorBidi" w:cstheme="majorBidi"/>
          <w:sz w:val="24"/>
          <w:szCs w:val="24"/>
        </w:rPr>
        <w:t>in</w:t>
      </w:r>
      <w:r w:rsidRPr="0039072E">
        <w:rPr>
          <w:rFonts w:asciiTheme="majorBidi" w:hAnsiTheme="majorBidi" w:cstheme="majorBidi"/>
          <w:sz w:val="24"/>
          <w:szCs w:val="24"/>
        </w:rPr>
        <w:t xml:space="preserve"> </w:t>
      </w:r>
      <w:r w:rsidRPr="0039072E">
        <w:rPr>
          <w:rFonts w:asciiTheme="majorBidi" w:eastAsia="Calibri" w:hAnsiTheme="majorBidi" w:cstheme="majorBidi"/>
          <w:i/>
          <w:iCs/>
          <w:sz w:val="24"/>
          <w:szCs w:val="24"/>
        </w:rPr>
        <w:t>The</w:t>
      </w:r>
      <w:r w:rsidRPr="0039072E">
        <w:rPr>
          <w:rFonts w:asciiTheme="majorBidi" w:hAnsiTheme="majorBidi" w:cstheme="majorBidi"/>
          <w:i/>
          <w:iCs/>
          <w:sz w:val="24"/>
          <w:szCs w:val="24"/>
        </w:rPr>
        <w:t xml:space="preserve"> </w:t>
      </w:r>
      <w:r w:rsidRPr="0039072E">
        <w:rPr>
          <w:rFonts w:asciiTheme="majorBidi" w:eastAsia="Calibri" w:hAnsiTheme="majorBidi" w:cstheme="majorBidi"/>
          <w:i/>
          <w:iCs/>
          <w:sz w:val="24"/>
          <w:szCs w:val="24"/>
        </w:rPr>
        <w:t>Election</w:t>
      </w:r>
      <w:r w:rsidRPr="0039072E">
        <w:rPr>
          <w:rFonts w:asciiTheme="majorBidi" w:hAnsiTheme="majorBidi" w:cstheme="majorBidi"/>
          <w:i/>
          <w:iCs/>
          <w:sz w:val="24"/>
          <w:szCs w:val="24"/>
        </w:rPr>
        <w:t xml:space="preserve"> </w:t>
      </w:r>
      <w:r w:rsidRPr="0039072E">
        <w:rPr>
          <w:rFonts w:asciiTheme="majorBidi" w:eastAsia="Calibri" w:hAnsiTheme="majorBidi" w:cstheme="majorBidi"/>
          <w:i/>
          <w:iCs/>
          <w:sz w:val="24"/>
          <w:szCs w:val="24"/>
        </w:rPr>
        <w:t>in</w:t>
      </w:r>
      <w:r w:rsidRPr="0039072E">
        <w:rPr>
          <w:rFonts w:asciiTheme="majorBidi" w:hAnsiTheme="majorBidi" w:cstheme="majorBidi"/>
          <w:i/>
          <w:iCs/>
          <w:sz w:val="24"/>
          <w:szCs w:val="24"/>
        </w:rPr>
        <w:t xml:space="preserve"> </w:t>
      </w:r>
      <w:r w:rsidRPr="0039072E">
        <w:rPr>
          <w:rFonts w:asciiTheme="majorBidi" w:eastAsia="Calibri" w:hAnsiTheme="majorBidi" w:cstheme="majorBidi"/>
          <w:i/>
          <w:iCs/>
          <w:sz w:val="24"/>
          <w:szCs w:val="24"/>
        </w:rPr>
        <w:t>Israel</w:t>
      </w:r>
      <w:r w:rsidRPr="0039072E">
        <w:rPr>
          <w:rFonts w:asciiTheme="majorBidi" w:hAnsiTheme="majorBidi" w:cstheme="majorBidi"/>
          <w:i/>
          <w:iCs/>
          <w:sz w:val="24"/>
          <w:szCs w:val="24"/>
        </w:rPr>
        <w:t xml:space="preserve"> - 1977</w:t>
      </w:r>
      <w:r w:rsidRPr="0039072E">
        <w:rPr>
          <w:rFonts w:asciiTheme="majorBidi" w:hAnsiTheme="majorBidi" w:cstheme="majorBidi"/>
          <w:sz w:val="24"/>
          <w:szCs w:val="24"/>
        </w:rPr>
        <w:t>, ed. A. Arian (</w:t>
      </w:r>
      <w:r w:rsidRPr="0039072E">
        <w:rPr>
          <w:rFonts w:asciiTheme="majorBidi" w:eastAsia="Calibri" w:hAnsiTheme="majorBidi" w:cstheme="majorBidi"/>
          <w:sz w:val="24"/>
          <w:szCs w:val="24"/>
        </w:rPr>
        <w:t>Jerusalem</w:t>
      </w:r>
      <w:r w:rsidRPr="0039072E">
        <w:rPr>
          <w:rFonts w:asciiTheme="majorBidi" w:hAnsiTheme="majorBidi" w:cstheme="majorBidi"/>
          <w:sz w:val="24"/>
          <w:szCs w:val="24"/>
        </w:rPr>
        <w:t>, 1981), 253-276.</w:t>
      </w:r>
    </w:p>
  </w:footnote>
  <w:footnote w:id="4">
    <w:p w14:paraId="0F0059C8" w14:textId="146AF87A" w:rsidR="003A2C92" w:rsidRPr="0039072E" w:rsidRDefault="003A2C92">
      <w:pPr>
        <w:pStyle w:val="FootnoteText"/>
        <w:spacing w:line="480" w:lineRule="auto"/>
        <w:rPr>
          <w:rFonts w:asciiTheme="majorBidi" w:hAnsiTheme="majorBidi" w:cstheme="majorBidi"/>
          <w:sz w:val="24"/>
          <w:szCs w:val="24"/>
        </w:rPr>
      </w:pPr>
      <w:r w:rsidRPr="0039072E">
        <w:rPr>
          <w:rStyle w:val="FootnoteReference"/>
          <w:rFonts w:asciiTheme="majorBidi" w:hAnsiTheme="majorBidi" w:cstheme="majorBidi"/>
          <w:sz w:val="24"/>
          <w:szCs w:val="24"/>
        </w:rPr>
        <w:footnoteRef/>
      </w:r>
      <w:r w:rsidRPr="0039072E">
        <w:rPr>
          <w:rFonts w:asciiTheme="majorBidi" w:hAnsiTheme="majorBidi" w:cstheme="majorBidi"/>
          <w:sz w:val="24"/>
          <w:szCs w:val="24"/>
        </w:rPr>
        <w:t xml:space="preserve"> This is not the place for an extensive analysis of Mizrahi support for the Likud in all Israeli elections since 1977. However, the following is worth noting: According to Central Bureau of Statistics (CBS) publications on vote distribution in the last national elections (held in 2015), the Zionist Union (the current incarnation of the Labor party) earned </w:t>
      </w:r>
      <w:proofErr w:type="gramStart"/>
      <w:r w:rsidRPr="0039072E">
        <w:rPr>
          <w:rFonts w:asciiTheme="majorBidi" w:hAnsiTheme="majorBidi" w:cstheme="majorBidi"/>
          <w:sz w:val="24"/>
          <w:szCs w:val="24"/>
        </w:rPr>
        <w:t>a majority of</w:t>
      </w:r>
      <w:proofErr w:type="gramEnd"/>
      <w:r w:rsidRPr="0039072E">
        <w:rPr>
          <w:rFonts w:asciiTheme="majorBidi" w:hAnsiTheme="majorBidi" w:cstheme="majorBidi"/>
          <w:sz w:val="24"/>
          <w:szCs w:val="24"/>
        </w:rPr>
        <w:t xml:space="preserve"> votes in 28 out of 33 of Israel’s most well-established population centers, in which most of the residents are Ashkenazi. On the other hand, in development towns, where most of the population is of Mizrahi origin, the Likud was the largest party, with average voting rates of almost 35%, higher than all other parties. See </w:t>
      </w:r>
      <w:proofErr w:type="gramStart"/>
      <w:r w:rsidRPr="0039072E">
        <w:rPr>
          <w:rFonts w:asciiTheme="majorBidi" w:eastAsia="Calibri" w:hAnsiTheme="majorBidi" w:cstheme="majorBidi"/>
          <w:sz w:val="24"/>
          <w:szCs w:val="24"/>
        </w:rPr>
        <w:t>Or</w:t>
      </w:r>
      <w:proofErr w:type="gramEnd"/>
      <w:r w:rsidRPr="0039072E">
        <w:rPr>
          <w:rFonts w:asciiTheme="majorBidi" w:hAnsiTheme="majorBidi" w:cstheme="majorBidi"/>
          <w:sz w:val="24"/>
          <w:szCs w:val="24"/>
        </w:rPr>
        <w:t xml:space="preserve"> </w:t>
      </w:r>
      <w:proofErr w:type="spellStart"/>
      <w:r w:rsidRPr="0039072E">
        <w:rPr>
          <w:rFonts w:asciiTheme="majorBidi" w:eastAsia="Calibri" w:hAnsiTheme="majorBidi" w:cstheme="majorBidi"/>
          <w:sz w:val="24"/>
          <w:szCs w:val="24"/>
        </w:rPr>
        <w:t>Kashti</w:t>
      </w:r>
      <w:proofErr w:type="spellEnd"/>
      <w:r w:rsidRPr="0039072E">
        <w:rPr>
          <w:rFonts w:asciiTheme="majorBidi" w:hAnsiTheme="majorBidi" w:cstheme="majorBidi"/>
          <w:sz w:val="24"/>
          <w:szCs w:val="24"/>
        </w:rPr>
        <w:t>, "</w:t>
      </w:r>
      <w:proofErr w:type="spellStart"/>
      <w:r w:rsidRPr="0039072E">
        <w:rPr>
          <w:rFonts w:asciiTheme="majorBidi" w:eastAsia="Calibri" w:hAnsiTheme="majorBidi" w:cstheme="majorBidi"/>
          <w:sz w:val="24"/>
          <w:szCs w:val="24"/>
        </w:rPr>
        <w:t>Nitua@h</w:t>
      </w:r>
      <w:proofErr w:type="spellEnd"/>
      <w:r w:rsidRPr="0039072E">
        <w:rPr>
          <w:rFonts w:asciiTheme="majorBidi" w:hAnsiTheme="majorBidi" w:cstheme="majorBidi"/>
          <w:sz w:val="24"/>
          <w:szCs w:val="24"/>
        </w:rPr>
        <w:t xml:space="preserve"> </w:t>
      </w:r>
      <w:proofErr w:type="spellStart"/>
      <w:r w:rsidRPr="0039072E">
        <w:rPr>
          <w:rFonts w:asciiTheme="majorBidi" w:eastAsia="Calibri" w:hAnsiTheme="majorBidi" w:cstheme="majorBidi"/>
          <w:sz w:val="24"/>
          <w:szCs w:val="24"/>
        </w:rPr>
        <w:t>Ha</w:t>
      </w:r>
      <w:r w:rsidRPr="0039072E">
        <w:rPr>
          <w:rFonts w:asciiTheme="majorBidi" w:hAnsiTheme="majorBidi" w:cstheme="majorBidi"/>
          <w:sz w:val="24"/>
          <w:szCs w:val="24"/>
        </w:rPr>
        <w:t>-</w:t>
      </w:r>
      <w:r w:rsidRPr="0039072E">
        <w:rPr>
          <w:rFonts w:asciiTheme="majorBidi" w:eastAsia="Calibri" w:hAnsiTheme="majorBidi" w:cstheme="majorBidi"/>
          <w:sz w:val="24"/>
          <w:szCs w:val="24"/>
        </w:rPr>
        <w:t>be@hirut</w:t>
      </w:r>
      <w:proofErr w:type="spellEnd"/>
      <w:r w:rsidRPr="0039072E">
        <w:rPr>
          <w:rFonts w:asciiTheme="majorBidi" w:eastAsia="Calibri" w:hAnsiTheme="majorBidi" w:cstheme="majorBidi"/>
          <w:sz w:val="24"/>
          <w:szCs w:val="24"/>
        </w:rPr>
        <w:t>,</w:t>
      </w:r>
      <w:r w:rsidRPr="0039072E">
        <w:rPr>
          <w:rFonts w:asciiTheme="majorBidi" w:hAnsiTheme="majorBidi" w:cstheme="majorBidi"/>
          <w:sz w:val="24"/>
          <w:szCs w:val="24"/>
        </w:rPr>
        <w:t xml:space="preserve">" </w:t>
      </w:r>
      <w:proofErr w:type="spellStart"/>
      <w:r w:rsidRPr="0039072E">
        <w:rPr>
          <w:rFonts w:asciiTheme="majorBidi" w:eastAsia="Calibri" w:hAnsiTheme="majorBidi" w:cstheme="majorBidi"/>
          <w:i/>
          <w:iCs/>
          <w:sz w:val="24"/>
          <w:szCs w:val="24"/>
        </w:rPr>
        <w:t>Haaretz</w:t>
      </w:r>
      <w:proofErr w:type="spellEnd"/>
      <w:r w:rsidRPr="0039072E">
        <w:rPr>
          <w:rFonts w:asciiTheme="majorBidi" w:hAnsiTheme="majorBidi" w:cstheme="majorBidi"/>
          <w:sz w:val="24"/>
          <w:szCs w:val="24"/>
        </w:rPr>
        <w:t xml:space="preserve">. </w:t>
      </w:r>
      <w:r w:rsidRPr="0039072E">
        <w:rPr>
          <w:rFonts w:asciiTheme="majorBidi" w:eastAsia="Calibri" w:hAnsiTheme="majorBidi" w:cstheme="majorBidi"/>
          <w:sz w:val="24"/>
          <w:szCs w:val="24"/>
        </w:rPr>
        <w:t>March</w:t>
      </w:r>
      <w:r w:rsidRPr="0039072E">
        <w:rPr>
          <w:rFonts w:asciiTheme="majorBidi" w:hAnsiTheme="majorBidi" w:cstheme="majorBidi"/>
          <w:sz w:val="24"/>
          <w:szCs w:val="24"/>
        </w:rPr>
        <w:t xml:space="preserve"> 19, 2015.</w:t>
      </w:r>
    </w:p>
  </w:footnote>
  <w:footnote w:id="5">
    <w:p w14:paraId="1B810089" w14:textId="66CB1717" w:rsidR="003A2C92" w:rsidRPr="0039072E" w:rsidRDefault="003A2C92" w:rsidP="00DE705A">
      <w:pPr>
        <w:pStyle w:val="FootnoteText"/>
        <w:spacing w:line="480" w:lineRule="auto"/>
        <w:rPr>
          <w:rFonts w:asciiTheme="majorBidi" w:hAnsiTheme="majorBidi" w:cstheme="majorBidi"/>
          <w:sz w:val="24"/>
          <w:szCs w:val="24"/>
        </w:rPr>
      </w:pPr>
      <w:r w:rsidRPr="0039072E">
        <w:rPr>
          <w:rStyle w:val="FootnoteReference"/>
          <w:rFonts w:asciiTheme="majorBidi" w:hAnsiTheme="majorBidi" w:cstheme="majorBidi"/>
        </w:rPr>
        <w:footnoteRef/>
      </w:r>
      <w:r w:rsidRPr="0039072E">
        <w:rPr>
          <w:rFonts w:asciiTheme="majorBidi" w:hAnsiTheme="majorBidi" w:cstheme="majorBidi"/>
        </w:rPr>
        <w:t xml:space="preserve"> </w:t>
      </w:r>
      <w:r w:rsidRPr="0039072E">
        <w:rPr>
          <w:rFonts w:asciiTheme="majorBidi" w:hAnsiTheme="majorBidi" w:cstheme="majorBidi"/>
          <w:sz w:val="24"/>
          <w:szCs w:val="24"/>
        </w:rPr>
        <w:t xml:space="preserve">Edna </w:t>
      </w:r>
      <w:proofErr w:type="spellStart"/>
      <w:r w:rsidRPr="0039072E">
        <w:rPr>
          <w:rFonts w:asciiTheme="majorBidi" w:hAnsiTheme="majorBidi" w:cstheme="majorBidi"/>
          <w:sz w:val="24"/>
          <w:szCs w:val="24"/>
        </w:rPr>
        <w:t>Bonacich</w:t>
      </w:r>
      <w:proofErr w:type="spellEnd"/>
      <w:r w:rsidRPr="0039072E">
        <w:rPr>
          <w:rFonts w:asciiTheme="majorBidi" w:hAnsiTheme="majorBidi" w:cstheme="majorBidi"/>
          <w:sz w:val="24"/>
          <w:szCs w:val="24"/>
        </w:rPr>
        <w:t>, “</w:t>
      </w:r>
      <w:r w:rsidRPr="0039072E">
        <w:rPr>
          <w:rFonts w:asciiTheme="majorBidi" w:eastAsia="Calibri" w:hAnsiTheme="majorBidi" w:cstheme="majorBidi"/>
          <w:sz w:val="24"/>
          <w:szCs w:val="24"/>
        </w:rPr>
        <w:t>Class</w:t>
      </w:r>
      <w:r w:rsidRPr="0039072E">
        <w:rPr>
          <w:rFonts w:asciiTheme="majorBidi" w:hAnsiTheme="majorBidi" w:cstheme="majorBidi"/>
          <w:sz w:val="24"/>
          <w:szCs w:val="24"/>
        </w:rPr>
        <w:t xml:space="preserve"> </w:t>
      </w:r>
      <w:r w:rsidRPr="0039072E">
        <w:rPr>
          <w:rFonts w:asciiTheme="majorBidi" w:eastAsia="Calibri" w:hAnsiTheme="majorBidi" w:cstheme="majorBidi"/>
          <w:sz w:val="24"/>
          <w:szCs w:val="24"/>
        </w:rPr>
        <w:t>Approaches</w:t>
      </w:r>
      <w:r w:rsidRPr="0039072E">
        <w:rPr>
          <w:rFonts w:asciiTheme="majorBidi" w:hAnsiTheme="majorBidi" w:cstheme="majorBidi"/>
          <w:sz w:val="24"/>
          <w:szCs w:val="24"/>
        </w:rPr>
        <w:t xml:space="preserve"> </w:t>
      </w:r>
      <w:r w:rsidRPr="0039072E">
        <w:rPr>
          <w:rFonts w:asciiTheme="majorBidi" w:eastAsia="Calibri" w:hAnsiTheme="majorBidi" w:cstheme="majorBidi"/>
          <w:sz w:val="24"/>
          <w:szCs w:val="24"/>
        </w:rPr>
        <w:t>to</w:t>
      </w:r>
      <w:r w:rsidRPr="0039072E">
        <w:rPr>
          <w:rFonts w:asciiTheme="majorBidi" w:hAnsiTheme="majorBidi" w:cstheme="majorBidi"/>
          <w:sz w:val="24"/>
          <w:szCs w:val="24"/>
        </w:rPr>
        <w:t xml:space="preserve"> </w:t>
      </w:r>
      <w:r w:rsidRPr="0039072E">
        <w:rPr>
          <w:rFonts w:asciiTheme="majorBidi" w:eastAsia="Calibri" w:hAnsiTheme="majorBidi" w:cstheme="majorBidi"/>
          <w:sz w:val="24"/>
          <w:szCs w:val="24"/>
        </w:rPr>
        <w:t>Ethnicity</w:t>
      </w:r>
      <w:r w:rsidRPr="0039072E">
        <w:rPr>
          <w:rFonts w:asciiTheme="majorBidi" w:hAnsiTheme="majorBidi" w:cstheme="majorBidi"/>
          <w:sz w:val="24"/>
          <w:szCs w:val="24"/>
        </w:rPr>
        <w:t xml:space="preserve"> </w:t>
      </w:r>
      <w:r w:rsidRPr="0039072E">
        <w:rPr>
          <w:rFonts w:asciiTheme="majorBidi" w:eastAsia="Calibri" w:hAnsiTheme="majorBidi" w:cstheme="majorBidi"/>
          <w:sz w:val="24"/>
          <w:szCs w:val="24"/>
        </w:rPr>
        <w:t>and</w:t>
      </w:r>
      <w:r w:rsidRPr="0039072E">
        <w:rPr>
          <w:rFonts w:asciiTheme="majorBidi" w:hAnsiTheme="majorBidi" w:cstheme="majorBidi"/>
          <w:sz w:val="24"/>
          <w:szCs w:val="24"/>
        </w:rPr>
        <w:t xml:space="preserve"> </w:t>
      </w:r>
      <w:r w:rsidRPr="0039072E">
        <w:rPr>
          <w:rFonts w:asciiTheme="majorBidi" w:eastAsia="Calibri" w:hAnsiTheme="majorBidi" w:cstheme="majorBidi"/>
          <w:sz w:val="24"/>
          <w:szCs w:val="24"/>
        </w:rPr>
        <w:t>Race,</w:t>
      </w:r>
      <w:r w:rsidRPr="0039072E">
        <w:rPr>
          <w:rFonts w:asciiTheme="majorBidi" w:hAnsiTheme="majorBidi" w:cstheme="majorBidi"/>
          <w:sz w:val="24"/>
          <w:szCs w:val="24"/>
        </w:rPr>
        <w:t xml:space="preserve">” </w:t>
      </w:r>
      <w:r w:rsidRPr="0039072E">
        <w:rPr>
          <w:rFonts w:asciiTheme="majorBidi" w:eastAsia="Calibri" w:hAnsiTheme="majorBidi" w:cstheme="majorBidi"/>
          <w:i/>
          <w:iCs/>
          <w:sz w:val="24"/>
          <w:szCs w:val="24"/>
        </w:rPr>
        <w:t>Insurgent</w:t>
      </w:r>
      <w:r w:rsidRPr="0039072E">
        <w:rPr>
          <w:rFonts w:asciiTheme="majorBidi" w:hAnsiTheme="majorBidi" w:cstheme="majorBidi"/>
          <w:i/>
          <w:iCs/>
          <w:sz w:val="24"/>
          <w:szCs w:val="24"/>
        </w:rPr>
        <w:t xml:space="preserve"> </w:t>
      </w:r>
      <w:r w:rsidRPr="0039072E">
        <w:rPr>
          <w:rFonts w:asciiTheme="majorBidi" w:eastAsia="Calibri" w:hAnsiTheme="majorBidi" w:cstheme="majorBidi"/>
          <w:i/>
          <w:iCs/>
          <w:sz w:val="24"/>
          <w:szCs w:val="24"/>
        </w:rPr>
        <w:t>Sociologist</w:t>
      </w:r>
      <w:r w:rsidRPr="0039072E">
        <w:rPr>
          <w:rFonts w:asciiTheme="majorBidi" w:hAnsiTheme="majorBidi" w:cstheme="majorBidi"/>
          <w:sz w:val="24"/>
          <w:szCs w:val="24"/>
        </w:rPr>
        <w:t xml:space="preserve"> 10 (1980): </w:t>
      </w:r>
      <w:r w:rsidRPr="0039072E">
        <w:rPr>
          <w:rFonts w:asciiTheme="majorBidi" w:eastAsia="Times New Roman" w:hAnsiTheme="majorBidi" w:cstheme="majorBidi"/>
          <w:sz w:val="24"/>
          <w:szCs w:val="24"/>
        </w:rPr>
        <w:t>9.</w:t>
      </w:r>
    </w:p>
  </w:footnote>
  <w:footnote w:id="6">
    <w:p w14:paraId="3EFE480F" w14:textId="2E32E73C" w:rsidR="003A2C92" w:rsidRPr="0039072E" w:rsidRDefault="003A2C92" w:rsidP="00DE705A">
      <w:pPr>
        <w:pStyle w:val="FootnoteText"/>
        <w:spacing w:line="480" w:lineRule="auto"/>
        <w:rPr>
          <w:rFonts w:asciiTheme="majorBidi" w:hAnsiTheme="majorBidi" w:cstheme="majorBidi"/>
          <w:sz w:val="24"/>
          <w:szCs w:val="24"/>
        </w:rPr>
      </w:pPr>
      <w:r w:rsidRPr="0039072E">
        <w:rPr>
          <w:rStyle w:val="FootnoteReference"/>
          <w:rFonts w:asciiTheme="majorBidi" w:hAnsiTheme="majorBidi" w:cstheme="majorBidi"/>
        </w:rPr>
        <w:footnoteRef/>
      </w:r>
      <w:r w:rsidRPr="0039072E">
        <w:rPr>
          <w:rFonts w:asciiTheme="majorBidi" w:hAnsiTheme="majorBidi" w:cstheme="majorBidi"/>
        </w:rPr>
        <w:t xml:space="preserve"> </w:t>
      </w:r>
      <w:proofErr w:type="spellStart"/>
      <w:r w:rsidRPr="0039072E">
        <w:rPr>
          <w:rFonts w:asciiTheme="majorBidi" w:hAnsiTheme="majorBidi" w:cstheme="majorBidi"/>
          <w:sz w:val="24"/>
          <w:szCs w:val="24"/>
        </w:rPr>
        <w:t>Avi</w:t>
      </w:r>
      <w:proofErr w:type="spellEnd"/>
      <w:r w:rsidRPr="0039072E">
        <w:rPr>
          <w:rFonts w:asciiTheme="majorBidi" w:hAnsiTheme="majorBidi" w:cstheme="majorBidi"/>
          <w:sz w:val="24"/>
          <w:szCs w:val="24"/>
        </w:rPr>
        <w:t xml:space="preserve"> Bareli and Uri Cohen, </w:t>
      </w:r>
      <w:r w:rsidRPr="0039072E">
        <w:rPr>
          <w:rFonts w:asciiTheme="majorBidi" w:eastAsia="Calibri" w:hAnsiTheme="majorBidi" w:cstheme="majorBidi"/>
          <w:i/>
          <w:iCs/>
          <w:sz w:val="24"/>
          <w:szCs w:val="24"/>
          <w:lang w:val="en-GB"/>
        </w:rPr>
        <w:t>The</w:t>
      </w:r>
      <w:r w:rsidRPr="0039072E">
        <w:rPr>
          <w:rFonts w:asciiTheme="majorBidi" w:hAnsiTheme="majorBidi" w:cstheme="majorBidi"/>
          <w:i/>
          <w:iCs/>
          <w:sz w:val="24"/>
          <w:szCs w:val="24"/>
          <w:lang w:val="en-GB"/>
        </w:rPr>
        <w:t xml:space="preserve"> </w:t>
      </w:r>
      <w:r w:rsidRPr="0039072E">
        <w:rPr>
          <w:rFonts w:asciiTheme="majorBidi" w:eastAsia="Calibri" w:hAnsiTheme="majorBidi" w:cstheme="majorBidi"/>
          <w:i/>
          <w:iCs/>
          <w:sz w:val="24"/>
          <w:szCs w:val="24"/>
          <w:lang w:val="en-GB"/>
        </w:rPr>
        <w:t>Academic</w:t>
      </w:r>
      <w:r w:rsidRPr="0039072E">
        <w:rPr>
          <w:rFonts w:asciiTheme="majorBidi" w:hAnsiTheme="majorBidi" w:cstheme="majorBidi"/>
          <w:i/>
          <w:iCs/>
          <w:sz w:val="24"/>
          <w:szCs w:val="24"/>
          <w:lang w:val="en-GB"/>
        </w:rPr>
        <w:t xml:space="preserve"> </w:t>
      </w:r>
      <w:r w:rsidRPr="0039072E">
        <w:rPr>
          <w:rFonts w:asciiTheme="majorBidi" w:eastAsia="Calibri" w:hAnsiTheme="majorBidi" w:cstheme="majorBidi"/>
          <w:i/>
          <w:iCs/>
          <w:sz w:val="24"/>
          <w:szCs w:val="24"/>
          <w:lang w:val="en-GB"/>
        </w:rPr>
        <w:t>Middle</w:t>
      </w:r>
      <w:r w:rsidRPr="0039072E">
        <w:rPr>
          <w:rFonts w:asciiTheme="majorBidi" w:hAnsiTheme="majorBidi" w:cstheme="majorBidi"/>
          <w:i/>
          <w:iCs/>
          <w:sz w:val="24"/>
          <w:szCs w:val="24"/>
          <w:lang w:val="en-GB"/>
        </w:rPr>
        <w:t>-</w:t>
      </w:r>
      <w:r w:rsidRPr="0039072E">
        <w:rPr>
          <w:rFonts w:asciiTheme="majorBidi" w:eastAsia="Calibri" w:hAnsiTheme="majorBidi" w:cstheme="majorBidi"/>
          <w:i/>
          <w:iCs/>
          <w:sz w:val="24"/>
          <w:szCs w:val="24"/>
          <w:lang w:val="en-GB"/>
        </w:rPr>
        <w:t>Class</w:t>
      </w:r>
      <w:r w:rsidRPr="0039072E">
        <w:rPr>
          <w:rFonts w:asciiTheme="majorBidi" w:hAnsiTheme="majorBidi" w:cstheme="majorBidi"/>
          <w:i/>
          <w:iCs/>
          <w:sz w:val="24"/>
          <w:szCs w:val="24"/>
          <w:lang w:val="en-GB"/>
        </w:rPr>
        <w:t xml:space="preserve"> </w:t>
      </w:r>
      <w:r w:rsidRPr="0039072E">
        <w:rPr>
          <w:rFonts w:asciiTheme="majorBidi" w:eastAsia="Calibri" w:hAnsiTheme="majorBidi" w:cstheme="majorBidi"/>
          <w:i/>
          <w:iCs/>
          <w:sz w:val="24"/>
          <w:szCs w:val="24"/>
          <w:lang w:val="en-GB"/>
        </w:rPr>
        <w:t>Rebellion</w:t>
      </w:r>
      <w:r w:rsidRPr="0039072E">
        <w:rPr>
          <w:rFonts w:asciiTheme="majorBidi" w:hAnsiTheme="majorBidi" w:cstheme="majorBidi"/>
          <w:i/>
          <w:iCs/>
          <w:sz w:val="24"/>
          <w:szCs w:val="24"/>
          <w:lang w:val="en-GB"/>
        </w:rPr>
        <w:t xml:space="preserve">: </w:t>
      </w:r>
      <w:r w:rsidRPr="0039072E">
        <w:rPr>
          <w:rFonts w:asciiTheme="majorBidi" w:eastAsia="Calibri" w:hAnsiTheme="majorBidi" w:cstheme="majorBidi"/>
          <w:i/>
          <w:iCs/>
          <w:sz w:val="24"/>
          <w:szCs w:val="24"/>
          <w:lang w:val="en-GB"/>
        </w:rPr>
        <w:t>Socio</w:t>
      </w:r>
      <w:r w:rsidRPr="0039072E">
        <w:rPr>
          <w:rFonts w:asciiTheme="majorBidi" w:hAnsiTheme="majorBidi" w:cstheme="majorBidi"/>
          <w:i/>
          <w:iCs/>
          <w:sz w:val="24"/>
          <w:szCs w:val="24"/>
          <w:lang w:val="en-GB"/>
        </w:rPr>
        <w:t>-</w:t>
      </w:r>
      <w:r w:rsidRPr="0039072E">
        <w:rPr>
          <w:rFonts w:asciiTheme="majorBidi" w:eastAsia="Calibri" w:hAnsiTheme="majorBidi" w:cstheme="majorBidi"/>
          <w:i/>
          <w:iCs/>
          <w:sz w:val="24"/>
          <w:szCs w:val="24"/>
          <w:lang w:val="en-GB"/>
        </w:rPr>
        <w:t>Political</w:t>
      </w:r>
      <w:r w:rsidRPr="0039072E">
        <w:rPr>
          <w:rFonts w:asciiTheme="majorBidi" w:hAnsiTheme="majorBidi" w:cstheme="majorBidi"/>
          <w:i/>
          <w:iCs/>
          <w:sz w:val="24"/>
          <w:szCs w:val="24"/>
          <w:lang w:val="en-GB"/>
        </w:rPr>
        <w:t xml:space="preserve"> </w:t>
      </w:r>
      <w:r w:rsidRPr="0039072E">
        <w:rPr>
          <w:rFonts w:asciiTheme="majorBidi" w:eastAsia="Calibri" w:hAnsiTheme="majorBidi" w:cstheme="majorBidi"/>
          <w:i/>
          <w:iCs/>
          <w:sz w:val="24"/>
          <w:szCs w:val="24"/>
          <w:lang w:val="en-GB"/>
        </w:rPr>
        <w:t>Conflict</w:t>
      </w:r>
      <w:r w:rsidRPr="0039072E">
        <w:rPr>
          <w:rFonts w:asciiTheme="majorBidi" w:hAnsiTheme="majorBidi" w:cstheme="majorBidi"/>
          <w:i/>
          <w:iCs/>
          <w:sz w:val="24"/>
          <w:szCs w:val="24"/>
          <w:lang w:val="en-GB"/>
        </w:rPr>
        <w:t xml:space="preserve"> </w:t>
      </w:r>
      <w:r w:rsidRPr="0039072E">
        <w:rPr>
          <w:rFonts w:asciiTheme="majorBidi" w:eastAsia="Calibri" w:hAnsiTheme="majorBidi" w:cstheme="majorBidi"/>
          <w:i/>
          <w:iCs/>
          <w:sz w:val="24"/>
          <w:szCs w:val="24"/>
          <w:lang w:val="en-GB"/>
        </w:rPr>
        <w:t>over</w:t>
      </w:r>
      <w:r w:rsidRPr="0039072E">
        <w:rPr>
          <w:rFonts w:asciiTheme="majorBidi" w:hAnsiTheme="majorBidi" w:cstheme="majorBidi"/>
          <w:i/>
          <w:iCs/>
          <w:sz w:val="24"/>
          <w:szCs w:val="24"/>
          <w:lang w:val="en-GB"/>
        </w:rPr>
        <w:t xml:space="preserve"> </w:t>
      </w:r>
      <w:r w:rsidRPr="0039072E">
        <w:rPr>
          <w:rFonts w:asciiTheme="majorBidi" w:eastAsia="Calibri" w:hAnsiTheme="majorBidi" w:cstheme="majorBidi"/>
          <w:i/>
          <w:iCs/>
          <w:sz w:val="24"/>
          <w:szCs w:val="24"/>
          <w:lang w:val="en-GB"/>
        </w:rPr>
        <w:t>Wage</w:t>
      </w:r>
      <w:r w:rsidRPr="0039072E">
        <w:rPr>
          <w:rFonts w:asciiTheme="majorBidi" w:hAnsiTheme="majorBidi" w:cstheme="majorBidi"/>
          <w:i/>
          <w:iCs/>
          <w:sz w:val="24"/>
          <w:szCs w:val="24"/>
          <w:lang w:val="en-GB"/>
        </w:rPr>
        <w:t>-</w:t>
      </w:r>
      <w:r w:rsidRPr="0039072E">
        <w:rPr>
          <w:rFonts w:asciiTheme="majorBidi" w:eastAsia="Calibri" w:hAnsiTheme="majorBidi" w:cstheme="majorBidi"/>
          <w:i/>
          <w:iCs/>
          <w:sz w:val="24"/>
          <w:szCs w:val="24"/>
          <w:lang w:val="en-GB"/>
        </w:rPr>
        <w:t>Gaps</w:t>
      </w:r>
      <w:r w:rsidRPr="0039072E">
        <w:rPr>
          <w:rFonts w:asciiTheme="majorBidi" w:hAnsiTheme="majorBidi" w:cstheme="majorBidi"/>
          <w:i/>
          <w:iCs/>
          <w:sz w:val="24"/>
          <w:szCs w:val="24"/>
          <w:lang w:val="en-GB"/>
        </w:rPr>
        <w:t xml:space="preserve"> </w:t>
      </w:r>
      <w:r w:rsidRPr="0039072E">
        <w:rPr>
          <w:rFonts w:asciiTheme="majorBidi" w:eastAsia="Calibri" w:hAnsiTheme="majorBidi" w:cstheme="majorBidi"/>
          <w:i/>
          <w:iCs/>
          <w:sz w:val="24"/>
          <w:szCs w:val="24"/>
          <w:lang w:val="en-GB"/>
        </w:rPr>
        <w:t>in</w:t>
      </w:r>
      <w:r w:rsidRPr="0039072E">
        <w:rPr>
          <w:rFonts w:asciiTheme="majorBidi" w:hAnsiTheme="majorBidi" w:cstheme="majorBidi"/>
          <w:i/>
          <w:iCs/>
          <w:sz w:val="24"/>
          <w:szCs w:val="24"/>
          <w:lang w:val="en-GB"/>
        </w:rPr>
        <w:t xml:space="preserve"> </w:t>
      </w:r>
      <w:r w:rsidRPr="0039072E">
        <w:rPr>
          <w:rFonts w:asciiTheme="majorBidi" w:eastAsia="Calibri" w:hAnsiTheme="majorBidi" w:cstheme="majorBidi"/>
          <w:i/>
          <w:iCs/>
          <w:sz w:val="24"/>
          <w:szCs w:val="24"/>
          <w:lang w:val="en-GB"/>
        </w:rPr>
        <w:t>Israel</w:t>
      </w:r>
      <w:r w:rsidRPr="0039072E">
        <w:rPr>
          <w:rFonts w:asciiTheme="majorBidi" w:hAnsiTheme="majorBidi" w:cstheme="majorBidi"/>
          <w:i/>
          <w:iCs/>
          <w:sz w:val="24"/>
          <w:szCs w:val="24"/>
          <w:lang w:val="en-GB"/>
        </w:rPr>
        <w:t>, 1954-1956</w:t>
      </w:r>
      <w:r w:rsidRPr="0039072E">
        <w:rPr>
          <w:rFonts w:asciiTheme="majorBidi" w:hAnsiTheme="majorBidi" w:cstheme="majorBidi"/>
          <w:sz w:val="24"/>
          <w:szCs w:val="24"/>
          <w:lang w:val="en-GB"/>
        </w:rPr>
        <w:t xml:space="preserve"> (</w:t>
      </w:r>
      <w:r w:rsidRPr="0039072E">
        <w:rPr>
          <w:rFonts w:asciiTheme="majorBidi" w:eastAsia="Calibri" w:hAnsiTheme="majorBidi" w:cstheme="majorBidi"/>
          <w:sz w:val="24"/>
          <w:szCs w:val="24"/>
          <w:lang w:val="en-GB"/>
        </w:rPr>
        <w:t>Leiden</w:t>
      </w:r>
      <w:r w:rsidRPr="0039072E">
        <w:rPr>
          <w:rFonts w:asciiTheme="majorBidi" w:hAnsiTheme="majorBidi" w:cstheme="majorBidi"/>
          <w:sz w:val="24"/>
          <w:szCs w:val="24"/>
          <w:lang w:val="en-GB"/>
        </w:rPr>
        <w:t>, 2018).</w:t>
      </w:r>
    </w:p>
  </w:footnote>
  <w:footnote w:id="7">
    <w:p w14:paraId="3C1F3B72" w14:textId="7B16BE16" w:rsidR="003A2C92" w:rsidRPr="0039072E" w:rsidRDefault="003A2C92" w:rsidP="00DE705A">
      <w:pPr>
        <w:pStyle w:val="FootnoteText"/>
        <w:spacing w:line="480" w:lineRule="auto"/>
        <w:rPr>
          <w:rFonts w:asciiTheme="majorBidi" w:hAnsiTheme="majorBidi" w:cstheme="majorBidi"/>
          <w:sz w:val="24"/>
          <w:szCs w:val="24"/>
        </w:rPr>
      </w:pPr>
      <w:r w:rsidRPr="0039072E">
        <w:rPr>
          <w:rStyle w:val="FootnoteReference"/>
          <w:rFonts w:asciiTheme="majorBidi" w:hAnsiTheme="majorBidi" w:cstheme="majorBidi"/>
          <w:sz w:val="24"/>
          <w:szCs w:val="24"/>
        </w:rPr>
        <w:footnoteRef/>
      </w:r>
      <w:r w:rsidRPr="0039072E">
        <w:rPr>
          <w:rFonts w:asciiTheme="majorBidi" w:hAnsiTheme="majorBidi" w:cstheme="majorBidi"/>
          <w:sz w:val="24"/>
          <w:szCs w:val="24"/>
        </w:rPr>
        <w:t xml:space="preserve"> Danny </w:t>
      </w:r>
      <w:proofErr w:type="spellStart"/>
      <w:r w:rsidRPr="0039072E">
        <w:rPr>
          <w:rFonts w:asciiTheme="majorBidi" w:hAnsiTheme="majorBidi" w:cstheme="majorBidi"/>
          <w:sz w:val="24"/>
          <w:szCs w:val="24"/>
        </w:rPr>
        <w:t>Gutwein</w:t>
      </w:r>
      <w:proofErr w:type="spellEnd"/>
      <w:proofErr w:type="gramStart"/>
      <w:r w:rsidRPr="0039072E">
        <w:rPr>
          <w:rFonts w:asciiTheme="majorBidi" w:hAnsiTheme="majorBidi" w:cstheme="majorBidi"/>
          <w:sz w:val="24"/>
          <w:szCs w:val="24"/>
        </w:rPr>
        <w:t>, ”The</w:t>
      </w:r>
      <w:proofErr w:type="gramEnd"/>
      <w:r w:rsidRPr="0039072E">
        <w:rPr>
          <w:rFonts w:asciiTheme="majorBidi" w:hAnsiTheme="majorBidi" w:cstheme="majorBidi"/>
          <w:sz w:val="24"/>
          <w:szCs w:val="24"/>
          <w:rtl/>
        </w:rPr>
        <w:t xml:space="preserve"> </w:t>
      </w:r>
      <w:r w:rsidRPr="0039072E">
        <w:rPr>
          <w:rFonts w:asciiTheme="majorBidi" w:hAnsiTheme="majorBidi" w:cstheme="majorBidi"/>
          <w:sz w:val="24"/>
          <w:szCs w:val="24"/>
        </w:rPr>
        <w:t>Socio-Economic</w:t>
      </w:r>
      <w:r w:rsidRPr="0039072E">
        <w:rPr>
          <w:rFonts w:asciiTheme="majorBidi" w:hAnsiTheme="majorBidi" w:cstheme="majorBidi"/>
          <w:sz w:val="24"/>
          <w:szCs w:val="24"/>
          <w:rtl/>
        </w:rPr>
        <w:t xml:space="preserve"> </w:t>
      </w:r>
      <w:r w:rsidRPr="0039072E">
        <w:rPr>
          <w:rFonts w:asciiTheme="majorBidi" w:hAnsiTheme="majorBidi" w:cstheme="majorBidi"/>
          <w:sz w:val="24"/>
          <w:szCs w:val="24"/>
        </w:rPr>
        <w:t>Logic</w:t>
      </w:r>
      <w:r w:rsidRPr="0039072E">
        <w:rPr>
          <w:rFonts w:asciiTheme="majorBidi" w:hAnsiTheme="majorBidi" w:cstheme="majorBidi"/>
          <w:sz w:val="24"/>
          <w:szCs w:val="24"/>
          <w:rtl/>
        </w:rPr>
        <w:t xml:space="preserve"> </w:t>
      </w:r>
      <w:r w:rsidRPr="0039072E">
        <w:rPr>
          <w:rFonts w:asciiTheme="majorBidi" w:hAnsiTheme="majorBidi" w:cstheme="majorBidi"/>
          <w:sz w:val="24"/>
          <w:szCs w:val="24"/>
        </w:rPr>
        <w:t>of</w:t>
      </w:r>
      <w:r w:rsidRPr="0039072E">
        <w:rPr>
          <w:rFonts w:asciiTheme="majorBidi" w:hAnsiTheme="majorBidi" w:cstheme="majorBidi"/>
          <w:sz w:val="24"/>
          <w:szCs w:val="24"/>
          <w:rtl/>
        </w:rPr>
        <w:t xml:space="preserve"> </w:t>
      </w:r>
      <w:r w:rsidRPr="0039072E">
        <w:rPr>
          <w:rFonts w:asciiTheme="majorBidi" w:hAnsiTheme="majorBidi" w:cstheme="majorBidi"/>
          <w:sz w:val="24"/>
          <w:szCs w:val="24"/>
        </w:rPr>
        <w:t>the</w:t>
      </w:r>
      <w:r w:rsidRPr="0039072E">
        <w:rPr>
          <w:rFonts w:asciiTheme="majorBidi" w:hAnsiTheme="majorBidi" w:cstheme="majorBidi"/>
          <w:sz w:val="24"/>
          <w:szCs w:val="24"/>
          <w:rtl/>
        </w:rPr>
        <w:t xml:space="preserve"> 1977 </w:t>
      </w:r>
      <w:r w:rsidRPr="0039072E">
        <w:rPr>
          <w:rFonts w:asciiTheme="majorBidi" w:hAnsiTheme="majorBidi" w:cstheme="majorBidi"/>
          <w:sz w:val="24"/>
          <w:szCs w:val="24"/>
        </w:rPr>
        <w:t>Regime</w:t>
      </w:r>
      <w:r w:rsidRPr="0039072E">
        <w:rPr>
          <w:rFonts w:asciiTheme="majorBidi" w:hAnsiTheme="majorBidi" w:cstheme="majorBidi"/>
          <w:sz w:val="24"/>
          <w:szCs w:val="24"/>
          <w:rtl/>
        </w:rPr>
        <w:t xml:space="preserve"> </w:t>
      </w:r>
      <w:r w:rsidRPr="0039072E">
        <w:rPr>
          <w:rFonts w:asciiTheme="majorBidi" w:hAnsiTheme="majorBidi" w:cstheme="majorBidi"/>
          <w:sz w:val="24"/>
          <w:szCs w:val="24"/>
        </w:rPr>
        <w:t>Change</w:t>
      </w:r>
      <w:r w:rsidRPr="0039072E">
        <w:rPr>
          <w:rFonts w:asciiTheme="majorBidi" w:hAnsiTheme="majorBidi" w:cstheme="majorBidi"/>
          <w:sz w:val="24"/>
          <w:szCs w:val="24"/>
          <w:rtl/>
        </w:rPr>
        <w:t xml:space="preserve"> </w:t>
      </w:r>
      <w:r w:rsidRPr="0039072E">
        <w:rPr>
          <w:rFonts w:asciiTheme="majorBidi" w:hAnsiTheme="majorBidi" w:cstheme="majorBidi"/>
          <w:sz w:val="24"/>
          <w:szCs w:val="24"/>
        </w:rPr>
        <w:t>in</w:t>
      </w:r>
      <w:r w:rsidRPr="0039072E">
        <w:rPr>
          <w:rFonts w:asciiTheme="majorBidi" w:hAnsiTheme="majorBidi" w:cstheme="majorBidi"/>
          <w:sz w:val="24"/>
          <w:szCs w:val="24"/>
          <w:rtl/>
        </w:rPr>
        <w:t xml:space="preserve"> </w:t>
      </w:r>
      <w:r w:rsidRPr="0039072E">
        <w:rPr>
          <w:rFonts w:asciiTheme="majorBidi" w:hAnsiTheme="majorBidi" w:cstheme="majorBidi"/>
          <w:sz w:val="24"/>
          <w:szCs w:val="24"/>
        </w:rPr>
        <w:t xml:space="preserve">Israel” </w:t>
      </w:r>
      <w:r w:rsidRPr="0039072E">
        <w:rPr>
          <w:rFonts w:asciiTheme="majorBidi" w:hAnsiTheme="majorBidi" w:cstheme="majorBidi"/>
          <w:sz w:val="24"/>
          <w:szCs w:val="24"/>
          <w:highlight w:val="yellow"/>
        </w:rPr>
        <w:t>(Hebrew)</w:t>
      </w:r>
      <w:r w:rsidRPr="0039072E">
        <w:rPr>
          <w:rFonts w:asciiTheme="majorBidi" w:hAnsiTheme="majorBidi" w:cstheme="majorBidi"/>
          <w:sz w:val="24"/>
          <w:szCs w:val="24"/>
        </w:rPr>
        <w:t xml:space="preserve">, </w:t>
      </w:r>
      <w:proofErr w:type="spellStart"/>
      <w:r w:rsidRPr="0039072E">
        <w:rPr>
          <w:rFonts w:asciiTheme="majorBidi" w:hAnsiTheme="majorBidi" w:cstheme="majorBidi"/>
          <w:i/>
          <w:iCs/>
          <w:sz w:val="24"/>
          <w:szCs w:val="24"/>
        </w:rPr>
        <w:t>Iyunim</w:t>
      </w:r>
      <w:proofErr w:type="spellEnd"/>
      <w:r w:rsidRPr="0039072E">
        <w:rPr>
          <w:rFonts w:asciiTheme="majorBidi" w:hAnsiTheme="majorBidi" w:cstheme="majorBidi"/>
          <w:i/>
          <w:iCs/>
          <w:sz w:val="24"/>
          <w:szCs w:val="24"/>
          <w:rtl/>
        </w:rPr>
        <w:t xml:space="preserve"> </w:t>
      </w:r>
      <w:proofErr w:type="spellStart"/>
      <w:r w:rsidRPr="0039072E">
        <w:rPr>
          <w:rFonts w:asciiTheme="majorBidi" w:hAnsiTheme="majorBidi" w:cstheme="majorBidi"/>
          <w:i/>
          <w:iCs/>
          <w:sz w:val="24"/>
          <w:szCs w:val="24"/>
        </w:rPr>
        <w:t>Bitkumat</w:t>
      </w:r>
      <w:proofErr w:type="spellEnd"/>
      <w:r w:rsidRPr="0039072E">
        <w:rPr>
          <w:rFonts w:asciiTheme="majorBidi" w:hAnsiTheme="majorBidi" w:cstheme="majorBidi"/>
          <w:i/>
          <w:iCs/>
          <w:sz w:val="24"/>
          <w:szCs w:val="24"/>
        </w:rPr>
        <w:t xml:space="preserve"> Israel, </w:t>
      </w:r>
      <w:r w:rsidRPr="0039072E">
        <w:rPr>
          <w:rFonts w:asciiTheme="majorBidi" w:hAnsiTheme="majorBidi" w:cstheme="majorBidi"/>
          <w:sz w:val="24"/>
          <w:szCs w:val="24"/>
        </w:rPr>
        <w:t>11.44 (2017). &lt;</w:t>
      </w:r>
      <w:r w:rsidRPr="0039072E">
        <w:rPr>
          <w:rFonts w:asciiTheme="majorBidi" w:hAnsiTheme="majorBidi" w:cstheme="majorBidi"/>
          <w:sz w:val="24"/>
          <w:szCs w:val="24"/>
          <w:highlight w:val="yellow"/>
        </w:rPr>
        <w:t xml:space="preserve">Query: Is this article in Hebrew? Also: The 2017 volume of this journal is volume 27 according to their website, so something here seems to be </w:t>
      </w:r>
      <w:r>
        <w:rPr>
          <w:rFonts w:asciiTheme="majorBidi" w:hAnsiTheme="majorBidi" w:cstheme="majorBidi"/>
          <w:sz w:val="24"/>
          <w:szCs w:val="24"/>
          <w:highlight w:val="yellow"/>
        </w:rPr>
        <w:t>incorrect in your reference details</w:t>
      </w:r>
      <w:r w:rsidRPr="0039072E" w:rsidDel="000E6325">
        <w:rPr>
          <w:rFonts w:asciiTheme="majorBidi" w:hAnsiTheme="majorBidi" w:cstheme="majorBidi"/>
          <w:sz w:val="24"/>
          <w:szCs w:val="24"/>
          <w:highlight w:val="yellow"/>
        </w:rPr>
        <w:t xml:space="preserve"> </w:t>
      </w:r>
      <w:r w:rsidRPr="0039072E">
        <w:rPr>
          <w:rFonts w:asciiTheme="majorBidi" w:hAnsiTheme="majorBidi" w:cstheme="majorBidi"/>
          <w:sz w:val="24"/>
          <w:szCs w:val="24"/>
          <w:highlight w:val="yellow"/>
        </w:rPr>
        <w:t>&gt;</w:t>
      </w:r>
    </w:p>
  </w:footnote>
  <w:footnote w:id="8">
    <w:p w14:paraId="77C3CF42" w14:textId="24023440" w:rsidR="003A2C92" w:rsidRPr="0039072E" w:rsidRDefault="003A2C92" w:rsidP="0053513C">
      <w:pPr>
        <w:pStyle w:val="FootnoteText"/>
        <w:spacing w:line="480" w:lineRule="auto"/>
        <w:rPr>
          <w:rFonts w:asciiTheme="majorBidi" w:hAnsiTheme="majorBidi" w:cstheme="majorBidi"/>
          <w:sz w:val="24"/>
          <w:szCs w:val="24"/>
        </w:rPr>
      </w:pPr>
      <w:r w:rsidRPr="0039072E">
        <w:rPr>
          <w:rStyle w:val="FootnoteReference"/>
          <w:rFonts w:asciiTheme="majorBidi" w:hAnsiTheme="majorBidi" w:cstheme="majorBidi"/>
          <w:sz w:val="24"/>
          <w:szCs w:val="24"/>
        </w:rPr>
        <w:footnoteRef/>
      </w:r>
      <w:r w:rsidRPr="0039072E">
        <w:rPr>
          <w:rFonts w:asciiTheme="majorBidi" w:hAnsiTheme="majorBidi" w:cstheme="majorBidi"/>
          <w:sz w:val="24"/>
          <w:szCs w:val="24"/>
        </w:rPr>
        <w:t xml:space="preserve"> </w:t>
      </w:r>
      <w:proofErr w:type="spellStart"/>
      <w:r w:rsidRPr="0039072E">
        <w:rPr>
          <w:rFonts w:asciiTheme="majorBidi" w:hAnsiTheme="majorBidi" w:cstheme="majorBidi"/>
          <w:sz w:val="24"/>
          <w:szCs w:val="24"/>
        </w:rPr>
        <w:t>Yonathan</w:t>
      </w:r>
      <w:proofErr w:type="spellEnd"/>
      <w:r w:rsidRPr="0039072E">
        <w:rPr>
          <w:rFonts w:asciiTheme="majorBidi" w:hAnsiTheme="majorBidi" w:cstheme="majorBidi"/>
          <w:sz w:val="24"/>
          <w:szCs w:val="24"/>
        </w:rPr>
        <w:t xml:space="preserve"> Shapiro, </w:t>
      </w:r>
      <w:r w:rsidRPr="0039072E">
        <w:rPr>
          <w:rFonts w:asciiTheme="majorBidi" w:eastAsia="Calibri" w:hAnsiTheme="majorBidi" w:cstheme="majorBidi"/>
          <w:i/>
          <w:iCs/>
          <w:sz w:val="24"/>
          <w:szCs w:val="24"/>
        </w:rPr>
        <w:t>The</w:t>
      </w:r>
      <w:r w:rsidRPr="0039072E">
        <w:rPr>
          <w:rFonts w:asciiTheme="majorBidi" w:hAnsiTheme="majorBidi" w:cstheme="majorBidi"/>
          <w:i/>
          <w:iCs/>
          <w:sz w:val="24"/>
          <w:szCs w:val="24"/>
        </w:rPr>
        <w:t xml:space="preserve"> </w:t>
      </w:r>
      <w:r w:rsidRPr="0039072E">
        <w:rPr>
          <w:rFonts w:asciiTheme="majorBidi" w:eastAsia="Calibri" w:hAnsiTheme="majorBidi" w:cstheme="majorBidi"/>
          <w:i/>
          <w:iCs/>
          <w:sz w:val="24"/>
          <w:szCs w:val="24"/>
        </w:rPr>
        <w:t>Road</w:t>
      </w:r>
      <w:r w:rsidRPr="0039072E">
        <w:rPr>
          <w:rFonts w:asciiTheme="majorBidi" w:hAnsiTheme="majorBidi" w:cstheme="majorBidi"/>
          <w:i/>
          <w:iCs/>
          <w:sz w:val="24"/>
          <w:szCs w:val="24"/>
        </w:rPr>
        <w:t xml:space="preserve"> </w:t>
      </w:r>
      <w:r w:rsidRPr="0039072E">
        <w:rPr>
          <w:rFonts w:asciiTheme="majorBidi" w:eastAsia="Calibri" w:hAnsiTheme="majorBidi" w:cstheme="majorBidi"/>
          <w:i/>
          <w:iCs/>
          <w:sz w:val="24"/>
          <w:szCs w:val="24"/>
        </w:rPr>
        <w:t>to</w:t>
      </w:r>
      <w:r w:rsidRPr="0039072E">
        <w:rPr>
          <w:rFonts w:asciiTheme="majorBidi" w:hAnsiTheme="majorBidi" w:cstheme="majorBidi"/>
          <w:i/>
          <w:iCs/>
          <w:sz w:val="24"/>
          <w:szCs w:val="24"/>
        </w:rPr>
        <w:t xml:space="preserve"> </w:t>
      </w:r>
      <w:r w:rsidRPr="0039072E">
        <w:rPr>
          <w:rFonts w:asciiTheme="majorBidi" w:eastAsia="Calibri" w:hAnsiTheme="majorBidi" w:cstheme="majorBidi"/>
          <w:i/>
          <w:iCs/>
          <w:sz w:val="24"/>
          <w:szCs w:val="24"/>
        </w:rPr>
        <w:t>Power</w:t>
      </w:r>
      <w:r w:rsidRPr="0039072E">
        <w:rPr>
          <w:rFonts w:asciiTheme="majorBidi" w:hAnsiTheme="majorBidi" w:cstheme="majorBidi"/>
          <w:i/>
          <w:iCs/>
          <w:sz w:val="24"/>
          <w:szCs w:val="24"/>
        </w:rPr>
        <w:t xml:space="preserve">: </w:t>
      </w:r>
      <w:proofErr w:type="spellStart"/>
      <w:r w:rsidRPr="0039072E">
        <w:rPr>
          <w:rFonts w:asciiTheme="majorBidi" w:eastAsia="Calibri" w:hAnsiTheme="majorBidi" w:cstheme="majorBidi"/>
          <w:i/>
          <w:iCs/>
          <w:sz w:val="24"/>
          <w:szCs w:val="24"/>
        </w:rPr>
        <w:t>Herut</w:t>
      </w:r>
      <w:proofErr w:type="spellEnd"/>
      <w:r w:rsidRPr="0039072E">
        <w:rPr>
          <w:rFonts w:asciiTheme="majorBidi" w:hAnsiTheme="majorBidi" w:cstheme="majorBidi"/>
          <w:i/>
          <w:iCs/>
          <w:sz w:val="24"/>
          <w:szCs w:val="24"/>
        </w:rPr>
        <w:t xml:space="preserve"> </w:t>
      </w:r>
      <w:r w:rsidRPr="0039072E">
        <w:rPr>
          <w:rFonts w:asciiTheme="majorBidi" w:eastAsia="Calibri" w:hAnsiTheme="majorBidi" w:cstheme="majorBidi"/>
          <w:i/>
          <w:iCs/>
          <w:sz w:val="24"/>
          <w:szCs w:val="24"/>
        </w:rPr>
        <w:t>Party</w:t>
      </w:r>
      <w:r w:rsidRPr="0039072E">
        <w:rPr>
          <w:rFonts w:asciiTheme="majorBidi" w:hAnsiTheme="majorBidi" w:cstheme="majorBidi"/>
          <w:i/>
          <w:iCs/>
          <w:sz w:val="24"/>
          <w:szCs w:val="24"/>
        </w:rPr>
        <w:t xml:space="preserve"> </w:t>
      </w:r>
      <w:r w:rsidRPr="0039072E">
        <w:rPr>
          <w:rFonts w:asciiTheme="majorBidi" w:eastAsia="Calibri" w:hAnsiTheme="majorBidi" w:cstheme="majorBidi"/>
          <w:i/>
          <w:iCs/>
          <w:sz w:val="24"/>
          <w:szCs w:val="24"/>
        </w:rPr>
        <w:t>in</w:t>
      </w:r>
      <w:r w:rsidRPr="0039072E">
        <w:rPr>
          <w:rFonts w:asciiTheme="majorBidi" w:hAnsiTheme="majorBidi" w:cstheme="majorBidi"/>
          <w:i/>
          <w:iCs/>
          <w:sz w:val="24"/>
          <w:szCs w:val="24"/>
        </w:rPr>
        <w:t xml:space="preserve"> </w:t>
      </w:r>
      <w:r w:rsidRPr="0039072E">
        <w:rPr>
          <w:rFonts w:asciiTheme="majorBidi" w:eastAsia="Calibri" w:hAnsiTheme="majorBidi" w:cstheme="majorBidi"/>
          <w:i/>
          <w:iCs/>
          <w:sz w:val="24"/>
          <w:szCs w:val="24"/>
        </w:rPr>
        <w:t>Israel</w:t>
      </w:r>
      <w:r w:rsidRPr="0039072E">
        <w:rPr>
          <w:rFonts w:asciiTheme="majorBidi" w:eastAsia="Calibri" w:hAnsiTheme="majorBidi" w:cstheme="majorBidi"/>
          <w:sz w:val="24"/>
          <w:szCs w:val="24"/>
        </w:rPr>
        <w:t>, trans. R. Mandel</w:t>
      </w:r>
      <w:r w:rsidRPr="0039072E">
        <w:rPr>
          <w:rFonts w:asciiTheme="majorBidi" w:hAnsiTheme="majorBidi" w:cstheme="majorBidi"/>
          <w:i/>
          <w:iCs/>
          <w:sz w:val="24"/>
          <w:szCs w:val="24"/>
        </w:rPr>
        <w:t xml:space="preserve"> (</w:t>
      </w:r>
      <w:r w:rsidRPr="0039072E">
        <w:rPr>
          <w:rFonts w:asciiTheme="majorBidi" w:eastAsia="Calibri" w:hAnsiTheme="majorBidi" w:cstheme="majorBidi"/>
          <w:sz w:val="24"/>
          <w:szCs w:val="24"/>
        </w:rPr>
        <w:t>Albany,</w:t>
      </w:r>
      <w:r w:rsidRPr="0039072E">
        <w:rPr>
          <w:rFonts w:asciiTheme="majorBidi" w:hAnsiTheme="majorBidi" w:cstheme="majorBidi"/>
          <w:sz w:val="24"/>
          <w:szCs w:val="24"/>
        </w:rPr>
        <w:t xml:space="preserve"> </w:t>
      </w:r>
      <w:r w:rsidRPr="0039072E">
        <w:rPr>
          <w:rFonts w:asciiTheme="majorBidi" w:eastAsia="Calibri" w:hAnsiTheme="majorBidi" w:cstheme="majorBidi"/>
          <w:sz w:val="24"/>
          <w:szCs w:val="24"/>
        </w:rPr>
        <w:t>New</w:t>
      </w:r>
      <w:r w:rsidRPr="0039072E">
        <w:rPr>
          <w:rFonts w:asciiTheme="majorBidi" w:hAnsiTheme="majorBidi" w:cstheme="majorBidi"/>
          <w:sz w:val="24"/>
          <w:szCs w:val="24"/>
        </w:rPr>
        <w:t xml:space="preserve"> </w:t>
      </w:r>
      <w:r w:rsidRPr="0039072E">
        <w:rPr>
          <w:rFonts w:asciiTheme="majorBidi" w:eastAsia="Calibri" w:hAnsiTheme="majorBidi" w:cstheme="majorBidi"/>
          <w:sz w:val="24"/>
          <w:szCs w:val="24"/>
        </w:rPr>
        <w:t>York</w:t>
      </w:r>
      <w:r w:rsidRPr="0039072E">
        <w:rPr>
          <w:rFonts w:asciiTheme="majorBidi" w:hAnsiTheme="majorBidi" w:cstheme="majorBidi"/>
          <w:sz w:val="24"/>
          <w:szCs w:val="24"/>
        </w:rPr>
        <w:t>, 1991), 4.</w:t>
      </w:r>
    </w:p>
  </w:footnote>
  <w:footnote w:id="9">
    <w:p w14:paraId="2C542E81" w14:textId="28FA8E69" w:rsidR="003A2C92" w:rsidRPr="0039072E" w:rsidRDefault="003A2C92" w:rsidP="00DE705A">
      <w:pPr>
        <w:pStyle w:val="FootnoteText"/>
        <w:spacing w:line="480" w:lineRule="auto"/>
        <w:rPr>
          <w:rFonts w:asciiTheme="majorBidi" w:hAnsiTheme="majorBidi" w:cstheme="majorBidi"/>
          <w:sz w:val="24"/>
          <w:szCs w:val="24"/>
        </w:rPr>
      </w:pPr>
      <w:r w:rsidRPr="0039072E">
        <w:rPr>
          <w:rStyle w:val="FootnoteReference"/>
          <w:rFonts w:asciiTheme="majorBidi" w:hAnsiTheme="majorBidi" w:cstheme="majorBidi"/>
        </w:rPr>
        <w:footnoteRef/>
      </w:r>
      <w:r w:rsidRPr="0039072E">
        <w:rPr>
          <w:rFonts w:asciiTheme="majorBidi" w:hAnsiTheme="majorBidi" w:cstheme="majorBidi"/>
        </w:rPr>
        <w:t xml:space="preserve"> </w:t>
      </w:r>
      <w:r w:rsidRPr="0039072E">
        <w:rPr>
          <w:rFonts w:asciiTheme="majorBidi" w:hAnsiTheme="majorBidi" w:cstheme="majorBidi"/>
          <w:sz w:val="24"/>
          <w:szCs w:val="24"/>
        </w:rPr>
        <w:t xml:space="preserve">Dani </w:t>
      </w:r>
      <w:proofErr w:type="spellStart"/>
      <w:r w:rsidRPr="0039072E">
        <w:rPr>
          <w:rFonts w:asciiTheme="majorBidi" w:hAnsiTheme="majorBidi" w:cstheme="majorBidi"/>
          <w:sz w:val="24"/>
          <w:szCs w:val="24"/>
        </w:rPr>
        <w:t>Filc</w:t>
      </w:r>
      <w:proofErr w:type="spellEnd"/>
      <w:r w:rsidRPr="0039072E">
        <w:rPr>
          <w:rFonts w:asciiTheme="majorBidi" w:hAnsiTheme="majorBidi" w:cstheme="majorBidi"/>
          <w:sz w:val="24"/>
          <w:szCs w:val="24"/>
        </w:rPr>
        <w:t>, “</w:t>
      </w:r>
      <w:r w:rsidRPr="0039072E">
        <w:rPr>
          <w:rFonts w:asciiTheme="majorBidi" w:hAnsiTheme="majorBidi" w:cstheme="majorBidi"/>
          <w:sz w:val="24"/>
          <w:szCs w:val="24"/>
          <w:lang w:val="en-GB"/>
        </w:rPr>
        <w:t xml:space="preserve">We are the People (you are not!): Inclusive and Exclusive Populism in Israel" (Hebrew), </w:t>
      </w:r>
      <w:proofErr w:type="spellStart"/>
      <w:r w:rsidRPr="0039072E">
        <w:rPr>
          <w:rFonts w:asciiTheme="majorBidi" w:hAnsiTheme="majorBidi" w:cstheme="majorBidi"/>
          <w:i/>
          <w:iCs/>
          <w:sz w:val="24"/>
          <w:szCs w:val="24"/>
          <w:lang w:val="en-GB"/>
        </w:rPr>
        <w:t>Iyunim</w:t>
      </w:r>
      <w:proofErr w:type="spellEnd"/>
      <w:r w:rsidRPr="0039072E">
        <w:rPr>
          <w:rFonts w:asciiTheme="majorBidi" w:hAnsiTheme="majorBidi" w:cstheme="majorBidi"/>
          <w:i/>
          <w:iCs/>
          <w:sz w:val="24"/>
          <w:szCs w:val="24"/>
          <w:lang w:val="en-GB"/>
        </w:rPr>
        <w:t xml:space="preserve"> </w:t>
      </w:r>
      <w:proofErr w:type="spellStart"/>
      <w:r w:rsidRPr="0039072E">
        <w:rPr>
          <w:rFonts w:asciiTheme="majorBidi" w:hAnsiTheme="majorBidi" w:cstheme="majorBidi"/>
          <w:i/>
          <w:iCs/>
          <w:sz w:val="24"/>
          <w:szCs w:val="24"/>
          <w:lang w:val="en-GB"/>
        </w:rPr>
        <w:t>Bitkumat</w:t>
      </w:r>
      <w:proofErr w:type="spellEnd"/>
      <w:r w:rsidRPr="0039072E">
        <w:rPr>
          <w:rFonts w:asciiTheme="majorBidi" w:hAnsiTheme="majorBidi" w:cstheme="majorBidi"/>
          <w:i/>
          <w:iCs/>
          <w:sz w:val="24"/>
          <w:szCs w:val="24"/>
          <w:lang w:val="en-GB"/>
        </w:rPr>
        <w:t xml:space="preserve"> </w:t>
      </w:r>
      <w:proofErr w:type="spellStart"/>
      <w:r w:rsidRPr="0039072E">
        <w:rPr>
          <w:rFonts w:asciiTheme="majorBidi" w:hAnsiTheme="majorBidi" w:cstheme="majorBidi"/>
          <w:i/>
          <w:iCs/>
          <w:sz w:val="24"/>
          <w:szCs w:val="24"/>
          <w:lang w:val="en-GB"/>
        </w:rPr>
        <w:t>Yisrael</w:t>
      </w:r>
      <w:proofErr w:type="spellEnd"/>
      <w:r w:rsidRPr="0039072E">
        <w:rPr>
          <w:rFonts w:asciiTheme="majorBidi" w:hAnsiTheme="majorBidi" w:cstheme="majorBidi"/>
          <w:iCs/>
          <w:sz w:val="24"/>
          <w:szCs w:val="24"/>
          <w:lang w:val="en-GB"/>
        </w:rPr>
        <w:t xml:space="preserve"> </w:t>
      </w:r>
      <w:r w:rsidRPr="0039072E">
        <w:rPr>
          <w:rFonts w:asciiTheme="majorBidi" w:hAnsiTheme="majorBidi" w:cstheme="majorBidi"/>
          <w:sz w:val="24"/>
          <w:szCs w:val="24"/>
          <w:lang w:val="en-GB"/>
        </w:rPr>
        <w:t>23 (2010): 28-47.</w:t>
      </w:r>
    </w:p>
  </w:footnote>
  <w:footnote w:id="10">
    <w:p w14:paraId="3488E23B" w14:textId="2F3EABEA" w:rsidR="003A2C92" w:rsidRPr="0039072E" w:rsidRDefault="003A2C92" w:rsidP="00DE705A">
      <w:pPr>
        <w:pStyle w:val="FootnoteText"/>
        <w:spacing w:line="480" w:lineRule="auto"/>
        <w:rPr>
          <w:rFonts w:asciiTheme="majorBidi" w:hAnsiTheme="majorBidi" w:cstheme="majorBidi"/>
          <w:sz w:val="24"/>
          <w:szCs w:val="24"/>
        </w:rPr>
      </w:pPr>
      <w:r w:rsidRPr="0039072E">
        <w:rPr>
          <w:rStyle w:val="FootnoteReference"/>
          <w:rFonts w:asciiTheme="majorBidi" w:hAnsiTheme="majorBidi" w:cstheme="majorBidi"/>
          <w:sz w:val="24"/>
          <w:szCs w:val="24"/>
        </w:rPr>
        <w:footnoteRef/>
      </w:r>
      <w:r w:rsidRPr="0039072E">
        <w:rPr>
          <w:rFonts w:asciiTheme="majorBidi" w:hAnsiTheme="majorBidi" w:cstheme="majorBidi"/>
          <w:sz w:val="24"/>
          <w:szCs w:val="24"/>
        </w:rPr>
        <w:t xml:space="preserve"> Moshe </w:t>
      </w:r>
      <w:proofErr w:type="spellStart"/>
      <w:r w:rsidRPr="0039072E">
        <w:rPr>
          <w:rFonts w:asciiTheme="majorBidi" w:hAnsiTheme="majorBidi" w:cstheme="majorBidi"/>
          <w:sz w:val="24"/>
          <w:szCs w:val="24"/>
        </w:rPr>
        <w:t>Shokeid</w:t>
      </w:r>
      <w:proofErr w:type="spellEnd"/>
      <w:r w:rsidRPr="0039072E">
        <w:rPr>
          <w:rFonts w:asciiTheme="majorBidi" w:hAnsiTheme="majorBidi" w:cstheme="majorBidi"/>
          <w:sz w:val="24"/>
          <w:szCs w:val="24"/>
        </w:rPr>
        <w:t xml:space="preserve">, “The Religiosity of Middle Eastern Jews,” in </w:t>
      </w:r>
      <w:r w:rsidRPr="0039072E">
        <w:rPr>
          <w:rFonts w:asciiTheme="majorBidi" w:hAnsiTheme="majorBidi" w:cstheme="majorBidi"/>
          <w:i/>
          <w:iCs/>
          <w:sz w:val="24"/>
          <w:szCs w:val="24"/>
        </w:rPr>
        <w:t>Israeli Judaism: The Sociology of Religion in Israel,</w:t>
      </w:r>
      <w:r w:rsidRPr="0039072E">
        <w:rPr>
          <w:rFonts w:asciiTheme="majorBidi" w:hAnsiTheme="majorBidi" w:cstheme="majorBidi"/>
          <w:sz w:val="24"/>
          <w:szCs w:val="24"/>
        </w:rPr>
        <w:t xml:space="preserve"> eds. S. </w:t>
      </w:r>
      <w:proofErr w:type="spellStart"/>
      <w:r w:rsidRPr="0039072E">
        <w:rPr>
          <w:rFonts w:asciiTheme="majorBidi" w:hAnsiTheme="majorBidi" w:cstheme="majorBidi"/>
          <w:sz w:val="24"/>
          <w:szCs w:val="24"/>
        </w:rPr>
        <w:t>Deshen</w:t>
      </w:r>
      <w:proofErr w:type="spellEnd"/>
      <w:r w:rsidRPr="0039072E">
        <w:rPr>
          <w:rFonts w:asciiTheme="majorBidi" w:hAnsiTheme="majorBidi" w:cstheme="majorBidi"/>
          <w:sz w:val="24"/>
          <w:szCs w:val="24"/>
        </w:rPr>
        <w:t xml:space="preserve">, C.S. Liebman and M. </w:t>
      </w:r>
      <w:proofErr w:type="spellStart"/>
      <w:r w:rsidRPr="0039072E">
        <w:rPr>
          <w:rFonts w:asciiTheme="majorBidi" w:hAnsiTheme="majorBidi" w:cstheme="majorBidi"/>
          <w:sz w:val="24"/>
          <w:szCs w:val="24"/>
        </w:rPr>
        <w:t>Shoked</w:t>
      </w:r>
      <w:proofErr w:type="spellEnd"/>
      <w:r w:rsidRPr="0039072E">
        <w:rPr>
          <w:rFonts w:asciiTheme="majorBidi" w:hAnsiTheme="majorBidi" w:cstheme="majorBidi"/>
          <w:sz w:val="24"/>
          <w:szCs w:val="24"/>
        </w:rPr>
        <w:t xml:space="preserve"> (New Brunswick, NJ, 1995), 255–284.</w:t>
      </w:r>
    </w:p>
  </w:footnote>
  <w:footnote w:id="11">
    <w:p w14:paraId="025BC356" w14:textId="328757E4" w:rsidR="003A2C92" w:rsidRPr="0039072E" w:rsidRDefault="003A2C92" w:rsidP="00DE705A">
      <w:pPr>
        <w:pStyle w:val="FootnoteText"/>
        <w:spacing w:line="480" w:lineRule="auto"/>
        <w:rPr>
          <w:rFonts w:asciiTheme="majorBidi" w:hAnsiTheme="majorBidi" w:cstheme="majorBidi"/>
          <w:sz w:val="24"/>
          <w:szCs w:val="24"/>
        </w:rPr>
      </w:pPr>
      <w:r w:rsidRPr="0039072E">
        <w:rPr>
          <w:rStyle w:val="FootnoteReference"/>
          <w:rFonts w:asciiTheme="majorBidi" w:hAnsiTheme="majorBidi" w:cstheme="majorBidi"/>
          <w:sz w:val="24"/>
          <w:szCs w:val="24"/>
        </w:rPr>
        <w:footnoteRef/>
      </w:r>
      <w:r w:rsidRPr="0039072E">
        <w:rPr>
          <w:rFonts w:asciiTheme="majorBidi" w:hAnsiTheme="majorBidi" w:cstheme="majorBidi"/>
          <w:sz w:val="24"/>
          <w:szCs w:val="24"/>
        </w:rPr>
        <w:t xml:space="preserve"> </w:t>
      </w:r>
      <w:proofErr w:type="spellStart"/>
      <w:r w:rsidRPr="0039072E">
        <w:rPr>
          <w:rFonts w:asciiTheme="majorBidi" w:hAnsiTheme="majorBidi" w:cstheme="majorBidi"/>
          <w:sz w:val="24"/>
          <w:szCs w:val="24"/>
        </w:rPr>
        <w:t>Avi</w:t>
      </w:r>
      <w:proofErr w:type="spellEnd"/>
      <w:r w:rsidRPr="0039072E">
        <w:rPr>
          <w:rFonts w:asciiTheme="majorBidi" w:hAnsiTheme="majorBidi" w:cstheme="majorBidi"/>
          <w:sz w:val="24"/>
          <w:szCs w:val="24"/>
        </w:rPr>
        <w:t xml:space="preserve"> </w:t>
      </w:r>
      <w:proofErr w:type="spellStart"/>
      <w:r w:rsidRPr="0039072E">
        <w:rPr>
          <w:rFonts w:asciiTheme="majorBidi" w:hAnsiTheme="majorBidi" w:cstheme="majorBidi"/>
          <w:sz w:val="24"/>
          <w:szCs w:val="24"/>
        </w:rPr>
        <w:t>Shilon</w:t>
      </w:r>
      <w:proofErr w:type="spellEnd"/>
      <w:r w:rsidRPr="0039072E">
        <w:rPr>
          <w:rFonts w:asciiTheme="majorBidi" w:hAnsiTheme="majorBidi" w:cstheme="majorBidi"/>
          <w:sz w:val="24"/>
          <w:szCs w:val="24"/>
        </w:rPr>
        <w:t xml:space="preserve">, “Menachem </w:t>
      </w:r>
      <w:proofErr w:type="spellStart"/>
      <w:r w:rsidRPr="0039072E">
        <w:rPr>
          <w:rFonts w:asciiTheme="majorBidi" w:hAnsiTheme="majorBidi" w:cstheme="majorBidi"/>
          <w:sz w:val="24"/>
          <w:szCs w:val="24"/>
        </w:rPr>
        <w:t>Begin's</w:t>
      </w:r>
      <w:proofErr w:type="spellEnd"/>
      <w:r w:rsidRPr="0039072E">
        <w:rPr>
          <w:rFonts w:asciiTheme="majorBidi" w:hAnsiTheme="majorBidi" w:cstheme="majorBidi"/>
          <w:sz w:val="24"/>
          <w:szCs w:val="24"/>
        </w:rPr>
        <w:t xml:space="preserve"> Attitude Toward the Jewish Religion,</w:t>
      </w:r>
      <w:r w:rsidRPr="0039072E">
        <w:rPr>
          <w:rFonts w:asciiTheme="majorBidi" w:hAnsiTheme="majorBidi" w:cstheme="majorBidi"/>
          <w:b/>
          <w:bCs/>
          <w:i/>
          <w:iCs/>
          <w:sz w:val="24"/>
          <w:szCs w:val="24"/>
        </w:rPr>
        <w:t>”</w:t>
      </w:r>
      <w:r w:rsidRPr="0039072E">
        <w:rPr>
          <w:rFonts w:asciiTheme="majorBidi" w:hAnsiTheme="majorBidi" w:cstheme="majorBidi"/>
          <w:iCs/>
          <w:sz w:val="24"/>
          <w:szCs w:val="24"/>
        </w:rPr>
        <w:t xml:space="preserve"> </w:t>
      </w:r>
      <w:r w:rsidRPr="0039072E">
        <w:rPr>
          <w:rFonts w:asciiTheme="majorBidi" w:hAnsiTheme="majorBidi" w:cstheme="majorBidi"/>
          <w:i/>
          <w:sz w:val="24"/>
          <w:szCs w:val="24"/>
        </w:rPr>
        <w:t>The Middle East Journal</w:t>
      </w:r>
      <w:r w:rsidRPr="0039072E">
        <w:rPr>
          <w:rFonts w:asciiTheme="majorBidi" w:hAnsiTheme="majorBidi" w:cstheme="majorBidi"/>
          <w:iCs/>
          <w:sz w:val="24"/>
          <w:szCs w:val="24"/>
        </w:rPr>
        <w:t xml:space="preserve"> 70:2 (Spring 2016): 249-75.</w:t>
      </w:r>
    </w:p>
  </w:footnote>
  <w:footnote w:id="12">
    <w:p w14:paraId="530BFC6D" w14:textId="73FB4FB1" w:rsidR="003A2C92" w:rsidRPr="0039072E" w:rsidRDefault="003A2C92" w:rsidP="00DE705A">
      <w:pPr>
        <w:pStyle w:val="FootnoteText"/>
        <w:spacing w:line="480" w:lineRule="auto"/>
        <w:ind w:hanging="142"/>
        <w:rPr>
          <w:rFonts w:asciiTheme="majorBidi" w:hAnsiTheme="majorBidi" w:cstheme="majorBidi"/>
          <w:sz w:val="24"/>
          <w:szCs w:val="24"/>
        </w:rPr>
      </w:pPr>
      <w:r w:rsidRPr="0039072E">
        <w:rPr>
          <w:rStyle w:val="FootnoteReference"/>
          <w:rFonts w:asciiTheme="majorBidi" w:hAnsiTheme="majorBidi" w:cstheme="majorBidi"/>
          <w:sz w:val="24"/>
          <w:szCs w:val="24"/>
        </w:rPr>
        <w:footnoteRef/>
      </w:r>
      <w:r w:rsidRPr="0039072E">
        <w:rPr>
          <w:rFonts w:asciiTheme="majorBidi" w:hAnsiTheme="majorBidi" w:cstheme="majorBidi"/>
          <w:sz w:val="24"/>
          <w:szCs w:val="24"/>
        </w:rPr>
        <w:t xml:space="preserve"> This conjecture is based in part on research and surveys conducted by the Guttman Center for </w:t>
      </w:r>
      <w:r w:rsidRPr="0039072E">
        <w:rPr>
          <w:rFonts w:asciiTheme="majorBidi" w:hAnsiTheme="majorBidi" w:cstheme="majorBidi"/>
          <w:sz w:val="24"/>
          <w:szCs w:val="24"/>
          <w:highlight w:val="yellow"/>
        </w:rPr>
        <w:t>Public Opinion and Policy Research</w:t>
      </w:r>
      <w:r w:rsidRPr="0039072E">
        <w:rPr>
          <w:rFonts w:asciiTheme="majorBidi" w:hAnsiTheme="majorBidi" w:cstheme="majorBidi"/>
          <w:sz w:val="24"/>
          <w:szCs w:val="24"/>
        </w:rPr>
        <w:t xml:space="preserve"> (at the Israel Democracy Institute), attesting that since the 1990s, if not earlier, most Israeli Jews have considered it highly important to maintain a Jewish identity in keeping with Orthodox religious tradition. See Tamar Hermann, ed., </w:t>
      </w:r>
      <w:r w:rsidRPr="0039072E">
        <w:rPr>
          <w:rFonts w:asciiTheme="majorBidi" w:hAnsiTheme="majorBidi" w:cstheme="majorBidi"/>
          <w:i/>
          <w:iCs/>
          <w:sz w:val="24"/>
          <w:szCs w:val="24"/>
        </w:rPr>
        <w:t>The Israeli Democracy Index 2013</w:t>
      </w:r>
      <w:r w:rsidRPr="0039072E">
        <w:rPr>
          <w:rFonts w:asciiTheme="majorBidi" w:hAnsiTheme="majorBidi" w:cstheme="majorBidi"/>
          <w:sz w:val="24"/>
          <w:szCs w:val="24"/>
        </w:rPr>
        <w:t xml:space="preserve"> (Hebrew; Jerusalem, 2013), 84–106. </w:t>
      </w:r>
      <w:r w:rsidRPr="0039072E">
        <w:rPr>
          <w:rFonts w:asciiTheme="majorBidi" w:hAnsiTheme="majorBidi" w:cstheme="majorBidi"/>
          <w:sz w:val="24"/>
          <w:szCs w:val="24"/>
          <w:highlight w:val="yellow"/>
        </w:rPr>
        <w:t>&lt;Note: The name of the Guttman Center has been changed based on their website.&gt;</w:t>
      </w:r>
    </w:p>
  </w:footnote>
  <w:footnote w:id="13">
    <w:p w14:paraId="0DDFC57B" w14:textId="451576D1" w:rsidR="003A2C92" w:rsidRPr="0039072E" w:rsidRDefault="003A2C92" w:rsidP="00DE705A">
      <w:pPr>
        <w:pStyle w:val="FootnoteText"/>
        <w:spacing w:line="480" w:lineRule="auto"/>
        <w:rPr>
          <w:rFonts w:asciiTheme="majorBidi" w:hAnsiTheme="majorBidi" w:cstheme="majorBidi"/>
          <w:sz w:val="24"/>
          <w:szCs w:val="24"/>
        </w:rPr>
      </w:pPr>
      <w:r w:rsidRPr="0039072E">
        <w:rPr>
          <w:rStyle w:val="FootnoteReference"/>
          <w:rFonts w:asciiTheme="majorBidi" w:hAnsiTheme="majorBidi" w:cstheme="majorBidi"/>
          <w:sz w:val="24"/>
          <w:szCs w:val="24"/>
        </w:rPr>
        <w:footnoteRef/>
      </w:r>
      <w:r w:rsidRPr="0039072E">
        <w:rPr>
          <w:rFonts w:asciiTheme="majorBidi" w:hAnsiTheme="majorBidi" w:cstheme="majorBidi"/>
          <w:sz w:val="24"/>
          <w:szCs w:val="24"/>
        </w:rPr>
        <w:t xml:space="preserve"> Kalman Neuman, </w:t>
      </w:r>
      <w:r w:rsidRPr="0039072E">
        <w:rPr>
          <w:rFonts w:asciiTheme="majorBidi" w:hAnsiTheme="majorBidi" w:cstheme="majorBidi"/>
          <w:i/>
          <w:iCs/>
          <w:sz w:val="24"/>
          <w:szCs w:val="24"/>
        </w:rPr>
        <w:t>Territorial Concessions as an Issue of Religion and State</w:t>
      </w:r>
      <w:r w:rsidRPr="0039072E">
        <w:rPr>
          <w:rFonts w:asciiTheme="majorBidi" w:hAnsiTheme="majorBidi" w:cstheme="majorBidi"/>
          <w:sz w:val="24"/>
          <w:szCs w:val="24"/>
        </w:rPr>
        <w:t xml:space="preserve"> (Hebrew; Jerusalem,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55485"/>
      <w:docPartObj>
        <w:docPartGallery w:val="Page Numbers (Top of Page)"/>
        <w:docPartUnique/>
      </w:docPartObj>
    </w:sdtPr>
    <w:sdtEndPr>
      <w:rPr>
        <w:noProof/>
      </w:rPr>
    </w:sdtEndPr>
    <w:sdtContent>
      <w:p w14:paraId="35CB2686" w14:textId="0D923B7E" w:rsidR="003A2C92" w:rsidRDefault="003A2C92">
        <w:pPr>
          <w:pStyle w:val="Header"/>
          <w:jc w:val="right"/>
        </w:pPr>
        <w:r>
          <w:fldChar w:fldCharType="begin"/>
        </w:r>
        <w:r>
          <w:instrText xml:space="preserve"> PAGE   \* MERGEFORMAT </w:instrText>
        </w:r>
        <w:r>
          <w:fldChar w:fldCharType="separate"/>
        </w:r>
        <w:r w:rsidR="0039072E">
          <w:rPr>
            <w:noProof/>
          </w:rPr>
          <w:t>10</w:t>
        </w:r>
        <w:r>
          <w:rPr>
            <w:noProof/>
          </w:rPr>
          <w:fldChar w:fldCharType="end"/>
        </w:r>
      </w:p>
    </w:sdtContent>
  </w:sdt>
  <w:p w14:paraId="4D91C090" w14:textId="77777777" w:rsidR="003A2C92" w:rsidRDefault="003A2C9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37"/>
    <w:rsid w:val="000013D1"/>
    <w:rsid w:val="000073D1"/>
    <w:rsid w:val="0002019B"/>
    <w:rsid w:val="0002162B"/>
    <w:rsid w:val="00022080"/>
    <w:rsid w:val="00022456"/>
    <w:rsid w:val="000230EF"/>
    <w:rsid w:val="00041F37"/>
    <w:rsid w:val="0005659E"/>
    <w:rsid w:val="00071305"/>
    <w:rsid w:val="000800C0"/>
    <w:rsid w:val="00085D08"/>
    <w:rsid w:val="000A47D7"/>
    <w:rsid w:val="000A7932"/>
    <w:rsid w:val="000B31FA"/>
    <w:rsid w:val="000C332C"/>
    <w:rsid w:val="000C730E"/>
    <w:rsid w:val="000D3282"/>
    <w:rsid w:val="000E3D71"/>
    <w:rsid w:val="000E6325"/>
    <w:rsid w:val="000F1426"/>
    <w:rsid w:val="000F5394"/>
    <w:rsid w:val="000F5D93"/>
    <w:rsid w:val="00101EAE"/>
    <w:rsid w:val="0010241A"/>
    <w:rsid w:val="00102F9F"/>
    <w:rsid w:val="001102CD"/>
    <w:rsid w:val="00113265"/>
    <w:rsid w:val="0012097A"/>
    <w:rsid w:val="00123DC4"/>
    <w:rsid w:val="00136317"/>
    <w:rsid w:val="00140040"/>
    <w:rsid w:val="00151266"/>
    <w:rsid w:val="00160B72"/>
    <w:rsid w:val="00162962"/>
    <w:rsid w:val="00166BB2"/>
    <w:rsid w:val="00174C53"/>
    <w:rsid w:val="0019144B"/>
    <w:rsid w:val="00193AC6"/>
    <w:rsid w:val="001A4D1E"/>
    <w:rsid w:val="001A616C"/>
    <w:rsid w:val="001B2968"/>
    <w:rsid w:val="001B5EBB"/>
    <w:rsid w:val="001C14FF"/>
    <w:rsid w:val="001D1B02"/>
    <w:rsid w:val="001D457F"/>
    <w:rsid w:val="001D7448"/>
    <w:rsid w:val="001D7758"/>
    <w:rsid w:val="001E1D95"/>
    <w:rsid w:val="001E7252"/>
    <w:rsid w:val="00201012"/>
    <w:rsid w:val="0020645F"/>
    <w:rsid w:val="00210E23"/>
    <w:rsid w:val="00214DCF"/>
    <w:rsid w:val="002167A4"/>
    <w:rsid w:val="00217E50"/>
    <w:rsid w:val="00221F83"/>
    <w:rsid w:val="002244F7"/>
    <w:rsid w:val="00237C66"/>
    <w:rsid w:val="0024110C"/>
    <w:rsid w:val="002425FE"/>
    <w:rsid w:val="00250786"/>
    <w:rsid w:val="0025141F"/>
    <w:rsid w:val="002569E0"/>
    <w:rsid w:val="00260C0C"/>
    <w:rsid w:val="00275044"/>
    <w:rsid w:val="00281E84"/>
    <w:rsid w:val="00284B1A"/>
    <w:rsid w:val="0028654C"/>
    <w:rsid w:val="0029601D"/>
    <w:rsid w:val="00297D42"/>
    <w:rsid w:val="002A393C"/>
    <w:rsid w:val="002B3BB2"/>
    <w:rsid w:val="002B799B"/>
    <w:rsid w:val="002C3D11"/>
    <w:rsid w:val="002C4E00"/>
    <w:rsid w:val="002E0EA6"/>
    <w:rsid w:val="002E25DC"/>
    <w:rsid w:val="00302957"/>
    <w:rsid w:val="00311049"/>
    <w:rsid w:val="00312CF9"/>
    <w:rsid w:val="00322E93"/>
    <w:rsid w:val="003342C6"/>
    <w:rsid w:val="00343B54"/>
    <w:rsid w:val="003461A7"/>
    <w:rsid w:val="003465B0"/>
    <w:rsid w:val="00353886"/>
    <w:rsid w:val="00360326"/>
    <w:rsid w:val="0039072E"/>
    <w:rsid w:val="00391ED8"/>
    <w:rsid w:val="00393BED"/>
    <w:rsid w:val="003A2C92"/>
    <w:rsid w:val="003A4226"/>
    <w:rsid w:val="003A5DB7"/>
    <w:rsid w:val="003A77E9"/>
    <w:rsid w:val="003D7D14"/>
    <w:rsid w:val="0041649F"/>
    <w:rsid w:val="004203E2"/>
    <w:rsid w:val="00420838"/>
    <w:rsid w:val="00420B8B"/>
    <w:rsid w:val="00425F53"/>
    <w:rsid w:val="00426355"/>
    <w:rsid w:val="004278F2"/>
    <w:rsid w:val="00436107"/>
    <w:rsid w:val="00436A59"/>
    <w:rsid w:val="00446741"/>
    <w:rsid w:val="00452595"/>
    <w:rsid w:val="004605D8"/>
    <w:rsid w:val="00460C50"/>
    <w:rsid w:val="00471C4E"/>
    <w:rsid w:val="00472993"/>
    <w:rsid w:val="00472E0E"/>
    <w:rsid w:val="00476733"/>
    <w:rsid w:val="00487B46"/>
    <w:rsid w:val="004946D9"/>
    <w:rsid w:val="004A0C55"/>
    <w:rsid w:val="004B01E0"/>
    <w:rsid w:val="004B17C2"/>
    <w:rsid w:val="004D218F"/>
    <w:rsid w:val="004E2096"/>
    <w:rsid w:val="004E3BB9"/>
    <w:rsid w:val="004E6114"/>
    <w:rsid w:val="004F26F2"/>
    <w:rsid w:val="004F616A"/>
    <w:rsid w:val="005025BB"/>
    <w:rsid w:val="00510E78"/>
    <w:rsid w:val="00512FB0"/>
    <w:rsid w:val="00532F92"/>
    <w:rsid w:val="005339B8"/>
    <w:rsid w:val="0053513C"/>
    <w:rsid w:val="00540AE6"/>
    <w:rsid w:val="00556DEB"/>
    <w:rsid w:val="00560B70"/>
    <w:rsid w:val="005612C9"/>
    <w:rsid w:val="00561441"/>
    <w:rsid w:val="00571ABB"/>
    <w:rsid w:val="00573562"/>
    <w:rsid w:val="00583B16"/>
    <w:rsid w:val="005872E4"/>
    <w:rsid w:val="00587747"/>
    <w:rsid w:val="005931C0"/>
    <w:rsid w:val="005A49B4"/>
    <w:rsid w:val="005A56E6"/>
    <w:rsid w:val="005A638C"/>
    <w:rsid w:val="005B39D9"/>
    <w:rsid w:val="005B5497"/>
    <w:rsid w:val="005B6B2D"/>
    <w:rsid w:val="005C292E"/>
    <w:rsid w:val="005C6019"/>
    <w:rsid w:val="005D0A1C"/>
    <w:rsid w:val="005E24B9"/>
    <w:rsid w:val="005E5E10"/>
    <w:rsid w:val="00616F0A"/>
    <w:rsid w:val="00625493"/>
    <w:rsid w:val="00625877"/>
    <w:rsid w:val="00637EC1"/>
    <w:rsid w:val="00641145"/>
    <w:rsid w:val="00641856"/>
    <w:rsid w:val="006420D4"/>
    <w:rsid w:val="00645413"/>
    <w:rsid w:val="006459C2"/>
    <w:rsid w:val="00650523"/>
    <w:rsid w:val="006516D3"/>
    <w:rsid w:val="00657182"/>
    <w:rsid w:val="00665C8C"/>
    <w:rsid w:val="006736B2"/>
    <w:rsid w:val="006772B4"/>
    <w:rsid w:val="00681E0D"/>
    <w:rsid w:val="00683A50"/>
    <w:rsid w:val="006851B1"/>
    <w:rsid w:val="00690FB1"/>
    <w:rsid w:val="00695ECD"/>
    <w:rsid w:val="006966CC"/>
    <w:rsid w:val="006A2912"/>
    <w:rsid w:val="006B21CE"/>
    <w:rsid w:val="006B7856"/>
    <w:rsid w:val="006C0CAF"/>
    <w:rsid w:val="006C305E"/>
    <w:rsid w:val="006C51F6"/>
    <w:rsid w:val="006F2DBC"/>
    <w:rsid w:val="00712C08"/>
    <w:rsid w:val="00716B94"/>
    <w:rsid w:val="00724260"/>
    <w:rsid w:val="0072655A"/>
    <w:rsid w:val="00742AB1"/>
    <w:rsid w:val="00752284"/>
    <w:rsid w:val="00755306"/>
    <w:rsid w:val="007556FA"/>
    <w:rsid w:val="007579BB"/>
    <w:rsid w:val="007635DF"/>
    <w:rsid w:val="00770D44"/>
    <w:rsid w:val="0077427D"/>
    <w:rsid w:val="00776FFB"/>
    <w:rsid w:val="00783BC8"/>
    <w:rsid w:val="00790E61"/>
    <w:rsid w:val="007A4458"/>
    <w:rsid w:val="007B017A"/>
    <w:rsid w:val="007B0AC4"/>
    <w:rsid w:val="007B0D96"/>
    <w:rsid w:val="007B532F"/>
    <w:rsid w:val="007B6A44"/>
    <w:rsid w:val="007C568C"/>
    <w:rsid w:val="007C65DF"/>
    <w:rsid w:val="007C6BE3"/>
    <w:rsid w:val="007D6BED"/>
    <w:rsid w:val="007E45DB"/>
    <w:rsid w:val="007F28FE"/>
    <w:rsid w:val="007F2BD2"/>
    <w:rsid w:val="008039B4"/>
    <w:rsid w:val="00803C70"/>
    <w:rsid w:val="00803E3F"/>
    <w:rsid w:val="0080542B"/>
    <w:rsid w:val="008122D1"/>
    <w:rsid w:val="008129E7"/>
    <w:rsid w:val="0081725E"/>
    <w:rsid w:val="00823402"/>
    <w:rsid w:val="008363FE"/>
    <w:rsid w:val="00840080"/>
    <w:rsid w:val="0085491B"/>
    <w:rsid w:val="00854E5A"/>
    <w:rsid w:val="00855D25"/>
    <w:rsid w:val="00873B4D"/>
    <w:rsid w:val="00873CB1"/>
    <w:rsid w:val="00881C30"/>
    <w:rsid w:val="00890B58"/>
    <w:rsid w:val="008A5048"/>
    <w:rsid w:val="008A7819"/>
    <w:rsid w:val="008B7342"/>
    <w:rsid w:val="008C25A3"/>
    <w:rsid w:val="008C2E5A"/>
    <w:rsid w:val="008D01DE"/>
    <w:rsid w:val="008D1CFE"/>
    <w:rsid w:val="008D4935"/>
    <w:rsid w:val="008D6568"/>
    <w:rsid w:val="008E128D"/>
    <w:rsid w:val="008E1E23"/>
    <w:rsid w:val="008F0045"/>
    <w:rsid w:val="008F3701"/>
    <w:rsid w:val="00900BBC"/>
    <w:rsid w:val="009139BA"/>
    <w:rsid w:val="009145C1"/>
    <w:rsid w:val="00946381"/>
    <w:rsid w:val="00947E54"/>
    <w:rsid w:val="00950F02"/>
    <w:rsid w:val="009619D6"/>
    <w:rsid w:val="00964025"/>
    <w:rsid w:val="009660A4"/>
    <w:rsid w:val="00971D08"/>
    <w:rsid w:val="00984183"/>
    <w:rsid w:val="00991A22"/>
    <w:rsid w:val="009A001F"/>
    <w:rsid w:val="009A08A1"/>
    <w:rsid w:val="009A73F4"/>
    <w:rsid w:val="009A780C"/>
    <w:rsid w:val="009B0B6E"/>
    <w:rsid w:val="009B5EA2"/>
    <w:rsid w:val="009B7422"/>
    <w:rsid w:val="009E3F3A"/>
    <w:rsid w:val="009E4928"/>
    <w:rsid w:val="009F33C5"/>
    <w:rsid w:val="00A03C3C"/>
    <w:rsid w:val="00A0473B"/>
    <w:rsid w:val="00A16A82"/>
    <w:rsid w:val="00A22900"/>
    <w:rsid w:val="00A3164F"/>
    <w:rsid w:val="00A41659"/>
    <w:rsid w:val="00A4273C"/>
    <w:rsid w:val="00A44C49"/>
    <w:rsid w:val="00A63CBD"/>
    <w:rsid w:val="00A64EAF"/>
    <w:rsid w:val="00A70E8B"/>
    <w:rsid w:val="00A82F9A"/>
    <w:rsid w:val="00A852A0"/>
    <w:rsid w:val="00A85970"/>
    <w:rsid w:val="00A94515"/>
    <w:rsid w:val="00AA2998"/>
    <w:rsid w:val="00AB4B37"/>
    <w:rsid w:val="00AD0873"/>
    <w:rsid w:val="00AE251A"/>
    <w:rsid w:val="00AE65A5"/>
    <w:rsid w:val="00AF677C"/>
    <w:rsid w:val="00AF7CDB"/>
    <w:rsid w:val="00B150E8"/>
    <w:rsid w:val="00B22E9F"/>
    <w:rsid w:val="00B25D0C"/>
    <w:rsid w:val="00B26208"/>
    <w:rsid w:val="00B268AE"/>
    <w:rsid w:val="00B26E53"/>
    <w:rsid w:val="00B345A6"/>
    <w:rsid w:val="00B55796"/>
    <w:rsid w:val="00B606B1"/>
    <w:rsid w:val="00B61ADE"/>
    <w:rsid w:val="00B73C26"/>
    <w:rsid w:val="00B77313"/>
    <w:rsid w:val="00B947CB"/>
    <w:rsid w:val="00BA10F4"/>
    <w:rsid w:val="00BA403C"/>
    <w:rsid w:val="00BB0DE9"/>
    <w:rsid w:val="00BB0EAC"/>
    <w:rsid w:val="00BD1A48"/>
    <w:rsid w:val="00BD3883"/>
    <w:rsid w:val="00C21E8C"/>
    <w:rsid w:val="00C301C2"/>
    <w:rsid w:val="00C460D9"/>
    <w:rsid w:val="00C62605"/>
    <w:rsid w:val="00C6699C"/>
    <w:rsid w:val="00C70965"/>
    <w:rsid w:val="00C70A7B"/>
    <w:rsid w:val="00C72FCA"/>
    <w:rsid w:val="00C76796"/>
    <w:rsid w:val="00C76CB0"/>
    <w:rsid w:val="00C82B8B"/>
    <w:rsid w:val="00C82F3C"/>
    <w:rsid w:val="00C91C0D"/>
    <w:rsid w:val="00C96173"/>
    <w:rsid w:val="00C9639A"/>
    <w:rsid w:val="00CA2475"/>
    <w:rsid w:val="00CA66EE"/>
    <w:rsid w:val="00CA7A89"/>
    <w:rsid w:val="00CB2EF2"/>
    <w:rsid w:val="00CB6996"/>
    <w:rsid w:val="00CC73F2"/>
    <w:rsid w:val="00CE108C"/>
    <w:rsid w:val="00CF2938"/>
    <w:rsid w:val="00CF318C"/>
    <w:rsid w:val="00CF3A2E"/>
    <w:rsid w:val="00CF5AC9"/>
    <w:rsid w:val="00CF654C"/>
    <w:rsid w:val="00D06D04"/>
    <w:rsid w:val="00D201BE"/>
    <w:rsid w:val="00D22F87"/>
    <w:rsid w:val="00D242E8"/>
    <w:rsid w:val="00D276C6"/>
    <w:rsid w:val="00D361CD"/>
    <w:rsid w:val="00D40C85"/>
    <w:rsid w:val="00D45AA7"/>
    <w:rsid w:val="00D50B8D"/>
    <w:rsid w:val="00D547AC"/>
    <w:rsid w:val="00D55F0E"/>
    <w:rsid w:val="00D57559"/>
    <w:rsid w:val="00D62D45"/>
    <w:rsid w:val="00D63BA8"/>
    <w:rsid w:val="00D640A5"/>
    <w:rsid w:val="00D65AD4"/>
    <w:rsid w:val="00D721FC"/>
    <w:rsid w:val="00D7346A"/>
    <w:rsid w:val="00D73721"/>
    <w:rsid w:val="00D765AE"/>
    <w:rsid w:val="00D81BB3"/>
    <w:rsid w:val="00D84CD2"/>
    <w:rsid w:val="00D8515D"/>
    <w:rsid w:val="00D90F96"/>
    <w:rsid w:val="00D90FA3"/>
    <w:rsid w:val="00DA3C61"/>
    <w:rsid w:val="00DA5F4C"/>
    <w:rsid w:val="00DB4002"/>
    <w:rsid w:val="00DC536A"/>
    <w:rsid w:val="00DC5BCA"/>
    <w:rsid w:val="00DD241E"/>
    <w:rsid w:val="00DD6579"/>
    <w:rsid w:val="00DD7F11"/>
    <w:rsid w:val="00DE6FCA"/>
    <w:rsid w:val="00DE705A"/>
    <w:rsid w:val="00E011A7"/>
    <w:rsid w:val="00E10C24"/>
    <w:rsid w:val="00E17FD7"/>
    <w:rsid w:val="00E21F7A"/>
    <w:rsid w:val="00E260D2"/>
    <w:rsid w:val="00E30980"/>
    <w:rsid w:val="00E3138C"/>
    <w:rsid w:val="00E34947"/>
    <w:rsid w:val="00E6243C"/>
    <w:rsid w:val="00E6414A"/>
    <w:rsid w:val="00E85210"/>
    <w:rsid w:val="00EA677A"/>
    <w:rsid w:val="00EB2864"/>
    <w:rsid w:val="00EB35A8"/>
    <w:rsid w:val="00EC72ED"/>
    <w:rsid w:val="00ED24EE"/>
    <w:rsid w:val="00ED3C77"/>
    <w:rsid w:val="00ED413A"/>
    <w:rsid w:val="00ED4ECF"/>
    <w:rsid w:val="00ED5A9C"/>
    <w:rsid w:val="00EE692C"/>
    <w:rsid w:val="00EF42DF"/>
    <w:rsid w:val="00F05857"/>
    <w:rsid w:val="00F07C42"/>
    <w:rsid w:val="00F101C0"/>
    <w:rsid w:val="00F1691B"/>
    <w:rsid w:val="00F26123"/>
    <w:rsid w:val="00F27ABE"/>
    <w:rsid w:val="00F3556F"/>
    <w:rsid w:val="00F36EF4"/>
    <w:rsid w:val="00F41713"/>
    <w:rsid w:val="00F42E40"/>
    <w:rsid w:val="00F52CA4"/>
    <w:rsid w:val="00F53B51"/>
    <w:rsid w:val="00F61C5F"/>
    <w:rsid w:val="00F72F13"/>
    <w:rsid w:val="00F730F1"/>
    <w:rsid w:val="00F73420"/>
    <w:rsid w:val="00F74240"/>
    <w:rsid w:val="00F80D63"/>
    <w:rsid w:val="00F90AD3"/>
    <w:rsid w:val="00F93A31"/>
    <w:rsid w:val="00FA53B7"/>
    <w:rsid w:val="00FA6BB5"/>
    <w:rsid w:val="00FA6FE8"/>
    <w:rsid w:val="00FA7DD9"/>
    <w:rsid w:val="00FB1819"/>
    <w:rsid w:val="00FD2F4C"/>
    <w:rsid w:val="00FD626E"/>
    <w:rsid w:val="00FE0A60"/>
    <w:rsid w:val="00FF0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5FF5"/>
  <w15:chartTrackingRefBased/>
  <w15:docId w15:val="{9B8B6BB7-7C11-417D-9D35-04C7569C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B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
    <w:name w:val="SB"/>
    <w:basedOn w:val="Normal"/>
    <w:qFormat/>
    <w:rsid w:val="00D57559"/>
    <w:pPr>
      <w:spacing w:before="60" w:after="60" w:line="480" w:lineRule="auto"/>
    </w:pPr>
    <w:rPr>
      <w:rFonts w:ascii="Times New Roman" w:hAnsi="Times New Roman"/>
      <w:sz w:val="24"/>
      <w:szCs w:val="24"/>
    </w:rPr>
  </w:style>
  <w:style w:type="paragraph" w:styleId="Header">
    <w:name w:val="header"/>
    <w:basedOn w:val="Normal"/>
    <w:link w:val="HeaderChar"/>
    <w:uiPriority w:val="99"/>
    <w:unhideWhenUsed/>
    <w:rsid w:val="00D575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7559"/>
  </w:style>
  <w:style w:type="paragraph" w:styleId="Footer">
    <w:name w:val="footer"/>
    <w:basedOn w:val="Normal"/>
    <w:link w:val="FooterChar"/>
    <w:uiPriority w:val="99"/>
    <w:unhideWhenUsed/>
    <w:rsid w:val="00D575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7559"/>
  </w:style>
  <w:style w:type="paragraph" w:styleId="FootnoteText">
    <w:name w:val="footnote text"/>
    <w:basedOn w:val="Normal"/>
    <w:link w:val="FootnoteTextChar"/>
    <w:uiPriority w:val="99"/>
    <w:unhideWhenUsed/>
    <w:rsid w:val="005872E4"/>
    <w:pPr>
      <w:spacing w:after="0" w:line="240" w:lineRule="auto"/>
    </w:pPr>
    <w:rPr>
      <w:sz w:val="20"/>
      <w:szCs w:val="20"/>
    </w:rPr>
  </w:style>
  <w:style w:type="character" w:customStyle="1" w:styleId="FootnoteTextChar">
    <w:name w:val="Footnote Text Char"/>
    <w:basedOn w:val="DefaultParagraphFont"/>
    <w:link w:val="FootnoteText"/>
    <w:uiPriority w:val="99"/>
    <w:rsid w:val="005872E4"/>
    <w:rPr>
      <w:sz w:val="20"/>
      <w:szCs w:val="20"/>
    </w:rPr>
  </w:style>
  <w:style w:type="character" w:styleId="FootnoteReference">
    <w:name w:val="footnote reference"/>
    <w:basedOn w:val="DefaultParagraphFont"/>
    <w:uiPriority w:val="99"/>
    <w:semiHidden/>
    <w:unhideWhenUsed/>
    <w:rsid w:val="005872E4"/>
    <w:rPr>
      <w:vertAlign w:val="superscript"/>
    </w:rPr>
  </w:style>
  <w:style w:type="character" w:customStyle="1" w:styleId="Heading1Char">
    <w:name w:val="Heading 1 Char"/>
    <w:basedOn w:val="DefaultParagraphFont"/>
    <w:link w:val="Heading1"/>
    <w:uiPriority w:val="9"/>
    <w:rsid w:val="00583B1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2655A"/>
    <w:rPr>
      <w:sz w:val="16"/>
      <w:szCs w:val="16"/>
    </w:rPr>
  </w:style>
  <w:style w:type="paragraph" w:styleId="CommentText">
    <w:name w:val="annotation text"/>
    <w:basedOn w:val="Normal"/>
    <w:link w:val="CommentTextChar"/>
    <w:uiPriority w:val="99"/>
    <w:semiHidden/>
    <w:unhideWhenUsed/>
    <w:rsid w:val="0072655A"/>
    <w:pPr>
      <w:spacing w:line="240" w:lineRule="auto"/>
    </w:pPr>
    <w:rPr>
      <w:sz w:val="20"/>
      <w:szCs w:val="20"/>
    </w:rPr>
  </w:style>
  <w:style w:type="character" w:customStyle="1" w:styleId="CommentTextChar">
    <w:name w:val="Comment Text Char"/>
    <w:basedOn w:val="DefaultParagraphFont"/>
    <w:link w:val="CommentText"/>
    <w:uiPriority w:val="99"/>
    <w:semiHidden/>
    <w:rsid w:val="0072655A"/>
    <w:rPr>
      <w:sz w:val="20"/>
      <w:szCs w:val="20"/>
    </w:rPr>
  </w:style>
  <w:style w:type="paragraph" w:styleId="CommentSubject">
    <w:name w:val="annotation subject"/>
    <w:basedOn w:val="CommentText"/>
    <w:next w:val="CommentText"/>
    <w:link w:val="CommentSubjectChar"/>
    <w:uiPriority w:val="99"/>
    <w:semiHidden/>
    <w:unhideWhenUsed/>
    <w:rsid w:val="0072655A"/>
    <w:rPr>
      <w:b/>
      <w:bCs/>
    </w:rPr>
  </w:style>
  <w:style w:type="character" w:customStyle="1" w:styleId="CommentSubjectChar">
    <w:name w:val="Comment Subject Char"/>
    <w:basedOn w:val="CommentTextChar"/>
    <w:link w:val="CommentSubject"/>
    <w:uiPriority w:val="99"/>
    <w:semiHidden/>
    <w:rsid w:val="0072655A"/>
    <w:rPr>
      <w:b/>
      <w:bCs/>
      <w:sz w:val="20"/>
      <w:szCs w:val="20"/>
    </w:rPr>
  </w:style>
  <w:style w:type="paragraph" w:styleId="BalloonText">
    <w:name w:val="Balloon Text"/>
    <w:basedOn w:val="Normal"/>
    <w:link w:val="BalloonTextChar"/>
    <w:uiPriority w:val="99"/>
    <w:semiHidden/>
    <w:unhideWhenUsed/>
    <w:rsid w:val="00726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55A"/>
    <w:rPr>
      <w:rFonts w:ascii="Segoe UI" w:hAnsi="Segoe UI" w:cs="Segoe UI"/>
      <w:sz w:val="18"/>
      <w:szCs w:val="18"/>
    </w:rPr>
  </w:style>
  <w:style w:type="character" w:styleId="Emphasis">
    <w:name w:val="Emphasis"/>
    <w:basedOn w:val="DefaultParagraphFont"/>
    <w:uiPriority w:val="20"/>
    <w:qFormat/>
    <w:rsid w:val="00DE70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0C747-57EC-4A9A-BFB7-22E8BAF1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10</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Adrian Sackson</cp:lastModifiedBy>
  <cp:revision>65</cp:revision>
  <dcterms:created xsi:type="dcterms:W3CDTF">2018-02-05T14:27:00Z</dcterms:created>
  <dcterms:modified xsi:type="dcterms:W3CDTF">2018-02-13T07:49:00Z</dcterms:modified>
</cp:coreProperties>
</file>