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7FDA3" w14:textId="77777777" w:rsidR="00F62DBE" w:rsidRPr="00F62DBE" w:rsidRDefault="00F62DBE" w:rsidP="00F62DBE">
      <w:pPr>
        <w:spacing w:after="0" w:line="360" w:lineRule="auto"/>
        <w:contextualSpacing/>
        <w:jc w:val="both"/>
        <w:rPr>
          <w:rFonts w:ascii="Calibri" w:eastAsia="Calibri" w:hAnsi="Calibri" w:cs="Calibri"/>
          <w:b/>
          <w:bCs/>
          <w:sz w:val="24"/>
          <w:szCs w:val="24"/>
        </w:rPr>
      </w:pPr>
      <w:proofErr w:type="spellStart"/>
      <w:r w:rsidRPr="00F62DBE">
        <w:rPr>
          <w:rFonts w:ascii="Calibri" w:eastAsia="Calibri" w:hAnsi="Calibri" w:cs="Calibri"/>
          <w:b/>
          <w:bCs/>
          <w:sz w:val="24"/>
          <w:szCs w:val="24"/>
        </w:rPr>
        <w:t>Meshovah</w:t>
      </w:r>
      <w:proofErr w:type="spellEnd"/>
      <w:r w:rsidRPr="00F62DBE">
        <w:rPr>
          <w:rFonts w:ascii="Calibri" w:eastAsia="Calibri" w:hAnsi="Calibri" w:cs="Calibri"/>
          <w:b/>
          <w:bCs/>
          <w:sz w:val="24"/>
          <w:szCs w:val="24"/>
        </w:rPr>
        <w:t xml:space="preserve"> </w:t>
      </w:r>
      <w:commentRangeStart w:id="0"/>
      <w:r w:rsidRPr="00F62DBE">
        <w:rPr>
          <w:rFonts w:ascii="Calibri" w:eastAsia="Calibri" w:hAnsi="Calibri" w:cs="Calibri"/>
          <w:b/>
          <w:bCs/>
          <w:sz w:val="24"/>
          <w:szCs w:val="24"/>
        </w:rPr>
        <w:t>Nitzahat</w:t>
      </w:r>
      <w:commentRangeEnd w:id="0"/>
      <w:r w:rsidRPr="00F62DBE">
        <w:rPr>
          <w:rFonts w:ascii="Calibri" w:eastAsia="Calibri" w:hAnsi="Calibri" w:cs="Calibri"/>
          <w:sz w:val="16"/>
          <w:szCs w:val="16"/>
        </w:rPr>
        <w:commentReference w:id="0"/>
      </w:r>
      <w:r w:rsidRPr="00F62DBE">
        <w:rPr>
          <w:rFonts w:ascii="Calibri" w:eastAsia="Calibri" w:hAnsi="Calibri" w:cs="Calibri"/>
          <w:b/>
          <w:bCs/>
          <w:sz w:val="24"/>
          <w:szCs w:val="24"/>
        </w:rPr>
        <w:t xml:space="preserve">: The Jewish-Christian Polemic in </w:t>
      </w:r>
      <w:proofErr w:type="spellStart"/>
      <w:r w:rsidRPr="00F62DBE">
        <w:rPr>
          <w:rFonts w:ascii="Calibri" w:eastAsia="Calibri" w:hAnsi="Calibri" w:cs="Calibri"/>
          <w:b/>
          <w:bCs/>
          <w:i/>
          <w:iCs/>
          <w:sz w:val="24"/>
          <w:szCs w:val="24"/>
        </w:rPr>
        <w:t>Kaf</w:t>
      </w:r>
      <w:proofErr w:type="spellEnd"/>
      <w:r w:rsidRPr="00F62DBE">
        <w:rPr>
          <w:rFonts w:ascii="Calibri" w:eastAsia="Calibri" w:hAnsi="Calibri" w:cs="Calibri"/>
          <w:b/>
          <w:bCs/>
          <w:i/>
          <w:iCs/>
          <w:sz w:val="24"/>
          <w:szCs w:val="24"/>
        </w:rPr>
        <w:t xml:space="preserve"> </w:t>
      </w:r>
      <w:proofErr w:type="spellStart"/>
      <w:r w:rsidRPr="00F62DBE">
        <w:rPr>
          <w:rFonts w:ascii="Calibri" w:eastAsia="Calibri" w:hAnsi="Calibri" w:cs="Calibri"/>
          <w:b/>
          <w:bCs/>
          <w:i/>
          <w:iCs/>
          <w:sz w:val="24"/>
          <w:szCs w:val="24"/>
        </w:rPr>
        <w:t>Naki</w:t>
      </w:r>
      <w:proofErr w:type="spellEnd"/>
      <w:r w:rsidRPr="00F62DBE">
        <w:rPr>
          <w:rFonts w:ascii="Calibri" w:eastAsia="Calibri" w:hAnsi="Calibri" w:cs="Calibri"/>
          <w:b/>
          <w:bCs/>
          <w:sz w:val="24"/>
          <w:szCs w:val="24"/>
        </w:rPr>
        <w:t xml:space="preserve"> by R. </w:t>
      </w:r>
      <w:proofErr w:type="spellStart"/>
      <w:r w:rsidRPr="00F62DBE">
        <w:rPr>
          <w:rFonts w:ascii="Calibri" w:eastAsia="Calibri" w:hAnsi="Calibri" w:cs="Calibri"/>
          <w:b/>
          <w:bCs/>
          <w:sz w:val="24"/>
          <w:szCs w:val="24"/>
        </w:rPr>
        <w:t>Kalifa</w:t>
      </w:r>
      <w:proofErr w:type="spellEnd"/>
      <w:r w:rsidRPr="00F62DBE">
        <w:rPr>
          <w:rFonts w:ascii="Calibri" w:eastAsia="Calibri" w:hAnsi="Calibri" w:cs="Calibri"/>
          <w:b/>
          <w:bCs/>
          <w:sz w:val="24"/>
          <w:szCs w:val="24"/>
        </w:rPr>
        <w:t xml:space="preserve"> Ben-</w:t>
      </w:r>
      <w:proofErr w:type="spellStart"/>
      <w:r w:rsidRPr="00F62DBE">
        <w:rPr>
          <w:rFonts w:ascii="Calibri" w:eastAsia="Calibri" w:hAnsi="Calibri" w:cs="Calibri"/>
          <w:b/>
          <w:bCs/>
          <w:sz w:val="24"/>
          <w:szCs w:val="24"/>
        </w:rPr>
        <w:t>Malka</w:t>
      </w:r>
      <w:proofErr w:type="spellEnd"/>
      <w:r w:rsidRPr="00F62DBE">
        <w:rPr>
          <w:rFonts w:ascii="Calibri" w:eastAsia="Calibri" w:hAnsi="Calibri" w:cs="Calibri"/>
          <w:b/>
          <w:bCs/>
          <w:sz w:val="24"/>
          <w:szCs w:val="24"/>
        </w:rPr>
        <w:t xml:space="preserve"> (1650?-175?) of Agadir (Morocco) </w:t>
      </w:r>
    </w:p>
    <w:p w14:paraId="523A166D" w14:textId="77777777" w:rsidR="00F62DBE" w:rsidRPr="00F62DBE" w:rsidRDefault="00F62DBE" w:rsidP="00F62DBE">
      <w:pPr>
        <w:numPr>
          <w:ilvl w:val="0"/>
          <w:numId w:val="1"/>
        </w:numPr>
        <w:spacing w:after="0" w:line="360" w:lineRule="auto"/>
        <w:contextualSpacing/>
        <w:jc w:val="both"/>
        <w:rPr>
          <w:rFonts w:ascii="Calibri" w:eastAsia="Calibri" w:hAnsi="Calibri" w:cs="Calibri"/>
          <w:sz w:val="24"/>
          <w:szCs w:val="24"/>
        </w:rPr>
      </w:pPr>
      <w:r w:rsidRPr="00F62DBE">
        <w:rPr>
          <w:rFonts w:ascii="Calibri" w:eastAsia="Calibri" w:hAnsi="Calibri" w:cs="Calibri"/>
          <w:sz w:val="24"/>
          <w:szCs w:val="24"/>
        </w:rPr>
        <w:t>Introduction</w:t>
      </w:r>
    </w:p>
    <w:p w14:paraId="197B46FD" w14:textId="77777777" w:rsidR="00F62DBE" w:rsidRPr="00F62DBE" w:rsidRDefault="00F62DBE" w:rsidP="00F62DBE">
      <w:pPr>
        <w:spacing w:after="0" w:line="360" w:lineRule="auto"/>
        <w:jc w:val="both"/>
        <w:rPr>
          <w:rFonts w:ascii="Calibri" w:eastAsia="Calibri" w:hAnsi="Calibri" w:cs="Calibri"/>
          <w:sz w:val="24"/>
          <w:szCs w:val="24"/>
        </w:rPr>
      </w:pPr>
      <w:r w:rsidRPr="00F62DBE">
        <w:rPr>
          <w:rFonts w:ascii="Calibri" w:eastAsia="Calibri" w:hAnsi="Calibri" w:cs="Calibri"/>
          <w:sz w:val="24"/>
          <w:szCs w:val="24"/>
        </w:rPr>
        <w:t xml:space="preserve">R. </w:t>
      </w:r>
      <w:proofErr w:type="spellStart"/>
      <w:r w:rsidRPr="00F62DBE">
        <w:rPr>
          <w:rFonts w:ascii="Calibri" w:eastAsia="Calibri" w:hAnsi="Calibri" w:cs="Calibri"/>
          <w:sz w:val="24"/>
          <w:szCs w:val="24"/>
        </w:rPr>
        <w:t>Kalifa</w:t>
      </w:r>
      <w:proofErr w:type="spellEnd"/>
      <w:r w:rsidRPr="00F62DBE">
        <w:rPr>
          <w:rFonts w:ascii="Calibri" w:eastAsia="Calibri" w:hAnsi="Calibri" w:cs="Calibri"/>
          <w:sz w:val="24"/>
          <w:szCs w:val="24"/>
        </w:rPr>
        <w:t xml:space="preserve"> ben-</w:t>
      </w:r>
      <w:proofErr w:type="spellStart"/>
      <w:r w:rsidRPr="00F62DBE">
        <w:rPr>
          <w:rFonts w:ascii="Calibri" w:eastAsia="Calibri" w:hAnsi="Calibri" w:cs="Calibri"/>
          <w:sz w:val="24"/>
          <w:szCs w:val="24"/>
        </w:rPr>
        <w:t>Malka</w:t>
      </w:r>
      <w:proofErr w:type="spellEnd"/>
      <w:r w:rsidRPr="00F62DBE">
        <w:rPr>
          <w:rFonts w:ascii="Calibri" w:eastAsia="Calibri" w:hAnsi="Calibri" w:cs="Calibri"/>
          <w:sz w:val="24"/>
          <w:szCs w:val="24"/>
        </w:rPr>
        <w:t xml:space="preserve"> was born in Safi in Western Morocco during the second half of the seventeenth century. He was orphaned at an early age and apparently studied in his youth with Joseph Bueno de </w:t>
      </w:r>
      <w:proofErr w:type="spellStart"/>
      <w:r w:rsidRPr="00F62DBE">
        <w:rPr>
          <w:rFonts w:ascii="Calibri" w:eastAsia="Calibri" w:hAnsi="Calibri" w:cs="Calibri"/>
          <w:sz w:val="24"/>
          <w:szCs w:val="24"/>
        </w:rPr>
        <w:t>Mesquita</w:t>
      </w:r>
      <w:proofErr w:type="spellEnd"/>
      <w:r w:rsidRPr="00F62DBE">
        <w:rPr>
          <w:rFonts w:ascii="Calibri" w:eastAsia="Calibri" w:hAnsi="Calibri" w:cs="Calibri"/>
          <w:sz w:val="24"/>
          <w:szCs w:val="24"/>
        </w:rPr>
        <w:t xml:space="preserve">. At some point, he departed for Fez, and there he studied with Judah ben Attar (1656-1737) and Samuel </w:t>
      </w:r>
      <w:proofErr w:type="spellStart"/>
      <w:r w:rsidRPr="00F62DBE">
        <w:rPr>
          <w:rFonts w:ascii="Calibri" w:eastAsia="Calibri" w:hAnsi="Calibri" w:cs="Calibri"/>
          <w:sz w:val="24"/>
          <w:szCs w:val="24"/>
        </w:rPr>
        <w:t>Tzarfati</w:t>
      </w:r>
      <w:proofErr w:type="spellEnd"/>
      <w:r w:rsidRPr="00F62DBE">
        <w:rPr>
          <w:rFonts w:ascii="Calibri" w:eastAsia="Calibri" w:hAnsi="Calibri" w:cs="Calibri"/>
          <w:sz w:val="24"/>
          <w:szCs w:val="24"/>
        </w:rPr>
        <w:t xml:space="preserve"> (1660-1713), who were among the city’s senior rabbis at the time.  After this, Ben-</w:t>
      </w:r>
      <w:proofErr w:type="spellStart"/>
      <w:r w:rsidRPr="00F62DBE">
        <w:rPr>
          <w:rFonts w:ascii="Calibri" w:eastAsia="Calibri" w:hAnsi="Calibri" w:cs="Calibri"/>
          <w:sz w:val="24"/>
          <w:szCs w:val="24"/>
        </w:rPr>
        <w:t>Malka</w:t>
      </w:r>
      <w:proofErr w:type="spellEnd"/>
      <w:r w:rsidRPr="00F62DBE">
        <w:rPr>
          <w:rFonts w:ascii="Calibri" w:eastAsia="Calibri" w:hAnsi="Calibri" w:cs="Calibri"/>
          <w:sz w:val="24"/>
          <w:szCs w:val="24"/>
        </w:rPr>
        <w:t xml:space="preserve"> returned to Safi and continued studying with De </w:t>
      </w:r>
      <w:proofErr w:type="spellStart"/>
      <w:r w:rsidRPr="00F62DBE">
        <w:rPr>
          <w:rFonts w:ascii="Calibri" w:eastAsia="Calibri" w:hAnsi="Calibri" w:cs="Calibri"/>
          <w:sz w:val="24"/>
          <w:szCs w:val="24"/>
        </w:rPr>
        <w:t>Mesquita</w:t>
      </w:r>
      <w:proofErr w:type="spellEnd"/>
      <w:r w:rsidRPr="00F62DBE">
        <w:rPr>
          <w:rFonts w:ascii="Calibri" w:eastAsia="Calibri" w:hAnsi="Calibri" w:cs="Calibri"/>
          <w:sz w:val="24"/>
          <w:szCs w:val="24"/>
        </w:rPr>
        <w:t xml:space="preserve"> who also saw to his physical needs. Shortly thereafter, Ben-</w:t>
      </w:r>
      <w:proofErr w:type="spellStart"/>
      <w:r w:rsidRPr="00F62DBE">
        <w:rPr>
          <w:rFonts w:ascii="Calibri" w:eastAsia="Calibri" w:hAnsi="Calibri" w:cs="Calibri"/>
          <w:sz w:val="24"/>
          <w:szCs w:val="24"/>
        </w:rPr>
        <w:t>Malka</w:t>
      </w:r>
      <w:proofErr w:type="spellEnd"/>
      <w:r w:rsidRPr="00F62DBE">
        <w:rPr>
          <w:rFonts w:ascii="Calibri" w:eastAsia="Calibri" w:hAnsi="Calibri" w:cs="Calibri"/>
          <w:sz w:val="24"/>
          <w:szCs w:val="24"/>
        </w:rPr>
        <w:t xml:space="preserve"> emigrated to Agadir, which is in southwestern Morocco, where he became a successful merchant, married, established his home, and authored </w:t>
      </w:r>
      <w:proofErr w:type="spellStart"/>
      <w:r w:rsidRPr="00F62DBE">
        <w:rPr>
          <w:rFonts w:ascii="Calibri" w:eastAsia="Calibri" w:hAnsi="Calibri" w:cs="Calibri"/>
          <w:i/>
          <w:iCs/>
          <w:sz w:val="24"/>
          <w:szCs w:val="24"/>
        </w:rPr>
        <w:t>Kaf</w:t>
      </w:r>
      <w:proofErr w:type="spellEnd"/>
      <w:r w:rsidRPr="00F62DBE">
        <w:rPr>
          <w:rFonts w:ascii="Calibri" w:eastAsia="Calibri" w:hAnsi="Calibri" w:cs="Calibri"/>
          <w:i/>
          <w:iCs/>
          <w:sz w:val="24"/>
          <w:szCs w:val="24"/>
        </w:rPr>
        <w:t xml:space="preserve"> </w:t>
      </w:r>
      <w:proofErr w:type="spellStart"/>
      <w:r w:rsidRPr="00F62DBE">
        <w:rPr>
          <w:rFonts w:ascii="Calibri" w:eastAsia="Calibri" w:hAnsi="Calibri" w:cs="Calibri"/>
          <w:i/>
          <w:iCs/>
          <w:sz w:val="24"/>
          <w:szCs w:val="24"/>
        </w:rPr>
        <w:t>Naki</w:t>
      </w:r>
      <w:proofErr w:type="spellEnd"/>
      <w:r w:rsidRPr="00F62DBE">
        <w:rPr>
          <w:rFonts w:ascii="Calibri" w:eastAsia="Calibri" w:hAnsi="Calibri" w:cs="Calibri"/>
          <w:i/>
          <w:iCs/>
          <w:sz w:val="24"/>
          <w:szCs w:val="24"/>
        </w:rPr>
        <w:t xml:space="preserve">. </w:t>
      </w:r>
      <w:r w:rsidRPr="00F62DBE">
        <w:rPr>
          <w:rFonts w:ascii="Calibri" w:eastAsia="Calibri" w:hAnsi="Calibri" w:cs="Calibri"/>
          <w:sz w:val="24"/>
          <w:szCs w:val="24"/>
        </w:rPr>
        <w:t>He lived to a ripe old age, passing away in Agadir in the second half of the eighteenth century</w:t>
      </w:r>
      <w:commentRangeStart w:id="2"/>
      <w:r w:rsidRPr="00F62DBE">
        <w:rPr>
          <w:rFonts w:ascii="Calibri" w:eastAsia="Calibri" w:hAnsi="Calibri" w:cs="Calibri"/>
          <w:sz w:val="24"/>
          <w:szCs w:val="24"/>
        </w:rPr>
        <w:t>.</w:t>
      </w:r>
      <w:r w:rsidRPr="00F62DBE">
        <w:rPr>
          <w:rFonts w:ascii="Calibri" w:eastAsia="Calibri" w:hAnsi="Calibri" w:cs="Calibri"/>
          <w:sz w:val="24"/>
          <w:szCs w:val="24"/>
          <w:vertAlign w:val="superscript"/>
        </w:rPr>
        <w:footnoteReference w:id="1"/>
      </w:r>
      <w:commentRangeEnd w:id="2"/>
      <w:r w:rsidRPr="00F62DBE">
        <w:rPr>
          <w:rFonts w:ascii="Calibri" w:eastAsia="Calibri" w:hAnsi="Calibri" w:cs="Calibri"/>
          <w:sz w:val="16"/>
          <w:szCs w:val="16"/>
        </w:rPr>
        <w:commentReference w:id="2"/>
      </w:r>
      <w:r w:rsidRPr="00F62DBE">
        <w:rPr>
          <w:rFonts w:ascii="Calibri" w:eastAsia="Calibri" w:hAnsi="Calibri" w:cs="Calibri"/>
          <w:sz w:val="24"/>
          <w:szCs w:val="24"/>
        </w:rPr>
        <w:t xml:space="preserve"> </w:t>
      </w:r>
    </w:p>
    <w:p w14:paraId="295F2743" w14:textId="77777777" w:rsidR="00F62DBE" w:rsidRPr="00F62DBE" w:rsidRDefault="00F62DBE" w:rsidP="00F62DBE">
      <w:pPr>
        <w:spacing w:after="0" w:line="360" w:lineRule="auto"/>
        <w:contextualSpacing/>
        <w:jc w:val="both"/>
        <w:rPr>
          <w:rFonts w:ascii="Calibri" w:eastAsia="Calibri" w:hAnsi="Calibri" w:cs="Calibri"/>
          <w:sz w:val="24"/>
          <w:szCs w:val="24"/>
        </w:rPr>
      </w:pPr>
      <w:proofErr w:type="spellStart"/>
      <w:r w:rsidRPr="00F62DBE">
        <w:rPr>
          <w:rFonts w:ascii="Calibri" w:eastAsia="Calibri" w:hAnsi="Calibri" w:cs="Calibri"/>
          <w:sz w:val="24"/>
          <w:szCs w:val="24"/>
        </w:rPr>
        <w:t>Kaf</w:t>
      </w:r>
      <w:proofErr w:type="spellEnd"/>
      <w:r w:rsidRPr="00F62DBE">
        <w:rPr>
          <w:rFonts w:ascii="Calibri" w:eastAsia="Calibri" w:hAnsi="Calibri" w:cs="Calibri"/>
          <w:sz w:val="24"/>
          <w:szCs w:val="24"/>
        </w:rPr>
        <w:t xml:space="preserve"> </w:t>
      </w:r>
      <w:proofErr w:type="spellStart"/>
      <w:r w:rsidRPr="00F62DBE">
        <w:rPr>
          <w:rFonts w:ascii="Calibri" w:eastAsia="Calibri" w:hAnsi="Calibri" w:cs="Calibri"/>
          <w:sz w:val="24"/>
          <w:szCs w:val="24"/>
        </w:rPr>
        <w:t>Naki</w:t>
      </w:r>
      <w:proofErr w:type="spellEnd"/>
      <w:r w:rsidRPr="00F62DBE">
        <w:rPr>
          <w:rFonts w:ascii="Calibri" w:eastAsia="Calibri" w:hAnsi="Calibri" w:cs="Calibri"/>
          <w:sz w:val="24"/>
          <w:szCs w:val="24"/>
        </w:rPr>
        <w:t xml:space="preserve"> is composed of five parts: 1. </w:t>
      </w:r>
      <w:proofErr w:type="spellStart"/>
      <w:r w:rsidRPr="00F62DBE">
        <w:rPr>
          <w:rFonts w:ascii="Calibri" w:eastAsia="Calibri" w:hAnsi="Calibri" w:cs="Calibri"/>
          <w:i/>
          <w:iCs/>
          <w:sz w:val="24"/>
          <w:szCs w:val="24"/>
        </w:rPr>
        <w:t>Kaf</w:t>
      </w:r>
      <w:proofErr w:type="spellEnd"/>
      <w:r w:rsidRPr="00F62DBE">
        <w:rPr>
          <w:rFonts w:ascii="Calibri" w:eastAsia="Calibri" w:hAnsi="Calibri" w:cs="Calibri"/>
          <w:i/>
          <w:iCs/>
          <w:sz w:val="24"/>
          <w:szCs w:val="24"/>
        </w:rPr>
        <w:t xml:space="preserve"> </w:t>
      </w:r>
      <w:proofErr w:type="spellStart"/>
      <w:r w:rsidRPr="00F62DBE">
        <w:rPr>
          <w:rFonts w:ascii="Calibri" w:eastAsia="Calibri" w:hAnsi="Calibri" w:cs="Calibri"/>
          <w:i/>
          <w:iCs/>
          <w:sz w:val="24"/>
          <w:szCs w:val="24"/>
        </w:rPr>
        <w:t>Naki</w:t>
      </w:r>
      <w:proofErr w:type="spellEnd"/>
      <w:r w:rsidRPr="00F62DBE">
        <w:rPr>
          <w:rFonts w:ascii="Calibri" w:eastAsia="Calibri" w:hAnsi="Calibri" w:cs="Calibri"/>
          <w:sz w:val="24"/>
          <w:szCs w:val="24"/>
        </w:rPr>
        <w:t xml:space="preserve"> – a commentary on the Sephardi </w:t>
      </w:r>
      <w:proofErr w:type="spellStart"/>
      <w:r w:rsidRPr="00F62DBE">
        <w:rPr>
          <w:rFonts w:ascii="Calibri" w:eastAsia="Calibri" w:hAnsi="Calibri" w:cs="Calibri"/>
          <w:sz w:val="24"/>
          <w:szCs w:val="24"/>
        </w:rPr>
        <w:t>Mahzor</w:t>
      </w:r>
      <w:proofErr w:type="spellEnd"/>
      <w:r w:rsidRPr="00F62DBE">
        <w:rPr>
          <w:rFonts w:ascii="Calibri" w:eastAsia="Calibri" w:hAnsi="Calibri" w:cs="Calibri"/>
          <w:sz w:val="24"/>
          <w:szCs w:val="24"/>
        </w:rPr>
        <w:t xml:space="preserve"> (a prayer book containing the cycle of Jewish liturgy), published in Amsterdam 1728 (</w:t>
      </w:r>
      <w:commentRangeStart w:id="3"/>
      <w:r w:rsidRPr="00F62DBE">
        <w:rPr>
          <w:rFonts w:ascii="Calibri" w:eastAsia="Calibri" w:hAnsi="Calibri" w:cs="Calibri"/>
          <w:sz w:val="24"/>
          <w:szCs w:val="24"/>
        </w:rPr>
        <w:t>5588</w:t>
      </w:r>
      <w:commentRangeEnd w:id="3"/>
      <w:r w:rsidRPr="00F62DBE">
        <w:rPr>
          <w:rFonts w:ascii="Calibri" w:eastAsia="Calibri" w:hAnsi="Calibri" w:cs="Calibri"/>
          <w:sz w:val="16"/>
          <w:szCs w:val="16"/>
        </w:rPr>
        <w:commentReference w:id="3"/>
      </w:r>
      <w:r w:rsidRPr="00F62DBE">
        <w:rPr>
          <w:rFonts w:ascii="Calibri" w:eastAsia="Calibri" w:hAnsi="Calibri" w:cs="Calibri"/>
          <w:sz w:val="24"/>
          <w:szCs w:val="24"/>
        </w:rPr>
        <w:t>). Ben-</w:t>
      </w:r>
      <w:proofErr w:type="spellStart"/>
      <w:r w:rsidRPr="00F62DBE">
        <w:rPr>
          <w:rFonts w:ascii="Calibri" w:eastAsia="Calibri" w:hAnsi="Calibri" w:cs="Calibri"/>
          <w:sz w:val="24"/>
          <w:szCs w:val="24"/>
        </w:rPr>
        <w:t>Malka</w:t>
      </w:r>
      <w:proofErr w:type="spellEnd"/>
      <w:r w:rsidRPr="00F62DBE">
        <w:rPr>
          <w:rFonts w:ascii="Calibri" w:eastAsia="Calibri" w:hAnsi="Calibri" w:cs="Calibri"/>
          <w:sz w:val="24"/>
          <w:szCs w:val="24"/>
        </w:rPr>
        <w:t xml:space="preserve"> commented on the liturgical prayers for weekdays, the Sabbath, the New Moon, </w:t>
      </w:r>
      <w:proofErr w:type="spellStart"/>
      <w:r w:rsidRPr="00F62DBE">
        <w:rPr>
          <w:rFonts w:ascii="Calibri" w:eastAsia="Calibri" w:hAnsi="Calibri" w:cs="Calibri"/>
          <w:sz w:val="24"/>
          <w:szCs w:val="24"/>
        </w:rPr>
        <w:t>Hannukah</w:t>
      </w:r>
      <w:proofErr w:type="spellEnd"/>
      <w:r w:rsidRPr="00F62DBE">
        <w:rPr>
          <w:rFonts w:ascii="Calibri" w:eastAsia="Calibri" w:hAnsi="Calibri" w:cs="Calibri"/>
          <w:sz w:val="24"/>
          <w:szCs w:val="24"/>
        </w:rPr>
        <w:t xml:space="preserve">, Purim, the Pilgrimage Festivals, the four fasts, and the High Holidays. 2. </w:t>
      </w:r>
      <w:proofErr w:type="spellStart"/>
      <w:r w:rsidRPr="00F62DBE">
        <w:rPr>
          <w:rFonts w:ascii="Calibri" w:eastAsia="Calibri" w:hAnsi="Calibri" w:cs="Calibri"/>
          <w:i/>
          <w:iCs/>
          <w:sz w:val="24"/>
          <w:szCs w:val="24"/>
        </w:rPr>
        <w:t>Parpra’ot</w:t>
      </w:r>
      <w:proofErr w:type="spellEnd"/>
      <w:r w:rsidRPr="00F62DBE">
        <w:rPr>
          <w:rFonts w:ascii="Calibri" w:eastAsia="Calibri" w:hAnsi="Calibri" w:cs="Calibri"/>
          <w:i/>
          <w:iCs/>
          <w:sz w:val="24"/>
          <w:szCs w:val="24"/>
        </w:rPr>
        <w:t xml:space="preserve"> le-</w:t>
      </w:r>
      <w:proofErr w:type="spellStart"/>
      <w:r w:rsidRPr="00F62DBE">
        <w:rPr>
          <w:rFonts w:ascii="Calibri" w:eastAsia="Calibri" w:hAnsi="Calibri" w:cs="Calibri"/>
          <w:i/>
          <w:iCs/>
          <w:sz w:val="24"/>
          <w:szCs w:val="24"/>
        </w:rPr>
        <w:t>Hokhmah</w:t>
      </w:r>
      <w:proofErr w:type="spellEnd"/>
      <w:r w:rsidRPr="00F62DBE">
        <w:rPr>
          <w:rFonts w:ascii="Calibri" w:eastAsia="Calibri" w:hAnsi="Calibri" w:cs="Calibri" w:hint="cs"/>
          <w:sz w:val="24"/>
          <w:szCs w:val="24"/>
          <w:rtl/>
        </w:rPr>
        <w:t xml:space="preserve"> </w:t>
      </w:r>
      <w:r w:rsidRPr="00F62DBE">
        <w:rPr>
          <w:rFonts w:ascii="Calibri" w:eastAsia="Calibri" w:hAnsi="Calibri" w:cs="Calibri"/>
          <w:sz w:val="24"/>
          <w:szCs w:val="24"/>
        </w:rPr>
        <w:t xml:space="preserve">[The Desserts of Wisdom] – on matters of Jewish law, ethics, history, and more. 3. </w:t>
      </w:r>
      <w:proofErr w:type="spellStart"/>
      <w:r w:rsidRPr="00F62DBE">
        <w:rPr>
          <w:rFonts w:ascii="Calibri" w:eastAsia="Calibri" w:hAnsi="Calibri" w:cs="Calibri"/>
          <w:i/>
          <w:iCs/>
          <w:sz w:val="24"/>
          <w:szCs w:val="24"/>
        </w:rPr>
        <w:t>Shekhihah</w:t>
      </w:r>
      <w:proofErr w:type="spellEnd"/>
      <w:r w:rsidRPr="00F62DBE">
        <w:rPr>
          <w:rFonts w:ascii="Calibri" w:eastAsia="Calibri" w:hAnsi="Calibri" w:cs="Calibri"/>
          <w:i/>
          <w:iCs/>
          <w:sz w:val="24"/>
          <w:szCs w:val="24"/>
        </w:rPr>
        <w:t xml:space="preserve"> </w:t>
      </w:r>
      <w:proofErr w:type="spellStart"/>
      <w:r w:rsidRPr="00F62DBE">
        <w:rPr>
          <w:rFonts w:ascii="Calibri" w:eastAsia="Calibri" w:hAnsi="Calibri" w:cs="Calibri"/>
          <w:sz w:val="24"/>
          <w:szCs w:val="24"/>
        </w:rPr>
        <w:t>ve-</w:t>
      </w:r>
      <w:r w:rsidRPr="00F62DBE">
        <w:rPr>
          <w:rFonts w:ascii="Calibri" w:eastAsia="Calibri" w:hAnsi="Calibri" w:cs="Calibri"/>
          <w:i/>
          <w:iCs/>
          <w:sz w:val="24"/>
          <w:szCs w:val="24"/>
        </w:rPr>
        <w:t>Leket</w:t>
      </w:r>
      <w:proofErr w:type="spellEnd"/>
      <w:r w:rsidRPr="00F62DBE">
        <w:rPr>
          <w:rFonts w:ascii="Calibri" w:eastAsia="Calibri" w:hAnsi="Calibri" w:cs="Calibri"/>
          <w:sz w:val="24"/>
          <w:szCs w:val="24"/>
        </w:rPr>
        <w:t xml:space="preserve"> [Forgotten Fruits and Gleanings] – omissions from the two prior parts. 4. </w:t>
      </w:r>
      <w:proofErr w:type="spellStart"/>
      <w:r w:rsidRPr="00F62DBE">
        <w:rPr>
          <w:rFonts w:ascii="Calibri" w:eastAsia="Calibri" w:hAnsi="Calibri" w:cs="Calibri"/>
          <w:i/>
          <w:iCs/>
          <w:sz w:val="24"/>
          <w:szCs w:val="24"/>
        </w:rPr>
        <w:t>Maskil</w:t>
      </w:r>
      <w:proofErr w:type="spellEnd"/>
      <w:r w:rsidRPr="00F62DBE">
        <w:rPr>
          <w:rFonts w:ascii="Calibri" w:eastAsia="Calibri" w:hAnsi="Calibri" w:cs="Calibri"/>
          <w:i/>
          <w:iCs/>
          <w:sz w:val="24"/>
          <w:szCs w:val="24"/>
        </w:rPr>
        <w:t xml:space="preserve"> le-</w:t>
      </w:r>
      <w:proofErr w:type="spellStart"/>
      <w:r w:rsidRPr="00F62DBE">
        <w:rPr>
          <w:rFonts w:ascii="Calibri" w:eastAsia="Calibri" w:hAnsi="Calibri" w:cs="Calibri"/>
          <w:i/>
          <w:iCs/>
          <w:sz w:val="24"/>
          <w:szCs w:val="24"/>
        </w:rPr>
        <w:t>Asaf</w:t>
      </w:r>
      <w:proofErr w:type="spellEnd"/>
      <w:r w:rsidRPr="00F62DBE">
        <w:rPr>
          <w:rFonts w:ascii="Calibri" w:eastAsia="Calibri" w:hAnsi="Calibri" w:cs="Calibri" w:hint="cs"/>
          <w:i/>
          <w:iCs/>
          <w:sz w:val="24"/>
          <w:szCs w:val="24"/>
          <w:rtl/>
        </w:rPr>
        <w:t xml:space="preserve"> </w:t>
      </w:r>
      <w:r w:rsidRPr="00F62DBE">
        <w:rPr>
          <w:rFonts w:ascii="Calibri" w:eastAsia="Calibri" w:hAnsi="Calibri" w:cs="Calibri"/>
          <w:sz w:val="24"/>
          <w:szCs w:val="24"/>
        </w:rPr>
        <w:t>[</w:t>
      </w:r>
      <w:r w:rsidRPr="00F62DBE">
        <w:rPr>
          <w:rFonts w:ascii="Calibri" w:eastAsia="Calibri" w:hAnsi="Calibri" w:cs="Calibri" w:hint="cs"/>
          <w:sz w:val="24"/>
          <w:szCs w:val="24"/>
        </w:rPr>
        <w:t>A</w:t>
      </w:r>
      <w:r w:rsidRPr="00F62DBE">
        <w:rPr>
          <w:rFonts w:ascii="Calibri" w:eastAsia="Calibri" w:hAnsi="Calibri" w:cs="Calibri"/>
          <w:sz w:val="24"/>
          <w:szCs w:val="24"/>
        </w:rPr>
        <w:t xml:space="preserve"> </w:t>
      </w:r>
      <w:proofErr w:type="spellStart"/>
      <w:r w:rsidRPr="00F62DBE">
        <w:rPr>
          <w:rFonts w:ascii="Calibri" w:eastAsia="Calibri" w:hAnsi="Calibri" w:cs="Calibri"/>
          <w:i/>
          <w:iCs/>
          <w:sz w:val="24"/>
          <w:szCs w:val="24"/>
        </w:rPr>
        <w:t>Maskil</w:t>
      </w:r>
      <w:proofErr w:type="spellEnd"/>
      <w:r w:rsidRPr="00F62DBE">
        <w:rPr>
          <w:rFonts w:ascii="Calibri" w:eastAsia="Calibri" w:hAnsi="Calibri" w:cs="Calibri"/>
          <w:sz w:val="24"/>
          <w:szCs w:val="24"/>
        </w:rPr>
        <w:t xml:space="preserve"> of </w:t>
      </w:r>
      <w:proofErr w:type="spellStart"/>
      <w:r w:rsidRPr="00F62DBE">
        <w:rPr>
          <w:rFonts w:ascii="Calibri" w:eastAsia="Calibri" w:hAnsi="Calibri" w:cs="Calibri"/>
          <w:sz w:val="24"/>
          <w:szCs w:val="24"/>
        </w:rPr>
        <w:t>Asaf</w:t>
      </w:r>
      <w:proofErr w:type="spellEnd"/>
      <w:r w:rsidRPr="00F62DBE">
        <w:rPr>
          <w:rFonts w:ascii="Calibri" w:eastAsia="Calibri" w:hAnsi="Calibri" w:cs="Calibri"/>
          <w:sz w:val="24"/>
          <w:szCs w:val="24"/>
        </w:rPr>
        <w:t>] –</w:t>
      </w:r>
      <w:r w:rsidRPr="00F62DBE">
        <w:rPr>
          <w:rFonts w:ascii="Calibri" w:eastAsia="Calibri" w:hAnsi="Calibri" w:cs="Calibri"/>
          <w:i/>
          <w:iCs/>
          <w:sz w:val="24"/>
          <w:szCs w:val="24"/>
        </w:rPr>
        <w:t xml:space="preserve"> </w:t>
      </w:r>
      <w:proofErr w:type="spellStart"/>
      <w:r w:rsidRPr="00F62DBE">
        <w:rPr>
          <w:rFonts w:ascii="Calibri" w:eastAsia="Calibri" w:hAnsi="Calibri" w:cs="Calibri"/>
          <w:sz w:val="24"/>
          <w:szCs w:val="24"/>
        </w:rPr>
        <w:t>novellae</w:t>
      </w:r>
      <w:proofErr w:type="spellEnd"/>
      <w:r w:rsidRPr="00F62DBE">
        <w:rPr>
          <w:rFonts w:ascii="Calibri" w:eastAsia="Calibri" w:hAnsi="Calibri" w:cs="Calibri"/>
          <w:sz w:val="24"/>
          <w:szCs w:val="24"/>
        </w:rPr>
        <w:t xml:space="preserve"> on the words of Our Sages, of blessed memory 5. </w:t>
      </w:r>
      <w:proofErr w:type="spellStart"/>
      <w:r w:rsidRPr="00F62DBE">
        <w:rPr>
          <w:rFonts w:ascii="Calibri" w:eastAsia="Calibri" w:hAnsi="Calibri" w:cs="Calibri"/>
          <w:i/>
          <w:iCs/>
          <w:sz w:val="24"/>
          <w:szCs w:val="24"/>
        </w:rPr>
        <w:t>Meshovah</w:t>
      </w:r>
      <w:proofErr w:type="spellEnd"/>
      <w:r w:rsidRPr="00F62DBE">
        <w:rPr>
          <w:rFonts w:ascii="Calibri" w:eastAsia="Calibri" w:hAnsi="Calibri" w:cs="Calibri"/>
          <w:i/>
          <w:iCs/>
          <w:sz w:val="24"/>
          <w:szCs w:val="24"/>
        </w:rPr>
        <w:t xml:space="preserve"> Nitzahat</w:t>
      </w:r>
      <w:r w:rsidRPr="00F62DBE">
        <w:rPr>
          <w:rFonts w:ascii="Calibri" w:eastAsia="Calibri" w:hAnsi="Calibri" w:cs="Calibri"/>
          <w:sz w:val="24"/>
          <w:szCs w:val="24"/>
        </w:rPr>
        <w:t xml:space="preserve"> – this part is comprised of 14 sections, 13 of them relate to the Jewish-Christian polemic and one relates to Islamic arguments.</w:t>
      </w:r>
      <w:r w:rsidRPr="00F62DBE">
        <w:rPr>
          <w:rFonts w:ascii="Calibri" w:eastAsia="Calibri" w:hAnsi="Calibri" w:cs="Calibri"/>
          <w:sz w:val="24"/>
          <w:szCs w:val="24"/>
          <w:vertAlign w:val="superscript"/>
        </w:rPr>
        <w:footnoteReference w:id="2"/>
      </w:r>
    </w:p>
    <w:p w14:paraId="4271F687" w14:textId="77777777" w:rsidR="00F62DBE" w:rsidRPr="00F62DBE" w:rsidRDefault="00F62DBE" w:rsidP="00F62DBE">
      <w:pPr>
        <w:spacing w:after="0" w:line="360" w:lineRule="auto"/>
        <w:contextualSpacing/>
        <w:jc w:val="both"/>
        <w:rPr>
          <w:rFonts w:ascii="Calibri" w:eastAsia="Calibri" w:hAnsi="Calibri" w:cs="Calibri"/>
          <w:sz w:val="24"/>
          <w:szCs w:val="24"/>
        </w:rPr>
      </w:pPr>
      <w:proofErr w:type="spellStart"/>
      <w:r w:rsidRPr="00F62DBE">
        <w:rPr>
          <w:rFonts w:ascii="Calibri" w:eastAsia="Calibri" w:hAnsi="Calibri" w:cs="Calibri"/>
          <w:sz w:val="24"/>
          <w:szCs w:val="24"/>
        </w:rPr>
        <w:lastRenderedPageBreak/>
        <w:t>Kaf</w:t>
      </w:r>
      <w:proofErr w:type="spellEnd"/>
      <w:r w:rsidRPr="00F62DBE">
        <w:rPr>
          <w:rFonts w:ascii="Calibri" w:eastAsia="Calibri" w:hAnsi="Calibri" w:cs="Calibri"/>
          <w:sz w:val="24"/>
          <w:szCs w:val="24"/>
        </w:rPr>
        <w:t xml:space="preserve"> </w:t>
      </w:r>
      <w:proofErr w:type="spellStart"/>
      <w:r w:rsidRPr="00F62DBE">
        <w:rPr>
          <w:rFonts w:ascii="Calibri" w:eastAsia="Calibri" w:hAnsi="Calibri" w:cs="Calibri"/>
          <w:sz w:val="24"/>
          <w:szCs w:val="24"/>
        </w:rPr>
        <w:t>Naki</w:t>
      </w:r>
      <w:proofErr w:type="spellEnd"/>
      <w:r w:rsidRPr="00F62DBE">
        <w:rPr>
          <w:rFonts w:ascii="Calibri" w:eastAsia="Calibri" w:hAnsi="Calibri" w:cs="Calibri"/>
          <w:sz w:val="24"/>
          <w:szCs w:val="24"/>
        </w:rPr>
        <w:t xml:space="preserve"> survived in two manuscripts: A. MS 1006 in the National Library of Israel in Jerusalem, which only contains a small part of the entire composition. B. MS </w:t>
      </w:r>
      <w:proofErr w:type="spellStart"/>
      <w:r w:rsidRPr="00F62DBE">
        <w:rPr>
          <w:rFonts w:ascii="Calibri" w:eastAsia="Calibri" w:hAnsi="Calibri" w:cs="Calibri"/>
          <w:sz w:val="24"/>
          <w:szCs w:val="24"/>
        </w:rPr>
        <w:t>Gunzburg</w:t>
      </w:r>
      <w:proofErr w:type="spellEnd"/>
      <w:r w:rsidRPr="00F62DBE">
        <w:rPr>
          <w:rFonts w:ascii="Calibri" w:eastAsia="Calibri" w:hAnsi="Calibri" w:cs="Calibri"/>
          <w:sz w:val="24"/>
          <w:szCs w:val="24"/>
        </w:rPr>
        <w:t xml:space="preserve"> 315 in the Russian State Library in Moscow which is complete. Moshe </w:t>
      </w:r>
      <w:proofErr w:type="spellStart"/>
      <w:r w:rsidRPr="00F62DBE">
        <w:rPr>
          <w:rFonts w:ascii="Calibri" w:eastAsia="Calibri" w:hAnsi="Calibri" w:cs="Calibri"/>
          <w:sz w:val="24"/>
          <w:szCs w:val="24"/>
        </w:rPr>
        <w:t>Halamish</w:t>
      </w:r>
      <w:proofErr w:type="spellEnd"/>
      <w:r w:rsidRPr="00F62DBE">
        <w:rPr>
          <w:rFonts w:ascii="Calibri" w:eastAsia="Calibri" w:hAnsi="Calibri" w:cs="Calibri"/>
          <w:sz w:val="24"/>
          <w:szCs w:val="24"/>
        </w:rPr>
        <w:t xml:space="preserve"> and Moshe Amar edited the first part of the composition and published it (</w:t>
      </w:r>
      <w:proofErr w:type="spellStart"/>
      <w:r w:rsidRPr="00F62DBE">
        <w:rPr>
          <w:rFonts w:ascii="Calibri" w:eastAsia="Calibri" w:hAnsi="Calibri" w:cs="Calibri"/>
          <w:sz w:val="24"/>
          <w:szCs w:val="24"/>
        </w:rPr>
        <w:t>Lod</w:t>
      </w:r>
      <w:proofErr w:type="spellEnd"/>
      <w:r w:rsidRPr="00F62DBE">
        <w:rPr>
          <w:rFonts w:ascii="Calibri" w:eastAsia="Calibri" w:hAnsi="Calibri" w:cs="Calibri"/>
          <w:sz w:val="24"/>
          <w:szCs w:val="24"/>
        </w:rPr>
        <w:t>, 5772), and the complete edition, containing all five parts, was published by Amar about eight years ago (</w:t>
      </w:r>
      <w:proofErr w:type="spellStart"/>
      <w:r w:rsidRPr="00F62DBE">
        <w:rPr>
          <w:rFonts w:ascii="Calibri" w:eastAsia="Calibri" w:hAnsi="Calibri" w:cs="Calibri"/>
          <w:sz w:val="24"/>
          <w:szCs w:val="24"/>
        </w:rPr>
        <w:t>Lod</w:t>
      </w:r>
      <w:proofErr w:type="spellEnd"/>
      <w:r w:rsidRPr="00F62DBE">
        <w:rPr>
          <w:rFonts w:ascii="Calibri" w:eastAsia="Calibri" w:hAnsi="Calibri" w:cs="Calibri"/>
          <w:sz w:val="24"/>
          <w:szCs w:val="24"/>
        </w:rPr>
        <w:t xml:space="preserve">, </w:t>
      </w:r>
      <w:commentRangeStart w:id="4"/>
      <w:r w:rsidRPr="00F62DBE">
        <w:rPr>
          <w:rFonts w:ascii="Calibri" w:eastAsia="Calibri" w:hAnsi="Calibri" w:cs="Calibri"/>
          <w:sz w:val="24"/>
          <w:szCs w:val="24"/>
        </w:rPr>
        <w:t>5774</w:t>
      </w:r>
      <w:commentRangeEnd w:id="4"/>
      <w:r w:rsidRPr="00F62DBE">
        <w:rPr>
          <w:rFonts w:ascii="Calibri" w:eastAsia="Calibri" w:hAnsi="Calibri" w:cs="Calibri"/>
          <w:sz w:val="16"/>
          <w:szCs w:val="16"/>
        </w:rPr>
        <w:commentReference w:id="4"/>
      </w:r>
      <w:r w:rsidRPr="00F62DBE">
        <w:rPr>
          <w:rFonts w:ascii="Calibri" w:eastAsia="Calibri" w:hAnsi="Calibri" w:cs="Calibri"/>
          <w:sz w:val="24"/>
          <w:szCs w:val="24"/>
        </w:rPr>
        <w:t>) along with a comprehensive introduction.</w:t>
      </w:r>
    </w:p>
    <w:p w14:paraId="290B73EF" w14:textId="77777777" w:rsidR="00F62DBE" w:rsidRPr="00F62DBE" w:rsidRDefault="00F62DBE" w:rsidP="00F62DBE">
      <w:pPr>
        <w:spacing w:after="0" w:line="360" w:lineRule="auto"/>
        <w:contextualSpacing/>
        <w:jc w:val="both"/>
        <w:rPr>
          <w:rFonts w:ascii="Calibri" w:eastAsia="Calibri" w:hAnsi="Calibri" w:cs="Calibri"/>
          <w:sz w:val="24"/>
          <w:szCs w:val="24"/>
        </w:rPr>
      </w:pPr>
    </w:p>
    <w:p w14:paraId="376B57F7" w14:textId="77777777" w:rsidR="001B3000" w:rsidRDefault="00F62DBE" w:rsidP="00F62DBE">
      <w:pPr>
        <w:spacing w:line="360" w:lineRule="auto"/>
      </w:pPr>
      <w:r w:rsidRPr="00F62DBE">
        <w:rPr>
          <w:rFonts w:ascii="Calibri" w:eastAsia="Calibri" w:hAnsi="Calibri" w:cs="Calibri"/>
          <w:sz w:val="24"/>
          <w:szCs w:val="24"/>
        </w:rPr>
        <w:t>A few studies have been dedicated to Ben-</w:t>
      </w:r>
      <w:proofErr w:type="spellStart"/>
      <w:r w:rsidRPr="00F62DBE">
        <w:rPr>
          <w:rFonts w:ascii="Calibri" w:eastAsia="Calibri" w:hAnsi="Calibri" w:cs="Calibri"/>
          <w:sz w:val="24"/>
          <w:szCs w:val="24"/>
        </w:rPr>
        <w:t>Malka</w:t>
      </w:r>
      <w:proofErr w:type="spellEnd"/>
      <w:r w:rsidRPr="00F62DBE">
        <w:rPr>
          <w:rFonts w:ascii="Calibri" w:eastAsia="Calibri" w:hAnsi="Calibri" w:cs="Calibri"/>
          <w:sz w:val="24"/>
          <w:szCs w:val="24"/>
        </w:rPr>
        <w:t xml:space="preserve"> and his works. Bloch has researched his serially nomadic life.</w:t>
      </w:r>
      <w:r w:rsidRPr="00F62DBE">
        <w:rPr>
          <w:rFonts w:ascii="Calibri" w:eastAsia="Calibri" w:hAnsi="Calibri" w:cs="Calibri"/>
          <w:sz w:val="24"/>
          <w:szCs w:val="24"/>
          <w:vertAlign w:val="superscript"/>
        </w:rPr>
        <w:footnoteReference w:id="3"/>
      </w:r>
      <w:r w:rsidRPr="00F62DBE">
        <w:rPr>
          <w:rFonts w:ascii="Calibri" w:eastAsia="Calibri" w:hAnsi="Calibri" w:cs="Calibri"/>
          <w:sz w:val="24"/>
          <w:szCs w:val="24"/>
        </w:rPr>
        <w:t xml:space="preserve"> </w:t>
      </w:r>
      <w:proofErr w:type="spellStart"/>
      <w:r w:rsidRPr="00F62DBE">
        <w:rPr>
          <w:rFonts w:ascii="Calibri" w:eastAsia="Calibri" w:hAnsi="Calibri" w:cs="Calibri"/>
          <w:sz w:val="24"/>
          <w:szCs w:val="24"/>
        </w:rPr>
        <w:t>Zafranu</w:t>
      </w:r>
      <w:proofErr w:type="spellEnd"/>
      <w:r w:rsidRPr="00F62DBE">
        <w:rPr>
          <w:rFonts w:ascii="Calibri" w:eastAsia="Calibri" w:hAnsi="Calibri" w:cs="Calibri"/>
          <w:sz w:val="24"/>
          <w:szCs w:val="24"/>
        </w:rPr>
        <w:t xml:space="preserve"> and Ben-Ami addressed the diverse stories told about him</w:t>
      </w:r>
      <w:commentRangeStart w:id="5"/>
      <w:r w:rsidRPr="00F62DBE">
        <w:rPr>
          <w:rFonts w:ascii="Calibri" w:eastAsia="Calibri" w:hAnsi="Calibri" w:cs="Calibri"/>
          <w:sz w:val="24"/>
          <w:szCs w:val="24"/>
        </w:rPr>
        <w:t>.</w:t>
      </w:r>
      <w:r w:rsidRPr="00F62DBE">
        <w:rPr>
          <w:rFonts w:ascii="Calibri" w:eastAsia="Calibri" w:hAnsi="Calibri" w:cs="Calibri"/>
          <w:sz w:val="24"/>
          <w:szCs w:val="24"/>
          <w:vertAlign w:val="superscript"/>
        </w:rPr>
        <w:footnoteReference w:id="4"/>
      </w:r>
      <w:commentRangeEnd w:id="5"/>
      <w:r w:rsidRPr="00F62DBE">
        <w:rPr>
          <w:rFonts w:ascii="Calibri" w:eastAsia="Calibri" w:hAnsi="Calibri" w:cs="Calibri"/>
          <w:sz w:val="16"/>
          <w:szCs w:val="16"/>
          <w:rtl/>
        </w:rPr>
        <w:commentReference w:id="5"/>
      </w:r>
      <w:r w:rsidRPr="00F62DBE">
        <w:rPr>
          <w:rFonts w:ascii="Calibri" w:eastAsia="Calibri" w:hAnsi="Calibri" w:cs="Calibri"/>
          <w:sz w:val="24"/>
          <w:szCs w:val="24"/>
        </w:rPr>
        <w:t xml:space="preserve"> </w:t>
      </w:r>
      <w:proofErr w:type="spellStart"/>
      <w:r w:rsidRPr="00F62DBE">
        <w:rPr>
          <w:rFonts w:ascii="Calibri" w:eastAsia="Calibri" w:hAnsi="Calibri" w:cs="Calibri"/>
          <w:sz w:val="24"/>
          <w:szCs w:val="24"/>
        </w:rPr>
        <w:t>Zafranu</w:t>
      </w:r>
      <w:proofErr w:type="spellEnd"/>
      <w:r w:rsidRPr="00F62DBE">
        <w:rPr>
          <w:rFonts w:ascii="Calibri" w:eastAsia="Calibri" w:hAnsi="Calibri" w:cs="Calibri"/>
          <w:sz w:val="24"/>
          <w:szCs w:val="24"/>
        </w:rPr>
        <w:t xml:space="preserve"> and, especially, </w:t>
      </w:r>
      <w:proofErr w:type="spellStart"/>
      <w:r w:rsidRPr="00F62DBE">
        <w:rPr>
          <w:rFonts w:ascii="Calibri" w:eastAsia="Calibri" w:hAnsi="Calibri" w:cs="Calibri"/>
          <w:sz w:val="24"/>
          <w:szCs w:val="24"/>
        </w:rPr>
        <w:t>Elkayam</w:t>
      </w:r>
      <w:proofErr w:type="spellEnd"/>
      <w:r w:rsidRPr="00F62DBE">
        <w:rPr>
          <w:rFonts w:ascii="Calibri" w:eastAsia="Calibri" w:hAnsi="Calibri" w:cs="Calibri"/>
          <w:sz w:val="24"/>
          <w:szCs w:val="24"/>
        </w:rPr>
        <w:t xml:space="preserve"> worked on his poetry.</w:t>
      </w:r>
      <w:r w:rsidRPr="00F62DBE">
        <w:rPr>
          <w:rFonts w:ascii="Calibri" w:eastAsia="Calibri" w:hAnsi="Calibri" w:cs="Calibri"/>
          <w:sz w:val="24"/>
          <w:szCs w:val="24"/>
          <w:vertAlign w:val="superscript"/>
        </w:rPr>
        <w:footnoteReference w:id="5"/>
      </w:r>
      <w:r w:rsidRPr="00F62DBE">
        <w:rPr>
          <w:rFonts w:ascii="Calibri" w:eastAsia="Calibri" w:hAnsi="Calibri" w:cs="Calibri"/>
          <w:sz w:val="24"/>
          <w:szCs w:val="24"/>
        </w:rPr>
        <w:t xml:space="preserve"> The latter also devoted some of his research to the study of language in Ben-</w:t>
      </w:r>
      <w:proofErr w:type="spellStart"/>
      <w:r w:rsidRPr="00F62DBE">
        <w:rPr>
          <w:rFonts w:ascii="Calibri" w:eastAsia="Calibri" w:hAnsi="Calibri" w:cs="Calibri"/>
          <w:sz w:val="24"/>
          <w:szCs w:val="24"/>
        </w:rPr>
        <w:t>Malka’s</w:t>
      </w:r>
      <w:proofErr w:type="spellEnd"/>
      <w:r w:rsidRPr="00F62DBE">
        <w:rPr>
          <w:rFonts w:ascii="Calibri" w:eastAsia="Calibri" w:hAnsi="Calibri" w:cs="Calibri"/>
          <w:sz w:val="24"/>
          <w:szCs w:val="24"/>
        </w:rPr>
        <w:t xml:space="preserve"> composition,</w:t>
      </w:r>
      <w:r w:rsidRPr="00F62DBE">
        <w:rPr>
          <w:rFonts w:ascii="Calibri" w:eastAsia="Calibri" w:hAnsi="Calibri" w:cs="Calibri"/>
          <w:sz w:val="24"/>
          <w:szCs w:val="24"/>
          <w:vertAlign w:val="superscript"/>
        </w:rPr>
        <w:footnoteReference w:id="6"/>
      </w:r>
      <w:r w:rsidRPr="00F62DBE">
        <w:rPr>
          <w:rFonts w:ascii="Calibri" w:eastAsia="Calibri" w:hAnsi="Calibri" w:cs="Calibri"/>
          <w:sz w:val="24"/>
          <w:szCs w:val="24"/>
        </w:rPr>
        <w:t xml:space="preserve"> and to his commentary on the </w:t>
      </w:r>
      <w:r w:rsidRPr="00F62DBE">
        <w:rPr>
          <w:rFonts w:ascii="Calibri" w:eastAsia="Calibri" w:hAnsi="Calibri" w:cs="Calibri"/>
          <w:sz w:val="24"/>
          <w:szCs w:val="24"/>
        </w:rPr>
        <w:lastRenderedPageBreak/>
        <w:t xml:space="preserve">Sephardi </w:t>
      </w:r>
      <w:proofErr w:type="spellStart"/>
      <w:r w:rsidRPr="00F62DBE">
        <w:rPr>
          <w:rFonts w:ascii="Calibri" w:eastAsia="Calibri" w:hAnsi="Calibri" w:cs="Calibri"/>
          <w:sz w:val="24"/>
          <w:szCs w:val="24"/>
        </w:rPr>
        <w:t>Mahzor</w:t>
      </w:r>
      <w:proofErr w:type="spellEnd"/>
      <w:r w:rsidRPr="00F62DBE">
        <w:rPr>
          <w:rFonts w:ascii="Calibri" w:eastAsia="Calibri" w:hAnsi="Calibri" w:cs="Calibri"/>
          <w:sz w:val="24"/>
          <w:szCs w:val="24"/>
        </w:rPr>
        <w:t xml:space="preserve"> that was published in Amsterdam.</w:t>
      </w:r>
      <w:r w:rsidRPr="00F62DBE">
        <w:rPr>
          <w:rFonts w:ascii="Calibri" w:eastAsia="Calibri" w:hAnsi="Calibri" w:cs="Calibri"/>
          <w:sz w:val="24"/>
          <w:szCs w:val="24"/>
          <w:vertAlign w:val="superscript"/>
        </w:rPr>
        <w:footnoteReference w:id="7"/>
      </w:r>
      <w:r w:rsidRPr="00F62DBE">
        <w:rPr>
          <w:rFonts w:ascii="Calibri" w:eastAsia="Calibri" w:hAnsi="Calibri" w:cs="Calibri"/>
          <w:sz w:val="24"/>
          <w:szCs w:val="24"/>
        </w:rPr>
        <w:t xml:space="preserve"> Kenan elaborated upon </w:t>
      </w:r>
      <w:proofErr w:type="spellStart"/>
      <w:r w:rsidRPr="00F62DBE">
        <w:rPr>
          <w:rFonts w:ascii="Calibri" w:eastAsia="Calibri" w:hAnsi="Calibri" w:cs="Calibri"/>
          <w:sz w:val="24"/>
          <w:szCs w:val="24"/>
        </w:rPr>
        <w:t>Elkayam’s</w:t>
      </w:r>
      <w:proofErr w:type="spellEnd"/>
      <w:r w:rsidRPr="00F62DBE">
        <w:rPr>
          <w:rFonts w:ascii="Calibri" w:eastAsia="Calibri" w:hAnsi="Calibri" w:cs="Calibri"/>
          <w:sz w:val="24"/>
          <w:szCs w:val="24"/>
        </w:rPr>
        <w:t xml:space="preserve"> research, addressing Ben-</w:t>
      </w:r>
      <w:proofErr w:type="spellStart"/>
      <w:r w:rsidRPr="00F62DBE">
        <w:rPr>
          <w:rFonts w:ascii="Calibri" w:eastAsia="Calibri" w:hAnsi="Calibri" w:cs="Calibri"/>
          <w:sz w:val="24"/>
          <w:szCs w:val="24"/>
        </w:rPr>
        <w:t>Malka’s</w:t>
      </w:r>
      <w:proofErr w:type="spellEnd"/>
      <w:r w:rsidRPr="00F62DBE">
        <w:rPr>
          <w:rFonts w:ascii="Calibri" w:eastAsia="Calibri" w:hAnsi="Calibri" w:cs="Calibri"/>
          <w:sz w:val="24"/>
          <w:szCs w:val="24"/>
        </w:rPr>
        <w:t xml:space="preserve"> tendency to preserve certain liturgical versions and customs.</w:t>
      </w:r>
      <w:r w:rsidRPr="00F62DBE">
        <w:rPr>
          <w:rFonts w:ascii="Calibri" w:eastAsia="Calibri" w:hAnsi="Calibri" w:cs="Calibri"/>
          <w:sz w:val="24"/>
          <w:szCs w:val="24"/>
          <w:vertAlign w:val="superscript"/>
        </w:rPr>
        <w:footnoteReference w:id="8"/>
      </w:r>
    </w:p>
    <w:sectPr w:rsidR="001B30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4-24T12:12:00Z" w:initials="Ma">
    <w:p w14:paraId="07A2C3DF" w14:textId="7E7929A9" w:rsidR="00F62DBE" w:rsidRDefault="00F62DBE" w:rsidP="00963F77">
      <w:pPr>
        <w:pStyle w:val="CommentText1"/>
      </w:pPr>
      <w:r>
        <w:rPr>
          <w:rStyle w:val="CommentReference"/>
        </w:rPr>
        <w:annotationRef/>
      </w:r>
      <w:proofErr w:type="spellStart"/>
      <w:r>
        <w:t>Tzadi</w:t>
      </w:r>
      <w:proofErr w:type="spellEnd"/>
      <w:r>
        <w:t xml:space="preserve"> with a diacritic below as per EJ o</w:t>
      </w:r>
      <w:r w:rsidR="00963F77">
        <w:t>r</w:t>
      </w:r>
      <w:r>
        <w:t xml:space="preserve"> </w:t>
      </w:r>
      <w:proofErr w:type="spellStart"/>
      <w:r>
        <w:t>tz</w:t>
      </w:r>
      <w:proofErr w:type="spellEnd"/>
      <w:r>
        <w:t xml:space="preserve"> or </w:t>
      </w:r>
      <w:proofErr w:type="spellStart"/>
      <w:r>
        <w:t>ts</w:t>
      </w:r>
      <w:proofErr w:type="spellEnd"/>
      <w:r>
        <w:t>?</w:t>
      </w:r>
      <w:bookmarkStart w:id="1" w:name="_GoBack"/>
      <w:bookmarkEnd w:id="1"/>
      <w:r>
        <w:t xml:space="preserve"> </w:t>
      </w:r>
    </w:p>
  </w:comment>
  <w:comment w:id="2" w:author="Microsoft account" w:date="2022-04-24T12:53:00Z" w:initials="Ma">
    <w:p w14:paraId="0A40EB27" w14:textId="77777777" w:rsidR="00F62DBE" w:rsidRDefault="00F62DBE" w:rsidP="00F62DBE">
      <w:pPr>
        <w:pStyle w:val="CommentText1"/>
        <w:rPr>
          <w:rFonts w:hint="cs"/>
          <w:rtl/>
        </w:rPr>
      </w:pPr>
      <w:r>
        <w:rPr>
          <w:rStyle w:val="CommentReference"/>
        </w:rPr>
        <w:annotationRef/>
      </w:r>
      <w:r>
        <w:rPr>
          <w:rFonts w:hint="cs"/>
          <w:rtl/>
        </w:rPr>
        <w:t xml:space="preserve">מה פשר המקפים באלכסון בהערה? לפי הסגנון שנבחר, נא לספק את הכותרת העברית של הטיזה. </w:t>
      </w:r>
    </w:p>
  </w:comment>
  <w:comment w:id="3" w:author="Microsoft account" w:date="2022-04-24T12:14:00Z" w:initials="Ma">
    <w:p w14:paraId="7789DFED" w14:textId="77777777" w:rsidR="00F62DBE" w:rsidRDefault="00F62DBE" w:rsidP="00F62DBE">
      <w:pPr>
        <w:pStyle w:val="CommentText1"/>
      </w:pPr>
      <w:r>
        <w:rPr>
          <w:rStyle w:val="CommentReference"/>
        </w:rPr>
        <w:annotationRef/>
      </w:r>
      <w:r>
        <w:t xml:space="preserve">Should I retain the Hebrew dates, which the author uses almost exclusively? Or, should I use both the Hebrew and the Gregorian or just the Gregorian? </w:t>
      </w:r>
    </w:p>
  </w:comment>
  <w:comment w:id="4" w:author="Microsoft account" w:date="2022-04-19T19:40:00Z" w:initials="Ma">
    <w:p w14:paraId="7F60801A" w14:textId="77777777" w:rsidR="00F62DBE" w:rsidRDefault="00F62DBE" w:rsidP="00F62DBE">
      <w:pPr>
        <w:pStyle w:val="CommentText1"/>
      </w:pPr>
      <w:r>
        <w:rPr>
          <w:rStyle w:val="CommentReference"/>
        </w:rPr>
        <w:annotationRef/>
      </w:r>
      <w:r>
        <w:rPr>
          <w:rFonts w:hint="cs"/>
          <w:rtl/>
        </w:rPr>
        <w:t>במקור בעברית כתוב 5772, אך למעלה מתוארך ל-5774.</w:t>
      </w:r>
    </w:p>
  </w:comment>
  <w:comment w:id="5" w:author="Microsoft account" w:date="2022-04-20T23:06:00Z" w:initials="Ma">
    <w:p w14:paraId="341F7323" w14:textId="77777777" w:rsidR="00F62DBE" w:rsidRDefault="00F62DBE" w:rsidP="00F62DBE">
      <w:pPr>
        <w:pStyle w:val="CommentText1"/>
      </w:pPr>
      <w:r>
        <w:rPr>
          <w:rStyle w:val="CommentReference"/>
        </w:rPr>
        <w:annotationRef/>
      </w:r>
      <w:r>
        <w:rPr>
          <w:rFonts w:hint="cs"/>
          <w:rtl/>
        </w:rPr>
        <w:t xml:space="preserve">ההדגשה </w:t>
      </w:r>
      <w:r>
        <w:rPr>
          <w:rFonts w:hint="cs"/>
          <w:rtl/>
        </w:rPr>
        <w:t xml:space="preserve">בצהוב מקורי למחבר.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A2C3DF" w15:done="0"/>
  <w15:commentEx w15:paraId="0A40EB27" w15:done="0"/>
  <w15:commentEx w15:paraId="7789DFED" w15:done="0"/>
  <w15:commentEx w15:paraId="7F60801A" w15:done="0"/>
  <w15:commentEx w15:paraId="341F73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15ED9" w14:textId="77777777" w:rsidR="00382164" w:rsidRDefault="00382164" w:rsidP="00F62DBE">
      <w:pPr>
        <w:spacing w:after="0" w:line="240" w:lineRule="auto"/>
      </w:pPr>
      <w:r>
        <w:separator/>
      </w:r>
    </w:p>
  </w:endnote>
  <w:endnote w:type="continuationSeparator" w:id="0">
    <w:p w14:paraId="4C13D5AB" w14:textId="77777777" w:rsidR="00382164" w:rsidRDefault="00382164" w:rsidP="00F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4A305" w14:textId="77777777" w:rsidR="00382164" w:rsidRDefault="00382164" w:rsidP="00F62DBE">
      <w:pPr>
        <w:spacing w:after="0" w:line="240" w:lineRule="auto"/>
      </w:pPr>
      <w:r>
        <w:separator/>
      </w:r>
    </w:p>
  </w:footnote>
  <w:footnote w:type="continuationSeparator" w:id="0">
    <w:p w14:paraId="009D845C" w14:textId="77777777" w:rsidR="00382164" w:rsidRDefault="00382164" w:rsidP="00F62DBE">
      <w:pPr>
        <w:spacing w:after="0" w:line="240" w:lineRule="auto"/>
      </w:pPr>
      <w:r>
        <w:continuationSeparator/>
      </w:r>
    </w:p>
  </w:footnote>
  <w:footnote w:id="1">
    <w:p w14:paraId="2A9EFC75" w14:textId="77777777" w:rsidR="00F62DBE" w:rsidRPr="00F62DBE" w:rsidRDefault="00F62DBE" w:rsidP="00F62DBE">
      <w:pPr>
        <w:pStyle w:val="FootnoteText1"/>
        <w:bidi w:val="0"/>
        <w:spacing w:line="360" w:lineRule="auto"/>
        <w:jc w:val="both"/>
        <w:rPr>
          <w:rFonts w:cs="Calibri"/>
        </w:rPr>
      </w:pPr>
      <w:r w:rsidRPr="00F62DBE">
        <w:rPr>
          <w:rStyle w:val="FootnoteReference"/>
          <w:rFonts w:cs="Calibri"/>
        </w:rPr>
        <w:footnoteRef/>
      </w:r>
      <w:r w:rsidRPr="00F62DBE">
        <w:rPr>
          <w:rFonts w:cs="Calibri"/>
          <w:rtl/>
        </w:rPr>
        <w:t xml:space="preserve"> </w:t>
      </w:r>
      <w:proofErr w:type="spellStart"/>
      <w:r w:rsidRPr="00F62DBE">
        <w:rPr>
          <w:rFonts w:cs="Calibri"/>
          <w:sz w:val="24"/>
          <w:szCs w:val="24"/>
        </w:rPr>
        <w:t>Nachum</w:t>
      </w:r>
      <w:proofErr w:type="spellEnd"/>
      <w:r w:rsidRPr="00F62DBE">
        <w:rPr>
          <w:rFonts w:cs="Calibri"/>
          <w:sz w:val="24"/>
          <w:szCs w:val="24"/>
        </w:rPr>
        <w:t xml:space="preserve"> </w:t>
      </w:r>
      <w:proofErr w:type="spellStart"/>
      <w:r w:rsidRPr="00F62DBE">
        <w:rPr>
          <w:rFonts w:cs="Calibri"/>
          <w:sz w:val="24"/>
          <w:szCs w:val="24"/>
        </w:rPr>
        <w:t>Netanel</w:t>
      </w:r>
      <w:proofErr w:type="spellEnd"/>
      <w:r w:rsidRPr="00F62DBE">
        <w:rPr>
          <w:rFonts w:cs="Calibri"/>
          <w:sz w:val="24"/>
          <w:szCs w:val="24"/>
        </w:rPr>
        <w:t xml:space="preserve"> Kenan, </w:t>
      </w:r>
      <w:r w:rsidRPr="00F62DBE">
        <w:rPr>
          <w:rFonts w:cs="Calibri"/>
          <w:i/>
          <w:iCs/>
          <w:sz w:val="24"/>
          <w:szCs w:val="24"/>
        </w:rPr>
        <w:t>Studies in '</w:t>
      </w:r>
      <w:proofErr w:type="spellStart"/>
      <w:r w:rsidRPr="00F62DBE">
        <w:rPr>
          <w:rFonts w:cs="Calibri"/>
          <w:i/>
          <w:iCs/>
          <w:sz w:val="24"/>
          <w:szCs w:val="24"/>
        </w:rPr>
        <w:t>Kaf</w:t>
      </w:r>
      <w:proofErr w:type="spellEnd"/>
      <w:r w:rsidRPr="00F62DBE">
        <w:rPr>
          <w:rFonts w:cs="Calibri"/>
          <w:i/>
          <w:iCs/>
          <w:sz w:val="24"/>
          <w:szCs w:val="24"/>
        </w:rPr>
        <w:t xml:space="preserve"> </w:t>
      </w:r>
      <w:proofErr w:type="spellStart"/>
      <w:r w:rsidRPr="00F62DBE">
        <w:rPr>
          <w:rFonts w:cs="Calibri"/>
          <w:i/>
          <w:iCs/>
          <w:sz w:val="24"/>
          <w:szCs w:val="24"/>
        </w:rPr>
        <w:t>Naki</w:t>
      </w:r>
      <w:proofErr w:type="spellEnd"/>
      <w:r w:rsidRPr="00F62DBE">
        <w:rPr>
          <w:rFonts w:cs="Calibri"/>
          <w:i/>
          <w:iCs/>
          <w:sz w:val="24"/>
          <w:szCs w:val="24"/>
        </w:rPr>
        <w:t xml:space="preserve">': The Prayer Book of Rabbi </w:t>
      </w:r>
      <w:proofErr w:type="spellStart"/>
      <w:r w:rsidRPr="00F62DBE">
        <w:rPr>
          <w:rFonts w:cs="Calibri"/>
          <w:i/>
          <w:iCs/>
          <w:sz w:val="24"/>
          <w:szCs w:val="24"/>
        </w:rPr>
        <w:t>Kalifa</w:t>
      </w:r>
      <w:proofErr w:type="spellEnd"/>
      <w:r w:rsidRPr="00F62DBE">
        <w:rPr>
          <w:rFonts w:cs="Calibri"/>
          <w:i/>
          <w:iCs/>
          <w:sz w:val="24"/>
          <w:szCs w:val="24"/>
        </w:rPr>
        <w:t xml:space="preserve"> Ben </w:t>
      </w:r>
      <w:proofErr w:type="spellStart"/>
      <w:r w:rsidRPr="00F62DBE">
        <w:rPr>
          <w:rFonts w:cs="Calibri"/>
          <w:i/>
          <w:iCs/>
          <w:sz w:val="24"/>
          <w:szCs w:val="24"/>
        </w:rPr>
        <w:t>Malka</w:t>
      </w:r>
      <w:proofErr w:type="spellEnd"/>
      <w:r w:rsidRPr="00F62DBE">
        <w:rPr>
          <w:rFonts w:cs="Calibri"/>
          <w:sz w:val="24"/>
          <w:szCs w:val="24"/>
        </w:rPr>
        <w:t xml:space="preserve"> (Sources, Textual Variants, Customs and Trends), M.A </w:t>
      </w:r>
      <w:r w:rsidRPr="00F62DBE">
        <w:rPr>
          <w:rFonts w:cs="Calibri"/>
          <w:sz w:val="24"/>
          <w:szCs w:val="24"/>
          <w:highlight w:val="cyan"/>
        </w:rPr>
        <w:t>///</w:t>
      </w:r>
      <w:r w:rsidRPr="00F62DBE">
        <w:rPr>
          <w:rFonts w:cs="Calibri"/>
          <w:sz w:val="24"/>
          <w:szCs w:val="24"/>
        </w:rPr>
        <w:t>, Bar-</w:t>
      </w:r>
      <w:proofErr w:type="spellStart"/>
      <w:r w:rsidRPr="00F62DBE">
        <w:rPr>
          <w:rFonts w:cs="Calibri"/>
          <w:sz w:val="24"/>
          <w:szCs w:val="24"/>
        </w:rPr>
        <w:t>Ilan</w:t>
      </w:r>
      <w:proofErr w:type="spellEnd"/>
      <w:r w:rsidRPr="00F62DBE">
        <w:rPr>
          <w:rFonts w:cs="Calibri"/>
          <w:sz w:val="24"/>
          <w:szCs w:val="24"/>
        </w:rPr>
        <w:t xml:space="preserve"> University 2011, 17-20 (Heb.); </w:t>
      </w:r>
      <w:proofErr w:type="spellStart"/>
      <w:r w:rsidRPr="00F62DBE">
        <w:rPr>
          <w:rFonts w:cs="Calibri"/>
          <w:i/>
          <w:iCs/>
          <w:sz w:val="24"/>
          <w:szCs w:val="24"/>
        </w:rPr>
        <w:t>Sefer</w:t>
      </w:r>
      <w:proofErr w:type="spellEnd"/>
      <w:r w:rsidRPr="00F62DBE">
        <w:rPr>
          <w:rFonts w:cs="Calibri"/>
          <w:i/>
          <w:iCs/>
          <w:sz w:val="24"/>
          <w:szCs w:val="24"/>
        </w:rPr>
        <w:t xml:space="preserve"> </w:t>
      </w:r>
      <w:proofErr w:type="spellStart"/>
      <w:r w:rsidRPr="00F62DBE">
        <w:rPr>
          <w:rFonts w:cs="Calibri"/>
          <w:i/>
          <w:iCs/>
          <w:sz w:val="24"/>
          <w:szCs w:val="24"/>
        </w:rPr>
        <w:t>Kaf</w:t>
      </w:r>
      <w:proofErr w:type="spellEnd"/>
      <w:r w:rsidRPr="00F62DBE">
        <w:rPr>
          <w:rFonts w:cs="Calibri"/>
          <w:i/>
          <w:iCs/>
          <w:sz w:val="24"/>
          <w:szCs w:val="24"/>
        </w:rPr>
        <w:t xml:space="preserve"> </w:t>
      </w:r>
      <w:proofErr w:type="spellStart"/>
      <w:r w:rsidRPr="00F62DBE">
        <w:rPr>
          <w:rFonts w:cs="Calibri"/>
          <w:i/>
          <w:iCs/>
          <w:sz w:val="24"/>
          <w:szCs w:val="24"/>
        </w:rPr>
        <w:t>Naki</w:t>
      </w:r>
      <w:proofErr w:type="spellEnd"/>
      <w:r w:rsidRPr="00F62DBE">
        <w:rPr>
          <w:rFonts w:cs="Calibri"/>
          <w:i/>
          <w:iCs/>
          <w:sz w:val="24"/>
          <w:szCs w:val="24"/>
        </w:rPr>
        <w:t xml:space="preserve"> ha-</w:t>
      </w:r>
      <w:proofErr w:type="spellStart"/>
      <w:r w:rsidRPr="00F62DBE">
        <w:rPr>
          <w:rFonts w:cs="Calibri"/>
          <w:i/>
          <w:iCs/>
          <w:sz w:val="24"/>
          <w:szCs w:val="24"/>
        </w:rPr>
        <w:t>Shalem</w:t>
      </w:r>
      <w:proofErr w:type="spellEnd"/>
      <w:r w:rsidRPr="00F62DBE">
        <w:rPr>
          <w:rFonts w:cs="Calibri"/>
          <w:sz w:val="24"/>
          <w:szCs w:val="24"/>
        </w:rPr>
        <w:t>, edited and redacted from manuscript form with additional commentary – Moshe Amar (</w:t>
      </w:r>
      <w:proofErr w:type="spellStart"/>
      <w:r w:rsidRPr="00F62DBE">
        <w:rPr>
          <w:rFonts w:cs="Calibri"/>
          <w:sz w:val="24"/>
          <w:szCs w:val="24"/>
        </w:rPr>
        <w:t>Lod</w:t>
      </w:r>
      <w:proofErr w:type="spellEnd"/>
      <w:r w:rsidRPr="00F62DBE">
        <w:rPr>
          <w:rFonts w:cs="Calibri"/>
          <w:sz w:val="24"/>
          <w:szCs w:val="24"/>
        </w:rPr>
        <w:t>, 5774), 29-45. Henceforth all references are to this edition of the work.</w:t>
      </w:r>
    </w:p>
  </w:footnote>
  <w:footnote w:id="2">
    <w:p w14:paraId="3047F11E" w14:textId="77777777" w:rsidR="00F62DBE" w:rsidRPr="00F62DBE" w:rsidRDefault="00F62DBE" w:rsidP="00F62DBE">
      <w:pPr>
        <w:pStyle w:val="FootnoteText1"/>
        <w:bidi w:val="0"/>
        <w:spacing w:line="360" w:lineRule="auto"/>
        <w:jc w:val="both"/>
        <w:rPr>
          <w:rFonts w:cs="Calibri"/>
          <w:sz w:val="24"/>
          <w:szCs w:val="24"/>
        </w:rPr>
      </w:pPr>
      <w:r w:rsidRPr="00F62DBE">
        <w:rPr>
          <w:rStyle w:val="FootnoteReference"/>
          <w:rFonts w:cs="Calibri"/>
        </w:rPr>
        <w:footnoteRef/>
      </w:r>
      <w:r w:rsidRPr="00F62DBE">
        <w:rPr>
          <w:rFonts w:cs="Calibri"/>
          <w:sz w:val="24"/>
          <w:szCs w:val="24"/>
          <w:rtl/>
        </w:rPr>
        <w:t xml:space="preserve"> </w:t>
      </w:r>
      <w:r w:rsidRPr="00F62DBE">
        <w:rPr>
          <w:rFonts w:cs="Calibri"/>
          <w:sz w:val="24"/>
          <w:szCs w:val="24"/>
        </w:rPr>
        <w:t>I will not address the section on the Jewish-Muslim polemic in this paper. Very little research has been devoted to scholarship on this polemic in Morocco, see Sarah Lazarus-</w:t>
      </w:r>
      <w:proofErr w:type="spellStart"/>
      <w:r w:rsidRPr="00F62DBE">
        <w:rPr>
          <w:rFonts w:cs="Calibri"/>
          <w:sz w:val="24"/>
          <w:szCs w:val="24"/>
        </w:rPr>
        <w:t>Yaffe</w:t>
      </w:r>
      <w:proofErr w:type="spellEnd"/>
      <w:r w:rsidRPr="00F62DBE">
        <w:rPr>
          <w:rFonts w:cs="Calibri"/>
          <w:sz w:val="24"/>
          <w:szCs w:val="24"/>
        </w:rPr>
        <w:t>, “</w:t>
      </w:r>
      <w:proofErr w:type="spellStart"/>
      <w:r w:rsidRPr="00F62DBE">
        <w:rPr>
          <w:rFonts w:cs="Calibri"/>
          <w:i/>
          <w:iCs/>
          <w:sz w:val="24"/>
          <w:szCs w:val="24"/>
        </w:rPr>
        <w:t>Terumato</w:t>
      </w:r>
      <w:proofErr w:type="spellEnd"/>
      <w:r w:rsidRPr="00F62DBE">
        <w:rPr>
          <w:rFonts w:cs="Calibri"/>
          <w:i/>
          <w:iCs/>
          <w:sz w:val="24"/>
          <w:szCs w:val="24"/>
        </w:rPr>
        <w:t xml:space="preserve"> </w:t>
      </w:r>
      <w:proofErr w:type="spellStart"/>
      <w:r w:rsidRPr="00F62DBE">
        <w:rPr>
          <w:rFonts w:cs="Calibri"/>
          <w:i/>
          <w:iCs/>
          <w:sz w:val="24"/>
          <w:szCs w:val="24"/>
        </w:rPr>
        <w:t>shel</w:t>
      </w:r>
      <w:proofErr w:type="spellEnd"/>
      <w:r w:rsidRPr="00F62DBE">
        <w:rPr>
          <w:rFonts w:cs="Calibri"/>
          <w:i/>
          <w:iCs/>
          <w:sz w:val="24"/>
          <w:szCs w:val="24"/>
        </w:rPr>
        <w:t xml:space="preserve"> </w:t>
      </w:r>
      <w:proofErr w:type="spellStart"/>
      <w:r w:rsidRPr="00F62DBE">
        <w:rPr>
          <w:rFonts w:cs="Calibri"/>
          <w:i/>
          <w:iCs/>
          <w:sz w:val="24"/>
          <w:szCs w:val="24"/>
        </w:rPr>
        <w:t>Mumar</w:t>
      </w:r>
      <w:proofErr w:type="spellEnd"/>
      <w:r w:rsidRPr="00F62DBE">
        <w:rPr>
          <w:rFonts w:cs="Calibri"/>
          <w:i/>
          <w:iCs/>
          <w:sz w:val="24"/>
          <w:szCs w:val="24"/>
        </w:rPr>
        <w:t xml:space="preserve"> </w:t>
      </w:r>
      <w:proofErr w:type="spellStart"/>
      <w:r w:rsidRPr="00F62DBE">
        <w:rPr>
          <w:rFonts w:cs="Calibri"/>
          <w:i/>
          <w:iCs/>
          <w:sz w:val="24"/>
          <w:szCs w:val="24"/>
        </w:rPr>
        <w:t>Yehudi</w:t>
      </w:r>
      <w:proofErr w:type="spellEnd"/>
      <w:r w:rsidRPr="00F62DBE">
        <w:rPr>
          <w:rFonts w:cs="Calibri"/>
          <w:i/>
          <w:iCs/>
          <w:sz w:val="24"/>
          <w:szCs w:val="24"/>
        </w:rPr>
        <w:t xml:space="preserve"> mi-Morocco le-</w:t>
      </w:r>
      <w:proofErr w:type="spellStart"/>
      <w:r w:rsidRPr="00F62DBE">
        <w:rPr>
          <w:rFonts w:cs="Calibri"/>
          <w:i/>
          <w:iCs/>
          <w:sz w:val="24"/>
          <w:szCs w:val="24"/>
        </w:rPr>
        <w:t>Pulmos</w:t>
      </w:r>
      <w:proofErr w:type="spellEnd"/>
      <w:r w:rsidRPr="00F62DBE">
        <w:rPr>
          <w:rFonts w:cs="Calibri"/>
          <w:i/>
          <w:iCs/>
          <w:sz w:val="24"/>
          <w:szCs w:val="24"/>
        </w:rPr>
        <w:t xml:space="preserve"> ha-</w:t>
      </w:r>
      <w:proofErr w:type="spellStart"/>
      <w:r w:rsidRPr="00F62DBE">
        <w:rPr>
          <w:rFonts w:cs="Calibri"/>
          <w:i/>
          <w:iCs/>
          <w:sz w:val="24"/>
          <w:szCs w:val="24"/>
        </w:rPr>
        <w:t>Muslemi</w:t>
      </w:r>
      <w:proofErr w:type="spellEnd"/>
      <w:r w:rsidRPr="00F62DBE">
        <w:rPr>
          <w:rFonts w:cs="Calibri"/>
          <w:sz w:val="24"/>
          <w:szCs w:val="24"/>
        </w:rPr>
        <w:t xml:space="preserve"> </w:t>
      </w:r>
      <w:proofErr w:type="spellStart"/>
      <w:r w:rsidRPr="00F62DBE">
        <w:rPr>
          <w:rFonts w:cs="Calibri"/>
          <w:i/>
          <w:iCs/>
          <w:sz w:val="24"/>
          <w:szCs w:val="24"/>
        </w:rPr>
        <w:t>Neged</w:t>
      </w:r>
      <w:proofErr w:type="spellEnd"/>
      <w:r w:rsidRPr="00F62DBE">
        <w:rPr>
          <w:rFonts w:cs="Calibri"/>
          <w:i/>
          <w:iCs/>
          <w:sz w:val="24"/>
          <w:szCs w:val="24"/>
        </w:rPr>
        <w:t xml:space="preserve"> ha-</w:t>
      </w:r>
      <w:proofErr w:type="spellStart"/>
      <w:r w:rsidRPr="00F62DBE">
        <w:rPr>
          <w:rFonts w:cs="Calibri"/>
          <w:i/>
          <w:iCs/>
          <w:sz w:val="24"/>
          <w:szCs w:val="24"/>
        </w:rPr>
        <w:t>Yehudim</w:t>
      </w:r>
      <w:proofErr w:type="spellEnd"/>
      <w:r w:rsidRPr="00F62DBE">
        <w:rPr>
          <w:rFonts w:cs="Calibri"/>
          <w:i/>
          <w:iCs/>
          <w:sz w:val="24"/>
          <w:szCs w:val="24"/>
        </w:rPr>
        <w:t xml:space="preserve"> </w:t>
      </w:r>
      <w:proofErr w:type="spellStart"/>
      <w:r w:rsidRPr="00F62DBE">
        <w:rPr>
          <w:rFonts w:cs="Calibri"/>
          <w:i/>
          <w:iCs/>
          <w:sz w:val="24"/>
          <w:szCs w:val="24"/>
        </w:rPr>
        <w:t>ve</w:t>
      </w:r>
      <w:proofErr w:type="spellEnd"/>
      <w:r w:rsidRPr="00F62DBE">
        <w:rPr>
          <w:rFonts w:cs="Calibri"/>
          <w:i/>
          <w:iCs/>
          <w:sz w:val="24"/>
          <w:szCs w:val="24"/>
        </w:rPr>
        <w:t>-ha-</w:t>
      </w:r>
      <w:proofErr w:type="spellStart"/>
      <w:r w:rsidRPr="00F62DBE">
        <w:rPr>
          <w:rFonts w:cs="Calibri"/>
          <w:i/>
          <w:iCs/>
          <w:sz w:val="24"/>
          <w:szCs w:val="24"/>
        </w:rPr>
        <w:t>Yahadut</w:t>
      </w:r>
      <w:proofErr w:type="spellEnd"/>
      <w:r w:rsidRPr="00F62DBE">
        <w:rPr>
          <w:rFonts w:cs="Calibri"/>
          <w:i/>
          <w:iCs/>
          <w:sz w:val="24"/>
          <w:szCs w:val="24"/>
        </w:rPr>
        <w:t>”</w:t>
      </w:r>
      <w:r w:rsidRPr="00F62DBE">
        <w:rPr>
          <w:rFonts w:cs="Calibri"/>
          <w:sz w:val="24"/>
          <w:szCs w:val="24"/>
        </w:rPr>
        <w:t xml:space="preserve"> </w:t>
      </w:r>
      <w:proofErr w:type="spellStart"/>
      <w:r w:rsidRPr="00F62DBE">
        <w:rPr>
          <w:rFonts w:cs="Calibri"/>
          <w:i/>
          <w:iCs/>
          <w:sz w:val="24"/>
          <w:szCs w:val="24"/>
        </w:rPr>
        <w:t>Pe’amim</w:t>
      </w:r>
      <w:proofErr w:type="spellEnd"/>
      <w:r w:rsidRPr="00F62DBE">
        <w:rPr>
          <w:rFonts w:cs="Calibri"/>
          <w:sz w:val="24"/>
          <w:szCs w:val="24"/>
        </w:rPr>
        <w:t xml:space="preserve"> 42 (5750), 83-90. I plan to devote a separate study to this topic which will include Ben-</w:t>
      </w:r>
      <w:proofErr w:type="spellStart"/>
      <w:r w:rsidRPr="00F62DBE">
        <w:rPr>
          <w:rFonts w:cs="Calibri"/>
          <w:sz w:val="24"/>
          <w:szCs w:val="24"/>
        </w:rPr>
        <w:t>Malka’s</w:t>
      </w:r>
      <w:proofErr w:type="spellEnd"/>
      <w:r w:rsidRPr="00F62DBE">
        <w:rPr>
          <w:rFonts w:cs="Calibri"/>
          <w:sz w:val="24"/>
          <w:szCs w:val="24"/>
        </w:rPr>
        <w:t xml:space="preserve"> case. For now, I will just note that throughout his composition, Ben-</w:t>
      </w:r>
      <w:proofErr w:type="spellStart"/>
      <w:r w:rsidRPr="00F62DBE">
        <w:rPr>
          <w:rFonts w:cs="Calibri"/>
          <w:sz w:val="24"/>
          <w:szCs w:val="24"/>
        </w:rPr>
        <w:t>Malka</w:t>
      </w:r>
      <w:proofErr w:type="spellEnd"/>
      <w:r w:rsidRPr="00F62DBE">
        <w:rPr>
          <w:rFonts w:cs="Calibri"/>
          <w:sz w:val="24"/>
          <w:szCs w:val="24"/>
        </w:rPr>
        <w:t xml:space="preserve"> quotes sayings and poetry in Arabic and translates them into Hebrew (even though, he did not always agree with them). For instance, see pages 234, 238, 239, 240, 267, 306, 313.</w:t>
      </w:r>
    </w:p>
  </w:footnote>
  <w:footnote w:id="3">
    <w:p w14:paraId="52F9D2DB" w14:textId="77777777" w:rsidR="00F62DBE" w:rsidRDefault="00F62DBE" w:rsidP="00F62DBE">
      <w:pPr>
        <w:pStyle w:val="FootnoteText1"/>
        <w:bidi w:val="0"/>
        <w:spacing w:line="360" w:lineRule="auto"/>
        <w:jc w:val="both"/>
      </w:pPr>
      <w:r w:rsidRPr="00272E3E">
        <w:rPr>
          <w:rStyle w:val="FootnoteReference"/>
        </w:rPr>
        <w:footnoteRef/>
      </w:r>
      <w:r w:rsidRPr="00F62DBE">
        <w:rPr>
          <w:rFonts w:cs="Calibri"/>
          <w:sz w:val="24"/>
          <w:szCs w:val="24"/>
          <w:rtl/>
        </w:rPr>
        <w:t xml:space="preserve"> </w:t>
      </w:r>
      <w:r w:rsidRPr="00F62DBE">
        <w:rPr>
          <w:rFonts w:cs="Calibri"/>
          <w:sz w:val="24"/>
          <w:szCs w:val="24"/>
        </w:rPr>
        <w:t>I. Block, “</w:t>
      </w:r>
      <w:proofErr w:type="spellStart"/>
      <w:r w:rsidRPr="00F62DBE">
        <w:rPr>
          <w:rFonts w:cs="Calibri"/>
          <w:i/>
          <w:iCs/>
          <w:sz w:val="24"/>
          <w:szCs w:val="24"/>
        </w:rPr>
        <w:t>Kalifa</w:t>
      </w:r>
      <w:proofErr w:type="spellEnd"/>
      <w:r w:rsidRPr="00F62DBE">
        <w:rPr>
          <w:rFonts w:cs="Calibri"/>
          <w:i/>
          <w:iCs/>
          <w:sz w:val="24"/>
          <w:szCs w:val="24"/>
        </w:rPr>
        <w:t xml:space="preserve"> </w:t>
      </w:r>
      <w:proofErr w:type="spellStart"/>
      <w:r w:rsidRPr="00F62DBE">
        <w:rPr>
          <w:rFonts w:cs="Calibri"/>
          <w:i/>
          <w:iCs/>
          <w:sz w:val="24"/>
          <w:szCs w:val="24"/>
        </w:rPr>
        <w:t>Bem</w:t>
      </w:r>
      <w:proofErr w:type="spellEnd"/>
      <w:r w:rsidRPr="00F62DBE">
        <w:rPr>
          <w:rFonts w:cs="Calibri"/>
          <w:i/>
          <w:iCs/>
          <w:sz w:val="24"/>
          <w:szCs w:val="24"/>
        </w:rPr>
        <w:t xml:space="preserve"> </w:t>
      </w:r>
      <w:proofErr w:type="spellStart"/>
      <w:r w:rsidRPr="00F62DBE">
        <w:rPr>
          <w:rFonts w:cs="Calibri"/>
          <w:i/>
          <w:iCs/>
          <w:sz w:val="24"/>
          <w:szCs w:val="24"/>
        </w:rPr>
        <w:t>Malka</w:t>
      </w:r>
      <w:proofErr w:type="spellEnd"/>
      <w:r w:rsidRPr="00F62DBE">
        <w:rPr>
          <w:rFonts w:cs="Calibri"/>
          <w:i/>
          <w:iCs/>
          <w:sz w:val="24"/>
          <w:szCs w:val="24"/>
        </w:rPr>
        <w:t xml:space="preserve"> - Notes </w:t>
      </w:r>
      <w:proofErr w:type="spellStart"/>
      <w:r w:rsidRPr="00F62DBE">
        <w:rPr>
          <w:rFonts w:cs="Calibri"/>
          <w:i/>
          <w:iCs/>
          <w:sz w:val="24"/>
          <w:szCs w:val="24"/>
        </w:rPr>
        <w:t>et</w:t>
      </w:r>
      <w:proofErr w:type="spellEnd"/>
      <w:r w:rsidRPr="00F62DBE">
        <w:rPr>
          <w:rFonts w:cs="Calibri"/>
          <w:i/>
          <w:iCs/>
          <w:sz w:val="24"/>
          <w:szCs w:val="24"/>
        </w:rPr>
        <w:t xml:space="preserve"> </w:t>
      </w:r>
      <w:proofErr w:type="spellStart"/>
      <w:r w:rsidRPr="00F62DBE">
        <w:rPr>
          <w:rFonts w:cs="Calibri"/>
          <w:i/>
          <w:iCs/>
          <w:sz w:val="24"/>
          <w:szCs w:val="24"/>
        </w:rPr>
        <w:t>Me'langes</w:t>
      </w:r>
      <w:proofErr w:type="spellEnd"/>
      <w:r w:rsidRPr="00F62DBE">
        <w:rPr>
          <w:rFonts w:cs="Calibri"/>
          <w:sz w:val="24"/>
          <w:szCs w:val="24"/>
        </w:rPr>
        <w:t>”, REJ 14 (1887), 114- 115.</w:t>
      </w:r>
    </w:p>
  </w:footnote>
  <w:footnote w:id="4">
    <w:p w14:paraId="551AF5EC" w14:textId="77777777" w:rsidR="00F62DBE" w:rsidRPr="00F62DBE" w:rsidRDefault="00F62DBE" w:rsidP="00F62DBE">
      <w:pPr>
        <w:pStyle w:val="FootnoteText1"/>
        <w:bidi w:val="0"/>
        <w:spacing w:line="360" w:lineRule="auto"/>
        <w:jc w:val="both"/>
        <w:rPr>
          <w:rFonts w:cs="Calibri"/>
          <w:sz w:val="24"/>
          <w:szCs w:val="24"/>
        </w:rPr>
      </w:pPr>
      <w:r>
        <w:rPr>
          <w:rStyle w:val="FootnoteReference"/>
        </w:rPr>
        <w:footnoteRef/>
      </w:r>
      <w:r>
        <w:rPr>
          <w:rtl/>
        </w:rPr>
        <w:t xml:space="preserve"> </w:t>
      </w:r>
      <w:r w:rsidRPr="00F62DBE">
        <w:rPr>
          <w:rFonts w:cs="Calibri"/>
          <w:sz w:val="24"/>
          <w:szCs w:val="24"/>
        </w:rPr>
        <w:t xml:space="preserve">H. </w:t>
      </w:r>
      <w:proofErr w:type="spellStart"/>
      <w:r w:rsidRPr="00F62DBE">
        <w:rPr>
          <w:rFonts w:cs="Calibri"/>
          <w:sz w:val="24"/>
          <w:szCs w:val="24"/>
        </w:rPr>
        <w:t>Zafranu</w:t>
      </w:r>
      <w:proofErr w:type="spellEnd"/>
      <w:r w:rsidRPr="00F62DBE">
        <w:rPr>
          <w:rFonts w:cs="Calibri"/>
          <w:sz w:val="24"/>
          <w:szCs w:val="24"/>
        </w:rPr>
        <w:t>, “</w:t>
      </w:r>
      <w:proofErr w:type="spellStart"/>
      <w:r w:rsidRPr="00F62DBE">
        <w:rPr>
          <w:rFonts w:cs="Calibri"/>
          <w:i/>
          <w:iCs/>
          <w:sz w:val="24"/>
          <w:szCs w:val="24"/>
        </w:rPr>
        <w:t>Une</w:t>
      </w:r>
      <w:proofErr w:type="spellEnd"/>
      <w:r w:rsidRPr="00F62DBE">
        <w:rPr>
          <w:rFonts w:cs="Calibri"/>
          <w:i/>
          <w:iCs/>
          <w:sz w:val="24"/>
          <w:szCs w:val="24"/>
        </w:rPr>
        <w:t xml:space="preserve"> </w:t>
      </w:r>
      <w:proofErr w:type="spellStart"/>
      <w:r w:rsidRPr="00F62DBE">
        <w:rPr>
          <w:rFonts w:cs="Calibri"/>
          <w:i/>
          <w:iCs/>
          <w:sz w:val="24"/>
          <w:szCs w:val="24"/>
        </w:rPr>
        <w:t>Letre-Homme</w:t>
      </w:r>
      <w:proofErr w:type="spellEnd"/>
      <w:r w:rsidRPr="00F62DBE">
        <w:rPr>
          <w:rFonts w:cs="Calibri"/>
          <w:i/>
          <w:iCs/>
          <w:sz w:val="24"/>
          <w:szCs w:val="24"/>
        </w:rPr>
        <w:t xml:space="preserve"> </w:t>
      </w:r>
      <w:proofErr w:type="spellStart"/>
      <w:r w:rsidRPr="00F62DBE">
        <w:rPr>
          <w:rFonts w:cs="Calibri"/>
          <w:i/>
          <w:iCs/>
          <w:sz w:val="24"/>
          <w:szCs w:val="24"/>
        </w:rPr>
        <w:t>D'Affaires</w:t>
      </w:r>
      <w:proofErr w:type="spellEnd"/>
      <w:r w:rsidRPr="00F62DBE">
        <w:rPr>
          <w:rFonts w:cs="Calibri"/>
          <w:i/>
          <w:iCs/>
          <w:sz w:val="24"/>
          <w:szCs w:val="24"/>
        </w:rPr>
        <w:t xml:space="preserve"> </w:t>
      </w:r>
      <w:proofErr w:type="spellStart"/>
      <w:r w:rsidRPr="00F62DBE">
        <w:rPr>
          <w:rFonts w:cs="Calibri"/>
          <w:i/>
          <w:iCs/>
          <w:sz w:val="24"/>
          <w:szCs w:val="24"/>
        </w:rPr>
        <w:t>Juif</w:t>
      </w:r>
      <w:proofErr w:type="spellEnd"/>
      <w:r w:rsidRPr="00F62DBE">
        <w:rPr>
          <w:rFonts w:cs="Calibri"/>
          <w:i/>
          <w:iCs/>
          <w:sz w:val="24"/>
          <w:szCs w:val="24"/>
        </w:rPr>
        <w:t xml:space="preserve"> du </w:t>
      </w:r>
      <w:proofErr w:type="spellStart"/>
      <w:r w:rsidRPr="00F62DBE">
        <w:rPr>
          <w:rFonts w:cs="Calibri"/>
          <w:i/>
          <w:iCs/>
          <w:sz w:val="24"/>
          <w:szCs w:val="24"/>
        </w:rPr>
        <w:t>Maroc</w:t>
      </w:r>
      <w:proofErr w:type="spellEnd"/>
      <w:r w:rsidRPr="00F62DBE">
        <w:rPr>
          <w:rFonts w:cs="Calibri"/>
          <w:i/>
          <w:iCs/>
          <w:sz w:val="24"/>
          <w:szCs w:val="24"/>
        </w:rPr>
        <w:t xml:space="preserve"> </w:t>
      </w:r>
      <w:proofErr w:type="spellStart"/>
      <w:r w:rsidRPr="00F62DBE">
        <w:rPr>
          <w:rFonts w:cs="Calibri"/>
          <w:i/>
          <w:iCs/>
          <w:sz w:val="24"/>
          <w:szCs w:val="24"/>
        </w:rPr>
        <w:t>Meridionak</w:t>
      </w:r>
      <w:proofErr w:type="spellEnd"/>
      <w:r w:rsidRPr="00F62DBE">
        <w:rPr>
          <w:rFonts w:cs="Calibri"/>
          <w:i/>
          <w:iCs/>
          <w:sz w:val="24"/>
          <w:szCs w:val="24"/>
        </w:rPr>
        <w:t xml:space="preserve"> des </w:t>
      </w:r>
      <w:proofErr w:type="spellStart"/>
      <w:r w:rsidRPr="00F62DBE">
        <w:rPr>
          <w:rFonts w:cs="Calibri"/>
          <w:i/>
          <w:iCs/>
          <w:sz w:val="24"/>
          <w:szCs w:val="24"/>
        </w:rPr>
        <w:t>XVIIe-XVIIIe</w:t>
      </w:r>
      <w:proofErr w:type="spellEnd"/>
      <w:r w:rsidRPr="00F62DBE">
        <w:rPr>
          <w:rFonts w:cs="Calibri"/>
          <w:i/>
          <w:iCs/>
          <w:sz w:val="24"/>
          <w:szCs w:val="24"/>
        </w:rPr>
        <w:t xml:space="preserve"> </w:t>
      </w:r>
      <w:proofErr w:type="spellStart"/>
      <w:r w:rsidRPr="00F62DBE">
        <w:rPr>
          <w:rFonts w:cs="Calibri"/>
          <w:i/>
          <w:iCs/>
          <w:sz w:val="24"/>
          <w:szCs w:val="24"/>
        </w:rPr>
        <w:t>Siecles</w:t>
      </w:r>
      <w:proofErr w:type="spellEnd"/>
      <w:r w:rsidRPr="00F62DBE">
        <w:rPr>
          <w:rFonts w:cs="Calibri"/>
          <w:i/>
          <w:iCs/>
          <w:sz w:val="24"/>
          <w:szCs w:val="24"/>
        </w:rPr>
        <w:t xml:space="preserve">: Rabbi </w:t>
      </w:r>
      <w:proofErr w:type="spellStart"/>
      <w:r w:rsidRPr="00F62DBE">
        <w:rPr>
          <w:rFonts w:cs="Calibri"/>
          <w:i/>
          <w:iCs/>
          <w:sz w:val="24"/>
          <w:szCs w:val="24"/>
        </w:rPr>
        <w:t>Khalifa</w:t>
      </w:r>
      <w:proofErr w:type="spellEnd"/>
      <w:r w:rsidRPr="00F62DBE">
        <w:rPr>
          <w:rFonts w:cs="Calibri"/>
          <w:i/>
          <w:iCs/>
          <w:sz w:val="24"/>
          <w:szCs w:val="24"/>
        </w:rPr>
        <w:t xml:space="preserve"> ben </w:t>
      </w:r>
      <w:proofErr w:type="spellStart"/>
      <w:r w:rsidRPr="00F62DBE">
        <w:rPr>
          <w:rFonts w:cs="Calibri"/>
          <w:i/>
          <w:iCs/>
          <w:sz w:val="24"/>
          <w:szCs w:val="24"/>
        </w:rPr>
        <w:t>Malka</w:t>
      </w:r>
      <w:proofErr w:type="spellEnd"/>
      <w:r w:rsidRPr="00F62DBE">
        <w:rPr>
          <w:rFonts w:cs="Calibri"/>
          <w:sz w:val="24"/>
          <w:szCs w:val="24"/>
        </w:rPr>
        <w:t xml:space="preserve">”, in: </w:t>
      </w:r>
      <w:proofErr w:type="spellStart"/>
      <w:r w:rsidRPr="00F62DBE">
        <w:rPr>
          <w:rFonts w:cs="Calibri"/>
          <w:i/>
          <w:iCs/>
          <w:sz w:val="24"/>
          <w:szCs w:val="24"/>
        </w:rPr>
        <w:t>Hommage</w:t>
      </w:r>
      <w:proofErr w:type="spellEnd"/>
      <w:r w:rsidRPr="00F62DBE">
        <w:rPr>
          <w:rFonts w:cs="Calibri"/>
          <w:i/>
          <w:iCs/>
          <w:sz w:val="24"/>
          <w:szCs w:val="24"/>
        </w:rPr>
        <w:t xml:space="preserve"> a Georges </w:t>
      </w:r>
      <w:proofErr w:type="spellStart"/>
      <w:r w:rsidRPr="00F62DBE">
        <w:rPr>
          <w:rFonts w:cs="Calibri"/>
          <w:i/>
          <w:iCs/>
          <w:sz w:val="24"/>
          <w:szCs w:val="24"/>
        </w:rPr>
        <w:t>Vajda</w:t>
      </w:r>
      <w:proofErr w:type="spellEnd"/>
      <w:r w:rsidRPr="00F62DBE">
        <w:rPr>
          <w:rFonts w:cs="Calibri"/>
          <w:sz w:val="24"/>
          <w:szCs w:val="24"/>
        </w:rPr>
        <w:t xml:space="preserve"> (Louvain 1980), 399- </w:t>
      </w:r>
      <w:proofErr w:type="gramStart"/>
      <w:r w:rsidRPr="00F62DBE">
        <w:rPr>
          <w:rFonts w:cs="Calibri"/>
          <w:sz w:val="24"/>
          <w:szCs w:val="24"/>
        </w:rPr>
        <w:t>405.;</w:t>
      </w:r>
      <w:proofErr w:type="gramEnd"/>
      <w:r w:rsidRPr="00F62DBE">
        <w:rPr>
          <w:rFonts w:cs="Calibri"/>
          <w:sz w:val="24"/>
          <w:szCs w:val="24"/>
        </w:rPr>
        <w:t xml:space="preserve"> Issachar Ben-Ami, </w:t>
      </w:r>
      <w:proofErr w:type="spellStart"/>
      <w:r w:rsidRPr="00F62DBE">
        <w:rPr>
          <w:rFonts w:cs="Calibri"/>
          <w:i/>
          <w:iCs/>
          <w:sz w:val="24"/>
          <w:szCs w:val="24"/>
        </w:rPr>
        <w:t>Ha’aratsat</w:t>
      </w:r>
      <w:proofErr w:type="spellEnd"/>
      <w:r w:rsidRPr="00F62DBE">
        <w:rPr>
          <w:rFonts w:cs="Calibri"/>
          <w:i/>
          <w:iCs/>
          <w:sz w:val="24"/>
          <w:szCs w:val="24"/>
        </w:rPr>
        <w:t xml:space="preserve"> </w:t>
      </w:r>
      <w:proofErr w:type="spellStart"/>
      <w:r w:rsidRPr="00F62DBE">
        <w:rPr>
          <w:rFonts w:cs="Calibri"/>
          <w:i/>
          <w:iCs/>
          <w:sz w:val="24"/>
          <w:szCs w:val="24"/>
        </w:rPr>
        <w:t>Kedoshim</w:t>
      </w:r>
      <w:proofErr w:type="spellEnd"/>
      <w:r w:rsidRPr="00F62DBE">
        <w:rPr>
          <w:rFonts w:cs="Calibri"/>
          <w:i/>
          <w:iCs/>
          <w:sz w:val="24"/>
          <w:szCs w:val="24"/>
        </w:rPr>
        <w:t xml:space="preserve"> be-</w:t>
      </w:r>
      <w:proofErr w:type="spellStart"/>
      <w:r w:rsidRPr="00F62DBE">
        <w:rPr>
          <w:rFonts w:cs="Calibri"/>
          <w:i/>
          <w:iCs/>
          <w:sz w:val="24"/>
          <w:szCs w:val="24"/>
        </w:rPr>
        <w:t>Kerev</w:t>
      </w:r>
      <w:proofErr w:type="spellEnd"/>
      <w:r w:rsidRPr="00F62DBE">
        <w:rPr>
          <w:rFonts w:cs="Calibri"/>
          <w:i/>
          <w:iCs/>
          <w:sz w:val="24"/>
          <w:szCs w:val="24"/>
        </w:rPr>
        <w:t xml:space="preserve"> </w:t>
      </w:r>
      <w:proofErr w:type="spellStart"/>
      <w:r w:rsidRPr="00F62DBE">
        <w:rPr>
          <w:rFonts w:cs="Calibri"/>
          <w:i/>
          <w:iCs/>
          <w:sz w:val="24"/>
          <w:szCs w:val="24"/>
        </w:rPr>
        <w:t>Yehudei</w:t>
      </w:r>
      <w:proofErr w:type="spellEnd"/>
      <w:r w:rsidRPr="00F62DBE">
        <w:rPr>
          <w:rFonts w:cs="Calibri"/>
          <w:sz w:val="24"/>
          <w:szCs w:val="24"/>
        </w:rPr>
        <w:t xml:space="preserve"> </w:t>
      </w:r>
      <w:r w:rsidRPr="00F62DBE">
        <w:rPr>
          <w:rFonts w:cs="Calibri"/>
          <w:i/>
          <w:iCs/>
          <w:sz w:val="24"/>
          <w:szCs w:val="24"/>
        </w:rPr>
        <w:t>Morocco</w:t>
      </w:r>
      <w:r w:rsidRPr="00F62DBE">
        <w:rPr>
          <w:rFonts w:cs="Calibri"/>
          <w:sz w:val="24"/>
          <w:szCs w:val="24"/>
        </w:rPr>
        <w:t xml:space="preserve"> (Jerusalem, 5744), </w:t>
      </w:r>
      <w:r w:rsidRPr="00F62DBE">
        <w:rPr>
          <w:rFonts w:cs="Calibri"/>
          <w:sz w:val="24"/>
          <w:szCs w:val="24"/>
          <w:highlight w:val="yellow"/>
        </w:rPr>
        <w:t>???</w:t>
      </w:r>
    </w:p>
  </w:footnote>
  <w:footnote w:id="5">
    <w:p w14:paraId="06593AD3" w14:textId="77777777" w:rsidR="00F62DBE" w:rsidRPr="00F62DBE" w:rsidRDefault="00F62DBE" w:rsidP="00F62DBE">
      <w:pPr>
        <w:pStyle w:val="FootnoteText1"/>
        <w:bidi w:val="0"/>
        <w:jc w:val="both"/>
        <w:rPr>
          <w:rFonts w:cs="Calibri"/>
          <w:sz w:val="24"/>
          <w:szCs w:val="24"/>
        </w:rPr>
      </w:pPr>
      <w:r>
        <w:rPr>
          <w:rStyle w:val="FootnoteReference"/>
        </w:rPr>
        <w:footnoteRef/>
      </w:r>
      <w:r>
        <w:rPr>
          <w:rtl/>
        </w:rPr>
        <w:t xml:space="preserve"> </w:t>
      </w:r>
      <w:proofErr w:type="spellStart"/>
      <w:r w:rsidRPr="00F62DBE">
        <w:rPr>
          <w:rFonts w:cs="Calibri"/>
          <w:sz w:val="24"/>
          <w:szCs w:val="24"/>
          <w:highlight w:val="yellow"/>
        </w:rPr>
        <w:t>Haim</w:t>
      </w:r>
      <w:proofErr w:type="spellEnd"/>
      <w:r w:rsidRPr="00F62DBE">
        <w:rPr>
          <w:rFonts w:cs="Calibri"/>
          <w:sz w:val="24"/>
          <w:szCs w:val="24"/>
          <w:highlight w:val="yellow"/>
        </w:rPr>
        <w:t xml:space="preserve"> </w:t>
      </w:r>
      <w:proofErr w:type="spellStart"/>
      <w:r w:rsidRPr="00F62DBE">
        <w:rPr>
          <w:rFonts w:cs="Calibri"/>
          <w:sz w:val="24"/>
          <w:szCs w:val="24"/>
          <w:highlight w:val="yellow"/>
        </w:rPr>
        <w:t>Zafrani</w:t>
      </w:r>
      <w:proofErr w:type="spellEnd"/>
      <w:r w:rsidRPr="00F62DBE">
        <w:rPr>
          <w:rFonts w:cs="Calibri"/>
          <w:sz w:val="24"/>
          <w:szCs w:val="24"/>
          <w:highlight w:val="yellow"/>
        </w:rPr>
        <w:t>…</w:t>
      </w:r>
      <w:proofErr w:type="gramStart"/>
      <w:r w:rsidRPr="00F62DBE">
        <w:rPr>
          <w:rFonts w:cs="Calibri"/>
          <w:sz w:val="24"/>
          <w:szCs w:val="24"/>
          <w:highlight w:val="yellow"/>
        </w:rPr>
        <w:t>?;</w:t>
      </w:r>
      <w:proofErr w:type="gramEnd"/>
      <w:r w:rsidRPr="00F62DBE">
        <w:rPr>
          <w:rFonts w:cs="Calibri"/>
          <w:sz w:val="24"/>
          <w:szCs w:val="24"/>
        </w:rPr>
        <w:t xml:space="preserve"> </w:t>
      </w:r>
      <w:proofErr w:type="spellStart"/>
      <w:r w:rsidRPr="00F62DBE">
        <w:rPr>
          <w:rFonts w:cs="Calibri"/>
          <w:sz w:val="24"/>
          <w:szCs w:val="24"/>
        </w:rPr>
        <w:t>Shlomo</w:t>
      </w:r>
      <w:proofErr w:type="spellEnd"/>
      <w:r w:rsidRPr="00F62DBE">
        <w:rPr>
          <w:rFonts w:cs="Calibri"/>
          <w:sz w:val="24"/>
          <w:szCs w:val="24"/>
        </w:rPr>
        <w:t xml:space="preserve"> </w:t>
      </w:r>
      <w:proofErr w:type="spellStart"/>
      <w:r w:rsidRPr="00F62DBE">
        <w:rPr>
          <w:rFonts w:cs="Calibri"/>
          <w:sz w:val="24"/>
          <w:szCs w:val="24"/>
        </w:rPr>
        <w:t>Elkayam</w:t>
      </w:r>
      <w:proofErr w:type="spellEnd"/>
      <w:r w:rsidRPr="00F62DBE">
        <w:rPr>
          <w:rFonts w:cs="Calibri"/>
          <w:sz w:val="24"/>
          <w:szCs w:val="24"/>
        </w:rPr>
        <w:t>, “</w:t>
      </w:r>
      <w:r w:rsidRPr="00F62DBE">
        <w:rPr>
          <w:rFonts w:cs="Calibri"/>
          <w:i/>
          <w:iCs/>
          <w:sz w:val="24"/>
          <w:szCs w:val="24"/>
        </w:rPr>
        <w:t>U-</w:t>
      </w:r>
      <w:proofErr w:type="spellStart"/>
      <w:r w:rsidRPr="00F62DBE">
        <w:rPr>
          <w:rFonts w:cs="Calibri"/>
          <w:i/>
          <w:iCs/>
          <w:sz w:val="24"/>
          <w:szCs w:val="24"/>
        </w:rPr>
        <w:t>ve</w:t>
      </w:r>
      <w:proofErr w:type="spellEnd"/>
      <w:r w:rsidRPr="00F62DBE">
        <w:rPr>
          <w:rFonts w:cs="Calibri"/>
          <w:i/>
          <w:iCs/>
          <w:sz w:val="24"/>
          <w:szCs w:val="24"/>
        </w:rPr>
        <w:t>-</w:t>
      </w:r>
      <w:proofErr w:type="spellStart"/>
      <w:r w:rsidRPr="00F62DBE">
        <w:rPr>
          <w:rFonts w:cs="Calibri"/>
          <w:i/>
          <w:iCs/>
          <w:sz w:val="24"/>
          <w:szCs w:val="24"/>
        </w:rPr>
        <w:t>Khen</w:t>
      </w:r>
      <w:proofErr w:type="spellEnd"/>
      <w:r w:rsidRPr="00F62DBE">
        <w:rPr>
          <w:rFonts w:cs="Calibri"/>
          <w:i/>
          <w:iCs/>
          <w:sz w:val="24"/>
          <w:szCs w:val="24"/>
        </w:rPr>
        <w:t xml:space="preserve"> ha-</w:t>
      </w:r>
      <w:proofErr w:type="spellStart"/>
      <w:r w:rsidRPr="00F62DBE">
        <w:rPr>
          <w:rFonts w:cs="Calibri"/>
          <w:i/>
          <w:iCs/>
          <w:sz w:val="24"/>
          <w:szCs w:val="24"/>
        </w:rPr>
        <w:t>Aniyim</w:t>
      </w:r>
      <w:proofErr w:type="spellEnd"/>
      <w:r w:rsidRPr="00F62DBE">
        <w:rPr>
          <w:rFonts w:cs="Calibri"/>
          <w:i/>
          <w:iCs/>
          <w:sz w:val="24"/>
          <w:szCs w:val="24"/>
        </w:rPr>
        <w:t xml:space="preserve"> </w:t>
      </w:r>
      <w:proofErr w:type="spellStart"/>
      <w:r w:rsidRPr="00F62DBE">
        <w:rPr>
          <w:rFonts w:cs="Calibri"/>
          <w:i/>
          <w:iCs/>
          <w:sz w:val="24"/>
          <w:szCs w:val="24"/>
        </w:rPr>
        <w:t>ve</w:t>
      </w:r>
      <w:proofErr w:type="spellEnd"/>
      <w:r w:rsidRPr="00F62DBE">
        <w:rPr>
          <w:rFonts w:cs="Calibri"/>
          <w:i/>
          <w:iCs/>
          <w:sz w:val="24"/>
          <w:szCs w:val="24"/>
        </w:rPr>
        <w:t>-ha-</w:t>
      </w:r>
      <w:proofErr w:type="spellStart"/>
      <w:r w:rsidRPr="00F62DBE">
        <w:rPr>
          <w:rFonts w:cs="Calibri"/>
          <w:i/>
          <w:iCs/>
          <w:sz w:val="24"/>
          <w:szCs w:val="24"/>
        </w:rPr>
        <w:t>Evyonim</w:t>
      </w:r>
      <w:proofErr w:type="spellEnd"/>
      <w:r w:rsidRPr="00F62DBE">
        <w:rPr>
          <w:rFonts w:cs="Calibri"/>
          <w:i/>
          <w:iCs/>
          <w:sz w:val="24"/>
          <w:szCs w:val="24"/>
        </w:rPr>
        <w:t xml:space="preserve"> </w:t>
      </w:r>
      <w:proofErr w:type="spellStart"/>
      <w:r w:rsidRPr="00F62DBE">
        <w:rPr>
          <w:rFonts w:cs="Calibri"/>
          <w:i/>
          <w:iCs/>
          <w:sz w:val="24"/>
          <w:szCs w:val="24"/>
        </w:rPr>
        <w:t>Mevakshim</w:t>
      </w:r>
      <w:proofErr w:type="spellEnd"/>
      <w:r w:rsidRPr="00F62DBE">
        <w:rPr>
          <w:rFonts w:cs="Calibri"/>
          <w:i/>
          <w:iCs/>
          <w:sz w:val="24"/>
          <w:szCs w:val="24"/>
        </w:rPr>
        <w:t xml:space="preserve"> </w:t>
      </w:r>
      <w:proofErr w:type="spellStart"/>
      <w:r w:rsidRPr="00F62DBE">
        <w:rPr>
          <w:rFonts w:cs="Calibri"/>
          <w:i/>
          <w:iCs/>
          <w:sz w:val="24"/>
          <w:szCs w:val="24"/>
        </w:rPr>
        <w:t>Mayim</w:t>
      </w:r>
      <w:proofErr w:type="spellEnd"/>
      <w:r w:rsidRPr="00F62DBE">
        <w:rPr>
          <w:rFonts w:cs="Calibri"/>
          <w:i/>
          <w:iCs/>
          <w:sz w:val="24"/>
          <w:szCs w:val="24"/>
        </w:rPr>
        <w:t xml:space="preserve">: </w:t>
      </w:r>
      <w:proofErr w:type="spellStart"/>
      <w:r w:rsidRPr="00F62DBE">
        <w:rPr>
          <w:rFonts w:cs="Calibri"/>
          <w:i/>
          <w:iCs/>
          <w:sz w:val="24"/>
          <w:szCs w:val="24"/>
        </w:rPr>
        <w:t>Piyyut</w:t>
      </w:r>
      <w:proofErr w:type="spellEnd"/>
      <w:r w:rsidRPr="00F62DBE">
        <w:rPr>
          <w:rFonts w:cs="Calibri"/>
          <w:i/>
          <w:iCs/>
          <w:sz w:val="24"/>
          <w:szCs w:val="24"/>
        </w:rPr>
        <w:t xml:space="preserve"> le-</w:t>
      </w:r>
      <w:proofErr w:type="spellStart"/>
      <w:r w:rsidRPr="00F62DBE">
        <w:rPr>
          <w:rFonts w:cs="Calibri"/>
          <w:i/>
          <w:iCs/>
          <w:sz w:val="24"/>
          <w:szCs w:val="24"/>
        </w:rPr>
        <w:t>Atsirat</w:t>
      </w:r>
      <w:proofErr w:type="spellEnd"/>
      <w:r w:rsidRPr="00F62DBE">
        <w:rPr>
          <w:rFonts w:cs="Calibri"/>
          <w:i/>
          <w:iCs/>
          <w:sz w:val="24"/>
          <w:szCs w:val="24"/>
        </w:rPr>
        <w:t xml:space="preserve"> </w:t>
      </w:r>
      <w:proofErr w:type="spellStart"/>
      <w:r w:rsidRPr="00F62DBE">
        <w:rPr>
          <w:rFonts w:cs="Calibri"/>
          <w:i/>
          <w:iCs/>
          <w:sz w:val="24"/>
          <w:szCs w:val="24"/>
        </w:rPr>
        <w:t>Geshamim</w:t>
      </w:r>
      <w:proofErr w:type="spellEnd"/>
      <w:r w:rsidRPr="00F62DBE">
        <w:rPr>
          <w:rFonts w:cs="Calibri"/>
          <w:i/>
          <w:iCs/>
          <w:sz w:val="24"/>
          <w:szCs w:val="24"/>
        </w:rPr>
        <w:t xml:space="preserve"> mi-</w:t>
      </w:r>
      <w:proofErr w:type="spellStart"/>
      <w:r w:rsidRPr="00F62DBE">
        <w:rPr>
          <w:rFonts w:cs="Calibri"/>
          <w:i/>
          <w:iCs/>
          <w:sz w:val="24"/>
          <w:szCs w:val="24"/>
        </w:rPr>
        <w:t>tokh</w:t>
      </w:r>
      <w:proofErr w:type="spellEnd"/>
      <w:r w:rsidRPr="00F62DBE">
        <w:rPr>
          <w:rFonts w:cs="Calibri"/>
          <w:i/>
          <w:iCs/>
          <w:sz w:val="24"/>
          <w:szCs w:val="24"/>
        </w:rPr>
        <w:t xml:space="preserve"> ‘</w:t>
      </w:r>
      <w:proofErr w:type="spellStart"/>
      <w:r w:rsidRPr="00F62DBE">
        <w:rPr>
          <w:rFonts w:cs="Calibri"/>
          <w:i/>
          <w:iCs/>
          <w:sz w:val="24"/>
          <w:szCs w:val="24"/>
        </w:rPr>
        <w:t>Kaf</w:t>
      </w:r>
      <w:proofErr w:type="spellEnd"/>
      <w:r w:rsidRPr="00F62DBE">
        <w:rPr>
          <w:rFonts w:cs="Calibri"/>
          <w:i/>
          <w:iCs/>
          <w:sz w:val="24"/>
          <w:szCs w:val="24"/>
        </w:rPr>
        <w:t xml:space="preserve"> </w:t>
      </w:r>
      <w:proofErr w:type="spellStart"/>
      <w:r w:rsidRPr="00F62DBE">
        <w:rPr>
          <w:rFonts w:cs="Calibri"/>
          <w:i/>
          <w:iCs/>
          <w:sz w:val="24"/>
          <w:szCs w:val="24"/>
        </w:rPr>
        <w:t>Naki</w:t>
      </w:r>
      <w:proofErr w:type="spellEnd"/>
      <w:r w:rsidRPr="00F62DBE">
        <w:rPr>
          <w:rFonts w:cs="Calibri"/>
          <w:i/>
          <w:iCs/>
          <w:sz w:val="24"/>
          <w:szCs w:val="24"/>
        </w:rPr>
        <w:t xml:space="preserve">’ </w:t>
      </w:r>
      <w:r w:rsidRPr="00F62DBE">
        <w:rPr>
          <w:rFonts w:cs="Calibri"/>
          <w:sz w:val="24"/>
          <w:szCs w:val="24"/>
        </w:rPr>
        <w:t>[manuscript version]</w:t>
      </w:r>
      <w:r w:rsidRPr="00F62DBE">
        <w:rPr>
          <w:rFonts w:cs="Calibri"/>
          <w:i/>
          <w:iCs/>
          <w:sz w:val="24"/>
          <w:szCs w:val="24"/>
        </w:rPr>
        <w:t xml:space="preserve"> le-R. </w:t>
      </w:r>
      <w:proofErr w:type="spellStart"/>
      <w:r w:rsidRPr="00F62DBE">
        <w:rPr>
          <w:rFonts w:cs="Calibri"/>
          <w:i/>
          <w:iCs/>
          <w:sz w:val="24"/>
          <w:szCs w:val="24"/>
        </w:rPr>
        <w:t>Khalifa</w:t>
      </w:r>
      <w:proofErr w:type="spellEnd"/>
      <w:r w:rsidRPr="00F62DBE">
        <w:rPr>
          <w:rFonts w:cs="Calibri"/>
          <w:i/>
          <w:iCs/>
          <w:sz w:val="24"/>
          <w:szCs w:val="24"/>
        </w:rPr>
        <w:t xml:space="preserve"> Ben </w:t>
      </w:r>
      <w:proofErr w:type="spellStart"/>
      <w:r w:rsidRPr="00F62DBE">
        <w:rPr>
          <w:rFonts w:cs="Calibri"/>
          <w:i/>
          <w:iCs/>
          <w:sz w:val="24"/>
          <w:szCs w:val="24"/>
        </w:rPr>
        <w:t>Malka</w:t>
      </w:r>
      <w:proofErr w:type="spellEnd"/>
      <w:r w:rsidRPr="00F62DBE">
        <w:rPr>
          <w:rFonts w:cs="Calibri"/>
          <w:sz w:val="24"/>
          <w:szCs w:val="24"/>
        </w:rPr>
        <w:t xml:space="preserve">” </w:t>
      </w:r>
      <w:proofErr w:type="spellStart"/>
      <w:r w:rsidRPr="000E3772">
        <w:rPr>
          <w:rFonts w:ascii="David" w:hAnsi="David" w:cs="David"/>
          <w:i/>
          <w:iCs/>
          <w:sz w:val="24"/>
          <w:szCs w:val="24"/>
        </w:rPr>
        <w:t>Berit</w:t>
      </w:r>
      <w:proofErr w:type="spellEnd"/>
      <w:r w:rsidRPr="000E3772">
        <w:rPr>
          <w:rFonts w:ascii="David" w:hAnsi="David" w:cs="David"/>
          <w:i/>
          <w:iCs/>
          <w:sz w:val="24"/>
          <w:szCs w:val="24"/>
        </w:rPr>
        <w:t xml:space="preserve"> </w:t>
      </w:r>
      <w:r>
        <w:rPr>
          <w:rFonts w:ascii="David" w:hAnsi="David" w:cs="David"/>
          <w:sz w:val="24"/>
          <w:szCs w:val="24"/>
        </w:rPr>
        <w:t xml:space="preserve">(27) 5768, 86-90.; </w:t>
      </w:r>
      <w:r>
        <w:rPr>
          <w:rFonts w:ascii="David" w:hAnsi="David" w:cs="David"/>
          <w:sz w:val="24"/>
          <w:szCs w:val="24"/>
          <w:highlight w:val="yellow"/>
        </w:rPr>
        <w:t>idem</w:t>
      </w:r>
      <w:r w:rsidRPr="000E3772">
        <w:rPr>
          <w:rFonts w:ascii="David" w:hAnsi="David" w:cs="David"/>
          <w:sz w:val="24"/>
          <w:szCs w:val="24"/>
          <w:highlight w:val="yellow"/>
        </w:rPr>
        <w:t>,</w:t>
      </w:r>
      <w:r>
        <w:rPr>
          <w:rFonts w:ascii="David" w:hAnsi="David" w:cs="David"/>
          <w:sz w:val="24"/>
          <w:szCs w:val="24"/>
          <w:highlight w:val="yellow"/>
        </w:rPr>
        <w:t xml:space="preserve"> “</w:t>
      </w:r>
      <w:proofErr w:type="spellStart"/>
      <w:r w:rsidRPr="00285B37">
        <w:rPr>
          <w:rFonts w:ascii="David" w:hAnsi="David" w:cs="David"/>
          <w:i/>
          <w:iCs/>
          <w:sz w:val="24"/>
          <w:szCs w:val="24"/>
          <w:highlight w:val="yellow"/>
        </w:rPr>
        <w:t>Piyyutei</w:t>
      </w:r>
      <w:proofErr w:type="spellEnd"/>
      <w:r w:rsidRPr="00285B37">
        <w:rPr>
          <w:rFonts w:ascii="David" w:hAnsi="David" w:cs="David"/>
          <w:i/>
          <w:iCs/>
          <w:sz w:val="24"/>
          <w:szCs w:val="24"/>
          <w:highlight w:val="yellow"/>
        </w:rPr>
        <w:t xml:space="preserve"> </w:t>
      </w:r>
      <w:proofErr w:type="spellStart"/>
      <w:r w:rsidRPr="00285B37">
        <w:rPr>
          <w:rFonts w:ascii="David" w:hAnsi="David" w:cs="David"/>
          <w:i/>
          <w:iCs/>
          <w:sz w:val="24"/>
          <w:szCs w:val="24"/>
          <w:highlight w:val="yellow"/>
        </w:rPr>
        <w:t>Tehinah</w:t>
      </w:r>
      <w:proofErr w:type="spellEnd"/>
      <w:r w:rsidRPr="00285B37">
        <w:rPr>
          <w:rFonts w:ascii="David" w:hAnsi="David" w:cs="David"/>
          <w:i/>
          <w:iCs/>
          <w:sz w:val="24"/>
          <w:szCs w:val="24"/>
          <w:highlight w:val="yellow"/>
        </w:rPr>
        <w:t xml:space="preserve"> be-</w:t>
      </w:r>
      <w:proofErr w:type="spellStart"/>
      <w:r w:rsidRPr="00285B37">
        <w:rPr>
          <w:rFonts w:ascii="David" w:hAnsi="David" w:cs="David"/>
          <w:i/>
          <w:iCs/>
          <w:sz w:val="24"/>
          <w:szCs w:val="24"/>
          <w:highlight w:val="yellow"/>
        </w:rPr>
        <w:t>Mahzor</w:t>
      </w:r>
      <w:proofErr w:type="spellEnd"/>
      <w:r w:rsidRPr="00285B37">
        <w:rPr>
          <w:rFonts w:ascii="David" w:hAnsi="David" w:cs="David"/>
          <w:i/>
          <w:iCs/>
          <w:sz w:val="24"/>
          <w:szCs w:val="24"/>
          <w:highlight w:val="yellow"/>
        </w:rPr>
        <w:t xml:space="preserve"> Fes</w:t>
      </w:r>
      <w:r>
        <w:rPr>
          <w:rFonts w:ascii="David" w:hAnsi="David" w:cs="David"/>
          <w:sz w:val="24"/>
          <w:szCs w:val="24"/>
          <w:highlight w:val="yellow"/>
        </w:rPr>
        <w:t xml:space="preserve">” </w:t>
      </w:r>
      <w:r w:rsidRPr="000E3772">
        <w:rPr>
          <w:rFonts w:ascii="David" w:hAnsi="David" w:cs="David"/>
          <w:sz w:val="24"/>
          <w:szCs w:val="24"/>
          <w:highlight w:val="yellow"/>
        </w:rPr>
        <w:t xml:space="preserve">Y. </w:t>
      </w:r>
      <w:proofErr w:type="spellStart"/>
      <w:r w:rsidRPr="000E3772">
        <w:rPr>
          <w:rFonts w:ascii="David" w:hAnsi="David" w:cs="David"/>
          <w:sz w:val="24"/>
          <w:szCs w:val="24"/>
          <w:highlight w:val="yellow"/>
        </w:rPr>
        <w:t>Dishon</w:t>
      </w:r>
      <w:proofErr w:type="spellEnd"/>
      <w:r w:rsidRPr="000E3772">
        <w:rPr>
          <w:rFonts w:ascii="David" w:hAnsi="David" w:cs="David"/>
          <w:sz w:val="24"/>
          <w:szCs w:val="24"/>
          <w:highlight w:val="yellow"/>
        </w:rPr>
        <w:t xml:space="preserve"> &amp; </w:t>
      </w:r>
      <w:r>
        <w:rPr>
          <w:rFonts w:ascii="David" w:hAnsi="David" w:cs="David"/>
          <w:sz w:val="24"/>
          <w:szCs w:val="24"/>
          <w:highlight w:val="yellow"/>
        </w:rPr>
        <w:t>E</w:t>
      </w:r>
      <w:r w:rsidRPr="000E3772">
        <w:rPr>
          <w:rFonts w:ascii="David" w:hAnsi="David" w:cs="David"/>
          <w:sz w:val="24"/>
          <w:szCs w:val="24"/>
          <w:highlight w:val="yellow"/>
        </w:rPr>
        <w:t xml:space="preserve">. </w:t>
      </w:r>
      <w:proofErr w:type="spellStart"/>
      <w:r w:rsidRPr="000E3772">
        <w:rPr>
          <w:rFonts w:ascii="David" w:hAnsi="David" w:cs="David"/>
          <w:sz w:val="24"/>
          <w:szCs w:val="24"/>
          <w:highlight w:val="yellow"/>
        </w:rPr>
        <w:t>Hazzan</w:t>
      </w:r>
      <w:proofErr w:type="spellEnd"/>
      <w:r w:rsidRPr="000E3772">
        <w:rPr>
          <w:rFonts w:ascii="David" w:hAnsi="David" w:cs="David"/>
          <w:sz w:val="24"/>
          <w:szCs w:val="24"/>
          <w:highlight w:val="yellow"/>
        </w:rPr>
        <w:t xml:space="preserve"> (eds.), </w:t>
      </w:r>
      <w:proofErr w:type="spellStart"/>
      <w:r w:rsidRPr="00285B37">
        <w:rPr>
          <w:rFonts w:ascii="David" w:hAnsi="David" w:cs="David"/>
          <w:i/>
          <w:iCs/>
          <w:sz w:val="24"/>
          <w:szCs w:val="24"/>
          <w:highlight w:val="yellow"/>
        </w:rPr>
        <w:t>Pirkei</w:t>
      </w:r>
      <w:proofErr w:type="spellEnd"/>
      <w:r w:rsidRPr="00285B37">
        <w:rPr>
          <w:rFonts w:ascii="David" w:hAnsi="David" w:cs="David"/>
          <w:i/>
          <w:iCs/>
          <w:sz w:val="24"/>
          <w:szCs w:val="24"/>
          <w:highlight w:val="yellow"/>
        </w:rPr>
        <w:t xml:space="preserve"> </w:t>
      </w:r>
      <w:proofErr w:type="spellStart"/>
      <w:r w:rsidRPr="00285B37">
        <w:rPr>
          <w:rFonts w:ascii="David" w:hAnsi="David" w:cs="David"/>
          <w:i/>
          <w:iCs/>
          <w:sz w:val="24"/>
          <w:szCs w:val="24"/>
          <w:highlight w:val="yellow"/>
        </w:rPr>
        <w:t>Shira</w:t>
      </w:r>
      <w:proofErr w:type="spellEnd"/>
      <w:r w:rsidRPr="000E3772">
        <w:rPr>
          <w:rFonts w:ascii="David" w:hAnsi="David" w:cs="David"/>
          <w:sz w:val="24"/>
          <w:szCs w:val="24"/>
          <w:highlight w:val="yellow"/>
        </w:rPr>
        <w:t xml:space="preserve"> 4 (5768), 107-123</w:t>
      </w:r>
      <w:r>
        <w:rPr>
          <w:rFonts w:ascii="David" w:hAnsi="David" w:cs="David"/>
          <w:sz w:val="24"/>
          <w:szCs w:val="24"/>
        </w:rPr>
        <w:t>; idem, “</w:t>
      </w:r>
      <w:proofErr w:type="spellStart"/>
      <w:r>
        <w:rPr>
          <w:rFonts w:ascii="David" w:hAnsi="David" w:cs="David"/>
          <w:i/>
          <w:iCs/>
          <w:sz w:val="24"/>
          <w:szCs w:val="24"/>
        </w:rPr>
        <w:t>Shir</w:t>
      </w:r>
      <w:proofErr w:type="spellEnd"/>
      <w:r>
        <w:rPr>
          <w:rFonts w:ascii="David" w:hAnsi="David" w:cs="David"/>
          <w:i/>
          <w:iCs/>
          <w:sz w:val="24"/>
          <w:szCs w:val="24"/>
        </w:rPr>
        <w:t xml:space="preserve"> </w:t>
      </w:r>
      <w:proofErr w:type="spellStart"/>
      <w:r>
        <w:rPr>
          <w:rFonts w:ascii="David" w:hAnsi="David" w:cs="David"/>
          <w:i/>
          <w:iCs/>
          <w:sz w:val="24"/>
          <w:szCs w:val="24"/>
        </w:rPr>
        <w:t>Todah</w:t>
      </w:r>
      <w:proofErr w:type="spellEnd"/>
      <w:r>
        <w:rPr>
          <w:rFonts w:ascii="David" w:hAnsi="David" w:cs="David"/>
          <w:i/>
          <w:iCs/>
          <w:sz w:val="24"/>
          <w:szCs w:val="24"/>
        </w:rPr>
        <w:t xml:space="preserve"> al </w:t>
      </w:r>
      <w:proofErr w:type="spellStart"/>
      <w:r>
        <w:rPr>
          <w:rFonts w:ascii="David" w:hAnsi="David" w:cs="David"/>
          <w:i/>
          <w:iCs/>
          <w:sz w:val="24"/>
          <w:szCs w:val="24"/>
        </w:rPr>
        <w:t>Batei</w:t>
      </w:r>
      <w:proofErr w:type="spellEnd"/>
      <w:r>
        <w:rPr>
          <w:rFonts w:ascii="David" w:hAnsi="David" w:cs="David"/>
          <w:i/>
          <w:iCs/>
          <w:sz w:val="24"/>
          <w:szCs w:val="24"/>
        </w:rPr>
        <w:t xml:space="preserve"> ha-Knesset </w:t>
      </w:r>
      <w:proofErr w:type="spellStart"/>
      <w:r>
        <w:rPr>
          <w:rFonts w:ascii="David" w:hAnsi="David" w:cs="David"/>
          <w:i/>
          <w:iCs/>
          <w:sz w:val="24"/>
          <w:szCs w:val="24"/>
        </w:rPr>
        <w:t>shel</w:t>
      </w:r>
      <w:proofErr w:type="spellEnd"/>
      <w:r>
        <w:rPr>
          <w:rFonts w:ascii="David" w:hAnsi="David" w:cs="David"/>
          <w:i/>
          <w:iCs/>
          <w:sz w:val="24"/>
          <w:szCs w:val="24"/>
        </w:rPr>
        <w:t xml:space="preserve"> Agadir </w:t>
      </w:r>
      <w:proofErr w:type="spellStart"/>
      <w:r>
        <w:rPr>
          <w:rFonts w:ascii="David" w:hAnsi="David" w:cs="David"/>
          <w:i/>
          <w:iCs/>
          <w:sz w:val="24"/>
          <w:szCs w:val="24"/>
        </w:rPr>
        <w:t>ve-She’ar</w:t>
      </w:r>
      <w:proofErr w:type="spellEnd"/>
      <w:r>
        <w:rPr>
          <w:rFonts w:ascii="David" w:hAnsi="David" w:cs="David"/>
          <w:i/>
          <w:iCs/>
          <w:sz w:val="24"/>
          <w:szCs w:val="24"/>
        </w:rPr>
        <w:t xml:space="preserve"> </w:t>
      </w:r>
      <w:proofErr w:type="spellStart"/>
      <w:r>
        <w:rPr>
          <w:rFonts w:ascii="David" w:hAnsi="David" w:cs="David"/>
          <w:i/>
          <w:iCs/>
          <w:sz w:val="24"/>
          <w:szCs w:val="24"/>
        </w:rPr>
        <w:t>Arei</w:t>
      </w:r>
      <w:proofErr w:type="spellEnd"/>
      <w:r>
        <w:rPr>
          <w:rFonts w:ascii="David" w:hAnsi="David" w:cs="David"/>
          <w:i/>
          <w:iCs/>
          <w:sz w:val="24"/>
          <w:szCs w:val="24"/>
        </w:rPr>
        <w:t xml:space="preserve"> ha-</w:t>
      </w:r>
      <w:proofErr w:type="spellStart"/>
      <w:r>
        <w:rPr>
          <w:rFonts w:ascii="David" w:hAnsi="David" w:cs="David"/>
          <w:i/>
          <w:iCs/>
          <w:sz w:val="24"/>
          <w:szCs w:val="24"/>
        </w:rPr>
        <w:t>Sus</w:t>
      </w:r>
      <w:proofErr w:type="spellEnd"/>
      <w:r>
        <w:rPr>
          <w:rFonts w:ascii="David" w:hAnsi="David" w:cs="David"/>
          <w:i/>
          <w:iCs/>
          <w:sz w:val="24"/>
          <w:szCs w:val="24"/>
        </w:rPr>
        <w:t xml:space="preserve"> ‘she-</w:t>
      </w:r>
      <w:proofErr w:type="spellStart"/>
      <w:r>
        <w:rPr>
          <w:rFonts w:ascii="David" w:hAnsi="David" w:cs="David"/>
          <w:i/>
          <w:iCs/>
          <w:sz w:val="24"/>
          <w:szCs w:val="24"/>
        </w:rPr>
        <w:t>Hazru</w:t>
      </w:r>
      <w:proofErr w:type="spellEnd"/>
      <w:r>
        <w:rPr>
          <w:rFonts w:ascii="David" w:hAnsi="David" w:cs="David"/>
          <w:i/>
          <w:iCs/>
          <w:sz w:val="24"/>
          <w:szCs w:val="24"/>
        </w:rPr>
        <w:t xml:space="preserve"> le-</w:t>
      </w:r>
      <w:proofErr w:type="spellStart"/>
      <w:r>
        <w:rPr>
          <w:rFonts w:ascii="David" w:hAnsi="David" w:cs="David"/>
          <w:i/>
          <w:iCs/>
          <w:sz w:val="24"/>
          <w:szCs w:val="24"/>
        </w:rPr>
        <w:t>Yishuvan</w:t>
      </w:r>
      <w:proofErr w:type="spellEnd"/>
      <w:r>
        <w:rPr>
          <w:rFonts w:ascii="David" w:hAnsi="David" w:cs="David"/>
          <w:sz w:val="24"/>
          <w:szCs w:val="24"/>
        </w:rPr>
        <w:t xml:space="preserve">” </w:t>
      </w:r>
      <w:proofErr w:type="spellStart"/>
      <w:r>
        <w:rPr>
          <w:rFonts w:ascii="David" w:hAnsi="David" w:cs="David"/>
          <w:i/>
          <w:iCs/>
          <w:sz w:val="24"/>
          <w:szCs w:val="24"/>
        </w:rPr>
        <w:t>Berit</w:t>
      </w:r>
      <w:proofErr w:type="spellEnd"/>
      <w:r>
        <w:rPr>
          <w:rFonts w:ascii="David" w:hAnsi="David" w:cs="David"/>
          <w:i/>
          <w:iCs/>
          <w:sz w:val="24"/>
          <w:szCs w:val="24"/>
        </w:rPr>
        <w:t xml:space="preserve"> </w:t>
      </w:r>
      <w:r w:rsidRPr="00285B37">
        <w:rPr>
          <w:rFonts w:ascii="David" w:hAnsi="David" w:cs="David"/>
          <w:sz w:val="24"/>
          <w:szCs w:val="24"/>
        </w:rPr>
        <w:t>21 (5763)</w:t>
      </w:r>
      <w:proofErr w:type="gramStart"/>
      <w:r w:rsidRPr="00285B37">
        <w:rPr>
          <w:rFonts w:ascii="David" w:hAnsi="David" w:cs="David"/>
          <w:sz w:val="24"/>
          <w:szCs w:val="24"/>
        </w:rPr>
        <w:t>,</w:t>
      </w:r>
      <w:r>
        <w:rPr>
          <w:rFonts w:ascii="David" w:hAnsi="David" w:cs="David"/>
          <w:sz w:val="24"/>
          <w:szCs w:val="24"/>
        </w:rPr>
        <w:t>44</w:t>
      </w:r>
      <w:proofErr w:type="gramEnd"/>
      <w:r>
        <w:rPr>
          <w:rFonts w:ascii="David" w:hAnsi="David" w:cs="David"/>
          <w:sz w:val="24"/>
          <w:szCs w:val="24"/>
        </w:rPr>
        <w:t>-49.</w:t>
      </w:r>
    </w:p>
  </w:footnote>
  <w:footnote w:id="6">
    <w:p w14:paraId="28326D32" w14:textId="77777777" w:rsidR="00F62DBE" w:rsidRDefault="00F62DBE" w:rsidP="00F62DBE">
      <w:pPr>
        <w:pStyle w:val="FootnoteText1"/>
        <w:bidi w:val="0"/>
      </w:pPr>
      <w:r>
        <w:rPr>
          <w:rStyle w:val="FootnoteReference"/>
        </w:rPr>
        <w:footnoteRef/>
      </w:r>
      <w:r>
        <w:rPr>
          <w:rtl/>
        </w:rPr>
        <w:t xml:space="preserve"> </w:t>
      </w:r>
      <w:proofErr w:type="spellStart"/>
      <w:r w:rsidRPr="00F62DBE">
        <w:rPr>
          <w:rFonts w:cs="Calibri"/>
          <w:sz w:val="24"/>
          <w:szCs w:val="24"/>
        </w:rPr>
        <w:t>Shlomo</w:t>
      </w:r>
      <w:proofErr w:type="spellEnd"/>
      <w:r w:rsidRPr="00F62DBE">
        <w:rPr>
          <w:rFonts w:cs="Calibri"/>
          <w:sz w:val="24"/>
          <w:szCs w:val="24"/>
        </w:rPr>
        <w:t xml:space="preserve"> </w:t>
      </w:r>
      <w:proofErr w:type="spellStart"/>
      <w:r w:rsidRPr="00F62DBE">
        <w:rPr>
          <w:rFonts w:cs="Calibri"/>
          <w:sz w:val="24"/>
          <w:szCs w:val="24"/>
        </w:rPr>
        <w:t>Elkayam</w:t>
      </w:r>
      <w:proofErr w:type="spellEnd"/>
      <w:r w:rsidRPr="00F62DBE">
        <w:rPr>
          <w:rFonts w:cs="Calibri"/>
          <w:sz w:val="24"/>
          <w:szCs w:val="24"/>
        </w:rPr>
        <w:t>, “</w:t>
      </w:r>
      <w:proofErr w:type="spellStart"/>
      <w:r w:rsidRPr="00F62DBE">
        <w:rPr>
          <w:rFonts w:cs="Calibri"/>
          <w:i/>
          <w:iCs/>
          <w:sz w:val="24"/>
          <w:szCs w:val="24"/>
        </w:rPr>
        <w:t>Inyyenei</w:t>
      </w:r>
      <w:proofErr w:type="spellEnd"/>
      <w:r w:rsidRPr="00F62DBE">
        <w:rPr>
          <w:rFonts w:cs="Calibri"/>
          <w:i/>
          <w:iCs/>
          <w:sz w:val="24"/>
          <w:szCs w:val="24"/>
        </w:rPr>
        <w:t xml:space="preserve"> </w:t>
      </w:r>
      <w:proofErr w:type="spellStart"/>
      <w:r w:rsidRPr="00F62DBE">
        <w:rPr>
          <w:rFonts w:cs="Calibri"/>
          <w:i/>
          <w:iCs/>
          <w:sz w:val="24"/>
          <w:szCs w:val="24"/>
        </w:rPr>
        <w:t>Lashon</w:t>
      </w:r>
      <w:proofErr w:type="spellEnd"/>
      <w:r w:rsidRPr="00F62DBE">
        <w:rPr>
          <w:rFonts w:cs="Calibri"/>
          <w:i/>
          <w:iCs/>
          <w:sz w:val="24"/>
          <w:szCs w:val="24"/>
        </w:rPr>
        <w:t xml:space="preserve"> be-</w:t>
      </w:r>
      <w:proofErr w:type="spellStart"/>
      <w:r w:rsidRPr="00F62DBE">
        <w:rPr>
          <w:rFonts w:cs="Calibri"/>
          <w:i/>
          <w:iCs/>
          <w:sz w:val="24"/>
          <w:szCs w:val="24"/>
        </w:rPr>
        <w:t>Haghut</w:t>
      </w:r>
      <w:proofErr w:type="spellEnd"/>
      <w:r w:rsidRPr="00F62DBE">
        <w:rPr>
          <w:rFonts w:cs="Calibri"/>
          <w:i/>
          <w:iCs/>
          <w:sz w:val="24"/>
          <w:szCs w:val="24"/>
        </w:rPr>
        <w:t xml:space="preserve"> ha-Siddur le-R. </w:t>
      </w:r>
      <w:proofErr w:type="spellStart"/>
      <w:r w:rsidRPr="00F62DBE">
        <w:rPr>
          <w:rFonts w:cs="Calibri"/>
          <w:i/>
          <w:iCs/>
          <w:sz w:val="24"/>
          <w:szCs w:val="24"/>
        </w:rPr>
        <w:t>Khalifa</w:t>
      </w:r>
      <w:proofErr w:type="spellEnd"/>
      <w:r w:rsidRPr="00F62DBE">
        <w:rPr>
          <w:rFonts w:cs="Calibri"/>
          <w:i/>
          <w:iCs/>
          <w:sz w:val="24"/>
          <w:szCs w:val="24"/>
        </w:rPr>
        <w:t xml:space="preserve"> Ben </w:t>
      </w:r>
      <w:proofErr w:type="spellStart"/>
      <w:r w:rsidRPr="00F62DBE">
        <w:rPr>
          <w:rFonts w:cs="Calibri"/>
          <w:i/>
          <w:iCs/>
          <w:sz w:val="24"/>
          <w:szCs w:val="24"/>
        </w:rPr>
        <w:t>Malka</w:t>
      </w:r>
      <w:proofErr w:type="spellEnd"/>
      <w:r w:rsidRPr="00F62DBE">
        <w:rPr>
          <w:rFonts w:cs="Calibri"/>
          <w:sz w:val="24"/>
          <w:szCs w:val="24"/>
        </w:rPr>
        <w:t xml:space="preserve">” in </w:t>
      </w:r>
      <w:r w:rsidRPr="00F62DBE">
        <w:rPr>
          <w:rFonts w:cs="Calibri"/>
          <w:i/>
          <w:iCs/>
          <w:sz w:val="24"/>
          <w:szCs w:val="24"/>
        </w:rPr>
        <w:t>Proceedings of the Eleventh World Congress of Jewish Studies</w:t>
      </w:r>
      <w:r w:rsidRPr="00F62DBE">
        <w:rPr>
          <w:rFonts w:cs="Calibri"/>
          <w:sz w:val="24"/>
          <w:szCs w:val="24"/>
        </w:rPr>
        <w:t>, Division 4, Volume 1 (Jerusalem, 1993), 201-204.</w:t>
      </w:r>
    </w:p>
  </w:footnote>
  <w:footnote w:id="7">
    <w:p w14:paraId="3193E803" w14:textId="77777777" w:rsidR="00F62DBE" w:rsidRDefault="00F62DBE" w:rsidP="00F62DBE">
      <w:pPr>
        <w:pStyle w:val="FootnoteText1"/>
        <w:bidi w:val="0"/>
        <w:jc w:val="both"/>
      </w:pPr>
      <w:r>
        <w:rPr>
          <w:rStyle w:val="FootnoteReference"/>
        </w:rPr>
        <w:footnoteRef/>
      </w:r>
      <w:r>
        <w:rPr>
          <w:rtl/>
        </w:rPr>
        <w:t xml:space="preserve"> </w:t>
      </w:r>
      <w:proofErr w:type="spellStart"/>
      <w:r w:rsidRPr="00F62DBE">
        <w:rPr>
          <w:rFonts w:cs="Calibri"/>
          <w:sz w:val="24"/>
          <w:szCs w:val="24"/>
        </w:rPr>
        <w:t>Shlomo</w:t>
      </w:r>
      <w:proofErr w:type="spellEnd"/>
      <w:r w:rsidRPr="00F62DBE">
        <w:rPr>
          <w:rFonts w:cs="Calibri"/>
          <w:sz w:val="24"/>
          <w:szCs w:val="24"/>
        </w:rPr>
        <w:t xml:space="preserve"> </w:t>
      </w:r>
      <w:proofErr w:type="spellStart"/>
      <w:r w:rsidRPr="00F62DBE">
        <w:rPr>
          <w:rFonts w:cs="Calibri"/>
          <w:sz w:val="24"/>
          <w:szCs w:val="24"/>
        </w:rPr>
        <w:t>Elkayam</w:t>
      </w:r>
      <w:proofErr w:type="spellEnd"/>
      <w:r w:rsidRPr="00F62DBE">
        <w:rPr>
          <w:rFonts w:cs="Calibri"/>
          <w:sz w:val="24"/>
          <w:szCs w:val="24"/>
        </w:rPr>
        <w:t>, “</w:t>
      </w:r>
      <w:proofErr w:type="spellStart"/>
      <w:r w:rsidRPr="00F62DBE">
        <w:rPr>
          <w:rFonts w:cs="Calibri"/>
          <w:i/>
          <w:iCs/>
          <w:sz w:val="24"/>
          <w:szCs w:val="24"/>
        </w:rPr>
        <w:t>Nusah</w:t>
      </w:r>
      <w:proofErr w:type="spellEnd"/>
      <w:r w:rsidRPr="00F62DBE">
        <w:rPr>
          <w:rFonts w:cs="Calibri"/>
          <w:i/>
          <w:iCs/>
          <w:sz w:val="24"/>
          <w:szCs w:val="24"/>
        </w:rPr>
        <w:t xml:space="preserve"> ha-</w:t>
      </w:r>
      <w:proofErr w:type="spellStart"/>
      <w:r w:rsidRPr="00F62DBE">
        <w:rPr>
          <w:rFonts w:cs="Calibri"/>
          <w:i/>
          <w:iCs/>
          <w:sz w:val="24"/>
          <w:szCs w:val="24"/>
        </w:rPr>
        <w:t>Tefillah</w:t>
      </w:r>
      <w:proofErr w:type="spellEnd"/>
      <w:r w:rsidRPr="00F62DBE">
        <w:rPr>
          <w:rFonts w:cs="Calibri"/>
          <w:i/>
          <w:iCs/>
          <w:sz w:val="24"/>
          <w:szCs w:val="24"/>
        </w:rPr>
        <w:t xml:space="preserve"> </w:t>
      </w:r>
      <w:proofErr w:type="spellStart"/>
      <w:r w:rsidRPr="00F62DBE">
        <w:rPr>
          <w:rFonts w:cs="Calibri"/>
          <w:i/>
          <w:iCs/>
          <w:sz w:val="24"/>
          <w:szCs w:val="24"/>
        </w:rPr>
        <w:t>shel</w:t>
      </w:r>
      <w:proofErr w:type="spellEnd"/>
      <w:r w:rsidRPr="00F62DBE">
        <w:rPr>
          <w:rFonts w:cs="Calibri"/>
          <w:i/>
          <w:iCs/>
          <w:sz w:val="24"/>
          <w:szCs w:val="24"/>
        </w:rPr>
        <w:t xml:space="preserve"> </w:t>
      </w:r>
      <w:proofErr w:type="spellStart"/>
      <w:r w:rsidRPr="00F62DBE">
        <w:rPr>
          <w:rFonts w:cs="Calibri"/>
          <w:i/>
          <w:iCs/>
          <w:sz w:val="24"/>
          <w:szCs w:val="24"/>
        </w:rPr>
        <w:t>Bnei</w:t>
      </w:r>
      <w:proofErr w:type="spellEnd"/>
      <w:r w:rsidRPr="00F62DBE">
        <w:rPr>
          <w:rFonts w:cs="Calibri"/>
          <w:i/>
          <w:iCs/>
          <w:sz w:val="24"/>
          <w:szCs w:val="24"/>
        </w:rPr>
        <w:t xml:space="preserve"> Morocco al pi </w:t>
      </w:r>
      <w:proofErr w:type="spellStart"/>
      <w:r w:rsidRPr="00F62DBE">
        <w:rPr>
          <w:rFonts w:cs="Calibri"/>
          <w:i/>
          <w:iCs/>
          <w:sz w:val="24"/>
          <w:szCs w:val="24"/>
        </w:rPr>
        <w:t>Sefer</w:t>
      </w:r>
      <w:proofErr w:type="spellEnd"/>
      <w:r w:rsidRPr="00F62DBE">
        <w:rPr>
          <w:rFonts w:cs="Calibri"/>
          <w:i/>
          <w:iCs/>
          <w:sz w:val="24"/>
          <w:szCs w:val="24"/>
        </w:rPr>
        <w:t xml:space="preserve"> </w:t>
      </w:r>
      <w:proofErr w:type="spellStart"/>
      <w:r w:rsidRPr="00F62DBE">
        <w:rPr>
          <w:rFonts w:cs="Calibri"/>
          <w:i/>
          <w:iCs/>
          <w:sz w:val="24"/>
          <w:szCs w:val="24"/>
        </w:rPr>
        <w:t>Kaf</w:t>
      </w:r>
      <w:proofErr w:type="spellEnd"/>
      <w:r w:rsidRPr="00F62DBE">
        <w:rPr>
          <w:rFonts w:cs="Calibri"/>
          <w:i/>
          <w:iCs/>
          <w:sz w:val="24"/>
          <w:szCs w:val="24"/>
        </w:rPr>
        <w:t xml:space="preserve"> </w:t>
      </w:r>
      <w:proofErr w:type="spellStart"/>
      <w:r w:rsidRPr="00F62DBE">
        <w:rPr>
          <w:rFonts w:cs="Calibri"/>
          <w:i/>
          <w:iCs/>
          <w:sz w:val="24"/>
          <w:szCs w:val="24"/>
        </w:rPr>
        <w:t>Naki</w:t>
      </w:r>
      <w:proofErr w:type="spellEnd"/>
      <w:r w:rsidRPr="00F62DBE">
        <w:rPr>
          <w:rFonts w:cs="Calibri"/>
          <w:i/>
          <w:iCs/>
          <w:sz w:val="24"/>
          <w:szCs w:val="24"/>
        </w:rPr>
        <w:t xml:space="preserve"> le-R. </w:t>
      </w:r>
      <w:proofErr w:type="spellStart"/>
      <w:r w:rsidRPr="00F62DBE">
        <w:rPr>
          <w:rFonts w:cs="Calibri"/>
          <w:i/>
          <w:iCs/>
          <w:sz w:val="24"/>
          <w:szCs w:val="24"/>
        </w:rPr>
        <w:t>Khalifa</w:t>
      </w:r>
      <w:proofErr w:type="spellEnd"/>
      <w:r w:rsidRPr="00F62DBE">
        <w:rPr>
          <w:rFonts w:cs="Calibri"/>
          <w:i/>
          <w:iCs/>
          <w:sz w:val="24"/>
          <w:szCs w:val="24"/>
        </w:rPr>
        <w:t xml:space="preserve"> Ben-</w:t>
      </w:r>
      <w:proofErr w:type="spellStart"/>
      <w:r w:rsidRPr="00F62DBE">
        <w:rPr>
          <w:rFonts w:cs="Calibri"/>
          <w:i/>
          <w:iCs/>
          <w:sz w:val="24"/>
          <w:szCs w:val="24"/>
        </w:rPr>
        <w:t>Malka</w:t>
      </w:r>
      <w:proofErr w:type="spellEnd"/>
      <w:r w:rsidRPr="00F62DBE">
        <w:rPr>
          <w:rFonts w:cs="Calibri"/>
          <w:sz w:val="24"/>
          <w:szCs w:val="24"/>
        </w:rPr>
        <w:t xml:space="preserve">” </w:t>
      </w:r>
      <w:proofErr w:type="spellStart"/>
      <w:r w:rsidRPr="00F62DBE">
        <w:rPr>
          <w:rFonts w:cs="Calibri"/>
          <w:i/>
          <w:iCs/>
          <w:sz w:val="24"/>
          <w:szCs w:val="24"/>
        </w:rPr>
        <w:t>Pe’amim</w:t>
      </w:r>
      <w:proofErr w:type="spellEnd"/>
      <w:r w:rsidRPr="00F62DBE">
        <w:rPr>
          <w:rFonts w:cs="Calibri"/>
          <w:sz w:val="24"/>
          <w:szCs w:val="24"/>
        </w:rPr>
        <w:t xml:space="preserve"> 78 (5759), 61-72.</w:t>
      </w:r>
    </w:p>
  </w:footnote>
  <w:footnote w:id="8">
    <w:p w14:paraId="1238948F" w14:textId="77777777" w:rsidR="00F62DBE" w:rsidRDefault="00F62DBE" w:rsidP="00F62DBE">
      <w:pPr>
        <w:pStyle w:val="FootnoteText1"/>
        <w:bidi w:val="0"/>
      </w:pPr>
      <w:r>
        <w:rPr>
          <w:rStyle w:val="FootnoteReference"/>
        </w:rPr>
        <w:footnoteRef/>
      </w:r>
      <w:r>
        <w:rPr>
          <w:rtl/>
        </w:rPr>
        <w:t xml:space="preserve"> </w:t>
      </w:r>
      <w:r w:rsidRPr="00F62DBE">
        <w:rPr>
          <w:rFonts w:cs="Calibri"/>
          <w:sz w:val="24"/>
          <w:szCs w:val="24"/>
        </w:rPr>
        <w:t>Kenan, Studies, 72- 98.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837B7"/>
    <w:multiLevelType w:val="hybridMultilevel"/>
    <w:tmpl w:val="8CBA5E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BE"/>
    <w:rsid w:val="001B3000"/>
    <w:rsid w:val="00382164"/>
    <w:rsid w:val="00963F77"/>
    <w:rsid w:val="00F62D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3A9"/>
  <w15:chartTrackingRefBased/>
  <w15:docId w15:val="{AE7E6975-BC97-4908-BB1E-13BF0CA5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F62DBE"/>
    <w:pPr>
      <w:bidi/>
      <w:spacing w:after="0" w:line="240" w:lineRule="auto"/>
    </w:pPr>
    <w:rPr>
      <w:sz w:val="20"/>
      <w:szCs w:val="20"/>
    </w:rPr>
  </w:style>
  <w:style w:type="character" w:customStyle="1" w:styleId="FootnoteTextChar">
    <w:name w:val="Footnote Text Char"/>
    <w:basedOn w:val="DefaultParagraphFont"/>
    <w:link w:val="FootnoteText1"/>
    <w:uiPriority w:val="99"/>
    <w:rsid w:val="00F62DBE"/>
    <w:rPr>
      <w:sz w:val="20"/>
      <w:szCs w:val="20"/>
    </w:rPr>
  </w:style>
  <w:style w:type="character" w:styleId="FootnoteReference">
    <w:name w:val="footnote reference"/>
    <w:basedOn w:val="DefaultParagraphFont"/>
    <w:uiPriority w:val="99"/>
    <w:semiHidden/>
    <w:unhideWhenUsed/>
    <w:rsid w:val="00F62DBE"/>
    <w:rPr>
      <w:vertAlign w:val="superscript"/>
    </w:rPr>
  </w:style>
  <w:style w:type="character" w:styleId="CommentReference">
    <w:name w:val="annotation reference"/>
    <w:basedOn w:val="DefaultParagraphFont"/>
    <w:uiPriority w:val="99"/>
    <w:semiHidden/>
    <w:unhideWhenUsed/>
    <w:rsid w:val="00F62DBE"/>
    <w:rPr>
      <w:sz w:val="16"/>
      <w:szCs w:val="16"/>
    </w:rPr>
  </w:style>
  <w:style w:type="paragraph" w:customStyle="1" w:styleId="CommentText1">
    <w:name w:val="Comment Text1"/>
    <w:basedOn w:val="Normal"/>
    <w:next w:val="CommentText"/>
    <w:link w:val="CommentTextChar"/>
    <w:uiPriority w:val="99"/>
    <w:semiHidden/>
    <w:unhideWhenUsed/>
    <w:rsid w:val="00F62DBE"/>
    <w:pPr>
      <w:bidi/>
      <w:spacing w:after="0" w:line="240" w:lineRule="auto"/>
    </w:pPr>
    <w:rPr>
      <w:sz w:val="20"/>
      <w:szCs w:val="20"/>
    </w:rPr>
  </w:style>
  <w:style w:type="character" w:customStyle="1" w:styleId="CommentTextChar">
    <w:name w:val="Comment Text Char"/>
    <w:basedOn w:val="DefaultParagraphFont"/>
    <w:link w:val="CommentText1"/>
    <w:uiPriority w:val="99"/>
    <w:semiHidden/>
    <w:rsid w:val="00F62DBE"/>
    <w:rPr>
      <w:sz w:val="20"/>
      <w:szCs w:val="20"/>
    </w:rPr>
  </w:style>
  <w:style w:type="paragraph" w:styleId="FootnoteText">
    <w:name w:val="footnote text"/>
    <w:basedOn w:val="Normal"/>
    <w:link w:val="FootnoteTextChar1"/>
    <w:uiPriority w:val="99"/>
    <w:semiHidden/>
    <w:unhideWhenUsed/>
    <w:rsid w:val="00F62DBE"/>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F62DBE"/>
    <w:rPr>
      <w:sz w:val="20"/>
      <w:szCs w:val="20"/>
    </w:rPr>
  </w:style>
  <w:style w:type="paragraph" w:styleId="CommentText">
    <w:name w:val="annotation text"/>
    <w:basedOn w:val="Normal"/>
    <w:link w:val="CommentTextChar1"/>
    <w:uiPriority w:val="99"/>
    <w:semiHidden/>
    <w:unhideWhenUsed/>
    <w:rsid w:val="00F62DBE"/>
    <w:pPr>
      <w:spacing w:line="240" w:lineRule="auto"/>
    </w:pPr>
    <w:rPr>
      <w:sz w:val="20"/>
      <w:szCs w:val="20"/>
    </w:rPr>
  </w:style>
  <w:style w:type="character" w:customStyle="1" w:styleId="CommentTextChar1">
    <w:name w:val="Comment Text Char1"/>
    <w:basedOn w:val="DefaultParagraphFont"/>
    <w:link w:val="CommentText"/>
    <w:uiPriority w:val="99"/>
    <w:semiHidden/>
    <w:rsid w:val="00F62DBE"/>
    <w:rPr>
      <w:sz w:val="20"/>
      <w:szCs w:val="20"/>
    </w:rPr>
  </w:style>
  <w:style w:type="paragraph" w:styleId="BalloonText">
    <w:name w:val="Balloon Text"/>
    <w:basedOn w:val="Normal"/>
    <w:link w:val="BalloonTextChar"/>
    <w:uiPriority w:val="99"/>
    <w:semiHidden/>
    <w:unhideWhenUsed/>
    <w:rsid w:val="00F62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2022-04-24T10:02:00Z</dcterms:created>
  <dcterms:modified xsi:type="dcterms:W3CDTF">2022-04-24T10:04:00Z</dcterms:modified>
</cp:coreProperties>
</file>