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both"/>
        <w:rPr>
          <w:rFonts w:ascii="Palatino Linotype" w:cs="Palatino Linotype" w:hAnsi="Palatino Linotype" w:eastAsia="Palatino Linotype"/>
          <w:color w:val="ed7d3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Project research</w:t>
      </w:r>
      <w:r>
        <w:rPr>
          <w:rFonts w:ascii="Palatino Linotype" w:cs="Palatino Linotype" w:hAnsi="Palatino Linotype" w:eastAsia="Palatino Linotype"/>
          <w:b w:val="1"/>
          <w:bCs w:val="1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color w:val="ed7d31"/>
          <w:rtl w:val="0"/>
        </w:rPr>
        <w:t xml:space="preserve">[not sure if this should be </w:t>
      </w:r>
      <w:r>
        <w:rPr>
          <w:rFonts w:ascii="Palatino Linotype" w:cs="Palatino Linotype" w:hAnsi="Palatino Linotype" w:eastAsia="Palatino Linotype"/>
          <w:color w:val="ed7d31"/>
          <w:rtl w:val="0"/>
        </w:rPr>
        <w:t>‘</w:t>
      </w:r>
      <w:r>
        <w:rPr>
          <w:rFonts w:ascii="Palatino Linotype" w:cs="Palatino Linotype" w:hAnsi="Palatino Linotype" w:eastAsia="Palatino Linotype"/>
          <w:color w:val="ed7d31"/>
          <w:rtl w:val="0"/>
        </w:rPr>
        <w:t>Research Project</w:t>
      </w:r>
      <w:r>
        <w:rPr>
          <w:rFonts w:ascii="Palatino Linotype" w:cs="Palatino Linotype" w:hAnsi="Palatino Linotype" w:eastAsia="Palatino Linotype"/>
          <w:color w:val="ed7d31"/>
          <w:rtl w:val="0"/>
        </w:rPr>
        <w:t xml:space="preserve">’ </w:t>
      </w:r>
      <w:r>
        <w:rPr>
          <w:rFonts w:ascii="Palatino Linotype" w:cs="Palatino Linotype" w:hAnsi="Palatino Linotype" w:eastAsia="Palatino Linotype"/>
          <w:color w:val="ed7d31"/>
          <w:rtl w:val="0"/>
        </w:rPr>
        <w:t>since the original phrase was in English]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Aphrodite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s fortunes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 in the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 xml:space="preserve">collective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imagination of the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ate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 xml:space="preserve"> A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n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tiquity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Project objective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Carry out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study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 topic of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explorations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myths related to Aphrodite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Late 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tiquity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with particular reference to the literature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IV and V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centuries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Task description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Analyze the presence of Aphrodite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related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myths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work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Late Antiquity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epic poets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Quintus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Tri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iodor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Colut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Panopoli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Analyze the presence of Aphrodite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related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myths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 prose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IV and V century 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etor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philosophers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specifically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emisti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J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ulian, Sa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lust, Libani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Look for the influence of neoplatonic philosophy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literature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devoted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myth.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Investigate any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possible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political meanings of the myth of Aphrodite and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Ae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nead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between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IV and V centur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ies,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also in relationship to the foundation of Constantinople.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Search for relations between the flowering of myths and traditions on Aphrodite and the main places of worship of the goddess (Cyprus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Paphos, B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blo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Expected results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construct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how wide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spread the cult of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in the eastern Mediterranean between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IV and V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centuries.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Demonstrate the level of inventiveness and originality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how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Aphrodite-related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mythological repertoire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changed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Late 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tiquity,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compared to other traditional 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orms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same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myth.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Highlight points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conflict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conciliation between pagan and Christian culture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relation to Aphrodite.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Propose an interpretation of the figure of Aphrodite,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the new functional import attributed to her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late antiquity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cultural context.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Alexandra Eppinger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recent book,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Hercules in der Sp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tantike. Die Rolle des Heros im Spannungsfeld von Heidentum und Christentum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(Wiesbaden 2015)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develops in depth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fortunes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interpretations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mythological figure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Herakles,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 hero, the Dorian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soul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reek culture, during the centuries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Late 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tiquity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Since this is a central figure of the ancient Greek and Roman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collective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imagina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the author assesses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presence in contexts of daily life, from the decorations in private houses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clothing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to regular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school lessons. This documentary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aspect of the study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rich in information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and details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precedes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subsequent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reconn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oitering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literary and philosophical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cultur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al spheres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survey on the fortune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certain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myth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Late 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tiquity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in fact, cannot prescind from a preliminary considerations on the significance of 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 use of myth itself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the poets and writers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IV and V centuries A.D. that evoked traditional figures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from their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mythological heritage did not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do so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with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same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innocence of their predecessors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archaic and classical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periods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The philosopher and mathematician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heon of Alexandria was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right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soberly and coherently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defin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myth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λόγος ψευδής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εἰκονίζων ἀλήθειαν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Progymnasmata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59, 21 Spengel).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great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danger for the Greek myth, in fact,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originated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even before by Christianity, from the Greek Enlightenment of the V century B.C., to use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effective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definition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coined by Wilhelm Nestle. The following centuries had tried in various ways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set up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 rationalistic rereading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filtering it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through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allegor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ical interpretation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what had at first appeared as the purest form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Greek Art was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now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fatally perceived as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n unwieldy topic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little credib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ility.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myth now needed to be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subjected to the scrutiny of reason, 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if used 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resource,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 was in sore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need of a new interpretation.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Late 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tiquity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had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 significant role to play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this process: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one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hand,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epic poe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continued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sustain itself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with myths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Quintus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Smyrna,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Panopoli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Tri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iodor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Colut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on the other hand philosophy, especially through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eoplatonism,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continued searching for obscure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interpretations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order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to systemati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ze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restore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meaning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mythological repertoire. Theon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outlook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from this point of view, not unlike that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J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ulian or Sa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lust,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author of the Treaty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Περὶ θεῶν καὶ κόσμου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After poetry and philosophy, the third variable was represented by Christianity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which found it easy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demonis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pagan cults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ridicule their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eccentricities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However, it also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knew how to progressively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co-opt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Greek myth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whe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never mythological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figures or events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re suited for a spiritual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or ascetic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reading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the interpretation of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figure of 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rist-Or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 is a case in point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figure of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prompts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inquiry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using Eppinger's method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: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Evaluat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on the one hand the continuity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cult 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myths in literature, understood 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longue dur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longitudinal study, while also taking into account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some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violent, punctual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events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ancient history.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Roman Republic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in fact,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went hand in hand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with the consecration of a goddess,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Greek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Venus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Romans, 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protectress and mythical ancestor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Julius Caesar, the man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that, together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his 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uccessor Octavian Augustus, was the principal creator of the new political order of the ancient world. The entire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mythography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Venus was then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revisited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adroitly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adapted to meet the needs of legitimization of imperial power: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construction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temple of Venus Genetrix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Forum of Caesar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was, in this sense,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one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most significant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architectural operations.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Late Antiquity was no less creative in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valorization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traditional mythological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heritage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going beyond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mere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literary sphere. The survival of ancient place names dedicated to divinit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other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mythological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characters, for example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demonstrates the lasting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vitality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classical collective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imagina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enaming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 urban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center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as the city of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rodisia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Caria is one case among many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which require to be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analyzed in the sense of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careful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diachronic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reconstruction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but also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paying attention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cultural persistence of the cult of Aphrodite.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hese premises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give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rise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following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question: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hat use was made of Venus/Aphrodite 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mythological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political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collective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imagina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Late Antiquity?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onsider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vast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extension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material,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one must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first of all identify the most important texts, where the mention of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acquires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 deeper meaning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than that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commonplace metaphor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 love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first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important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document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 xml:space="preserve"> Oration t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o Helios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 sort of "Christmas sermon" composed by the emperor Julian toward the end of 362, during his stay in Antioch.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One would surmise that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Emperor, known for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extreme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abstention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from self-indulgence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would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not grant too much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leeway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the goddess of love, even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from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hological or historical point of view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However, 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 what has been called one of the most important treaties 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religion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Late Antiquity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period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Julian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mention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divine ancestry of Aeneas and his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lineage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(40,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οἱ Ῥωμυλίδαι τε καὶ Αἰνεάδαι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); the goddess is defined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theological context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rather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political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marked by the cult of the Sun,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ὑπουργὸς Ἡλίῳ καὶ συγγενής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Shortly before (33),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J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ulian 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votes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some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remarks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the goddess also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astronomical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terms: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Aphrodite,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according to him,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represent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fusion of the celestial gods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as well 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love and unity of their harmony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σύγκρασις τῶν οὐρανίων θεῶν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καὶ τῆς ἁρμονίας αὐτῶν ἔτι φιλία καὶ ἕνωσις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 When the planet is located in the proximity of the Sun, a temperate climate reign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on earth stimulating living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beings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desire to reproduce. If Helios is the primary cause, Aphrodite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just as important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"enchanting our souls with 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charm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sending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her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more gentle and pure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rays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from the ether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the Earth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shin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brighter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gold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itself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"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ἡ θέλγουσα μὲν τὰς ψυχὰς ἡμῶν σὺν εὐφροσύνῃ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καταπέμπουσα δὲ εἰς γῆν ἐξ αἰθέρος αὐγὰς ἡδίστας καὶ ἀκηράτους αὐτοῦ τοῦ χρυσίου στιλπνοτέρας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other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handful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texts,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which J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ulian cites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symbol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of love even in a metaphorical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sense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require further analysis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. This should be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aimed also at detecting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any traces of the philosophical tradition that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starting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from Epicurus and Lucretius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had attributed to Venus a particular importance as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 organizing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principle of reality.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Still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sphere of prose 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rhetoric,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Themistius is 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interesting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author.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rhetorician and an imperial offic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IV century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Constantinople,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he was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considered by Libani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us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 traitor to the culture of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polis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since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moment in which he accepted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public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new capital.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recurring motif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diplomatic prose is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κεστὸς Ἀφροδίτης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belt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always enriched by 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seductive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meaning.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mong the many texts that I intend to sub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ject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close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reading in search of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interpretatio themistiana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myth of Aphrodite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Oration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13 (176d-177a), addressed to Gra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ian in 376.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theme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love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winning over strength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shrewd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politi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cian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rhetorician refers to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copy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Gigantomach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located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plinth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senate building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recently founded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city of Constantinople.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that bas-relief,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giant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taking 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Love is the only one not to bear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traces of fury,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out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respect toward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mythical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figure and divine power superior to that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weapons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pic poetry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on the other hand, requires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different focus. To this end, I intend to dwell 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Quintus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Smyrna and, to a greater extent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Panopoli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the last great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epic poet of myths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An episode of the XXIV book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Dion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siac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the singing of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while working at the loom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is particularly interesting,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not just because of 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aesthetic value,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but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also because it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records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myth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that 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unknown from other sources. At the request of the Cypriot Lapet, the designated singer tells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 curious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story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about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trying her hand 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spinning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activit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not suited to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goddess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leisure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love.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episode closes with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predictable failure of this attempt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as well 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Athena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anger,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who feels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deprived of one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prerogatives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the escape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Cyprus, 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native island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. The story 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characterized by a strong impression of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imitatio Homerica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(Hopkinson) and by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successful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humor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ous tone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Previous 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tudies (Vian, Hopkinson) have brought to light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connection between this story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Homer and Callimachus,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as well as some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attempts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 meta-textual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interpretation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resulting cloth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suggested by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tructuralist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literary critics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On the basis of the most recent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critical interpretation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it would be interesting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relat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section of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at the loom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with the other parts of the poem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where 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devotes his verses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with the presence of the goddess 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cult and the collective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literary imagination of the Late Antiquity (e.g. in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 xml:space="preserve">Orphic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ymns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A brilliant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hypothesis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proposes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have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scene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originate 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Cypriot myth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which was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recently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evoked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"to explain a few depiction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seen 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spinn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" (Chuvin,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Gigli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which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suggests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 importance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consider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local aspect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Aphrodite cult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Gigli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and Chuvin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considerations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can,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fact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be profitably complemented by the islanders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pride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concerning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birth of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 Cyprus.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ccording to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very intriguing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hypothesis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also the fifth book of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Iliad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which records the sole occurrence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of the epithet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Κύπρις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throughout the Homeric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poems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may have been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archaic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fruit of the labor of a Cypriot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a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oi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d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os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(Cassi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Along the same lines,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attribution of the epithet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φιληλάκατος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distaff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lover' to the goddess Aphrodite 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Dion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siac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hapax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24.242) is not attested outside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opus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It is interesting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 thus becomes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spokesperson or creator of an original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myth and in so doing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grant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space,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all likelihood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 local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traditions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in Cyprus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possibly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Patria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detailed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history of the V century, moreover,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raises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question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continued vi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tality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pagan cults in peripheral areas of the Mediterranean in the Late Antiquity,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even if Nonnus may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admitted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ly be citing here an older mythological or poetic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source.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ther episode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in 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writings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that revolves around one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best known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myths of Aphrodite 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 be found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XXIX book: Rea sends a dream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deceiv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Ares, promis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situation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contrary to that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Od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8.266-366. Instead of betraying her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legitimate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husband with Ares,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would again fall in love 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Hephaestus. The Homeric imitation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mixe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here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with a well-known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lucianea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(Agosti) and a vocabulary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includes a Hesiod-like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term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: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ἀλυκτοπέδη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(v. 354), recovered from the poetry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ntiquity.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Finally, 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tory of Morr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 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alcomeda in books XXXIII-XXXV, where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Aphrodite herself plays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decisive role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could be said to be 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boundar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between myth 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novel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comic scene of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loom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XXIV book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therefore, is then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corrected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’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triumph of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rodite-C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alcomeda in XXXV: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How can we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speak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rebirth of the myth of Aphrodite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epoch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? In what terms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can we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instead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discuss this being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challenge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 the myth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at the time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final waning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?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Beyond the world of epic poetry,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moreover,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myth of Aphrodite as the progenitor of the Roman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lineage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also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raises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more fundamental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question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at the time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which Constantine founded the new capital on the Bosphorus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brought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imperial banner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back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whe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nce Ae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nea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came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and with him,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even if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much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later, also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Great Mother of the gods, to which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J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ulian dedicates a famous hymn. A recognition of this historical-political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aspect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myth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especially in its Roman version, can reveal neglected aspects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of 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fortunes,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also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seen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light of the late antiquity tradition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Patria.</w:t>
      </w: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jc w:val="both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pagan culture of Late Antiquity had a constant interest toward the theme of love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embodied by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rodite, not only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its sexual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dimension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the opposition between Aphrodite Urania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vs.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Aphrodite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Pandemo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already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been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theorized by Plato in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Symposium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(180d-181D). </w:t>
      </w:r>
    </w:p>
    <w:p>
      <w:pPr>
        <w:pStyle w:val="Normal.0"/>
        <w:jc w:val="both"/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 survey of the literature of the IV and V centur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starting from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works by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Emperor Julian,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philosopher Sal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ust, 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etori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cians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as 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emisti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 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Libani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down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Nonnus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of Panopoli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Gregory of Nazianzus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beyond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will be an interesting area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research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assess the forms and the 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purposing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mythological heritage gravitating around Aphrodite, both in the literary sphere,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 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popular level.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