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C130" w14:textId="45E58530" w:rsidR="0083003A" w:rsidRPr="006A59AF" w:rsidRDefault="00025587" w:rsidP="00025587">
      <w:pPr>
        <w:jc w:val="center"/>
        <w:rPr>
          <w:rFonts w:ascii="Cambria" w:hAnsi="Cambria"/>
          <w:b/>
          <w:bCs/>
          <w:sz w:val="48"/>
          <w:szCs w:val="48"/>
          <w:u w:val="single"/>
        </w:rPr>
      </w:pPr>
      <w:r w:rsidRPr="006A59AF">
        <w:rPr>
          <w:rFonts w:ascii="Cambria" w:hAnsi="Cambria"/>
          <w:b/>
          <w:bCs/>
          <w:sz w:val="48"/>
          <w:szCs w:val="48"/>
          <w:u w:val="single"/>
        </w:rPr>
        <w:t xml:space="preserve">The </w:t>
      </w:r>
      <w:r w:rsidR="005A484A" w:rsidRPr="006A59AF">
        <w:rPr>
          <w:rFonts w:ascii="Cambria" w:hAnsi="Cambria"/>
          <w:b/>
          <w:bCs/>
          <w:sz w:val="48"/>
          <w:szCs w:val="48"/>
          <w:u w:val="single"/>
        </w:rPr>
        <w:t xml:space="preserve">National Institute for </w:t>
      </w:r>
      <w:r w:rsidRPr="006A59AF">
        <w:rPr>
          <w:rFonts w:ascii="Cambria" w:hAnsi="Cambria"/>
          <w:b/>
          <w:bCs/>
          <w:sz w:val="48"/>
          <w:szCs w:val="48"/>
          <w:u w:val="single"/>
        </w:rPr>
        <w:t xml:space="preserve">Advanced </w:t>
      </w:r>
      <w:r w:rsidR="005A484A" w:rsidRPr="006A59AF">
        <w:rPr>
          <w:rFonts w:ascii="Cambria" w:hAnsi="Cambria"/>
          <w:b/>
          <w:bCs/>
          <w:sz w:val="48"/>
          <w:szCs w:val="48"/>
          <w:u w:val="single"/>
        </w:rPr>
        <w:t>Mathematics and Science</w:t>
      </w:r>
      <w:r w:rsidRPr="006A59AF">
        <w:rPr>
          <w:rFonts w:ascii="Cambria" w:hAnsi="Cambria"/>
          <w:b/>
          <w:bCs/>
          <w:sz w:val="48"/>
          <w:szCs w:val="48"/>
          <w:u w:val="single"/>
        </w:rPr>
        <w:t xml:space="preserve"> Teaching</w:t>
      </w:r>
    </w:p>
    <w:p w14:paraId="57080B81" w14:textId="77777777" w:rsidR="005A484A" w:rsidRPr="006A59AF" w:rsidRDefault="005A484A" w:rsidP="005A484A">
      <w:pPr>
        <w:jc w:val="center"/>
        <w:rPr>
          <w:rFonts w:ascii="Cambria" w:hAnsi="Cambria"/>
          <w:b/>
          <w:bCs/>
          <w:sz w:val="48"/>
          <w:szCs w:val="48"/>
          <w:u w:val="single"/>
        </w:rPr>
      </w:pPr>
    </w:p>
    <w:p w14:paraId="6AAE2F20" w14:textId="23B7E3BF" w:rsidR="005A484A" w:rsidRPr="006A59AF" w:rsidRDefault="004C58DB" w:rsidP="004C58DB">
      <w:pPr>
        <w:jc w:val="center"/>
        <w:rPr>
          <w:rFonts w:ascii="Cambria" w:hAnsi="Cambria"/>
          <w:i/>
          <w:iCs/>
          <w:sz w:val="44"/>
          <w:szCs w:val="44"/>
        </w:rPr>
      </w:pPr>
      <w:r w:rsidRPr="006A59AF">
        <w:rPr>
          <w:rFonts w:ascii="Cambria" w:hAnsi="Cambria"/>
          <w:i/>
          <w:iCs/>
          <w:sz w:val="44"/>
          <w:szCs w:val="44"/>
        </w:rPr>
        <w:t>A j</w:t>
      </w:r>
      <w:r w:rsidR="00F64883" w:rsidRPr="006A59AF">
        <w:rPr>
          <w:rFonts w:ascii="Cambria" w:hAnsi="Cambria"/>
          <w:i/>
          <w:iCs/>
          <w:sz w:val="44"/>
          <w:szCs w:val="44"/>
        </w:rPr>
        <w:t xml:space="preserve">oint </w:t>
      </w:r>
      <w:r w:rsidRPr="006A59AF">
        <w:rPr>
          <w:rFonts w:ascii="Cambria" w:hAnsi="Cambria"/>
          <w:i/>
          <w:iCs/>
          <w:sz w:val="44"/>
          <w:szCs w:val="44"/>
        </w:rPr>
        <w:t>venture</w:t>
      </w:r>
      <w:r w:rsidR="00F64883" w:rsidRPr="006A59AF">
        <w:rPr>
          <w:rFonts w:ascii="Cambria" w:hAnsi="Cambria"/>
          <w:i/>
          <w:iCs/>
          <w:sz w:val="44"/>
          <w:szCs w:val="44"/>
        </w:rPr>
        <w:t xml:space="preserve"> </w:t>
      </w:r>
      <w:r w:rsidRPr="006A59AF">
        <w:rPr>
          <w:rFonts w:ascii="Cambria" w:hAnsi="Cambria"/>
          <w:i/>
          <w:iCs/>
          <w:sz w:val="44"/>
          <w:szCs w:val="44"/>
        </w:rPr>
        <w:t>of</w:t>
      </w:r>
      <w:r w:rsidR="00F64883" w:rsidRPr="006A59AF">
        <w:rPr>
          <w:rFonts w:ascii="Cambria" w:hAnsi="Cambria"/>
          <w:i/>
          <w:iCs/>
          <w:sz w:val="44"/>
          <w:szCs w:val="44"/>
        </w:rPr>
        <w:t xml:space="preserve"> the Ministry of Education and the Weizmann Institute of Science in partnership with the Trump Foundation</w:t>
      </w:r>
    </w:p>
    <w:p w14:paraId="3752C19B" w14:textId="77777777" w:rsidR="005A484A" w:rsidRPr="006A59AF" w:rsidRDefault="005A484A" w:rsidP="005A484A">
      <w:pPr>
        <w:jc w:val="center"/>
        <w:rPr>
          <w:rFonts w:ascii="Cambria" w:hAnsi="Cambria"/>
          <w:b/>
          <w:bCs/>
          <w:u w:val="single"/>
        </w:rPr>
      </w:pPr>
    </w:p>
    <w:p w14:paraId="7CDA2F1F" w14:textId="77777777" w:rsidR="00955FD6" w:rsidRPr="006A59AF" w:rsidRDefault="00955FD6" w:rsidP="005A484A">
      <w:pPr>
        <w:jc w:val="center"/>
        <w:rPr>
          <w:rFonts w:ascii="Cambria" w:hAnsi="Cambria"/>
          <w:b/>
          <w:bCs/>
          <w:u w:val="single"/>
        </w:rPr>
      </w:pPr>
    </w:p>
    <w:p w14:paraId="594EB3F8" w14:textId="1C5F3F6F" w:rsidR="00955FD6" w:rsidRPr="006A59AF" w:rsidRDefault="00091AA9" w:rsidP="005A484A">
      <w:pPr>
        <w:jc w:val="center"/>
        <w:rPr>
          <w:rFonts w:ascii="Cambria" w:hAnsi="Cambria"/>
          <w:b/>
          <w:bCs/>
          <w:sz w:val="36"/>
          <w:szCs w:val="36"/>
          <w:u w:val="single"/>
        </w:rPr>
      </w:pPr>
      <w:r w:rsidRPr="006A59AF">
        <w:rPr>
          <w:rFonts w:ascii="Cambria" w:hAnsi="Cambria"/>
          <w:b/>
          <w:bCs/>
          <w:sz w:val="36"/>
          <w:szCs w:val="36"/>
          <w:u w:val="single"/>
        </w:rPr>
        <w:t>Establishing</w:t>
      </w:r>
      <w:r w:rsidR="00955FD6" w:rsidRPr="006A59AF">
        <w:rPr>
          <w:rFonts w:ascii="Cambria" w:hAnsi="Cambria"/>
          <w:b/>
          <w:bCs/>
          <w:sz w:val="36"/>
          <w:szCs w:val="36"/>
          <w:u w:val="single"/>
        </w:rPr>
        <w:t xml:space="preserve"> Document</w:t>
      </w:r>
    </w:p>
    <w:p w14:paraId="3B5B06BD" w14:textId="77777777" w:rsidR="00955FD6" w:rsidRPr="006A59AF" w:rsidRDefault="00955FD6">
      <w:pPr>
        <w:rPr>
          <w:rFonts w:ascii="Cambria" w:hAnsi="Cambria"/>
          <w:b/>
          <w:bCs/>
          <w:u w:val="single"/>
        </w:rPr>
      </w:pPr>
      <w:r w:rsidRPr="006A59AF">
        <w:rPr>
          <w:rFonts w:ascii="Cambria" w:hAnsi="Cambria"/>
          <w:b/>
          <w:bCs/>
          <w:u w:val="single"/>
        </w:rPr>
        <w:br w:type="page"/>
      </w:r>
    </w:p>
    <w:sdt>
      <w:sdtPr>
        <w:rPr>
          <w:rFonts w:ascii="Cambria" w:eastAsiaTheme="minorHAnsi" w:hAnsi="Cambria" w:cstheme="minorBidi"/>
          <w:b w:val="0"/>
          <w:bCs w:val="0"/>
          <w:color w:val="auto"/>
          <w:sz w:val="22"/>
          <w:szCs w:val="22"/>
        </w:rPr>
        <w:id w:val="1837963106"/>
        <w:docPartObj>
          <w:docPartGallery w:val="Table of Contents"/>
          <w:docPartUnique/>
        </w:docPartObj>
      </w:sdtPr>
      <w:sdtEndPr>
        <w:rPr>
          <w:noProof/>
        </w:rPr>
      </w:sdtEndPr>
      <w:sdtContent>
        <w:p w14:paraId="176E3E56" w14:textId="4C431D1F" w:rsidR="00C75AA0" w:rsidRPr="006A59AF" w:rsidRDefault="00C75AA0">
          <w:pPr>
            <w:pStyle w:val="TOCHeading"/>
            <w:rPr>
              <w:rFonts w:ascii="Cambria" w:hAnsi="Cambria"/>
            </w:rPr>
          </w:pPr>
          <w:r w:rsidRPr="006A59AF">
            <w:rPr>
              <w:rFonts w:ascii="Cambria" w:hAnsi="Cambria"/>
            </w:rPr>
            <w:t>Table of Contents</w:t>
          </w:r>
        </w:p>
        <w:p w14:paraId="29B3F6C5" w14:textId="77777777" w:rsidR="00847AD4" w:rsidRPr="006A59AF" w:rsidRDefault="00C75AA0">
          <w:pPr>
            <w:pStyle w:val="TOC1"/>
            <w:tabs>
              <w:tab w:val="left" w:pos="440"/>
              <w:tab w:val="right" w:leader="dot" w:pos="9776"/>
            </w:tabs>
            <w:rPr>
              <w:rFonts w:ascii="Cambria" w:eastAsiaTheme="minorEastAsia" w:hAnsi="Cambria"/>
              <w:b w:val="0"/>
              <w:bCs w:val="0"/>
              <w:noProof/>
              <w:lang w:val="en-GB" w:eastAsia="en-GB"/>
            </w:rPr>
          </w:pPr>
          <w:r w:rsidRPr="006A59AF">
            <w:rPr>
              <w:rFonts w:ascii="Cambria" w:hAnsi="Cambria"/>
              <w:b w:val="0"/>
              <w:bCs w:val="0"/>
            </w:rPr>
            <w:fldChar w:fldCharType="begin"/>
          </w:r>
          <w:r w:rsidRPr="006A59AF">
            <w:rPr>
              <w:rFonts w:ascii="Cambria" w:hAnsi="Cambria"/>
            </w:rPr>
            <w:instrText xml:space="preserve"> TOC \o "1-3" \h \z \u </w:instrText>
          </w:r>
          <w:r w:rsidRPr="006A59AF">
            <w:rPr>
              <w:rFonts w:ascii="Cambria" w:hAnsi="Cambria"/>
              <w:b w:val="0"/>
              <w:bCs w:val="0"/>
            </w:rPr>
            <w:fldChar w:fldCharType="separate"/>
          </w:r>
          <w:hyperlink w:anchor="_Toc492293749" w:history="1">
            <w:r w:rsidR="00847AD4" w:rsidRPr="006A59AF">
              <w:rPr>
                <w:rStyle w:val="Hyperlink"/>
                <w:rFonts w:ascii="Cambria" w:hAnsi="Cambria"/>
                <w:noProof/>
              </w:rPr>
              <w:t>1.</w:t>
            </w:r>
            <w:r w:rsidR="00847AD4" w:rsidRPr="006A59AF">
              <w:rPr>
                <w:rFonts w:ascii="Cambria" w:eastAsiaTheme="minorEastAsia" w:hAnsi="Cambria"/>
                <w:b w:val="0"/>
                <w:bCs w:val="0"/>
                <w:noProof/>
                <w:lang w:val="en-GB" w:eastAsia="en-GB"/>
              </w:rPr>
              <w:tab/>
            </w:r>
            <w:r w:rsidR="00847AD4" w:rsidRPr="006A59AF">
              <w:rPr>
                <w:rStyle w:val="Hyperlink"/>
                <w:rFonts w:ascii="Cambria" w:hAnsi="Cambria"/>
                <w:noProof/>
              </w:rPr>
              <w:t>Background</w:t>
            </w:r>
            <w:r w:rsidR="00847AD4" w:rsidRPr="006A59AF">
              <w:rPr>
                <w:rFonts w:ascii="Cambria" w:hAnsi="Cambria"/>
                <w:noProof/>
                <w:webHidden/>
              </w:rPr>
              <w:tab/>
            </w:r>
            <w:r w:rsidR="00847AD4" w:rsidRPr="006A59AF">
              <w:rPr>
                <w:rFonts w:ascii="Cambria" w:hAnsi="Cambria"/>
                <w:noProof/>
                <w:webHidden/>
              </w:rPr>
              <w:fldChar w:fldCharType="begin"/>
            </w:r>
            <w:r w:rsidR="00847AD4" w:rsidRPr="006A59AF">
              <w:rPr>
                <w:rFonts w:ascii="Cambria" w:hAnsi="Cambria"/>
                <w:noProof/>
                <w:webHidden/>
              </w:rPr>
              <w:instrText xml:space="preserve"> PAGEREF _Toc492293749 \h </w:instrText>
            </w:r>
            <w:r w:rsidR="00847AD4" w:rsidRPr="006A59AF">
              <w:rPr>
                <w:rFonts w:ascii="Cambria" w:hAnsi="Cambria"/>
                <w:noProof/>
                <w:webHidden/>
              </w:rPr>
            </w:r>
            <w:r w:rsidR="00847AD4" w:rsidRPr="006A59AF">
              <w:rPr>
                <w:rFonts w:ascii="Cambria" w:hAnsi="Cambria"/>
                <w:noProof/>
                <w:webHidden/>
              </w:rPr>
              <w:fldChar w:fldCharType="separate"/>
            </w:r>
            <w:r w:rsidR="00847AD4" w:rsidRPr="006A59AF">
              <w:rPr>
                <w:rFonts w:ascii="Cambria" w:hAnsi="Cambria"/>
                <w:noProof/>
                <w:webHidden/>
              </w:rPr>
              <w:t>3</w:t>
            </w:r>
            <w:r w:rsidR="00847AD4" w:rsidRPr="006A59AF">
              <w:rPr>
                <w:rFonts w:ascii="Cambria" w:hAnsi="Cambria"/>
                <w:noProof/>
                <w:webHidden/>
              </w:rPr>
              <w:fldChar w:fldCharType="end"/>
            </w:r>
          </w:hyperlink>
        </w:p>
        <w:p w14:paraId="780EBCCE" w14:textId="77777777" w:rsidR="00847AD4" w:rsidRPr="006A59AF" w:rsidRDefault="005B34D1">
          <w:pPr>
            <w:pStyle w:val="TOC1"/>
            <w:tabs>
              <w:tab w:val="left" w:pos="440"/>
              <w:tab w:val="right" w:leader="dot" w:pos="9776"/>
            </w:tabs>
            <w:rPr>
              <w:rFonts w:ascii="Cambria" w:eastAsiaTheme="minorEastAsia" w:hAnsi="Cambria"/>
              <w:b w:val="0"/>
              <w:bCs w:val="0"/>
              <w:noProof/>
              <w:lang w:val="en-GB" w:eastAsia="en-GB"/>
            </w:rPr>
          </w:pPr>
          <w:hyperlink w:anchor="_Toc492293750" w:history="1">
            <w:r w:rsidR="00847AD4" w:rsidRPr="006A59AF">
              <w:rPr>
                <w:rStyle w:val="Hyperlink"/>
                <w:rFonts w:ascii="Cambria" w:hAnsi="Cambria"/>
                <w:noProof/>
              </w:rPr>
              <w:t>2.</w:t>
            </w:r>
            <w:r w:rsidR="00847AD4" w:rsidRPr="006A59AF">
              <w:rPr>
                <w:rFonts w:ascii="Cambria" w:eastAsiaTheme="minorEastAsia" w:hAnsi="Cambria"/>
                <w:b w:val="0"/>
                <w:bCs w:val="0"/>
                <w:noProof/>
                <w:lang w:val="en-GB" w:eastAsia="en-GB"/>
              </w:rPr>
              <w:tab/>
            </w:r>
            <w:r w:rsidR="00847AD4" w:rsidRPr="006A59AF">
              <w:rPr>
                <w:rStyle w:val="Hyperlink"/>
                <w:rFonts w:ascii="Cambria" w:hAnsi="Cambria"/>
                <w:noProof/>
              </w:rPr>
              <w:t>Opportunity and Need</w:t>
            </w:r>
            <w:r w:rsidR="00847AD4" w:rsidRPr="006A59AF">
              <w:rPr>
                <w:rFonts w:ascii="Cambria" w:hAnsi="Cambria"/>
                <w:noProof/>
                <w:webHidden/>
              </w:rPr>
              <w:tab/>
            </w:r>
            <w:r w:rsidR="00847AD4" w:rsidRPr="006A59AF">
              <w:rPr>
                <w:rFonts w:ascii="Cambria" w:hAnsi="Cambria"/>
                <w:noProof/>
                <w:webHidden/>
              </w:rPr>
              <w:fldChar w:fldCharType="begin"/>
            </w:r>
            <w:r w:rsidR="00847AD4" w:rsidRPr="006A59AF">
              <w:rPr>
                <w:rFonts w:ascii="Cambria" w:hAnsi="Cambria"/>
                <w:noProof/>
                <w:webHidden/>
              </w:rPr>
              <w:instrText xml:space="preserve"> PAGEREF _Toc492293750 \h </w:instrText>
            </w:r>
            <w:r w:rsidR="00847AD4" w:rsidRPr="006A59AF">
              <w:rPr>
                <w:rFonts w:ascii="Cambria" w:hAnsi="Cambria"/>
                <w:noProof/>
                <w:webHidden/>
              </w:rPr>
            </w:r>
            <w:r w:rsidR="00847AD4" w:rsidRPr="006A59AF">
              <w:rPr>
                <w:rFonts w:ascii="Cambria" w:hAnsi="Cambria"/>
                <w:noProof/>
                <w:webHidden/>
              </w:rPr>
              <w:fldChar w:fldCharType="separate"/>
            </w:r>
            <w:r w:rsidR="00847AD4" w:rsidRPr="006A59AF">
              <w:rPr>
                <w:rFonts w:ascii="Cambria" w:hAnsi="Cambria"/>
                <w:noProof/>
                <w:webHidden/>
              </w:rPr>
              <w:t>4</w:t>
            </w:r>
            <w:r w:rsidR="00847AD4" w:rsidRPr="006A59AF">
              <w:rPr>
                <w:rFonts w:ascii="Cambria" w:hAnsi="Cambria"/>
                <w:noProof/>
                <w:webHidden/>
              </w:rPr>
              <w:fldChar w:fldCharType="end"/>
            </w:r>
          </w:hyperlink>
        </w:p>
        <w:p w14:paraId="686E117C" w14:textId="77777777" w:rsidR="00847AD4" w:rsidRPr="006A59AF" w:rsidRDefault="005B34D1">
          <w:pPr>
            <w:pStyle w:val="TOC1"/>
            <w:tabs>
              <w:tab w:val="left" w:pos="440"/>
              <w:tab w:val="right" w:leader="dot" w:pos="9776"/>
            </w:tabs>
            <w:rPr>
              <w:rFonts w:ascii="Cambria" w:eastAsiaTheme="minorEastAsia" w:hAnsi="Cambria"/>
              <w:b w:val="0"/>
              <w:bCs w:val="0"/>
              <w:noProof/>
              <w:lang w:val="en-GB" w:eastAsia="en-GB"/>
            </w:rPr>
          </w:pPr>
          <w:hyperlink w:anchor="_Toc492293751" w:history="1">
            <w:r w:rsidR="00847AD4" w:rsidRPr="006A59AF">
              <w:rPr>
                <w:rStyle w:val="Hyperlink"/>
                <w:rFonts w:ascii="Cambria" w:hAnsi="Cambria"/>
                <w:noProof/>
              </w:rPr>
              <w:t>3.</w:t>
            </w:r>
            <w:r w:rsidR="00847AD4" w:rsidRPr="006A59AF">
              <w:rPr>
                <w:rFonts w:ascii="Cambria" w:eastAsiaTheme="minorEastAsia" w:hAnsi="Cambria"/>
                <w:b w:val="0"/>
                <w:bCs w:val="0"/>
                <w:noProof/>
                <w:lang w:val="en-GB" w:eastAsia="en-GB"/>
              </w:rPr>
              <w:tab/>
            </w:r>
            <w:r w:rsidR="00847AD4" w:rsidRPr="006A59AF">
              <w:rPr>
                <w:rStyle w:val="Hyperlink"/>
                <w:rFonts w:ascii="Cambria" w:hAnsi="Cambria"/>
                <w:noProof/>
              </w:rPr>
              <w:t>Target Community</w:t>
            </w:r>
            <w:r w:rsidR="00847AD4" w:rsidRPr="006A59AF">
              <w:rPr>
                <w:rFonts w:ascii="Cambria" w:hAnsi="Cambria"/>
                <w:noProof/>
                <w:webHidden/>
              </w:rPr>
              <w:tab/>
            </w:r>
            <w:r w:rsidR="00847AD4" w:rsidRPr="006A59AF">
              <w:rPr>
                <w:rFonts w:ascii="Cambria" w:hAnsi="Cambria"/>
                <w:noProof/>
                <w:webHidden/>
              </w:rPr>
              <w:fldChar w:fldCharType="begin"/>
            </w:r>
            <w:r w:rsidR="00847AD4" w:rsidRPr="006A59AF">
              <w:rPr>
                <w:rFonts w:ascii="Cambria" w:hAnsi="Cambria"/>
                <w:noProof/>
                <w:webHidden/>
              </w:rPr>
              <w:instrText xml:space="preserve"> PAGEREF _Toc492293751 \h </w:instrText>
            </w:r>
            <w:r w:rsidR="00847AD4" w:rsidRPr="006A59AF">
              <w:rPr>
                <w:rFonts w:ascii="Cambria" w:hAnsi="Cambria"/>
                <w:noProof/>
                <w:webHidden/>
              </w:rPr>
            </w:r>
            <w:r w:rsidR="00847AD4" w:rsidRPr="006A59AF">
              <w:rPr>
                <w:rFonts w:ascii="Cambria" w:hAnsi="Cambria"/>
                <w:noProof/>
                <w:webHidden/>
              </w:rPr>
              <w:fldChar w:fldCharType="separate"/>
            </w:r>
            <w:r w:rsidR="00847AD4" w:rsidRPr="006A59AF">
              <w:rPr>
                <w:rFonts w:ascii="Cambria" w:hAnsi="Cambria"/>
                <w:noProof/>
                <w:webHidden/>
              </w:rPr>
              <w:t>6</w:t>
            </w:r>
            <w:r w:rsidR="00847AD4" w:rsidRPr="006A59AF">
              <w:rPr>
                <w:rFonts w:ascii="Cambria" w:hAnsi="Cambria"/>
                <w:noProof/>
                <w:webHidden/>
              </w:rPr>
              <w:fldChar w:fldCharType="end"/>
            </w:r>
          </w:hyperlink>
        </w:p>
        <w:p w14:paraId="61A1BC8E" w14:textId="77777777" w:rsidR="00847AD4" w:rsidRPr="006A59AF" w:rsidRDefault="005B34D1">
          <w:pPr>
            <w:pStyle w:val="TOC1"/>
            <w:tabs>
              <w:tab w:val="left" w:pos="440"/>
              <w:tab w:val="right" w:leader="dot" w:pos="9776"/>
            </w:tabs>
            <w:rPr>
              <w:rFonts w:ascii="Cambria" w:eastAsiaTheme="minorEastAsia" w:hAnsi="Cambria"/>
              <w:b w:val="0"/>
              <w:bCs w:val="0"/>
              <w:noProof/>
              <w:lang w:val="en-GB" w:eastAsia="en-GB"/>
            </w:rPr>
          </w:pPr>
          <w:hyperlink w:anchor="_Toc492293752" w:history="1">
            <w:r w:rsidR="00847AD4" w:rsidRPr="006A59AF">
              <w:rPr>
                <w:rStyle w:val="Hyperlink"/>
                <w:rFonts w:ascii="Cambria" w:hAnsi="Cambria"/>
                <w:noProof/>
              </w:rPr>
              <w:t>4.</w:t>
            </w:r>
            <w:r w:rsidR="00847AD4" w:rsidRPr="006A59AF">
              <w:rPr>
                <w:rFonts w:ascii="Cambria" w:eastAsiaTheme="minorEastAsia" w:hAnsi="Cambria"/>
                <w:b w:val="0"/>
                <w:bCs w:val="0"/>
                <w:noProof/>
                <w:lang w:val="en-GB" w:eastAsia="en-GB"/>
              </w:rPr>
              <w:tab/>
            </w:r>
            <w:r w:rsidR="00847AD4" w:rsidRPr="006A59AF">
              <w:rPr>
                <w:rStyle w:val="Hyperlink"/>
                <w:rFonts w:ascii="Cambria" w:hAnsi="Cambria"/>
                <w:noProof/>
              </w:rPr>
              <w:t>The National Institute for Advanced Mathematics and Science Teaching</w:t>
            </w:r>
            <w:r w:rsidR="00847AD4" w:rsidRPr="006A59AF">
              <w:rPr>
                <w:rFonts w:ascii="Cambria" w:hAnsi="Cambria"/>
                <w:noProof/>
                <w:webHidden/>
              </w:rPr>
              <w:tab/>
            </w:r>
            <w:r w:rsidR="00847AD4" w:rsidRPr="006A59AF">
              <w:rPr>
                <w:rFonts w:ascii="Cambria" w:hAnsi="Cambria"/>
                <w:noProof/>
                <w:webHidden/>
              </w:rPr>
              <w:fldChar w:fldCharType="begin"/>
            </w:r>
            <w:r w:rsidR="00847AD4" w:rsidRPr="006A59AF">
              <w:rPr>
                <w:rFonts w:ascii="Cambria" w:hAnsi="Cambria"/>
                <w:noProof/>
                <w:webHidden/>
              </w:rPr>
              <w:instrText xml:space="preserve"> PAGEREF _Toc492293752 \h </w:instrText>
            </w:r>
            <w:r w:rsidR="00847AD4" w:rsidRPr="006A59AF">
              <w:rPr>
                <w:rFonts w:ascii="Cambria" w:hAnsi="Cambria"/>
                <w:noProof/>
                <w:webHidden/>
              </w:rPr>
            </w:r>
            <w:r w:rsidR="00847AD4" w:rsidRPr="006A59AF">
              <w:rPr>
                <w:rFonts w:ascii="Cambria" w:hAnsi="Cambria"/>
                <w:noProof/>
                <w:webHidden/>
              </w:rPr>
              <w:fldChar w:fldCharType="separate"/>
            </w:r>
            <w:r w:rsidR="00847AD4" w:rsidRPr="006A59AF">
              <w:rPr>
                <w:rFonts w:ascii="Cambria" w:hAnsi="Cambria"/>
                <w:noProof/>
                <w:webHidden/>
              </w:rPr>
              <w:t>6</w:t>
            </w:r>
            <w:r w:rsidR="00847AD4" w:rsidRPr="006A59AF">
              <w:rPr>
                <w:rFonts w:ascii="Cambria" w:hAnsi="Cambria"/>
                <w:noProof/>
                <w:webHidden/>
              </w:rPr>
              <w:fldChar w:fldCharType="end"/>
            </w:r>
          </w:hyperlink>
        </w:p>
        <w:p w14:paraId="14CB6CC1" w14:textId="77777777" w:rsidR="00847AD4" w:rsidRPr="006A59AF" w:rsidRDefault="005B34D1">
          <w:pPr>
            <w:pStyle w:val="TOC1"/>
            <w:tabs>
              <w:tab w:val="left" w:pos="440"/>
              <w:tab w:val="right" w:leader="dot" w:pos="9776"/>
            </w:tabs>
            <w:rPr>
              <w:rFonts w:ascii="Cambria" w:eastAsiaTheme="minorEastAsia" w:hAnsi="Cambria"/>
              <w:b w:val="0"/>
              <w:bCs w:val="0"/>
              <w:noProof/>
              <w:lang w:val="en-GB" w:eastAsia="en-GB"/>
            </w:rPr>
          </w:pPr>
          <w:hyperlink w:anchor="_Toc492293753" w:history="1">
            <w:r w:rsidR="00847AD4" w:rsidRPr="006A59AF">
              <w:rPr>
                <w:rStyle w:val="Hyperlink"/>
                <w:rFonts w:ascii="Cambria" w:hAnsi="Cambria"/>
                <w:noProof/>
              </w:rPr>
              <w:t>5.</w:t>
            </w:r>
            <w:r w:rsidR="00847AD4" w:rsidRPr="006A59AF">
              <w:rPr>
                <w:rFonts w:ascii="Cambria" w:eastAsiaTheme="minorEastAsia" w:hAnsi="Cambria"/>
                <w:b w:val="0"/>
                <w:bCs w:val="0"/>
                <w:noProof/>
                <w:lang w:val="en-GB" w:eastAsia="en-GB"/>
              </w:rPr>
              <w:tab/>
            </w:r>
            <w:r w:rsidR="00847AD4" w:rsidRPr="006A59AF">
              <w:rPr>
                <w:rStyle w:val="Hyperlink"/>
                <w:rFonts w:ascii="Cambria" w:hAnsi="Cambria"/>
                <w:noProof/>
              </w:rPr>
              <w:t>The Joint Venture</w:t>
            </w:r>
            <w:r w:rsidR="00847AD4" w:rsidRPr="006A59AF">
              <w:rPr>
                <w:rFonts w:ascii="Cambria" w:hAnsi="Cambria"/>
                <w:noProof/>
                <w:webHidden/>
              </w:rPr>
              <w:tab/>
            </w:r>
            <w:r w:rsidR="00847AD4" w:rsidRPr="006A59AF">
              <w:rPr>
                <w:rFonts w:ascii="Cambria" w:hAnsi="Cambria"/>
                <w:noProof/>
                <w:webHidden/>
              </w:rPr>
              <w:fldChar w:fldCharType="begin"/>
            </w:r>
            <w:r w:rsidR="00847AD4" w:rsidRPr="006A59AF">
              <w:rPr>
                <w:rFonts w:ascii="Cambria" w:hAnsi="Cambria"/>
                <w:noProof/>
                <w:webHidden/>
              </w:rPr>
              <w:instrText xml:space="preserve"> PAGEREF _Toc492293753 \h </w:instrText>
            </w:r>
            <w:r w:rsidR="00847AD4" w:rsidRPr="006A59AF">
              <w:rPr>
                <w:rFonts w:ascii="Cambria" w:hAnsi="Cambria"/>
                <w:noProof/>
                <w:webHidden/>
              </w:rPr>
            </w:r>
            <w:r w:rsidR="00847AD4" w:rsidRPr="006A59AF">
              <w:rPr>
                <w:rFonts w:ascii="Cambria" w:hAnsi="Cambria"/>
                <w:noProof/>
                <w:webHidden/>
              </w:rPr>
              <w:fldChar w:fldCharType="separate"/>
            </w:r>
            <w:r w:rsidR="00847AD4" w:rsidRPr="006A59AF">
              <w:rPr>
                <w:rFonts w:ascii="Cambria" w:hAnsi="Cambria"/>
                <w:noProof/>
                <w:webHidden/>
              </w:rPr>
              <w:t>8</w:t>
            </w:r>
            <w:r w:rsidR="00847AD4" w:rsidRPr="006A59AF">
              <w:rPr>
                <w:rFonts w:ascii="Cambria" w:hAnsi="Cambria"/>
                <w:noProof/>
                <w:webHidden/>
              </w:rPr>
              <w:fldChar w:fldCharType="end"/>
            </w:r>
          </w:hyperlink>
        </w:p>
        <w:p w14:paraId="5B17E16F" w14:textId="77777777" w:rsidR="00847AD4" w:rsidRPr="006A59AF" w:rsidRDefault="005B34D1">
          <w:pPr>
            <w:pStyle w:val="TOC1"/>
            <w:tabs>
              <w:tab w:val="left" w:pos="440"/>
              <w:tab w:val="right" w:leader="dot" w:pos="9776"/>
            </w:tabs>
            <w:rPr>
              <w:rFonts w:ascii="Cambria" w:eastAsiaTheme="minorEastAsia" w:hAnsi="Cambria"/>
              <w:b w:val="0"/>
              <w:bCs w:val="0"/>
              <w:noProof/>
              <w:lang w:val="en-GB" w:eastAsia="en-GB"/>
            </w:rPr>
          </w:pPr>
          <w:hyperlink w:anchor="_Toc492293754" w:history="1">
            <w:r w:rsidR="00847AD4" w:rsidRPr="006A59AF">
              <w:rPr>
                <w:rStyle w:val="Hyperlink"/>
                <w:rFonts w:ascii="Cambria" w:hAnsi="Cambria"/>
                <w:noProof/>
              </w:rPr>
              <w:t>6.</w:t>
            </w:r>
            <w:r w:rsidR="00847AD4" w:rsidRPr="006A59AF">
              <w:rPr>
                <w:rFonts w:ascii="Cambria" w:eastAsiaTheme="minorEastAsia" w:hAnsi="Cambria"/>
                <w:b w:val="0"/>
                <w:bCs w:val="0"/>
                <w:noProof/>
                <w:lang w:val="en-GB" w:eastAsia="en-GB"/>
              </w:rPr>
              <w:tab/>
            </w:r>
            <w:r w:rsidR="00847AD4" w:rsidRPr="006A59AF">
              <w:rPr>
                <w:rStyle w:val="Hyperlink"/>
                <w:rFonts w:ascii="Cambria" w:hAnsi="Cambria"/>
                <w:noProof/>
              </w:rPr>
              <w:t>Governance</w:t>
            </w:r>
            <w:r w:rsidR="00847AD4" w:rsidRPr="006A59AF">
              <w:rPr>
                <w:rFonts w:ascii="Cambria" w:hAnsi="Cambria"/>
                <w:noProof/>
                <w:webHidden/>
              </w:rPr>
              <w:tab/>
            </w:r>
            <w:r w:rsidR="00847AD4" w:rsidRPr="006A59AF">
              <w:rPr>
                <w:rFonts w:ascii="Cambria" w:hAnsi="Cambria"/>
                <w:noProof/>
                <w:webHidden/>
              </w:rPr>
              <w:fldChar w:fldCharType="begin"/>
            </w:r>
            <w:r w:rsidR="00847AD4" w:rsidRPr="006A59AF">
              <w:rPr>
                <w:rFonts w:ascii="Cambria" w:hAnsi="Cambria"/>
                <w:noProof/>
                <w:webHidden/>
              </w:rPr>
              <w:instrText xml:space="preserve"> PAGEREF _Toc492293754 \h </w:instrText>
            </w:r>
            <w:r w:rsidR="00847AD4" w:rsidRPr="006A59AF">
              <w:rPr>
                <w:rFonts w:ascii="Cambria" w:hAnsi="Cambria"/>
                <w:noProof/>
                <w:webHidden/>
              </w:rPr>
            </w:r>
            <w:r w:rsidR="00847AD4" w:rsidRPr="006A59AF">
              <w:rPr>
                <w:rFonts w:ascii="Cambria" w:hAnsi="Cambria"/>
                <w:noProof/>
                <w:webHidden/>
              </w:rPr>
              <w:fldChar w:fldCharType="separate"/>
            </w:r>
            <w:r w:rsidR="00847AD4" w:rsidRPr="006A59AF">
              <w:rPr>
                <w:rFonts w:ascii="Cambria" w:hAnsi="Cambria"/>
                <w:noProof/>
                <w:webHidden/>
              </w:rPr>
              <w:t>9</w:t>
            </w:r>
            <w:r w:rsidR="00847AD4" w:rsidRPr="006A59AF">
              <w:rPr>
                <w:rFonts w:ascii="Cambria" w:hAnsi="Cambria"/>
                <w:noProof/>
                <w:webHidden/>
              </w:rPr>
              <w:fldChar w:fldCharType="end"/>
            </w:r>
          </w:hyperlink>
        </w:p>
        <w:p w14:paraId="3E303771" w14:textId="77777777" w:rsidR="00847AD4" w:rsidRPr="006A59AF" w:rsidRDefault="005B34D1">
          <w:pPr>
            <w:pStyle w:val="TOC2"/>
            <w:tabs>
              <w:tab w:val="right" w:leader="dot" w:pos="9776"/>
            </w:tabs>
            <w:rPr>
              <w:rFonts w:ascii="Cambria" w:eastAsiaTheme="minorEastAsia" w:hAnsi="Cambria"/>
              <w:b w:val="0"/>
              <w:bCs w:val="0"/>
              <w:noProof/>
              <w:sz w:val="24"/>
              <w:szCs w:val="24"/>
              <w:lang w:val="en-GB" w:eastAsia="en-GB"/>
            </w:rPr>
          </w:pPr>
          <w:hyperlink w:anchor="_Toc492293755" w:history="1">
            <w:r w:rsidR="00847AD4" w:rsidRPr="006A59AF">
              <w:rPr>
                <w:rStyle w:val="Hyperlink"/>
                <w:rFonts w:ascii="Cambria" w:hAnsi="Cambria"/>
                <w:noProof/>
              </w:rPr>
              <w:t>6.1 The Executive Committee</w:t>
            </w:r>
            <w:r w:rsidR="00847AD4" w:rsidRPr="006A59AF">
              <w:rPr>
                <w:rFonts w:ascii="Cambria" w:hAnsi="Cambria"/>
                <w:noProof/>
                <w:webHidden/>
              </w:rPr>
              <w:tab/>
            </w:r>
            <w:r w:rsidR="00847AD4" w:rsidRPr="006A59AF">
              <w:rPr>
                <w:rFonts w:ascii="Cambria" w:hAnsi="Cambria"/>
                <w:noProof/>
                <w:webHidden/>
              </w:rPr>
              <w:fldChar w:fldCharType="begin"/>
            </w:r>
            <w:r w:rsidR="00847AD4" w:rsidRPr="006A59AF">
              <w:rPr>
                <w:rFonts w:ascii="Cambria" w:hAnsi="Cambria"/>
                <w:noProof/>
                <w:webHidden/>
              </w:rPr>
              <w:instrText xml:space="preserve"> PAGEREF _Toc492293755 \h </w:instrText>
            </w:r>
            <w:r w:rsidR="00847AD4" w:rsidRPr="006A59AF">
              <w:rPr>
                <w:rFonts w:ascii="Cambria" w:hAnsi="Cambria"/>
                <w:noProof/>
                <w:webHidden/>
              </w:rPr>
            </w:r>
            <w:r w:rsidR="00847AD4" w:rsidRPr="006A59AF">
              <w:rPr>
                <w:rFonts w:ascii="Cambria" w:hAnsi="Cambria"/>
                <w:noProof/>
                <w:webHidden/>
              </w:rPr>
              <w:fldChar w:fldCharType="separate"/>
            </w:r>
            <w:r w:rsidR="00847AD4" w:rsidRPr="006A59AF">
              <w:rPr>
                <w:rFonts w:ascii="Cambria" w:hAnsi="Cambria"/>
                <w:noProof/>
                <w:webHidden/>
              </w:rPr>
              <w:t>10</w:t>
            </w:r>
            <w:r w:rsidR="00847AD4" w:rsidRPr="006A59AF">
              <w:rPr>
                <w:rFonts w:ascii="Cambria" w:hAnsi="Cambria"/>
                <w:noProof/>
                <w:webHidden/>
              </w:rPr>
              <w:fldChar w:fldCharType="end"/>
            </w:r>
          </w:hyperlink>
        </w:p>
        <w:p w14:paraId="5ACBB4E7" w14:textId="77777777" w:rsidR="00847AD4" w:rsidRPr="006A59AF" w:rsidRDefault="005B34D1">
          <w:pPr>
            <w:pStyle w:val="TOC2"/>
            <w:tabs>
              <w:tab w:val="right" w:leader="dot" w:pos="9776"/>
            </w:tabs>
            <w:rPr>
              <w:rFonts w:ascii="Cambria" w:eastAsiaTheme="minorEastAsia" w:hAnsi="Cambria"/>
              <w:b w:val="0"/>
              <w:bCs w:val="0"/>
              <w:noProof/>
              <w:sz w:val="24"/>
              <w:szCs w:val="24"/>
              <w:lang w:val="en-GB" w:eastAsia="en-GB"/>
            </w:rPr>
          </w:pPr>
          <w:hyperlink w:anchor="_Toc492293756" w:history="1">
            <w:r w:rsidR="00847AD4" w:rsidRPr="006A59AF">
              <w:rPr>
                <w:rStyle w:val="Hyperlink"/>
                <w:rFonts w:ascii="Cambria" w:hAnsi="Cambria"/>
                <w:noProof/>
              </w:rPr>
              <w:t>6.2 The Finance Committee</w:t>
            </w:r>
            <w:r w:rsidR="00847AD4" w:rsidRPr="006A59AF">
              <w:rPr>
                <w:rFonts w:ascii="Cambria" w:hAnsi="Cambria"/>
                <w:noProof/>
                <w:webHidden/>
              </w:rPr>
              <w:tab/>
            </w:r>
            <w:r w:rsidR="00847AD4" w:rsidRPr="006A59AF">
              <w:rPr>
                <w:rFonts w:ascii="Cambria" w:hAnsi="Cambria"/>
                <w:noProof/>
                <w:webHidden/>
              </w:rPr>
              <w:fldChar w:fldCharType="begin"/>
            </w:r>
            <w:r w:rsidR="00847AD4" w:rsidRPr="006A59AF">
              <w:rPr>
                <w:rFonts w:ascii="Cambria" w:hAnsi="Cambria"/>
                <w:noProof/>
                <w:webHidden/>
              </w:rPr>
              <w:instrText xml:space="preserve"> PAGEREF _Toc492293756 \h </w:instrText>
            </w:r>
            <w:r w:rsidR="00847AD4" w:rsidRPr="006A59AF">
              <w:rPr>
                <w:rFonts w:ascii="Cambria" w:hAnsi="Cambria"/>
                <w:noProof/>
                <w:webHidden/>
              </w:rPr>
            </w:r>
            <w:r w:rsidR="00847AD4" w:rsidRPr="006A59AF">
              <w:rPr>
                <w:rFonts w:ascii="Cambria" w:hAnsi="Cambria"/>
                <w:noProof/>
                <w:webHidden/>
              </w:rPr>
              <w:fldChar w:fldCharType="separate"/>
            </w:r>
            <w:r w:rsidR="00847AD4" w:rsidRPr="006A59AF">
              <w:rPr>
                <w:rFonts w:ascii="Cambria" w:hAnsi="Cambria"/>
                <w:noProof/>
                <w:webHidden/>
              </w:rPr>
              <w:t>11</w:t>
            </w:r>
            <w:r w:rsidR="00847AD4" w:rsidRPr="006A59AF">
              <w:rPr>
                <w:rFonts w:ascii="Cambria" w:hAnsi="Cambria"/>
                <w:noProof/>
                <w:webHidden/>
              </w:rPr>
              <w:fldChar w:fldCharType="end"/>
            </w:r>
          </w:hyperlink>
        </w:p>
        <w:p w14:paraId="53E7ED5D" w14:textId="77777777" w:rsidR="00847AD4" w:rsidRPr="006A59AF" w:rsidRDefault="005B34D1">
          <w:pPr>
            <w:pStyle w:val="TOC2"/>
            <w:tabs>
              <w:tab w:val="right" w:leader="dot" w:pos="9776"/>
            </w:tabs>
            <w:rPr>
              <w:rFonts w:ascii="Cambria" w:eastAsiaTheme="minorEastAsia" w:hAnsi="Cambria"/>
              <w:b w:val="0"/>
              <w:bCs w:val="0"/>
              <w:noProof/>
              <w:sz w:val="24"/>
              <w:szCs w:val="24"/>
              <w:lang w:val="en-GB" w:eastAsia="en-GB"/>
            </w:rPr>
          </w:pPr>
          <w:hyperlink w:anchor="_Toc492293757" w:history="1">
            <w:r w:rsidR="00847AD4" w:rsidRPr="006A59AF">
              <w:rPr>
                <w:rStyle w:val="Hyperlink"/>
                <w:rFonts w:ascii="Cambria" w:hAnsi="Cambria"/>
                <w:noProof/>
              </w:rPr>
              <w:t>6.3 The Institute Director</w:t>
            </w:r>
            <w:r w:rsidR="00847AD4" w:rsidRPr="006A59AF">
              <w:rPr>
                <w:rFonts w:ascii="Cambria" w:hAnsi="Cambria"/>
                <w:noProof/>
                <w:webHidden/>
              </w:rPr>
              <w:tab/>
            </w:r>
            <w:r w:rsidR="00847AD4" w:rsidRPr="006A59AF">
              <w:rPr>
                <w:rFonts w:ascii="Cambria" w:hAnsi="Cambria"/>
                <w:noProof/>
                <w:webHidden/>
              </w:rPr>
              <w:fldChar w:fldCharType="begin"/>
            </w:r>
            <w:r w:rsidR="00847AD4" w:rsidRPr="006A59AF">
              <w:rPr>
                <w:rFonts w:ascii="Cambria" w:hAnsi="Cambria"/>
                <w:noProof/>
                <w:webHidden/>
              </w:rPr>
              <w:instrText xml:space="preserve"> PAGEREF _Toc492293757 \h </w:instrText>
            </w:r>
            <w:r w:rsidR="00847AD4" w:rsidRPr="006A59AF">
              <w:rPr>
                <w:rFonts w:ascii="Cambria" w:hAnsi="Cambria"/>
                <w:noProof/>
                <w:webHidden/>
              </w:rPr>
            </w:r>
            <w:r w:rsidR="00847AD4" w:rsidRPr="006A59AF">
              <w:rPr>
                <w:rFonts w:ascii="Cambria" w:hAnsi="Cambria"/>
                <w:noProof/>
                <w:webHidden/>
              </w:rPr>
              <w:fldChar w:fldCharType="separate"/>
            </w:r>
            <w:r w:rsidR="00847AD4" w:rsidRPr="006A59AF">
              <w:rPr>
                <w:rFonts w:ascii="Cambria" w:hAnsi="Cambria"/>
                <w:noProof/>
                <w:webHidden/>
              </w:rPr>
              <w:t>11</w:t>
            </w:r>
            <w:r w:rsidR="00847AD4" w:rsidRPr="006A59AF">
              <w:rPr>
                <w:rFonts w:ascii="Cambria" w:hAnsi="Cambria"/>
                <w:noProof/>
                <w:webHidden/>
              </w:rPr>
              <w:fldChar w:fldCharType="end"/>
            </w:r>
          </w:hyperlink>
        </w:p>
        <w:p w14:paraId="0389F4C3" w14:textId="77777777" w:rsidR="00847AD4" w:rsidRPr="006A59AF" w:rsidRDefault="005B34D1">
          <w:pPr>
            <w:pStyle w:val="TOC2"/>
            <w:tabs>
              <w:tab w:val="right" w:leader="dot" w:pos="9776"/>
            </w:tabs>
            <w:rPr>
              <w:rFonts w:ascii="Cambria" w:eastAsiaTheme="minorEastAsia" w:hAnsi="Cambria"/>
              <w:b w:val="0"/>
              <w:bCs w:val="0"/>
              <w:noProof/>
              <w:sz w:val="24"/>
              <w:szCs w:val="24"/>
              <w:lang w:val="en-GB" w:eastAsia="en-GB"/>
            </w:rPr>
          </w:pPr>
          <w:hyperlink w:anchor="_Toc492293758" w:history="1">
            <w:r w:rsidR="00847AD4" w:rsidRPr="006A59AF">
              <w:rPr>
                <w:rStyle w:val="Hyperlink"/>
                <w:rFonts w:ascii="Cambria" w:hAnsi="Cambria"/>
                <w:noProof/>
              </w:rPr>
              <w:t>6.4  The Steering Committee</w:t>
            </w:r>
            <w:r w:rsidR="00847AD4" w:rsidRPr="006A59AF">
              <w:rPr>
                <w:rFonts w:ascii="Cambria" w:hAnsi="Cambria"/>
                <w:noProof/>
                <w:webHidden/>
              </w:rPr>
              <w:tab/>
            </w:r>
            <w:r w:rsidR="00847AD4" w:rsidRPr="006A59AF">
              <w:rPr>
                <w:rFonts w:ascii="Cambria" w:hAnsi="Cambria"/>
                <w:noProof/>
                <w:webHidden/>
              </w:rPr>
              <w:fldChar w:fldCharType="begin"/>
            </w:r>
            <w:r w:rsidR="00847AD4" w:rsidRPr="006A59AF">
              <w:rPr>
                <w:rFonts w:ascii="Cambria" w:hAnsi="Cambria"/>
                <w:noProof/>
                <w:webHidden/>
              </w:rPr>
              <w:instrText xml:space="preserve"> PAGEREF _Toc492293758 \h </w:instrText>
            </w:r>
            <w:r w:rsidR="00847AD4" w:rsidRPr="006A59AF">
              <w:rPr>
                <w:rFonts w:ascii="Cambria" w:hAnsi="Cambria"/>
                <w:noProof/>
                <w:webHidden/>
              </w:rPr>
            </w:r>
            <w:r w:rsidR="00847AD4" w:rsidRPr="006A59AF">
              <w:rPr>
                <w:rFonts w:ascii="Cambria" w:hAnsi="Cambria"/>
                <w:noProof/>
                <w:webHidden/>
              </w:rPr>
              <w:fldChar w:fldCharType="separate"/>
            </w:r>
            <w:r w:rsidR="00847AD4" w:rsidRPr="006A59AF">
              <w:rPr>
                <w:rFonts w:ascii="Cambria" w:hAnsi="Cambria"/>
                <w:noProof/>
                <w:webHidden/>
              </w:rPr>
              <w:t>12</w:t>
            </w:r>
            <w:r w:rsidR="00847AD4" w:rsidRPr="006A59AF">
              <w:rPr>
                <w:rFonts w:ascii="Cambria" w:hAnsi="Cambria"/>
                <w:noProof/>
                <w:webHidden/>
              </w:rPr>
              <w:fldChar w:fldCharType="end"/>
            </w:r>
          </w:hyperlink>
        </w:p>
        <w:p w14:paraId="5E7F8680" w14:textId="77777777" w:rsidR="00847AD4" w:rsidRPr="006A59AF" w:rsidRDefault="005B34D1">
          <w:pPr>
            <w:pStyle w:val="TOC2"/>
            <w:tabs>
              <w:tab w:val="right" w:leader="dot" w:pos="9776"/>
            </w:tabs>
            <w:rPr>
              <w:rFonts w:ascii="Cambria" w:eastAsiaTheme="minorEastAsia" w:hAnsi="Cambria"/>
              <w:b w:val="0"/>
              <w:bCs w:val="0"/>
              <w:noProof/>
              <w:sz w:val="24"/>
              <w:szCs w:val="24"/>
              <w:lang w:val="en-GB" w:eastAsia="en-GB"/>
            </w:rPr>
          </w:pPr>
          <w:hyperlink w:anchor="_Toc492293759" w:history="1">
            <w:r w:rsidR="00847AD4" w:rsidRPr="006A59AF">
              <w:rPr>
                <w:rStyle w:val="Hyperlink"/>
                <w:rFonts w:ascii="Cambria" w:hAnsi="Cambria"/>
                <w:noProof/>
              </w:rPr>
              <w:t>6.5 The International Advisory Council</w:t>
            </w:r>
            <w:r w:rsidR="00847AD4" w:rsidRPr="006A59AF">
              <w:rPr>
                <w:rFonts w:ascii="Cambria" w:hAnsi="Cambria"/>
                <w:noProof/>
                <w:webHidden/>
              </w:rPr>
              <w:tab/>
            </w:r>
            <w:r w:rsidR="00847AD4" w:rsidRPr="006A59AF">
              <w:rPr>
                <w:rFonts w:ascii="Cambria" w:hAnsi="Cambria"/>
                <w:noProof/>
                <w:webHidden/>
              </w:rPr>
              <w:fldChar w:fldCharType="begin"/>
            </w:r>
            <w:r w:rsidR="00847AD4" w:rsidRPr="006A59AF">
              <w:rPr>
                <w:rFonts w:ascii="Cambria" w:hAnsi="Cambria"/>
                <w:noProof/>
                <w:webHidden/>
              </w:rPr>
              <w:instrText xml:space="preserve"> PAGEREF _Toc492293759 \h </w:instrText>
            </w:r>
            <w:r w:rsidR="00847AD4" w:rsidRPr="006A59AF">
              <w:rPr>
                <w:rFonts w:ascii="Cambria" w:hAnsi="Cambria"/>
                <w:noProof/>
                <w:webHidden/>
              </w:rPr>
            </w:r>
            <w:r w:rsidR="00847AD4" w:rsidRPr="006A59AF">
              <w:rPr>
                <w:rFonts w:ascii="Cambria" w:hAnsi="Cambria"/>
                <w:noProof/>
                <w:webHidden/>
              </w:rPr>
              <w:fldChar w:fldCharType="separate"/>
            </w:r>
            <w:r w:rsidR="00847AD4" w:rsidRPr="006A59AF">
              <w:rPr>
                <w:rFonts w:ascii="Cambria" w:hAnsi="Cambria"/>
                <w:noProof/>
                <w:webHidden/>
              </w:rPr>
              <w:t>12</w:t>
            </w:r>
            <w:r w:rsidR="00847AD4" w:rsidRPr="006A59AF">
              <w:rPr>
                <w:rFonts w:ascii="Cambria" w:hAnsi="Cambria"/>
                <w:noProof/>
                <w:webHidden/>
              </w:rPr>
              <w:fldChar w:fldCharType="end"/>
            </w:r>
          </w:hyperlink>
        </w:p>
        <w:p w14:paraId="5D57B60A" w14:textId="77777777" w:rsidR="00847AD4" w:rsidRPr="006A59AF" w:rsidRDefault="005B34D1">
          <w:pPr>
            <w:pStyle w:val="TOC1"/>
            <w:tabs>
              <w:tab w:val="right" w:leader="dot" w:pos="9776"/>
            </w:tabs>
            <w:rPr>
              <w:rFonts w:ascii="Cambria" w:eastAsiaTheme="minorEastAsia" w:hAnsi="Cambria"/>
              <w:b w:val="0"/>
              <w:bCs w:val="0"/>
              <w:noProof/>
              <w:lang w:val="en-GB" w:eastAsia="en-GB"/>
            </w:rPr>
          </w:pPr>
          <w:hyperlink w:anchor="_Toc492293760" w:history="1">
            <w:r w:rsidR="00847AD4" w:rsidRPr="006A59AF">
              <w:rPr>
                <w:rStyle w:val="Hyperlink"/>
                <w:rFonts w:ascii="Cambria" w:hAnsi="Cambria"/>
                <w:noProof/>
              </w:rPr>
              <w:t>7. Budget</w:t>
            </w:r>
            <w:r w:rsidR="00847AD4" w:rsidRPr="006A59AF">
              <w:rPr>
                <w:rFonts w:ascii="Cambria" w:hAnsi="Cambria"/>
                <w:noProof/>
                <w:webHidden/>
              </w:rPr>
              <w:tab/>
            </w:r>
            <w:r w:rsidR="00847AD4" w:rsidRPr="006A59AF">
              <w:rPr>
                <w:rFonts w:ascii="Cambria" w:hAnsi="Cambria"/>
                <w:noProof/>
                <w:webHidden/>
              </w:rPr>
              <w:fldChar w:fldCharType="begin"/>
            </w:r>
            <w:r w:rsidR="00847AD4" w:rsidRPr="006A59AF">
              <w:rPr>
                <w:rFonts w:ascii="Cambria" w:hAnsi="Cambria"/>
                <w:noProof/>
                <w:webHidden/>
              </w:rPr>
              <w:instrText xml:space="preserve"> PAGEREF _Toc492293760 \h </w:instrText>
            </w:r>
            <w:r w:rsidR="00847AD4" w:rsidRPr="006A59AF">
              <w:rPr>
                <w:rFonts w:ascii="Cambria" w:hAnsi="Cambria"/>
                <w:noProof/>
                <w:webHidden/>
              </w:rPr>
            </w:r>
            <w:r w:rsidR="00847AD4" w:rsidRPr="006A59AF">
              <w:rPr>
                <w:rFonts w:ascii="Cambria" w:hAnsi="Cambria"/>
                <w:noProof/>
                <w:webHidden/>
              </w:rPr>
              <w:fldChar w:fldCharType="separate"/>
            </w:r>
            <w:r w:rsidR="00847AD4" w:rsidRPr="006A59AF">
              <w:rPr>
                <w:rFonts w:ascii="Cambria" w:hAnsi="Cambria"/>
                <w:noProof/>
                <w:webHidden/>
              </w:rPr>
              <w:t>12</w:t>
            </w:r>
            <w:r w:rsidR="00847AD4" w:rsidRPr="006A59AF">
              <w:rPr>
                <w:rFonts w:ascii="Cambria" w:hAnsi="Cambria"/>
                <w:noProof/>
                <w:webHidden/>
              </w:rPr>
              <w:fldChar w:fldCharType="end"/>
            </w:r>
          </w:hyperlink>
        </w:p>
        <w:p w14:paraId="08EF79CC" w14:textId="77777777" w:rsidR="00847AD4" w:rsidRPr="006A59AF" w:rsidRDefault="005B34D1">
          <w:pPr>
            <w:pStyle w:val="TOC1"/>
            <w:tabs>
              <w:tab w:val="right" w:leader="dot" w:pos="9776"/>
            </w:tabs>
            <w:rPr>
              <w:rFonts w:ascii="Cambria" w:eastAsiaTheme="minorEastAsia" w:hAnsi="Cambria"/>
              <w:b w:val="0"/>
              <w:bCs w:val="0"/>
              <w:noProof/>
              <w:lang w:val="en-GB" w:eastAsia="en-GB"/>
            </w:rPr>
          </w:pPr>
          <w:hyperlink w:anchor="_Toc492293761" w:history="1">
            <w:r w:rsidR="00847AD4" w:rsidRPr="006A59AF">
              <w:rPr>
                <w:rStyle w:val="Hyperlink"/>
                <w:rFonts w:ascii="Cambria" w:hAnsi="Cambria"/>
                <w:noProof/>
              </w:rPr>
              <w:t>8. Appendix: Framework for distribution of funds between the partners</w:t>
            </w:r>
            <w:r w:rsidR="00847AD4" w:rsidRPr="006A59AF">
              <w:rPr>
                <w:rFonts w:ascii="Cambria" w:hAnsi="Cambria"/>
                <w:noProof/>
                <w:webHidden/>
              </w:rPr>
              <w:tab/>
            </w:r>
            <w:r w:rsidR="00847AD4" w:rsidRPr="006A59AF">
              <w:rPr>
                <w:rFonts w:ascii="Cambria" w:hAnsi="Cambria"/>
                <w:noProof/>
                <w:webHidden/>
              </w:rPr>
              <w:fldChar w:fldCharType="begin"/>
            </w:r>
            <w:r w:rsidR="00847AD4" w:rsidRPr="006A59AF">
              <w:rPr>
                <w:rFonts w:ascii="Cambria" w:hAnsi="Cambria"/>
                <w:noProof/>
                <w:webHidden/>
              </w:rPr>
              <w:instrText xml:space="preserve"> PAGEREF _Toc492293761 \h </w:instrText>
            </w:r>
            <w:r w:rsidR="00847AD4" w:rsidRPr="006A59AF">
              <w:rPr>
                <w:rFonts w:ascii="Cambria" w:hAnsi="Cambria"/>
                <w:noProof/>
                <w:webHidden/>
              </w:rPr>
            </w:r>
            <w:r w:rsidR="00847AD4" w:rsidRPr="006A59AF">
              <w:rPr>
                <w:rFonts w:ascii="Cambria" w:hAnsi="Cambria"/>
                <w:noProof/>
                <w:webHidden/>
              </w:rPr>
              <w:fldChar w:fldCharType="separate"/>
            </w:r>
            <w:r w:rsidR="00847AD4" w:rsidRPr="006A59AF">
              <w:rPr>
                <w:rFonts w:ascii="Cambria" w:hAnsi="Cambria"/>
                <w:noProof/>
                <w:webHidden/>
              </w:rPr>
              <w:t>14</w:t>
            </w:r>
            <w:r w:rsidR="00847AD4" w:rsidRPr="006A59AF">
              <w:rPr>
                <w:rFonts w:ascii="Cambria" w:hAnsi="Cambria"/>
                <w:noProof/>
                <w:webHidden/>
              </w:rPr>
              <w:fldChar w:fldCharType="end"/>
            </w:r>
          </w:hyperlink>
        </w:p>
        <w:p w14:paraId="7B5A36CA" w14:textId="69F08C4C" w:rsidR="00C75AA0" w:rsidRPr="006A59AF" w:rsidRDefault="00C75AA0">
          <w:pPr>
            <w:rPr>
              <w:rFonts w:ascii="Cambria" w:hAnsi="Cambria"/>
            </w:rPr>
          </w:pPr>
          <w:r w:rsidRPr="006A59AF">
            <w:rPr>
              <w:rFonts w:ascii="Cambria" w:hAnsi="Cambria"/>
              <w:b/>
              <w:bCs/>
              <w:noProof/>
            </w:rPr>
            <w:fldChar w:fldCharType="end"/>
          </w:r>
        </w:p>
      </w:sdtContent>
    </w:sdt>
    <w:p w14:paraId="72F4103A" w14:textId="77777777" w:rsidR="00C75AA0" w:rsidRPr="006A59AF" w:rsidRDefault="00C75AA0" w:rsidP="00C75AA0">
      <w:pPr>
        <w:rPr>
          <w:rFonts w:ascii="Cambria" w:hAnsi="Cambria"/>
          <w:b/>
          <w:bCs/>
          <w:u w:val="single"/>
        </w:rPr>
      </w:pPr>
    </w:p>
    <w:p w14:paraId="73BFF581" w14:textId="597A35FC" w:rsidR="00A81B59" w:rsidRPr="006A59AF" w:rsidRDefault="00955FD6" w:rsidP="00847AD4">
      <w:pPr>
        <w:pStyle w:val="Heading1"/>
        <w:numPr>
          <w:ilvl w:val="0"/>
          <w:numId w:val="3"/>
        </w:numPr>
        <w:rPr>
          <w:rFonts w:ascii="Cambria" w:hAnsi="Cambria" w:cstheme="minorBidi"/>
          <w:b/>
          <w:bCs/>
          <w:color w:val="auto"/>
          <w:sz w:val="24"/>
          <w:szCs w:val="24"/>
        </w:rPr>
      </w:pPr>
      <w:r w:rsidRPr="006A59AF">
        <w:rPr>
          <w:rFonts w:ascii="Cambria" w:hAnsi="Cambria"/>
          <w:u w:val="single"/>
        </w:rPr>
        <w:br w:type="page"/>
      </w:r>
      <w:bookmarkStart w:id="0" w:name="_Toc492293749"/>
      <w:r w:rsidR="00A81B59" w:rsidRPr="006A59AF">
        <w:rPr>
          <w:rFonts w:ascii="Cambria" w:hAnsi="Cambria" w:cstheme="minorBidi"/>
          <w:b/>
          <w:bCs/>
          <w:color w:val="auto"/>
          <w:sz w:val="24"/>
          <w:szCs w:val="24"/>
        </w:rPr>
        <w:lastRenderedPageBreak/>
        <w:t>Background</w:t>
      </w:r>
      <w:bookmarkEnd w:id="0"/>
    </w:p>
    <w:p w14:paraId="263A40F0" w14:textId="27239286" w:rsidR="00A81B59" w:rsidRPr="006A59AF" w:rsidRDefault="00A81B59" w:rsidP="00847AD4">
      <w:pPr>
        <w:spacing w:line="360" w:lineRule="auto"/>
        <w:ind w:firstLine="360"/>
        <w:rPr>
          <w:rFonts w:ascii="Cambria" w:hAnsi="Cambria"/>
          <w:sz w:val="24"/>
          <w:szCs w:val="24"/>
        </w:rPr>
      </w:pPr>
      <w:r w:rsidRPr="006A59AF">
        <w:rPr>
          <w:rFonts w:ascii="Cambria" w:hAnsi="Cambria"/>
          <w:sz w:val="24"/>
          <w:szCs w:val="24"/>
        </w:rPr>
        <w:t xml:space="preserve">Excellence is </w:t>
      </w:r>
      <w:r w:rsidR="00DD71A0" w:rsidRPr="006A59AF">
        <w:rPr>
          <w:rFonts w:ascii="Cambria" w:hAnsi="Cambria"/>
          <w:sz w:val="24"/>
          <w:szCs w:val="24"/>
        </w:rPr>
        <w:t>the</w:t>
      </w:r>
      <w:r w:rsidRPr="006A59AF">
        <w:rPr>
          <w:rFonts w:ascii="Cambria" w:hAnsi="Cambria"/>
          <w:sz w:val="24"/>
          <w:szCs w:val="24"/>
        </w:rPr>
        <w:t xml:space="preserve"> </w:t>
      </w:r>
      <w:r w:rsidR="00DD71A0" w:rsidRPr="006A59AF">
        <w:rPr>
          <w:rFonts w:ascii="Cambria" w:hAnsi="Cambria"/>
          <w:sz w:val="24"/>
          <w:szCs w:val="24"/>
        </w:rPr>
        <w:t>main</w:t>
      </w:r>
      <w:r w:rsidRPr="006A59AF">
        <w:rPr>
          <w:rFonts w:ascii="Cambria" w:hAnsi="Cambria"/>
          <w:sz w:val="24"/>
          <w:szCs w:val="24"/>
        </w:rPr>
        <w:t xml:space="preserve"> key to the strength and prosperity of the State of Israel. As a country that built its</w:t>
      </w:r>
      <w:r w:rsidR="00A1787C" w:rsidRPr="006A59AF">
        <w:rPr>
          <w:rFonts w:ascii="Cambria" w:hAnsi="Cambria"/>
          <w:sz w:val="24"/>
          <w:szCs w:val="24"/>
        </w:rPr>
        <w:t xml:space="preserve">elf on science and technology, </w:t>
      </w:r>
      <w:r w:rsidR="00737680" w:rsidRPr="006A59AF">
        <w:rPr>
          <w:rFonts w:ascii="Cambria" w:hAnsi="Cambria"/>
          <w:sz w:val="24"/>
          <w:szCs w:val="24"/>
        </w:rPr>
        <w:t>anyone</w:t>
      </w:r>
      <w:r w:rsidRPr="006A59AF">
        <w:rPr>
          <w:rFonts w:ascii="Cambria" w:hAnsi="Cambria"/>
          <w:sz w:val="24"/>
          <w:szCs w:val="24"/>
        </w:rPr>
        <w:t xml:space="preserve"> </w:t>
      </w:r>
      <w:r w:rsidR="00737680" w:rsidRPr="006A59AF">
        <w:rPr>
          <w:rFonts w:ascii="Cambria" w:hAnsi="Cambria"/>
          <w:sz w:val="24"/>
          <w:szCs w:val="24"/>
        </w:rPr>
        <w:t>who possesses</w:t>
      </w:r>
      <w:r w:rsidRPr="006A59AF">
        <w:rPr>
          <w:rFonts w:ascii="Cambria" w:hAnsi="Cambria"/>
          <w:sz w:val="24"/>
          <w:szCs w:val="24"/>
        </w:rPr>
        <w:t xml:space="preserve"> knowledge and competence in these fields can find fertile ground for </w:t>
      </w:r>
      <w:r w:rsidR="00737680" w:rsidRPr="006A59AF">
        <w:rPr>
          <w:rFonts w:ascii="Cambria" w:hAnsi="Cambria"/>
          <w:sz w:val="24"/>
          <w:szCs w:val="24"/>
        </w:rPr>
        <w:t>the realization of</w:t>
      </w:r>
      <w:r w:rsidRPr="006A59AF">
        <w:rPr>
          <w:rFonts w:ascii="Cambria" w:hAnsi="Cambria"/>
          <w:sz w:val="24"/>
          <w:szCs w:val="24"/>
        </w:rPr>
        <w:t xml:space="preserve"> their skills</w:t>
      </w:r>
      <w:r w:rsidR="00DD71A0" w:rsidRPr="006A59AF">
        <w:rPr>
          <w:rFonts w:ascii="Cambria" w:hAnsi="Cambria"/>
          <w:sz w:val="24"/>
          <w:szCs w:val="24"/>
        </w:rPr>
        <w:t xml:space="preserve"> here</w:t>
      </w:r>
      <w:r w:rsidRPr="006A59AF">
        <w:rPr>
          <w:rFonts w:ascii="Cambria" w:hAnsi="Cambria"/>
          <w:sz w:val="24"/>
          <w:szCs w:val="24"/>
        </w:rPr>
        <w:t xml:space="preserve">. In Israel today, excellence in mathematics and the sciences </w:t>
      </w:r>
      <w:r w:rsidR="00737680" w:rsidRPr="006A59AF">
        <w:rPr>
          <w:rFonts w:ascii="Cambria" w:hAnsi="Cambria"/>
          <w:sz w:val="24"/>
          <w:szCs w:val="24"/>
        </w:rPr>
        <w:t>constitutes</w:t>
      </w:r>
      <w:r w:rsidRPr="006A59AF">
        <w:rPr>
          <w:rFonts w:ascii="Cambria" w:hAnsi="Cambria"/>
          <w:sz w:val="24"/>
          <w:szCs w:val="24"/>
        </w:rPr>
        <w:t xml:space="preserve"> a springboard for the future.</w:t>
      </w:r>
    </w:p>
    <w:p w14:paraId="23DA0BEF" w14:textId="646F95F9" w:rsidR="00A81B59" w:rsidRPr="006A59AF" w:rsidRDefault="00DD71A0" w:rsidP="00847AD4">
      <w:pPr>
        <w:spacing w:line="360" w:lineRule="auto"/>
        <w:ind w:firstLine="720"/>
        <w:rPr>
          <w:rFonts w:ascii="Cambria" w:hAnsi="Cambria"/>
          <w:sz w:val="24"/>
          <w:szCs w:val="24"/>
        </w:rPr>
      </w:pPr>
      <w:r w:rsidRPr="006A59AF">
        <w:rPr>
          <w:rFonts w:ascii="Cambria" w:hAnsi="Cambria"/>
          <w:sz w:val="24"/>
          <w:szCs w:val="24"/>
        </w:rPr>
        <w:t xml:space="preserve">The expansion </w:t>
      </w:r>
      <w:r w:rsidR="00737680" w:rsidRPr="006A59AF">
        <w:rPr>
          <w:rFonts w:ascii="Cambria" w:hAnsi="Cambria"/>
          <w:sz w:val="24"/>
          <w:szCs w:val="24"/>
        </w:rPr>
        <w:t xml:space="preserve">in Israel </w:t>
      </w:r>
      <w:r w:rsidRPr="006A59AF">
        <w:rPr>
          <w:rFonts w:ascii="Cambria" w:hAnsi="Cambria"/>
          <w:sz w:val="24"/>
          <w:szCs w:val="24"/>
        </w:rPr>
        <w:t>of</w:t>
      </w:r>
      <w:r w:rsidR="00A81B59" w:rsidRPr="006A59AF">
        <w:rPr>
          <w:rFonts w:ascii="Cambria" w:hAnsi="Cambria"/>
          <w:sz w:val="24"/>
          <w:szCs w:val="24"/>
        </w:rPr>
        <w:t xml:space="preserve"> the circle of excellence, curiosity, </w:t>
      </w:r>
      <w:r w:rsidRPr="006A59AF">
        <w:rPr>
          <w:rFonts w:ascii="Cambria" w:hAnsi="Cambria"/>
          <w:sz w:val="24"/>
          <w:szCs w:val="24"/>
        </w:rPr>
        <w:t xml:space="preserve">and </w:t>
      </w:r>
      <w:r w:rsidR="00737680" w:rsidRPr="006A59AF">
        <w:rPr>
          <w:rFonts w:ascii="Cambria" w:hAnsi="Cambria"/>
          <w:sz w:val="24"/>
          <w:szCs w:val="24"/>
        </w:rPr>
        <w:t>critical and rational thinking also constitutes</w:t>
      </w:r>
      <w:r w:rsidR="00A81B59" w:rsidRPr="006A59AF">
        <w:rPr>
          <w:rFonts w:ascii="Cambria" w:hAnsi="Cambria"/>
          <w:sz w:val="24"/>
          <w:szCs w:val="24"/>
        </w:rPr>
        <w:t xml:space="preserve"> an educational mission </w:t>
      </w:r>
      <w:r w:rsidRPr="006A59AF">
        <w:rPr>
          <w:rFonts w:ascii="Cambria" w:hAnsi="Cambria"/>
          <w:sz w:val="24"/>
          <w:szCs w:val="24"/>
        </w:rPr>
        <w:t>to</w:t>
      </w:r>
      <w:r w:rsidR="00A81B59" w:rsidRPr="006A59AF">
        <w:rPr>
          <w:rFonts w:ascii="Cambria" w:hAnsi="Cambria"/>
          <w:sz w:val="24"/>
          <w:szCs w:val="24"/>
        </w:rPr>
        <w:t xml:space="preserve"> p</w:t>
      </w:r>
      <w:r w:rsidRPr="006A59AF">
        <w:rPr>
          <w:rFonts w:ascii="Cambria" w:hAnsi="Cambria"/>
          <w:sz w:val="24"/>
          <w:szCs w:val="24"/>
        </w:rPr>
        <w:t>rovide opportunities and narrow</w:t>
      </w:r>
      <w:r w:rsidR="00A81B59" w:rsidRPr="006A59AF">
        <w:rPr>
          <w:rFonts w:ascii="Cambria" w:hAnsi="Cambria"/>
          <w:sz w:val="24"/>
          <w:szCs w:val="24"/>
        </w:rPr>
        <w:t xml:space="preserve"> gaps. Excellence is </w:t>
      </w:r>
      <w:r w:rsidR="00737680" w:rsidRPr="006A59AF">
        <w:rPr>
          <w:rFonts w:ascii="Cambria" w:hAnsi="Cambria"/>
          <w:sz w:val="24"/>
          <w:szCs w:val="24"/>
        </w:rPr>
        <w:t>the</w:t>
      </w:r>
      <w:r w:rsidR="00A70144" w:rsidRPr="006A59AF">
        <w:rPr>
          <w:rFonts w:ascii="Cambria" w:hAnsi="Cambria"/>
          <w:sz w:val="24"/>
          <w:szCs w:val="24"/>
        </w:rPr>
        <w:t xml:space="preserve"> engine in </w:t>
      </w:r>
      <w:r w:rsidRPr="006A59AF">
        <w:rPr>
          <w:rFonts w:ascii="Cambria" w:hAnsi="Cambria"/>
          <w:sz w:val="24"/>
          <w:szCs w:val="24"/>
        </w:rPr>
        <w:t>whose name</w:t>
      </w:r>
      <w:r w:rsidR="00A70144" w:rsidRPr="006A59AF">
        <w:rPr>
          <w:rFonts w:ascii="Cambria" w:hAnsi="Cambria"/>
          <w:sz w:val="24"/>
          <w:szCs w:val="24"/>
        </w:rPr>
        <w:t xml:space="preserve"> we </w:t>
      </w:r>
      <w:r w:rsidRPr="006A59AF">
        <w:rPr>
          <w:rFonts w:ascii="Cambria" w:hAnsi="Cambria"/>
          <w:sz w:val="24"/>
          <w:szCs w:val="24"/>
        </w:rPr>
        <w:t>urge</w:t>
      </w:r>
      <w:r w:rsidR="00A70144" w:rsidRPr="006A59AF">
        <w:rPr>
          <w:rFonts w:ascii="Cambria" w:hAnsi="Cambria"/>
          <w:sz w:val="24"/>
          <w:szCs w:val="24"/>
        </w:rPr>
        <w:t xml:space="preserve"> students from all social </w:t>
      </w:r>
      <w:r w:rsidR="00B467BC" w:rsidRPr="006A59AF">
        <w:rPr>
          <w:rFonts w:ascii="Cambria" w:hAnsi="Cambria"/>
          <w:sz w:val="24"/>
          <w:szCs w:val="24"/>
        </w:rPr>
        <w:t>sectors</w:t>
      </w:r>
      <w:r w:rsidR="00A70144" w:rsidRPr="006A59AF">
        <w:rPr>
          <w:rFonts w:ascii="Cambria" w:hAnsi="Cambria"/>
          <w:sz w:val="24"/>
          <w:szCs w:val="24"/>
        </w:rPr>
        <w:t xml:space="preserve"> and all regions to dare, </w:t>
      </w:r>
      <w:r w:rsidRPr="006A59AF">
        <w:rPr>
          <w:rFonts w:ascii="Cambria" w:hAnsi="Cambria"/>
          <w:sz w:val="24"/>
          <w:szCs w:val="24"/>
        </w:rPr>
        <w:t xml:space="preserve">push </w:t>
      </w:r>
      <w:r w:rsidR="00737680" w:rsidRPr="006A59AF">
        <w:rPr>
          <w:rFonts w:ascii="Cambria" w:hAnsi="Cambria"/>
          <w:sz w:val="24"/>
          <w:szCs w:val="24"/>
        </w:rPr>
        <w:t>ahead</w:t>
      </w:r>
      <w:r w:rsidR="00A70144" w:rsidRPr="006A59AF">
        <w:rPr>
          <w:rFonts w:ascii="Cambria" w:hAnsi="Cambria"/>
          <w:sz w:val="24"/>
          <w:szCs w:val="24"/>
        </w:rPr>
        <w:t xml:space="preserve"> and embark on their personal journey</w:t>
      </w:r>
      <w:r w:rsidRPr="006A59AF">
        <w:rPr>
          <w:rFonts w:ascii="Cambria" w:hAnsi="Cambria"/>
          <w:sz w:val="24"/>
          <w:szCs w:val="24"/>
        </w:rPr>
        <w:t>s</w:t>
      </w:r>
      <w:r w:rsidR="00A70144" w:rsidRPr="006A59AF">
        <w:rPr>
          <w:rFonts w:ascii="Cambria" w:hAnsi="Cambria"/>
          <w:sz w:val="24"/>
          <w:szCs w:val="24"/>
        </w:rPr>
        <w:t xml:space="preserve">. </w:t>
      </w:r>
    </w:p>
    <w:p w14:paraId="7F089401" w14:textId="465E7C2B" w:rsidR="00BC477E" w:rsidRPr="006A59AF" w:rsidRDefault="00005DAD" w:rsidP="00847AD4">
      <w:pPr>
        <w:spacing w:line="360" w:lineRule="auto"/>
        <w:ind w:firstLine="720"/>
        <w:rPr>
          <w:rFonts w:ascii="Cambria" w:hAnsi="Cambria"/>
          <w:sz w:val="24"/>
          <w:szCs w:val="24"/>
        </w:rPr>
      </w:pPr>
      <w:r w:rsidRPr="006A59AF">
        <w:rPr>
          <w:rFonts w:ascii="Cambria" w:hAnsi="Cambria"/>
          <w:sz w:val="24"/>
          <w:szCs w:val="24"/>
        </w:rPr>
        <w:t xml:space="preserve">High school </w:t>
      </w:r>
      <w:r w:rsidR="00DD71A0" w:rsidRPr="006A59AF">
        <w:rPr>
          <w:rFonts w:ascii="Cambria" w:hAnsi="Cambria"/>
          <w:sz w:val="24"/>
          <w:szCs w:val="24"/>
        </w:rPr>
        <w:t>education trains</w:t>
      </w:r>
      <w:r w:rsidRPr="006A59AF">
        <w:rPr>
          <w:rFonts w:ascii="Cambria" w:hAnsi="Cambria"/>
          <w:sz w:val="24"/>
          <w:szCs w:val="24"/>
        </w:rPr>
        <w:t xml:space="preserve"> Israel's students </w:t>
      </w:r>
      <w:r w:rsidR="00737680" w:rsidRPr="006A59AF">
        <w:rPr>
          <w:rFonts w:ascii="Cambria" w:hAnsi="Cambria"/>
          <w:sz w:val="24"/>
          <w:szCs w:val="24"/>
        </w:rPr>
        <w:t>how to</w:t>
      </w:r>
      <w:r w:rsidRPr="006A59AF">
        <w:rPr>
          <w:rFonts w:ascii="Cambria" w:hAnsi="Cambria"/>
          <w:sz w:val="24"/>
          <w:szCs w:val="24"/>
        </w:rPr>
        <w:t xml:space="preserve"> cope with complex problems and </w:t>
      </w:r>
      <w:r w:rsidR="00737680" w:rsidRPr="006A59AF">
        <w:rPr>
          <w:rFonts w:ascii="Cambria" w:hAnsi="Cambria"/>
          <w:sz w:val="24"/>
          <w:szCs w:val="24"/>
        </w:rPr>
        <w:t xml:space="preserve">to </w:t>
      </w:r>
      <w:r w:rsidRPr="006A59AF">
        <w:rPr>
          <w:rFonts w:ascii="Cambria" w:hAnsi="Cambria"/>
          <w:sz w:val="24"/>
          <w:szCs w:val="24"/>
        </w:rPr>
        <w:t xml:space="preserve">create innovative solutions. </w:t>
      </w:r>
      <w:r w:rsidR="00737680" w:rsidRPr="006A59AF">
        <w:rPr>
          <w:rFonts w:ascii="Cambria" w:hAnsi="Cambria"/>
          <w:sz w:val="24"/>
          <w:szCs w:val="24"/>
        </w:rPr>
        <w:t>Thus</w:t>
      </w:r>
      <w:r w:rsidR="00A1787C" w:rsidRPr="006A59AF">
        <w:rPr>
          <w:rFonts w:ascii="Cambria" w:hAnsi="Cambria"/>
          <w:sz w:val="24"/>
          <w:szCs w:val="24"/>
        </w:rPr>
        <w:t>,</w:t>
      </w:r>
      <w:r w:rsidRPr="006A59AF">
        <w:rPr>
          <w:rFonts w:ascii="Cambria" w:hAnsi="Cambria"/>
          <w:sz w:val="24"/>
          <w:szCs w:val="24"/>
        </w:rPr>
        <w:t xml:space="preserve"> they </w:t>
      </w:r>
      <w:proofErr w:type="gramStart"/>
      <w:r w:rsidRPr="006A59AF">
        <w:rPr>
          <w:rFonts w:ascii="Cambria" w:hAnsi="Cambria"/>
          <w:sz w:val="24"/>
          <w:szCs w:val="24"/>
        </w:rPr>
        <w:t xml:space="preserve">are considered </w:t>
      </w:r>
      <w:r w:rsidR="00737680" w:rsidRPr="006A59AF">
        <w:rPr>
          <w:rFonts w:ascii="Cambria" w:hAnsi="Cambria"/>
          <w:sz w:val="24"/>
          <w:szCs w:val="24"/>
        </w:rPr>
        <w:t>to be</w:t>
      </w:r>
      <w:proofErr w:type="gramEnd"/>
      <w:r w:rsidR="00737680" w:rsidRPr="006A59AF">
        <w:rPr>
          <w:rFonts w:ascii="Cambria" w:hAnsi="Cambria"/>
          <w:sz w:val="24"/>
          <w:szCs w:val="24"/>
        </w:rPr>
        <w:t xml:space="preserve"> prepared</w:t>
      </w:r>
      <w:r w:rsidRPr="006A59AF">
        <w:rPr>
          <w:rFonts w:ascii="Cambria" w:hAnsi="Cambria"/>
          <w:sz w:val="24"/>
          <w:szCs w:val="24"/>
        </w:rPr>
        <w:t xml:space="preserve"> for the challenges and opportunities of the 21st century</w:t>
      </w:r>
      <w:r w:rsidR="00737680" w:rsidRPr="006A59AF">
        <w:rPr>
          <w:rFonts w:ascii="Cambria" w:hAnsi="Cambria"/>
          <w:sz w:val="24"/>
          <w:szCs w:val="24"/>
        </w:rPr>
        <w:t>,</w:t>
      </w:r>
      <w:r w:rsidRPr="006A59AF">
        <w:rPr>
          <w:rFonts w:ascii="Cambria" w:hAnsi="Cambria"/>
          <w:sz w:val="24"/>
          <w:szCs w:val="24"/>
        </w:rPr>
        <w:t xml:space="preserve"> as </w:t>
      </w:r>
      <w:r w:rsidR="00737680" w:rsidRPr="006A59AF">
        <w:rPr>
          <w:rFonts w:ascii="Cambria" w:hAnsi="Cambria"/>
          <w:sz w:val="24"/>
          <w:szCs w:val="24"/>
        </w:rPr>
        <w:t>individuals</w:t>
      </w:r>
      <w:r w:rsidRPr="006A59AF">
        <w:rPr>
          <w:rFonts w:ascii="Cambria" w:hAnsi="Cambria"/>
          <w:sz w:val="24"/>
          <w:szCs w:val="24"/>
        </w:rPr>
        <w:t xml:space="preserve"> who</w:t>
      </w:r>
      <w:r w:rsidR="00737680" w:rsidRPr="006A59AF">
        <w:rPr>
          <w:rFonts w:ascii="Cambria" w:hAnsi="Cambria"/>
          <w:sz w:val="24"/>
          <w:szCs w:val="24"/>
        </w:rPr>
        <w:t>,</w:t>
      </w:r>
      <w:r w:rsidRPr="006A59AF">
        <w:rPr>
          <w:rFonts w:ascii="Cambria" w:hAnsi="Cambria"/>
          <w:sz w:val="24"/>
          <w:szCs w:val="24"/>
        </w:rPr>
        <w:t xml:space="preserve"> </w:t>
      </w:r>
      <w:r w:rsidR="001E4AAF" w:rsidRPr="006A59AF">
        <w:rPr>
          <w:rFonts w:ascii="Cambria" w:hAnsi="Cambria"/>
          <w:sz w:val="24"/>
          <w:szCs w:val="24"/>
        </w:rPr>
        <w:t>in the future</w:t>
      </w:r>
      <w:r w:rsidR="00737680" w:rsidRPr="006A59AF">
        <w:rPr>
          <w:rFonts w:ascii="Cambria" w:hAnsi="Cambria"/>
          <w:sz w:val="24"/>
          <w:szCs w:val="24"/>
        </w:rPr>
        <w:t>, will be able</w:t>
      </w:r>
      <w:r w:rsidR="001E4AAF" w:rsidRPr="006A59AF">
        <w:rPr>
          <w:rFonts w:ascii="Cambria" w:hAnsi="Cambria"/>
          <w:sz w:val="24"/>
          <w:szCs w:val="24"/>
        </w:rPr>
        <w:t xml:space="preserve"> </w:t>
      </w:r>
      <w:r w:rsidRPr="006A59AF">
        <w:rPr>
          <w:rFonts w:ascii="Cambria" w:hAnsi="Cambria"/>
          <w:sz w:val="24"/>
          <w:szCs w:val="24"/>
        </w:rPr>
        <w:t>to contribute to breakthroughs in science and industry, cure disease, strengthen security</w:t>
      </w:r>
      <w:r w:rsidR="001E4AAF" w:rsidRPr="006A59AF">
        <w:rPr>
          <w:rFonts w:ascii="Cambria" w:hAnsi="Cambria"/>
          <w:sz w:val="24"/>
          <w:szCs w:val="24"/>
        </w:rPr>
        <w:t xml:space="preserve">, </w:t>
      </w:r>
      <w:r w:rsidR="00BC477E" w:rsidRPr="006A59AF">
        <w:rPr>
          <w:rFonts w:ascii="Cambria" w:hAnsi="Cambria"/>
          <w:sz w:val="24"/>
          <w:szCs w:val="24"/>
        </w:rPr>
        <w:t>and improve quality of life.</w:t>
      </w:r>
    </w:p>
    <w:p w14:paraId="0722F5CF" w14:textId="2A8D0CAA" w:rsidR="00BC477E" w:rsidRPr="006A59AF" w:rsidRDefault="00737680" w:rsidP="00847AD4">
      <w:pPr>
        <w:spacing w:line="360" w:lineRule="auto"/>
        <w:ind w:firstLine="720"/>
        <w:rPr>
          <w:rFonts w:ascii="Cambria" w:hAnsi="Cambria"/>
          <w:sz w:val="24"/>
          <w:szCs w:val="24"/>
        </w:rPr>
      </w:pPr>
      <w:r w:rsidRPr="006A59AF">
        <w:rPr>
          <w:rFonts w:ascii="Cambria" w:hAnsi="Cambria"/>
          <w:sz w:val="24"/>
          <w:szCs w:val="24"/>
        </w:rPr>
        <w:t>During</w:t>
      </w:r>
      <w:r w:rsidR="00BC477E" w:rsidRPr="006A59AF">
        <w:rPr>
          <w:rFonts w:ascii="Cambria" w:hAnsi="Cambria"/>
          <w:sz w:val="24"/>
          <w:szCs w:val="24"/>
        </w:rPr>
        <w:t xml:space="preserve"> their studies, students develop character traits of creativity, independence</w:t>
      </w:r>
      <w:r w:rsidR="001E4AAF" w:rsidRPr="006A59AF">
        <w:rPr>
          <w:rFonts w:ascii="Cambria" w:hAnsi="Cambria"/>
          <w:sz w:val="24"/>
          <w:szCs w:val="24"/>
        </w:rPr>
        <w:t>, and initiative;</w:t>
      </w:r>
      <w:r w:rsidR="00BC477E" w:rsidRPr="006A59AF">
        <w:rPr>
          <w:rFonts w:ascii="Cambria" w:hAnsi="Cambria"/>
          <w:sz w:val="24"/>
          <w:szCs w:val="24"/>
        </w:rPr>
        <w:t xml:space="preserve"> </w:t>
      </w:r>
      <w:r w:rsidRPr="006A59AF">
        <w:rPr>
          <w:rFonts w:ascii="Cambria" w:hAnsi="Cambria"/>
          <w:sz w:val="24"/>
          <w:szCs w:val="24"/>
        </w:rPr>
        <w:t>as well as</w:t>
      </w:r>
      <w:r w:rsidR="00BC477E" w:rsidRPr="006A59AF">
        <w:rPr>
          <w:rFonts w:ascii="Cambria" w:hAnsi="Cambria"/>
          <w:sz w:val="24"/>
          <w:szCs w:val="24"/>
        </w:rPr>
        <w:t xml:space="preserve"> learning habits and a willingness to advance, invest</w:t>
      </w:r>
      <w:r w:rsidR="001E4AAF" w:rsidRPr="006A59AF">
        <w:rPr>
          <w:rFonts w:ascii="Cambria" w:hAnsi="Cambria"/>
          <w:sz w:val="24"/>
          <w:szCs w:val="24"/>
        </w:rPr>
        <w:t>,</w:t>
      </w:r>
      <w:r w:rsidR="00BC477E" w:rsidRPr="006A59AF">
        <w:rPr>
          <w:rFonts w:ascii="Cambria" w:hAnsi="Cambria"/>
          <w:sz w:val="24"/>
          <w:szCs w:val="24"/>
        </w:rPr>
        <w:t xml:space="preserve"> and practice. They experience difficulties and overcome </w:t>
      </w:r>
      <w:r w:rsidR="001E4AAF" w:rsidRPr="006A59AF">
        <w:rPr>
          <w:rFonts w:ascii="Cambria" w:hAnsi="Cambria"/>
          <w:sz w:val="24"/>
          <w:szCs w:val="24"/>
        </w:rPr>
        <w:t>pressure</w:t>
      </w:r>
      <w:r w:rsidR="00BC477E" w:rsidRPr="006A59AF">
        <w:rPr>
          <w:rFonts w:ascii="Cambria" w:hAnsi="Cambria"/>
          <w:sz w:val="24"/>
          <w:szCs w:val="24"/>
        </w:rPr>
        <w:t xml:space="preserve">, </w:t>
      </w:r>
      <w:r w:rsidR="000049B9" w:rsidRPr="006A59AF">
        <w:rPr>
          <w:rFonts w:ascii="Cambria" w:hAnsi="Cambria"/>
          <w:sz w:val="24"/>
          <w:szCs w:val="24"/>
        </w:rPr>
        <w:t>master</w:t>
      </w:r>
      <w:r w:rsidR="00BC477E" w:rsidRPr="006A59AF">
        <w:rPr>
          <w:rFonts w:ascii="Cambria" w:hAnsi="Cambria"/>
          <w:sz w:val="24"/>
          <w:szCs w:val="24"/>
        </w:rPr>
        <w:t xml:space="preserve"> </w:t>
      </w:r>
      <w:r w:rsidR="00C76DCC" w:rsidRPr="006A59AF">
        <w:rPr>
          <w:rFonts w:ascii="Cambria" w:hAnsi="Cambria"/>
          <w:sz w:val="24"/>
          <w:szCs w:val="24"/>
        </w:rPr>
        <w:t>the ability</w:t>
      </w:r>
      <w:r w:rsidR="00BC477E" w:rsidRPr="006A59AF">
        <w:rPr>
          <w:rFonts w:ascii="Cambria" w:hAnsi="Cambria"/>
          <w:sz w:val="24"/>
          <w:szCs w:val="24"/>
        </w:rPr>
        <w:t xml:space="preserve"> to learn from mistakes</w:t>
      </w:r>
      <w:r w:rsidR="000049B9" w:rsidRPr="006A59AF">
        <w:rPr>
          <w:rFonts w:ascii="Cambria" w:hAnsi="Cambria"/>
          <w:sz w:val="24"/>
          <w:szCs w:val="24"/>
        </w:rPr>
        <w:t>,</w:t>
      </w:r>
      <w:r w:rsidR="00BC477E" w:rsidRPr="006A59AF">
        <w:rPr>
          <w:rFonts w:ascii="Cambria" w:hAnsi="Cambria"/>
          <w:sz w:val="24"/>
          <w:szCs w:val="24"/>
        </w:rPr>
        <w:t xml:space="preserve"> and strive for truth with determination and consistency.</w:t>
      </w:r>
    </w:p>
    <w:p w14:paraId="633CBB06" w14:textId="647BB5C8" w:rsidR="00BC477E" w:rsidRPr="006A59AF" w:rsidRDefault="00BC477E" w:rsidP="00847AD4">
      <w:pPr>
        <w:spacing w:line="360" w:lineRule="auto"/>
        <w:ind w:firstLine="720"/>
        <w:rPr>
          <w:rFonts w:ascii="Cambria" w:hAnsi="Cambria"/>
          <w:sz w:val="24"/>
          <w:szCs w:val="24"/>
        </w:rPr>
      </w:pPr>
      <w:r w:rsidRPr="006A59AF">
        <w:rPr>
          <w:rFonts w:ascii="Cambria" w:hAnsi="Cambria"/>
          <w:sz w:val="24"/>
          <w:szCs w:val="24"/>
        </w:rPr>
        <w:t xml:space="preserve">Today, the National Institute for the Strengthening of Excellence in Mathematics and the Sciences has </w:t>
      </w:r>
      <w:r w:rsidR="0036769F" w:rsidRPr="006A59AF">
        <w:rPr>
          <w:rFonts w:ascii="Cambria" w:hAnsi="Cambria"/>
          <w:sz w:val="24"/>
          <w:szCs w:val="24"/>
        </w:rPr>
        <w:t>succeeded in stemming</w:t>
      </w:r>
      <w:r w:rsidRPr="006A59AF">
        <w:rPr>
          <w:rFonts w:ascii="Cambria" w:hAnsi="Cambria"/>
          <w:sz w:val="24"/>
          <w:szCs w:val="24"/>
        </w:rPr>
        <w:t xml:space="preserve"> the collapse in the number of graduates in five units, and to drive significant growth. </w:t>
      </w:r>
      <w:r w:rsidR="0083659B" w:rsidRPr="006A59AF">
        <w:rPr>
          <w:rFonts w:ascii="Cambria" w:hAnsi="Cambria"/>
          <w:sz w:val="24"/>
          <w:szCs w:val="24"/>
        </w:rPr>
        <w:t xml:space="preserve">Many students, in the center and in the periphery, religious </w:t>
      </w:r>
      <w:r w:rsidR="000049B9" w:rsidRPr="006A59AF">
        <w:rPr>
          <w:rFonts w:ascii="Cambria" w:hAnsi="Cambria"/>
          <w:sz w:val="24"/>
          <w:szCs w:val="24"/>
        </w:rPr>
        <w:t>and</w:t>
      </w:r>
      <w:r w:rsidR="0083659B" w:rsidRPr="006A59AF">
        <w:rPr>
          <w:rFonts w:ascii="Cambria" w:hAnsi="Cambria"/>
          <w:sz w:val="24"/>
          <w:szCs w:val="24"/>
        </w:rPr>
        <w:t xml:space="preserve"> secu</w:t>
      </w:r>
      <w:r w:rsidR="000049B9" w:rsidRPr="006A59AF">
        <w:rPr>
          <w:rFonts w:ascii="Cambria" w:hAnsi="Cambria"/>
          <w:sz w:val="24"/>
          <w:szCs w:val="24"/>
        </w:rPr>
        <w:t>lar, Hebrew and Arabic speakers, are choosing the five-unit track in high school.</w:t>
      </w:r>
    </w:p>
    <w:p w14:paraId="2BDFB131" w14:textId="65E81242" w:rsidR="00E9394E" w:rsidRPr="006A59AF" w:rsidRDefault="0009659E" w:rsidP="00847AD4">
      <w:pPr>
        <w:spacing w:line="360" w:lineRule="auto"/>
        <w:ind w:firstLine="720"/>
        <w:rPr>
          <w:rFonts w:ascii="Cambria" w:hAnsi="Cambria"/>
          <w:sz w:val="24"/>
          <w:szCs w:val="24"/>
        </w:rPr>
      </w:pPr>
      <w:r w:rsidRPr="006A59AF">
        <w:rPr>
          <w:rFonts w:ascii="Cambria" w:hAnsi="Cambria"/>
          <w:sz w:val="24"/>
          <w:szCs w:val="24"/>
        </w:rPr>
        <w:t xml:space="preserve">The past few years have </w:t>
      </w:r>
      <w:r w:rsidR="0036769F" w:rsidRPr="006A59AF">
        <w:rPr>
          <w:rFonts w:ascii="Cambria" w:hAnsi="Cambria"/>
          <w:sz w:val="24"/>
          <w:szCs w:val="24"/>
        </w:rPr>
        <w:t>demonstrated</w:t>
      </w:r>
      <w:r w:rsidRPr="006A59AF">
        <w:rPr>
          <w:rFonts w:ascii="Cambria" w:hAnsi="Cambria"/>
          <w:sz w:val="24"/>
          <w:szCs w:val="24"/>
        </w:rPr>
        <w:t xml:space="preserve"> that</w:t>
      </w:r>
      <w:r w:rsidR="0036769F" w:rsidRPr="006A59AF">
        <w:rPr>
          <w:rFonts w:ascii="Cambria" w:hAnsi="Cambria"/>
          <w:sz w:val="24"/>
          <w:szCs w:val="24"/>
        </w:rPr>
        <w:t>,</w:t>
      </w:r>
      <w:r w:rsidRPr="006A59AF">
        <w:rPr>
          <w:rFonts w:ascii="Cambria" w:hAnsi="Cambria"/>
          <w:sz w:val="24"/>
          <w:szCs w:val="24"/>
        </w:rPr>
        <w:t xml:space="preserve"> </w:t>
      </w:r>
      <w:r w:rsidR="0036769F" w:rsidRPr="006A59AF">
        <w:rPr>
          <w:rFonts w:ascii="Cambria" w:hAnsi="Cambria"/>
          <w:sz w:val="24"/>
          <w:szCs w:val="24"/>
        </w:rPr>
        <w:t xml:space="preserve">in Israel, </w:t>
      </w:r>
      <w:r w:rsidRPr="006A59AF">
        <w:rPr>
          <w:rFonts w:ascii="Cambria" w:hAnsi="Cambria"/>
          <w:sz w:val="24"/>
          <w:szCs w:val="24"/>
        </w:rPr>
        <w:t xml:space="preserve">excellence transcends borders, </w:t>
      </w:r>
      <w:r w:rsidR="000049B9" w:rsidRPr="006A59AF">
        <w:rPr>
          <w:rFonts w:ascii="Cambria" w:hAnsi="Cambria"/>
          <w:sz w:val="24"/>
          <w:szCs w:val="24"/>
        </w:rPr>
        <w:t xml:space="preserve">that </w:t>
      </w:r>
      <w:r w:rsidRPr="006A59AF">
        <w:rPr>
          <w:rFonts w:ascii="Cambria" w:hAnsi="Cambria"/>
          <w:sz w:val="24"/>
          <w:szCs w:val="24"/>
        </w:rPr>
        <w:t xml:space="preserve">many students can </w:t>
      </w:r>
      <w:r w:rsidR="000049B9" w:rsidRPr="006A59AF">
        <w:rPr>
          <w:rFonts w:ascii="Cambria" w:hAnsi="Cambria"/>
          <w:sz w:val="24"/>
          <w:szCs w:val="24"/>
        </w:rPr>
        <w:t>succeed</w:t>
      </w:r>
      <w:r w:rsidR="0036769F" w:rsidRPr="006A59AF">
        <w:rPr>
          <w:rFonts w:ascii="Cambria" w:hAnsi="Cambria"/>
          <w:sz w:val="24"/>
          <w:szCs w:val="24"/>
        </w:rPr>
        <w:t>,</w:t>
      </w:r>
      <w:r w:rsidRPr="006A59AF">
        <w:rPr>
          <w:rFonts w:ascii="Cambria" w:hAnsi="Cambria"/>
          <w:sz w:val="24"/>
          <w:szCs w:val="24"/>
        </w:rPr>
        <w:t xml:space="preserve"> </w:t>
      </w:r>
      <w:r w:rsidR="0036769F" w:rsidRPr="006A59AF">
        <w:rPr>
          <w:rFonts w:ascii="Cambria" w:hAnsi="Cambria"/>
          <w:sz w:val="24"/>
          <w:szCs w:val="24"/>
        </w:rPr>
        <w:t>that</w:t>
      </w:r>
      <w:r w:rsidRPr="006A59AF">
        <w:rPr>
          <w:rFonts w:ascii="Cambria" w:hAnsi="Cambria"/>
          <w:sz w:val="24"/>
          <w:szCs w:val="24"/>
        </w:rPr>
        <w:t xml:space="preserve"> this is their basic right</w:t>
      </w:r>
      <w:r w:rsidR="0036769F" w:rsidRPr="006A59AF">
        <w:rPr>
          <w:rFonts w:ascii="Cambria" w:hAnsi="Cambria"/>
          <w:sz w:val="24"/>
          <w:szCs w:val="24"/>
        </w:rPr>
        <w:t>,</w:t>
      </w:r>
      <w:r w:rsidRPr="006A59AF">
        <w:rPr>
          <w:rFonts w:ascii="Cambria" w:hAnsi="Cambria"/>
          <w:sz w:val="24"/>
          <w:szCs w:val="24"/>
        </w:rPr>
        <w:t xml:space="preserve"> and </w:t>
      </w:r>
      <w:r w:rsidR="0036769F" w:rsidRPr="006A59AF">
        <w:rPr>
          <w:rFonts w:ascii="Cambria" w:hAnsi="Cambria"/>
          <w:sz w:val="24"/>
          <w:szCs w:val="24"/>
        </w:rPr>
        <w:t xml:space="preserve">that </w:t>
      </w:r>
      <w:r w:rsidRPr="006A59AF">
        <w:rPr>
          <w:rFonts w:ascii="Cambria" w:hAnsi="Cambria"/>
          <w:sz w:val="24"/>
          <w:szCs w:val="24"/>
        </w:rPr>
        <w:t xml:space="preserve">it is the duty of us </w:t>
      </w:r>
      <w:r w:rsidR="00C76DCC" w:rsidRPr="006A59AF">
        <w:rPr>
          <w:rFonts w:ascii="Cambria" w:hAnsi="Cambria"/>
          <w:sz w:val="24"/>
          <w:szCs w:val="24"/>
        </w:rPr>
        <w:t xml:space="preserve">all to </w:t>
      </w:r>
      <w:r w:rsidRPr="006A59AF">
        <w:rPr>
          <w:rFonts w:ascii="Cambria" w:hAnsi="Cambria"/>
          <w:sz w:val="24"/>
          <w:szCs w:val="24"/>
        </w:rPr>
        <w:t>provide them with equal opportunities for a quality education and f</w:t>
      </w:r>
      <w:r w:rsidR="00E9394E" w:rsidRPr="006A59AF">
        <w:rPr>
          <w:rFonts w:ascii="Cambria" w:hAnsi="Cambria"/>
          <w:sz w:val="24"/>
          <w:szCs w:val="24"/>
        </w:rPr>
        <w:t>or studies at the highest level.</w:t>
      </w:r>
    </w:p>
    <w:p w14:paraId="5449C11B" w14:textId="77777777" w:rsidR="000049B9" w:rsidRPr="006A59AF" w:rsidRDefault="000049B9" w:rsidP="000049B9">
      <w:pPr>
        <w:spacing w:line="360" w:lineRule="auto"/>
        <w:rPr>
          <w:rFonts w:ascii="Cambria" w:hAnsi="Cambria"/>
          <w:sz w:val="24"/>
          <w:szCs w:val="24"/>
        </w:rPr>
      </w:pPr>
    </w:p>
    <w:p w14:paraId="112C35F6" w14:textId="77777777" w:rsidR="00D76172" w:rsidRPr="006A59AF" w:rsidRDefault="00D76172" w:rsidP="000049B9">
      <w:pPr>
        <w:spacing w:line="360" w:lineRule="auto"/>
        <w:rPr>
          <w:rFonts w:ascii="Cambria" w:hAnsi="Cambria"/>
          <w:sz w:val="24"/>
          <w:szCs w:val="24"/>
        </w:rPr>
      </w:pPr>
    </w:p>
    <w:p w14:paraId="1860A7A2" w14:textId="563D418A" w:rsidR="00E9394E" w:rsidRPr="006A59AF" w:rsidRDefault="0036769F" w:rsidP="00DD71A0">
      <w:pPr>
        <w:spacing w:line="360" w:lineRule="auto"/>
        <w:jc w:val="center"/>
        <w:rPr>
          <w:rFonts w:ascii="Cambria" w:hAnsi="Cambria"/>
          <w:sz w:val="24"/>
          <w:szCs w:val="24"/>
          <w:u w:val="single"/>
        </w:rPr>
      </w:pPr>
      <w:r w:rsidRPr="006A59AF">
        <w:rPr>
          <w:rFonts w:ascii="Cambria" w:hAnsi="Cambria"/>
          <w:sz w:val="24"/>
          <w:szCs w:val="24"/>
          <w:u w:val="single"/>
        </w:rPr>
        <w:lastRenderedPageBreak/>
        <w:t>Number of five-</w:t>
      </w:r>
      <w:r w:rsidR="00E9394E" w:rsidRPr="006A59AF">
        <w:rPr>
          <w:rFonts w:ascii="Cambria" w:hAnsi="Cambria"/>
          <w:sz w:val="24"/>
          <w:szCs w:val="24"/>
          <w:u w:val="single"/>
        </w:rPr>
        <w:t>unit graduates</w:t>
      </w:r>
    </w:p>
    <w:p w14:paraId="4F0BA494" w14:textId="56B2FE1B" w:rsidR="00E9394E" w:rsidRPr="006A59AF" w:rsidRDefault="00E9394E" w:rsidP="007820AD">
      <w:pPr>
        <w:spacing w:line="360" w:lineRule="auto"/>
        <w:rPr>
          <w:rFonts w:ascii="Cambria" w:hAnsi="Cambria"/>
          <w:sz w:val="24"/>
          <w:szCs w:val="24"/>
        </w:rPr>
      </w:pPr>
      <w:r w:rsidRPr="006A59AF">
        <w:rPr>
          <w:rFonts w:ascii="Cambria" w:hAnsi="Cambria"/>
          <w:noProof/>
          <w:sz w:val="24"/>
          <w:szCs w:val="24"/>
          <w:lang w:val="en-GB" w:eastAsia="en-GB"/>
        </w:rPr>
        <w:drawing>
          <wp:inline distT="0" distB="0" distL="0" distR="0" wp14:anchorId="62ED1B4D" wp14:editId="57CFA9F2">
            <wp:extent cx="5208270" cy="1823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8270" cy="1823085"/>
                    </a:xfrm>
                    <a:prstGeom prst="rect">
                      <a:avLst/>
                    </a:prstGeom>
                    <a:noFill/>
                  </pic:spPr>
                </pic:pic>
              </a:graphicData>
            </a:graphic>
          </wp:inline>
        </w:drawing>
      </w:r>
    </w:p>
    <w:p w14:paraId="0CB59A7C" w14:textId="77777777" w:rsidR="00E9394E" w:rsidRPr="006A59AF" w:rsidRDefault="00E9394E" w:rsidP="00E9394E">
      <w:pPr>
        <w:rPr>
          <w:rFonts w:ascii="Cambria" w:hAnsi="Cambria"/>
          <w:sz w:val="18"/>
          <w:szCs w:val="18"/>
        </w:rPr>
      </w:pPr>
      <w:r w:rsidRPr="006A59AF">
        <w:rPr>
          <w:rFonts w:ascii="Cambria" w:hAnsi="Cambria"/>
          <w:sz w:val="18"/>
          <w:szCs w:val="18"/>
        </w:rPr>
        <w:t>Based on a Ministry of Education press release from July 2017</w:t>
      </w:r>
    </w:p>
    <w:p w14:paraId="54B7848D" w14:textId="7F0BA0C8" w:rsidR="007820AD" w:rsidRPr="006A59AF" w:rsidRDefault="007820AD" w:rsidP="00E9394E">
      <w:pPr>
        <w:rPr>
          <w:rFonts w:ascii="Cambria" w:hAnsi="Cambria"/>
          <w:sz w:val="18"/>
          <w:szCs w:val="18"/>
        </w:rPr>
      </w:pPr>
      <w:r w:rsidRPr="006A59AF">
        <w:rPr>
          <w:rFonts w:ascii="Cambria" w:hAnsi="Cambria"/>
          <w:sz w:val="18"/>
          <w:szCs w:val="18"/>
        </w:rPr>
        <w:t>Y axis: Number of graduates</w:t>
      </w:r>
    </w:p>
    <w:p w14:paraId="1F64F4AF" w14:textId="7C24163C" w:rsidR="007820AD" w:rsidRPr="006A59AF" w:rsidRDefault="007820AD" w:rsidP="00E9394E">
      <w:pPr>
        <w:rPr>
          <w:rFonts w:ascii="Cambria" w:hAnsi="Cambria"/>
          <w:sz w:val="18"/>
          <w:szCs w:val="18"/>
        </w:rPr>
      </w:pPr>
      <w:r w:rsidRPr="006A59AF">
        <w:rPr>
          <w:rFonts w:ascii="Cambria" w:hAnsi="Cambria"/>
          <w:sz w:val="18"/>
          <w:szCs w:val="18"/>
        </w:rPr>
        <w:t>X axis: Black line = Chemistry, blue line = mathematics; gray line = physics</w:t>
      </w:r>
    </w:p>
    <w:p w14:paraId="2DF43CEC" w14:textId="77777777" w:rsidR="00E9394E" w:rsidRPr="006A59AF" w:rsidRDefault="00E9394E" w:rsidP="00E9394E">
      <w:pPr>
        <w:rPr>
          <w:rFonts w:ascii="Cambria" w:hAnsi="Cambria"/>
          <w:sz w:val="18"/>
          <w:szCs w:val="18"/>
        </w:rPr>
      </w:pPr>
    </w:p>
    <w:p w14:paraId="4A92AA96" w14:textId="1ADE2796" w:rsidR="00E9394E" w:rsidRPr="006A59AF" w:rsidRDefault="00D76172" w:rsidP="0001510B">
      <w:pPr>
        <w:pStyle w:val="Heading1"/>
        <w:numPr>
          <w:ilvl w:val="0"/>
          <w:numId w:val="3"/>
        </w:numPr>
        <w:rPr>
          <w:rFonts w:ascii="Cambria" w:hAnsi="Cambria" w:cstheme="minorBidi"/>
          <w:b/>
          <w:bCs/>
          <w:color w:val="auto"/>
          <w:sz w:val="24"/>
          <w:szCs w:val="24"/>
        </w:rPr>
      </w:pPr>
      <w:bookmarkStart w:id="1" w:name="_Toc492293750"/>
      <w:r w:rsidRPr="006A59AF">
        <w:rPr>
          <w:rFonts w:ascii="Cambria" w:hAnsi="Cambria" w:cstheme="minorBidi"/>
          <w:b/>
          <w:bCs/>
          <w:color w:val="auto"/>
          <w:sz w:val="24"/>
          <w:szCs w:val="24"/>
        </w:rPr>
        <w:t>Opportunity and N</w:t>
      </w:r>
      <w:r w:rsidR="00E9394E" w:rsidRPr="006A59AF">
        <w:rPr>
          <w:rFonts w:ascii="Cambria" w:hAnsi="Cambria" w:cstheme="minorBidi"/>
          <w:b/>
          <w:bCs/>
          <w:color w:val="auto"/>
          <w:sz w:val="24"/>
          <w:szCs w:val="24"/>
        </w:rPr>
        <w:t>eed</w:t>
      </w:r>
      <w:bookmarkEnd w:id="1"/>
    </w:p>
    <w:p w14:paraId="77A716B4" w14:textId="3299377D" w:rsidR="00E9394E" w:rsidRPr="006A59AF" w:rsidRDefault="00E9394E" w:rsidP="0001510B">
      <w:pPr>
        <w:spacing w:line="360" w:lineRule="auto"/>
        <w:ind w:firstLine="360"/>
        <w:rPr>
          <w:rFonts w:ascii="Cambria" w:hAnsi="Cambria"/>
          <w:sz w:val="24"/>
          <w:szCs w:val="24"/>
        </w:rPr>
      </w:pPr>
      <w:r w:rsidRPr="006A59AF">
        <w:rPr>
          <w:rFonts w:ascii="Cambria" w:hAnsi="Cambria"/>
          <w:sz w:val="24"/>
          <w:szCs w:val="24"/>
        </w:rPr>
        <w:t xml:space="preserve">The turnaround in excellence </w:t>
      </w:r>
      <w:r w:rsidR="000049B9" w:rsidRPr="006A59AF">
        <w:rPr>
          <w:rFonts w:ascii="Cambria" w:hAnsi="Cambria"/>
          <w:sz w:val="24"/>
          <w:szCs w:val="24"/>
        </w:rPr>
        <w:t>over</w:t>
      </w:r>
      <w:r w:rsidRPr="006A59AF">
        <w:rPr>
          <w:rFonts w:ascii="Cambria" w:hAnsi="Cambria"/>
          <w:sz w:val="24"/>
          <w:szCs w:val="24"/>
        </w:rPr>
        <w:t xml:space="preserve"> the past few years has been achieved </w:t>
      </w:r>
      <w:proofErr w:type="gramStart"/>
      <w:r w:rsidRPr="006A59AF">
        <w:rPr>
          <w:rFonts w:ascii="Cambria" w:hAnsi="Cambria"/>
          <w:sz w:val="24"/>
          <w:szCs w:val="24"/>
        </w:rPr>
        <w:t>as a result of</w:t>
      </w:r>
      <w:proofErr w:type="gramEnd"/>
      <w:r w:rsidRPr="006A59AF">
        <w:rPr>
          <w:rFonts w:ascii="Cambria" w:hAnsi="Cambria"/>
          <w:sz w:val="24"/>
          <w:szCs w:val="24"/>
        </w:rPr>
        <w:t xml:space="preserve"> a </w:t>
      </w:r>
      <w:r w:rsidR="00C76DCC" w:rsidRPr="006A59AF">
        <w:rPr>
          <w:rFonts w:ascii="Cambria" w:hAnsi="Cambria"/>
          <w:sz w:val="24"/>
          <w:szCs w:val="24"/>
        </w:rPr>
        <w:t>special combination of different branches</w:t>
      </w:r>
      <w:r w:rsidRPr="006A59AF">
        <w:rPr>
          <w:rFonts w:ascii="Cambria" w:hAnsi="Cambria"/>
          <w:sz w:val="24"/>
          <w:szCs w:val="24"/>
        </w:rPr>
        <w:t>. Government policy and national plan</w:t>
      </w:r>
      <w:r w:rsidR="00C76DCC" w:rsidRPr="006A59AF">
        <w:rPr>
          <w:rFonts w:ascii="Cambria" w:hAnsi="Cambria"/>
          <w:sz w:val="24"/>
          <w:szCs w:val="24"/>
        </w:rPr>
        <w:t>ning have</w:t>
      </w:r>
      <w:r w:rsidRPr="006A59AF">
        <w:rPr>
          <w:rFonts w:ascii="Cambria" w:hAnsi="Cambria"/>
          <w:sz w:val="24"/>
          <w:szCs w:val="24"/>
        </w:rPr>
        <w:t xml:space="preserve"> </w:t>
      </w:r>
      <w:r w:rsidR="00C76DCC" w:rsidRPr="006A59AF">
        <w:rPr>
          <w:rFonts w:ascii="Cambria" w:hAnsi="Cambria"/>
          <w:sz w:val="24"/>
          <w:szCs w:val="24"/>
        </w:rPr>
        <w:t>paved the way and defined the direction</w:t>
      </w:r>
      <w:r w:rsidRPr="006A59AF">
        <w:rPr>
          <w:rFonts w:ascii="Cambria" w:hAnsi="Cambria"/>
          <w:sz w:val="24"/>
          <w:szCs w:val="24"/>
        </w:rPr>
        <w:t xml:space="preserve">, </w:t>
      </w:r>
      <w:r w:rsidR="007C1F5E" w:rsidRPr="006A59AF">
        <w:rPr>
          <w:rFonts w:ascii="Cambria" w:hAnsi="Cambria"/>
          <w:sz w:val="24"/>
          <w:szCs w:val="24"/>
        </w:rPr>
        <w:t xml:space="preserve">while </w:t>
      </w:r>
      <w:r w:rsidRPr="006A59AF">
        <w:rPr>
          <w:rFonts w:ascii="Cambria" w:hAnsi="Cambria"/>
          <w:sz w:val="24"/>
          <w:szCs w:val="24"/>
        </w:rPr>
        <w:t>academic institutions built tools and developed capabilities</w:t>
      </w:r>
      <w:r w:rsidR="000049B9" w:rsidRPr="006A59AF">
        <w:rPr>
          <w:rFonts w:ascii="Cambria" w:hAnsi="Cambria"/>
          <w:sz w:val="24"/>
          <w:szCs w:val="24"/>
        </w:rPr>
        <w:t>,</w:t>
      </w:r>
      <w:r w:rsidRPr="006A59AF">
        <w:rPr>
          <w:rFonts w:ascii="Cambria" w:hAnsi="Cambria"/>
          <w:sz w:val="24"/>
          <w:szCs w:val="24"/>
        </w:rPr>
        <w:t xml:space="preserve"> </w:t>
      </w:r>
      <w:r w:rsidR="000049B9" w:rsidRPr="006A59AF">
        <w:rPr>
          <w:rFonts w:ascii="Cambria" w:hAnsi="Cambria"/>
          <w:sz w:val="24"/>
          <w:szCs w:val="24"/>
        </w:rPr>
        <w:t>and</w:t>
      </w:r>
      <w:r w:rsidRPr="006A59AF">
        <w:rPr>
          <w:rFonts w:ascii="Cambria" w:hAnsi="Cambria"/>
          <w:sz w:val="24"/>
          <w:szCs w:val="24"/>
        </w:rPr>
        <w:t xml:space="preserve"> have bee</w:t>
      </w:r>
      <w:bookmarkStart w:id="2" w:name="_GoBack"/>
      <w:bookmarkEnd w:id="2"/>
      <w:r w:rsidRPr="006A59AF">
        <w:rPr>
          <w:rFonts w:ascii="Cambria" w:hAnsi="Cambria"/>
          <w:sz w:val="24"/>
          <w:szCs w:val="24"/>
        </w:rPr>
        <w:t>n joined by many elements from all sectors of Israeli society</w:t>
      </w:r>
      <w:r w:rsidR="000049B9" w:rsidRPr="006A59AF">
        <w:rPr>
          <w:rFonts w:ascii="Cambria" w:hAnsi="Cambria"/>
          <w:sz w:val="24"/>
          <w:szCs w:val="24"/>
        </w:rPr>
        <w:t>;</w:t>
      </w:r>
      <w:r w:rsidR="009B724E" w:rsidRPr="006A59AF">
        <w:rPr>
          <w:rFonts w:ascii="Cambria" w:hAnsi="Cambria"/>
          <w:sz w:val="24"/>
          <w:szCs w:val="24"/>
        </w:rPr>
        <w:t xml:space="preserve"> </w:t>
      </w:r>
      <w:r w:rsidR="007C1F5E" w:rsidRPr="006A59AF">
        <w:rPr>
          <w:rFonts w:ascii="Cambria" w:hAnsi="Cambria"/>
          <w:sz w:val="24"/>
          <w:szCs w:val="24"/>
        </w:rPr>
        <w:t xml:space="preserve">from </w:t>
      </w:r>
      <w:r w:rsidR="009B724E" w:rsidRPr="006A59AF">
        <w:rPr>
          <w:rFonts w:ascii="Cambria" w:hAnsi="Cambria"/>
          <w:sz w:val="24"/>
          <w:szCs w:val="24"/>
        </w:rPr>
        <w:t xml:space="preserve">industry, the army, </w:t>
      </w:r>
      <w:r w:rsidR="000049B9" w:rsidRPr="006A59AF">
        <w:rPr>
          <w:rFonts w:ascii="Cambria" w:hAnsi="Cambria"/>
          <w:sz w:val="24"/>
          <w:szCs w:val="24"/>
        </w:rPr>
        <w:t xml:space="preserve">local government, </w:t>
      </w:r>
      <w:r w:rsidR="009B724E" w:rsidRPr="006A59AF">
        <w:rPr>
          <w:rFonts w:ascii="Cambria" w:hAnsi="Cambria"/>
          <w:sz w:val="24"/>
          <w:szCs w:val="24"/>
        </w:rPr>
        <w:t>and civil society.</w:t>
      </w:r>
    </w:p>
    <w:p w14:paraId="601EEBE7" w14:textId="3B0D5E4D" w:rsidR="009B724E" w:rsidRPr="006A59AF" w:rsidRDefault="009B724E" w:rsidP="0001510B">
      <w:pPr>
        <w:spacing w:line="360" w:lineRule="auto"/>
        <w:ind w:firstLine="720"/>
        <w:rPr>
          <w:rFonts w:ascii="Cambria" w:hAnsi="Cambria"/>
          <w:sz w:val="24"/>
          <w:szCs w:val="24"/>
        </w:rPr>
      </w:pPr>
      <w:r w:rsidRPr="006A59AF">
        <w:rPr>
          <w:rFonts w:ascii="Cambria" w:hAnsi="Cambria"/>
          <w:sz w:val="24"/>
          <w:szCs w:val="24"/>
        </w:rPr>
        <w:t>All these together have created momentum and formed a network that encompasses and suppor</w:t>
      </w:r>
      <w:r w:rsidR="000049B9" w:rsidRPr="006A59AF">
        <w:rPr>
          <w:rFonts w:ascii="Cambria" w:hAnsi="Cambria"/>
          <w:sz w:val="24"/>
          <w:szCs w:val="24"/>
        </w:rPr>
        <w:t>ts teachers in classrooms. T</w:t>
      </w:r>
      <w:r w:rsidRPr="006A59AF">
        <w:rPr>
          <w:rFonts w:ascii="Cambria" w:hAnsi="Cambria"/>
          <w:sz w:val="24"/>
          <w:szCs w:val="24"/>
        </w:rPr>
        <w:t>eachers have embraced the opportunity, taken professional responsibility, set ambitious goals for each student, helped them cope with difficulties</w:t>
      </w:r>
      <w:r w:rsidR="00D84479" w:rsidRPr="006A59AF">
        <w:rPr>
          <w:rFonts w:ascii="Cambria" w:hAnsi="Cambria"/>
          <w:sz w:val="24"/>
          <w:szCs w:val="24"/>
        </w:rPr>
        <w:t>,</w:t>
      </w:r>
      <w:r w:rsidRPr="006A59AF">
        <w:rPr>
          <w:rFonts w:ascii="Cambria" w:hAnsi="Cambria"/>
          <w:sz w:val="24"/>
          <w:szCs w:val="24"/>
        </w:rPr>
        <w:t xml:space="preserve"> and helped them succeed at the highest level.</w:t>
      </w:r>
    </w:p>
    <w:p w14:paraId="1D4CE825" w14:textId="5DC4F4C2" w:rsidR="009B724E" w:rsidRPr="006A59AF" w:rsidRDefault="00792FD0" w:rsidP="0001510B">
      <w:pPr>
        <w:spacing w:line="360" w:lineRule="auto"/>
        <w:ind w:firstLine="720"/>
        <w:rPr>
          <w:rFonts w:ascii="Cambria" w:hAnsi="Cambria"/>
          <w:sz w:val="24"/>
          <w:szCs w:val="24"/>
        </w:rPr>
      </w:pPr>
      <w:r w:rsidRPr="006A59AF">
        <w:rPr>
          <w:rFonts w:ascii="Cambria" w:hAnsi="Cambria"/>
          <w:sz w:val="24"/>
          <w:szCs w:val="24"/>
        </w:rPr>
        <w:t xml:space="preserve">At the same time, the great challenge </w:t>
      </w:r>
      <w:r w:rsidR="006A2169" w:rsidRPr="006A59AF">
        <w:rPr>
          <w:rFonts w:ascii="Cambria" w:hAnsi="Cambria"/>
          <w:sz w:val="24"/>
          <w:szCs w:val="24"/>
        </w:rPr>
        <w:t>faced by</w:t>
      </w:r>
      <w:r w:rsidRPr="006A59AF">
        <w:rPr>
          <w:rFonts w:ascii="Cambria" w:hAnsi="Cambria"/>
          <w:sz w:val="24"/>
          <w:szCs w:val="24"/>
        </w:rPr>
        <w:t xml:space="preserve"> the education system</w:t>
      </w:r>
      <w:r w:rsidR="006A2169" w:rsidRPr="006A59AF">
        <w:rPr>
          <w:rFonts w:ascii="Cambria" w:hAnsi="Cambria"/>
          <w:sz w:val="24"/>
          <w:szCs w:val="24"/>
        </w:rPr>
        <w:t xml:space="preserve"> lies</w:t>
      </w:r>
      <w:r w:rsidRPr="006A59AF">
        <w:rPr>
          <w:rFonts w:ascii="Cambria" w:hAnsi="Cambria"/>
          <w:sz w:val="24"/>
          <w:szCs w:val="24"/>
        </w:rPr>
        <w:t xml:space="preserve"> </w:t>
      </w:r>
      <w:r w:rsidR="006A2169" w:rsidRPr="006A59AF">
        <w:rPr>
          <w:rFonts w:ascii="Cambria" w:hAnsi="Cambria"/>
          <w:sz w:val="24"/>
          <w:szCs w:val="24"/>
        </w:rPr>
        <w:t xml:space="preserve">in </w:t>
      </w:r>
      <w:r w:rsidR="00D84479" w:rsidRPr="006A59AF">
        <w:rPr>
          <w:rFonts w:ascii="Cambria" w:hAnsi="Cambria"/>
          <w:sz w:val="24"/>
          <w:szCs w:val="24"/>
        </w:rPr>
        <w:t>how to cope</w:t>
      </w:r>
      <w:r w:rsidRPr="006A59AF">
        <w:rPr>
          <w:rFonts w:ascii="Cambria" w:hAnsi="Cambria"/>
          <w:sz w:val="24"/>
          <w:szCs w:val="24"/>
        </w:rPr>
        <w:t xml:space="preserve"> with the heterogeneity and lack of equity that</w:t>
      </w:r>
      <w:r w:rsidR="006A2169" w:rsidRPr="006A59AF">
        <w:rPr>
          <w:rFonts w:ascii="Cambria" w:hAnsi="Cambria"/>
          <w:sz w:val="24"/>
          <w:szCs w:val="24"/>
        </w:rPr>
        <w:t xml:space="preserve"> characterizes Israeli society. T</w:t>
      </w:r>
      <w:r w:rsidRPr="006A59AF">
        <w:rPr>
          <w:rFonts w:ascii="Cambria" w:hAnsi="Cambria"/>
          <w:sz w:val="24"/>
          <w:szCs w:val="24"/>
        </w:rPr>
        <w:t>hus</w:t>
      </w:r>
      <w:r w:rsidR="00C76DCC" w:rsidRPr="006A59AF">
        <w:rPr>
          <w:rFonts w:ascii="Cambria" w:hAnsi="Cambria"/>
          <w:sz w:val="24"/>
          <w:szCs w:val="24"/>
        </w:rPr>
        <w:t>,</w:t>
      </w:r>
      <w:r w:rsidRPr="006A59AF">
        <w:rPr>
          <w:rFonts w:ascii="Cambria" w:hAnsi="Cambria"/>
          <w:sz w:val="24"/>
          <w:szCs w:val="24"/>
        </w:rPr>
        <w:t xml:space="preserve"> education in Israeli needs to adapt itself to the abilities</w:t>
      </w:r>
      <w:r w:rsidR="00D84479" w:rsidRPr="006A59AF">
        <w:rPr>
          <w:rFonts w:ascii="Cambria" w:hAnsi="Cambria"/>
          <w:sz w:val="24"/>
          <w:szCs w:val="24"/>
        </w:rPr>
        <w:t xml:space="preserve">, difficulties, way of thinking, </w:t>
      </w:r>
      <w:r w:rsidRPr="006A59AF">
        <w:rPr>
          <w:rFonts w:ascii="Cambria" w:hAnsi="Cambria"/>
          <w:sz w:val="24"/>
          <w:szCs w:val="24"/>
        </w:rPr>
        <w:t>and pace of study of each student, and to their educational and cultural background</w:t>
      </w:r>
      <w:r w:rsidR="00D84479" w:rsidRPr="006A59AF">
        <w:rPr>
          <w:rFonts w:ascii="Cambria" w:hAnsi="Cambria"/>
          <w:sz w:val="24"/>
          <w:szCs w:val="24"/>
        </w:rPr>
        <w:t>s</w:t>
      </w:r>
      <w:r w:rsidRPr="006A59AF">
        <w:rPr>
          <w:rFonts w:ascii="Cambria" w:hAnsi="Cambria"/>
          <w:sz w:val="24"/>
          <w:szCs w:val="24"/>
        </w:rPr>
        <w:t>.</w:t>
      </w:r>
    </w:p>
    <w:p w14:paraId="2A728425" w14:textId="3534EFE8" w:rsidR="00492EDB" w:rsidRPr="006A59AF" w:rsidRDefault="00492EDB" w:rsidP="0001510B">
      <w:pPr>
        <w:spacing w:line="360" w:lineRule="auto"/>
        <w:ind w:firstLine="720"/>
        <w:rPr>
          <w:rFonts w:ascii="Cambria" w:hAnsi="Cambria" w:cs="Arial"/>
          <w:sz w:val="24"/>
          <w:szCs w:val="24"/>
          <w:lang w:bidi="he-IL"/>
        </w:rPr>
      </w:pPr>
      <w:r w:rsidRPr="006A59AF">
        <w:rPr>
          <w:rFonts w:ascii="Cambria" w:hAnsi="Cambria" w:cs="Arial"/>
          <w:sz w:val="24"/>
          <w:szCs w:val="24"/>
          <w:lang w:bidi="he-IL"/>
        </w:rPr>
        <w:lastRenderedPageBreak/>
        <w:t>In recent years, new professional practices have been developed in academic institutions and in the</w:t>
      </w:r>
      <w:r w:rsidR="006A2169" w:rsidRPr="006A59AF">
        <w:rPr>
          <w:rFonts w:ascii="Cambria" w:hAnsi="Cambria" w:cs="Arial"/>
          <w:sz w:val="24"/>
          <w:szCs w:val="24"/>
          <w:lang w:bidi="he-IL"/>
        </w:rPr>
        <w:t xml:space="preserve"> field of</w:t>
      </w:r>
      <w:r w:rsidRPr="006A59AF">
        <w:rPr>
          <w:rFonts w:ascii="Cambria" w:hAnsi="Cambria" w:cs="Arial"/>
          <w:sz w:val="24"/>
          <w:szCs w:val="24"/>
          <w:lang w:bidi="he-IL"/>
        </w:rPr>
        <w:t xml:space="preserve"> education that help address various challenges</w:t>
      </w:r>
      <w:r w:rsidR="00C76DCC" w:rsidRPr="006A59AF">
        <w:rPr>
          <w:rFonts w:ascii="Cambria" w:hAnsi="Cambria" w:cs="Arial"/>
          <w:sz w:val="24"/>
          <w:szCs w:val="24"/>
          <w:lang w:bidi="he-IL"/>
        </w:rPr>
        <w:t>.</w:t>
      </w:r>
      <w:r w:rsidRPr="006A59AF">
        <w:rPr>
          <w:rStyle w:val="FootnoteReference"/>
          <w:rFonts w:ascii="Cambria" w:hAnsi="Cambria" w:cs="Arial"/>
          <w:sz w:val="24"/>
          <w:szCs w:val="24"/>
          <w:lang w:bidi="he-IL"/>
        </w:rPr>
        <w:footnoteReference w:id="1"/>
      </w:r>
      <w:r w:rsidRPr="006A59AF">
        <w:rPr>
          <w:rFonts w:ascii="Cambria" w:hAnsi="Cambria" w:cs="Arial"/>
          <w:sz w:val="24"/>
          <w:szCs w:val="24"/>
          <w:lang w:bidi="he-IL"/>
        </w:rPr>
        <w:t xml:space="preserve"> These practices are based on work in professional </w:t>
      </w:r>
      <w:r w:rsidR="00D84479" w:rsidRPr="006A59AF">
        <w:rPr>
          <w:rFonts w:ascii="Cambria" w:hAnsi="Cambria" w:cs="Arial"/>
          <w:sz w:val="24"/>
          <w:szCs w:val="24"/>
          <w:lang w:bidi="he-IL"/>
        </w:rPr>
        <w:t xml:space="preserve">teacher </w:t>
      </w:r>
      <w:r w:rsidRPr="006A59AF">
        <w:rPr>
          <w:rFonts w:ascii="Cambria" w:hAnsi="Cambria" w:cs="Arial"/>
          <w:sz w:val="24"/>
          <w:szCs w:val="24"/>
          <w:lang w:bidi="he-IL"/>
        </w:rPr>
        <w:t>communities,</w:t>
      </w:r>
      <w:r w:rsidR="006A2169" w:rsidRPr="006A59AF">
        <w:rPr>
          <w:rFonts w:ascii="Cambria" w:hAnsi="Cambria" w:cs="Arial"/>
          <w:sz w:val="24"/>
          <w:szCs w:val="24"/>
          <w:lang w:bidi="he-IL"/>
        </w:rPr>
        <w:t xml:space="preserve"> and are</w:t>
      </w:r>
      <w:r w:rsidRPr="006A59AF">
        <w:rPr>
          <w:rFonts w:ascii="Cambria" w:hAnsi="Cambria" w:cs="Arial"/>
          <w:sz w:val="24"/>
          <w:szCs w:val="24"/>
          <w:lang w:bidi="he-IL"/>
        </w:rPr>
        <w:t xml:space="preserve"> supported by research and by </w:t>
      </w:r>
      <w:r w:rsidR="00D84479" w:rsidRPr="006A59AF">
        <w:rPr>
          <w:rFonts w:ascii="Cambria" w:hAnsi="Cambria" w:cs="Arial"/>
          <w:sz w:val="24"/>
          <w:szCs w:val="24"/>
          <w:lang w:bidi="he-IL"/>
        </w:rPr>
        <w:t>teachers'</w:t>
      </w:r>
      <w:r w:rsidRPr="006A59AF">
        <w:rPr>
          <w:rFonts w:ascii="Cambria" w:hAnsi="Cambria" w:cs="Arial"/>
          <w:sz w:val="24"/>
          <w:szCs w:val="24"/>
          <w:lang w:bidi="he-IL"/>
        </w:rPr>
        <w:t xml:space="preserve"> analytical </w:t>
      </w:r>
      <w:r w:rsidR="00D84479" w:rsidRPr="006A59AF">
        <w:rPr>
          <w:rFonts w:ascii="Cambria" w:hAnsi="Cambria" w:cs="Arial"/>
          <w:sz w:val="24"/>
          <w:szCs w:val="24"/>
          <w:lang w:bidi="he-IL"/>
        </w:rPr>
        <w:t>views</w:t>
      </w:r>
      <w:r w:rsidR="006A2169" w:rsidRPr="006A59AF">
        <w:rPr>
          <w:rFonts w:ascii="Cambria" w:hAnsi="Cambria" w:cs="Arial"/>
          <w:sz w:val="24"/>
          <w:szCs w:val="24"/>
          <w:lang w:bidi="he-IL"/>
        </w:rPr>
        <w:t xml:space="preserve"> of their work, </w:t>
      </w:r>
      <w:r w:rsidRPr="006A59AF">
        <w:rPr>
          <w:rFonts w:ascii="Cambria" w:hAnsi="Cambria" w:cs="Arial"/>
          <w:sz w:val="24"/>
          <w:szCs w:val="24"/>
          <w:lang w:bidi="he-IL"/>
        </w:rPr>
        <w:t>based on data collected in the classroom</w:t>
      </w:r>
      <w:r w:rsidR="00C76DCC" w:rsidRPr="006A59AF">
        <w:rPr>
          <w:rFonts w:ascii="Cambria" w:hAnsi="Cambria" w:cs="Arial"/>
          <w:sz w:val="24"/>
          <w:szCs w:val="24"/>
          <w:lang w:bidi="he-IL"/>
        </w:rPr>
        <w:t>.</w:t>
      </w:r>
      <w:r w:rsidR="00080C10" w:rsidRPr="006A59AF">
        <w:rPr>
          <w:rStyle w:val="FootnoteReference"/>
          <w:rFonts w:ascii="Cambria" w:hAnsi="Cambria" w:cs="Arial"/>
          <w:sz w:val="24"/>
          <w:szCs w:val="24"/>
          <w:lang w:bidi="he-IL"/>
        </w:rPr>
        <w:footnoteReference w:id="2"/>
      </w:r>
    </w:p>
    <w:p w14:paraId="2B23845B" w14:textId="0C13983D" w:rsidR="003D1DED" w:rsidRPr="006A59AF" w:rsidRDefault="00794159" w:rsidP="0001510B">
      <w:pPr>
        <w:spacing w:line="360" w:lineRule="auto"/>
        <w:ind w:firstLine="720"/>
        <w:rPr>
          <w:rFonts w:ascii="Cambria" w:hAnsi="Cambria" w:cs="Arial"/>
          <w:sz w:val="24"/>
          <w:szCs w:val="24"/>
          <w:lang w:bidi="he-IL"/>
        </w:rPr>
      </w:pPr>
      <w:r w:rsidRPr="006A59AF">
        <w:rPr>
          <w:rFonts w:ascii="Cambria" w:hAnsi="Cambria" w:cs="Arial"/>
          <w:sz w:val="24"/>
          <w:szCs w:val="24"/>
          <w:lang w:bidi="he-IL"/>
        </w:rPr>
        <w:t>This is a profound teach</w:t>
      </w:r>
      <w:r w:rsidR="00D84479" w:rsidRPr="006A59AF">
        <w:rPr>
          <w:rFonts w:ascii="Cambria" w:hAnsi="Cambria" w:cs="Arial"/>
          <w:sz w:val="24"/>
          <w:szCs w:val="24"/>
          <w:lang w:bidi="he-IL"/>
        </w:rPr>
        <w:t>er</w:t>
      </w:r>
      <w:r w:rsidR="00B55D91" w:rsidRPr="006A59AF">
        <w:rPr>
          <w:rFonts w:ascii="Cambria" w:hAnsi="Cambria" w:cs="Arial"/>
          <w:sz w:val="24"/>
          <w:szCs w:val="24"/>
          <w:lang w:bidi="he-IL"/>
        </w:rPr>
        <w:t>-led</w:t>
      </w:r>
      <w:r w:rsidR="00D84479" w:rsidRPr="006A59AF">
        <w:rPr>
          <w:rFonts w:ascii="Cambria" w:hAnsi="Cambria" w:cs="Arial"/>
          <w:sz w:val="24"/>
          <w:szCs w:val="24"/>
          <w:lang w:bidi="he-IL"/>
        </w:rPr>
        <w:t xml:space="preserve"> </w:t>
      </w:r>
      <w:r w:rsidRPr="006A59AF">
        <w:rPr>
          <w:rFonts w:ascii="Cambria" w:hAnsi="Cambria" w:cs="Arial"/>
          <w:sz w:val="24"/>
          <w:szCs w:val="24"/>
          <w:lang w:bidi="he-IL"/>
        </w:rPr>
        <w:t xml:space="preserve">pedagogical revolution. The traditional professional development approach of in-service training and frontal lectures </w:t>
      </w:r>
      <w:r w:rsidR="00D84479" w:rsidRPr="006A59AF">
        <w:rPr>
          <w:rFonts w:ascii="Cambria" w:hAnsi="Cambria" w:cs="Arial"/>
          <w:sz w:val="24"/>
          <w:szCs w:val="24"/>
          <w:lang w:bidi="he-IL"/>
        </w:rPr>
        <w:t>have been</w:t>
      </w:r>
      <w:r w:rsidRPr="006A59AF">
        <w:rPr>
          <w:rFonts w:ascii="Cambria" w:hAnsi="Cambria" w:cs="Arial"/>
          <w:sz w:val="24"/>
          <w:szCs w:val="24"/>
          <w:lang w:bidi="he-IL"/>
        </w:rPr>
        <w:t xml:space="preserve"> replaced by a </w:t>
      </w:r>
      <w:r w:rsidR="00D84479" w:rsidRPr="006A59AF">
        <w:rPr>
          <w:rFonts w:ascii="Cambria" w:hAnsi="Cambria" w:cs="Arial"/>
          <w:sz w:val="24"/>
          <w:szCs w:val="24"/>
          <w:lang w:bidi="he-IL"/>
        </w:rPr>
        <w:t xml:space="preserve">clinical, experiential, analytical, </w:t>
      </w:r>
      <w:r w:rsidRPr="006A59AF">
        <w:rPr>
          <w:rFonts w:ascii="Cambria" w:hAnsi="Cambria" w:cs="Arial"/>
          <w:sz w:val="24"/>
          <w:szCs w:val="24"/>
          <w:lang w:bidi="he-IL"/>
        </w:rPr>
        <w:t>and data-based approach.</w:t>
      </w:r>
      <w:r w:rsidR="00B55D91" w:rsidRPr="006A59AF">
        <w:rPr>
          <w:rFonts w:ascii="Cambria" w:hAnsi="Cambria" w:cs="Arial"/>
          <w:sz w:val="24"/>
          <w:szCs w:val="24"/>
          <w:lang w:bidi="he-IL"/>
        </w:rPr>
        <w:t xml:space="preserve"> Students are </w:t>
      </w:r>
      <w:r w:rsidR="00650EB5" w:rsidRPr="006A59AF">
        <w:rPr>
          <w:rFonts w:ascii="Cambria" w:hAnsi="Cambria" w:cs="Arial"/>
          <w:sz w:val="24"/>
          <w:szCs w:val="24"/>
          <w:lang w:bidi="he-IL"/>
        </w:rPr>
        <w:t xml:space="preserve">placed at the center. </w:t>
      </w:r>
      <w:r w:rsidR="00B55D91" w:rsidRPr="006A59AF">
        <w:rPr>
          <w:rFonts w:ascii="Cambria" w:hAnsi="Cambria" w:cs="Arial"/>
          <w:sz w:val="24"/>
          <w:szCs w:val="24"/>
          <w:lang w:bidi="he-IL"/>
        </w:rPr>
        <w:t>The la</w:t>
      </w:r>
      <w:r w:rsidR="00D84479" w:rsidRPr="006A59AF">
        <w:rPr>
          <w:rFonts w:ascii="Cambria" w:hAnsi="Cambria" w:cs="Arial"/>
          <w:sz w:val="24"/>
          <w:szCs w:val="24"/>
          <w:lang w:bidi="he-IL"/>
        </w:rPr>
        <w:t>beling</w:t>
      </w:r>
      <w:r w:rsidR="003D1DED" w:rsidRPr="006A59AF">
        <w:rPr>
          <w:rFonts w:ascii="Cambria" w:hAnsi="Cambria" w:cs="Arial"/>
          <w:sz w:val="24"/>
          <w:szCs w:val="24"/>
          <w:lang w:bidi="he-IL"/>
        </w:rPr>
        <w:t xml:space="preserve"> and streaming of students has been replaced by diagnosis and support; giving up and failure have been </w:t>
      </w:r>
      <w:r w:rsidR="002D4026" w:rsidRPr="006A59AF">
        <w:rPr>
          <w:rFonts w:ascii="Cambria" w:hAnsi="Cambria" w:cs="Arial"/>
          <w:sz w:val="24"/>
          <w:szCs w:val="24"/>
          <w:lang w:bidi="he-IL"/>
        </w:rPr>
        <w:t>superseded</w:t>
      </w:r>
      <w:r w:rsidR="003D1DED" w:rsidRPr="006A59AF">
        <w:rPr>
          <w:rFonts w:ascii="Cambria" w:hAnsi="Cambria" w:cs="Arial"/>
          <w:sz w:val="24"/>
          <w:szCs w:val="24"/>
          <w:lang w:bidi="he-IL"/>
        </w:rPr>
        <w:t xml:space="preserve"> by </w:t>
      </w:r>
      <w:r w:rsidR="00D84479" w:rsidRPr="006A59AF">
        <w:rPr>
          <w:rFonts w:ascii="Cambria" w:hAnsi="Cambria" w:cs="Arial"/>
          <w:sz w:val="24"/>
          <w:szCs w:val="24"/>
          <w:lang w:bidi="he-IL"/>
        </w:rPr>
        <w:t>a</w:t>
      </w:r>
      <w:r w:rsidR="003D1DED" w:rsidRPr="006A59AF">
        <w:rPr>
          <w:rFonts w:ascii="Cambria" w:hAnsi="Cambria" w:cs="Arial"/>
          <w:sz w:val="24"/>
          <w:szCs w:val="24"/>
          <w:lang w:bidi="he-IL"/>
        </w:rPr>
        <w:t xml:space="preserve"> </w:t>
      </w:r>
      <w:r w:rsidR="00C76DCC" w:rsidRPr="006A59AF">
        <w:rPr>
          <w:rFonts w:ascii="Cambria" w:hAnsi="Cambria" w:cs="Arial"/>
          <w:sz w:val="24"/>
          <w:szCs w:val="24"/>
          <w:lang w:bidi="ar-EG"/>
        </w:rPr>
        <w:t>developing</w:t>
      </w:r>
      <w:r w:rsidR="003D1DED" w:rsidRPr="006A59AF">
        <w:rPr>
          <w:rFonts w:ascii="Cambria" w:hAnsi="Cambria" w:cs="Arial"/>
          <w:sz w:val="24"/>
          <w:szCs w:val="24"/>
          <w:lang w:bidi="he-IL"/>
        </w:rPr>
        <w:t xml:space="preserve"> trust in personal ability through effort and perseverance. </w:t>
      </w:r>
    </w:p>
    <w:p w14:paraId="23EB8BB1" w14:textId="1EF4E094" w:rsidR="00E42C14" w:rsidRPr="006A59AF" w:rsidRDefault="003D1DED" w:rsidP="0001510B">
      <w:pPr>
        <w:spacing w:line="360" w:lineRule="auto"/>
        <w:ind w:firstLine="720"/>
        <w:rPr>
          <w:rFonts w:ascii="Cambria" w:hAnsi="Cambria" w:cs="Arial"/>
          <w:sz w:val="24"/>
          <w:szCs w:val="24"/>
          <w:lang w:bidi="he-IL"/>
        </w:rPr>
      </w:pPr>
      <w:r w:rsidRPr="006A59AF">
        <w:rPr>
          <w:rFonts w:ascii="Cambria" w:hAnsi="Cambria" w:cs="Arial"/>
          <w:sz w:val="24"/>
          <w:szCs w:val="24"/>
          <w:lang w:bidi="he-IL"/>
        </w:rPr>
        <w:t xml:space="preserve">The classroom door, which </w:t>
      </w:r>
      <w:r w:rsidR="002D4026" w:rsidRPr="006A59AF">
        <w:rPr>
          <w:rFonts w:ascii="Cambria" w:hAnsi="Cambria" w:cs="Arial"/>
          <w:sz w:val="24"/>
          <w:szCs w:val="24"/>
          <w:lang w:bidi="he-IL"/>
        </w:rPr>
        <w:t>had</w:t>
      </w:r>
      <w:r w:rsidRPr="006A59AF">
        <w:rPr>
          <w:rFonts w:ascii="Cambria" w:hAnsi="Cambria" w:cs="Arial"/>
          <w:sz w:val="24"/>
          <w:szCs w:val="24"/>
          <w:lang w:bidi="he-IL"/>
        </w:rPr>
        <w:t xml:space="preserve"> always</w:t>
      </w:r>
      <w:r w:rsidR="002D4026" w:rsidRPr="006A59AF">
        <w:rPr>
          <w:rFonts w:ascii="Cambria" w:hAnsi="Cambria" w:cs="Arial"/>
          <w:sz w:val="24"/>
          <w:szCs w:val="24"/>
          <w:lang w:bidi="he-IL"/>
        </w:rPr>
        <w:t xml:space="preserve"> been</w:t>
      </w:r>
      <w:r w:rsidRPr="006A59AF">
        <w:rPr>
          <w:rFonts w:ascii="Cambria" w:hAnsi="Cambria" w:cs="Arial"/>
          <w:sz w:val="24"/>
          <w:szCs w:val="24"/>
          <w:lang w:bidi="he-IL"/>
        </w:rPr>
        <w:t xml:space="preserve"> closed, has now been opened. Professionalism in teaching has begun to be built together with, and within, communities </w:t>
      </w:r>
      <w:r w:rsidR="002D4026" w:rsidRPr="006A59AF">
        <w:rPr>
          <w:rFonts w:ascii="Cambria" w:hAnsi="Cambria" w:cs="Arial"/>
          <w:sz w:val="24"/>
          <w:szCs w:val="24"/>
          <w:lang w:bidi="he-IL"/>
        </w:rPr>
        <w:t>in which</w:t>
      </w:r>
      <w:r w:rsidRPr="006A59AF">
        <w:rPr>
          <w:rFonts w:ascii="Cambria" w:hAnsi="Cambria" w:cs="Arial"/>
          <w:sz w:val="24"/>
          <w:szCs w:val="24"/>
          <w:lang w:bidi="he-IL"/>
        </w:rPr>
        <w:t xml:space="preserve"> teachers are improving their teaching in partnership and with openness. Documentation, testing</w:t>
      </w:r>
      <w:r w:rsidR="00D84479" w:rsidRPr="006A59AF">
        <w:rPr>
          <w:rFonts w:ascii="Cambria" w:hAnsi="Cambria" w:cs="Arial"/>
          <w:sz w:val="24"/>
          <w:szCs w:val="24"/>
          <w:lang w:bidi="he-IL"/>
        </w:rPr>
        <w:t>,</w:t>
      </w:r>
      <w:r w:rsidRPr="006A59AF">
        <w:rPr>
          <w:rFonts w:ascii="Cambria" w:hAnsi="Cambria" w:cs="Arial"/>
          <w:sz w:val="24"/>
          <w:szCs w:val="24"/>
          <w:lang w:bidi="he-IL"/>
        </w:rPr>
        <w:t xml:space="preserve"> and simulation tools bring the classroom to the </w:t>
      </w:r>
      <w:r w:rsidR="00D84479" w:rsidRPr="006A59AF">
        <w:rPr>
          <w:rFonts w:ascii="Cambria" w:hAnsi="Cambria" w:cs="Arial"/>
          <w:sz w:val="24"/>
          <w:szCs w:val="24"/>
          <w:lang w:bidi="he-IL"/>
        </w:rPr>
        <w:t xml:space="preserve">community </w:t>
      </w:r>
      <w:r w:rsidRPr="006A59AF">
        <w:rPr>
          <w:rFonts w:ascii="Cambria" w:hAnsi="Cambria" w:cs="Arial"/>
          <w:sz w:val="24"/>
          <w:szCs w:val="24"/>
          <w:lang w:bidi="he-IL"/>
        </w:rPr>
        <w:t>discussion table and practical expertise is being improved.</w:t>
      </w:r>
    </w:p>
    <w:p w14:paraId="1ABA0D18" w14:textId="2E1959F0" w:rsidR="00E42C14" w:rsidRPr="006A59AF" w:rsidRDefault="00E42C14" w:rsidP="0001510B">
      <w:pPr>
        <w:spacing w:line="360" w:lineRule="auto"/>
        <w:ind w:firstLine="720"/>
        <w:rPr>
          <w:rFonts w:ascii="Cambria" w:hAnsi="Cambria" w:cs="Arial"/>
          <w:sz w:val="24"/>
          <w:szCs w:val="24"/>
          <w:lang w:bidi="he-IL"/>
        </w:rPr>
      </w:pPr>
      <w:r w:rsidRPr="006A59AF">
        <w:rPr>
          <w:rFonts w:ascii="Cambria" w:hAnsi="Cambria" w:cs="Arial"/>
          <w:sz w:val="24"/>
          <w:szCs w:val="24"/>
          <w:lang w:bidi="he-IL"/>
        </w:rPr>
        <w:t xml:space="preserve">This pedagogical revolution is being facilitated by a leading </w:t>
      </w:r>
      <w:r w:rsidR="00B467BC" w:rsidRPr="006A59AF">
        <w:rPr>
          <w:rFonts w:ascii="Cambria" w:hAnsi="Cambria" w:cs="Arial"/>
          <w:sz w:val="24"/>
          <w:szCs w:val="24"/>
          <w:lang w:bidi="he-IL"/>
        </w:rPr>
        <w:t>cadre</w:t>
      </w:r>
      <w:r w:rsidRPr="006A59AF">
        <w:rPr>
          <w:rFonts w:ascii="Cambria" w:hAnsi="Cambria" w:cs="Arial"/>
          <w:sz w:val="24"/>
          <w:szCs w:val="24"/>
          <w:lang w:bidi="he-IL"/>
        </w:rPr>
        <w:t xml:space="preserve"> of excellent teachers. This is a new professional leadership </w:t>
      </w:r>
      <w:r w:rsidR="00B467BC" w:rsidRPr="006A59AF">
        <w:rPr>
          <w:rFonts w:ascii="Cambria" w:hAnsi="Cambria" w:cs="Arial"/>
          <w:sz w:val="24"/>
          <w:szCs w:val="24"/>
          <w:lang w:bidi="he-IL"/>
        </w:rPr>
        <w:t>cadre</w:t>
      </w:r>
      <w:r w:rsidR="00F40E9E" w:rsidRPr="006A59AF">
        <w:rPr>
          <w:rFonts w:ascii="Cambria" w:hAnsi="Cambria" w:cs="Arial"/>
          <w:sz w:val="24"/>
          <w:szCs w:val="24"/>
          <w:lang w:bidi="he-IL"/>
        </w:rPr>
        <w:t>, from which an ethos of evidence-based experiential teaching is growing, and it is translating the goals of national excellence into the professional work of teachers in the field.</w:t>
      </w:r>
    </w:p>
    <w:p w14:paraId="69F600F2" w14:textId="33608880" w:rsidR="00D56F35" w:rsidRPr="006A59AF" w:rsidRDefault="00D56F35" w:rsidP="002D4026">
      <w:pPr>
        <w:spacing w:line="360" w:lineRule="auto"/>
        <w:rPr>
          <w:rFonts w:ascii="Cambria" w:hAnsi="Cambria" w:cs="Arial"/>
          <w:i/>
          <w:iCs/>
          <w:sz w:val="24"/>
          <w:szCs w:val="24"/>
          <w:lang w:val="en-GB" w:bidi="he-IL"/>
        </w:rPr>
      </w:pPr>
      <w:r w:rsidRPr="006A59AF">
        <w:rPr>
          <w:rFonts w:ascii="Cambria" w:hAnsi="Cambria" w:cs="Arial"/>
          <w:i/>
          <w:iCs/>
          <w:sz w:val="24"/>
          <w:szCs w:val="24"/>
          <w:lang w:bidi="he-IL"/>
        </w:rPr>
        <w:t xml:space="preserve">Advanced teaching = a degree of hands-on expertise, which is mainly a personal response to the learning of each student. </w:t>
      </w:r>
      <w:r w:rsidR="00EA1632" w:rsidRPr="006A59AF">
        <w:rPr>
          <w:rFonts w:ascii="Cambria" w:hAnsi="Cambria" w:cs="Arial"/>
          <w:i/>
          <w:iCs/>
          <w:sz w:val="24"/>
          <w:szCs w:val="24"/>
          <w:lang w:bidi="he-IL"/>
        </w:rPr>
        <w:t xml:space="preserve">This is teaching based on a belief in the personal ability of each student to succeed, the setting of ambitious learning goals, continuous </w:t>
      </w:r>
      <w:r w:rsidR="002D4026" w:rsidRPr="006A59AF">
        <w:rPr>
          <w:rFonts w:ascii="Cambria" w:hAnsi="Cambria" w:cs="Arial"/>
          <w:i/>
          <w:iCs/>
          <w:sz w:val="24"/>
          <w:szCs w:val="24"/>
          <w:lang w:bidi="he-IL"/>
        </w:rPr>
        <w:t>examination</w:t>
      </w:r>
      <w:r w:rsidR="00EA1632" w:rsidRPr="006A59AF">
        <w:rPr>
          <w:rFonts w:ascii="Cambria" w:hAnsi="Cambria" w:cs="Arial"/>
          <w:i/>
          <w:iCs/>
          <w:sz w:val="24"/>
          <w:szCs w:val="24"/>
          <w:lang w:bidi="he-IL"/>
        </w:rPr>
        <w:t xml:space="preserve"> of learning progress, personal adjustment to </w:t>
      </w:r>
      <w:r w:rsidR="0062283D" w:rsidRPr="006A59AF">
        <w:rPr>
          <w:rFonts w:ascii="Cambria" w:hAnsi="Cambria" w:cs="Arial"/>
          <w:i/>
          <w:iCs/>
          <w:sz w:val="24"/>
          <w:szCs w:val="24"/>
          <w:lang w:bidi="he-IL"/>
        </w:rPr>
        <w:t xml:space="preserve">the </w:t>
      </w:r>
      <w:r w:rsidR="00EA1632" w:rsidRPr="006A59AF">
        <w:rPr>
          <w:rFonts w:ascii="Cambria" w:hAnsi="Cambria" w:cs="Arial"/>
          <w:i/>
          <w:iCs/>
          <w:sz w:val="24"/>
          <w:szCs w:val="24"/>
          <w:lang w:bidi="he-IL"/>
        </w:rPr>
        <w:t>abilities, difficulties, thinking style</w:t>
      </w:r>
      <w:r w:rsidR="0062283D" w:rsidRPr="006A59AF">
        <w:rPr>
          <w:rFonts w:ascii="Cambria" w:hAnsi="Cambria" w:cs="Arial"/>
          <w:i/>
          <w:iCs/>
          <w:sz w:val="24"/>
          <w:szCs w:val="24"/>
          <w:lang w:bidi="he-IL"/>
        </w:rPr>
        <w:t>,</w:t>
      </w:r>
      <w:r w:rsidR="00EA1632" w:rsidRPr="006A59AF">
        <w:rPr>
          <w:rFonts w:ascii="Cambria" w:hAnsi="Cambria" w:cs="Arial"/>
          <w:i/>
          <w:iCs/>
          <w:sz w:val="24"/>
          <w:szCs w:val="24"/>
          <w:lang w:bidi="he-IL"/>
        </w:rPr>
        <w:t xml:space="preserve"> and pace of each learner, and the provision of constructive and powerful feedback. Such teaching takes place and is built on four </w:t>
      </w:r>
      <w:r w:rsidR="00EA1632" w:rsidRPr="006A59AF">
        <w:rPr>
          <w:rFonts w:ascii="Cambria" w:hAnsi="Cambria" w:cs="Arial"/>
          <w:i/>
          <w:iCs/>
          <w:sz w:val="24"/>
          <w:szCs w:val="24"/>
          <w:lang w:bidi="he-IL"/>
        </w:rPr>
        <w:lastRenderedPageBreak/>
        <w:t>levels of the teacher's encounters – with the student, with the class</w:t>
      </w:r>
      <w:r w:rsidR="0062283D" w:rsidRPr="006A59AF">
        <w:rPr>
          <w:rFonts w:ascii="Cambria" w:hAnsi="Cambria" w:cs="Arial"/>
          <w:i/>
          <w:iCs/>
          <w:sz w:val="24"/>
          <w:szCs w:val="24"/>
          <w:lang w:bidi="he-IL"/>
        </w:rPr>
        <w:t>room</w:t>
      </w:r>
      <w:r w:rsidR="00EA1632" w:rsidRPr="006A59AF">
        <w:rPr>
          <w:rFonts w:ascii="Cambria" w:hAnsi="Cambria" w:cs="Arial"/>
          <w:i/>
          <w:iCs/>
          <w:sz w:val="24"/>
          <w:szCs w:val="24"/>
          <w:lang w:bidi="he-IL"/>
        </w:rPr>
        <w:t>, in the school, and in the professional teacher community.</w:t>
      </w:r>
    </w:p>
    <w:p w14:paraId="65976406" w14:textId="590BA43F" w:rsidR="004A4DAD" w:rsidRPr="006A59AF" w:rsidRDefault="004A4DAD" w:rsidP="0001510B">
      <w:pPr>
        <w:pStyle w:val="Heading1"/>
        <w:numPr>
          <w:ilvl w:val="0"/>
          <w:numId w:val="3"/>
        </w:numPr>
        <w:rPr>
          <w:rFonts w:ascii="Cambria" w:hAnsi="Cambria" w:cstheme="minorBidi"/>
          <w:b/>
          <w:bCs/>
          <w:color w:val="auto"/>
          <w:sz w:val="24"/>
          <w:szCs w:val="24"/>
        </w:rPr>
      </w:pPr>
      <w:bookmarkStart w:id="3" w:name="_Toc492293751"/>
      <w:r w:rsidRPr="006A59AF">
        <w:rPr>
          <w:rFonts w:ascii="Cambria" w:hAnsi="Cambria" w:cstheme="minorBidi"/>
          <w:b/>
          <w:bCs/>
          <w:color w:val="auto"/>
          <w:sz w:val="24"/>
          <w:szCs w:val="24"/>
        </w:rPr>
        <w:t xml:space="preserve">Target </w:t>
      </w:r>
      <w:r w:rsidR="004C66EB" w:rsidRPr="006A59AF">
        <w:rPr>
          <w:rFonts w:ascii="Cambria" w:hAnsi="Cambria" w:cstheme="minorBidi"/>
          <w:b/>
          <w:bCs/>
          <w:color w:val="auto"/>
          <w:sz w:val="24"/>
          <w:szCs w:val="24"/>
        </w:rPr>
        <w:t>Community</w:t>
      </w:r>
      <w:bookmarkEnd w:id="3"/>
    </w:p>
    <w:p w14:paraId="578A05A6" w14:textId="067CD156" w:rsidR="00806FE3" w:rsidRPr="006A59AF" w:rsidRDefault="00806FE3" w:rsidP="0001510B">
      <w:pPr>
        <w:spacing w:line="360" w:lineRule="auto"/>
        <w:ind w:firstLine="360"/>
        <w:rPr>
          <w:rFonts w:ascii="Cambria" w:hAnsi="Cambria"/>
          <w:sz w:val="24"/>
          <w:szCs w:val="24"/>
        </w:rPr>
      </w:pPr>
      <w:r w:rsidRPr="006A59AF">
        <w:rPr>
          <w:rFonts w:ascii="Cambria" w:hAnsi="Cambria"/>
          <w:sz w:val="24"/>
          <w:szCs w:val="24"/>
        </w:rPr>
        <w:t xml:space="preserve">The success of the national program </w:t>
      </w:r>
      <w:r w:rsidR="00D84479" w:rsidRPr="006A59AF">
        <w:rPr>
          <w:rFonts w:ascii="Cambria" w:hAnsi="Cambria"/>
          <w:sz w:val="24"/>
          <w:szCs w:val="24"/>
        </w:rPr>
        <w:t>has created</w:t>
      </w:r>
      <w:r w:rsidRPr="006A59AF">
        <w:rPr>
          <w:rFonts w:ascii="Cambria" w:hAnsi="Cambria"/>
          <w:sz w:val="24"/>
          <w:szCs w:val="24"/>
        </w:rPr>
        <w:t xml:space="preserve"> momentum for </w:t>
      </w:r>
      <w:r w:rsidR="00D84479" w:rsidRPr="006A59AF">
        <w:rPr>
          <w:rFonts w:ascii="Cambria" w:hAnsi="Cambria"/>
          <w:sz w:val="24"/>
          <w:szCs w:val="24"/>
        </w:rPr>
        <w:t>investment</w:t>
      </w:r>
      <w:r w:rsidRPr="006A59AF">
        <w:rPr>
          <w:rFonts w:ascii="Cambria" w:hAnsi="Cambria"/>
          <w:sz w:val="24"/>
          <w:szCs w:val="24"/>
        </w:rPr>
        <w:t xml:space="preserve"> in professional infrastructure. </w:t>
      </w:r>
      <w:proofErr w:type="gramStart"/>
      <w:r w:rsidRPr="006A59AF">
        <w:rPr>
          <w:rFonts w:ascii="Cambria" w:hAnsi="Cambria"/>
          <w:sz w:val="24"/>
          <w:szCs w:val="24"/>
        </w:rPr>
        <w:t xml:space="preserve">It is clear that </w:t>
      </w:r>
      <w:r w:rsidR="008E715D" w:rsidRPr="006A59AF">
        <w:rPr>
          <w:rFonts w:ascii="Cambria" w:hAnsi="Cambria"/>
          <w:sz w:val="24"/>
          <w:szCs w:val="24"/>
        </w:rPr>
        <w:t>we</w:t>
      </w:r>
      <w:proofErr w:type="gramEnd"/>
      <w:r w:rsidR="00454A4F" w:rsidRPr="006A59AF">
        <w:rPr>
          <w:rFonts w:ascii="Cambria" w:hAnsi="Cambria"/>
          <w:sz w:val="24"/>
          <w:szCs w:val="24"/>
        </w:rPr>
        <w:t xml:space="preserve"> cannot rest on </w:t>
      </w:r>
      <w:r w:rsidR="008E715D" w:rsidRPr="006A59AF">
        <w:rPr>
          <w:rFonts w:ascii="Cambria" w:hAnsi="Cambria"/>
          <w:sz w:val="24"/>
          <w:szCs w:val="24"/>
        </w:rPr>
        <w:t>our</w:t>
      </w:r>
      <w:r w:rsidR="00454A4F" w:rsidRPr="006A59AF">
        <w:rPr>
          <w:rFonts w:ascii="Cambria" w:hAnsi="Cambria"/>
          <w:sz w:val="24"/>
          <w:szCs w:val="24"/>
        </w:rPr>
        <w:t xml:space="preserve"> laurels</w:t>
      </w:r>
      <w:r w:rsidR="008E715D" w:rsidRPr="006A59AF">
        <w:rPr>
          <w:rFonts w:ascii="Cambria" w:hAnsi="Cambria"/>
          <w:sz w:val="24"/>
          <w:szCs w:val="24"/>
        </w:rPr>
        <w:t>,</w:t>
      </w:r>
      <w:r w:rsidR="00454A4F" w:rsidRPr="006A59AF">
        <w:rPr>
          <w:rFonts w:ascii="Cambria" w:hAnsi="Cambria"/>
          <w:sz w:val="24"/>
          <w:szCs w:val="24"/>
        </w:rPr>
        <w:t xml:space="preserve"> and that </w:t>
      </w:r>
      <w:r w:rsidR="008E715D" w:rsidRPr="006A59AF">
        <w:rPr>
          <w:rFonts w:ascii="Cambria" w:hAnsi="Cambria"/>
          <w:sz w:val="24"/>
          <w:szCs w:val="24"/>
        </w:rPr>
        <w:t xml:space="preserve">what is needed is </w:t>
      </w:r>
      <w:r w:rsidR="00454A4F" w:rsidRPr="006A59AF">
        <w:rPr>
          <w:rFonts w:ascii="Cambria" w:hAnsi="Cambria"/>
          <w:sz w:val="24"/>
          <w:szCs w:val="24"/>
        </w:rPr>
        <w:t xml:space="preserve">a professional infrastructure </w:t>
      </w:r>
      <w:r w:rsidR="008E715D" w:rsidRPr="006A59AF">
        <w:rPr>
          <w:rFonts w:ascii="Cambria" w:hAnsi="Cambria"/>
          <w:sz w:val="24"/>
          <w:szCs w:val="24"/>
        </w:rPr>
        <w:t xml:space="preserve">such </w:t>
      </w:r>
      <w:r w:rsidR="00C76DCC" w:rsidRPr="006A59AF">
        <w:rPr>
          <w:rFonts w:ascii="Cambria" w:hAnsi="Cambria"/>
          <w:sz w:val="24"/>
          <w:szCs w:val="24"/>
        </w:rPr>
        <w:t>providing a solid foundation for this change in direction</w:t>
      </w:r>
      <w:r w:rsidR="008E715D" w:rsidRPr="006A59AF">
        <w:rPr>
          <w:rFonts w:ascii="Cambria" w:hAnsi="Cambria"/>
          <w:sz w:val="24"/>
          <w:szCs w:val="24"/>
        </w:rPr>
        <w:t>,</w:t>
      </w:r>
      <w:r w:rsidR="00454A4F" w:rsidRPr="006A59AF">
        <w:rPr>
          <w:rFonts w:ascii="Cambria" w:hAnsi="Cambria"/>
          <w:sz w:val="24"/>
          <w:szCs w:val="24"/>
        </w:rPr>
        <w:t xml:space="preserve"> </w:t>
      </w:r>
      <w:r w:rsidR="00C76DCC" w:rsidRPr="006A59AF">
        <w:rPr>
          <w:rFonts w:ascii="Cambria" w:hAnsi="Cambria"/>
          <w:sz w:val="24"/>
          <w:szCs w:val="24"/>
        </w:rPr>
        <w:t>making it more than a</w:t>
      </w:r>
      <w:r w:rsidR="00454A4F" w:rsidRPr="006A59AF">
        <w:rPr>
          <w:rFonts w:ascii="Cambria" w:hAnsi="Cambria"/>
          <w:sz w:val="24"/>
          <w:szCs w:val="24"/>
        </w:rPr>
        <w:t xml:space="preserve"> </w:t>
      </w:r>
      <w:r w:rsidR="004C66EB" w:rsidRPr="006A59AF">
        <w:rPr>
          <w:rFonts w:ascii="Cambria" w:hAnsi="Cambria"/>
          <w:sz w:val="24"/>
          <w:szCs w:val="24"/>
        </w:rPr>
        <w:t xml:space="preserve">mere </w:t>
      </w:r>
      <w:r w:rsidR="00454A4F" w:rsidRPr="006A59AF">
        <w:rPr>
          <w:rFonts w:ascii="Cambria" w:hAnsi="Cambria"/>
          <w:sz w:val="24"/>
          <w:szCs w:val="24"/>
        </w:rPr>
        <w:t>flash in the pan.</w:t>
      </w:r>
    </w:p>
    <w:p w14:paraId="00310AFF" w14:textId="7AD56EDF" w:rsidR="004C66EB" w:rsidRPr="006A59AF" w:rsidRDefault="004C66EB" w:rsidP="0001510B">
      <w:pPr>
        <w:spacing w:line="360" w:lineRule="auto"/>
        <w:ind w:firstLine="360"/>
        <w:rPr>
          <w:rFonts w:ascii="Cambria" w:hAnsi="Cambria"/>
          <w:sz w:val="24"/>
          <w:szCs w:val="24"/>
        </w:rPr>
      </w:pPr>
      <w:r w:rsidRPr="006A59AF">
        <w:rPr>
          <w:rFonts w:ascii="Cambria" w:hAnsi="Cambria"/>
          <w:sz w:val="24"/>
          <w:szCs w:val="24"/>
        </w:rPr>
        <w:t xml:space="preserve">The stratum of teachers leading this advanced </w:t>
      </w:r>
      <w:r w:rsidR="00D84479" w:rsidRPr="006A59AF">
        <w:rPr>
          <w:rFonts w:ascii="Cambria" w:hAnsi="Cambria"/>
          <w:sz w:val="24"/>
          <w:szCs w:val="24"/>
        </w:rPr>
        <w:t>clinical</w:t>
      </w:r>
      <w:r w:rsidRPr="006A59AF">
        <w:rPr>
          <w:rFonts w:ascii="Cambria" w:hAnsi="Cambria"/>
          <w:sz w:val="24"/>
          <w:szCs w:val="24"/>
        </w:rPr>
        <w:t xml:space="preserve"> teaching revolution </w:t>
      </w:r>
      <w:r w:rsidR="008E715D" w:rsidRPr="006A59AF">
        <w:rPr>
          <w:rFonts w:ascii="Cambria" w:hAnsi="Cambria"/>
          <w:sz w:val="24"/>
          <w:szCs w:val="24"/>
        </w:rPr>
        <w:t>constitutes</w:t>
      </w:r>
      <w:r w:rsidRPr="006A59AF">
        <w:rPr>
          <w:rFonts w:ascii="Cambria" w:hAnsi="Cambria"/>
          <w:sz w:val="24"/>
          <w:szCs w:val="24"/>
        </w:rPr>
        <w:t xml:space="preserve"> </w:t>
      </w:r>
      <w:proofErr w:type="gramStart"/>
      <w:r w:rsidRPr="006A59AF">
        <w:rPr>
          <w:rFonts w:ascii="Cambria" w:hAnsi="Cambria"/>
          <w:sz w:val="24"/>
          <w:szCs w:val="24"/>
        </w:rPr>
        <w:t>an important element</w:t>
      </w:r>
      <w:proofErr w:type="gramEnd"/>
      <w:r w:rsidRPr="006A59AF">
        <w:rPr>
          <w:rFonts w:ascii="Cambria" w:hAnsi="Cambria"/>
          <w:sz w:val="24"/>
          <w:szCs w:val="24"/>
        </w:rPr>
        <w:t xml:space="preserve"> of this infrastructure, </w:t>
      </w:r>
      <w:r w:rsidR="00D84479" w:rsidRPr="006A59AF">
        <w:rPr>
          <w:rFonts w:ascii="Cambria" w:hAnsi="Cambria"/>
          <w:sz w:val="24"/>
          <w:szCs w:val="24"/>
        </w:rPr>
        <w:t>and</w:t>
      </w:r>
      <w:r w:rsidRPr="006A59AF">
        <w:rPr>
          <w:rFonts w:ascii="Cambria" w:hAnsi="Cambria"/>
          <w:sz w:val="24"/>
          <w:szCs w:val="24"/>
        </w:rPr>
        <w:t xml:space="preserve"> needs to be expanded and strengthened. To date, the work of these </w:t>
      </w:r>
      <w:r w:rsidR="00C76DCC" w:rsidRPr="006A59AF">
        <w:rPr>
          <w:rFonts w:ascii="Cambria" w:hAnsi="Cambria"/>
          <w:sz w:val="24"/>
          <w:szCs w:val="24"/>
        </w:rPr>
        <w:t>leading teachers</w:t>
      </w:r>
      <w:r w:rsidRPr="006A59AF">
        <w:rPr>
          <w:rFonts w:ascii="Cambria" w:hAnsi="Cambria"/>
          <w:sz w:val="24"/>
          <w:szCs w:val="24"/>
        </w:rPr>
        <w:t xml:space="preserve"> has been </w:t>
      </w:r>
      <w:r w:rsidR="005D10C1" w:rsidRPr="006A59AF">
        <w:rPr>
          <w:rFonts w:ascii="Cambria" w:hAnsi="Cambria"/>
          <w:sz w:val="24"/>
          <w:szCs w:val="24"/>
        </w:rPr>
        <w:t>conducted</w:t>
      </w:r>
      <w:r w:rsidRPr="006A59AF">
        <w:rPr>
          <w:rFonts w:ascii="Cambria" w:hAnsi="Cambria"/>
          <w:sz w:val="24"/>
          <w:szCs w:val="24"/>
        </w:rPr>
        <w:t xml:space="preserve"> </w:t>
      </w:r>
      <w:r w:rsidR="00D84479" w:rsidRPr="006A59AF">
        <w:rPr>
          <w:rFonts w:ascii="Cambria" w:hAnsi="Cambria"/>
          <w:sz w:val="24"/>
          <w:szCs w:val="24"/>
        </w:rPr>
        <w:t>within</w:t>
      </w:r>
      <w:r w:rsidRPr="006A59AF">
        <w:rPr>
          <w:rFonts w:ascii="Cambria" w:hAnsi="Cambria"/>
          <w:sz w:val="24"/>
          <w:szCs w:val="24"/>
        </w:rPr>
        <w:t xml:space="preserve"> sporadic frameworks, with a temporary budget</w:t>
      </w:r>
      <w:r w:rsidR="005D10C1" w:rsidRPr="006A59AF">
        <w:rPr>
          <w:rFonts w:ascii="Cambria" w:hAnsi="Cambria"/>
          <w:sz w:val="24"/>
          <w:szCs w:val="24"/>
        </w:rPr>
        <w:t>,</w:t>
      </w:r>
      <w:r w:rsidRPr="006A59AF">
        <w:rPr>
          <w:rFonts w:ascii="Cambria" w:hAnsi="Cambria"/>
          <w:sz w:val="24"/>
          <w:szCs w:val="24"/>
        </w:rPr>
        <w:t xml:space="preserve"> with limited coordination between teachers</w:t>
      </w:r>
      <w:r w:rsidR="005D10C1" w:rsidRPr="006A59AF">
        <w:rPr>
          <w:rFonts w:ascii="Cambria" w:hAnsi="Cambria"/>
          <w:sz w:val="24"/>
          <w:szCs w:val="24"/>
        </w:rPr>
        <w:t>,</w:t>
      </w:r>
      <w:r w:rsidRPr="006A59AF">
        <w:rPr>
          <w:rFonts w:ascii="Cambria" w:hAnsi="Cambria"/>
          <w:sz w:val="24"/>
          <w:szCs w:val="24"/>
        </w:rPr>
        <w:t xml:space="preserve"> and without </w:t>
      </w:r>
      <w:r w:rsidR="005D10C1" w:rsidRPr="006A59AF">
        <w:rPr>
          <w:rFonts w:ascii="Cambria" w:hAnsi="Cambria"/>
          <w:sz w:val="24"/>
          <w:szCs w:val="24"/>
        </w:rPr>
        <w:t>shared</w:t>
      </w:r>
      <w:r w:rsidRPr="006A59AF">
        <w:rPr>
          <w:rFonts w:ascii="Cambria" w:hAnsi="Cambria"/>
          <w:sz w:val="24"/>
          <w:szCs w:val="24"/>
        </w:rPr>
        <w:t xml:space="preserve"> standards. </w:t>
      </w:r>
    </w:p>
    <w:p w14:paraId="76D373DF" w14:textId="753E457B" w:rsidR="004C66EB" w:rsidRPr="006A59AF" w:rsidRDefault="004C66EB" w:rsidP="0001510B">
      <w:pPr>
        <w:spacing w:line="360" w:lineRule="auto"/>
        <w:ind w:firstLine="360"/>
        <w:rPr>
          <w:rFonts w:ascii="Cambria" w:hAnsi="Cambria"/>
          <w:sz w:val="24"/>
          <w:szCs w:val="24"/>
        </w:rPr>
      </w:pPr>
      <w:r w:rsidRPr="006A59AF">
        <w:rPr>
          <w:rFonts w:ascii="Cambria" w:hAnsi="Cambria"/>
          <w:sz w:val="24"/>
          <w:szCs w:val="24"/>
        </w:rPr>
        <w:t xml:space="preserve">There is a target community of around 3,500 </w:t>
      </w:r>
      <w:r w:rsidR="00C76DCC" w:rsidRPr="006A59AF">
        <w:rPr>
          <w:rFonts w:ascii="Cambria" w:hAnsi="Cambria"/>
          <w:sz w:val="24"/>
          <w:szCs w:val="24"/>
        </w:rPr>
        <w:t>leading teachers</w:t>
      </w:r>
      <w:r w:rsidRPr="006A59AF">
        <w:rPr>
          <w:rFonts w:ascii="Cambria" w:hAnsi="Cambria"/>
          <w:sz w:val="24"/>
          <w:szCs w:val="24"/>
        </w:rPr>
        <w:t xml:space="preserve"> in high schools, who constitute around 15% of all mathematics and science teachers in grades 7-12.</w:t>
      </w:r>
      <w:r w:rsidR="004F2CE5" w:rsidRPr="006A59AF">
        <w:rPr>
          <w:rFonts w:ascii="Cambria" w:hAnsi="Cambria"/>
          <w:sz w:val="24"/>
          <w:szCs w:val="24"/>
        </w:rPr>
        <w:t xml:space="preserve"> Apart from teaching, these teachers </w:t>
      </w:r>
      <w:r w:rsidR="00753160" w:rsidRPr="006A59AF">
        <w:rPr>
          <w:rFonts w:ascii="Cambria" w:hAnsi="Cambria"/>
          <w:sz w:val="24"/>
          <w:szCs w:val="24"/>
        </w:rPr>
        <w:t>support</w:t>
      </w:r>
      <w:r w:rsidR="004F2CE5" w:rsidRPr="006A59AF">
        <w:rPr>
          <w:rFonts w:ascii="Cambria" w:hAnsi="Cambria"/>
          <w:sz w:val="24"/>
          <w:szCs w:val="24"/>
        </w:rPr>
        <w:t xml:space="preserve"> the learning of their fellow teachers as community leaders, guides, professional coordinators, mentors</w:t>
      </w:r>
      <w:r w:rsidR="00D84479" w:rsidRPr="006A59AF">
        <w:rPr>
          <w:rFonts w:ascii="Cambria" w:hAnsi="Cambria"/>
          <w:sz w:val="24"/>
          <w:szCs w:val="24"/>
        </w:rPr>
        <w:t>,</w:t>
      </w:r>
      <w:r w:rsidR="004F2CE5" w:rsidRPr="006A59AF">
        <w:rPr>
          <w:rFonts w:ascii="Cambria" w:hAnsi="Cambria"/>
          <w:sz w:val="24"/>
          <w:szCs w:val="24"/>
        </w:rPr>
        <w:t xml:space="preserve"> and pedagogical facilitators. </w:t>
      </w:r>
    </w:p>
    <w:p w14:paraId="7A9FC45F" w14:textId="6B9FD970" w:rsidR="00DD71A0" w:rsidRPr="006A59AF" w:rsidRDefault="00753160" w:rsidP="0001510B">
      <w:pPr>
        <w:spacing w:line="360" w:lineRule="auto"/>
        <w:ind w:firstLine="360"/>
        <w:rPr>
          <w:rFonts w:ascii="Cambria" w:hAnsi="Cambria"/>
          <w:sz w:val="24"/>
          <w:szCs w:val="24"/>
        </w:rPr>
      </w:pPr>
      <w:r w:rsidRPr="006A59AF">
        <w:rPr>
          <w:rFonts w:ascii="Cambria" w:hAnsi="Cambria"/>
          <w:sz w:val="24"/>
          <w:szCs w:val="24"/>
        </w:rPr>
        <w:t>Today</w:t>
      </w:r>
      <w:r w:rsidR="007159E2" w:rsidRPr="006A59AF">
        <w:rPr>
          <w:rFonts w:ascii="Cambria" w:hAnsi="Cambria"/>
          <w:sz w:val="24"/>
          <w:szCs w:val="24"/>
        </w:rPr>
        <w:t xml:space="preserve">, the </w:t>
      </w:r>
      <w:proofErr w:type="gramStart"/>
      <w:r w:rsidR="007159E2" w:rsidRPr="006A59AF">
        <w:rPr>
          <w:rFonts w:ascii="Cambria" w:hAnsi="Cambria"/>
          <w:sz w:val="24"/>
          <w:szCs w:val="24"/>
        </w:rPr>
        <w:t>important role</w:t>
      </w:r>
      <w:proofErr w:type="gramEnd"/>
      <w:r w:rsidR="007159E2" w:rsidRPr="006A59AF">
        <w:rPr>
          <w:rFonts w:ascii="Cambria" w:hAnsi="Cambria"/>
          <w:sz w:val="24"/>
          <w:szCs w:val="24"/>
        </w:rPr>
        <w:t xml:space="preserve"> of these </w:t>
      </w:r>
      <w:r w:rsidR="00C76DCC" w:rsidRPr="006A59AF">
        <w:rPr>
          <w:rFonts w:ascii="Cambria" w:hAnsi="Cambria"/>
          <w:sz w:val="24"/>
          <w:szCs w:val="24"/>
        </w:rPr>
        <w:t>leading teachers</w:t>
      </w:r>
      <w:r w:rsidR="007159E2" w:rsidRPr="006A59AF">
        <w:rPr>
          <w:rFonts w:ascii="Cambria" w:hAnsi="Cambria"/>
          <w:sz w:val="24"/>
          <w:szCs w:val="24"/>
        </w:rPr>
        <w:t xml:space="preserve"> needs to be recognized</w:t>
      </w:r>
      <w:r w:rsidRPr="006A59AF">
        <w:rPr>
          <w:rFonts w:ascii="Cambria" w:hAnsi="Cambria"/>
          <w:sz w:val="24"/>
          <w:szCs w:val="24"/>
        </w:rPr>
        <w:t>,</w:t>
      </w:r>
      <w:r w:rsidR="007159E2" w:rsidRPr="006A59AF">
        <w:rPr>
          <w:rFonts w:ascii="Cambria" w:hAnsi="Cambria"/>
          <w:sz w:val="24"/>
          <w:szCs w:val="24"/>
        </w:rPr>
        <w:t xml:space="preserve"> and they need to be granted compensation and professional status,</w:t>
      </w:r>
      <w:r w:rsidRPr="006A59AF">
        <w:rPr>
          <w:rFonts w:ascii="Cambria" w:hAnsi="Cambria"/>
          <w:sz w:val="24"/>
          <w:szCs w:val="24"/>
        </w:rPr>
        <w:t xml:space="preserve"> </w:t>
      </w:r>
      <w:r w:rsidR="00C76DCC" w:rsidRPr="006A59AF">
        <w:rPr>
          <w:rFonts w:ascii="Cambria" w:hAnsi="Cambria"/>
          <w:sz w:val="24"/>
          <w:szCs w:val="24"/>
        </w:rPr>
        <w:t>allowing</w:t>
      </w:r>
      <w:r w:rsidR="007159E2" w:rsidRPr="006A59AF">
        <w:rPr>
          <w:rFonts w:ascii="Cambria" w:hAnsi="Cambria"/>
          <w:sz w:val="24"/>
          <w:szCs w:val="24"/>
        </w:rPr>
        <w:t xml:space="preserve"> them to build professional standards,</w:t>
      </w:r>
      <w:r w:rsidR="00D84479" w:rsidRPr="006A59AF">
        <w:rPr>
          <w:rFonts w:ascii="Cambria" w:hAnsi="Cambria"/>
          <w:sz w:val="24"/>
          <w:szCs w:val="24"/>
        </w:rPr>
        <w:t xml:space="preserve"> and</w:t>
      </w:r>
      <w:r w:rsidR="007159E2" w:rsidRPr="006A59AF">
        <w:rPr>
          <w:rFonts w:ascii="Cambria" w:hAnsi="Cambria"/>
          <w:sz w:val="24"/>
          <w:szCs w:val="24"/>
        </w:rPr>
        <w:t xml:space="preserve"> create national training programs and frameworks. To this end, </w:t>
      </w:r>
      <w:r w:rsidR="00FE5764" w:rsidRPr="006A59AF">
        <w:rPr>
          <w:rFonts w:ascii="Cambria" w:hAnsi="Cambria"/>
          <w:sz w:val="24"/>
          <w:szCs w:val="24"/>
        </w:rPr>
        <w:t>the</w:t>
      </w:r>
      <w:r w:rsidR="00A1787C" w:rsidRPr="006A59AF">
        <w:rPr>
          <w:rFonts w:ascii="Cambria" w:hAnsi="Cambria"/>
          <w:sz w:val="24"/>
          <w:szCs w:val="24"/>
        </w:rPr>
        <w:t>y</w:t>
      </w:r>
      <w:r w:rsidR="00FE5764" w:rsidRPr="006A59AF">
        <w:rPr>
          <w:rFonts w:ascii="Cambria" w:hAnsi="Cambria"/>
          <w:sz w:val="24"/>
          <w:szCs w:val="24"/>
        </w:rPr>
        <w:t xml:space="preserve"> need a professional home, where together they can build continuous improvement in </w:t>
      </w:r>
      <w:r w:rsidR="003825BD" w:rsidRPr="006A59AF">
        <w:rPr>
          <w:rFonts w:ascii="Cambria" w:hAnsi="Cambria"/>
          <w:sz w:val="24"/>
          <w:szCs w:val="24"/>
        </w:rPr>
        <w:t>teaching quality</w:t>
      </w:r>
      <w:r w:rsidR="00FE5764" w:rsidRPr="006A59AF">
        <w:rPr>
          <w:rFonts w:ascii="Cambria" w:hAnsi="Cambria"/>
          <w:sz w:val="24"/>
          <w:szCs w:val="24"/>
        </w:rPr>
        <w:t>.</w:t>
      </w:r>
      <w:r w:rsidR="007159E2" w:rsidRPr="006A59AF">
        <w:rPr>
          <w:rFonts w:ascii="Cambria" w:hAnsi="Cambria"/>
          <w:sz w:val="24"/>
          <w:szCs w:val="24"/>
        </w:rPr>
        <w:t xml:space="preserve"> </w:t>
      </w:r>
    </w:p>
    <w:p w14:paraId="3AE1EC84" w14:textId="1632853D" w:rsidR="00D84479" w:rsidRPr="006A59AF" w:rsidRDefault="003825BD" w:rsidP="0001510B">
      <w:pPr>
        <w:pStyle w:val="Heading1"/>
        <w:numPr>
          <w:ilvl w:val="0"/>
          <w:numId w:val="3"/>
        </w:numPr>
        <w:rPr>
          <w:rFonts w:ascii="Cambria" w:hAnsi="Cambria" w:cstheme="minorBidi"/>
          <w:b/>
          <w:bCs/>
          <w:color w:val="auto"/>
          <w:sz w:val="24"/>
          <w:szCs w:val="24"/>
        </w:rPr>
      </w:pPr>
      <w:bookmarkStart w:id="4" w:name="_Toc492293752"/>
      <w:r w:rsidRPr="006A59AF">
        <w:rPr>
          <w:rFonts w:ascii="Cambria" w:hAnsi="Cambria" w:cstheme="minorBidi"/>
          <w:b/>
          <w:bCs/>
          <w:color w:val="auto"/>
          <w:sz w:val="24"/>
          <w:szCs w:val="24"/>
        </w:rPr>
        <w:t xml:space="preserve">The National Institute </w:t>
      </w:r>
      <w:r w:rsidR="00793C34" w:rsidRPr="006A59AF">
        <w:rPr>
          <w:rFonts w:ascii="Cambria" w:hAnsi="Cambria" w:cstheme="minorBidi"/>
          <w:b/>
          <w:bCs/>
          <w:color w:val="auto"/>
          <w:sz w:val="24"/>
          <w:szCs w:val="24"/>
        </w:rPr>
        <w:t>for</w:t>
      </w:r>
      <w:r w:rsidRPr="006A59AF">
        <w:rPr>
          <w:rFonts w:ascii="Cambria" w:hAnsi="Cambria" w:cstheme="minorBidi"/>
          <w:b/>
          <w:bCs/>
          <w:color w:val="auto"/>
          <w:sz w:val="24"/>
          <w:szCs w:val="24"/>
        </w:rPr>
        <w:t xml:space="preserve"> Advanced Mathematics and Science </w:t>
      </w:r>
      <w:r w:rsidR="00793C34" w:rsidRPr="006A59AF">
        <w:rPr>
          <w:rFonts w:ascii="Cambria" w:hAnsi="Cambria" w:cstheme="minorBidi"/>
          <w:b/>
          <w:bCs/>
          <w:color w:val="auto"/>
          <w:sz w:val="24"/>
          <w:szCs w:val="24"/>
        </w:rPr>
        <w:t>Teaching</w:t>
      </w:r>
      <w:bookmarkEnd w:id="4"/>
    </w:p>
    <w:p w14:paraId="37915017" w14:textId="3CBF2F21" w:rsidR="003825BD" w:rsidRPr="006A59AF" w:rsidRDefault="00793C34" w:rsidP="00D84479">
      <w:pPr>
        <w:spacing w:line="360" w:lineRule="auto"/>
        <w:rPr>
          <w:rFonts w:ascii="Cambria" w:hAnsi="Cambria"/>
          <w:sz w:val="24"/>
          <w:szCs w:val="24"/>
        </w:rPr>
      </w:pPr>
      <w:proofErr w:type="gramStart"/>
      <w:r w:rsidRPr="006A59AF">
        <w:rPr>
          <w:rFonts w:ascii="Cambria" w:hAnsi="Cambria"/>
          <w:sz w:val="24"/>
          <w:szCs w:val="24"/>
        </w:rPr>
        <w:t>In order to</w:t>
      </w:r>
      <w:proofErr w:type="gramEnd"/>
      <w:r w:rsidRPr="006A59AF">
        <w:rPr>
          <w:rFonts w:ascii="Cambria" w:hAnsi="Cambria"/>
          <w:sz w:val="24"/>
          <w:szCs w:val="24"/>
        </w:rPr>
        <w:t xml:space="preserve"> provide every student in Israel with appropriate teaching</w:t>
      </w:r>
      <w:r w:rsidR="00753160" w:rsidRPr="006A59AF">
        <w:rPr>
          <w:rFonts w:ascii="Cambria" w:hAnsi="Cambria"/>
          <w:sz w:val="24"/>
          <w:szCs w:val="24"/>
        </w:rPr>
        <w:t>,</w:t>
      </w:r>
      <w:r w:rsidRPr="006A59AF">
        <w:rPr>
          <w:rFonts w:ascii="Cambria" w:hAnsi="Cambria"/>
          <w:sz w:val="24"/>
          <w:szCs w:val="24"/>
        </w:rPr>
        <w:t xml:space="preserve"> and in order to expand the circle of excellence, develop values and scientific thinking, and allow as many students as possible to push </w:t>
      </w:r>
      <w:r w:rsidR="00D84479" w:rsidRPr="006A59AF">
        <w:rPr>
          <w:rFonts w:ascii="Cambria" w:hAnsi="Cambria"/>
          <w:sz w:val="24"/>
          <w:szCs w:val="24"/>
        </w:rPr>
        <w:t>ahead</w:t>
      </w:r>
      <w:r w:rsidRPr="006A59AF">
        <w:rPr>
          <w:rFonts w:ascii="Cambria" w:hAnsi="Cambria"/>
          <w:sz w:val="24"/>
          <w:szCs w:val="24"/>
        </w:rPr>
        <w:t xml:space="preserve"> and go as far as they can, it is hereby proposed to establish "The National Institute for Advanced Mathematics and Science Teaching" (hereinafter: "the Institute").</w:t>
      </w:r>
    </w:p>
    <w:p w14:paraId="462FC521" w14:textId="7D1CDECA" w:rsidR="00793C34" w:rsidRPr="006A59AF" w:rsidRDefault="009912C5" w:rsidP="0001510B">
      <w:pPr>
        <w:spacing w:line="360" w:lineRule="auto"/>
        <w:ind w:firstLine="720"/>
        <w:rPr>
          <w:rFonts w:ascii="Cambria" w:hAnsi="Cambria"/>
          <w:sz w:val="24"/>
          <w:szCs w:val="24"/>
        </w:rPr>
      </w:pPr>
      <w:r w:rsidRPr="006A59AF">
        <w:rPr>
          <w:rFonts w:ascii="Cambria" w:hAnsi="Cambria"/>
          <w:sz w:val="24"/>
          <w:szCs w:val="24"/>
        </w:rPr>
        <w:t xml:space="preserve">The Institute will serve as a professional home for the leadership of advanced </w:t>
      </w:r>
      <w:r w:rsidR="00A1787C" w:rsidRPr="006A59AF">
        <w:rPr>
          <w:rFonts w:ascii="Cambria" w:hAnsi="Cambria"/>
          <w:sz w:val="24"/>
          <w:szCs w:val="24"/>
        </w:rPr>
        <w:t>clinical</w:t>
      </w:r>
      <w:r w:rsidRPr="006A59AF">
        <w:rPr>
          <w:rFonts w:ascii="Cambria" w:hAnsi="Cambria"/>
          <w:sz w:val="24"/>
          <w:szCs w:val="24"/>
        </w:rPr>
        <w:t xml:space="preserve"> teaching, which will grow together and from within pedagogical excellence based on practice</w:t>
      </w:r>
      <w:r w:rsidR="00753160" w:rsidRPr="006A59AF">
        <w:rPr>
          <w:rFonts w:ascii="Cambria" w:hAnsi="Cambria"/>
          <w:sz w:val="24"/>
          <w:szCs w:val="24"/>
        </w:rPr>
        <w:t>,</w:t>
      </w:r>
      <w:r w:rsidRPr="006A59AF">
        <w:rPr>
          <w:rFonts w:ascii="Cambria" w:hAnsi="Cambria"/>
          <w:sz w:val="24"/>
          <w:szCs w:val="24"/>
        </w:rPr>
        <w:t xml:space="preserve"> and focused on providing a response to </w:t>
      </w:r>
      <w:r w:rsidR="00753160" w:rsidRPr="006A59AF">
        <w:rPr>
          <w:rFonts w:ascii="Cambria" w:hAnsi="Cambria"/>
          <w:sz w:val="24"/>
          <w:szCs w:val="24"/>
        </w:rPr>
        <w:t>the learning of each student</w:t>
      </w:r>
      <w:r w:rsidRPr="006A59AF">
        <w:rPr>
          <w:rFonts w:ascii="Cambria" w:hAnsi="Cambria"/>
          <w:sz w:val="24"/>
          <w:szCs w:val="24"/>
        </w:rPr>
        <w:t xml:space="preserve">. The Institute will </w:t>
      </w:r>
      <w:r w:rsidR="00B974A7" w:rsidRPr="006A59AF">
        <w:rPr>
          <w:rFonts w:ascii="Cambria" w:hAnsi="Cambria"/>
          <w:sz w:val="24"/>
          <w:szCs w:val="24"/>
        </w:rPr>
        <w:t xml:space="preserve">work to </w:t>
      </w:r>
      <w:r w:rsidR="00B974A7" w:rsidRPr="006A59AF">
        <w:rPr>
          <w:rFonts w:ascii="Cambria" w:hAnsi="Cambria"/>
          <w:sz w:val="24"/>
          <w:szCs w:val="24"/>
        </w:rPr>
        <w:lastRenderedPageBreak/>
        <w:t>implement government policy on the subject, and as an independent center of expertise and development.</w:t>
      </w:r>
    </w:p>
    <w:p w14:paraId="4D78380B" w14:textId="73C4B5E0" w:rsidR="00127F48" w:rsidRPr="006A59AF" w:rsidRDefault="00127F48" w:rsidP="00B974A7">
      <w:pPr>
        <w:spacing w:line="360" w:lineRule="auto"/>
        <w:rPr>
          <w:rFonts w:ascii="Cambria" w:hAnsi="Cambria"/>
          <w:sz w:val="24"/>
          <w:szCs w:val="24"/>
        </w:rPr>
      </w:pPr>
      <w:r w:rsidRPr="006A59AF">
        <w:rPr>
          <w:rFonts w:ascii="Cambria" w:hAnsi="Cambria"/>
          <w:sz w:val="24"/>
          <w:szCs w:val="24"/>
          <w:u w:val="single"/>
        </w:rPr>
        <w:t>Roles</w:t>
      </w:r>
      <w:r w:rsidRPr="006A59AF">
        <w:rPr>
          <w:rFonts w:ascii="Cambria" w:hAnsi="Cambria"/>
          <w:sz w:val="24"/>
          <w:szCs w:val="24"/>
        </w:rPr>
        <w:t>:</w:t>
      </w:r>
    </w:p>
    <w:p w14:paraId="180ADCC8" w14:textId="4854EA47" w:rsidR="00127F48" w:rsidRPr="006A59AF" w:rsidRDefault="001F34E5" w:rsidP="00D91602">
      <w:pPr>
        <w:pStyle w:val="ListParagraph"/>
        <w:numPr>
          <w:ilvl w:val="0"/>
          <w:numId w:val="5"/>
        </w:numPr>
        <w:spacing w:line="360" w:lineRule="auto"/>
        <w:rPr>
          <w:rFonts w:ascii="Cambria" w:hAnsi="Cambria"/>
          <w:sz w:val="24"/>
          <w:szCs w:val="24"/>
        </w:rPr>
      </w:pPr>
      <w:r w:rsidRPr="006A59AF">
        <w:rPr>
          <w:rFonts w:ascii="Cambria" w:hAnsi="Cambria"/>
          <w:sz w:val="24"/>
          <w:szCs w:val="24"/>
        </w:rPr>
        <w:t xml:space="preserve">To establish an elite </w:t>
      </w:r>
      <w:r w:rsidR="00B467BC" w:rsidRPr="006A59AF">
        <w:rPr>
          <w:rFonts w:ascii="Cambria" w:hAnsi="Cambria"/>
          <w:sz w:val="24"/>
          <w:szCs w:val="24"/>
        </w:rPr>
        <w:t>cadre</w:t>
      </w:r>
      <w:r w:rsidRPr="006A59AF">
        <w:rPr>
          <w:rFonts w:ascii="Cambria" w:hAnsi="Cambria"/>
          <w:sz w:val="24"/>
          <w:szCs w:val="24"/>
        </w:rPr>
        <w:t xml:space="preserve"> of </w:t>
      </w:r>
      <w:r w:rsidR="00C76DCC" w:rsidRPr="006A59AF">
        <w:rPr>
          <w:rFonts w:ascii="Cambria" w:hAnsi="Cambria"/>
          <w:sz w:val="24"/>
          <w:szCs w:val="24"/>
        </w:rPr>
        <w:t>leading teachers</w:t>
      </w:r>
      <w:r w:rsidRPr="006A59AF">
        <w:rPr>
          <w:rFonts w:ascii="Cambria" w:hAnsi="Cambria"/>
          <w:sz w:val="24"/>
          <w:szCs w:val="24"/>
        </w:rPr>
        <w:t xml:space="preserve"> </w:t>
      </w:r>
      <w:r w:rsidR="0083003A" w:rsidRPr="006A59AF">
        <w:rPr>
          <w:rFonts w:ascii="Cambria" w:hAnsi="Cambria"/>
          <w:sz w:val="24"/>
          <w:szCs w:val="24"/>
        </w:rPr>
        <w:t>of</w:t>
      </w:r>
      <w:r w:rsidRPr="006A59AF">
        <w:rPr>
          <w:rFonts w:ascii="Cambria" w:hAnsi="Cambria"/>
          <w:sz w:val="24"/>
          <w:szCs w:val="24"/>
        </w:rPr>
        <w:t xml:space="preserve"> mathematics and the sciences</w:t>
      </w:r>
      <w:r w:rsidR="00F11EF4" w:rsidRPr="006A59AF">
        <w:rPr>
          <w:rFonts w:ascii="Cambria" w:hAnsi="Cambria"/>
          <w:sz w:val="24"/>
          <w:szCs w:val="24"/>
        </w:rPr>
        <w:t xml:space="preserve"> in high schools, to enable them to create professional advanced career tracks and to develop in the skill field of evidence-based </w:t>
      </w:r>
      <w:r w:rsidR="00A1787C" w:rsidRPr="006A59AF">
        <w:rPr>
          <w:rFonts w:ascii="Cambria" w:hAnsi="Cambria"/>
          <w:sz w:val="24"/>
          <w:szCs w:val="24"/>
        </w:rPr>
        <w:t>clinical</w:t>
      </w:r>
      <w:r w:rsidR="00F11EF4" w:rsidRPr="006A59AF">
        <w:rPr>
          <w:rFonts w:ascii="Cambria" w:hAnsi="Cambria"/>
          <w:sz w:val="24"/>
          <w:szCs w:val="24"/>
        </w:rPr>
        <w:t xml:space="preserve"> teaching</w:t>
      </w:r>
      <w:r w:rsidR="00D91602" w:rsidRPr="006A59AF">
        <w:rPr>
          <w:rFonts w:ascii="Cambria" w:hAnsi="Cambria"/>
          <w:sz w:val="24"/>
          <w:szCs w:val="24"/>
        </w:rPr>
        <w:t>,</w:t>
      </w:r>
      <w:r w:rsidR="00F11EF4" w:rsidRPr="006A59AF">
        <w:rPr>
          <w:rFonts w:ascii="Cambria" w:hAnsi="Cambria"/>
          <w:sz w:val="24"/>
          <w:szCs w:val="24"/>
        </w:rPr>
        <w:t xml:space="preserve"> </w:t>
      </w:r>
      <w:r w:rsidR="00D91602" w:rsidRPr="006A59AF">
        <w:rPr>
          <w:rFonts w:ascii="Cambria" w:hAnsi="Cambria"/>
          <w:sz w:val="24"/>
          <w:szCs w:val="24"/>
        </w:rPr>
        <w:t>as well as</w:t>
      </w:r>
      <w:r w:rsidR="00F11EF4" w:rsidRPr="006A59AF">
        <w:rPr>
          <w:rFonts w:ascii="Cambria" w:hAnsi="Cambria"/>
          <w:sz w:val="24"/>
          <w:szCs w:val="24"/>
        </w:rPr>
        <w:t xml:space="preserve"> in accordance with the science education policy of the Ministry of Education.</w:t>
      </w:r>
    </w:p>
    <w:p w14:paraId="1C81D4CE" w14:textId="77777777" w:rsidR="00B467BC" w:rsidRPr="006A59AF" w:rsidRDefault="00B467BC" w:rsidP="00B467BC">
      <w:pPr>
        <w:pStyle w:val="ListParagraph"/>
        <w:numPr>
          <w:ilvl w:val="0"/>
          <w:numId w:val="5"/>
        </w:numPr>
        <w:spacing w:line="360" w:lineRule="auto"/>
        <w:rPr>
          <w:rFonts w:ascii="Cambria" w:hAnsi="Cambria"/>
          <w:sz w:val="24"/>
          <w:szCs w:val="24"/>
        </w:rPr>
      </w:pPr>
      <w:r w:rsidRPr="006A59AF">
        <w:rPr>
          <w:rFonts w:ascii="Cambria" w:hAnsi="Cambria"/>
          <w:sz w:val="24"/>
          <w:szCs w:val="24"/>
        </w:rPr>
        <w:t>To define, formulate, and implement standards and specializations, training, and certification courses, as well as the accompanying processes for teachers in leadership positions in accordance with Ministry of Education policy, with emphasis on the work of the Science Division and the Professional Development Division.</w:t>
      </w:r>
    </w:p>
    <w:p w14:paraId="01268F28" w14:textId="0E71B8FE" w:rsidR="002265FA" w:rsidRPr="006A59AF" w:rsidRDefault="002265FA" w:rsidP="00D61571">
      <w:pPr>
        <w:pStyle w:val="ListParagraph"/>
        <w:numPr>
          <w:ilvl w:val="0"/>
          <w:numId w:val="5"/>
        </w:numPr>
        <w:spacing w:line="360" w:lineRule="auto"/>
        <w:rPr>
          <w:rFonts w:ascii="Cambria" w:hAnsi="Cambria"/>
          <w:sz w:val="24"/>
          <w:szCs w:val="24"/>
        </w:rPr>
      </w:pPr>
      <w:r w:rsidRPr="006A59AF">
        <w:rPr>
          <w:rFonts w:ascii="Cambria" w:hAnsi="Cambria"/>
          <w:sz w:val="24"/>
          <w:szCs w:val="24"/>
        </w:rPr>
        <w:t xml:space="preserve">To budget and guide operating frameworks for the </w:t>
      </w:r>
      <w:r w:rsidR="00D61571" w:rsidRPr="006A59AF">
        <w:rPr>
          <w:rFonts w:ascii="Cambria" w:hAnsi="Cambria"/>
          <w:sz w:val="24"/>
          <w:szCs w:val="24"/>
        </w:rPr>
        <w:t>clinical</w:t>
      </w:r>
      <w:r w:rsidRPr="006A59AF">
        <w:rPr>
          <w:rFonts w:ascii="Cambria" w:hAnsi="Cambria"/>
          <w:sz w:val="24"/>
          <w:szCs w:val="24"/>
        </w:rPr>
        <w:t xml:space="preserve"> professional development of teachers (for example, teacher communities, instructional coaching) nationwide, in academic guidance</w:t>
      </w:r>
      <w:r w:rsidR="00D91602" w:rsidRPr="006A59AF">
        <w:rPr>
          <w:rFonts w:ascii="Cambria" w:hAnsi="Cambria"/>
          <w:sz w:val="24"/>
          <w:szCs w:val="24"/>
        </w:rPr>
        <w:t>,</w:t>
      </w:r>
      <w:r w:rsidRPr="006A59AF">
        <w:rPr>
          <w:rFonts w:ascii="Cambria" w:hAnsi="Cambria"/>
          <w:sz w:val="24"/>
          <w:szCs w:val="24"/>
        </w:rPr>
        <w:t xml:space="preserve"> and inter-university curricula.</w:t>
      </w:r>
    </w:p>
    <w:p w14:paraId="4FB116FA" w14:textId="2F5CAA5E" w:rsidR="002265FA" w:rsidRPr="006A59AF" w:rsidRDefault="002265FA" w:rsidP="00D91602">
      <w:pPr>
        <w:pStyle w:val="ListParagraph"/>
        <w:numPr>
          <w:ilvl w:val="0"/>
          <w:numId w:val="5"/>
        </w:numPr>
        <w:spacing w:line="360" w:lineRule="auto"/>
        <w:rPr>
          <w:rFonts w:ascii="Cambria" w:hAnsi="Cambria"/>
          <w:sz w:val="24"/>
          <w:szCs w:val="24"/>
        </w:rPr>
      </w:pPr>
      <w:r w:rsidRPr="006A59AF">
        <w:rPr>
          <w:rFonts w:ascii="Cambria" w:hAnsi="Cambria"/>
          <w:sz w:val="24"/>
          <w:szCs w:val="24"/>
        </w:rPr>
        <w:t xml:space="preserve">To develop tools and methods for </w:t>
      </w:r>
      <w:r w:rsidR="00D61571" w:rsidRPr="006A59AF">
        <w:rPr>
          <w:rFonts w:ascii="Cambria" w:hAnsi="Cambria"/>
          <w:sz w:val="24"/>
          <w:szCs w:val="24"/>
        </w:rPr>
        <w:t>clinical</w:t>
      </w:r>
      <w:r w:rsidRPr="006A59AF">
        <w:rPr>
          <w:rFonts w:ascii="Cambria" w:hAnsi="Cambria"/>
          <w:sz w:val="24"/>
          <w:szCs w:val="24"/>
        </w:rPr>
        <w:t xml:space="preserve"> teaching (for example, video, diagnostics, simulations, protocols, personal learning programs), to </w:t>
      </w:r>
      <w:r w:rsidR="00D91602" w:rsidRPr="006A59AF">
        <w:rPr>
          <w:rFonts w:ascii="Cambria" w:hAnsi="Cambria"/>
          <w:sz w:val="24"/>
          <w:szCs w:val="24"/>
        </w:rPr>
        <w:t>test</w:t>
      </w:r>
      <w:r w:rsidRPr="006A59AF">
        <w:rPr>
          <w:rFonts w:ascii="Cambria" w:hAnsi="Cambria"/>
          <w:sz w:val="24"/>
          <w:szCs w:val="24"/>
        </w:rPr>
        <w:t xml:space="preserve"> them out in the field, to coordinate them</w:t>
      </w:r>
      <w:r w:rsidR="00D91602" w:rsidRPr="006A59AF">
        <w:rPr>
          <w:rFonts w:ascii="Cambria" w:hAnsi="Cambria"/>
          <w:sz w:val="24"/>
          <w:szCs w:val="24"/>
        </w:rPr>
        <w:t>,</w:t>
      </w:r>
      <w:r w:rsidRPr="006A59AF">
        <w:rPr>
          <w:rFonts w:ascii="Cambria" w:hAnsi="Cambria"/>
          <w:sz w:val="24"/>
          <w:szCs w:val="24"/>
        </w:rPr>
        <w:t xml:space="preserve"> and disseminate their use among </w:t>
      </w:r>
      <w:r w:rsidR="00F10FA0" w:rsidRPr="006A59AF">
        <w:rPr>
          <w:rFonts w:ascii="Cambria" w:hAnsi="Cambria"/>
          <w:sz w:val="24"/>
          <w:szCs w:val="24"/>
        </w:rPr>
        <w:t>all</w:t>
      </w:r>
      <w:r w:rsidRPr="006A59AF">
        <w:rPr>
          <w:rFonts w:ascii="Cambria" w:hAnsi="Cambria"/>
          <w:sz w:val="24"/>
          <w:szCs w:val="24"/>
        </w:rPr>
        <w:t xml:space="preserve"> mathematics and science teachers. </w:t>
      </w:r>
    </w:p>
    <w:p w14:paraId="0FA91B5A" w14:textId="5C6FB2B5" w:rsidR="007F44D0" w:rsidRPr="006A59AF" w:rsidRDefault="007F44D0" w:rsidP="0001510B">
      <w:pPr>
        <w:pStyle w:val="ListParagraph"/>
        <w:numPr>
          <w:ilvl w:val="0"/>
          <w:numId w:val="5"/>
        </w:numPr>
        <w:spacing w:line="360" w:lineRule="auto"/>
        <w:rPr>
          <w:rFonts w:ascii="Cambria" w:hAnsi="Cambria"/>
          <w:sz w:val="24"/>
          <w:szCs w:val="24"/>
        </w:rPr>
      </w:pPr>
      <w:r w:rsidRPr="006A59AF">
        <w:rPr>
          <w:rFonts w:ascii="Cambria" w:hAnsi="Cambria"/>
          <w:sz w:val="24"/>
          <w:szCs w:val="24"/>
        </w:rPr>
        <w:t xml:space="preserve">To conduct in-depth dialog with the </w:t>
      </w:r>
      <w:r w:rsidR="00C76DCC" w:rsidRPr="006A59AF">
        <w:rPr>
          <w:rFonts w:ascii="Cambria" w:hAnsi="Cambria"/>
          <w:sz w:val="24"/>
          <w:szCs w:val="24"/>
        </w:rPr>
        <w:t>leading teachers</w:t>
      </w:r>
      <w:r w:rsidRPr="006A59AF">
        <w:rPr>
          <w:rFonts w:ascii="Cambria" w:hAnsi="Cambria"/>
          <w:sz w:val="24"/>
          <w:szCs w:val="24"/>
        </w:rPr>
        <w:t xml:space="preserve">, to build programs </w:t>
      </w:r>
      <w:r w:rsidR="00013C0B" w:rsidRPr="006A59AF">
        <w:rPr>
          <w:rFonts w:ascii="Cambria" w:hAnsi="Cambria"/>
          <w:sz w:val="24"/>
          <w:szCs w:val="24"/>
        </w:rPr>
        <w:t>by learning from their practical knowledge, to listen to their needs</w:t>
      </w:r>
      <w:r w:rsidR="00D84479" w:rsidRPr="006A59AF">
        <w:rPr>
          <w:rFonts w:ascii="Cambria" w:hAnsi="Cambria"/>
          <w:sz w:val="24"/>
          <w:szCs w:val="24"/>
        </w:rPr>
        <w:t>,</w:t>
      </w:r>
      <w:r w:rsidR="00013C0B" w:rsidRPr="006A59AF">
        <w:rPr>
          <w:rFonts w:ascii="Cambria" w:hAnsi="Cambria"/>
          <w:sz w:val="24"/>
          <w:szCs w:val="24"/>
        </w:rPr>
        <w:t xml:space="preserve"> and to make available practical knowledge through various means (workshops, conferences, the internet).</w:t>
      </w:r>
    </w:p>
    <w:p w14:paraId="458A0236" w14:textId="5823A82E" w:rsidR="00981350" w:rsidRPr="006A59AF" w:rsidRDefault="00D61571" w:rsidP="00981350">
      <w:pPr>
        <w:spacing w:line="360" w:lineRule="auto"/>
        <w:rPr>
          <w:rFonts w:ascii="Cambria" w:hAnsi="Cambria"/>
          <w:sz w:val="24"/>
          <w:szCs w:val="24"/>
        </w:rPr>
      </w:pPr>
      <w:r w:rsidRPr="006A59AF">
        <w:rPr>
          <w:rFonts w:ascii="Cambria" w:hAnsi="Cambria"/>
          <w:sz w:val="24"/>
          <w:szCs w:val="24"/>
          <w:u w:val="single"/>
        </w:rPr>
        <w:t>Outcomes</w:t>
      </w:r>
      <w:r w:rsidRPr="006A59AF">
        <w:rPr>
          <w:rFonts w:ascii="Cambria" w:hAnsi="Cambria"/>
          <w:sz w:val="24"/>
          <w:szCs w:val="24"/>
        </w:rPr>
        <w:t>:</w:t>
      </w:r>
    </w:p>
    <w:p w14:paraId="139071D5" w14:textId="3F03D82B" w:rsidR="00981350" w:rsidRPr="006A59AF" w:rsidRDefault="00981350" w:rsidP="00D91602">
      <w:pPr>
        <w:pStyle w:val="ListParagraph"/>
        <w:numPr>
          <w:ilvl w:val="0"/>
          <w:numId w:val="7"/>
        </w:numPr>
        <w:spacing w:line="360" w:lineRule="auto"/>
        <w:rPr>
          <w:rFonts w:ascii="Cambria" w:hAnsi="Cambria"/>
          <w:sz w:val="24"/>
          <w:szCs w:val="24"/>
        </w:rPr>
      </w:pPr>
      <w:r w:rsidRPr="006A59AF">
        <w:rPr>
          <w:rFonts w:ascii="Cambria" w:hAnsi="Cambria"/>
          <w:sz w:val="24"/>
          <w:szCs w:val="24"/>
        </w:rPr>
        <w:t>At the end of three years, 200 teacher communities will operate nationwide; around 200 professional coordinators, 400 master communities</w:t>
      </w:r>
      <w:r w:rsidR="00D91602" w:rsidRPr="006A59AF">
        <w:rPr>
          <w:rFonts w:ascii="Cambria" w:hAnsi="Cambria"/>
          <w:sz w:val="24"/>
          <w:szCs w:val="24"/>
        </w:rPr>
        <w:t>,</w:t>
      </w:r>
      <w:r w:rsidRPr="006A59AF">
        <w:rPr>
          <w:rFonts w:ascii="Cambria" w:hAnsi="Cambria"/>
          <w:sz w:val="24"/>
          <w:szCs w:val="24"/>
        </w:rPr>
        <w:t xml:space="preserve"> and around 50 skilled and qualified </w:t>
      </w:r>
      <w:r w:rsidR="00C824CD" w:rsidRPr="006A59AF">
        <w:rPr>
          <w:rFonts w:ascii="Cambria" w:hAnsi="Cambria"/>
          <w:sz w:val="24"/>
          <w:szCs w:val="24"/>
        </w:rPr>
        <w:t>instructors</w:t>
      </w:r>
      <w:r w:rsidRPr="006A59AF">
        <w:rPr>
          <w:rFonts w:ascii="Cambria" w:hAnsi="Cambria"/>
          <w:sz w:val="24"/>
          <w:szCs w:val="24"/>
        </w:rPr>
        <w:t xml:space="preserve">. Standards and competencies for </w:t>
      </w:r>
      <w:r w:rsidR="00C76DCC" w:rsidRPr="006A59AF">
        <w:rPr>
          <w:rFonts w:ascii="Cambria" w:hAnsi="Cambria"/>
          <w:sz w:val="24"/>
          <w:szCs w:val="24"/>
        </w:rPr>
        <w:t>leading teachers</w:t>
      </w:r>
      <w:r w:rsidRPr="006A59AF">
        <w:rPr>
          <w:rFonts w:ascii="Cambria" w:hAnsi="Cambria"/>
          <w:sz w:val="24"/>
          <w:szCs w:val="24"/>
        </w:rPr>
        <w:t xml:space="preserve"> </w:t>
      </w:r>
      <w:r w:rsidR="00D91602" w:rsidRPr="006A59AF">
        <w:rPr>
          <w:rFonts w:ascii="Cambria" w:hAnsi="Cambria"/>
          <w:sz w:val="24"/>
          <w:szCs w:val="24"/>
        </w:rPr>
        <w:t xml:space="preserve">will </w:t>
      </w:r>
      <w:r w:rsidRPr="006A59AF">
        <w:rPr>
          <w:rFonts w:ascii="Cambria" w:hAnsi="Cambria"/>
          <w:sz w:val="24"/>
          <w:szCs w:val="24"/>
        </w:rPr>
        <w:t xml:space="preserve">have been developed, tested, and validated; a budgeting and guidance system for professional communities throughout the country </w:t>
      </w:r>
      <w:r w:rsidR="00D91602" w:rsidRPr="006A59AF">
        <w:rPr>
          <w:rFonts w:ascii="Cambria" w:hAnsi="Cambria"/>
          <w:sz w:val="24"/>
          <w:szCs w:val="24"/>
        </w:rPr>
        <w:t>will have</w:t>
      </w:r>
      <w:r w:rsidRPr="006A59AF">
        <w:rPr>
          <w:rFonts w:ascii="Cambria" w:hAnsi="Cambria"/>
          <w:sz w:val="24"/>
          <w:szCs w:val="24"/>
        </w:rPr>
        <w:t xml:space="preserve"> been developed, including in the periphery; an inter-university coordinating framework </w:t>
      </w:r>
      <w:r w:rsidR="00D91602" w:rsidRPr="006A59AF">
        <w:rPr>
          <w:rFonts w:ascii="Cambria" w:hAnsi="Cambria"/>
          <w:sz w:val="24"/>
          <w:szCs w:val="24"/>
        </w:rPr>
        <w:t>will have</w:t>
      </w:r>
      <w:r w:rsidRPr="006A59AF">
        <w:rPr>
          <w:rFonts w:ascii="Cambria" w:hAnsi="Cambria"/>
          <w:sz w:val="24"/>
          <w:szCs w:val="24"/>
        </w:rPr>
        <w:t xml:space="preserve"> been established for the development and integration of clinical tools. </w:t>
      </w:r>
    </w:p>
    <w:p w14:paraId="1AC9799F" w14:textId="1610C4D2" w:rsidR="00981350" w:rsidRPr="006A59AF" w:rsidRDefault="00F238BD" w:rsidP="00C824CD">
      <w:pPr>
        <w:pStyle w:val="ListParagraph"/>
        <w:numPr>
          <w:ilvl w:val="0"/>
          <w:numId w:val="7"/>
        </w:numPr>
        <w:spacing w:line="360" w:lineRule="auto"/>
        <w:rPr>
          <w:rFonts w:ascii="Cambria" w:hAnsi="Cambria"/>
          <w:sz w:val="24"/>
          <w:szCs w:val="24"/>
        </w:rPr>
      </w:pPr>
      <w:r w:rsidRPr="006A59AF">
        <w:rPr>
          <w:rFonts w:ascii="Cambria" w:hAnsi="Cambria"/>
          <w:sz w:val="24"/>
          <w:szCs w:val="24"/>
        </w:rPr>
        <w:lastRenderedPageBreak/>
        <w:t>After</w:t>
      </w:r>
      <w:r w:rsidR="00981350" w:rsidRPr="006A59AF">
        <w:rPr>
          <w:rFonts w:ascii="Cambria" w:hAnsi="Cambria"/>
          <w:sz w:val="24"/>
          <w:szCs w:val="24"/>
        </w:rPr>
        <w:t xml:space="preserve"> five years, 300 teacher communities will operate, on an annual basis, throughout the country; around 500 professional coordinators, 600 master communities, 500 </w:t>
      </w:r>
      <w:r w:rsidR="00C824CD" w:rsidRPr="006A59AF">
        <w:rPr>
          <w:rFonts w:ascii="Cambria" w:hAnsi="Cambria"/>
          <w:sz w:val="24"/>
          <w:szCs w:val="24"/>
        </w:rPr>
        <w:t>instructional coaches</w:t>
      </w:r>
      <w:r w:rsidR="00D91602" w:rsidRPr="006A59AF">
        <w:rPr>
          <w:rFonts w:ascii="Cambria" w:hAnsi="Cambria"/>
          <w:sz w:val="24"/>
          <w:szCs w:val="24"/>
        </w:rPr>
        <w:t>,</w:t>
      </w:r>
      <w:r w:rsidR="00C824CD" w:rsidRPr="006A59AF">
        <w:rPr>
          <w:rFonts w:ascii="Cambria" w:hAnsi="Cambria"/>
          <w:sz w:val="24"/>
          <w:szCs w:val="24"/>
        </w:rPr>
        <w:t xml:space="preserve"> and around 100 skilled and qualified instructors; an arsenal of clinical tools will be integrated into professional development and in the field; an annual conference, professional workshops, prizes for excellent, periodicals and websites.</w:t>
      </w:r>
    </w:p>
    <w:p w14:paraId="04669E44" w14:textId="6FD25018" w:rsidR="00F238BD" w:rsidRPr="006A59AF" w:rsidRDefault="00F238BD" w:rsidP="00F238BD">
      <w:pPr>
        <w:spacing w:line="360" w:lineRule="auto"/>
        <w:rPr>
          <w:rFonts w:ascii="Cambria" w:hAnsi="Cambria"/>
          <w:sz w:val="24"/>
          <w:szCs w:val="24"/>
        </w:rPr>
      </w:pPr>
      <w:r w:rsidRPr="006A59AF">
        <w:rPr>
          <w:rFonts w:ascii="Cambria" w:hAnsi="Cambria"/>
          <w:sz w:val="24"/>
          <w:szCs w:val="24"/>
          <w:u w:val="single"/>
        </w:rPr>
        <w:t>Results</w:t>
      </w:r>
      <w:r w:rsidRPr="006A59AF">
        <w:rPr>
          <w:rFonts w:ascii="Cambria" w:hAnsi="Cambria"/>
          <w:sz w:val="24"/>
          <w:szCs w:val="24"/>
        </w:rPr>
        <w:t>:</w:t>
      </w:r>
    </w:p>
    <w:p w14:paraId="7257AE2A" w14:textId="45F62098" w:rsidR="00F238BD" w:rsidRPr="006A59AF" w:rsidRDefault="00C76DCC" w:rsidP="00D91602">
      <w:pPr>
        <w:pStyle w:val="ListParagraph"/>
        <w:numPr>
          <w:ilvl w:val="0"/>
          <w:numId w:val="8"/>
        </w:numPr>
        <w:spacing w:line="360" w:lineRule="auto"/>
        <w:rPr>
          <w:rFonts w:ascii="Cambria" w:hAnsi="Cambria"/>
          <w:sz w:val="24"/>
          <w:szCs w:val="24"/>
        </w:rPr>
      </w:pPr>
      <w:r w:rsidRPr="006A59AF">
        <w:rPr>
          <w:rFonts w:ascii="Cambria" w:hAnsi="Cambria"/>
          <w:sz w:val="24"/>
          <w:szCs w:val="24"/>
        </w:rPr>
        <w:t>Leading teachers</w:t>
      </w:r>
      <w:r w:rsidR="00BC43EB" w:rsidRPr="006A59AF">
        <w:rPr>
          <w:rFonts w:ascii="Cambria" w:hAnsi="Cambria"/>
          <w:sz w:val="24"/>
          <w:szCs w:val="24"/>
        </w:rPr>
        <w:t xml:space="preserve"> of mathematics and the sciences will </w:t>
      </w:r>
      <w:r w:rsidR="00D91602" w:rsidRPr="006A59AF">
        <w:rPr>
          <w:rFonts w:ascii="Cambria" w:hAnsi="Cambria"/>
          <w:sz w:val="24"/>
          <w:szCs w:val="24"/>
        </w:rPr>
        <w:t>view</w:t>
      </w:r>
      <w:r w:rsidR="00BC43EB" w:rsidRPr="006A59AF">
        <w:rPr>
          <w:rFonts w:ascii="Cambria" w:hAnsi="Cambria"/>
          <w:sz w:val="24"/>
          <w:szCs w:val="24"/>
        </w:rPr>
        <w:t xml:space="preserve"> the Institute for Advanced Teaching as a quality professional home and will report on its great positive contribution to improving the quality of their teaching.</w:t>
      </w:r>
    </w:p>
    <w:p w14:paraId="3A9CA296" w14:textId="51D70038" w:rsidR="00BC43EB" w:rsidRPr="006A59AF" w:rsidRDefault="00DB559B" w:rsidP="00D91602">
      <w:pPr>
        <w:pStyle w:val="ListParagraph"/>
        <w:numPr>
          <w:ilvl w:val="0"/>
          <w:numId w:val="8"/>
        </w:numPr>
        <w:spacing w:line="360" w:lineRule="auto"/>
        <w:rPr>
          <w:rFonts w:ascii="Cambria" w:hAnsi="Cambria"/>
          <w:sz w:val="24"/>
          <w:szCs w:val="24"/>
        </w:rPr>
      </w:pPr>
      <w:r w:rsidRPr="006A59AF">
        <w:rPr>
          <w:rFonts w:ascii="Cambria" w:hAnsi="Cambria"/>
          <w:sz w:val="24"/>
          <w:szCs w:val="24"/>
        </w:rPr>
        <w:t>Flourishing teacher communities, the focus of whose work is clinical skills and improving the pedagogical response</w:t>
      </w:r>
      <w:r w:rsidR="00D91602" w:rsidRPr="006A59AF">
        <w:rPr>
          <w:rFonts w:ascii="Cambria" w:hAnsi="Cambria"/>
          <w:sz w:val="24"/>
          <w:szCs w:val="24"/>
        </w:rPr>
        <w:t>s</w:t>
      </w:r>
      <w:r w:rsidRPr="006A59AF">
        <w:rPr>
          <w:rFonts w:ascii="Cambria" w:hAnsi="Cambria"/>
          <w:sz w:val="24"/>
          <w:szCs w:val="24"/>
        </w:rPr>
        <w:t xml:space="preserve"> </w:t>
      </w:r>
      <w:r w:rsidR="00D91602" w:rsidRPr="006A59AF">
        <w:rPr>
          <w:rFonts w:ascii="Cambria" w:hAnsi="Cambria"/>
          <w:sz w:val="24"/>
          <w:szCs w:val="24"/>
        </w:rPr>
        <w:t>appropriate for</w:t>
      </w:r>
      <w:r w:rsidRPr="006A59AF">
        <w:rPr>
          <w:rFonts w:ascii="Cambria" w:hAnsi="Cambria"/>
          <w:sz w:val="24"/>
          <w:szCs w:val="24"/>
        </w:rPr>
        <w:t xml:space="preserve"> each student. </w:t>
      </w:r>
    </w:p>
    <w:p w14:paraId="13702A8A" w14:textId="020D5C34" w:rsidR="00323611" w:rsidRPr="006A59AF" w:rsidRDefault="006D2775" w:rsidP="00323611">
      <w:pPr>
        <w:pStyle w:val="ListParagraph"/>
        <w:numPr>
          <w:ilvl w:val="0"/>
          <w:numId w:val="8"/>
        </w:numPr>
        <w:spacing w:line="360" w:lineRule="auto"/>
        <w:rPr>
          <w:rFonts w:ascii="Cambria" w:hAnsi="Cambria"/>
          <w:sz w:val="24"/>
          <w:szCs w:val="24"/>
        </w:rPr>
      </w:pPr>
      <w:r w:rsidRPr="006A59AF">
        <w:rPr>
          <w:rFonts w:ascii="Cambria" w:hAnsi="Cambria"/>
          <w:sz w:val="24"/>
          <w:szCs w:val="24"/>
        </w:rPr>
        <w:t>Clinical teaching skills are integrated into practice and become part of the professional specialization and routine in classrooms in schools.</w:t>
      </w:r>
    </w:p>
    <w:p w14:paraId="19263FA0" w14:textId="14B9661A" w:rsidR="00691FC7" w:rsidRPr="006A59AF" w:rsidRDefault="00323611" w:rsidP="00D91602">
      <w:pPr>
        <w:pStyle w:val="ListParagraph"/>
        <w:numPr>
          <w:ilvl w:val="0"/>
          <w:numId w:val="8"/>
        </w:numPr>
        <w:spacing w:line="360" w:lineRule="auto"/>
        <w:rPr>
          <w:rFonts w:ascii="Cambria" w:hAnsi="Cambria"/>
          <w:sz w:val="24"/>
          <w:szCs w:val="24"/>
        </w:rPr>
      </w:pPr>
      <w:r w:rsidRPr="006A59AF">
        <w:rPr>
          <w:rFonts w:ascii="Cambria" w:hAnsi="Cambria"/>
          <w:sz w:val="24"/>
          <w:szCs w:val="24"/>
        </w:rPr>
        <w:t xml:space="preserve">Improved student learning, as reflected in an increase in the number of students </w:t>
      </w:r>
      <w:r w:rsidR="00D91602" w:rsidRPr="006A59AF">
        <w:rPr>
          <w:rFonts w:ascii="Cambria" w:hAnsi="Cambria"/>
          <w:sz w:val="24"/>
          <w:szCs w:val="24"/>
        </w:rPr>
        <w:t xml:space="preserve">of </w:t>
      </w:r>
      <w:r w:rsidRPr="006A59AF">
        <w:rPr>
          <w:rFonts w:ascii="Cambria" w:hAnsi="Cambria"/>
          <w:sz w:val="24"/>
          <w:szCs w:val="24"/>
        </w:rPr>
        <w:t xml:space="preserve">mathematics, an increased </w:t>
      </w:r>
      <w:r w:rsidR="00D91602" w:rsidRPr="006A59AF">
        <w:rPr>
          <w:rFonts w:ascii="Cambria" w:hAnsi="Cambria"/>
          <w:sz w:val="24"/>
          <w:szCs w:val="24"/>
        </w:rPr>
        <w:t>selection</w:t>
      </w:r>
      <w:r w:rsidRPr="006A59AF">
        <w:rPr>
          <w:rFonts w:ascii="Cambria" w:hAnsi="Cambria"/>
          <w:sz w:val="24"/>
          <w:szCs w:val="24"/>
        </w:rPr>
        <w:t xml:space="preserve"> of mathematics and science in high school</w:t>
      </w:r>
      <w:r w:rsidR="00D91602" w:rsidRPr="006A59AF">
        <w:rPr>
          <w:rFonts w:ascii="Cambria" w:hAnsi="Cambria"/>
          <w:sz w:val="24"/>
          <w:szCs w:val="24"/>
        </w:rPr>
        <w:t>,</w:t>
      </w:r>
      <w:r w:rsidRPr="006A59AF">
        <w:rPr>
          <w:rFonts w:ascii="Cambria" w:hAnsi="Cambria"/>
          <w:sz w:val="24"/>
          <w:szCs w:val="24"/>
        </w:rPr>
        <w:t xml:space="preserve"> a </w:t>
      </w:r>
      <w:r w:rsidR="00D91602" w:rsidRPr="006A59AF">
        <w:rPr>
          <w:rFonts w:ascii="Cambria" w:hAnsi="Cambria"/>
          <w:sz w:val="24"/>
          <w:szCs w:val="24"/>
        </w:rPr>
        <w:t>reduction</w:t>
      </w:r>
      <w:r w:rsidRPr="006A59AF">
        <w:rPr>
          <w:rFonts w:ascii="Cambria" w:hAnsi="Cambria"/>
          <w:sz w:val="24"/>
          <w:szCs w:val="24"/>
        </w:rPr>
        <w:t xml:space="preserve"> in dropouts and increase in the number of successful graduations.</w:t>
      </w:r>
    </w:p>
    <w:p w14:paraId="7EED9EE7" w14:textId="77777777" w:rsidR="00525D85" w:rsidRPr="006A59AF" w:rsidRDefault="00525D85" w:rsidP="00525D85">
      <w:pPr>
        <w:pStyle w:val="ListParagraph"/>
        <w:spacing w:line="360" w:lineRule="auto"/>
        <w:rPr>
          <w:rFonts w:ascii="Cambria" w:hAnsi="Cambria"/>
          <w:sz w:val="24"/>
          <w:szCs w:val="24"/>
        </w:rPr>
      </w:pPr>
    </w:p>
    <w:p w14:paraId="367C42AB" w14:textId="7B9CBBB0" w:rsidR="00904769" w:rsidRPr="006A59AF" w:rsidRDefault="00904769" w:rsidP="0001510B">
      <w:pPr>
        <w:pStyle w:val="Heading1"/>
        <w:numPr>
          <w:ilvl w:val="0"/>
          <w:numId w:val="8"/>
        </w:numPr>
        <w:rPr>
          <w:rFonts w:ascii="Cambria" w:hAnsi="Cambria" w:cstheme="minorBidi"/>
          <w:b/>
          <w:bCs/>
          <w:color w:val="000000" w:themeColor="text1"/>
          <w:sz w:val="24"/>
          <w:szCs w:val="24"/>
        </w:rPr>
      </w:pPr>
      <w:bookmarkStart w:id="5" w:name="_Toc492293753"/>
      <w:r w:rsidRPr="006A59AF">
        <w:rPr>
          <w:rFonts w:ascii="Cambria" w:hAnsi="Cambria" w:cstheme="minorBidi"/>
          <w:b/>
          <w:bCs/>
          <w:color w:val="000000" w:themeColor="text1"/>
          <w:sz w:val="24"/>
          <w:szCs w:val="24"/>
        </w:rPr>
        <w:t>The Joint V</w:t>
      </w:r>
      <w:r w:rsidR="00323611" w:rsidRPr="006A59AF">
        <w:rPr>
          <w:rFonts w:ascii="Cambria" w:hAnsi="Cambria" w:cstheme="minorBidi"/>
          <w:b/>
          <w:bCs/>
          <w:color w:val="000000" w:themeColor="text1"/>
          <w:sz w:val="24"/>
          <w:szCs w:val="24"/>
        </w:rPr>
        <w:t>enture</w:t>
      </w:r>
      <w:bookmarkEnd w:id="5"/>
    </w:p>
    <w:p w14:paraId="044072AA" w14:textId="535EB775" w:rsidR="00274C86" w:rsidRPr="006A59AF" w:rsidRDefault="00691FC7" w:rsidP="00D91602">
      <w:pPr>
        <w:pStyle w:val="ListParagraph"/>
        <w:spacing w:line="360" w:lineRule="auto"/>
        <w:ind w:left="426"/>
        <w:rPr>
          <w:rFonts w:ascii="Cambria" w:eastAsiaTheme="majorEastAsia" w:hAnsi="Cambria"/>
          <w:sz w:val="24"/>
          <w:szCs w:val="24"/>
        </w:rPr>
      </w:pPr>
      <w:r w:rsidRPr="006A59AF">
        <w:rPr>
          <w:rFonts w:ascii="Cambria" w:eastAsiaTheme="majorEastAsia" w:hAnsi="Cambria"/>
          <w:sz w:val="24"/>
          <w:szCs w:val="24"/>
        </w:rPr>
        <w:t xml:space="preserve">The Ministry of Education and the Trump Foundation have </w:t>
      </w:r>
      <w:r w:rsidR="00D91602" w:rsidRPr="006A59AF">
        <w:rPr>
          <w:rFonts w:ascii="Cambria" w:eastAsiaTheme="majorEastAsia" w:hAnsi="Cambria"/>
          <w:sz w:val="24"/>
          <w:szCs w:val="24"/>
        </w:rPr>
        <w:t>conducted</w:t>
      </w:r>
      <w:r w:rsidRPr="006A59AF">
        <w:rPr>
          <w:rFonts w:ascii="Cambria" w:eastAsiaTheme="majorEastAsia" w:hAnsi="Cambria"/>
          <w:sz w:val="24"/>
          <w:szCs w:val="24"/>
        </w:rPr>
        <w:t xml:space="preserve"> an in-depth discussion process</w:t>
      </w:r>
      <w:r w:rsidR="00D91602" w:rsidRPr="006A59AF">
        <w:rPr>
          <w:rFonts w:ascii="Cambria" w:eastAsiaTheme="majorEastAsia" w:hAnsi="Cambria"/>
          <w:sz w:val="24"/>
          <w:szCs w:val="24"/>
        </w:rPr>
        <w:t>,</w:t>
      </w:r>
      <w:r w:rsidRPr="006A59AF">
        <w:rPr>
          <w:rFonts w:ascii="Cambria" w:eastAsiaTheme="majorEastAsia" w:hAnsi="Cambria"/>
          <w:sz w:val="24"/>
          <w:szCs w:val="24"/>
        </w:rPr>
        <w:t xml:space="preserve"> </w:t>
      </w:r>
      <w:r w:rsidR="00D91602" w:rsidRPr="006A59AF">
        <w:rPr>
          <w:rFonts w:ascii="Cambria" w:eastAsiaTheme="majorEastAsia" w:hAnsi="Cambria"/>
          <w:sz w:val="24"/>
          <w:szCs w:val="24"/>
        </w:rPr>
        <w:t>during</w:t>
      </w:r>
      <w:r w:rsidRPr="006A59AF">
        <w:rPr>
          <w:rFonts w:ascii="Cambria" w:eastAsiaTheme="majorEastAsia" w:hAnsi="Cambria"/>
          <w:sz w:val="24"/>
          <w:szCs w:val="24"/>
        </w:rPr>
        <w:t xml:space="preserve"> which various possibilities were examined. </w:t>
      </w:r>
      <w:r w:rsidR="00D91602" w:rsidRPr="006A59AF">
        <w:rPr>
          <w:rFonts w:ascii="Cambria" w:eastAsiaTheme="majorEastAsia" w:hAnsi="Cambria"/>
          <w:sz w:val="24"/>
          <w:szCs w:val="24"/>
        </w:rPr>
        <w:t>Eventually</w:t>
      </w:r>
      <w:r w:rsidRPr="006A59AF">
        <w:rPr>
          <w:rFonts w:ascii="Cambria" w:eastAsiaTheme="majorEastAsia" w:hAnsi="Cambria"/>
          <w:sz w:val="24"/>
          <w:szCs w:val="24"/>
        </w:rPr>
        <w:t xml:space="preserve">, it was agreed to </w:t>
      </w:r>
      <w:r w:rsidR="00D91602" w:rsidRPr="006A59AF">
        <w:rPr>
          <w:rFonts w:ascii="Cambria" w:eastAsiaTheme="majorEastAsia" w:hAnsi="Cambria"/>
          <w:sz w:val="24"/>
          <w:szCs w:val="24"/>
        </w:rPr>
        <w:t>formulate</w:t>
      </w:r>
      <w:r w:rsidRPr="006A59AF">
        <w:rPr>
          <w:rFonts w:ascii="Cambria" w:eastAsiaTheme="majorEastAsia" w:hAnsi="Cambria"/>
          <w:sz w:val="24"/>
          <w:szCs w:val="24"/>
        </w:rPr>
        <w:t xml:space="preserve"> a joint approach to the Weizmann Institute of Science. The </w:t>
      </w:r>
      <w:r w:rsidR="00274C86" w:rsidRPr="006A59AF">
        <w:rPr>
          <w:rFonts w:ascii="Cambria" w:eastAsiaTheme="majorEastAsia" w:hAnsi="Cambria"/>
          <w:sz w:val="24"/>
          <w:szCs w:val="24"/>
        </w:rPr>
        <w:t>intention</w:t>
      </w:r>
      <w:r w:rsidRPr="006A59AF">
        <w:rPr>
          <w:rFonts w:ascii="Cambria" w:eastAsiaTheme="majorEastAsia" w:hAnsi="Cambria"/>
          <w:sz w:val="24"/>
          <w:szCs w:val="24"/>
        </w:rPr>
        <w:t xml:space="preserve"> is that the National Institute for Advanced Mathematics and Science Teaching will be established as a joint venture between the Ministry of Education and the Weizmann Institute in partnership with the Trump Foundation. </w:t>
      </w:r>
    </w:p>
    <w:p w14:paraId="740235D7" w14:textId="6CB0F11E" w:rsidR="006D2775" w:rsidRPr="006A59AF" w:rsidRDefault="00274C86" w:rsidP="007B4F48">
      <w:pPr>
        <w:pStyle w:val="ListParagraph"/>
        <w:spacing w:line="360" w:lineRule="auto"/>
        <w:ind w:left="426" w:firstLine="294"/>
        <w:rPr>
          <w:rFonts w:ascii="Cambria" w:eastAsiaTheme="majorEastAsia" w:hAnsi="Cambria"/>
          <w:sz w:val="24"/>
          <w:szCs w:val="24"/>
        </w:rPr>
      </w:pPr>
      <w:r w:rsidRPr="006A59AF">
        <w:rPr>
          <w:rFonts w:ascii="Cambria" w:eastAsiaTheme="majorEastAsia" w:hAnsi="Cambria"/>
          <w:sz w:val="24"/>
          <w:szCs w:val="24"/>
        </w:rPr>
        <w:t xml:space="preserve">The </w:t>
      </w:r>
      <w:r w:rsidR="007B4F48" w:rsidRPr="006A59AF">
        <w:rPr>
          <w:rFonts w:ascii="Cambria" w:eastAsiaTheme="majorEastAsia" w:hAnsi="Cambria"/>
          <w:sz w:val="24"/>
          <w:szCs w:val="24"/>
        </w:rPr>
        <w:t>choice</w:t>
      </w:r>
      <w:r w:rsidRPr="006A59AF">
        <w:rPr>
          <w:rFonts w:ascii="Cambria" w:eastAsiaTheme="majorEastAsia" w:hAnsi="Cambria"/>
          <w:sz w:val="24"/>
          <w:szCs w:val="24"/>
        </w:rPr>
        <w:t xml:space="preserve"> of the Weizmann Institute is </w:t>
      </w:r>
      <w:proofErr w:type="gramStart"/>
      <w:r w:rsidRPr="006A59AF">
        <w:rPr>
          <w:rFonts w:ascii="Cambria" w:eastAsiaTheme="majorEastAsia" w:hAnsi="Cambria"/>
          <w:sz w:val="24"/>
          <w:szCs w:val="24"/>
        </w:rPr>
        <w:t>based on the fact that</w:t>
      </w:r>
      <w:proofErr w:type="gramEnd"/>
      <w:r w:rsidRPr="006A59AF">
        <w:rPr>
          <w:rFonts w:ascii="Cambria" w:eastAsiaTheme="majorEastAsia" w:hAnsi="Cambria"/>
          <w:sz w:val="24"/>
          <w:szCs w:val="24"/>
        </w:rPr>
        <w:t xml:space="preserve"> this is a world-renowned scientific research institution, and one of the founding fathers of education in Israel, </w:t>
      </w:r>
      <w:r w:rsidR="007B4F48" w:rsidRPr="006A59AF">
        <w:rPr>
          <w:rFonts w:ascii="Cambria" w:eastAsiaTheme="majorEastAsia" w:hAnsi="Cambria"/>
          <w:sz w:val="24"/>
          <w:szCs w:val="24"/>
        </w:rPr>
        <w:t>as well as</w:t>
      </w:r>
      <w:r w:rsidRPr="006A59AF">
        <w:rPr>
          <w:rFonts w:ascii="Cambria" w:eastAsiaTheme="majorEastAsia" w:hAnsi="Cambria"/>
          <w:sz w:val="24"/>
          <w:szCs w:val="24"/>
        </w:rPr>
        <w:t xml:space="preserve"> a current leader among scientific education institutions in Israel. The first center for science education in Israel was established under its patronage, and the first textbooks for schools written.</w:t>
      </w:r>
    </w:p>
    <w:p w14:paraId="4E15162A" w14:textId="77777777" w:rsidR="007B4F48" w:rsidRPr="006A59AF" w:rsidRDefault="007B4F48" w:rsidP="00525D85">
      <w:pPr>
        <w:pStyle w:val="ListParagraph"/>
        <w:spacing w:line="360" w:lineRule="auto"/>
        <w:ind w:left="426"/>
        <w:rPr>
          <w:rFonts w:ascii="Cambria" w:eastAsiaTheme="majorEastAsia" w:hAnsi="Cambria"/>
          <w:sz w:val="24"/>
          <w:szCs w:val="24"/>
        </w:rPr>
      </w:pPr>
    </w:p>
    <w:p w14:paraId="75C4D8F0" w14:textId="0BB39FBF" w:rsidR="00274C86" w:rsidRPr="006A59AF" w:rsidRDefault="00525D85" w:rsidP="007B4F48">
      <w:pPr>
        <w:pStyle w:val="ListParagraph"/>
        <w:spacing w:line="360" w:lineRule="auto"/>
        <w:ind w:left="426" w:firstLine="294"/>
        <w:rPr>
          <w:rFonts w:ascii="Cambria" w:eastAsiaTheme="majorEastAsia" w:hAnsi="Cambria"/>
          <w:sz w:val="24"/>
          <w:szCs w:val="24"/>
        </w:rPr>
      </w:pPr>
      <w:r w:rsidRPr="006A59AF">
        <w:rPr>
          <w:rFonts w:ascii="Cambria" w:eastAsiaTheme="majorEastAsia" w:hAnsi="Cambria"/>
          <w:sz w:val="24"/>
          <w:szCs w:val="24"/>
        </w:rPr>
        <w:t xml:space="preserve">The </w:t>
      </w:r>
      <w:r w:rsidR="007B4F48" w:rsidRPr="006A59AF">
        <w:rPr>
          <w:rFonts w:ascii="Cambria" w:eastAsiaTheme="majorEastAsia" w:hAnsi="Cambria"/>
          <w:sz w:val="24"/>
          <w:szCs w:val="24"/>
        </w:rPr>
        <w:t>administration</w:t>
      </w:r>
      <w:r w:rsidRPr="006A59AF">
        <w:rPr>
          <w:rFonts w:ascii="Cambria" w:eastAsiaTheme="majorEastAsia" w:hAnsi="Cambria"/>
          <w:sz w:val="24"/>
          <w:szCs w:val="24"/>
        </w:rPr>
        <w:t xml:space="preserve"> of the "Tomorrow 98" program </w:t>
      </w:r>
      <w:r w:rsidR="007B4F48" w:rsidRPr="006A59AF">
        <w:rPr>
          <w:rFonts w:ascii="Cambria" w:eastAsiaTheme="majorEastAsia" w:hAnsi="Cambria"/>
          <w:sz w:val="24"/>
          <w:szCs w:val="24"/>
        </w:rPr>
        <w:t>is carried out</w:t>
      </w:r>
      <w:r w:rsidRPr="006A59AF">
        <w:rPr>
          <w:rFonts w:ascii="Cambria" w:eastAsiaTheme="majorEastAsia" w:hAnsi="Cambria"/>
          <w:sz w:val="24"/>
          <w:szCs w:val="24"/>
        </w:rPr>
        <w:t xml:space="preserve"> under its auspices; this currently serves as a professional home for </w:t>
      </w:r>
      <w:r w:rsidR="007B4F48" w:rsidRPr="006A59AF">
        <w:rPr>
          <w:rFonts w:ascii="Cambria" w:eastAsiaTheme="majorEastAsia" w:hAnsi="Cambria"/>
          <w:sz w:val="24"/>
          <w:szCs w:val="24"/>
        </w:rPr>
        <w:t xml:space="preserve">science </w:t>
      </w:r>
      <w:r w:rsidRPr="006A59AF">
        <w:rPr>
          <w:rFonts w:ascii="Cambria" w:eastAsiaTheme="majorEastAsia" w:hAnsi="Cambria"/>
          <w:sz w:val="24"/>
          <w:szCs w:val="24"/>
        </w:rPr>
        <w:t>teachers in Israel, and operates most of the Ministry of Education's national teacher centers in secondary education. The Institute conducts research and development with a broad</w:t>
      </w:r>
      <w:r w:rsidR="007B4F48" w:rsidRPr="006A59AF">
        <w:rPr>
          <w:rFonts w:ascii="Cambria" w:eastAsiaTheme="majorEastAsia" w:hAnsi="Cambria"/>
          <w:sz w:val="24"/>
          <w:szCs w:val="24"/>
        </w:rPr>
        <w:t>-based</w:t>
      </w:r>
      <w:r w:rsidRPr="006A59AF">
        <w:rPr>
          <w:rFonts w:ascii="Cambria" w:eastAsiaTheme="majorEastAsia" w:hAnsi="Cambria"/>
          <w:sz w:val="24"/>
          <w:szCs w:val="24"/>
        </w:rPr>
        <w:t xml:space="preserve"> and quality professional staff specializing in advanced degrees and advanced teaching skills.</w:t>
      </w:r>
    </w:p>
    <w:p w14:paraId="067D2B58" w14:textId="77777777" w:rsidR="007B4F48" w:rsidRPr="006A59AF" w:rsidRDefault="007B4F48" w:rsidP="00525D85">
      <w:pPr>
        <w:pStyle w:val="ListParagraph"/>
        <w:spacing w:line="360" w:lineRule="auto"/>
        <w:ind w:left="426"/>
        <w:rPr>
          <w:rFonts w:ascii="Cambria" w:eastAsiaTheme="majorEastAsia" w:hAnsi="Cambria"/>
          <w:sz w:val="24"/>
          <w:szCs w:val="24"/>
        </w:rPr>
      </w:pPr>
    </w:p>
    <w:p w14:paraId="3F9D5CEA" w14:textId="776A73D8" w:rsidR="00525D85" w:rsidRPr="006A59AF" w:rsidRDefault="00525D85" w:rsidP="007B4F48">
      <w:pPr>
        <w:pStyle w:val="ListParagraph"/>
        <w:spacing w:line="360" w:lineRule="auto"/>
        <w:ind w:left="426" w:firstLine="294"/>
        <w:rPr>
          <w:rFonts w:ascii="Cambria" w:eastAsiaTheme="majorEastAsia" w:hAnsi="Cambria"/>
          <w:sz w:val="24"/>
          <w:szCs w:val="24"/>
        </w:rPr>
      </w:pPr>
      <w:r w:rsidRPr="006A59AF">
        <w:rPr>
          <w:rFonts w:ascii="Cambria" w:eastAsiaTheme="majorEastAsia" w:hAnsi="Cambria"/>
          <w:sz w:val="24"/>
          <w:szCs w:val="24"/>
        </w:rPr>
        <w:t xml:space="preserve">The topic of science education has been a high priority for the Weizmann Institute over the years, and </w:t>
      </w:r>
      <w:r w:rsidR="007B4F48" w:rsidRPr="006A59AF">
        <w:rPr>
          <w:rFonts w:ascii="Cambria" w:eastAsiaTheme="majorEastAsia" w:hAnsi="Cambria"/>
          <w:sz w:val="24"/>
          <w:szCs w:val="24"/>
        </w:rPr>
        <w:t>constitutes</w:t>
      </w:r>
      <w:r w:rsidRPr="006A59AF">
        <w:rPr>
          <w:rFonts w:ascii="Cambria" w:eastAsiaTheme="majorEastAsia" w:hAnsi="Cambria"/>
          <w:sz w:val="24"/>
          <w:szCs w:val="24"/>
        </w:rPr>
        <w:t xml:space="preserve"> a core area of its work. Alongside the department for science education, the Institute has established and works alongside the Davidson Institute for Science Education, the </w:t>
      </w:r>
      <w:proofErr w:type="spellStart"/>
      <w:r w:rsidRPr="006A59AF">
        <w:rPr>
          <w:rFonts w:ascii="Cambria" w:eastAsiaTheme="majorEastAsia" w:hAnsi="Cambria"/>
          <w:sz w:val="24"/>
          <w:szCs w:val="24"/>
        </w:rPr>
        <w:t>Hemda</w:t>
      </w:r>
      <w:proofErr w:type="spellEnd"/>
      <w:r w:rsidRPr="006A59AF">
        <w:rPr>
          <w:rFonts w:ascii="Cambria" w:eastAsiaTheme="majorEastAsia" w:hAnsi="Cambria"/>
          <w:sz w:val="24"/>
          <w:szCs w:val="24"/>
        </w:rPr>
        <w:t xml:space="preserve"> Centers in Tel Aviv, and the Schwartz Center in </w:t>
      </w:r>
      <w:proofErr w:type="spellStart"/>
      <w:r w:rsidRPr="006A59AF">
        <w:rPr>
          <w:rFonts w:ascii="Cambria" w:eastAsiaTheme="majorEastAsia" w:hAnsi="Cambria"/>
          <w:sz w:val="24"/>
          <w:szCs w:val="24"/>
        </w:rPr>
        <w:t>Rehovot</w:t>
      </w:r>
      <w:proofErr w:type="spellEnd"/>
      <w:r w:rsidRPr="006A59AF">
        <w:rPr>
          <w:rFonts w:ascii="Cambria" w:eastAsiaTheme="majorEastAsia" w:hAnsi="Cambria"/>
          <w:sz w:val="24"/>
          <w:szCs w:val="24"/>
        </w:rPr>
        <w:t xml:space="preserve"> and </w:t>
      </w:r>
      <w:proofErr w:type="spellStart"/>
      <w:r w:rsidRPr="006A59AF">
        <w:rPr>
          <w:rFonts w:ascii="Cambria" w:eastAsiaTheme="majorEastAsia" w:hAnsi="Cambria"/>
          <w:sz w:val="24"/>
          <w:szCs w:val="24"/>
        </w:rPr>
        <w:t>Rishon</w:t>
      </w:r>
      <w:proofErr w:type="spellEnd"/>
      <w:r w:rsidRPr="006A59AF">
        <w:rPr>
          <w:rFonts w:ascii="Cambria" w:eastAsiaTheme="majorEastAsia" w:hAnsi="Cambria"/>
          <w:sz w:val="24"/>
          <w:szCs w:val="24"/>
        </w:rPr>
        <w:t xml:space="preserve"> </w:t>
      </w:r>
      <w:proofErr w:type="spellStart"/>
      <w:r w:rsidRPr="006A59AF">
        <w:rPr>
          <w:rFonts w:ascii="Cambria" w:eastAsiaTheme="majorEastAsia" w:hAnsi="Cambria"/>
          <w:sz w:val="24"/>
          <w:szCs w:val="24"/>
        </w:rPr>
        <w:t>Lezion</w:t>
      </w:r>
      <w:proofErr w:type="spellEnd"/>
      <w:r w:rsidRPr="006A59AF">
        <w:rPr>
          <w:rFonts w:ascii="Cambria" w:eastAsiaTheme="majorEastAsia" w:hAnsi="Cambria"/>
          <w:sz w:val="24"/>
          <w:szCs w:val="24"/>
        </w:rPr>
        <w:t>, which carry out important and groundbreaking activities.</w:t>
      </w:r>
    </w:p>
    <w:p w14:paraId="5E449B77" w14:textId="77777777" w:rsidR="007B4F48" w:rsidRPr="006A59AF" w:rsidRDefault="007B4F48" w:rsidP="005B3D36">
      <w:pPr>
        <w:pStyle w:val="ListParagraph"/>
        <w:spacing w:line="360" w:lineRule="auto"/>
        <w:ind w:left="426"/>
        <w:rPr>
          <w:rFonts w:ascii="Cambria" w:eastAsiaTheme="majorEastAsia" w:hAnsi="Cambria"/>
          <w:sz w:val="24"/>
          <w:szCs w:val="24"/>
        </w:rPr>
      </w:pPr>
    </w:p>
    <w:p w14:paraId="719C5B07" w14:textId="39277D2D" w:rsidR="0053420F" w:rsidRPr="006A59AF" w:rsidRDefault="00525D85" w:rsidP="007B4F48">
      <w:pPr>
        <w:pStyle w:val="ListParagraph"/>
        <w:spacing w:line="360" w:lineRule="auto"/>
        <w:ind w:left="426" w:firstLine="294"/>
        <w:rPr>
          <w:rFonts w:ascii="Cambria" w:eastAsiaTheme="majorEastAsia" w:hAnsi="Cambria"/>
          <w:sz w:val="24"/>
          <w:szCs w:val="24"/>
        </w:rPr>
      </w:pPr>
      <w:r w:rsidRPr="006A59AF">
        <w:rPr>
          <w:rFonts w:ascii="Cambria" w:eastAsiaTheme="majorEastAsia" w:hAnsi="Cambria"/>
          <w:sz w:val="24"/>
          <w:szCs w:val="24"/>
        </w:rPr>
        <w:t xml:space="preserve">The </w:t>
      </w:r>
      <w:r w:rsidR="007B4F48" w:rsidRPr="006A59AF">
        <w:rPr>
          <w:rFonts w:ascii="Cambria" w:eastAsiaTheme="majorEastAsia" w:hAnsi="Cambria"/>
          <w:sz w:val="24"/>
          <w:szCs w:val="24"/>
        </w:rPr>
        <w:t>expectation</w:t>
      </w:r>
      <w:r w:rsidRPr="006A59AF">
        <w:rPr>
          <w:rFonts w:ascii="Cambria" w:eastAsiaTheme="majorEastAsia" w:hAnsi="Cambria"/>
          <w:sz w:val="24"/>
          <w:szCs w:val="24"/>
        </w:rPr>
        <w:t xml:space="preserve"> is that the Weizmann Institute will provide the Institute with a suitable </w:t>
      </w:r>
      <w:r w:rsidR="005B3D36" w:rsidRPr="006A59AF">
        <w:rPr>
          <w:rFonts w:ascii="Cambria" w:eastAsiaTheme="majorEastAsia" w:hAnsi="Cambria"/>
          <w:sz w:val="24"/>
          <w:szCs w:val="24"/>
        </w:rPr>
        <w:t xml:space="preserve">physical building and infrastructure, and that it will create suitable frameworks for the employment of its human resources and other manpower. The Weizmann Institute will operate jointly with the Ministry of Education to secure funding for </w:t>
      </w:r>
      <w:r w:rsidR="007B4F48" w:rsidRPr="006A59AF">
        <w:rPr>
          <w:rFonts w:ascii="Cambria" w:eastAsiaTheme="majorEastAsia" w:hAnsi="Cambria"/>
          <w:sz w:val="24"/>
          <w:szCs w:val="24"/>
        </w:rPr>
        <w:t xml:space="preserve">the activities of the Institute, </w:t>
      </w:r>
      <w:r w:rsidR="005B3D36" w:rsidRPr="006A59AF">
        <w:rPr>
          <w:rFonts w:ascii="Cambria" w:eastAsiaTheme="majorEastAsia" w:hAnsi="Cambria"/>
          <w:sz w:val="24"/>
          <w:szCs w:val="24"/>
        </w:rPr>
        <w:t xml:space="preserve">including after the </w:t>
      </w:r>
      <w:r w:rsidR="007B4F48" w:rsidRPr="006A59AF">
        <w:rPr>
          <w:rFonts w:ascii="Cambria" w:eastAsiaTheme="majorEastAsia" w:hAnsi="Cambria"/>
          <w:sz w:val="24"/>
          <w:szCs w:val="24"/>
        </w:rPr>
        <w:t>completion</w:t>
      </w:r>
      <w:r w:rsidR="005B3D36" w:rsidRPr="006A59AF">
        <w:rPr>
          <w:rFonts w:ascii="Cambria" w:eastAsiaTheme="majorEastAsia" w:hAnsi="Cambria"/>
          <w:sz w:val="24"/>
          <w:szCs w:val="24"/>
        </w:rPr>
        <w:t xml:space="preserve"> of the joint venture</w:t>
      </w:r>
      <w:r w:rsidR="007B4F48" w:rsidRPr="006A59AF">
        <w:rPr>
          <w:rFonts w:ascii="Cambria" w:eastAsiaTheme="majorEastAsia" w:hAnsi="Cambria"/>
          <w:sz w:val="24"/>
          <w:szCs w:val="24"/>
        </w:rPr>
        <w:t>,</w:t>
      </w:r>
      <w:r w:rsidR="005B3D36" w:rsidRPr="006A59AF">
        <w:rPr>
          <w:rFonts w:ascii="Cambria" w:eastAsiaTheme="majorEastAsia" w:hAnsi="Cambria"/>
          <w:sz w:val="24"/>
          <w:szCs w:val="24"/>
        </w:rPr>
        <w:t xml:space="preserve"> and the completion of the Trump Foundation funding. Although the Institute will be established in partnership with the Weizmann Foundation, the Institute will apply, either directly or via the Ministry of Education, equally to academic institutions across the country </w:t>
      </w:r>
      <w:proofErr w:type="gramStart"/>
      <w:r w:rsidR="005B3D36" w:rsidRPr="006A59AF">
        <w:rPr>
          <w:rFonts w:ascii="Cambria" w:eastAsiaTheme="majorEastAsia" w:hAnsi="Cambria"/>
          <w:sz w:val="24"/>
          <w:szCs w:val="24"/>
        </w:rPr>
        <w:t>in order to</w:t>
      </w:r>
      <w:proofErr w:type="gramEnd"/>
      <w:r w:rsidR="005B3D36" w:rsidRPr="006A59AF">
        <w:rPr>
          <w:rFonts w:ascii="Cambria" w:eastAsiaTheme="majorEastAsia" w:hAnsi="Cambria"/>
          <w:sz w:val="24"/>
          <w:szCs w:val="24"/>
        </w:rPr>
        <w:t xml:space="preserve"> realize its goals. </w:t>
      </w:r>
    </w:p>
    <w:p w14:paraId="165D21D1" w14:textId="52C66D36" w:rsidR="0053420F" w:rsidRPr="006A59AF" w:rsidRDefault="0053420F" w:rsidP="00480DEC">
      <w:pPr>
        <w:pStyle w:val="Heading1"/>
        <w:numPr>
          <w:ilvl w:val="0"/>
          <w:numId w:val="8"/>
        </w:numPr>
        <w:rPr>
          <w:rFonts w:ascii="Cambria" w:hAnsi="Cambria" w:cstheme="minorBidi"/>
          <w:b/>
          <w:bCs/>
          <w:color w:val="000000" w:themeColor="text1"/>
          <w:sz w:val="24"/>
          <w:szCs w:val="24"/>
        </w:rPr>
      </w:pPr>
      <w:bookmarkStart w:id="6" w:name="_Toc492293754"/>
      <w:r w:rsidRPr="006A59AF">
        <w:rPr>
          <w:rFonts w:ascii="Cambria" w:hAnsi="Cambria" w:cstheme="minorBidi"/>
          <w:b/>
          <w:bCs/>
          <w:color w:val="000000" w:themeColor="text1"/>
          <w:sz w:val="24"/>
          <w:szCs w:val="24"/>
        </w:rPr>
        <w:t>Governance</w:t>
      </w:r>
      <w:bookmarkEnd w:id="6"/>
    </w:p>
    <w:p w14:paraId="28C424A0" w14:textId="2FF9BD03" w:rsidR="007B4F48" w:rsidRPr="006A59AF" w:rsidRDefault="00B56192" w:rsidP="007B4F48">
      <w:pPr>
        <w:spacing w:line="360" w:lineRule="auto"/>
        <w:ind w:firstLine="360"/>
        <w:rPr>
          <w:rFonts w:ascii="Cambria" w:eastAsiaTheme="majorEastAsia" w:hAnsi="Cambria"/>
          <w:sz w:val="24"/>
          <w:szCs w:val="24"/>
        </w:rPr>
      </w:pPr>
      <w:r w:rsidRPr="006A59AF">
        <w:rPr>
          <w:rFonts w:ascii="Cambria" w:eastAsiaTheme="majorEastAsia" w:hAnsi="Cambria"/>
          <w:sz w:val="24"/>
          <w:szCs w:val="24"/>
        </w:rPr>
        <w:t xml:space="preserve">The National Institute for Advanced Teaching in Mathematics and the Sciences will be operated by the Weizmann Institute and will be managed under its framework. The Institute will function in coordination with the Ministry of Education's professional </w:t>
      </w:r>
      <w:r w:rsidR="007B4F48" w:rsidRPr="006A59AF">
        <w:rPr>
          <w:rFonts w:ascii="Cambria" w:eastAsiaTheme="majorEastAsia" w:hAnsi="Cambria"/>
          <w:sz w:val="24"/>
          <w:szCs w:val="24"/>
        </w:rPr>
        <w:t xml:space="preserve">development and training policy, </w:t>
      </w:r>
      <w:r w:rsidRPr="006A59AF">
        <w:rPr>
          <w:rFonts w:ascii="Cambria" w:eastAsiaTheme="majorEastAsia" w:hAnsi="Cambria"/>
          <w:sz w:val="24"/>
          <w:szCs w:val="24"/>
        </w:rPr>
        <w:t>and in coordination with the Research and Development Center for the Professional Learning of Teachers in Israel.</w:t>
      </w:r>
    </w:p>
    <w:p w14:paraId="6C95A48B" w14:textId="2A981282" w:rsidR="00FE2ADF" w:rsidRPr="006A59AF" w:rsidRDefault="00B56192" w:rsidP="007B4F48">
      <w:pPr>
        <w:spacing w:line="360" w:lineRule="auto"/>
        <w:ind w:firstLine="720"/>
        <w:rPr>
          <w:rFonts w:ascii="Cambria" w:eastAsiaTheme="majorEastAsia" w:hAnsi="Cambria"/>
          <w:sz w:val="24"/>
          <w:szCs w:val="24"/>
        </w:rPr>
      </w:pPr>
      <w:r w:rsidRPr="006A59AF">
        <w:rPr>
          <w:rFonts w:ascii="Cambria" w:eastAsiaTheme="majorEastAsia" w:hAnsi="Cambria"/>
          <w:sz w:val="24"/>
          <w:szCs w:val="24"/>
        </w:rPr>
        <w:t>The Institute will oper</w:t>
      </w:r>
      <w:r w:rsidR="007B4F48" w:rsidRPr="006A59AF">
        <w:rPr>
          <w:rFonts w:ascii="Cambria" w:eastAsiaTheme="majorEastAsia" w:hAnsi="Cambria"/>
          <w:sz w:val="24"/>
          <w:szCs w:val="24"/>
        </w:rPr>
        <w:t>ate through four institutions --</w:t>
      </w:r>
      <w:r w:rsidR="00FE2ADF" w:rsidRPr="006A59AF">
        <w:rPr>
          <w:rFonts w:ascii="Cambria" w:eastAsiaTheme="majorEastAsia" w:hAnsi="Cambria"/>
          <w:sz w:val="24"/>
          <w:szCs w:val="24"/>
        </w:rPr>
        <w:t xml:space="preserve"> an Executive Committee</w:t>
      </w:r>
      <w:r w:rsidRPr="006A59AF">
        <w:rPr>
          <w:rFonts w:ascii="Cambria" w:eastAsiaTheme="majorEastAsia" w:hAnsi="Cambria"/>
          <w:sz w:val="24"/>
          <w:szCs w:val="24"/>
        </w:rPr>
        <w:t>, a Finance Committee, an Institute Director</w:t>
      </w:r>
      <w:r w:rsidR="007B4F48" w:rsidRPr="006A59AF">
        <w:rPr>
          <w:rFonts w:ascii="Cambria" w:eastAsiaTheme="majorEastAsia" w:hAnsi="Cambria"/>
          <w:sz w:val="24"/>
          <w:szCs w:val="24"/>
        </w:rPr>
        <w:t>,</w:t>
      </w:r>
      <w:r w:rsidRPr="006A59AF">
        <w:rPr>
          <w:rFonts w:ascii="Cambria" w:eastAsiaTheme="majorEastAsia" w:hAnsi="Cambria"/>
          <w:sz w:val="24"/>
          <w:szCs w:val="24"/>
        </w:rPr>
        <w:t xml:space="preserve"> and a Steering Committee. </w:t>
      </w:r>
      <w:r w:rsidR="00FE2ADF" w:rsidRPr="006A59AF">
        <w:rPr>
          <w:rFonts w:ascii="Cambria" w:eastAsiaTheme="majorEastAsia" w:hAnsi="Cambria"/>
          <w:sz w:val="24"/>
          <w:szCs w:val="24"/>
        </w:rPr>
        <w:t xml:space="preserve">In addition, </w:t>
      </w:r>
      <w:r w:rsidR="007B4F48" w:rsidRPr="006A59AF">
        <w:rPr>
          <w:rFonts w:ascii="Cambria" w:eastAsiaTheme="majorEastAsia" w:hAnsi="Cambria"/>
          <w:sz w:val="24"/>
          <w:szCs w:val="24"/>
        </w:rPr>
        <w:t>an</w:t>
      </w:r>
      <w:r w:rsidR="00FE2ADF" w:rsidRPr="006A59AF">
        <w:rPr>
          <w:rFonts w:ascii="Cambria" w:eastAsiaTheme="majorEastAsia" w:hAnsi="Cambria"/>
          <w:sz w:val="24"/>
          <w:szCs w:val="24"/>
        </w:rPr>
        <w:t xml:space="preserve"> international advisory council will be established.</w:t>
      </w:r>
    </w:p>
    <w:p w14:paraId="43D6676D" w14:textId="2FA77830" w:rsidR="00FE2ADF" w:rsidRPr="006A59AF" w:rsidRDefault="00DA504F" w:rsidP="007B4F48">
      <w:pPr>
        <w:pStyle w:val="Heading2"/>
        <w:ind w:firstLine="720"/>
        <w:rPr>
          <w:rFonts w:ascii="Cambria" w:hAnsi="Cambria" w:cstheme="minorBidi"/>
          <w:b/>
          <w:bCs/>
          <w:color w:val="000000" w:themeColor="text1"/>
          <w:sz w:val="24"/>
          <w:szCs w:val="24"/>
        </w:rPr>
      </w:pPr>
      <w:bookmarkStart w:id="7" w:name="_Toc492293755"/>
      <w:r w:rsidRPr="006A59AF">
        <w:rPr>
          <w:rFonts w:ascii="Cambria" w:hAnsi="Cambria" w:cstheme="minorBidi"/>
          <w:b/>
          <w:bCs/>
          <w:color w:val="000000" w:themeColor="text1"/>
          <w:sz w:val="24"/>
          <w:szCs w:val="24"/>
        </w:rPr>
        <w:lastRenderedPageBreak/>
        <w:t xml:space="preserve">6.1 </w:t>
      </w:r>
      <w:r w:rsidR="00FE2ADF" w:rsidRPr="006A59AF">
        <w:rPr>
          <w:rFonts w:ascii="Cambria" w:hAnsi="Cambria" w:cstheme="minorBidi"/>
          <w:b/>
          <w:bCs/>
          <w:color w:val="000000" w:themeColor="text1"/>
          <w:sz w:val="24"/>
          <w:szCs w:val="24"/>
          <w:u w:val="single"/>
        </w:rPr>
        <w:t>The Executive Committee</w:t>
      </w:r>
      <w:bookmarkEnd w:id="7"/>
    </w:p>
    <w:p w14:paraId="4B110E1B" w14:textId="77777777" w:rsidR="007B4F48" w:rsidRPr="006A59AF" w:rsidRDefault="005B2838" w:rsidP="007B4F48">
      <w:pPr>
        <w:spacing w:line="360" w:lineRule="auto"/>
        <w:ind w:left="720"/>
        <w:rPr>
          <w:rFonts w:ascii="Cambria" w:eastAsiaTheme="majorEastAsia" w:hAnsi="Cambria"/>
          <w:sz w:val="24"/>
          <w:szCs w:val="24"/>
        </w:rPr>
      </w:pPr>
      <w:r w:rsidRPr="006A59AF">
        <w:rPr>
          <w:rFonts w:ascii="Cambria" w:eastAsiaTheme="majorEastAsia" w:hAnsi="Cambria"/>
          <w:sz w:val="24"/>
          <w:szCs w:val="24"/>
        </w:rPr>
        <w:t>The Executive Committee will meet at least twice a year</w:t>
      </w:r>
      <w:r w:rsidR="00695C9C" w:rsidRPr="006A59AF">
        <w:rPr>
          <w:rFonts w:ascii="Cambria" w:eastAsiaTheme="majorEastAsia" w:hAnsi="Cambria"/>
          <w:sz w:val="24"/>
          <w:szCs w:val="24"/>
        </w:rPr>
        <w:t xml:space="preserve"> and its </w:t>
      </w:r>
      <w:r w:rsidR="00B560D5" w:rsidRPr="006A59AF">
        <w:rPr>
          <w:rFonts w:ascii="Cambria" w:eastAsiaTheme="majorEastAsia" w:hAnsi="Cambria"/>
          <w:sz w:val="24"/>
          <w:szCs w:val="24"/>
        </w:rPr>
        <w:t>remit will be: to determine the Institute's operational policy</w:t>
      </w:r>
      <w:r w:rsidR="003633AB" w:rsidRPr="006A59AF">
        <w:rPr>
          <w:rFonts w:ascii="Cambria" w:eastAsiaTheme="majorEastAsia" w:hAnsi="Cambria"/>
          <w:sz w:val="24"/>
          <w:szCs w:val="24"/>
        </w:rPr>
        <w:t xml:space="preserve">, to approve the multi-year and annual work plans, to approve the operational budget and budgetary changes, to monitor and supervise the </w:t>
      </w:r>
      <w:r w:rsidR="005139A1" w:rsidRPr="006A59AF">
        <w:rPr>
          <w:rFonts w:ascii="Cambria" w:eastAsiaTheme="majorEastAsia" w:hAnsi="Cambria"/>
          <w:sz w:val="24"/>
          <w:szCs w:val="24"/>
        </w:rPr>
        <w:t>Institute's achievement of its goals</w:t>
      </w:r>
      <w:r w:rsidR="007B4F48" w:rsidRPr="006A59AF">
        <w:rPr>
          <w:rFonts w:ascii="Cambria" w:eastAsiaTheme="majorEastAsia" w:hAnsi="Cambria"/>
          <w:sz w:val="24"/>
          <w:szCs w:val="24"/>
        </w:rPr>
        <w:t>,</w:t>
      </w:r>
      <w:r w:rsidR="005139A1" w:rsidRPr="006A59AF">
        <w:rPr>
          <w:rFonts w:ascii="Cambria" w:eastAsiaTheme="majorEastAsia" w:hAnsi="Cambria"/>
          <w:sz w:val="24"/>
          <w:szCs w:val="24"/>
        </w:rPr>
        <w:t xml:space="preserve"> and to appoint the Director of the Institute.</w:t>
      </w:r>
      <w:r w:rsidR="003633AB" w:rsidRPr="006A59AF">
        <w:rPr>
          <w:rFonts w:ascii="Cambria" w:eastAsiaTheme="majorEastAsia" w:hAnsi="Cambria"/>
          <w:sz w:val="24"/>
          <w:szCs w:val="24"/>
        </w:rPr>
        <w:t xml:space="preserve"> </w:t>
      </w:r>
    </w:p>
    <w:p w14:paraId="067B34A4" w14:textId="6856FBF2" w:rsidR="005B2838" w:rsidRPr="006A59AF" w:rsidRDefault="005139A1" w:rsidP="007B4F48">
      <w:pPr>
        <w:spacing w:line="360" w:lineRule="auto"/>
        <w:ind w:left="720"/>
        <w:rPr>
          <w:rFonts w:ascii="Cambria" w:eastAsiaTheme="majorEastAsia" w:hAnsi="Cambria"/>
          <w:sz w:val="24"/>
          <w:szCs w:val="24"/>
        </w:rPr>
      </w:pPr>
      <w:r w:rsidRPr="006A59AF">
        <w:rPr>
          <w:rFonts w:ascii="Cambria" w:eastAsiaTheme="majorEastAsia" w:hAnsi="Cambria"/>
          <w:sz w:val="24"/>
          <w:szCs w:val="24"/>
        </w:rPr>
        <w:t>The Executive Committee shall appoint 18 members and its composition shall be as follows:</w:t>
      </w:r>
    </w:p>
    <w:p w14:paraId="62B88A56" w14:textId="137D16BB" w:rsidR="006A22B3" w:rsidRPr="006A59AF" w:rsidRDefault="006A22B3" w:rsidP="007B4F48">
      <w:pPr>
        <w:pStyle w:val="ListParagraph"/>
        <w:numPr>
          <w:ilvl w:val="0"/>
          <w:numId w:val="10"/>
        </w:numPr>
        <w:spacing w:line="360" w:lineRule="auto"/>
        <w:rPr>
          <w:rFonts w:ascii="Cambria" w:eastAsiaTheme="majorEastAsia" w:hAnsi="Cambria"/>
          <w:sz w:val="24"/>
          <w:szCs w:val="24"/>
        </w:rPr>
      </w:pPr>
      <w:r w:rsidRPr="006A59AF">
        <w:rPr>
          <w:rFonts w:ascii="Cambria" w:eastAsiaTheme="majorEastAsia" w:hAnsi="Cambria"/>
          <w:sz w:val="24"/>
          <w:szCs w:val="24"/>
        </w:rPr>
        <w:t>The Minister</w:t>
      </w:r>
      <w:r w:rsidR="007B4F48" w:rsidRPr="006A59AF">
        <w:rPr>
          <w:rFonts w:ascii="Cambria" w:eastAsiaTheme="majorEastAsia" w:hAnsi="Cambria"/>
          <w:sz w:val="24"/>
          <w:szCs w:val="24"/>
        </w:rPr>
        <w:t xml:space="preserve"> of </w:t>
      </w:r>
      <w:proofErr w:type="spellStart"/>
      <w:r w:rsidR="007B4F48" w:rsidRPr="006A59AF">
        <w:rPr>
          <w:rFonts w:ascii="Cambria" w:eastAsiaTheme="majorEastAsia" w:hAnsi="Cambria"/>
          <w:sz w:val="24"/>
          <w:szCs w:val="24"/>
        </w:rPr>
        <w:t>Eduation</w:t>
      </w:r>
      <w:proofErr w:type="spellEnd"/>
      <w:r w:rsidRPr="006A59AF">
        <w:rPr>
          <w:rFonts w:ascii="Cambria" w:eastAsiaTheme="majorEastAsia" w:hAnsi="Cambria"/>
          <w:sz w:val="24"/>
          <w:szCs w:val="24"/>
        </w:rPr>
        <w:t xml:space="preserve"> – Chairperson (if s/he is unable to attend a meeting then the Director General of the Ministry of Education shall attend in his/her place);</w:t>
      </w:r>
    </w:p>
    <w:p w14:paraId="67BAEEDA" w14:textId="72330B03" w:rsidR="006A22B3" w:rsidRPr="006A59AF" w:rsidRDefault="006A22B3" w:rsidP="006A22B3">
      <w:pPr>
        <w:pStyle w:val="ListParagraph"/>
        <w:numPr>
          <w:ilvl w:val="0"/>
          <w:numId w:val="10"/>
        </w:numPr>
        <w:spacing w:line="360" w:lineRule="auto"/>
        <w:rPr>
          <w:rFonts w:ascii="Cambria" w:eastAsiaTheme="majorEastAsia" w:hAnsi="Cambria"/>
          <w:sz w:val="24"/>
          <w:szCs w:val="24"/>
        </w:rPr>
      </w:pPr>
      <w:r w:rsidRPr="006A59AF">
        <w:rPr>
          <w:rFonts w:ascii="Cambria" w:eastAsiaTheme="majorEastAsia" w:hAnsi="Cambria"/>
          <w:sz w:val="24"/>
          <w:szCs w:val="24"/>
        </w:rPr>
        <w:t>The President of the Weizmann Institute – Deputy Chairperson (if s/he is unable to attend the meeting, the Vice President shall attend in his/her place);</w:t>
      </w:r>
    </w:p>
    <w:p w14:paraId="6FFCA9B2" w14:textId="5C9A9715" w:rsidR="00511A59" w:rsidRPr="006A59AF" w:rsidRDefault="00511A59" w:rsidP="007B4F48">
      <w:pPr>
        <w:pStyle w:val="ListParagraph"/>
        <w:numPr>
          <w:ilvl w:val="0"/>
          <w:numId w:val="10"/>
        </w:numPr>
        <w:spacing w:line="360" w:lineRule="auto"/>
        <w:rPr>
          <w:rFonts w:ascii="Cambria" w:eastAsiaTheme="majorEastAsia" w:hAnsi="Cambria"/>
          <w:sz w:val="24"/>
          <w:szCs w:val="24"/>
        </w:rPr>
      </w:pPr>
      <w:r w:rsidRPr="006A59AF">
        <w:rPr>
          <w:rFonts w:ascii="Cambria" w:eastAsiaTheme="majorEastAsia" w:hAnsi="Cambria"/>
          <w:sz w:val="24"/>
          <w:szCs w:val="24"/>
        </w:rPr>
        <w:t xml:space="preserve">Five members </w:t>
      </w:r>
      <w:r w:rsidR="007B4F48" w:rsidRPr="006A59AF">
        <w:rPr>
          <w:rFonts w:ascii="Cambria" w:eastAsiaTheme="majorEastAsia" w:hAnsi="Cambria"/>
          <w:sz w:val="24"/>
          <w:szCs w:val="24"/>
        </w:rPr>
        <w:t>selected</w:t>
      </w:r>
      <w:r w:rsidRPr="006A59AF">
        <w:rPr>
          <w:rFonts w:ascii="Cambria" w:eastAsiaTheme="majorEastAsia" w:hAnsi="Cambria"/>
          <w:sz w:val="24"/>
          <w:szCs w:val="24"/>
        </w:rPr>
        <w:t xml:space="preserve"> by the Minister of Education according to their roles: </w:t>
      </w:r>
      <w:r w:rsidR="00CD3DA6" w:rsidRPr="006A59AF">
        <w:rPr>
          <w:rFonts w:ascii="Cambria" w:eastAsiaTheme="majorEastAsia" w:hAnsi="Cambria"/>
          <w:sz w:val="24"/>
          <w:szCs w:val="24"/>
        </w:rPr>
        <w:t>The</w:t>
      </w:r>
      <w:r w:rsidRPr="006A59AF">
        <w:rPr>
          <w:rFonts w:ascii="Cambria" w:eastAsiaTheme="majorEastAsia" w:hAnsi="Cambria"/>
          <w:sz w:val="24"/>
          <w:szCs w:val="24"/>
        </w:rPr>
        <w:t xml:space="preserve"> Director of the Education Administration; the Director of the Science Department; the National Programs Director; the Director of the Department for the Professional Development of Teachers in Israel</w:t>
      </w:r>
      <w:r w:rsidR="0088457A" w:rsidRPr="006A59AF">
        <w:rPr>
          <w:rFonts w:ascii="Cambria" w:eastAsiaTheme="majorEastAsia" w:hAnsi="Cambria"/>
          <w:sz w:val="24"/>
          <w:szCs w:val="24"/>
        </w:rPr>
        <w:t xml:space="preserve">; </w:t>
      </w:r>
      <w:r w:rsidR="007C3FB3" w:rsidRPr="006A59AF">
        <w:rPr>
          <w:rFonts w:ascii="Cambria" w:eastAsiaTheme="majorEastAsia" w:hAnsi="Cambria"/>
          <w:sz w:val="24"/>
          <w:szCs w:val="24"/>
        </w:rPr>
        <w:t xml:space="preserve">Professional Center Supervisors </w:t>
      </w:r>
      <w:r w:rsidR="0088457A" w:rsidRPr="006A59AF">
        <w:rPr>
          <w:rFonts w:ascii="Cambria" w:eastAsiaTheme="majorEastAsia" w:hAnsi="Cambria"/>
          <w:sz w:val="24"/>
          <w:szCs w:val="24"/>
        </w:rPr>
        <w:t>(selected by the Chairperson of the Pedagogical Secretariat and the Director of the Science Department).</w:t>
      </w:r>
    </w:p>
    <w:p w14:paraId="71CAAAB9" w14:textId="5D3838D9" w:rsidR="0088457A" w:rsidRPr="006A59AF" w:rsidRDefault="0088457A" w:rsidP="0088457A">
      <w:pPr>
        <w:pStyle w:val="ListParagraph"/>
        <w:numPr>
          <w:ilvl w:val="0"/>
          <w:numId w:val="10"/>
        </w:numPr>
        <w:spacing w:line="360" w:lineRule="auto"/>
        <w:rPr>
          <w:rFonts w:ascii="Cambria" w:eastAsiaTheme="majorEastAsia" w:hAnsi="Cambria"/>
          <w:sz w:val="24"/>
          <w:szCs w:val="24"/>
        </w:rPr>
      </w:pPr>
      <w:r w:rsidRPr="006A59AF">
        <w:rPr>
          <w:rFonts w:ascii="Cambria" w:eastAsiaTheme="majorEastAsia" w:hAnsi="Cambria"/>
          <w:sz w:val="24"/>
          <w:szCs w:val="24"/>
        </w:rPr>
        <w:t xml:space="preserve">Two representatives from the Weizmann Institute, who will be appointed by the President of the Weizmann Institute. </w:t>
      </w:r>
    </w:p>
    <w:p w14:paraId="50E9D325" w14:textId="10E4AC09" w:rsidR="0088457A" w:rsidRPr="006A59AF" w:rsidRDefault="008D5C9E" w:rsidP="0088457A">
      <w:pPr>
        <w:pStyle w:val="ListParagraph"/>
        <w:numPr>
          <w:ilvl w:val="0"/>
          <w:numId w:val="10"/>
        </w:numPr>
        <w:spacing w:line="360" w:lineRule="auto"/>
        <w:rPr>
          <w:rFonts w:ascii="Cambria" w:eastAsiaTheme="majorEastAsia" w:hAnsi="Cambria"/>
          <w:sz w:val="24"/>
          <w:szCs w:val="24"/>
        </w:rPr>
      </w:pPr>
      <w:r w:rsidRPr="006A59AF">
        <w:rPr>
          <w:rFonts w:ascii="Cambria" w:eastAsiaTheme="majorEastAsia" w:hAnsi="Cambria"/>
          <w:sz w:val="24"/>
          <w:szCs w:val="24"/>
        </w:rPr>
        <w:t>Two representatives of the Trump Foundation, who will be appointed by the Director of the Trump Foundation;</w:t>
      </w:r>
    </w:p>
    <w:p w14:paraId="1A1EA5EA" w14:textId="51CC2F99" w:rsidR="00721E00" w:rsidRPr="006A59AF" w:rsidRDefault="00721E00" w:rsidP="0088457A">
      <w:pPr>
        <w:pStyle w:val="ListParagraph"/>
        <w:numPr>
          <w:ilvl w:val="0"/>
          <w:numId w:val="10"/>
        </w:numPr>
        <w:spacing w:line="360" w:lineRule="auto"/>
        <w:rPr>
          <w:rFonts w:ascii="Cambria" w:eastAsiaTheme="majorEastAsia" w:hAnsi="Cambria"/>
          <w:sz w:val="24"/>
          <w:szCs w:val="24"/>
        </w:rPr>
      </w:pPr>
      <w:r w:rsidRPr="006A59AF">
        <w:rPr>
          <w:rFonts w:ascii="Cambria" w:eastAsiaTheme="majorEastAsia" w:hAnsi="Cambria"/>
          <w:sz w:val="24"/>
          <w:szCs w:val="24"/>
        </w:rPr>
        <w:t>Two representatives of other universities, to be appointed at the recommendation of the Director of the Science Department and the Deputy Chairperson of the Executive Committee;</w:t>
      </w:r>
    </w:p>
    <w:p w14:paraId="670E9888" w14:textId="214AE211" w:rsidR="00721E00" w:rsidRPr="006A59AF" w:rsidRDefault="00721E00" w:rsidP="0088457A">
      <w:pPr>
        <w:pStyle w:val="ListParagraph"/>
        <w:numPr>
          <w:ilvl w:val="0"/>
          <w:numId w:val="10"/>
        </w:numPr>
        <w:spacing w:line="360" w:lineRule="auto"/>
        <w:rPr>
          <w:rFonts w:ascii="Cambria" w:eastAsiaTheme="majorEastAsia" w:hAnsi="Cambria"/>
          <w:sz w:val="24"/>
          <w:szCs w:val="24"/>
        </w:rPr>
      </w:pPr>
      <w:r w:rsidRPr="006A59AF">
        <w:rPr>
          <w:rFonts w:ascii="Cambria" w:eastAsiaTheme="majorEastAsia" w:hAnsi="Cambria"/>
          <w:sz w:val="24"/>
          <w:szCs w:val="24"/>
        </w:rPr>
        <w:t>Five teachers, who will be appointed at the recommendation of the Director of the Science Department and the Deputy Chairperson of the Executive Committee.</w:t>
      </w:r>
    </w:p>
    <w:p w14:paraId="7ADF940B" w14:textId="46BAA1B4" w:rsidR="00FE2ADF" w:rsidRPr="006A59AF" w:rsidRDefault="00DA504F" w:rsidP="007B4F48">
      <w:pPr>
        <w:pStyle w:val="Heading2"/>
        <w:ind w:firstLine="720"/>
        <w:rPr>
          <w:rFonts w:ascii="Cambria" w:hAnsi="Cambria" w:cstheme="minorBidi"/>
          <w:b/>
          <w:bCs/>
          <w:color w:val="000000" w:themeColor="text1"/>
          <w:sz w:val="24"/>
          <w:szCs w:val="24"/>
        </w:rPr>
      </w:pPr>
      <w:bookmarkStart w:id="8" w:name="_Toc492293756"/>
      <w:r w:rsidRPr="006A59AF">
        <w:rPr>
          <w:rFonts w:ascii="Cambria" w:hAnsi="Cambria" w:cstheme="minorBidi"/>
          <w:b/>
          <w:bCs/>
          <w:color w:val="000000" w:themeColor="text1"/>
          <w:sz w:val="24"/>
          <w:szCs w:val="24"/>
        </w:rPr>
        <w:t xml:space="preserve">6.2 </w:t>
      </w:r>
      <w:r w:rsidR="00DA5BBB" w:rsidRPr="006A59AF">
        <w:rPr>
          <w:rFonts w:ascii="Cambria" w:hAnsi="Cambria" w:cstheme="minorBidi"/>
          <w:b/>
          <w:bCs/>
          <w:color w:val="000000" w:themeColor="text1"/>
          <w:sz w:val="24"/>
          <w:szCs w:val="24"/>
          <w:u w:val="single"/>
        </w:rPr>
        <w:t>The Finance Committee</w:t>
      </w:r>
      <w:bookmarkEnd w:id="8"/>
    </w:p>
    <w:p w14:paraId="026569CE" w14:textId="0273830F" w:rsidR="00DA5BBB" w:rsidRPr="006A59AF" w:rsidRDefault="00DA5BBB" w:rsidP="007B4F48">
      <w:pPr>
        <w:pStyle w:val="ListParagraph"/>
        <w:spacing w:line="360" w:lineRule="auto"/>
        <w:ind w:left="826"/>
        <w:rPr>
          <w:rFonts w:ascii="Cambria" w:eastAsiaTheme="majorEastAsia" w:hAnsi="Cambria"/>
          <w:sz w:val="24"/>
          <w:szCs w:val="24"/>
        </w:rPr>
      </w:pPr>
      <w:r w:rsidRPr="006A59AF">
        <w:rPr>
          <w:rFonts w:ascii="Cambria" w:eastAsiaTheme="majorEastAsia" w:hAnsi="Cambria"/>
          <w:sz w:val="24"/>
          <w:szCs w:val="24"/>
        </w:rPr>
        <w:t xml:space="preserve">The Finance Committee shall approve the financial statements as well as transfers from section to section </w:t>
      </w:r>
      <w:proofErr w:type="gramStart"/>
      <w:r w:rsidR="007B4F48" w:rsidRPr="006A59AF">
        <w:rPr>
          <w:rFonts w:ascii="Cambria" w:eastAsiaTheme="majorEastAsia" w:hAnsi="Cambria"/>
          <w:sz w:val="24"/>
          <w:szCs w:val="24"/>
        </w:rPr>
        <w:t>in excess of</w:t>
      </w:r>
      <w:proofErr w:type="gramEnd"/>
      <w:r w:rsidRPr="006A59AF">
        <w:rPr>
          <w:rFonts w:ascii="Cambria" w:eastAsiaTheme="majorEastAsia" w:hAnsi="Cambria"/>
          <w:sz w:val="24"/>
          <w:szCs w:val="24"/>
        </w:rPr>
        <w:t xml:space="preserve"> 20% of the annual budget.</w:t>
      </w:r>
    </w:p>
    <w:p w14:paraId="29E77925" w14:textId="33526429" w:rsidR="00DA5BBB" w:rsidRPr="006A59AF" w:rsidRDefault="00DA5BBB" w:rsidP="00DA5BBB">
      <w:pPr>
        <w:pStyle w:val="ListParagraph"/>
        <w:spacing w:line="360" w:lineRule="auto"/>
        <w:ind w:left="826"/>
        <w:rPr>
          <w:rFonts w:ascii="Cambria" w:eastAsiaTheme="majorEastAsia" w:hAnsi="Cambria"/>
          <w:sz w:val="24"/>
          <w:szCs w:val="24"/>
        </w:rPr>
      </w:pPr>
      <w:r w:rsidRPr="006A59AF">
        <w:rPr>
          <w:rFonts w:ascii="Cambria" w:eastAsiaTheme="majorEastAsia" w:hAnsi="Cambria"/>
          <w:sz w:val="24"/>
          <w:szCs w:val="24"/>
        </w:rPr>
        <w:lastRenderedPageBreak/>
        <w:t>The composition of the Finance Committee shall be as follows:</w:t>
      </w:r>
    </w:p>
    <w:p w14:paraId="74065E09" w14:textId="48ED4F8C" w:rsidR="00DA5BBB" w:rsidRPr="006A59AF" w:rsidRDefault="00DA5BBB" w:rsidP="008D6B54">
      <w:pPr>
        <w:pStyle w:val="ListParagraph"/>
        <w:numPr>
          <w:ilvl w:val="0"/>
          <w:numId w:val="12"/>
        </w:numPr>
        <w:spacing w:line="360" w:lineRule="auto"/>
        <w:rPr>
          <w:rFonts w:ascii="Cambria" w:eastAsiaTheme="majorEastAsia" w:hAnsi="Cambria"/>
          <w:sz w:val="24"/>
          <w:szCs w:val="24"/>
        </w:rPr>
      </w:pPr>
      <w:r w:rsidRPr="006A59AF">
        <w:rPr>
          <w:rFonts w:ascii="Cambria" w:eastAsiaTheme="majorEastAsia" w:hAnsi="Cambria"/>
          <w:sz w:val="24"/>
          <w:szCs w:val="24"/>
        </w:rPr>
        <w:t>Two</w:t>
      </w:r>
      <w:r w:rsidRPr="006A59AF">
        <w:rPr>
          <w:rFonts w:ascii="Cambria" w:eastAsiaTheme="majorEastAsia" w:hAnsi="Cambria"/>
          <w:sz w:val="24"/>
          <w:szCs w:val="24"/>
          <w:rtl/>
        </w:rPr>
        <w:t xml:space="preserve"> </w:t>
      </w:r>
      <w:r w:rsidR="008D6B54" w:rsidRPr="006A59AF">
        <w:rPr>
          <w:rFonts w:ascii="Cambria" w:eastAsiaTheme="majorEastAsia" w:hAnsi="Cambria"/>
          <w:sz w:val="24"/>
          <w:szCs w:val="24"/>
          <w:lang w:val="en-GB"/>
        </w:rPr>
        <w:t xml:space="preserve">representatives </w:t>
      </w:r>
      <w:r w:rsidRPr="006A59AF">
        <w:rPr>
          <w:rFonts w:ascii="Cambria" w:eastAsiaTheme="majorEastAsia" w:hAnsi="Cambria"/>
          <w:sz w:val="24"/>
          <w:szCs w:val="24"/>
        </w:rPr>
        <w:t xml:space="preserve">appointed by the Education Minister according to their roles: </w:t>
      </w:r>
      <w:proofErr w:type="gramStart"/>
      <w:r w:rsidRPr="006A59AF">
        <w:rPr>
          <w:rFonts w:ascii="Cambria" w:eastAsiaTheme="majorEastAsia" w:hAnsi="Cambria"/>
          <w:sz w:val="24"/>
          <w:szCs w:val="24"/>
        </w:rPr>
        <w:t>the</w:t>
      </w:r>
      <w:proofErr w:type="gramEnd"/>
      <w:r w:rsidRPr="006A59AF">
        <w:rPr>
          <w:rFonts w:ascii="Cambria" w:eastAsiaTheme="majorEastAsia" w:hAnsi="Cambria"/>
          <w:sz w:val="24"/>
          <w:szCs w:val="24"/>
        </w:rPr>
        <w:t xml:space="preserve"> Ministry's accountant (or his/her deputy) and the head of the Department for the Professional Development of Teaching Staff;</w:t>
      </w:r>
    </w:p>
    <w:p w14:paraId="0328C18A" w14:textId="67517DDD" w:rsidR="00DA5BBB" w:rsidRPr="006A59AF" w:rsidRDefault="00DA5BBB" w:rsidP="00DA5BBB">
      <w:pPr>
        <w:pStyle w:val="ListParagraph"/>
        <w:numPr>
          <w:ilvl w:val="0"/>
          <w:numId w:val="12"/>
        </w:numPr>
        <w:spacing w:line="360" w:lineRule="auto"/>
        <w:rPr>
          <w:rFonts w:ascii="Cambria" w:eastAsiaTheme="majorEastAsia" w:hAnsi="Cambria"/>
          <w:sz w:val="24"/>
          <w:szCs w:val="24"/>
        </w:rPr>
      </w:pPr>
      <w:r w:rsidRPr="006A59AF">
        <w:rPr>
          <w:rFonts w:ascii="Cambria" w:eastAsiaTheme="majorEastAsia" w:hAnsi="Cambria"/>
          <w:sz w:val="24"/>
          <w:szCs w:val="24"/>
        </w:rPr>
        <w:t>The head of the Finance Department of the Weizmann Institute;</w:t>
      </w:r>
    </w:p>
    <w:p w14:paraId="306C2AD6" w14:textId="4BF428CD" w:rsidR="00DA5BBB" w:rsidRPr="006A59AF" w:rsidRDefault="00DA5BBB" w:rsidP="00DA5BBB">
      <w:pPr>
        <w:pStyle w:val="ListParagraph"/>
        <w:numPr>
          <w:ilvl w:val="0"/>
          <w:numId w:val="12"/>
        </w:numPr>
        <w:spacing w:line="360" w:lineRule="auto"/>
        <w:rPr>
          <w:rFonts w:ascii="Cambria" w:eastAsiaTheme="majorEastAsia" w:hAnsi="Cambria"/>
          <w:sz w:val="24"/>
          <w:szCs w:val="24"/>
        </w:rPr>
      </w:pPr>
      <w:r w:rsidRPr="006A59AF">
        <w:rPr>
          <w:rFonts w:ascii="Cambria" w:eastAsiaTheme="majorEastAsia" w:hAnsi="Cambria"/>
          <w:sz w:val="24"/>
          <w:szCs w:val="24"/>
        </w:rPr>
        <w:t>A representative of the Trump Foundation.</w:t>
      </w:r>
    </w:p>
    <w:p w14:paraId="70CE265F" w14:textId="77777777" w:rsidR="00DA5BBB" w:rsidRPr="006A59AF" w:rsidRDefault="00DA5BBB" w:rsidP="00DA5BBB">
      <w:pPr>
        <w:pStyle w:val="ListParagraph"/>
        <w:spacing w:line="360" w:lineRule="auto"/>
        <w:ind w:left="1186"/>
        <w:rPr>
          <w:rFonts w:ascii="Cambria" w:eastAsiaTheme="majorEastAsia" w:hAnsi="Cambria"/>
          <w:sz w:val="24"/>
          <w:szCs w:val="24"/>
        </w:rPr>
      </w:pPr>
    </w:p>
    <w:p w14:paraId="6F1B99E2" w14:textId="2477770C" w:rsidR="00670B0D" w:rsidRPr="006A59AF" w:rsidRDefault="00DA504F" w:rsidP="007B4F48">
      <w:pPr>
        <w:pStyle w:val="Heading2"/>
        <w:ind w:firstLine="720"/>
        <w:rPr>
          <w:rFonts w:ascii="Cambria" w:hAnsi="Cambria" w:cstheme="minorBidi"/>
          <w:b/>
          <w:bCs/>
          <w:color w:val="000000" w:themeColor="text1"/>
          <w:sz w:val="24"/>
          <w:szCs w:val="24"/>
          <w:u w:val="single"/>
        </w:rPr>
      </w:pPr>
      <w:bookmarkStart w:id="9" w:name="_Toc492293757"/>
      <w:r w:rsidRPr="006A59AF">
        <w:rPr>
          <w:rFonts w:ascii="Cambria" w:hAnsi="Cambria" w:cstheme="minorBidi"/>
          <w:b/>
          <w:bCs/>
          <w:color w:val="000000" w:themeColor="text1"/>
          <w:sz w:val="24"/>
          <w:szCs w:val="24"/>
          <w:u w:val="single"/>
        </w:rPr>
        <w:t xml:space="preserve">6.3 </w:t>
      </w:r>
      <w:r w:rsidR="00670B0D" w:rsidRPr="006A59AF">
        <w:rPr>
          <w:rFonts w:ascii="Cambria" w:hAnsi="Cambria" w:cstheme="minorBidi"/>
          <w:b/>
          <w:bCs/>
          <w:color w:val="000000" w:themeColor="text1"/>
          <w:sz w:val="24"/>
          <w:szCs w:val="24"/>
          <w:u w:val="single"/>
        </w:rPr>
        <w:t>The Institute Director</w:t>
      </w:r>
      <w:bookmarkEnd w:id="9"/>
    </w:p>
    <w:p w14:paraId="603DE603" w14:textId="5A43CE36" w:rsidR="00DA5BBB" w:rsidRPr="006A59AF" w:rsidRDefault="00BF1B6A" w:rsidP="007B4F48">
      <w:pPr>
        <w:pStyle w:val="ListParagraph"/>
        <w:spacing w:line="360" w:lineRule="auto"/>
        <w:ind w:left="826"/>
        <w:rPr>
          <w:rFonts w:ascii="Cambria" w:eastAsiaTheme="majorEastAsia" w:hAnsi="Cambria"/>
          <w:sz w:val="24"/>
          <w:szCs w:val="24"/>
        </w:rPr>
      </w:pPr>
      <w:r w:rsidRPr="006A59AF">
        <w:rPr>
          <w:rFonts w:ascii="Cambria" w:eastAsiaTheme="majorEastAsia" w:hAnsi="Cambria"/>
          <w:sz w:val="24"/>
          <w:szCs w:val="24"/>
        </w:rPr>
        <w:t xml:space="preserve">The Institute </w:t>
      </w:r>
      <w:r w:rsidR="00670B0D" w:rsidRPr="006A59AF">
        <w:rPr>
          <w:rFonts w:ascii="Cambria" w:eastAsiaTheme="majorEastAsia" w:hAnsi="Cambria"/>
          <w:sz w:val="24"/>
          <w:szCs w:val="24"/>
        </w:rPr>
        <w:t xml:space="preserve">Director </w:t>
      </w:r>
      <w:r w:rsidRPr="006A59AF">
        <w:rPr>
          <w:rFonts w:ascii="Cambria" w:eastAsiaTheme="majorEastAsia" w:hAnsi="Cambria"/>
          <w:sz w:val="24"/>
          <w:szCs w:val="24"/>
        </w:rPr>
        <w:t xml:space="preserve">will be appointed by the Executive Committee </w:t>
      </w:r>
      <w:r w:rsidR="007B4F48" w:rsidRPr="006A59AF">
        <w:rPr>
          <w:rFonts w:ascii="Cambria" w:eastAsiaTheme="majorEastAsia" w:hAnsi="Cambria"/>
          <w:sz w:val="24"/>
          <w:szCs w:val="24"/>
        </w:rPr>
        <w:t>according to</w:t>
      </w:r>
      <w:r w:rsidRPr="006A59AF">
        <w:rPr>
          <w:rFonts w:ascii="Cambria" w:eastAsiaTheme="majorEastAsia" w:hAnsi="Cambria"/>
          <w:sz w:val="24"/>
          <w:szCs w:val="24"/>
        </w:rPr>
        <w:t xml:space="preserve"> a process determined by the Chairperson of the</w:t>
      </w:r>
      <w:r w:rsidR="007B4F48" w:rsidRPr="006A59AF">
        <w:rPr>
          <w:rFonts w:ascii="Cambria" w:eastAsiaTheme="majorEastAsia" w:hAnsi="Cambria"/>
          <w:sz w:val="24"/>
          <w:szCs w:val="24"/>
        </w:rPr>
        <w:t xml:space="preserve"> Executive Committee and</w:t>
      </w:r>
      <w:r w:rsidRPr="006A59AF">
        <w:rPr>
          <w:rFonts w:ascii="Cambria" w:eastAsiaTheme="majorEastAsia" w:hAnsi="Cambria"/>
          <w:sz w:val="24"/>
          <w:szCs w:val="24"/>
        </w:rPr>
        <w:t xml:space="preserve"> the Deputy Director of the Trump </w:t>
      </w:r>
      <w:r w:rsidR="006E39FF" w:rsidRPr="006A59AF">
        <w:rPr>
          <w:rFonts w:ascii="Cambria" w:eastAsiaTheme="majorEastAsia" w:hAnsi="Cambria"/>
          <w:sz w:val="24"/>
          <w:szCs w:val="24"/>
        </w:rPr>
        <w:t xml:space="preserve">Foundation, who will approve the appointment </w:t>
      </w:r>
      <w:r w:rsidR="006E39FF" w:rsidRPr="006A59AF">
        <w:rPr>
          <w:rFonts w:ascii="Cambria" w:eastAsiaTheme="majorEastAsia" w:hAnsi="Cambria"/>
          <w:b/>
          <w:bCs/>
          <w:sz w:val="24"/>
          <w:szCs w:val="24"/>
          <w:u w:val="single"/>
        </w:rPr>
        <w:t>with their agreement</w:t>
      </w:r>
      <w:r w:rsidR="006E39FF" w:rsidRPr="006A59AF">
        <w:rPr>
          <w:rFonts w:ascii="Cambria" w:eastAsiaTheme="majorEastAsia" w:hAnsi="Cambria"/>
          <w:sz w:val="24"/>
          <w:szCs w:val="24"/>
        </w:rPr>
        <w:t xml:space="preserve">. </w:t>
      </w:r>
    </w:p>
    <w:p w14:paraId="5F9EDAD6" w14:textId="7EDAD463" w:rsidR="00BF1B6A" w:rsidRPr="006A59AF" w:rsidRDefault="00670B0D" w:rsidP="007B4F48">
      <w:pPr>
        <w:pStyle w:val="ListParagraph"/>
        <w:spacing w:line="360" w:lineRule="auto"/>
        <w:ind w:left="826"/>
        <w:rPr>
          <w:rFonts w:ascii="Cambria" w:eastAsiaTheme="majorEastAsia" w:hAnsi="Cambria"/>
          <w:sz w:val="24"/>
          <w:szCs w:val="24"/>
        </w:rPr>
      </w:pPr>
      <w:r w:rsidRPr="006A59AF">
        <w:rPr>
          <w:rFonts w:ascii="Cambria" w:eastAsiaTheme="majorEastAsia" w:hAnsi="Cambria"/>
          <w:sz w:val="24"/>
          <w:szCs w:val="24"/>
        </w:rPr>
        <w:t xml:space="preserve">The Institute Director </w:t>
      </w:r>
      <w:r w:rsidR="006E39FF" w:rsidRPr="006A59AF">
        <w:rPr>
          <w:rFonts w:ascii="Cambria" w:eastAsiaTheme="majorEastAsia" w:hAnsi="Cambria"/>
          <w:sz w:val="24"/>
          <w:szCs w:val="24"/>
        </w:rPr>
        <w:t xml:space="preserve">shall fulfil the following conditions: </w:t>
      </w:r>
      <w:r w:rsidR="007B4F48" w:rsidRPr="006A59AF">
        <w:rPr>
          <w:rFonts w:ascii="Cambria" w:eastAsiaTheme="majorEastAsia" w:hAnsi="Cambria"/>
          <w:sz w:val="24"/>
          <w:szCs w:val="24"/>
        </w:rPr>
        <w:t>possess</w:t>
      </w:r>
      <w:r w:rsidR="008A1C77" w:rsidRPr="006A59AF">
        <w:rPr>
          <w:rFonts w:ascii="Cambria" w:eastAsiaTheme="majorEastAsia" w:hAnsi="Cambria"/>
          <w:sz w:val="24"/>
          <w:szCs w:val="24"/>
        </w:rPr>
        <w:t xml:space="preserve"> </w:t>
      </w:r>
      <w:r w:rsidR="006E39FF" w:rsidRPr="006A59AF">
        <w:rPr>
          <w:rFonts w:ascii="Cambria" w:eastAsiaTheme="majorEastAsia" w:hAnsi="Cambria"/>
          <w:sz w:val="24"/>
          <w:szCs w:val="24"/>
        </w:rPr>
        <w:t>a</w:t>
      </w:r>
      <w:r w:rsidR="008A1C77" w:rsidRPr="006A59AF">
        <w:rPr>
          <w:rFonts w:ascii="Cambria" w:eastAsiaTheme="majorEastAsia" w:hAnsi="Cambria"/>
          <w:sz w:val="24"/>
          <w:szCs w:val="24"/>
        </w:rPr>
        <w:t>t least three years of experience in teaching mathematics and sciences in an Israeli</w:t>
      </w:r>
      <w:r w:rsidR="007B4F48" w:rsidRPr="006A59AF">
        <w:rPr>
          <w:rFonts w:ascii="Cambria" w:eastAsiaTheme="majorEastAsia" w:hAnsi="Cambria"/>
          <w:sz w:val="24"/>
          <w:szCs w:val="24"/>
        </w:rPr>
        <w:t xml:space="preserve"> high school; a broad pedagogical vision;</w:t>
      </w:r>
      <w:r w:rsidR="008A1C77" w:rsidRPr="006A59AF">
        <w:rPr>
          <w:rFonts w:ascii="Cambria" w:eastAsiaTheme="majorEastAsia" w:hAnsi="Cambria"/>
          <w:sz w:val="24"/>
          <w:szCs w:val="24"/>
        </w:rPr>
        <w:t xml:space="preserve"> a master's degree or preferably a PhD in </w:t>
      </w:r>
      <w:r w:rsidR="007B4F48" w:rsidRPr="006A59AF">
        <w:rPr>
          <w:rFonts w:ascii="Cambria" w:eastAsiaTheme="majorEastAsia" w:hAnsi="Cambria"/>
          <w:sz w:val="24"/>
          <w:szCs w:val="24"/>
        </w:rPr>
        <w:t>mathematics or science teaching;</w:t>
      </w:r>
      <w:r w:rsidR="008A1C77" w:rsidRPr="006A59AF">
        <w:rPr>
          <w:rFonts w:ascii="Cambria" w:eastAsiaTheme="majorEastAsia" w:hAnsi="Cambria"/>
          <w:sz w:val="24"/>
          <w:szCs w:val="24"/>
        </w:rPr>
        <w:t xml:space="preserve"> experie</w:t>
      </w:r>
      <w:r w:rsidR="007B4F48" w:rsidRPr="006A59AF">
        <w:rPr>
          <w:rFonts w:ascii="Cambria" w:eastAsiaTheme="majorEastAsia" w:hAnsi="Cambria"/>
          <w:sz w:val="24"/>
          <w:szCs w:val="24"/>
        </w:rPr>
        <w:t>nce in managing an organization;</w:t>
      </w:r>
      <w:r w:rsidR="008A1C77" w:rsidRPr="006A59AF">
        <w:rPr>
          <w:rFonts w:ascii="Cambria" w:eastAsiaTheme="majorEastAsia" w:hAnsi="Cambria"/>
          <w:sz w:val="24"/>
          <w:szCs w:val="24"/>
        </w:rPr>
        <w:t xml:space="preserve"> the </w:t>
      </w:r>
      <w:r w:rsidR="007B4F48" w:rsidRPr="006A59AF">
        <w:rPr>
          <w:rFonts w:ascii="Cambria" w:eastAsiaTheme="majorEastAsia" w:hAnsi="Cambria"/>
          <w:sz w:val="24"/>
          <w:szCs w:val="24"/>
        </w:rPr>
        <w:t xml:space="preserve">ability to lead professional staff; </w:t>
      </w:r>
      <w:r w:rsidR="008A1C77" w:rsidRPr="006A59AF">
        <w:rPr>
          <w:rFonts w:ascii="Cambria" w:eastAsiaTheme="majorEastAsia" w:hAnsi="Cambria"/>
          <w:sz w:val="24"/>
          <w:szCs w:val="24"/>
        </w:rPr>
        <w:t xml:space="preserve">familiarity with the work patterns of teaching staff and </w:t>
      </w:r>
      <w:r w:rsidR="007B4F48" w:rsidRPr="006A59AF">
        <w:rPr>
          <w:rFonts w:ascii="Cambria" w:eastAsiaTheme="majorEastAsia" w:hAnsi="Cambria"/>
          <w:sz w:val="24"/>
          <w:szCs w:val="24"/>
        </w:rPr>
        <w:t>higher education;</w:t>
      </w:r>
      <w:r w:rsidR="008A1C77" w:rsidRPr="006A59AF">
        <w:rPr>
          <w:rFonts w:ascii="Cambria" w:eastAsiaTheme="majorEastAsia" w:hAnsi="Cambria"/>
          <w:sz w:val="24"/>
          <w:szCs w:val="24"/>
        </w:rPr>
        <w:t xml:space="preserve"> and the ability to develop links with similar bodies outside of Israel.</w:t>
      </w:r>
    </w:p>
    <w:p w14:paraId="559F7AEE" w14:textId="41F14EB6" w:rsidR="00682D69" w:rsidRPr="006A59AF" w:rsidRDefault="00682D69" w:rsidP="007B4F48">
      <w:pPr>
        <w:pStyle w:val="ListParagraph"/>
        <w:spacing w:line="360" w:lineRule="auto"/>
        <w:ind w:left="826"/>
        <w:rPr>
          <w:rFonts w:ascii="Cambria" w:eastAsiaTheme="majorEastAsia" w:hAnsi="Cambria"/>
          <w:sz w:val="24"/>
          <w:szCs w:val="24"/>
        </w:rPr>
      </w:pPr>
      <w:r w:rsidRPr="006A59AF">
        <w:rPr>
          <w:rFonts w:ascii="Cambria" w:eastAsiaTheme="majorEastAsia" w:hAnsi="Cambria"/>
          <w:sz w:val="24"/>
          <w:szCs w:val="24"/>
        </w:rPr>
        <w:t xml:space="preserve">The Institute Director's tasks will include formulating the Institute's multi-year work-plan and its annual work-plan, and </w:t>
      </w:r>
      <w:r w:rsidR="007B4F48" w:rsidRPr="006A59AF">
        <w:rPr>
          <w:rFonts w:ascii="Cambria" w:eastAsiaTheme="majorEastAsia" w:hAnsi="Cambria"/>
          <w:sz w:val="24"/>
          <w:szCs w:val="24"/>
        </w:rPr>
        <w:t>submitting</w:t>
      </w:r>
      <w:r w:rsidRPr="006A59AF">
        <w:rPr>
          <w:rFonts w:ascii="Cambria" w:eastAsiaTheme="majorEastAsia" w:hAnsi="Cambria"/>
          <w:sz w:val="24"/>
          <w:szCs w:val="24"/>
        </w:rPr>
        <w:t xml:space="preserve"> it for approval </w:t>
      </w:r>
      <w:r w:rsidR="007B4F48" w:rsidRPr="006A59AF">
        <w:rPr>
          <w:rFonts w:ascii="Cambria" w:eastAsiaTheme="majorEastAsia" w:hAnsi="Cambria"/>
          <w:sz w:val="24"/>
          <w:szCs w:val="24"/>
        </w:rPr>
        <w:t>by</w:t>
      </w:r>
      <w:r w:rsidRPr="006A59AF">
        <w:rPr>
          <w:rFonts w:ascii="Cambria" w:eastAsiaTheme="majorEastAsia" w:hAnsi="Cambria"/>
          <w:sz w:val="24"/>
          <w:szCs w:val="24"/>
        </w:rPr>
        <w:t xml:space="preserve"> the Executive Committee and Finance Committee. In preparing the work-plans, the Institute Director will </w:t>
      </w:r>
      <w:proofErr w:type="gramStart"/>
      <w:r w:rsidRPr="006A59AF">
        <w:rPr>
          <w:rFonts w:ascii="Cambria" w:eastAsiaTheme="majorEastAsia" w:hAnsi="Cambria"/>
          <w:sz w:val="24"/>
          <w:szCs w:val="24"/>
        </w:rPr>
        <w:t>take into account</w:t>
      </w:r>
      <w:proofErr w:type="gramEnd"/>
      <w:r w:rsidRPr="006A59AF">
        <w:rPr>
          <w:rFonts w:ascii="Cambria" w:eastAsiaTheme="majorEastAsia" w:hAnsi="Cambria"/>
          <w:sz w:val="24"/>
          <w:szCs w:val="24"/>
        </w:rPr>
        <w:t xml:space="preserve"> the needs and expectations of the </w:t>
      </w:r>
      <w:r w:rsidR="00C76DCC" w:rsidRPr="006A59AF">
        <w:rPr>
          <w:rFonts w:ascii="Cambria" w:eastAsiaTheme="majorEastAsia" w:hAnsi="Cambria"/>
          <w:sz w:val="24"/>
          <w:szCs w:val="24"/>
        </w:rPr>
        <w:t>leading teachers</w:t>
      </w:r>
      <w:r w:rsidRPr="006A59AF">
        <w:rPr>
          <w:rFonts w:ascii="Cambria" w:eastAsiaTheme="majorEastAsia" w:hAnsi="Cambria"/>
          <w:sz w:val="24"/>
          <w:szCs w:val="24"/>
        </w:rPr>
        <w:t>, the voice of the scientific research community, and government policy,</w:t>
      </w:r>
      <w:r w:rsidR="0046319F" w:rsidRPr="006A59AF">
        <w:rPr>
          <w:rFonts w:ascii="Cambria" w:eastAsiaTheme="majorEastAsia" w:hAnsi="Cambria"/>
          <w:sz w:val="24"/>
          <w:szCs w:val="24"/>
        </w:rPr>
        <w:t xml:space="preserve"> based on the recommendations of the Steering Committee </w:t>
      </w:r>
      <w:r w:rsidR="00FA2BB1" w:rsidRPr="006A59AF">
        <w:rPr>
          <w:rFonts w:ascii="Cambria" w:eastAsiaTheme="majorEastAsia" w:hAnsi="Cambria"/>
          <w:sz w:val="24"/>
          <w:szCs w:val="24"/>
        </w:rPr>
        <w:t>headed by the Professional Center Supervisors</w:t>
      </w:r>
      <w:r w:rsidR="00477F88" w:rsidRPr="006A59AF">
        <w:rPr>
          <w:rFonts w:ascii="Cambria" w:eastAsiaTheme="majorEastAsia" w:hAnsi="Cambria"/>
          <w:sz w:val="24"/>
          <w:szCs w:val="24"/>
        </w:rPr>
        <w:t xml:space="preserve"> for the mathematics and sciences professions in the Pedagogical Secretariat and the Administration Management for Teaching Staff.  </w:t>
      </w:r>
    </w:p>
    <w:p w14:paraId="52B3FFF4" w14:textId="77777777" w:rsidR="008223A3" w:rsidRPr="006A59AF" w:rsidRDefault="008223A3" w:rsidP="00477F88">
      <w:pPr>
        <w:pStyle w:val="ListParagraph"/>
        <w:spacing w:line="360" w:lineRule="auto"/>
        <w:ind w:left="826"/>
        <w:rPr>
          <w:rFonts w:ascii="Cambria" w:eastAsiaTheme="majorEastAsia" w:hAnsi="Cambria"/>
          <w:sz w:val="24"/>
          <w:szCs w:val="24"/>
        </w:rPr>
      </w:pPr>
    </w:p>
    <w:p w14:paraId="59B0E473" w14:textId="014F3CFE" w:rsidR="00682D69" w:rsidRPr="006A59AF" w:rsidRDefault="00FE660D" w:rsidP="007B4F48">
      <w:pPr>
        <w:pStyle w:val="Heading2"/>
        <w:ind w:firstLine="720"/>
        <w:rPr>
          <w:rFonts w:ascii="Cambria" w:hAnsi="Cambria" w:cstheme="minorBidi"/>
          <w:b/>
          <w:bCs/>
          <w:color w:val="000000" w:themeColor="text1"/>
          <w:sz w:val="24"/>
          <w:szCs w:val="24"/>
          <w:u w:val="single"/>
        </w:rPr>
      </w:pPr>
      <w:bookmarkStart w:id="10" w:name="_Toc492293758"/>
      <w:proofErr w:type="gramStart"/>
      <w:r w:rsidRPr="006A59AF">
        <w:rPr>
          <w:rFonts w:ascii="Cambria" w:hAnsi="Cambria" w:cstheme="minorBidi"/>
          <w:b/>
          <w:bCs/>
          <w:color w:val="000000" w:themeColor="text1"/>
          <w:sz w:val="24"/>
          <w:szCs w:val="24"/>
          <w:u w:val="single"/>
        </w:rPr>
        <w:t xml:space="preserve">6.4  </w:t>
      </w:r>
      <w:r w:rsidR="00477F88" w:rsidRPr="006A59AF">
        <w:rPr>
          <w:rFonts w:ascii="Cambria" w:hAnsi="Cambria" w:cstheme="minorBidi"/>
          <w:b/>
          <w:bCs/>
          <w:color w:val="000000" w:themeColor="text1"/>
          <w:sz w:val="24"/>
          <w:szCs w:val="24"/>
          <w:u w:val="single"/>
        </w:rPr>
        <w:t>The</w:t>
      </w:r>
      <w:proofErr w:type="gramEnd"/>
      <w:r w:rsidR="00477F88" w:rsidRPr="006A59AF">
        <w:rPr>
          <w:rFonts w:ascii="Cambria" w:hAnsi="Cambria" w:cstheme="minorBidi"/>
          <w:b/>
          <w:bCs/>
          <w:color w:val="000000" w:themeColor="text1"/>
          <w:sz w:val="24"/>
          <w:szCs w:val="24"/>
          <w:u w:val="single"/>
        </w:rPr>
        <w:t xml:space="preserve"> Steering Committee</w:t>
      </w:r>
      <w:bookmarkEnd w:id="10"/>
    </w:p>
    <w:p w14:paraId="224FC9C6" w14:textId="1A22138D" w:rsidR="00477F88" w:rsidRPr="006A59AF" w:rsidRDefault="008223A3" w:rsidP="007B4F48">
      <w:pPr>
        <w:pStyle w:val="ListParagraph"/>
        <w:spacing w:line="360" w:lineRule="auto"/>
        <w:ind w:left="826"/>
        <w:rPr>
          <w:rFonts w:ascii="Cambria" w:eastAsiaTheme="majorEastAsia" w:hAnsi="Cambria"/>
          <w:sz w:val="24"/>
          <w:szCs w:val="24"/>
        </w:rPr>
      </w:pPr>
      <w:r w:rsidRPr="006A59AF">
        <w:rPr>
          <w:rFonts w:ascii="Cambria" w:eastAsiaTheme="majorEastAsia" w:hAnsi="Cambria"/>
          <w:sz w:val="24"/>
          <w:szCs w:val="24"/>
        </w:rPr>
        <w:t xml:space="preserve">A Steering Committee will be established in every disciplinary field (mathematics, physics, chemistry, biology), </w:t>
      </w:r>
      <w:r w:rsidR="007B4F48" w:rsidRPr="006A59AF">
        <w:rPr>
          <w:rFonts w:ascii="Cambria" w:eastAsiaTheme="majorEastAsia" w:hAnsi="Cambria"/>
          <w:sz w:val="24"/>
          <w:szCs w:val="24"/>
        </w:rPr>
        <w:t>and</w:t>
      </w:r>
      <w:r w:rsidRPr="006A59AF">
        <w:rPr>
          <w:rFonts w:ascii="Cambria" w:eastAsiaTheme="majorEastAsia" w:hAnsi="Cambria"/>
          <w:sz w:val="24"/>
          <w:szCs w:val="24"/>
        </w:rPr>
        <w:t xml:space="preserve"> will recommend the </w:t>
      </w:r>
      <w:r w:rsidR="007B4F48" w:rsidRPr="006A59AF">
        <w:rPr>
          <w:rFonts w:ascii="Cambria" w:eastAsiaTheme="majorEastAsia" w:hAnsi="Cambria"/>
          <w:sz w:val="24"/>
          <w:szCs w:val="24"/>
        </w:rPr>
        <w:t>topics</w:t>
      </w:r>
      <w:r w:rsidRPr="006A59AF">
        <w:rPr>
          <w:rFonts w:ascii="Cambria" w:eastAsiaTheme="majorEastAsia" w:hAnsi="Cambria"/>
          <w:sz w:val="24"/>
          <w:szCs w:val="24"/>
        </w:rPr>
        <w:t xml:space="preserve"> to be dealt with by the </w:t>
      </w:r>
      <w:r w:rsidRPr="006A59AF">
        <w:rPr>
          <w:rFonts w:ascii="Cambria" w:eastAsiaTheme="majorEastAsia" w:hAnsi="Cambria"/>
          <w:sz w:val="24"/>
          <w:szCs w:val="24"/>
        </w:rPr>
        <w:lastRenderedPageBreak/>
        <w:t>Institute. Each Steering Committee will have a center chosen by the Sciences Department Director in consultation with the Deputy Chairperson of the Executive Committee.</w:t>
      </w:r>
    </w:p>
    <w:p w14:paraId="7D332C39" w14:textId="7BB70121" w:rsidR="006C0FE2" w:rsidRPr="006A59AF" w:rsidRDefault="00AE2E88" w:rsidP="007B4F48">
      <w:pPr>
        <w:pStyle w:val="ListParagraph"/>
        <w:spacing w:line="360" w:lineRule="auto"/>
        <w:ind w:left="826"/>
        <w:rPr>
          <w:rFonts w:ascii="Cambria" w:eastAsiaTheme="majorEastAsia" w:hAnsi="Cambria"/>
          <w:sz w:val="24"/>
          <w:szCs w:val="24"/>
        </w:rPr>
      </w:pPr>
      <w:r w:rsidRPr="006A59AF">
        <w:rPr>
          <w:rFonts w:ascii="Cambria" w:eastAsiaTheme="majorEastAsia" w:hAnsi="Cambria"/>
          <w:sz w:val="24"/>
          <w:szCs w:val="24"/>
        </w:rPr>
        <w:t xml:space="preserve">The Institute's work-plan will </w:t>
      </w:r>
      <w:proofErr w:type="gramStart"/>
      <w:r w:rsidRPr="006A59AF">
        <w:rPr>
          <w:rFonts w:ascii="Cambria" w:eastAsiaTheme="majorEastAsia" w:hAnsi="Cambria"/>
          <w:sz w:val="24"/>
          <w:szCs w:val="24"/>
          <w:highlight w:val="cyan"/>
        </w:rPr>
        <w:t>take into account</w:t>
      </w:r>
      <w:proofErr w:type="gramEnd"/>
      <w:r w:rsidRPr="006A59AF">
        <w:rPr>
          <w:rFonts w:ascii="Cambria" w:eastAsiaTheme="majorEastAsia" w:hAnsi="Cambria"/>
          <w:sz w:val="24"/>
          <w:szCs w:val="24"/>
          <w:highlight w:val="cyan"/>
        </w:rPr>
        <w:t xml:space="preserve"> / rely on</w:t>
      </w:r>
      <w:r w:rsidRPr="006A59AF">
        <w:rPr>
          <w:rFonts w:ascii="Cambria" w:eastAsiaTheme="majorEastAsia" w:hAnsi="Cambria"/>
          <w:sz w:val="24"/>
          <w:szCs w:val="24"/>
        </w:rPr>
        <w:t xml:space="preserve"> the recommendations of the </w:t>
      </w:r>
      <w:r w:rsidR="00836543" w:rsidRPr="006A59AF">
        <w:rPr>
          <w:rFonts w:ascii="Cambria" w:eastAsiaTheme="majorEastAsia" w:hAnsi="Cambria"/>
          <w:sz w:val="24"/>
          <w:szCs w:val="24"/>
        </w:rPr>
        <w:t xml:space="preserve">various </w:t>
      </w:r>
      <w:r w:rsidRPr="006A59AF">
        <w:rPr>
          <w:rFonts w:ascii="Cambria" w:eastAsiaTheme="majorEastAsia" w:hAnsi="Cambria"/>
          <w:sz w:val="24"/>
          <w:szCs w:val="24"/>
        </w:rPr>
        <w:t>Steering Committee</w:t>
      </w:r>
      <w:r w:rsidR="00836543" w:rsidRPr="006A59AF">
        <w:rPr>
          <w:rFonts w:ascii="Cambria" w:eastAsiaTheme="majorEastAsia" w:hAnsi="Cambria"/>
          <w:sz w:val="24"/>
          <w:szCs w:val="24"/>
        </w:rPr>
        <w:t>s</w:t>
      </w:r>
      <w:r w:rsidRPr="006A59AF">
        <w:rPr>
          <w:rFonts w:ascii="Cambria" w:eastAsiaTheme="majorEastAsia" w:hAnsi="Cambria"/>
          <w:sz w:val="24"/>
          <w:szCs w:val="24"/>
        </w:rPr>
        <w:t xml:space="preserve"> </w:t>
      </w:r>
      <w:r w:rsidR="00836543" w:rsidRPr="006A59AF">
        <w:rPr>
          <w:rFonts w:ascii="Cambria" w:eastAsiaTheme="majorEastAsia" w:hAnsi="Cambria"/>
          <w:sz w:val="24"/>
          <w:szCs w:val="24"/>
        </w:rPr>
        <w:t xml:space="preserve">and will be approved by the </w:t>
      </w:r>
      <w:r w:rsidR="00836543" w:rsidRPr="006A59AF">
        <w:rPr>
          <w:rFonts w:ascii="Cambria" w:eastAsiaTheme="majorEastAsia" w:hAnsi="Cambria"/>
          <w:sz w:val="24"/>
          <w:szCs w:val="24"/>
          <w:highlight w:val="cyan"/>
        </w:rPr>
        <w:t>Executive Committee</w:t>
      </w:r>
      <w:r w:rsidR="00836543" w:rsidRPr="006A59AF">
        <w:rPr>
          <w:rFonts w:ascii="Cambria" w:eastAsiaTheme="majorEastAsia" w:hAnsi="Cambria"/>
          <w:sz w:val="24"/>
          <w:szCs w:val="24"/>
        </w:rPr>
        <w:t xml:space="preserve"> once a year.</w:t>
      </w:r>
      <w:r w:rsidRPr="006A59AF">
        <w:rPr>
          <w:rFonts w:ascii="Cambria" w:eastAsiaTheme="majorEastAsia" w:hAnsi="Cambria"/>
          <w:sz w:val="24"/>
          <w:szCs w:val="24"/>
        </w:rPr>
        <w:t xml:space="preserve"> </w:t>
      </w:r>
    </w:p>
    <w:p w14:paraId="2DE3A1DE" w14:textId="01DAD6C3" w:rsidR="006C0FE2" w:rsidRPr="006A59AF" w:rsidRDefault="00DA504F" w:rsidP="007B4F48">
      <w:pPr>
        <w:pStyle w:val="Heading2"/>
        <w:ind w:firstLine="720"/>
        <w:rPr>
          <w:rFonts w:ascii="Cambria" w:hAnsi="Cambria" w:cstheme="minorBidi"/>
          <w:b/>
          <w:bCs/>
          <w:color w:val="000000" w:themeColor="text1"/>
          <w:sz w:val="24"/>
          <w:szCs w:val="24"/>
          <w:u w:val="single"/>
        </w:rPr>
      </w:pPr>
      <w:bookmarkStart w:id="11" w:name="_Toc492293759"/>
      <w:r w:rsidRPr="006A59AF">
        <w:rPr>
          <w:rFonts w:ascii="Cambria" w:hAnsi="Cambria" w:cstheme="minorBidi"/>
          <w:b/>
          <w:bCs/>
          <w:color w:val="000000" w:themeColor="text1"/>
          <w:sz w:val="24"/>
          <w:szCs w:val="24"/>
          <w:u w:val="single"/>
        </w:rPr>
        <w:t xml:space="preserve">6.5 The </w:t>
      </w:r>
      <w:r w:rsidR="006C0FE2" w:rsidRPr="006A59AF">
        <w:rPr>
          <w:rFonts w:ascii="Cambria" w:hAnsi="Cambria" w:cstheme="minorBidi"/>
          <w:b/>
          <w:bCs/>
          <w:color w:val="000000" w:themeColor="text1"/>
          <w:sz w:val="24"/>
          <w:szCs w:val="24"/>
          <w:u w:val="single"/>
        </w:rPr>
        <w:t>International Advisory Council</w:t>
      </w:r>
      <w:bookmarkEnd w:id="11"/>
    </w:p>
    <w:p w14:paraId="1DC0776D" w14:textId="2E9D1B2F" w:rsidR="003C0094" w:rsidRPr="006A59AF" w:rsidRDefault="005E6FAB" w:rsidP="003C0094">
      <w:pPr>
        <w:pStyle w:val="ListParagraph"/>
        <w:spacing w:line="360" w:lineRule="auto"/>
        <w:ind w:left="826"/>
        <w:rPr>
          <w:rFonts w:ascii="Cambria" w:eastAsiaTheme="majorEastAsia" w:hAnsi="Cambria"/>
          <w:sz w:val="24"/>
          <w:szCs w:val="24"/>
        </w:rPr>
      </w:pPr>
      <w:r w:rsidRPr="006A59AF">
        <w:rPr>
          <w:rFonts w:ascii="Cambria" w:eastAsiaTheme="majorEastAsia" w:hAnsi="Cambria"/>
          <w:sz w:val="24"/>
          <w:szCs w:val="24"/>
        </w:rPr>
        <w:t xml:space="preserve">The International Advisory Council will advise the Institute on pedagogical and professional matters linked to its activity. It will be headed by an international personality from the educational research field, who will be appointed by </w:t>
      </w:r>
      <w:r w:rsidR="009574D2" w:rsidRPr="006A59AF">
        <w:rPr>
          <w:rFonts w:ascii="Cambria" w:eastAsiaTheme="majorEastAsia" w:hAnsi="Cambria"/>
          <w:sz w:val="24"/>
          <w:szCs w:val="24"/>
        </w:rPr>
        <w:t>the Executive Committee</w:t>
      </w:r>
      <w:r w:rsidR="007B4F48" w:rsidRPr="006A59AF">
        <w:rPr>
          <w:rFonts w:ascii="Cambria" w:eastAsiaTheme="majorEastAsia" w:hAnsi="Cambria"/>
          <w:sz w:val="24"/>
          <w:szCs w:val="24"/>
        </w:rPr>
        <w:t>,</w:t>
      </w:r>
      <w:r w:rsidR="009574D2" w:rsidRPr="006A59AF">
        <w:rPr>
          <w:rFonts w:ascii="Cambria" w:eastAsiaTheme="majorEastAsia" w:hAnsi="Cambria"/>
          <w:sz w:val="24"/>
          <w:szCs w:val="24"/>
        </w:rPr>
        <w:t xml:space="preserve"> </w:t>
      </w:r>
      <w:proofErr w:type="gramStart"/>
      <w:r w:rsidR="009574D2" w:rsidRPr="006A59AF">
        <w:rPr>
          <w:rFonts w:ascii="Cambria" w:eastAsiaTheme="majorEastAsia" w:hAnsi="Cambria"/>
          <w:sz w:val="24"/>
          <w:szCs w:val="24"/>
        </w:rPr>
        <w:t>provided that</w:t>
      </w:r>
      <w:proofErr w:type="gramEnd"/>
      <w:r w:rsidR="009574D2" w:rsidRPr="006A59AF">
        <w:rPr>
          <w:rFonts w:ascii="Cambria" w:eastAsiaTheme="majorEastAsia" w:hAnsi="Cambria"/>
          <w:sz w:val="24"/>
          <w:szCs w:val="24"/>
        </w:rPr>
        <w:t xml:space="preserve"> </w:t>
      </w:r>
      <w:r w:rsidR="005D51F7" w:rsidRPr="006A59AF">
        <w:rPr>
          <w:rFonts w:ascii="Cambria" w:eastAsiaTheme="majorEastAsia" w:hAnsi="Cambria"/>
          <w:sz w:val="24"/>
          <w:szCs w:val="24"/>
        </w:rPr>
        <w:t>agreement</w:t>
      </w:r>
      <w:r w:rsidR="009574D2" w:rsidRPr="006A59AF">
        <w:rPr>
          <w:rFonts w:ascii="Cambria" w:eastAsiaTheme="majorEastAsia" w:hAnsi="Cambria"/>
          <w:sz w:val="24"/>
          <w:szCs w:val="24"/>
        </w:rPr>
        <w:t xml:space="preserve"> has been obtained from the </w:t>
      </w:r>
      <w:r w:rsidR="005D51F7" w:rsidRPr="006A59AF">
        <w:rPr>
          <w:rFonts w:ascii="Cambria" w:eastAsiaTheme="majorEastAsia" w:hAnsi="Cambria"/>
          <w:sz w:val="24"/>
          <w:szCs w:val="24"/>
        </w:rPr>
        <w:t>Chairperson of the Executive Committee, his/her deputy</w:t>
      </w:r>
      <w:r w:rsidR="007B4F48" w:rsidRPr="006A59AF">
        <w:rPr>
          <w:rFonts w:ascii="Cambria" w:eastAsiaTheme="majorEastAsia" w:hAnsi="Cambria"/>
          <w:sz w:val="24"/>
          <w:szCs w:val="24"/>
        </w:rPr>
        <w:t>,</w:t>
      </w:r>
      <w:r w:rsidR="005D51F7" w:rsidRPr="006A59AF">
        <w:rPr>
          <w:rFonts w:ascii="Cambria" w:eastAsiaTheme="majorEastAsia" w:hAnsi="Cambria"/>
          <w:sz w:val="24"/>
          <w:szCs w:val="24"/>
        </w:rPr>
        <w:t xml:space="preserve"> and the Director General of the Trump Foundation. The remaining members of the Council, who shall number no fewer than ten, will be appointed by the Executive Committee from among those with recognized status in Israel and abroad in the fields in which the Institute operates.</w:t>
      </w:r>
    </w:p>
    <w:p w14:paraId="5D7513A3" w14:textId="77777777" w:rsidR="003C0094" w:rsidRPr="006A59AF" w:rsidRDefault="003C0094" w:rsidP="003C0094">
      <w:pPr>
        <w:pStyle w:val="ListParagraph"/>
        <w:spacing w:line="360" w:lineRule="auto"/>
        <w:ind w:left="826"/>
        <w:rPr>
          <w:rFonts w:ascii="Cambria" w:eastAsiaTheme="majorEastAsia" w:hAnsi="Cambria"/>
          <w:sz w:val="24"/>
          <w:szCs w:val="24"/>
        </w:rPr>
      </w:pPr>
    </w:p>
    <w:p w14:paraId="4412D242" w14:textId="53BFEBAF" w:rsidR="003C0094" w:rsidRPr="006A59AF" w:rsidRDefault="00DA504F" w:rsidP="00DA504F">
      <w:pPr>
        <w:pStyle w:val="Heading1"/>
        <w:rPr>
          <w:rFonts w:ascii="Cambria" w:hAnsi="Cambria" w:cstheme="minorBidi"/>
          <w:b/>
          <w:bCs/>
          <w:color w:val="000000" w:themeColor="text1"/>
          <w:sz w:val="24"/>
          <w:szCs w:val="24"/>
        </w:rPr>
      </w:pPr>
      <w:bookmarkStart w:id="12" w:name="_Toc492293760"/>
      <w:r w:rsidRPr="006A59AF">
        <w:rPr>
          <w:rFonts w:ascii="Cambria" w:hAnsi="Cambria" w:cstheme="minorBidi"/>
          <w:b/>
          <w:bCs/>
          <w:color w:val="000000" w:themeColor="text1"/>
          <w:sz w:val="24"/>
          <w:szCs w:val="24"/>
        </w:rPr>
        <w:t xml:space="preserve">7. </w:t>
      </w:r>
      <w:r w:rsidR="003C0094" w:rsidRPr="006A59AF">
        <w:rPr>
          <w:rFonts w:ascii="Cambria" w:hAnsi="Cambria" w:cstheme="minorBidi"/>
          <w:b/>
          <w:bCs/>
          <w:color w:val="000000" w:themeColor="text1"/>
          <w:sz w:val="24"/>
          <w:szCs w:val="24"/>
        </w:rPr>
        <w:t>Budget</w:t>
      </w:r>
      <w:bookmarkEnd w:id="12"/>
    </w:p>
    <w:p w14:paraId="7D1C388B" w14:textId="4978589C" w:rsidR="00BB7CFE" w:rsidRPr="006A59AF" w:rsidRDefault="00BB7CFE" w:rsidP="0001510B">
      <w:pPr>
        <w:pStyle w:val="ListParagraph"/>
        <w:spacing w:line="360" w:lineRule="auto"/>
        <w:ind w:left="284"/>
        <w:rPr>
          <w:rFonts w:ascii="Cambria" w:eastAsiaTheme="majorEastAsia" w:hAnsi="Cambria"/>
          <w:sz w:val="24"/>
          <w:szCs w:val="24"/>
        </w:rPr>
      </w:pPr>
      <w:r w:rsidRPr="006A59AF">
        <w:rPr>
          <w:rFonts w:ascii="Cambria" w:eastAsiaTheme="majorEastAsia" w:hAnsi="Cambria"/>
          <w:sz w:val="24"/>
          <w:szCs w:val="24"/>
        </w:rPr>
        <w:t xml:space="preserve">The Institute's multi-year budget framework for five years shall be a total of 140,000,000 NIS (see appendix). The budget shall be divided equally between the government (50%) on the one hand, and the Weizmann Institute </w:t>
      </w:r>
      <w:r w:rsidR="007B4F48" w:rsidRPr="006A59AF">
        <w:rPr>
          <w:rFonts w:ascii="Cambria" w:eastAsiaTheme="majorEastAsia" w:hAnsi="Cambria"/>
          <w:sz w:val="24"/>
          <w:szCs w:val="24"/>
        </w:rPr>
        <w:t>via</w:t>
      </w:r>
      <w:r w:rsidRPr="006A59AF">
        <w:rPr>
          <w:rFonts w:ascii="Cambria" w:eastAsiaTheme="majorEastAsia" w:hAnsi="Cambria"/>
          <w:sz w:val="24"/>
          <w:szCs w:val="24"/>
        </w:rPr>
        <w:t xml:space="preserve"> the Trump Foundation (50%) on the other hand. The payments to the Institute shall be implemented by </w:t>
      </w:r>
      <w:r w:rsidR="007B4F48" w:rsidRPr="006A59AF">
        <w:rPr>
          <w:rFonts w:ascii="Cambria" w:eastAsiaTheme="majorEastAsia" w:hAnsi="Cambria"/>
          <w:sz w:val="24"/>
          <w:szCs w:val="24"/>
        </w:rPr>
        <w:t xml:space="preserve">the </w:t>
      </w:r>
      <w:r w:rsidRPr="006A59AF">
        <w:rPr>
          <w:rFonts w:ascii="Cambria" w:eastAsiaTheme="majorEastAsia" w:hAnsi="Cambria"/>
          <w:sz w:val="24"/>
          <w:szCs w:val="24"/>
        </w:rPr>
        <w:t xml:space="preserve">parties on a quarterly basis, according to a payments schedule and in accordance with progress reports, and will be transferred to the Weizmann Institute. </w:t>
      </w:r>
      <w:r w:rsidRPr="006A59AF">
        <w:rPr>
          <w:rFonts w:ascii="Cambria" w:eastAsiaTheme="majorEastAsia" w:hAnsi="Cambria"/>
          <w:sz w:val="24"/>
          <w:szCs w:val="24"/>
          <w:highlight w:val="yellow"/>
        </w:rPr>
        <w:t>The accountant of the joint venture shall be the accountant of the Weizmann Institute.</w:t>
      </w:r>
    </w:p>
    <w:p w14:paraId="28EC470B" w14:textId="77777777" w:rsidR="007B4F48" w:rsidRPr="006A59AF" w:rsidRDefault="007B4F48" w:rsidP="004C678F">
      <w:pPr>
        <w:pStyle w:val="ListParagraph"/>
        <w:spacing w:line="360" w:lineRule="auto"/>
        <w:ind w:left="426"/>
        <w:rPr>
          <w:rFonts w:ascii="Cambria" w:eastAsiaTheme="majorEastAsia" w:hAnsi="Cambria"/>
          <w:sz w:val="24"/>
          <w:szCs w:val="24"/>
          <w:lang w:val="en-GB"/>
        </w:rPr>
      </w:pPr>
    </w:p>
    <w:p w14:paraId="6ADE543B" w14:textId="1A743DFA" w:rsidR="00BB7CFE" w:rsidRPr="006A59AF" w:rsidRDefault="00A47251" w:rsidP="007B4F48">
      <w:pPr>
        <w:pStyle w:val="ListParagraph"/>
        <w:spacing w:line="360" w:lineRule="auto"/>
        <w:ind w:left="426" w:firstLine="294"/>
        <w:rPr>
          <w:rFonts w:ascii="Cambria" w:eastAsiaTheme="majorEastAsia" w:hAnsi="Cambria"/>
          <w:sz w:val="24"/>
          <w:szCs w:val="24"/>
          <w:lang w:val="en-GB"/>
        </w:rPr>
      </w:pPr>
      <w:r w:rsidRPr="006A59AF">
        <w:rPr>
          <w:rFonts w:ascii="Cambria" w:eastAsiaTheme="majorEastAsia" w:hAnsi="Cambria"/>
          <w:sz w:val="24"/>
          <w:szCs w:val="24"/>
          <w:lang w:val="en-GB"/>
        </w:rPr>
        <w:t xml:space="preserve">The Weizmann Institute shall </w:t>
      </w:r>
      <w:r w:rsidR="007B4F48" w:rsidRPr="006A59AF">
        <w:rPr>
          <w:rFonts w:ascii="Cambria" w:eastAsiaTheme="majorEastAsia" w:hAnsi="Cambria"/>
          <w:sz w:val="24"/>
          <w:szCs w:val="24"/>
          <w:lang w:val="en-GB"/>
        </w:rPr>
        <w:t>maintain</w:t>
      </w:r>
      <w:r w:rsidRPr="006A59AF">
        <w:rPr>
          <w:rFonts w:ascii="Cambria" w:eastAsiaTheme="majorEastAsia" w:hAnsi="Cambria"/>
          <w:sz w:val="24"/>
          <w:szCs w:val="24"/>
          <w:lang w:val="en-GB"/>
        </w:rPr>
        <w:t xml:space="preserve"> a separate set of accounts for the Institute, including managing a separate and dedicated bank account and managing a separate and dedicated</w:t>
      </w:r>
      <w:r w:rsidR="004C678F" w:rsidRPr="006A59AF">
        <w:rPr>
          <w:rFonts w:ascii="Cambria" w:eastAsiaTheme="majorEastAsia" w:hAnsi="Cambria"/>
          <w:sz w:val="24"/>
          <w:szCs w:val="24"/>
          <w:lang w:val="en-GB"/>
        </w:rPr>
        <w:t xml:space="preserve"> bookkeeping system</w:t>
      </w:r>
      <w:r w:rsidR="007B4F48" w:rsidRPr="006A59AF">
        <w:rPr>
          <w:rFonts w:ascii="Cambria" w:eastAsiaTheme="majorEastAsia" w:hAnsi="Cambria"/>
          <w:sz w:val="24"/>
          <w:szCs w:val="24"/>
          <w:lang w:val="en-GB"/>
        </w:rPr>
        <w:t xml:space="preserve">, separate financial statements, </w:t>
      </w:r>
      <w:r w:rsidR="004C678F" w:rsidRPr="006A59AF">
        <w:rPr>
          <w:rFonts w:ascii="Cambria" w:eastAsiaTheme="majorEastAsia" w:hAnsi="Cambria"/>
          <w:sz w:val="24"/>
          <w:szCs w:val="24"/>
          <w:lang w:val="en-GB"/>
        </w:rPr>
        <w:t>and separate notes in its financial statements.</w:t>
      </w:r>
    </w:p>
    <w:p w14:paraId="0382C3C2" w14:textId="77777777" w:rsidR="007B4F48" w:rsidRPr="006A59AF" w:rsidRDefault="007B4F48" w:rsidP="00722D25">
      <w:pPr>
        <w:pStyle w:val="ListParagraph"/>
        <w:spacing w:line="360" w:lineRule="auto"/>
        <w:ind w:left="426"/>
        <w:rPr>
          <w:rFonts w:ascii="Cambria" w:eastAsiaTheme="majorEastAsia" w:hAnsi="Cambria"/>
          <w:sz w:val="24"/>
          <w:szCs w:val="24"/>
          <w:lang w:val="en-GB"/>
        </w:rPr>
      </w:pPr>
    </w:p>
    <w:p w14:paraId="1DC0D3CC" w14:textId="0EDB25A4" w:rsidR="00DA5BBB" w:rsidRPr="006A59AF" w:rsidRDefault="004C678F" w:rsidP="007B4F48">
      <w:pPr>
        <w:pStyle w:val="ListParagraph"/>
        <w:spacing w:line="360" w:lineRule="auto"/>
        <w:ind w:left="426" w:firstLine="294"/>
        <w:rPr>
          <w:rFonts w:ascii="Cambria" w:eastAsiaTheme="majorEastAsia" w:hAnsi="Cambria"/>
          <w:sz w:val="24"/>
          <w:szCs w:val="24"/>
          <w:lang w:val="en-GB"/>
        </w:rPr>
      </w:pPr>
      <w:r w:rsidRPr="006A59AF">
        <w:rPr>
          <w:rFonts w:ascii="Cambria" w:eastAsiaTheme="majorEastAsia" w:hAnsi="Cambria"/>
          <w:sz w:val="24"/>
          <w:szCs w:val="24"/>
          <w:lang w:val="en-GB"/>
        </w:rPr>
        <w:lastRenderedPageBreak/>
        <w:t>The Ministry of Education will approve the agreement in its Central Purchasing Committee and in the Ministry of Finance's Exemption Committee</w:t>
      </w:r>
      <w:r w:rsidR="007B4F48" w:rsidRPr="006A59AF">
        <w:rPr>
          <w:rFonts w:ascii="Cambria" w:eastAsiaTheme="majorEastAsia" w:hAnsi="Cambria"/>
          <w:sz w:val="24"/>
          <w:szCs w:val="24"/>
          <w:lang w:val="en-GB"/>
        </w:rPr>
        <w:t>,</w:t>
      </w:r>
      <w:r w:rsidRPr="006A59AF">
        <w:rPr>
          <w:rFonts w:ascii="Cambria" w:eastAsiaTheme="majorEastAsia" w:hAnsi="Cambria"/>
          <w:sz w:val="24"/>
          <w:szCs w:val="24"/>
          <w:lang w:val="en-GB"/>
        </w:rPr>
        <w:t xml:space="preserve"> and will also obtain authorization to commit to the total amount of its share in the </w:t>
      </w:r>
      <w:r w:rsidR="007B4F48" w:rsidRPr="006A59AF">
        <w:rPr>
          <w:rFonts w:ascii="Cambria" w:eastAsiaTheme="majorEastAsia" w:hAnsi="Cambria"/>
          <w:sz w:val="24"/>
          <w:szCs w:val="24"/>
          <w:lang w:val="en-GB"/>
        </w:rPr>
        <w:t>Institute's multi-year budget</w:t>
      </w:r>
      <w:r w:rsidRPr="006A59AF">
        <w:rPr>
          <w:rFonts w:ascii="Cambria" w:eastAsiaTheme="majorEastAsia" w:hAnsi="Cambria"/>
          <w:sz w:val="24"/>
          <w:szCs w:val="24"/>
          <w:lang w:val="en-GB"/>
        </w:rPr>
        <w:t xml:space="preserve">. The Trump Foundation will approve its part </w:t>
      </w:r>
      <w:r w:rsidR="007B4F48" w:rsidRPr="006A59AF">
        <w:rPr>
          <w:rFonts w:ascii="Cambria" w:eastAsiaTheme="majorEastAsia" w:hAnsi="Cambria"/>
          <w:sz w:val="24"/>
          <w:szCs w:val="24"/>
          <w:lang w:val="en-GB"/>
        </w:rPr>
        <w:t>at</w:t>
      </w:r>
      <w:r w:rsidRPr="006A59AF">
        <w:rPr>
          <w:rFonts w:ascii="Cambria" w:eastAsiaTheme="majorEastAsia" w:hAnsi="Cambria"/>
          <w:sz w:val="24"/>
          <w:szCs w:val="24"/>
          <w:lang w:val="en-GB"/>
        </w:rPr>
        <w:t xml:space="preserve"> the meeting of the Foundation's Bo</w:t>
      </w:r>
      <w:r w:rsidR="007B4F48" w:rsidRPr="006A59AF">
        <w:rPr>
          <w:rFonts w:ascii="Cambria" w:eastAsiaTheme="majorEastAsia" w:hAnsi="Cambria"/>
          <w:sz w:val="24"/>
          <w:szCs w:val="24"/>
          <w:lang w:val="en-GB"/>
        </w:rPr>
        <w:t xml:space="preserve">ard of Directors and will sign a grant letter </w:t>
      </w:r>
      <w:r w:rsidRPr="006A59AF">
        <w:rPr>
          <w:rFonts w:ascii="Cambria" w:eastAsiaTheme="majorEastAsia" w:hAnsi="Cambria"/>
          <w:sz w:val="24"/>
          <w:szCs w:val="24"/>
          <w:lang w:val="en-GB"/>
        </w:rPr>
        <w:t>toget</w:t>
      </w:r>
      <w:r w:rsidR="007B4F48" w:rsidRPr="006A59AF">
        <w:rPr>
          <w:rFonts w:ascii="Cambria" w:eastAsiaTheme="majorEastAsia" w:hAnsi="Cambria"/>
          <w:sz w:val="24"/>
          <w:szCs w:val="24"/>
          <w:lang w:val="en-GB"/>
        </w:rPr>
        <w:t>her with the Weizmann Institute</w:t>
      </w:r>
      <w:r w:rsidRPr="006A59AF">
        <w:rPr>
          <w:rFonts w:ascii="Cambria" w:eastAsiaTheme="majorEastAsia" w:hAnsi="Cambria"/>
          <w:sz w:val="24"/>
          <w:szCs w:val="24"/>
          <w:lang w:val="en-GB"/>
        </w:rPr>
        <w:t xml:space="preserve">. At the end of the agreement period, the Ministry of Education and the Weizmann Institute will work to raise budget funds for continued activity in accordance with the rules of the joint venture. </w:t>
      </w:r>
    </w:p>
    <w:p w14:paraId="2D1CA148" w14:textId="77777777" w:rsidR="00B56192" w:rsidRPr="006A59AF" w:rsidRDefault="00B56192" w:rsidP="00B56192">
      <w:pPr>
        <w:pStyle w:val="ListParagraph"/>
        <w:spacing w:line="360" w:lineRule="auto"/>
        <w:ind w:left="426"/>
        <w:rPr>
          <w:rFonts w:ascii="Cambria" w:eastAsiaTheme="majorEastAsia" w:hAnsi="Cambria"/>
          <w:b/>
          <w:bCs/>
          <w:sz w:val="24"/>
          <w:szCs w:val="24"/>
        </w:rPr>
      </w:pPr>
    </w:p>
    <w:p w14:paraId="0783AC6F" w14:textId="23D4291F" w:rsidR="00794159" w:rsidRPr="006A59AF" w:rsidRDefault="00794159">
      <w:pPr>
        <w:rPr>
          <w:rFonts w:ascii="Cambria" w:hAnsi="Cambria"/>
          <w:sz w:val="24"/>
          <w:szCs w:val="24"/>
        </w:rPr>
      </w:pPr>
      <w:r w:rsidRPr="006A59AF">
        <w:rPr>
          <w:rFonts w:ascii="Cambria" w:hAnsi="Cambria"/>
          <w:sz w:val="24"/>
          <w:szCs w:val="24"/>
        </w:rPr>
        <w:br w:type="page"/>
      </w:r>
    </w:p>
    <w:p w14:paraId="1D3A5F15" w14:textId="77777777" w:rsidR="00E9394E" w:rsidRPr="006A59AF" w:rsidRDefault="00E9394E" w:rsidP="00E9394E">
      <w:pPr>
        <w:rPr>
          <w:rFonts w:ascii="Cambria" w:hAnsi="Cambria"/>
          <w:sz w:val="24"/>
          <w:szCs w:val="24"/>
        </w:rPr>
      </w:pPr>
    </w:p>
    <w:p w14:paraId="476E3F28" w14:textId="7A0706E0" w:rsidR="00E209A2" w:rsidRPr="006A59AF" w:rsidRDefault="00E209A2" w:rsidP="00DA504F">
      <w:pPr>
        <w:pStyle w:val="Heading1"/>
        <w:rPr>
          <w:rFonts w:ascii="Cambria" w:hAnsi="Cambria" w:cstheme="minorBidi"/>
          <w:b/>
          <w:bCs/>
          <w:color w:val="000000" w:themeColor="text1"/>
          <w:sz w:val="24"/>
          <w:szCs w:val="24"/>
        </w:rPr>
      </w:pPr>
      <w:bookmarkStart w:id="13" w:name="_Toc492293761"/>
      <w:r w:rsidRPr="006A59AF">
        <w:rPr>
          <w:rFonts w:ascii="Cambria" w:hAnsi="Cambria" w:cstheme="minorBidi"/>
          <w:b/>
          <w:bCs/>
          <w:color w:val="000000" w:themeColor="text1"/>
          <w:sz w:val="24"/>
          <w:szCs w:val="24"/>
        </w:rPr>
        <w:t>8.</w:t>
      </w:r>
      <w:r w:rsidR="00DD71A0" w:rsidRPr="006A59AF">
        <w:rPr>
          <w:rFonts w:ascii="Cambria" w:hAnsi="Cambria" w:cstheme="minorBidi"/>
          <w:b/>
          <w:bCs/>
          <w:color w:val="000000" w:themeColor="text1"/>
          <w:sz w:val="24"/>
          <w:szCs w:val="24"/>
        </w:rPr>
        <w:t xml:space="preserve"> Appendix: Framework for distribution of funds between the partners</w:t>
      </w:r>
      <w:bookmarkEnd w:id="13"/>
    </w:p>
    <w:tbl>
      <w:tblPr>
        <w:tblStyle w:val="TableGrid"/>
        <w:tblW w:w="0" w:type="auto"/>
        <w:tblInd w:w="226" w:type="dxa"/>
        <w:tblLayout w:type="fixed"/>
        <w:tblLook w:val="04A0" w:firstRow="1" w:lastRow="0" w:firstColumn="1" w:lastColumn="0" w:noHBand="0" w:noVBand="1"/>
      </w:tblPr>
      <w:tblGrid>
        <w:gridCol w:w="1896"/>
        <w:gridCol w:w="1275"/>
        <w:gridCol w:w="1276"/>
        <w:gridCol w:w="1276"/>
        <w:gridCol w:w="1276"/>
        <w:gridCol w:w="1275"/>
        <w:gridCol w:w="850"/>
      </w:tblGrid>
      <w:tr w:rsidR="004A4B7D" w:rsidRPr="006A59AF" w14:paraId="640F372D" w14:textId="77777777" w:rsidTr="004A4B7D">
        <w:tc>
          <w:tcPr>
            <w:tcW w:w="1896" w:type="dxa"/>
          </w:tcPr>
          <w:p w14:paraId="6B79AA5C" w14:textId="77777777" w:rsidR="00E209A2" w:rsidRPr="006A59AF" w:rsidRDefault="00E209A2" w:rsidP="00E9394E">
            <w:pPr>
              <w:rPr>
                <w:rFonts w:ascii="Cambria" w:hAnsi="Cambria"/>
                <w:sz w:val="18"/>
                <w:szCs w:val="18"/>
              </w:rPr>
            </w:pPr>
          </w:p>
        </w:tc>
        <w:tc>
          <w:tcPr>
            <w:tcW w:w="1275" w:type="dxa"/>
          </w:tcPr>
          <w:p w14:paraId="35897A8B" w14:textId="77777777" w:rsidR="00E209A2" w:rsidRPr="006A59AF" w:rsidRDefault="00E209A2" w:rsidP="00910EB5">
            <w:pPr>
              <w:jc w:val="center"/>
              <w:rPr>
                <w:rFonts w:ascii="Cambria" w:hAnsi="Cambria"/>
                <w:sz w:val="18"/>
                <w:szCs w:val="18"/>
              </w:rPr>
            </w:pPr>
            <w:r w:rsidRPr="006A59AF">
              <w:rPr>
                <w:rFonts w:ascii="Cambria" w:hAnsi="Cambria"/>
                <w:sz w:val="18"/>
                <w:szCs w:val="18"/>
              </w:rPr>
              <w:t>2018</w:t>
            </w:r>
          </w:p>
        </w:tc>
        <w:tc>
          <w:tcPr>
            <w:tcW w:w="1276" w:type="dxa"/>
          </w:tcPr>
          <w:p w14:paraId="762EE85B" w14:textId="77777777" w:rsidR="00E209A2" w:rsidRPr="006A59AF" w:rsidRDefault="00E209A2" w:rsidP="00910EB5">
            <w:pPr>
              <w:jc w:val="center"/>
              <w:rPr>
                <w:rFonts w:ascii="Cambria" w:hAnsi="Cambria"/>
                <w:sz w:val="18"/>
                <w:szCs w:val="18"/>
              </w:rPr>
            </w:pPr>
            <w:r w:rsidRPr="006A59AF">
              <w:rPr>
                <w:rFonts w:ascii="Cambria" w:hAnsi="Cambria"/>
                <w:sz w:val="18"/>
                <w:szCs w:val="18"/>
              </w:rPr>
              <w:t>2019</w:t>
            </w:r>
          </w:p>
        </w:tc>
        <w:tc>
          <w:tcPr>
            <w:tcW w:w="1276" w:type="dxa"/>
          </w:tcPr>
          <w:p w14:paraId="0094DE4D" w14:textId="77777777" w:rsidR="00E209A2" w:rsidRPr="006A59AF" w:rsidRDefault="00E209A2" w:rsidP="00910EB5">
            <w:pPr>
              <w:jc w:val="center"/>
              <w:rPr>
                <w:rFonts w:ascii="Cambria" w:hAnsi="Cambria"/>
                <w:sz w:val="18"/>
                <w:szCs w:val="18"/>
              </w:rPr>
            </w:pPr>
            <w:r w:rsidRPr="006A59AF">
              <w:rPr>
                <w:rFonts w:ascii="Cambria" w:hAnsi="Cambria"/>
                <w:sz w:val="18"/>
                <w:szCs w:val="18"/>
              </w:rPr>
              <w:t>2020</w:t>
            </w:r>
          </w:p>
        </w:tc>
        <w:tc>
          <w:tcPr>
            <w:tcW w:w="1276" w:type="dxa"/>
          </w:tcPr>
          <w:p w14:paraId="6A20F188" w14:textId="77777777" w:rsidR="00E209A2" w:rsidRPr="006A59AF" w:rsidRDefault="00E209A2" w:rsidP="00910EB5">
            <w:pPr>
              <w:jc w:val="center"/>
              <w:rPr>
                <w:rFonts w:ascii="Cambria" w:hAnsi="Cambria"/>
                <w:sz w:val="18"/>
                <w:szCs w:val="18"/>
              </w:rPr>
            </w:pPr>
            <w:r w:rsidRPr="006A59AF">
              <w:rPr>
                <w:rFonts w:ascii="Cambria" w:hAnsi="Cambria"/>
                <w:sz w:val="18"/>
                <w:szCs w:val="18"/>
              </w:rPr>
              <w:t>2021</w:t>
            </w:r>
          </w:p>
        </w:tc>
        <w:tc>
          <w:tcPr>
            <w:tcW w:w="1275" w:type="dxa"/>
          </w:tcPr>
          <w:p w14:paraId="0CDEEC24" w14:textId="77777777" w:rsidR="00E209A2" w:rsidRPr="006A59AF" w:rsidRDefault="00E209A2" w:rsidP="00910EB5">
            <w:pPr>
              <w:jc w:val="center"/>
              <w:rPr>
                <w:rFonts w:ascii="Cambria" w:hAnsi="Cambria"/>
                <w:sz w:val="18"/>
                <w:szCs w:val="18"/>
              </w:rPr>
            </w:pPr>
            <w:r w:rsidRPr="006A59AF">
              <w:rPr>
                <w:rFonts w:ascii="Cambria" w:hAnsi="Cambria"/>
                <w:sz w:val="18"/>
                <w:szCs w:val="18"/>
              </w:rPr>
              <w:t>2022</w:t>
            </w:r>
          </w:p>
        </w:tc>
        <w:tc>
          <w:tcPr>
            <w:tcW w:w="850" w:type="dxa"/>
          </w:tcPr>
          <w:p w14:paraId="5F15D813" w14:textId="77777777" w:rsidR="00E209A2" w:rsidRPr="006A59AF" w:rsidRDefault="00E209A2" w:rsidP="00910EB5">
            <w:pPr>
              <w:jc w:val="center"/>
              <w:rPr>
                <w:rFonts w:ascii="Cambria" w:hAnsi="Cambria"/>
                <w:sz w:val="18"/>
                <w:szCs w:val="18"/>
              </w:rPr>
            </w:pPr>
            <w:r w:rsidRPr="006A59AF">
              <w:rPr>
                <w:rFonts w:ascii="Cambria" w:hAnsi="Cambria"/>
                <w:sz w:val="18"/>
                <w:szCs w:val="18"/>
              </w:rPr>
              <w:t>Total</w:t>
            </w:r>
          </w:p>
        </w:tc>
      </w:tr>
      <w:tr w:rsidR="004A4B7D" w:rsidRPr="006A59AF" w14:paraId="51EFF85B" w14:textId="77777777" w:rsidTr="004A4B7D">
        <w:tc>
          <w:tcPr>
            <w:tcW w:w="1896" w:type="dxa"/>
            <w:vMerge w:val="restart"/>
          </w:tcPr>
          <w:p w14:paraId="36C4B73A" w14:textId="77777777" w:rsidR="00FD3D9B" w:rsidRPr="006A59AF" w:rsidRDefault="00FD3D9B" w:rsidP="00E9394E">
            <w:pPr>
              <w:rPr>
                <w:rFonts w:ascii="Cambria" w:hAnsi="Cambria"/>
                <w:sz w:val="18"/>
                <w:szCs w:val="18"/>
              </w:rPr>
            </w:pPr>
            <w:r w:rsidRPr="006A59AF">
              <w:rPr>
                <w:rFonts w:ascii="Cambria" w:hAnsi="Cambria"/>
                <w:sz w:val="18"/>
                <w:szCs w:val="18"/>
              </w:rPr>
              <w:t>Activity- Ministry of Education</w:t>
            </w:r>
          </w:p>
        </w:tc>
        <w:tc>
          <w:tcPr>
            <w:tcW w:w="1275" w:type="dxa"/>
            <w:vAlign w:val="center"/>
          </w:tcPr>
          <w:p w14:paraId="33B60BE8" w14:textId="149D5A6C" w:rsidR="00FD3D9B" w:rsidRPr="006A59AF" w:rsidRDefault="00FD3D9B" w:rsidP="004A4B7D">
            <w:pPr>
              <w:rPr>
                <w:rFonts w:ascii="Cambria" w:hAnsi="Cambria"/>
                <w:sz w:val="18"/>
                <w:szCs w:val="18"/>
              </w:rPr>
            </w:pPr>
            <w:r w:rsidRPr="006A59AF">
              <w:rPr>
                <w:rFonts w:ascii="Cambria" w:hAnsi="Cambria"/>
                <w:sz w:val="18"/>
                <w:szCs w:val="18"/>
              </w:rPr>
              <w:t>5M NIS</w:t>
            </w:r>
          </w:p>
        </w:tc>
        <w:tc>
          <w:tcPr>
            <w:tcW w:w="1276" w:type="dxa"/>
            <w:vAlign w:val="center"/>
          </w:tcPr>
          <w:p w14:paraId="69F382F8" w14:textId="73A2A6FD" w:rsidR="00FD3D9B" w:rsidRPr="006A59AF" w:rsidRDefault="00FD3D9B" w:rsidP="004A4B7D">
            <w:pPr>
              <w:rPr>
                <w:rFonts w:ascii="Cambria" w:hAnsi="Cambria"/>
                <w:sz w:val="18"/>
                <w:szCs w:val="18"/>
                <w:rtl/>
              </w:rPr>
            </w:pPr>
            <w:r w:rsidRPr="006A59AF">
              <w:rPr>
                <w:rFonts w:ascii="Cambria" w:hAnsi="Cambria"/>
                <w:sz w:val="18"/>
                <w:szCs w:val="18"/>
              </w:rPr>
              <w:t>7.5M NIS</w:t>
            </w:r>
          </w:p>
        </w:tc>
        <w:tc>
          <w:tcPr>
            <w:tcW w:w="1276" w:type="dxa"/>
            <w:vAlign w:val="center"/>
          </w:tcPr>
          <w:p w14:paraId="3DF44D12" w14:textId="217F0B1A" w:rsidR="00FD3D9B" w:rsidRPr="006A59AF" w:rsidRDefault="00FD3D9B" w:rsidP="004A4B7D">
            <w:pPr>
              <w:rPr>
                <w:rFonts w:ascii="Cambria" w:hAnsi="Cambria"/>
                <w:sz w:val="18"/>
                <w:szCs w:val="18"/>
              </w:rPr>
            </w:pPr>
            <w:r w:rsidRPr="006A59AF">
              <w:rPr>
                <w:rFonts w:ascii="Cambria" w:hAnsi="Cambria"/>
                <w:sz w:val="18"/>
                <w:szCs w:val="18"/>
              </w:rPr>
              <w:t>10M NIS</w:t>
            </w:r>
          </w:p>
        </w:tc>
        <w:tc>
          <w:tcPr>
            <w:tcW w:w="1276" w:type="dxa"/>
            <w:vAlign w:val="center"/>
          </w:tcPr>
          <w:p w14:paraId="603D715F" w14:textId="452C9B3E" w:rsidR="00FD3D9B" w:rsidRPr="006A59AF" w:rsidRDefault="00FD3D9B" w:rsidP="004A4B7D">
            <w:pPr>
              <w:rPr>
                <w:rFonts w:ascii="Cambria" w:hAnsi="Cambria"/>
                <w:sz w:val="18"/>
                <w:szCs w:val="18"/>
              </w:rPr>
            </w:pPr>
            <w:r w:rsidRPr="006A59AF">
              <w:rPr>
                <w:rFonts w:ascii="Cambria" w:hAnsi="Cambria"/>
                <w:sz w:val="18"/>
                <w:szCs w:val="18"/>
              </w:rPr>
              <w:t>12.5M NIS</w:t>
            </w:r>
          </w:p>
        </w:tc>
        <w:tc>
          <w:tcPr>
            <w:tcW w:w="1275" w:type="dxa"/>
            <w:vAlign w:val="center"/>
          </w:tcPr>
          <w:p w14:paraId="30332E71" w14:textId="21D9AF13" w:rsidR="00FD3D9B" w:rsidRPr="006A59AF" w:rsidRDefault="00FD3D9B" w:rsidP="004A4B7D">
            <w:pPr>
              <w:rPr>
                <w:rFonts w:ascii="Cambria" w:hAnsi="Cambria"/>
                <w:sz w:val="18"/>
                <w:szCs w:val="18"/>
              </w:rPr>
            </w:pPr>
            <w:r w:rsidRPr="006A59AF">
              <w:rPr>
                <w:rFonts w:ascii="Cambria" w:hAnsi="Cambria"/>
                <w:sz w:val="18"/>
                <w:szCs w:val="18"/>
              </w:rPr>
              <w:t>15M NIS</w:t>
            </w:r>
          </w:p>
        </w:tc>
        <w:tc>
          <w:tcPr>
            <w:tcW w:w="850" w:type="dxa"/>
            <w:vMerge w:val="restart"/>
            <w:vAlign w:val="center"/>
          </w:tcPr>
          <w:p w14:paraId="3689723A" w14:textId="371E4272" w:rsidR="00FD3D9B" w:rsidRPr="006A59AF" w:rsidRDefault="00FD3D9B" w:rsidP="00FD3D9B">
            <w:pPr>
              <w:jc w:val="center"/>
              <w:rPr>
                <w:rFonts w:ascii="Cambria" w:hAnsi="Cambria"/>
                <w:sz w:val="18"/>
                <w:szCs w:val="18"/>
                <w:u w:val="single"/>
              </w:rPr>
            </w:pPr>
            <w:r w:rsidRPr="006A59AF">
              <w:rPr>
                <w:rFonts w:ascii="Cambria" w:hAnsi="Cambria"/>
                <w:sz w:val="18"/>
                <w:szCs w:val="18"/>
                <w:u w:val="single"/>
              </w:rPr>
              <w:t>50M NIS</w:t>
            </w:r>
          </w:p>
        </w:tc>
      </w:tr>
      <w:tr w:rsidR="004A4B7D" w:rsidRPr="006A59AF" w14:paraId="71B0FEF3" w14:textId="77777777" w:rsidTr="004A4B7D">
        <w:tc>
          <w:tcPr>
            <w:tcW w:w="1896" w:type="dxa"/>
            <w:vMerge/>
          </w:tcPr>
          <w:p w14:paraId="7E179A5D" w14:textId="77777777" w:rsidR="00FD3D9B" w:rsidRPr="006A59AF" w:rsidRDefault="00FD3D9B" w:rsidP="00E9394E">
            <w:pPr>
              <w:rPr>
                <w:rFonts w:ascii="Cambria" w:hAnsi="Cambria"/>
                <w:sz w:val="18"/>
                <w:szCs w:val="18"/>
              </w:rPr>
            </w:pPr>
          </w:p>
        </w:tc>
        <w:tc>
          <w:tcPr>
            <w:tcW w:w="1275" w:type="dxa"/>
          </w:tcPr>
          <w:p w14:paraId="6A89E3C9" w14:textId="77777777" w:rsidR="00FD3D9B" w:rsidRPr="006A59AF" w:rsidRDefault="00FD3D9B" w:rsidP="00910EB5">
            <w:pPr>
              <w:rPr>
                <w:rFonts w:ascii="Cambria" w:hAnsi="Cambria"/>
                <w:sz w:val="18"/>
                <w:szCs w:val="18"/>
              </w:rPr>
            </w:pPr>
            <w:r w:rsidRPr="006A59AF">
              <w:rPr>
                <w:rFonts w:ascii="Cambria" w:hAnsi="Cambria"/>
                <w:sz w:val="18"/>
                <w:szCs w:val="18"/>
              </w:rPr>
              <w:t>100 communities</w:t>
            </w:r>
          </w:p>
        </w:tc>
        <w:tc>
          <w:tcPr>
            <w:tcW w:w="1276" w:type="dxa"/>
          </w:tcPr>
          <w:p w14:paraId="46F4758E" w14:textId="213941AF" w:rsidR="00FD3D9B" w:rsidRPr="006A59AF" w:rsidRDefault="00FD3D9B" w:rsidP="00910EB5">
            <w:pPr>
              <w:rPr>
                <w:rFonts w:ascii="Cambria" w:hAnsi="Cambria"/>
                <w:sz w:val="18"/>
                <w:szCs w:val="18"/>
              </w:rPr>
            </w:pPr>
            <w:r w:rsidRPr="006A59AF">
              <w:rPr>
                <w:rFonts w:ascii="Cambria" w:hAnsi="Cambria"/>
                <w:sz w:val="18"/>
                <w:szCs w:val="18"/>
              </w:rPr>
              <w:t xml:space="preserve">150 </w:t>
            </w:r>
            <w:r w:rsidR="00910EB5" w:rsidRPr="006A59AF">
              <w:rPr>
                <w:rFonts w:ascii="Cambria" w:hAnsi="Cambria"/>
                <w:sz w:val="18"/>
                <w:szCs w:val="18"/>
              </w:rPr>
              <w:t>communitie</w:t>
            </w:r>
            <w:r w:rsidRPr="006A59AF">
              <w:rPr>
                <w:rFonts w:ascii="Cambria" w:hAnsi="Cambria"/>
                <w:sz w:val="18"/>
                <w:szCs w:val="18"/>
              </w:rPr>
              <w:t>s</w:t>
            </w:r>
          </w:p>
        </w:tc>
        <w:tc>
          <w:tcPr>
            <w:tcW w:w="1276" w:type="dxa"/>
          </w:tcPr>
          <w:p w14:paraId="2B4E92C4" w14:textId="2C99A061" w:rsidR="00FD3D9B" w:rsidRPr="006A59AF" w:rsidRDefault="00910EB5" w:rsidP="00910EB5">
            <w:pPr>
              <w:rPr>
                <w:rFonts w:ascii="Cambria" w:hAnsi="Cambria"/>
                <w:sz w:val="18"/>
                <w:szCs w:val="18"/>
              </w:rPr>
            </w:pPr>
            <w:r w:rsidRPr="006A59AF">
              <w:rPr>
                <w:rFonts w:ascii="Cambria" w:hAnsi="Cambria"/>
                <w:sz w:val="18"/>
                <w:szCs w:val="18"/>
              </w:rPr>
              <w:t>200 communities</w:t>
            </w:r>
          </w:p>
        </w:tc>
        <w:tc>
          <w:tcPr>
            <w:tcW w:w="1276" w:type="dxa"/>
          </w:tcPr>
          <w:p w14:paraId="00613C4E" w14:textId="1CAA7FDC" w:rsidR="00FD3D9B" w:rsidRPr="006A59AF" w:rsidRDefault="00910EB5" w:rsidP="00910EB5">
            <w:pPr>
              <w:rPr>
                <w:rFonts w:ascii="Cambria" w:hAnsi="Cambria"/>
                <w:sz w:val="18"/>
                <w:szCs w:val="18"/>
              </w:rPr>
            </w:pPr>
            <w:r w:rsidRPr="006A59AF">
              <w:rPr>
                <w:rFonts w:ascii="Cambria" w:hAnsi="Cambria"/>
                <w:sz w:val="18"/>
                <w:szCs w:val="18"/>
              </w:rPr>
              <w:t>250 communities</w:t>
            </w:r>
          </w:p>
        </w:tc>
        <w:tc>
          <w:tcPr>
            <w:tcW w:w="1275" w:type="dxa"/>
          </w:tcPr>
          <w:p w14:paraId="2D531A4F" w14:textId="53F7CD7F" w:rsidR="00FD3D9B" w:rsidRPr="006A59AF" w:rsidRDefault="00910EB5" w:rsidP="00910EB5">
            <w:pPr>
              <w:rPr>
                <w:rFonts w:ascii="Cambria" w:hAnsi="Cambria"/>
                <w:sz w:val="18"/>
                <w:szCs w:val="18"/>
              </w:rPr>
            </w:pPr>
            <w:r w:rsidRPr="006A59AF">
              <w:rPr>
                <w:rFonts w:ascii="Cambria" w:hAnsi="Cambria"/>
                <w:sz w:val="18"/>
                <w:szCs w:val="18"/>
              </w:rPr>
              <w:t>300 communities</w:t>
            </w:r>
          </w:p>
        </w:tc>
        <w:tc>
          <w:tcPr>
            <w:tcW w:w="850" w:type="dxa"/>
            <w:vMerge/>
          </w:tcPr>
          <w:p w14:paraId="6825155A" w14:textId="77777777" w:rsidR="00FD3D9B" w:rsidRPr="006A59AF" w:rsidRDefault="00FD3D9B" w:rsidP="00E9394E">
            <w:pPr>
              <w:rPr>
                <w:rFonts w:ascii="Cambria" w:hAnsi="Cambria"/>
                <w:sz w:val="18"/>
                <w:szCs w:val="18"/>
              </w:rPr>
            </w:pPr>
          </w:p>
        </w:tc>
      </w:tr>
      <w:tr w:rsidR="004A4B7D" w:rsidRPr="006A59AF" w14:paraId="4BD4A7B9" w14:textId="77777777" w:rsidTr="004A4B7D">
        <w:tc>
          <w:tcPr>
            <w:tcW w:w="1896" w:type="dxa"/>
          </w:tcPr>
          <w:p w14:paraId="2E31A7A4" w14:textId="0ED6040F" w:rsidR="00E209A2" w:rsidRPr="006A59AF" w:rsidRDefault="004A4B7D" w:rsidP="00E9394E">
            <w:pPr>
              <w:rPr>
                <w:rFonts w:ascii="Cambria" w:hAnsi="Cambria"/>
                <w:sz w:val="18"/>
                <w:szCs w:val="18"/>
              </w:rPr>
            </w:pPr>
            <w:r w:rsidRPr="006A59AF">
              <w:rPr>
                <w:rFonts w:ascii="Cambria" w:hAnsi="Cambria"/>
                <w:sz w:val="18"/>
                <w:szCs w:val="18"/>
              </w:rPr>
              <w:t>Professional and management activities – Ministry of Education</w:t>
            </w:r>
          </w:p>
        </w:tc>
        <w:tc>
          <w:tcPr>
            <w:tcW w:w="1275" w:type="dxa"/>
            <w:vAlign w:val="center"/>
          </w:tcPr>
          <w:p w14:paraId="41F8FFB1" w14:textId="1BBCEABD" w:rsidR="00E209A2" w:rsidRPr="006A59AF" w:rsidRDefault="004A4B7D" w:rsidP="004A4B7D">
            <w:pPr>
              <w:rPr>
                <w:rFonts w:ascii="Cambria" w:hAnsi="Cambria"/>
                <w:sz w:val="18"/>
                <w:szCs w:val="18"/>
              </w:rPr>
            </w:pPr>
            <w:r w:rsidRPr="006A59AF">
              <w:rPr>
                <w:rFonts w:ascii="Cambria" w:hAnsi="Cambria"/>
                <w:sz w:val="18"/>
                <w:szCs w:val="18"/>
              </w:rPr>
              <w:t>2.5M NIS</w:t>
            </w:r>
          </w:p>
        </w:tc>
        <w:tc>
          <w:tcPr>
            <w:tcW w:w="1276" w:type="dxa"/>
            <w:vAlign w:val="center"/>
          </w:tcPr>
          <w:p w14:paraId="0875FD39" w14:textId="39860E6E" w:rsidR="00E209A2" w:rsidRPr="006A59AF" w:rsidRDefault="004A4B7D" w:rsidP="004A4B7D">
            <w:pPr>
              <w:rPr>
                <w:rFonts w:ascii="Cambria" w:hAnsi="Cambria"/>
                <w:sz w:val="18"/>
                <w:szCs w:val="18"/>
              </w:rPr>
            </w:pPr>
            <w:r w:rsidRPr="006A59AF">
              <w:rPr>
                <w:rFonts w:ascii="Cambria" w:hAnsi="Cambria"/>
                <w:sz w:val="18"/>
                <w:szCs w:val="18"/>
              </w:rPr>
              <w:t>3.5M NIS</w:t>
            </w:r>
          </w:p>
        </w:tc>
        <w:tc>
          <w:tcPr>
            <w:tcW w:w="1276" w:type="dxa"/>
            <w:vAlign w:val="center"/>
          </w:tcPr>
          <w:p w14:paraId="318037F8" w14:textId="66E46D85" w:rsidR="00E209A2" w:rsidRPr="006A59AF" w:rsidRDefault="004A4B7D" w:rsidP="004A4B7D">
            <w:pPr>
              <w:rPr>
                <w:rFonts w:ascii="Cambria" w:hAnsi="Cambria"/>
                <w:sz w:val="18"/>
                <w:szCs w:val="18"/>
              </w:rPr>
            </w:pPr>
            <w:r w:rsidRPr="006A59AF">
              <w:rPr>
                <w:rFonts w:ascii="Cambria" w:hAnsi="Cambria"/>
                <w:sz w:val="18"/>
                <w:szCs w:val="18"/>
              </w:rPr>
              <w:t>4M NIS</w:t>
            </w:r>
          </w:p>
        </w:tc>
        <w:tc>
          <w:tcPr>
            <w:tcW w:w="1276" w:type="dxa"/>
            <w:vAlign w:val="center"/>
          </w:tcPr>
          <w:p w14:paraId="1EEFEAC8" w14:textId="644A862B" w:rsidR="00E209A2" w:rsidRPr="006A59AF" w:rsidRDefault="004A4B7D" w:rsidP="004A4B7D">
            <w:pPr>
              <w:rPr>
                <w:rFonts w:ascii="Cambria" w:hAnsi="Cambria"/>
                <w:sz w:val="18"/>
                <w:szCs w:val="18"/>
              </w:rPr>
            </w:pPr>
            <w:r w:rsidRPr="006A59AF">
              <w:rPr>
                <w:rFonts w:ascii="Cambria" w:hAnsi="Cambria"/>
                <w:sz w:val="18"/>
                <w:szCs w:val="18"/>
              </w:rPr>
              <w:t>5M NIS</w:t>
            </w:r>
          </w:p>
        </w:tc>
        <w:tc>
          <w:tcPr>
            <w:tcW w:w="1275" w:type="dxa"/>
            <w:vAlign w:val="center"/>
          </w:tcPr>
          <w:p w14:paraId="750EAB48" w14:textId="1A0A0D52" w:rsidR="00E209A2" w:rsidRPr="006A59AF" w:rsidRDefault="004A4B7D" w:rsidP="004A4B7D">
            <w:pPr>
              <w:rPr>
                <w:rFonts w:ascii="Cambria" w:hAnsi="Cambria"/>
                <w:sz w:val="18"/>
                <w:szCs w:val="18"/>
              </w:rPr>
            </w:pPr>
            <w:r w:rsidRPr="006A59AF">
              <w:rPr>
                <w:rFonts w:ascii="Cambria" w:hAnsi="Cambria"/>
                <w:sz w:val="18"/>
                <w:szCs w:val="18"/>
              </w:rPr>
              <w:t>5M NIS</w:t>
            </w:r>
          </w:p>
        </w:tc>
        <w:tc>
          <w:tcPr>
            <w:tcW w:w="850" w:type="dxa"/>
            <w:vAlign w:val="center"/>
          </w:tcPr>
          <w:p w14:paraId="4ECDE4F0" w14:textId="0EADB345" w:rsidR="00E209A2" w:rsidRPr="006A59AF" w:rsidRDefault="004A4B7D" w:rsidP="004A4B7D">
            <w:pPr>
              <w:jc w:val="center"/>
              <w:rPr>
                <w:rFonts w:ascii="Cambria" w:hAnsi="Cambria"/>
                <w:sz w:val="18"/>
                <w:szCs w:val="18"/>
                <w:u w:val="single"/>
              </w:rPr>
            </w:pPr>
            <w:r w:rsidRPr="006A59AF">
              <w:rPr>
                <w:rFonts w:ascii="Cambria" w:hAnsi="Cambria"/>
                <w:sz w:val="18"/>
                <w:szCs w:val="18"/>
                <w:u w:val="single"/>
              </w:rPr>
              <w:t>20M NIS</w:t>
            </w:r>
          </w:p>
        </w:tc>
      </w:tr>
      <w:tr w:rsidR="004A4B7D" w:rsidRPr="006A59AF" w14:paraId="2F83C68D" w14:textId="77777777" w:rsidTr="004A4B7D">
        <w:tc>
          <w:tcPr>
            <w:tcW w:w="1896" w:type="dxa"/>
          </w:tcPr>
          <w:p w14:paraId="38334A8F" w14:textId="1B2256BC" w:rsidR="00E209A2" w:rsidRPr="006A59AF" w:rsidRDefault="004A4B7D" w:rsidP="00E9394E">
            <w:pPr>
              <w:rPr>
                <w:rFonts w:ascii="Cambria" w:hAnsi="Cambria"/>
                <w:sz w:val="18"/>
                <w:szCs w:val="18"/>
              </w:rPr>
            </w:pPr>
            <w:r w:rsidRPr="006A59AF">
              <w:rPr>
                <w:rFonts w:ascii="Cambria" w:hAnsi="Cambria"/>
                <w:sz w:val="18"/>
                <w:szCs w:val="18"/>
              </w:rPr>
              <w:t>Development, training and knowledge – Trump Foundation</w:t>
            </w:r>
          </w:p>
        </w:tc>
        <w:tc>
          <w:tcPr>
            <w:tcW w:w="1275" w:type="dxa"/>
            <w:vAlign w:val="center"/>
          </w:tcPr>
          <w:p w14:paraId="22C02E70" w14:textId="38C3258C" w:rsidR="00E209A2" w:rsidRPr="006A59AF" w:rsidRDefault="004A4B7D" w:rsidP="004A4B7D">
            <w:pPr>
              <w:rPr>
                <w:rFonts w:ascii="Cambria" w:hAnsi="Cambria"/>
                <w:sz w:val="18"/>
                <w:szCs w:val="18"/>
              </w:rPr>
            </w:pPr>
            <w:r w:rsidRPr="006A59AF">
              <w:rPr>
                <w:rFonts w:ascii="Cambria" w:hAnsi="Cambria"/>
                <w:sz w:val="18"/>
                <w:szCs w:val="18"/>
              </w:rPr>
              <w:t>15M NIS</w:t>
            </w:r>
          </w:p>
        </w:tc>
        <w:tc>
          <w:tcPr>
            <w:tcW w:w="1276" w:type="dxa"/>
            <w:vAlign w:val="center"/>
          </w:tcPr>
          <w:p w14:paraId="41C23409" w14:textId="318450A4" w:rsidR="00E209A2" w:rsidRPr="006A59AF" w:rsidRDefault="004A4B7D" w:rsidP="004A4B7D">
            <w:pPr>
              <w:rPr>
                <w:rFonts w:ascii="Cambria" w:hAnsi="Cambria"/>
                <w:sz w:val="18"/>
                <w:szCs w:val="18"/>
              </w:rPr>
            </w:pPr>
            <w:r w:rsidRPr="006A59AF">
              <w:rPr>
                <w:rFonts w:ascii="Cambria" w:hAnsi="Cambria"/>
                <w:sz w:val="18"/>
                <w:szCs w:val="18"/>
              </w:rPr>
              <w:t>16M NIS</w:t>
            </w:r>
          </w:p>
        </w:tc>
        <w:tc>
          <w:tcPr>
            <w:tcW w:w="1276" w:type="dxa"/>
            <w:vAlign w:val="center"/>
          </w:tcPr>
          <w:p w14:paraId="525323B2" w14:textId="3C1662D1" w:rsidR="00E209A2" w:rsidRPr="006A59AF" w:rsidRDefault="004A4B7D" w:rsidP="004A4B7D">
            <w:pPr>
              <w:rPr>
                <w:rFonts w:ascii="Cambria" w:hAnsi="Cambria"/>
                <w:sz w:val="18"/>
                <w:szCs w:val="18"/>
              </w:rPr>
            </w:pPr>
            <w:r w:rsidRPr="006A59AF">
              <w:rPr>
                <w:rFonts w:ascii="Cambria" w:hAnsi="Cambria"/>
                <w:sz w:val="18"/>
                <w:szCs w:val="18"/>
              </w:rPr>
              <w:t>15M NIS</w:t>
            </w:r>
          </w:p>
        </w:tc>
        <w:tc>
          <w:tcPr>
            <w:tcW w:w="1276" w:type="dxa"/>
            <w:vAlign w:val="center"/>
          </w:tcPr>
          <w:p w14:paraId="5A8D491E" w14:textId="41D9D174" w:rsidR="00E209A2" w:rsidRPr="006A59AF" w:rsidRDefault="004A4B7D" w:rsidP="004A4B7D">
            <w:pPr>
              <w:rPr>
                <w:rFonts w:ascii="Cambria" w:hAnsi="Cambria"/>
                <w:sz w:val="18"/>
                <w:szCs w:val="18"/>
              </w:rPr>
            </w:pPr>
            <w:r w:rsidRPr="006A59AF">
              <w:rPr>
                <w:rFonts w:ascii="Cambria" w:hAnsi="Cambria"/>
                <w:sz w:val="18"/>
                <w:szCs w:val="18"/>
              </w:rPr>
              <w:t>13M NIS</w:t>
            </w:r>
          </w:p>
        </w:tc>
        <w:tc>
          <w:tcPr>
            <w:tcW w:w="1275" w:type="dxa"/>
            <w:vAlign w:val="center"/>
          </w:tcPr>
          <w:p w14:paraId="793ADB7D" w14:textId="5C452DB3" w:rsidR="00E209A2" w:rsidRPr="006A59AF" w:rsidRDefault="004A4B7D" w:rsidP="004A4B7D">
            <w:pPr>
              <w:rPr>
                <w:rFonts w:ascii="Cambria" w:hAnsi="Cambria"/>
                <w:sz w:val="18"/>
                <w:szCs w:val="18"/>
              </w:rPr>
            </w:pPr>
            <w:r w:rsidRPr="006A59AF">
              <w:rPr>
                <w:rFonts w:ascii="Cambria" w:hAnsi="Cambria"/>
                <w:sz w:val="18"/>
                <w:szCs w:val="18"/>
              </w:rPr>
              <w:t>11M NIS</w:t>
            </w:r>
          </w:p>
        </w:tc>
        <w:tc>
          <w:tcPr>
            <w:tcW w:w="850" w:type="dxa"/>
            <w:vAlign w:val="center"/>
          </w:tcPr>
          <w:p w14:paraId="62033136" w14:textId="64F70EB5" w:rsidR="00E209A2" w:rsidRPr="006A59AF" w:rsidRDefault="004A4B7D" w:rsidP="004A4B7D">
            <w:pPr>
              <w:jc w:val="center"/>
              <w:rPr>
                <w:rFonts w:ascii="Cambria" w:hAnsi="Cambria"/>
                <w:sz w:val="18"/>
                <w:szCs w:val="18"/>
                <w:u w:val="single"/>
              </w:rPr>
            </w:pPr>
            <w:r w:rsidRPr="006A59AF">
              <w:rPr>
                <w:rFonts w:ascii="Cambria" w:hAnsi="Cambria"/>
                <w:sz w:val="18"/>
                <w:szCs w:val="18"/>
                <w:u w:val="single"/>
              </w:rPr>
              <w:t>70M NIS</w:t>
            </w:r>
          </w:p>
        </w:tc>
      </w:tr>
      <w:tr w:rsidR="004A4B7D" w:rsidRPr="006A59AF" w14:paraId="69DC7927" w14:textId="77777777" w:rsidTr="004A4B7D">
        <w:tc>
          <w:tcPr>
            <w:tcW w:w="1896" w:type="dxa"/>
            <w:vAlign w:val="center"/>
          </w:tcPr>
          <w:p w14:paraId="0EBCC0F1" w14:textId="77777777" w:rsidR="004A4B7D" w:rsidRPr="006A59AF" w:rsidRDefault="004A4B7D" w:rsidP="004A4B7D">
            <w:pPr>
              <w:rPr>
                <w:rFonts w:ascii="Cambria" w:hAnsi="Cambria"/>
                <w:sz w:val="18"/>
                <w:szCs w:val="18"/>
              </w:rPr>
            </w:pPr>
          </w:p>
          <w:p w14:paraId="74FC180F" w14:textId="77777777" w:rsidR="00E209A2" w:rsidRPr="006A59AF" w:rsidRDefault="00E209A2" w:rsidP="004A4B7D">
            <w:pPr>
              <w:rPr>
                <w:rFonts w:ascii="Cambria" w:hAnsi="Cambria"/>
                <w:sz w:val="18"/>
                <w:szCs w:val="18"/>
              </w:rPr>
            </w:pPr>
            <w:r w:rsidRPr="006A59AF">
              <w:rPr>
                <w:rFonts w:ascii="Cambria" w:hAnsi="Cambria"/>
                <w:sz w:val="18"/>
                <w:szCs w:val="18"/>
                <w:u w:val="single"/>
              </w:rPr>
              <w:t>Total</w:t>
            </w:r>
          </w:p>
          <w:p w14:paraId="0633DD48" w14:textId="77777777" w:rsidR="004A4B7D" w:rsidRPr="006A59AF" w:rsidRDefault="004A4B7D" w:rsidP="004A4B7D">
            <w:pPr>
              <w:rPr>
                <w:rFonts w:ascii="Cambria" w:hAnsi="Cambria"/>
                <w:sz w:val="18"/>
                <w:szCs w:val="18"/>
              </w:rPr>
            </w:pPr>
          </w:p>
          <w:p w14:paraId="6D64D235" w14:textId="77777777" w:rsidR="004A4B7D" w:rsidRPr="006A59AF" w:rsidRDefault="004A4B7D" w:rsidP="004A4B7D">
            <w:pPr>
              <w:rPr>
                <w:rFonts w:ascii="Cambria" w:hAnsi="Cambria"/>
                <w:sz w:val="18"/>
                <w:szCs w:val="18"/>
              </w:rPr>
            </w:pPr>
          </w:p>
        </w:tc>
        <w:tc>
          <w:tcPr>
            <w:tcW w:w="1275" w:type="dxa"/>
            <w:vAlign w:val="center"/>
          </w:tcPr>
          <w:p w14:paraId="4FE123EE" w14:textId="7A429059" w:rsidR="00E209A2" w:rsidRPr="006A59AF" w:rsidRDefault="004A4B7D" w:rsidP="004A4B7D">
            <w:pPr>
              <w:rPr>
                <w:rFonts w:ascii="Cambria" w:hAnsi="Cambria"/>
                <w:sz w:val="18"/>
                <w:szCs w:val="18"/>
                <w:u w:val="single"/>
              </w:rPr>
            </w:pPr>
            <w:r w:rsidRPr="006A59AF">
              <w:rPr>
                <w:rFonts w:ascii="Cambria" w:hAnsi="Cambria"/>
                <w:sz w:val="18"/>
                <w:szCs w:val="18"/>
                <w:u w:val="single"/>
              </w:rPr>
              <w:t>22.5M NIS</w:t>
            </w:r>
          </w:p>
        </w:tc>
        <w:tc>
          <w:tcPr>
            <w:tcW w:w="1276" w:type="dxa"/>
            <w:vAlign w:val="center"/>
          </w:tcPr>
          <w:p w14:paraId="0B2C31DD" w14:textId="66A8AC60" w:rsidR="00E209A2" w:rsidRPr="006A59AF" w:rsidRDefault="004A4B7D" w:rsidP="004A4B7D">
            <w:pPr>
              <w:rPr>
                <w:rFonts w:ascii="Cambria" w:hAnsi="Cambria"/>
                <w:sz w:val="18"/>
                <w:szCs w:val="18"/>
                <w:u w:val="single"/>
              </w:rPr>
            </w:pPr>
            <w:r w:rsidRPr="006A59AF">
              <w:rPr>
                <w:rFonts w:ascii="Cambria" w:hAnsi="Cambria"/>
                <w:sz w:val="18"/>
                <w:szCs w:val="18"/>
                <w:u w:val="single"/>
              </w:rPr>
              <w:t>27M NIS</w:t>
            </w:r>
          </w:p>
        </w:tc>
        <w:tc>
          <w:tcPr>
            <w:tcW w:w="1276" w:type="dxa"/>
            <w:vAlign w:val="center"/>
          </w:tcPr>
          <w:p w14:paraId="39819AF1" w14:textId="6FE9DD6D" w:rsidR="00E209A2" w:rsidRPr="006A59AF" w:rsidRDefault="004A4B7D" w:rsidP="004A4B7D">
            <w:pPr>
              <w:rPr>
                <w:rFonts w:ascii="Cambria" w:hAnsi="Cambria"/>
                <w:sz w:val="18"/>
                <w:szCs w:val="18"/>
                <w:u w:val="single"/>
              </w:rPr>
            </w:pPr>
            <w:r w:rsidRPr="006A59AF">
              <w:rPr>
                <w:rFonts w:ascii="Cambria" w:hAnsi="Cambria"/>
                <w:sz w:val="18"/>
                <w:szCs w:val="18"/>
                <w:u w:val="single"/>
              </w:rPr>
              <w:t>29M NIS</w:t>
            </w:r>
          </w:p>
        </w:tc>
        <w:tc>
          <w:tcPr>
            <w:tcW w:w="1276" w:type="dxa"/>
            <w:vAlign w:val="center"/>
          </w:tcPr>
          <w:p w14:paraId="3C21D71C" w14:textId="79E096C8" w:rsidR="00E209A2" w:rsidRPr="006A59AF" w:rsidRDefault="004A4B7D" w:rsidP="004A4B7D">
            <w:pPr>
              <w:rPr>
                <w:rFonts w:ascii="Cambria" w:hAnsi="Cambria"/>
                <w:sz w:val="18"/>
                <w:szCs w:val="18"/>
                <w:u w:val="single"/>
              </w:rPr>
            </w:pPr>
            <w:r w:rsidRPr="006A59AF">
              <w:rPr>
                <w:rFonts w:ascii="Cambria" w:hAnsi="Cambria"/>
                <w:sz w:val="18"/>
                <w:szCs w:val="18"/>
                <w:u w:val="single"/>
              </w:rPr>
              <w:t>30.5M NIS</w:t>
            </w:r>
          </w:p>
        </w:tc>
        <w:tc>
          <w:tcPr>
            <w:tcW w:w="1275" w:type="dxa"/>
            <w:vAlign w:val="center"/>
          </w:tcPr>
          <w:p w14:paraId="7946128D" w14:textId="38055DFC" w:rsidR="00E209A2" w:rsidRPr="006A59AF" w:rsidRDefault="004A4B7D" w:rsidP="004A4B7D">
            <w:pPr>
              <w:rPr>
                <w:rFonts w:ascii="Cambria" w:hAnsi="Cambria"/>
                <w:sz w:val="18"/>
                <w:szCs w:val="18"/>
                <w:u w:val="single"/>
              </w:rPr>
            </w:pPr>
            <w:r w:rsidRPr="006A59AF">
              <w:rPr>
                <w:rFonts w:ascii="Cambria" w:hAnsi="Cambria"/>
                <w:sz w:val="18"/>
                <w:szCs w:val="18"/>
                <w:u w:val="single"/>
              </w:rPr>
              <w:t>31M NIS</w:t>
            </w:r>
          </w:p>
        </w:tc>
        <w:tc>
          <w:tcPr>
            <w:tcW w:w="850" w:type="dxa"/>
            <w:vAlign w:val="center"/>
          </w:tcPr>
          <w:p w14:paraId="1042B312" w14:textId="40F3529B" w:rsidR="00E209A2" w:rsidRPr="006A59AF" w:rsidRDefault="004A4B7D" w:rsidP="004A4B7D">
            <w:pPr>
              <w:jc w:val="center"/>
              <w:rPr>
                <w:rFonts w:ascii="Cambria" w:hAnsi="Cambria"/>
                <w:sz w:val="18"/>
                <w:szCs w:val="18"/>
                <w:u w:val="single"/>
              </w:rPr>
            </w:pPr>
            <w:r w:rsidRPr="006A59AF">
              <w:rPr>
                <w:rFonts w:ascii="Cambria" w:hAnsi="Cambria"/>
                <w:sz w:val="18"/>
                <w:szCs w:val="18"/>
                <w:u w:val="single"/>
              </w:rPr>
              <w:t>140M NIS</w:t>
            </w:r>
          </w:p>
        </w:tc>
      </w:tr>
    </w:tbl>
    <w:p w14:paraId="4A20AF2D" w14:textId="77777777" w:rsidR="00E209A2" w:rsidRPr="006A59AF" w:rsidRDefault="00E209A2" w:rsidP="00E9394E">
      <w:pPr>
        <w:rPr>
          <w:rFonts w:ascii="Cambria" w:hAnsi="Cambria"/>
          <w:sz w:val="24"/>
          <w:szCs w:val="24"/>
        </w:rPr>
      </w:pPr>
    </w:p>
    <w:sectPr w:rsidR="00E209A2" w:rsidRPr="006A59AF" w:rsidSect="00722D25">
      <w:footerReference w:type="even" r:id="rId9"/>
      <w:footerReference w:type="default" r:id="rId10"/>
      <w:pgSz w:w="12240" w:h="15840"/>
      <w:pgMar w:top="1440" w:right="1440" w:bottom="1440" w:left="10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8EED0" w14:textId="77777777" w:rsidR="005B34D1" w:rsidRDefault="005B34D1" w:rsidP="00492EDB">
      <w:pPr>
        <w:spacing w:after="0" w:line="240" w:lineRule="auto"/>
      </w:pPr>
      <w:r>
        <w:separator/>
      </w:r>
    </w:p>
  </w:endnote>
  <w:endnote w:type="continuationSeparator" w:id="0">
    <w:p w14:paraId="0D1338A1" w14:textId="77777777" w:rsidR="005B34D1" w:rsidRDefault="005B34D1" w:rsidP="0049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Roman">
    <w:altName w:val="Segoe UI Historic"/>
    <w:charset w:val="00"/>
    <w:family w:val="roman"/>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0D85" w14:textId="77777777" w:rsidR="0083003A" w:rsidRDefault="0083003A" w:rsidP="0083003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DC85A0" w14:textId="77777777" w:rsidR="0083003A" w:rsidRDefault="0083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A0ED" w14:textId="0D8F6EFF" w:rsidR="0083003A" w:rsidRDefault="0083003A" w:rsidP="0083003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3FF7">
      <w:rPr>
        <w:rStyle w:val="PageNumber"/>
        <w:noProof/>
      </w:rPr>
      <w:t>1</w:t>
    </w:r>
    <w:r>
      <w:rPr>
        <w:rStyle w:val="PageNumber"/>
      </w:rPr>
      <w:fldChar w:fldCharType="end"/>
    </w:r>
  </w:p>
  <w:p w14:paraId="74A0B6C7" w14:textId="77777777" w:rsidR="0083003A" w:rsidRDefault="00830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E9642" w14:textId="77777777" w:rsidR="005B34D1" w:rsidRDefault="005B34D1" w:rsidP="00492EDB">
      <w:pPr>
        <w:spacing w:after="0" w:line="240" w:lineRule="auto"/>
      </w:pPr>
      <w:r>
        <w:separator/>
      </w:r>
    </w:p>
  </w:footnote>
  <w:footnote w:type="continuationSeparator" w:id="0">
    <w:p w14:paraId="27E42B15" w14:textId="77777777" w:rsidR="005B34D1" w:rsidRDefault="005B34D1" w:rsidP="00492EDB">
      <w:pPr>
        <w:spacing w:after="0" w:line="240" w:lineRule="auto"/>
      </w:pPr>
      <w:r>
        <w:continuationSeparator/>
      </w:r>
    </w:p>
  </w:footnote>
  <w:footnote w:id="1">
    <w:p w14:paraId="1C6E0002" w14:textId="01F65DFA" w:rsidR="0083003A" w:rsidRDefault="0083003A">
      <w:pPr>
        <w:pStyle w:val="FootnoteText"/>
      </w:pPr>
      <w:r w:rsidRPr="00080C10">
        <w:rPr>
          <w:rStyle w:val="FootnoteReference"/>
          <w:sz w:val="22"/>
          <w:szCs w:val="22"/>
        </w:rPr>
        <w:footnoteRef/>
      </w:r>
      <w:r w:rsidRPr="00080C10">
        <w:rPr>
          <w:sz w:val="22"/>
          <w:szCs w:val="22"/>
        </w:rPr>
        <w:t xml:space="preserve"> </w:t>
      </w:r>
      <w:r w:rsidRPr="00080C10">
        <w:rPr>
          <w:rFonts w:asciiTheme="minorBidi" w:hAnsiTheme="minorBidi"/>
          <w:spacing w:val="-4"/>
          <w:sz w:val="20"/>
          <w:szCs w:val="20"/>
        </w:rPr>
        <w:t xml:space="preserve">National Research Council (2012). </w:t>
      </w:r>
      <w:r w:rsidRPr="00080C10">
        <w:rPr>
          <w:rFonts w:asciiTheme="minorBidi" w:hAnsiTheme="minorBidi"/>
          <w:b/>
          <w:bCs/>
          <w:i/>
          <w:iCs/>
          <w:spacing w:val="-4"/>
          <w:sz w:val="20"/>
          <w:szCs w:val="20"/>
        </w:rPr>
        <w:t>A Framework for Science Education: Practices, Crossing Concepts and</w:t>
      </w:r>
      <w:r w:rsidRPr="00080C10">
        <w:rPr>
          <w:rFonts w:asciiTheme="minorBidi" w:hAnsiTheme="minorBidi"/>
          <w:b/>
          <w:bCs/>
          <w:i/>
          <w:iCs/>
          <w:sz w:val="20"/>
          <w:szCs w:val="20"/>
        </w:rPr>
        <w:t xml:space="preserve"> </w:t>
      </w:r>
      <w:r w:rsidRPr="00080C10">
        <w:rPr>
          <w:rFonts w:asciiTheme="minorBidi" w:hAnsiTheme="minorBidi"/>
          <w:b/>
          <w:bCs/>
          <w:i/>
          <w:iCs/>
          <w:spacing w:val="-4"/>
          <w:sz w:val="20"/>
          <w:szCs w:val="20"/>
        </w:rPr>
        <w:t>Core Ideas</w:t>
      </w:r>
      <w:r w:rsidRPr="00080C10">
        <w:rPr>
          <w:rFonts w:asciiTheme="minorBidi" w:hAnsiTheme="minorBidi"/>
          <w:b/>
          <w:bCs/>
          <w:spacing w:val="-4"/>
          <w:sz w:val="20"/>
          <w:szCs w:val="20"/>
        </w:rPr>
        <w:t>.</w:t>
      </w:r>
      <w:r w:rsidRPr="00080C10">
        <w:rPr>
          <w:rFonts w:asciiTheme="minorBidi" w:hAnsiTheme="minorBidi"/>
          <w:spacing w:val="-4"/>
          <w:sz w:val="20"/>
          <w:szCs w:val="20"/>
        </w:rPr>
        <w:t xml:space="preserve"> Committee on a conceptual Framework for New K-12 Education Standards; Board on Science Education, </w:t>
      </w:r>
      <w:r w:rsidRPr="00080C10">
        <w:rPr>
          <w:rFonts w:asciiTheme="minorBidi" w:eastAsia="MS Mincho" w:hAnsiTheme="minorBidi"/>
          <w:spacing w:val="-4"/>
          <w:sz w:val="20"/>
          <w:szCs w:val="20"/>
          <w:lang w:eastAsia="ja-JP"/>
        </w:rPr>
        <w:t>Division of Behavioral and Social Sciences and Education. Washington, DC: The National Academies Press</w:t>
      </w:r>
    </w:p>
  </w:footnote>
  <w:footnote w:id="2">
    <w:p w14:paraId="6790C41B" w14:textId="0409C562" w:rsidR="0083003A" w:rsidRPr="00080C10" w:rsidRDefault="0083003A" w:rsidP="00080C10">
      <w:pPr>
        <w:autoSpaceDE w:val="0"/>
        <w:autoSpaceDN w:val="0"/>
        <w:adjustRightInd w:val="0"/>
        <w:spacing w:after="0" w:line="240" w:lineRule="auto"/>
        <w:rPr>
          <w:rFonts w:ascii="Palatino-Roman" w:cs="Palatino-Roman"/>
          <w:sz w:val="18"/>
          <w:szCs w:val="18"/>
        </w:rPr>
      </w:pPr>
      <w:r>
        <w:rPr>
          <w:rStyle w:val="FootnoteReference"/>
        </w:rPr>
        <w:footnoteRef/>
      </w:r>
      <w:r>
        <w:t xml:space="preserve"> </w:t>
      </w:r>
      <w:r w:rsidRPr="00080C10">
        <w:rPr>
          <w:rFonts w:asciiTheme="minorBidi" w:hAnsiTheme="minorBidi"/>
          <w:sz w:val="18"/>
          <w:szCs w:val="18"/>
        </w:rPr>
        <w:t xml:space="preserve">National Academies of Sciences, Engineering, and Medicine. (2015). </w:t>
      </w:r>
      <w:r w:rsidRPr="00080C10">
        <w:rPr>
          <w:rFonts w:asciiTheme="minorBidi" w:hAnsiTheme="minorBidi"/>
          <w:b/>
          <w:bCs/>
          <w:i/>
          <w:iCs/>
          <w:sz w:val="18"/>
          <w:szCs w:val="18"/>
        </w:rPr>
        <w:t>Science Teachers Learning: Enhancing Opportunities, Creating Supportive Contexts</w:t>
      </w:r>
      <w:r w:rsidRPr="00080C10">
        <w:rPr>
          <w:rFonts w:asciiTheme="minorBidi" w:hAnsiTheme="minorBidi"/>
          <w:sz w:val="18"/>
          <w:szCs w:val="18"/>
        </w:rPr>
        <w:t>. Committee on Strengthening Science Education through a Teacher Learning</w:t>
      </w:r>
      <w:r>
        <w:rPr>
          <w:rFonts w:asciiTheme="minorBidi" w:hAnsiTheme="minorBidi"/>
          <w:sz w:val="18"/>
          <w:szCs w:val="18"/>
        </w:rPr>
        <w:t xml:space="preserve"> </w:t>
      </w:r>
      <w:r w:rsidRPr="00080C10">
        <w:rPr>
          <w:rFonts w:asciiTheme="minorBidi" w:hAnsiTheme="minorBidi"/>
          <w:sz w:val="18"/>
          <w:szCs w:val="18"/>
        </w:rPr>
        <w:t>Continuum. Board on Science Education and Teacher Advisory Council, Division of Behavioral and Social Science and Education. Washington, DC: The National Academies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DB3"/>
    <w:multiLevelType w:val="hybridMultilevel"/>
    <w:tmpl w:val="AFD03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17BE2"/>
    <w:multiLevelType w:val="multilevel"/>
    <w:tmpl w:val="B91011F6"/>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A704FDA"/>
    <w:multiLevelType w:val="hybridMultilevel"/>
    <w:tmpl w:val="5DEEC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8633E9"/>
    <w:multiLevelType w:val="multilevel"/>
    <w:tmpl w:val="26E816DC"/>
    <w:lvl w:ilvl="0">
      <w:start w:val="1"/>
      <w:numFmt w:val="decimal"/>
      <w:lvlText w:val="%1."/>
      <w:lvlJc w:val="left"/>
      <w:pPr>
        <w:ind w:left="720" w:hanging="360"/>
      </w:pPr>
      <w:rPr>
        <w:rFonts w:hint="default"/>
      </w:rPr>
    </w:lvl>
    <w:lvl w:ilvl="1">
      <w:start w:val="1"/>
      <w:numFmt w:val="decimal"/>
      <w:isLgl/>
      <w:lvlText w:val="%1.%2"/>
      <w:lvlJc w:val="left"/>
      <w:pPr>
        <w:ind w:left="826" w:hanging="400"/>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638" w:hanging="108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2130" w:hanging="144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622" w:hanging="1800"/>
      </w:pPr>
      <w:rPr>
        <w:rFonts w:hint="default"/>
        <w:u w:val="none"/>
      </w:rPr>
    </w:lvl>
    <w:lvl w:ilvl="8">
      <w:start w:val="1"/>
      <w:numFmt w:val="decimal"/>
      <w:isLgl/>
      <w:lvlText w:val="%1.%2.%3.%4.%5.%6.%7.%8.%9"/>
      <w:lvlJc w:val="left"/>
      <w:pPr>
        <w:ind w:left="2688" w:hanging="1800"/>
      </w:pPr>
      <w:rPr>
        <w:rFonts w:hint="default"/>
        <w:u w:val="none"/>
      </w:rPr>
    </w:lvl>
  </w:abstractNum>
  <w:abstractNum w:abstractNumId="4" w15:restartNumberingAfterBreak="0">
    <w:nsid w:val="2EDB53F7"/>
    <w:multiLevelType w:val="hybridMultilevel"/>
    <w:tmpl w:val="AA260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15B7D"/>
    <w:multiLevelType w:val="hybridMultilevel"/>
    <w:tmpl w:val="184EB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10359A"/>
    <w:multiLevelType w:val="hybridMultilevel"/>
    <w:tmpl w:val="C406A95A"/>
    <w:lvl w:ilvl="0" w:tplc="D84469FE">
      <w:start w:val="1"/>
      <w:numFmt w:val="decimal"/>
      <w:lvlText w:val="%1."/>
      <w:lvlJc w:val="left"/>
      <w:pPr>
        <w:ind w:left="1186" w:hanging="360"/>
      </w:pPr>
      <w:rPr>
        <w:rFonts w:hint="default"/>
      </w:rPr>
    </w:lvl>
    <w:lvl w:ilvl="1" w:tplc="08090019" w:tentative="1">
      <w:start w:val="1"/>
      <w:numFmt w:val="lowerLetter"/>
      <w:lvlText w:val="%2."/>
      <w:lvlJc w:val="left"/>
      <w:pPr>
        <w:ind w:left="1906" w:hanging="360"/>
      </w:pPr>
    </w:lvl>
    <w:lvl w:ilvl="2" w:tplc="0809001B" w:tentative="1">
      <w:start w:val="1"/>
      <w:numFmt w:val="lowerRoman"/>
      <w:lvlText w:val="%3."/>
      <w:lvlJc w:val="right"/>
      <w:pPr>
        <w:ind w:left="2626" w:hanging="180"/>
      </w:pPr>
    </w:lvl>
    <w:lvl w:ilvl="3" w:tplc="0809000F" w:tentative="1">
      <w:start w:val="1"/>
      <w:numFmt w:val="decimal"/>
      <w:lvlText w:val="%4."/>
      <w:lvlJc w:val="left"/>
      <w:pPr>
        <w:ind w:left="3346" w:hanging="360"/>
      </w:pPr>
    </w:lvl>
    <w:lvl w:ilvl="4" w:tplc="08090019" w:tentative="1">
      <w:start w:val="1"/>
      <w:numFmt w:val="lowerLetter"/>
      <w:lvlText w:val="%5."/>
      <w:lvlJc w:val="left"/>
      <w:pPr>
        <w:ind w:left="4066" w:hanging="360"/>
      </w:pPr>
    </w:lvl>
    <w:lvl w:ilvl="5" w:tplc="0809001B" w:tentative="1">
      <w:start w:val="1"/>
      <w:numFmt w:val="lowerRoman"/>
      <w:lvlText w:val="%6."/>
      <w:lvlJc w:val="right"/>
      <w:pPr>
        <w:ind w:left="4786" w:hanging="180"/>
      </w:pPr>
    </w:lvl>
    <w:lvl w:ilvl="6" w:tplc="0809000F" w:tentative="1">
      <w:start w:val="1"/>
      <w:numFmt w:val="decimal"/>
      <w:lvlText w:val="%7."/>
      <w:lvlJc w:val="left"/>
      <w:pPr>
        <w:ind w:left="5506" w:hanging="360"/>
      </w:pPr>
    </w:lvl>
    <w:lvl w:ilvl="7" w:tplc="08090019" w:tentative="1">
      <w:start w:val="1"/>
      <w:numFmt w:val="lowerLetter"/>
      <w:lvlText w:val="%8."/>
      <w:lvlJc w:val="left"/>
      <w:pPr>
        <w:ind w:left="6226" w:hanging="360"/>
      </w:pPr>
    </w:lvl>
    <w:lvl w:ilvl="8" w:tplc="0809001B" w:tentative="1">
      <w:start w:val="1"/>
      <w:numFmt w:val="lowerRoman"/>
      <w:lvlText w:val="%9."/>
      <w:lvlJc w:val="right"/>
      <w:pPr>
        <w:ind w:left="6946" w:hanging="180"/>
      </w:pPr>
    </w:lvl>
  </w:abstractNum>
  <w:abstractNum w:abstractNumId="7" w15:restartNumberingAfterBreak="0">
    <w:nsid w:val="47F07824"/>
    <w:multiLevelType w:val="hybridMultilevel"/>
    <w:tmpl w:val="8CD42094"/>
    <w:lvl w:ilvl="0" w:tplc="BB0A0F26">
      <w:start w:val="1"/>
      <w:numFmt w:val="decimal"/>
      <w:lvlText w:val="%1."/>
      <w:lvlJc w:val="left"/>
      <w:pPr>
        <w:ind w:left="1186" w:hanging="360"/>
      </w:pPr>
      <w:rPr>
        <w:rFonts w:hint="default"/>
      </w:rPr>
    </w:lvl>
    <w:lvl w:ilvl="1" w:tplc="08090019" w:tentative="1">
      <w:start w:val="1"/>
      <w:numFmt w:val="lowerLetter"/>
      <w:lvlText w:val="%2."/>
      <w:lvlJc w:val="left"/>
      <w:pPr>
        <w:ind w:left="1906" w:hanging="360"/>
      </w:pPr>
    </w:lvl>
    <w:lvl w:ilvl="2" w:tplc="0809001B" w:tentative="1">
      <w:start w:val="1"/>
      <w:numFmt w:val="lowerRoman"/>
      <w:lvlText w:val="%3."/>
      <w:lvlJc w:val="right"/>
      <w:pPr>
        <w:ind w:left="2626" w:hanging="180"/>
      </w:pPr>
    </w:lvl>
    <w:lvl w:ilvl="3" w:tplc="0809000F" w:tentative="1">
      <w:start w:val="1"/>
      <w:numFmt w:val="decimal"/>
      <w:lvlText w:val="%4."/>
      <w:lvlJc w:val="left"/>
      <w:pPr>
        <w:ind w:left="3346" w:hanging="360"/>
      </w:pPr>
    </w:lvl>
    <w:lvl w:ilvl="4" w:tplc="08090019" w:tentative="1">
      <w:start w:val="1"/>
      <w:numFmt w:val="lowerLetter"/>
      <w:lvlText w:val="%5."/>
      <w:lvlJc w:val="left"/>
      <w:pPr>
        <w:ind w:left="4066" w:hanging="360"/>
      </w:pPr>
    </w:lvl>
    <w:lvl w:ilvl="5" w:tplc="0809001B" w:tentative="1">
      <w:start w:val="1"/>
      <w:numFmt w:val="lowerRoman"/>
      <w:lvlText w:val="%6."/>
      <w:lvlJc w:val="right"/>
      <w:pPr>
        <w:ind w:left="4786" w:hanging="180"/>
      </w:pPr>
    </w:lvl>
    <w:lvl w:ilvl="6" w:tplc="0809000F" w:tentative="1">
      <w:start w:val="1"/>
      <w:numFmt w:val="decimal"/>
      <w:lvlText w:val="%7."/>
      <w:lvlJc w:val="left"/>
      <w:pPr>
        <w:ind w:left="5506" w:hanging="360"/>
      </w:pPr>
    </w:lvl>
    <w:lvl w:ilvl="7" w:tplc="08090019" w:tentative="1">
      <w:start w:val="1"/>
      <w:numFmt w:val="lowerLetter"/>
      <w:lvlText w:val="%8."/>
      <w:lvlJc w:val="left"/>
      <w:pPr>
        <w:ind w:left="6226" w:hanging="360"/>
      </w:pPr>
    </w:lvl>
    <w:lvl w:ilvl="8" w:tplc="0809001B" w:tentative="1">
      <w:start w:val="1"/>
      <w:numFmt w:val="lowerRoman"/>
      <w:lvlText w:val="%9."/>
      <w:lvlJc w:val="right"/>
      <w:pPr>
        <w:ind w:left="6946" w:hanging="180"/>
      </w:pPr>
    </w:lvl>
  </w:abstractNum>
  <w:abstractNum w:abstractNumId="8" w15:restartNumberingAfterBreak="0">
    <w:nsid w:val="493F37FE"/>
    <w:multiLevelType w:val="hybridMultilevel"/>
    <w:tmpl w:val="6D70C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A872D7"/>
    <w:multiLevelType w:val="hybridMultilevel"/>
    <w:tmpl w:val="B6D0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B672D"/>
    <w:multiLevelType w:val="hybridMultilevel"/>
    <w:tmpl w:val="69B0DB8E"/>
    <w:lvl w:ilvl="0" w:tplc="93162BFC">
      <w:start w:val="1"/>
      <w:numFmt w:val="decimal"/>
      <w:lvlText w:val="%1."/>
      <w:lvlJc w:val="left"/>
      <w:pPr>
        <w:ind w:left="720" w:hanging="360"/>
      </w:pPr>
      <w:rPr>
        <w:rFonts w:asciiTheme="minorBidi" w:hAnsiTheme="minorBidi" w:cstheme="minorBidi" w:hint="default"/>
        <w:b/>
        <w:bCs/>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04A92"/>
    <w:multiLevelType w:val="hybridMultilevel"/>
    <w:tmpl w:val="2FFA196C"/>
    <w:lvl w:ilvl="0" w:tplc="FE966814">
      <w:start w:val="1"/>
      <w:numFmt w:val="decimal"/>
      <w:lvlText w:val="%1."/>
      <w:lvlJc w:val="left"/>
      <w:pPr>
        <w:ind w:left="1186" w:hanging="360"/>
      </w:pPr>
      <w:rPr>
        <w:rFonts w:hint="default"/>
      </w:rPr>
    </w:lvl>
    <w:lvl w:ilvl="1" w:tplc="08090019" w:tentative="1">
      <w:start w:val="1"/>
      <w:numFmt w:val="lowerLetter"/>
      <w:lvlText w:val="%2."/>
      <w:lvlJc w:val="left"/>
      <w:pPr>
        <w:ind w:left="1906" w:hanging="360"/>
      </w:pPr>
    </w:lvl>
    <w:lvl w:ilvl="2" w:tplc="0809001B" w:tentative="1">
      <w:start w:val="1"/>
      <w:numFmt w:val="lowerRoman"/>
      <w:lvlText w:val="%3."/>
      <w:lvlJc w:val="right"/>
      <w:pPr>
        <w:ind w:left="2626" w:hanging="180"/>
      </w:pPr>
    </w:lvl>
    <w:lvl w:ilvl="3" w:tplc="0809000F" w:tentative="1">
      <w:start w:val="1"/>
      <w:numFmt w:val="decimal"/>
      <w:lvlText w:val="%4."/>
      <w:lvlJc w:val="left"/>
      <w:pPr>
        <w:ind w:left="3346" w:hanging="360"/>
      </w:pPr>
    </w:lvl>
    <w:lvl w:ilvl="4" w:tplc="08090019" w:tentative="1">
      <w:start w:val="1"/>
      <w:numFmt w:val="lowerLetter"/>
      <w:lvlText w:val="%5."/>
      <w:lvlJc w:val="left"/>
      <w:pPr>
        <w:ind w:left="4066" w:hanging="360"/>
      </w:pPr>
    </w:lvl>
    <w:lvl w:ilvl="5" w:tplc="0809001B" w:tentative="1">
      <w:start w:val="1"/>
      <w:numFmt w:val="lowerRoman"/>
      <w:lvlText w:val="%6."/>
      <w:lvlJc w:val="right"/>
      <w:pPr>
        <w:ind w:left="4786" w:hanging="180"/>
      </w:pPr>
    </w:lvl>
    <w:lvl w:ilvl="6" w:tplc="0809000F" w:tentative="1">
      <w:start w:val="1"/>
      <w:numFmt w:val="decimal"/>
      <w:lvlText w:val="%7."/>
      <w:lvlJc w:val="left"/>
      <w:pPr>
        <w:ind w:left="5506" w:hanging="360"/>
      </w:pPr>
    </w:lvl>
    <w:lvl w:ilvl="7" w:tplc="08090019" w:tentative="1">
      <w:start w:val="1"/>
      <w:numFmt w:val="lowerLetter"/>
      <w:lvlText w:val="%8."/>
      <w:lvlJc w:val="left"/>
      <w:pPr>
        <w:ind w:left="6226" w:hanging="360"/>
      </w:pPr>
    </w:lvl>
    <w:lvl w:ilvl="8" w:tplc="0809001B" w:tentative="1">
      <w:start w:val="1"/>
      <w:numFmt w:val="lowerRoman"/>
      <w:lvlText w:val="%9."/>
      <w:lvlJc w:val="right"/>
      <w:pPr>
        <w:ind w:left="6946" w:hanging="180"/>
      </w:pPr>
    </w:lvl>
  </w:abstractNum>
  <w:abstractNum w:abstractNumId="12" w15:restartNumberingAfterBreak="0">
    <w:nsid w:val="6E503DE2"/>
    <w:multiLevelType w:val="hybridMultilevel"/>
    <w:tmpl w:val="10005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A1275"/>
    <w:multiLevelType w:val="multilevel"/>
    <w:tmpl w:val="6CC425B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C50308"/>
    <w:multiLevelType w:val="hybridMultilevel"/>
    <w:tmpl w:val="17046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8"/>
  </w:num>
  <w:num w:numId="5">
    <w:abstractNumId w:val="14"/>
  </w:num>
  <w:num w:numId="6">
    <w:abstractNumId w:val="12"/>
  </w:num>
  <w:num w:numId="7">
    <w:abstractNumId w:val="0"/>
  </w:num>
  <w:num w:numId="8">
    <w:abstractNumId w:val="3"/>
  </w:num>
  <w:num w:numId="9">
    <w:abstractNumId w:val="11"/>
  </w:num>
  <w:num w:numId="10">
    <w:abstractNumId w:val="6"/>
  </w:num>
  <w:num w:numId="11">
    <w:abstractNumId w:val="2"/>
  </w:num>
  <w:num w:numId="12">
    <w:abstractNumId w:val="7"/>
  </w:num>
  <w:num w:numId="13">
    <w:abstractNumId w:val="5"/>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E5"/>
    <w:rsid w:val="000049B9"/>
    <w:rsid w:val="00005DAD"/>
    <w:rsid w:val="00013C0B"/>
    <w:rsid w:val="0001510B"/>
    <w:rsid w:val="00025587"/>
    <w:rsid w:val="00080C10"/>
    <w:rsid w:val="00091AA9"/>
    <w:rsid w:val="0009659E"/>
    <w:rsid w:val="000D3FF7"/>
    <w:rsid w:val="00127F48"/>
    <w:rsid w:val="001A2DA0"/>
    <w:rsid w:val="001E4AAF"/>
    <w:rsid w:val="001F34E5"/>
    <w:rsid w:val="002265FA"/>
    <w:rsid w:val="00274C86"/>
    <w:rsid w:val="00293590"/>
    <w:rsid w:val="002D4026"/>
    <w:rsid w:val="00323611"/>
    <w:rsid w:val="003633AB"/>
    <w:rsid w:val="0036769F"/>
    <w:rsid w:val="003825BD"/>
    <w:rsid w:val="003C0094"/>
    <w:rsid w:val="003D1DED"/>
    <w:rsid w:val="00454A4F"/>
    <w:rsid w:val="0046319F"/>
    <w:rsid w:val="00477F88"/>
    <w:rsid w:val="00480DEC"/>
    <w:rsid w:val="00492EDB"/>
    <w:rsid w:val="004A4B7D"/>
    <w:rsid w:val="004A4DAD"/>
    <w:rsid w:val="004C48DF"/>
    <w:rsid w:val="004C58DB"/>
    <w:rsid w:val="004C66EB"/>
    <w:rsid w:val="004C678F"/>
    <w:rsid w:val="004F2CE5"/>
    <w:rsid w:val="00502AE6"/>
    <w:rsid w:val="00511A59"/>
    <w:rsid w:val="005139A1"/>
    <w:rsid w:val="00525D85"/>
    <w:rsid w:val="0053420F"/>
    <w:rsid w:val="005A484A"/>
    <w:rsid w:val="005B2838"/>
    <w:rsid w:val="005B34D1"/>
    <w:rsid w:val="005B3D36"/>
    <w:rsid w:val="005D10C1"/>
    <w:rsid w:val="005D51F7"/>
    <w:rsid w:val="005D524D"/>
    <w:rsid w:val="005E1420"/>
    <w:rsid w:val="005E6FAB"/>
    <w:rsid w:val="0062283D"/>
    <w:rsid w:val="0063772E"/>
    <w:rsid w:val="00650EB5"/>
    <w:rsid w:val="00670B0D"/>
    <w:rsid w:val="00682D69"/>
    <w:rsid w:val="00691FC7"/>
    <w:rsid w:val="00695C9C"/>
    <w:rsid w:val="006A2169"/>
    <w:rsid w:val="006A22B3"/>
    <w:rsid w:val="006A59AF"/>
    <w:rsid w:val="006C0FE2"/>
    <w:rsid w:val="006D2775"/>
    <w:rsid w:val="006E39FF"/>
    <w:rsid w:val="007159E2"/>
    <w:rsid w:val="00721E00"/>
    <w:rsid w:val="00722D25"/>
    <w:rsid w:val="00737680"/>
    <w:rsid w:val="00753160"/>
    <w:rsid w:val="007654F4"/>
    <w:rsid w:val="007820AD"/>
    <w:rsid w:val="00792FD0"/>
    <w:rsid w:val="00793C34"/>
    <w:rsid w:val="00794159"/>
    <w:rsid w:val="007B4F48"/>
    <w:rsid w:val="007C1F5E"/>
    <w:rsid w:val="007C3FB3"/>
    <w:rsid w:val="007E51A4"/>
    <w:rsid w:val="007F44D0"/>
    <w:rsid w:val="00806FE3"/>
    <w:rsid w:val="008223A3"/>
    <w:rsid w:val="0083003A"/>
    <w:rsid w:val="00836543"/>
    <w:rsid w:val="0083659B"/>
    <w:rsid w:val="00847AD4"/>
    <w:rsid w:val="00865785"/>
    <w:rsid w:val="008770E5"/>
    <w:rsid w:val="0088457A"/>
    <w:rsid w:val="008A0B19"/>
    <w:rsid w:val="008A1C77"/>
    <w:rsid w:val="008D5C9E"/>
    <w:rsid w:val="008D6B54"/>
    <w:rsid w:val="008E715D"/>
    <w:rsid w:val="00904769"/>
    <w:rsid w:val="00910EB5"/>
    <w:rsid w:val="009342FB"/>
    <w:rsid w:val="00955FD6"/>
    <w:rsid w:val="009574D2"/>
    <w:rsid w:val="00972628"/>
    <w:rsid w:val="00981350"/>
    <w:rsid w:val="009912C5"/>
    <w:rsid w:val="00991A15"/>
    <w:rsid w:val="009B724E"/>
    <w:rsid w:val="00A1787C"/>
    <w:rsid w:val="00A47251"/>
    <w:rsid w:val="00A70144"/>
    <w:rsid w:val="00A81B59"/>
    <w:rsid w:val="00AE2E88"/>
    <w:rsid w:val="00AF062B"/>
    <w:rsid w:val="00B467BC"/>
    <w:rsid w:val="00B55D91"/>
    <w:rsid w:val="00B560D5"/>
    <w:rsid w:val="00B56192"/>
    <w:rsid w:val="00B974A7"/>
    <w:rsid w:val="00BB7CFE"/>
    <w:rsid w:val="00BC43EB"/>
    <w:rsid w:val="00BC477E"/>
    <w:rsid w:val="00BE533B"/>
    <w:rsid w:val="00BF1B6A"/>
    <w:rsid w:val="00C75AA0"/>
    <w:rsid w:val="00C76DCC"/>
    <w:rsid w:val="00C824CD"/>
    <w:rsid w:val="00CD3DA6"/>
    <w:rsid w:val="00D56F35"/>
    <w:rsid w:val="00D61571"/>
    <w:rsid w:val="00D76172"/>
    <w:rsid w:val="00D84479"/>
    <w:rsid w:val="00D91602"/>
    <w:rsid w:val="00DA4937"/>
    <w:rsid w:val="00DA504F"/>
    <w:rsid w:val="00DA5BBB"/>
    <w:rsid w:val="00DB24D8"/>
    <w:rsid w:val="00DB559B"/>
    <w:rsid w:val="00DD71A0"/>
    <w:rsid w:val="00E046C5"/>
    <w:rsid w:val="00E209A2"/>
    <w:rsid w:val="00E42C14"/>
    <w:rsid w:val="00E772FC"/>
    <w:rsid w:val="00E843C7"/>
    <w:rsid w:val="00E9394E"/>
    <w:rsid w:val="00EA1632"/>
    <w:rsid w:val="00F07390"/>
    <w:rsid w:val="00F10FA0"/>
    <w:rsid w:val="00F11EF4"/>
    <w:rsid w:val="00F238BD"/>
    <w:rsid w:val="00F40E9E"/>
    <w:rsid w:val="00F64883"/>
    <w:rsid w:val="00F74359"/>
    <w:rsid w:val="00F90B0B"/>
    <w:rsid w:val="00FA2BB1"/>
    <w:rsid w:val="00FD3D9B"/>
    <w:rsid w:val="00FE2ADF"/>
    <w:rsid w:val="00FE5764"/>
    <w:rsid w:val="00FE66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61DB"/>
  <w15:chartTrackingRefBased/>
  <w15:docId w15:val="{DBD99385-3F69-46D7-9241-3B836D0E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B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50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B59"/>
    <w:pPr>
      <w:ind w:left="720"/>
      <w:contextualSpacing/>
    </w:pPr>
  </w:style>
  <w:style w:type="character" w:customStyle="1" w:styleId="Heading1Char">
    <w:name w:val="Heading 1 Char"/>
    <w:basedOn w:val="DefaultParagraphFont"/>
    <w:link w:val="Heading1"/>
    <w:uiPriority w:val="9"/>
    <w:rsid w:val="00A81B5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209A2"/>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92EDB"/>
    <w:pPr>
      <w:spacing w:after="0" w:line="240" w:lineRule="auto"/>
    </w:pPr>
    <w:rPr>
      <w:sz w:val="24"/>
      <w:szCs w:val="24"/>
    </w:rPr>
  </w:style>
  <w:style w:type="character" w:customStyle="1" w:styleId="FootnoteTextChar">
    <w:name w:val="Footnote Text Char"/>
    <w:basedOn w:val="DefaultParagraphFont"/>
    <w:link w:val="FootnoteText"/>
    <w:uiPriority w:val="99"/>
    <w:rsid w:val="00492EDB"/>
    <w:rPr>
      <w:sz w:val="24"/>
      <w:szCs w:val="24"/>
    </w:rPr>
  </w:style>
  <w:style w:type="character" w:styleId="FootnoteReference">
    <w:name w:val="footnote reference"/>
    <w:basedOn w:val="DefaultParagraphFont"/>
    <w:uiPriority w:val="99"/>
    <w:unhideWhenUsed/>
    <w:rsid w:val="00492EDB"/>
    <w:rPr>
      <w:vertAlign w:val="superscript"/>
    </w:rPr>
  </w:style>
  <w:style w:type="paragraph" w:styleId="BalloonText">
    <w:name w:val="Balloon Text"/>
    <w:basedOn w:val="Normal"/>
    <w:link w:val="BalloonTextChar"/>
    <w:uiPriority w:val="99"/>
    <w:semiHidden/>
    <w:unhideWhenUsed/>
    <w:rsid w:val="00080C10"/>
    <w:pPr>
      <w:bidi/>
      <w:spacing w:after="0" w:line="240" w:lineRule="auto"/>
    </w:pPr>
    <w:rPr>
      <w:rFonts w:ascii="Segoe UI" w:hAnsi="Segoe UI" w:cs="Segoe UI"/>
      <w:sz w:val="18"/>
      <w:szCs w:val="18"/>
      <w:lang w:bidi="he-IL"/>
    </w:rPr>
  </w:style>
  <w:style w:type="character" w:customStyle="1" w:styleId="BalloonTextChar">
    <w:name w:val="Balloon Text Char"/>
    <w:basedOn w:val="DefaultParagraphFont"/>
    <w:link w:val="BalloonText"/>
    <w:uiPriority w:val="99"/>
    <w:semiHidden/>
    <w:rsid w:val="00080C10"/>
    <w:rPr>
      <w:rFonts w:ascii="Segoe UI" w:hAnsi="Segoe UI" w:cs="Segoe UI"/>
      <w:sz w:val="18"/>
      <w:szCs w:val="18"/>
      <w:lang w:bidi="he-IL"/>
    </w:rPr>
  </w:style>
  <w:style w:type="paragraph" w:styleId="Header">
    <w:name w:val="header"/>
    <w:basedOn w:val="Normal"/>
    <w:link w:val="HeaderChar"/>
    <w:uiPriority w:val="99"/>
    <w:unhideWhenUsed/>
    <w:rsid w:val="00F40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E9E"/>
  </w:style>
  <w:style w:type="paragraph" w:styleId="Footer">
    <w:name w:val="footer"/>
    <w:basedOn w:val="Normal"/>
    <w:link w:val="FooterChar"/>
    <w:uiPriority w:val="99"/>
    <w:unhideWhenUsed/>
    <w:rsid w:val="00F40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E9E"/>
  </w:style>
  <w:style w:type="paragraph" w:styleId="TOCHeading">
    <w:name w:val="TOC Heading"/>
    <w:basedOn w:val="Heading1"/>
    <w:next w:val="Normal"/>
    <w:uiPriority w:val="39"/>
    <w:unhideWhenUsed/>
    <w:qFormat/>
    <w:rsid w:val="00C75AA0"/>
    <w:pPr>
      <w:spacing w:before="480" w:line="276" w:lineRule="auto"/>
      <w:outlineLvl w:val="9"/>
    </w:pPr>
    <w:rPr>
      <w:b/>
      <w:bCs/>
      <w:sz w:val="28"/>
      <w:szCs w:val="28"/>
    </w:rPr>
  </w:style>
  <w:style w:type="paragraph" w:styleId="TOC1">
    <w:name w:val="toc 1"/>
    <w:basedOn w:val="Normal"/>
    <w:next w:val="Normal"/>
    <w:autoRedefine/>
    <w:uiPriority w:val="39"/>
    <w:unhideWhenUsed/>
    <w:rsid w:val="00C75AA0"/>
    <w:pPr>
      <w:spacing w:before="120" w:after="0"/>
    </w:pPr>
    <w:rPr>
      <w:b/>
      <w:bCs/>
      <w:sz w:val="24"/>
      <w:szCs w:val="24"/>
    </w:rPr>
  </w:style>
  <w:style w:type="character" w:styleId="Hyperlink">
    <w:name w:val="Hyperlink"/>
    <w:basedOn w:val="DefaultParagraphFont"/>
    <w:uiPriority w:val="99"/>
    <w:unhideWhenUsed/>
    <w:rsid w:val="00C75AA0"/>
    <w:rPr>
      <w:color w:val="0563C1" w:themeColor="hyperlink"/>
      <w:u w:val="single"/>
    </w:rPr>
  </w:style>
  <w:style w:type="paragraph" w:styleId="TOC2">
    <w:name w:val="toc 2"/>
    <w:basedOn w:val="Normal"/>
    <w:next w:val="Normal"/>
    <w:autoRedefine/>
    <w:uiPriority w:val="39"/>
    <w:unhideWhenUsed/>
    <w:rsid w:val="00C75AA0"/>
    <w:pPr>
      <w:spacing w:after="0"/>
      <w:ind w:left="220"/>
    </w:pPr>
    <w:rPr>
      <w:b/>
      <w:bCs/>
    </w:rPr>
  </w:style>
  <w:style w:type="paragraph" w:styleId="TOC3">
    <w:name w:val="toc 3"/>
    <w:basedOn w:val="Normal"/>
    <w:next w:val="Normal"/>
    <w:autoRedefine/>
    <w:uiPriority w:val="39"/>
    <w:semiHidden/>
    <w:unhideWhenUsed/>
    <w:rsid w:val="00C75AA0"/>
    <w:pPr>
      <w:spacing w:after="0"/>
      <w:ind w:left="440"/>
    </w:pPr>
  </w:style>
  <w:style w:type="paragraph" w:styleId="TOC4">
    <w:name w:val="toc 4"/>
    <w:basedOn w:val="Normal"/>
    <w:next w:val="Normal"/>
    <w:autoRedefine/>
    <w:uiPriority w:val="39"/>
    <w:semiHidden/>
    <w:unhideWhenUsed/>
    <w:rsid w:val="00C75AA0"/>
    <w:pPr>
      <w:spacing w:after="0"/>
      <w:ind w:left="660"/>
    </w:pPr>
    <w:rPr>
      <w:sz w:val="20"/>
      <w:szCs w:val="20"/>
    </w:rPr>
  </w:style>
  <w:style w:type="paragraph" w:styleId="TOC5">
    <w:name w:val="toc 5"/>
    <w:basedOn w:val="Normal"/>
    <w:next w:val="Normal"/>
    <w:autoRedefine/>
    <w:uiPriority w:val="39"/>
    <w:semiHidden/>
    <w:unhideWhenUsed/>
    <w:rsid w:val="00C75AA0"/>
    <w:pPr>
      <w:spacing w:after="0"/>
      <w:ind w:left="880"/>
    </w:pPr>
    <w:rPr>
      <w:sz w:val="20"/>
      <w:szCs w:val="20"/>
    </w:rPr>
  </w:style>
  <w:style w:type="paragraph" w:styleId="TOC6">
    <w:name w:val="toc 6"/>
    <w:basedOn w:val="Normal"/>
    <w:next w:val="Normal"/>
    <w:autoRedefine/>
    <w:uiPriority w:val="39"/>
    <w:semiHidden/>
    <w:unhideWhenUsed/>
    <w:rsid w:val="00C75AA0"/>
    <w:pPr>
      <w:spacing w:after="0"/>
      <w:ind w:left="1100"/>
    </w:pPr>
    <w:rPr>
      <w:sz w:val="20"/>
      <w:szCs w:val="20"/>
    </w:rPr>
  </w:style>
  <w:style w:type="paragraph" w:styleId="TOC7">
    <w:name w:val="toc 7"/>
    <w:basedOn w:val="Normal"/>
    <w:next w:val="Normal"/>
    <w:autoRedefine/>
    <w:uiPriority w:val="39"/>
    <w:semiHidden/>
    <w:unhideWhenUsed/>
    <w:rsid w:val="00C75AA0"/>
    <w:pPr>
      <w:spacing w:after="0"/>
      <w:ind w:left="1320"/>
    </w:pPr>
    <w:rPr>
      <w:sz w:val="20"/>
      <w:szCs w:val="20"/>
    </w:rPr>
  </w:style>
  <w:style w:type="paragraph" w:styleId="TOC8">
    <w:name w:val="toc 8"/>
    <w:basedOn w:val="Normal"/>
    <w:next w:val="Normal"/>
    <w:autoRedefine/>
    <w:uiPriority w:val="39"/>
    <w:semiHidden/>
    <w:unhideWhenUsed/>
    <w:rsid w:val="00C75AA0"/>
    <w:pPr>
      <w:spacing w:after="0"/>
      <w:ind w:left="1540"/>
    </w:pPr>
    <w:rPr>
      <w:sz w:val="20"/>
      <w:szCs w:val="20"/>
    </w:rPr>
  </w:style>
  <w:style w:type="paragraph" w:styleId="TOC9">
    <w:name w:val="toc 9"/>
    <w:basedOn w:val="Normal"/>
    <w:next w:val="Normal"/>
    <w:autoRedefine/>
    <w:uiPriority w:val="39"/>
    <w:semiHidden/>
    <w:unhideWhenUsed/>
    <w:rsid w:val="00C75AA0"/>
    <w:pPr>
      <w:spacing w:after="0"/>
      <w:ind w:left="1760"/>
    </w:pPr>
    <w:rPr>
      <w:sz w:val="20"/>
      <w:szCs w:val="20"/>
    </w:rPr>
  </w:style>
  <w:style w:type="character" w:customStyle="1" w:styleId="Heading2Char">
    <w:name w:val="Heading 2 Char"/>
    <w:basedOn w:val="DefaultParagraphFont"/>
    <w:link w:val="Heading2"/>
    <w:uiPriority w:val="9"/>
    <w:rsid w:val="00DA504F"/>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8A0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A14425-8C37-4811-B569-A82947FA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14</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Paraszczuk, Joanna</dc:creator>
  <cp:keywords/>
  <dc:description/>
  <cp:lastModifiedBy>Avraham Kallenbach</cp:lastModifiedBy>
  <cp:revision>106</cp:revision>
  <dcterms:created xsi:type="dcterms:W3CDTF">2017-08-31T16:08:00Z</dcterms:created>
  <dcterms:modified xsi:type="dcterms:W3CDTF">2017-09-05T09:29:00Z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576379518</vt:i4>
  </property>
  <property fmtid="{D5CDD505-2E9C-101B-9397-08002B2CF9AE}" pid="3" name="_NewReviewCycle">
    <vt:lpwstr/>
  </property>
  <property fmtid="{D5CDD505-2E9C-101B-9397-08002B2CF9AE}" pid="4" name="_EmailSubject">
    <vt:lpwstr>translation</vt:lpwstr>
  </property>
  <property fmtid="{D5CDD505-2E9C-101B-9397-08002B2CF9AE}" pid="5" name="_AuthorEmail">
    <vt:lpwstr>J.Paraszczuk@rss.org.uk</vt:lpwstr>
  </property>
  <property fmtid="{D5CDD505-2E9C-101B-9397-08002B2CF9AE}" pid="6" name="_AuthorEmailDisplayName">
    <vt:lpwstr>Paraszczuk, Joanna</vt:lpwstr>
  </property>
  <property fmtid="{D5CDD505-2E9C-101B-9397-08002B2CF9AE}" pid="7" name="_ReviewingToolsShownOnce">
    <vt:lpwstr/>
  </property>
</Properties>
</file>