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 Linguistic Commentary on Gregory of Nazianzus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AP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8.21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After a brief overview of the contents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discussed in it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this article proposes a formal and linguistic commentary on an epigram by Gregor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of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Nazianz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AP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8.21)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and draws then some generalizable o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bservations.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poem belongs to the series of epigrams dedicated to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Gregory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father, who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is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also the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persona loquens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The poet starts from a well-known scriptural quotation from the book of the prophet Micah (5)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about how small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Bethlehem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is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extend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same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concept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to Nazianz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the village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whose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spiritual care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Gregory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father has entrusted to him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In both cases,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in fact, to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town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small size corresponds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its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inversely proportional importance on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spiritual level.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formal solutions adopted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in the epigram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and specifically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use of the adjective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τυτθός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reveal the poet's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admiration for and imitation of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Callimach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but also his originality in renewing the pagan poetic language with the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purposeful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insertion of Christian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vocabulary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An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area for further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research concerns the presence of elements of the most widespread epic diction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of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Gregory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time (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such as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increase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usage of the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dative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in 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εσσι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as found for instance in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Sibylline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racles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Manetho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Apotelesmatic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Gregor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of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Nazianz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epigrammatic production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been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the focus of renewed interest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 Late Antiquity specialists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as evidenced by the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increased number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studies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historical, literary and stylistic criticism.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footnoteReference w:id="1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this article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 intend to analyze an epigram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such as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AP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8.21,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which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belong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the epitaph sequence dedicated to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Gregory's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father (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AP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8.13-24),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deploying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 lexical and stylistic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method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order to identify some formal preferences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Gregory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writing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footnoteReference w:id="2"/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epigrammatic genre and the funerary context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however,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lead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Gregory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to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depict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the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relations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hip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his father as idyllic. Gregory aims at showing himself in a specific light to his father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and his siblings -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his brother 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æ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sari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his sister Gorgonia, because of the spiritual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legacy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that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connect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father and son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priestly mission.</w:t>
      </w:r>
      <w:r>
        <w:rPr>
          <w:rFonts w:ascii="Palatino Linotype" w:cs="Palatino Linotype" w:hAnsi="Palatino Linotype" w:eastAsia="Palatino Linotype"/>
          <w:outline w:val="0"/>
          <w:color w:val="000000"/>
          <w:sz w:val="20"/>
          <w:szCs w:val="2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footnoteReference w:id="3"/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:lang w:val="it-IT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It is interesting to note that 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ἀτ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ά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ρ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was not popular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in Quintus of Smyrna (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found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twice) and Nonnus (only once), whereas it was quite common in Gregory (25 times) and in Eudocia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’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s Homeric style (with about 30 occurrences). The variant 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αὐτάρ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, which Homer uses indifferently instead of 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ἀτάρ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,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 depending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on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his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metrical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needs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, is more common, although with some significant differences (111 occurrences in Gregory of Nazianzus, 192 in Eudocia,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and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51 in Nonnus).</w:t>
      </w:r>
      <w:r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:vertAlign w:val="superscript"/>
          <w:lang w:val="it-IT"/>
          <w14:textFill>
            <w14:solidFill>
              <w14:srgbClr w14:val="0070C0"/>
            </w14:solidFill>
          </w14:textFill>
        </w:rPr>
        <w:footnoteReference w:id="4"/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z w:val="24"/>
          <w:szCs w:val="24"/>
          <w:rtl w:val="0"/>
          <w:lang w:val="en-US"/>
        </w:rPr>
        <w:t>allimachea</w:t>
      </w:r>
      <w:r>
        <w:rPr>
          <w:rFonts w:ascii="Times New Roman" w:hAnsi="Times New Roman"/>
          <w:sz w:val="24"/>
          <w:szCs w:val="24"/>
          <w:rtl w:val="0"/>
        </w:rPr>
        <w:t>n influence on Gregory is clearly recognized by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Poulos 2019, 65-66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. For an insight into the stylistic level of 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τυτθός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in Gregory, see also Poulos 2019, 92-93.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λιθάκεσσιν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About the ending in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εσσι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 Imperial Age poetry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in the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ibylline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racles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“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the Sibyl [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…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] also has a fondness for synthetic epic forms in -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εσσι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, in all types of third-declension stem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It cannot be excluded that 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λιθάκεσσιν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is an Aratean </w:t>
      </w:r>
      <w:r>
        <w:rPr>
          <w:rFonts w:ascii="Times New Roman" w:hAnsi="Times New Roman"/>
          <w:i w:val="1"/>
          <w:i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tessera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that Gregory of Nazianzus must have liked, since his writings account for 5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of its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occurrences out of a total of 14 in the whole of Greek and Byzantine literature (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moreover,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two of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those 14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are to be found in medieval lexicons devoted to Gregory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’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s works).</w:t>
      </w:r>
      <w:r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:vertAlign w:val="superscript"/>
          <w:lang w:val="it-IT"/>
          <w14:textFill>
            <w14:solidFill>
              <w14:srgbClr w14:val="0070C0"/>
            </w14:solidFill>
          </w14:textFill>
        </w:rPr>
        <w:footnoteReference w:id="5"/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However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besides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Arat</w:t>
      </w:r>
      <w:r>
        <w:rPr>
          <w:rFonts w:ascii="Times New Roman" w:hAnsi="Times New Roman"/>
          <w:sz w:val="24"/>
          <w:szCs w:val="24"/>
          <w:rtl w:val="0"/>
          <w:lang w:val="it-IT"/>
        </w:rPr>
        <w:t>us</w:t>
      </w:r>
      <w:r>
        <w:rPr>
          <w:rFonts w:ascii="Times New Roman" w:hAnsi="Times New Roman"/>
          <w:sz w:val="24"/>
          <w:szCs w:val="24"/>
          <w:rtl w:val="0"/>
          <w:lang w:val="it-IT"/>
        </w:rPr>
        <w:t>, Nicand</w:t>
      </w:r>
      <w:r>
        <w:rPr>
          <w:rFonts w:ascii="Times New Roman" w:hAnsi="Times New Roman"/>
          <w:sz w:val="24"/>
          <w:szCs w:val="24"/>
          <w:rtl w:val="0"/>
          <w:lang w:val="it-IT"/>
        </w:rPr>
        <w:t>er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also offers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one occurrence of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λίθαξ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although not in the dative</w:t>
      </w:r>
      <w:r>
        <w:rPr>
          <w:rFonts w:ascii="Times New Roman" w:hAnsi="Times New Roman"/>
          <w:sz w:val="24"/>
          <w:szCs w:val="24"/>
          <w:rtl w:val="0"/>
          <w:lang w:val="it-IT"/>
        </w:rPr>
        <w:t>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it is to be found in a sophisticatedly worded passage where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λίθακας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is paired up with the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rtl w:val="0"/>
          <w:lang w:val="it-IT"/>
        </w:rPr>
        <w:t>y</w:t>
      </w:r>
      <w:r>
        <w:rPr>
          <w:rFonts w:ascii="Times New Roman" w:hAnsi="Times New Roman"/>
          <w:sz w:val="24"/>
          <w:szCs w:val="24"/>
          <w:rtl w:val="0"/>
          <w:lang w:val="it-IT"/>
        </w:rPr>
        <w:t>non</w:t>
      </w:r>
      <w:r>
        <w:rPr>
          <w:rFonts w:ascii="Times New Roman" w:hAnsi="Times New Roman"/>
          <w:sz w:val="24"/>
          <w:szCs w:val="24"/>
          <w:rtl w:val="0"/>
          <w:lang w:val="it-IT"/>
        </w:rPr>
        <w:t>y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ἕρμακας ‘</w:t>
      </w:r>
      <w:r>
        <w:rPr>
          <w:rFonts w:ascii="Times New Roman" w:hAnsi="Times New Roman"/>
          <w:sz w:val="24"/>
          <w:szCs w:val="24"/>
          <w:rtl w:val="0"/>
          <w:lang w:val="it-IT"/>
        </w:rPr>
        <w:t>heaps of stones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Th.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150). </w:t>
      </w:r>
      <w:r>
        <w:rPr>
          <w:rFonts w:ascii="Times New Roman" w:hAnsi="Times New Roman"/>
          <w:sz w:val="24"/>
          <w:szCs w:val="24"/>
          <w:rtl w:val="0"/>
          <w:lang w:val="it-IT"/>
        </w:rPr>
        <w:t>This context will be taken up again by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Dion</w:t>
      </w:r>
      <w:r>
        <w:rPr>
          <w:rFonts w:ascii="Times New Roman" w:hAnsi="Times New Roman"/>
          <w:sz w:val="24"/>
          <w:szCs w:val="24"/>
          <w:rtl w:val="0"/>
          <w:lang w:val="en-US"/>
        </w:rPr>
        <w:t>ysius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Perieget</w:t>
      </w:r>
      <w:r>
        <w:rPr>
          <w:rFonts w:ascii="Times New Roman" w:hAnsi="Times New Roman"/>
          <w:sz w:val="24"/>
          <w:szCs w:val="24"/>
          <w:rtl w:val="0"/>
          <w:lang w:val="en-US"/>
        </w:rPr>
        <w:t>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GrDFr </w:t>
      </w:r>
      <w:r>
        <w:rPr>
          <w:rFonts w:ascii="Times New Roman" w:hAnsi="Times New Roman"/>
          <w:sz w:val="24"/>
          <w:szCs w:val="24"/>
          <w:rtl w:val="0"/>
          <w:lang w:val="en-US"/>
        </w:rPr>
        <w:t>14r).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ἀνάσσει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diversely conjugated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verb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ἀνάσσειν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 ‘</w:t>
      </w:r>
      <w:r>
        <w:rPr>
          <w:rFonts w:ascii="Times New Roman" w:hAnsi="Times New Roman"/>
          <w:sz w:val="24"/>
          <w:szCs w:val="24"/>
          <w:rtl w:val="0"/>
          <w:lang w:val="it-IT"/>
        </w:rPr>
        <w:t>domina</w:t>
      </w:r>
      <w:r>
        <w:rPr>
          <w:rFonts w:ascii="Times New Roman" w:hAnsi="Times New Roman"/>
          <w:sz w:val="24"/>
          <w:szCs w:val="24"/>
          <w:rtl w:val="0"/>
          <w:lang w:val="it-IT"/>
        </w:rPr>
        <w:t>t</w:t>
      </w:r>
      <w:r>
        <w:rPr>
          <w:rFonts w:ascii="Times New Roman" w:hAnsi="Times New Roman"/>
          <w:sz w:val="24"/>
          <w:szCs w:val="24"/>
          <w:rtl w:val="0"/>
          <w:lang w:val="it-IT"/>
        </w:rPr>
        <w:t>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was commonly used in hexametric clauses from Homer onwards, to Hellenistic and Imperial Age poetry. Elsewhere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carm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2.1.1.143) </w:t>
      </w:r>
      <w:r>
        <w:rPr>
          <w:rFonts w:ascii="Times New Roman" w:hAnsi="Times New Roman"/>
          <w:sz w:val="24"/>
          <w:szCs w:val="24"/>
          <w:rtl w:val="0"/>
        </w:rPr>
        <w:t>Gregor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even resuscitates the rare epic infinitive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ἀνασσέμεν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of H</w:t>
      </w:r>
      <w:r>
        <w:rPr>
          <w:rFonts w:ascii="Times New Roman" w:hAnsi="Times New Roman"/>
          <w:sz w:val="24"/>
          <w:szCs w:val="24"/>
          <w:rtl w:val="0"/>
          <w:lang w:val="it-IT"/>
        </w:rPr>
        <w:t>omeric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origin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(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and only attested three times in the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Iliad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),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 </w:t>
      </w:r>
      <w:r>
        <w:rPr>
          <w:rFonts w:ascii="Times New Roman" w:hAnsi="Times New Roman"/>
          <w:sz w:val="24"/>
          <w:szCs w:val="24"/>
          <w:rtl w:val="0"/>
          <w:lang w:val="it-IT"/>
        </w:rPr>
        <w:t>Apolloni</w:t>
      </w:r>
      <w:r>
        <w:rPr>
          <w:rFonts w:ascii="Times New Roman" w:hAnsi="Times New Roman"/>
          <w:sz w:val="24"/>
          <w:szCs w:val="24"/>
          <w:rtl w:val="0"/>
          <w:lang w:val="it-IT"/>
        </w:rPr>
        <w:t>us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R</w:t>
      </w:r>
      <w:r>
        <w:rPr>
          <w:rFonts w:ascii="Times New Roman" w:hAnsi="Times New Roman"/>
          <w:sz w:val="24"/>
          <w:szCs w:val="24"/>
          <w:rtl w:val="0"/>
          <w:lang w:val="it-IT"/>
        </w:rPr>
        <w:t>h</w:t>
      </w:r>
      <w:r>
        <w:rPr>
          <w:rFonts w:ascii="Times New Roman" w:hAnsi="Times New Roman"/>
          <w:sz w:val="24"/>
          <w:szCs w:val="24"/>
          <w:rtl w:val="0"/>
          <w:lang w:val="it-IT"/>
        </w:rPr>
        <w:t>odi</w:t>
      </w:r>
      <w:r>
        <w:rPr>
          <w:rFonts w:ascii="Times New Roman" w:hAnsi="Times New Roman"/>
          <w:sz w:val="24"/>
          <w:szCs w:val="24"/>
          <w:rtl w:val="0"/>
          <w:lang w:val="it-IT"/>
        </w:rPr>
        <w:t>us had already done once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Arg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1.719).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Gregory of Nazanzius is very fond of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he ancient superlative 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φέριστος 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‘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best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’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: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it is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already found in Homer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 (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although only 7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times),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but Gregory uses it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27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times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, probably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because of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metrical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needs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sz w:val="24"/>
          <w:szCs w:val="24"/>
          <w:rtl w:val="0"/>
        </w:rPr>
        <w:t xml:space="preserve">it occurs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22 </w:t>
      </w:r>
      <w:r>
        <w:rPr>
          <w:rFonts w:ascii="Times New Roman" w:hAnsi="Times New Roman"/>
          <w:sz w:val="24"/>
          <w:szCs w:val="24"/>
          <w:rtl w:val="0"/>
        </w:rPr>
        <w:t>times in a hexametric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claus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>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One should also b</w:t>
      </w:r>
      <w:r>
        <w:rPr>
          <w:rFonts w:ascii="Times New Roman" w:hAnsi="Times New Roman"/>
          <w:sz w:val="24"/>
          <w:szCs w:val="24"/>
          <w:rtl w:val="0"/>
          <w:lang w:val="en-US"/>
        </w:rPr>
        <w:t>ear in mind the problems relat</w:t>
      </w:r>
      <w:r>
        <w:rPr>
          <w:rFonts w:ascii="Times New Roman" w:hAnsi="Times New Roman"/>
          <w:sz w:val="24"/>
          <w:szCs w:val="24"/>
          <w:rtl w:val="0"/>
          <w:lang w:val="en-US"/>
        </w:rPr>
        <w:t>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the authenticity of Igna</w:t>
      </w:r>
      <w:r>
        <w:rPr>
          <w:rFonts w:ascii="Times New Roman" w:hAnsi="Times New Roman"/>
          <w:sz w:val="24"/>
          <w:szCs w:val="24"/>
          <w:rtl w:val="0"/>
          <w:lang w:val="en-US"/>
        </w:rPr>
        <w:t>tius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rtl w:val="0"/>
          <w:lang w:val="en-US"/>
        </w:rPr>
        <w:t>epistolary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his cultural milieu, </w:t>
      </w:r>
      <w:r>
        <w:rPr>
          <w:rFonts w:ascii="Times New Roman" w:hAnsi="Times New Roman"/>
          <w:sz w:val="24"/>
          <w:szCs w:val="24"/>
          <w:rtl w:val="0"/>
          <w:lang w:val="en-US"/>
        </w:rPr>
        <w:t>for which I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would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refer to Brent 2006. </w:t>
      </w:r>
      <w:r>
        <w:rPr>
          <w:rFonts w:ascii="Times New Roman" w:hAnsi="Times New Roman"/>
          <w:sz w:val="24"/>
          <w:szCs w:val="24"/>
          <w:rtl w:val="0"/>
          <w:lang w:val="en-US"/>
        </w:rPr>
        <w:t>As for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χριστοφόρος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the many adjectives composed in 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φόρος </w:t>
      </w:r>
      <w:r>
        <w:rPr>
          <w:rFonts w:ascii="Times New Roman" w:hAnsi="Times New Roman"/>
          <w:sz w:val="24"/>
          <w:szCs w:val="24"/>
          <w:rtl w:val="0"/>
          <w:lang w:val="en-US"/>
        </w:rPr>
        <w:t>in Igna</w:t>
      </w:r>
      <w:r>
        <w:rPr>
          <w:rFonts w:ascii="Times New Roman" w:hAnsi="Times New Roman"/>
          <w:sz w:val="24"/>
          <w:szCs w:val="24"/>
          <w:rtl w:val="0"/>
          <w:lang w:val="en-US"/>
        </w:rPr>
        <w:t>tius</w:t>
      </w:r>
      <w:r>
        <w:rPr>
          <w:rFonts w:ascii="Times New Roman" w:hAnsi="Times New Roman"/>
          <w:sz w:val="24"/>
          <w:szCs w:val="24"/>
          <w:rtl w:val="0"/>
          <w:lang w:val="en-US"/>
        </w:rPr>
        <w:t>, see also Brent 2006, 143-145 and 173- 174.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There is only one epigraphic parallel in a funerary inscription dated as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II </w:t>
      </w:r>
      <w:r>
        <w:rPr>
          <w:rFonts w:ascii="Times New Roman" w:hAnsi="Times New Roman"/>
          <w:sz w:val="24"/>
          <w:szCs w:val="24"/>
          <w:rtl w:val="0"/>
        </w:rPr>
        <w:t>century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found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Pisidia (Sterrett,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WE </w:t>
      </w:r>
      <w:r>
        <w:rPr>
          <w:rFonts w:ascii="Times New Roman" w:hAnsi="Times New Roman"/>
          <w:sz w:val="24"/>
          <w:szCs w:val="24"/>
          <w:rtl w:val="0"/>
          <w:lang w:val="en-US"/>
        </w:rPr>
        <w:t>305,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427). </w:t>
      </w:r>
      <w:r>
        <w:rPr>
          <w:rFonts w:ascii="Times New Roman" w:hAnsi="Times New Roman"/>
          <w:sz w:val="24"/>
          <w:szCs w:val="24"/>
          <w:rtl w:val="0"/>
        </w:rPr>
        <w:t>Withi</w:t>
      </w:r>
      <w:r>
        <w:rPr>
          <w:rFonts w:ascii="Times New Roman" w:hAnsi="Times New Roman"/>
          <w:sz w:val="24"/>
          <w:szCs w:val="24"/>
          <w:rtl w:val="0"/>
          <w:lang w:val="en-US"/>
        </w:rPr>
        <w:t>n the ep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itaph sequence </w:t>
      </w:r>
      <w:r>
        <w:rPr>
          <w:rFonts w:ascii="Times New Roman" w:hAnsi="Times New Roman"/>
          <w:sz w:val="24"/>
          <w:szCs w:val="24"/>
          <w:rtl w:val="0"/>
        </w:rPr>
        <w:t>dedicated to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Gregory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father, see also the previous epigram: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AP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8.20.2,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ἐπὶ παιδὶ φίλῳ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The construction in the dative is also repeated in the fifth book of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Nonn</w:t>
      </w:r>
      <w:r>
        <w:rPr>
          <w:rFonts w:ascii="Times New Roman" w:hAnsi="Times New Roman"/>
          <w:sz w:val="24"/>
          <w:szCs w:val="24"/>
          <w:rtl w:val="0"/>
        </w:rPr>
        <w:t>us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Para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ph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ras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of John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(v. 77).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In conclusion,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close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reading of </w:t>
      </w:r>
      <w:r>
        <w:rPr>
          <w:rFonts w:ascii="Times New Roman" w:hAnsi="Times New Roman"/>
          <w:i w:val="1"/>
          <w:i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AP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8.21 offers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the readers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a very rich </w:t>
      </w:r>
      <w:r>
        <w:rPr>
          <w:rFonts w:ascii="Times New Roman" w:hAnsi="Times New Roman"/>
          <w:i w:val="1"/>
          <w:i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specimen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of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all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of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Gregory Nazianz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s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expressive possibilities: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from his clear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admiration for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C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allimach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us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τυτθός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ὀλίγος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),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to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possible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recovery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of single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expressions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by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other Hellenistic poets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such as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Arat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us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( 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λιθάκεσσιν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)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; these possible readings seem to be confirmed in the usage of other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contemporary poet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s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. The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linguistic sources of expression are still to be found in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traditional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language, which is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in turn beholden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to epic diction, as demonstrated by the use of 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φέριστος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and of 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φίλος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in a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construction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that seems to recall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its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Homeric possessive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value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. Christian inspiration, however, does not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give way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before the author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s exuberant 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παιδεία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It rather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makes itself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known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both </w:t>
      </w:r>
      <w:r>
        <w:rPr>
          <w:rFonts w:ascii="Times New Roman" w:hAnsi="Times New Roman"/>
          <w:i w:val="1"/>
          <w:i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thematically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, with the double scriptural reference to the Old and New Testament (in the first case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as an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elegant reformulat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ion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in Callimach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ean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terms), and </w:t>
      </w:r>
      <w:r>
        <w:rPr>
          <w:rFonts w:ascii="Times New Roman" w:hAnsi="Times New Roman"/>
          <w:i w:val="1"/>
          <w:i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formally</w:t>
      </w:r>
      <w:r>
        <w:rPr>
          <w:rFonts w:ascii="Times New Roman" w:hAnsi="Times New Roman"/>
          <w:i w:val="1"/>
          <w:i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[or 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Times New Roman" w:hAnsi="Times New Roman"/>
          <w:i w:val="1"/>
          <w:iCs w:val="1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linguistically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]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by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deploying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lexical items suggestive of the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 xml:space="preserve"> new faith (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χριστοφόρος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  <w:t>).</w:t>
      </w:r>
      <w:r>
        <w:rPr>
          <w:rFonts w:ascii="Times New Roman" w:hAnsi="Times New Roman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Palatino Linotype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outline w:val="0"/>
          <w:color w:val="222222"/>
          <w:sz w:val="18"/>
          <w:szCs w:val="18"/>
          <w:shd w:val="clear" w:color="auto" w:fill="f8f9fa"/>
          <w:vertAlign w:val="superscript"/>
          <w:rtl w:val="0"/>
          <w14:textFill>
            <w14:solidFill>
              <w14:srgbClr w14:val="222222"/>
            </w14:solidFill>
          </w14:textFill>
        </w:rPr>
        <w:footnoteRef/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en-US"/>
          <w14:textFill>
            <w14:solidFill>
              <w14:srgbClr w14:val="222222"/>
            </w14:solidFill>
          </w14:textFill>
        </w:rPr>
        <w:t>will cit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e here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 xml:space="preserve">a few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de-DE"/>
          <w14:textFill>
            <w14:solidFill>
              <w14:srgbClr w14:val="222222"/>
            </w14:solidFill>
          </w14:textFill>
        </w:rPr>
        <w:t>studies o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n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 xml:space="preserve"> Gregor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y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en-US"/>
          <w14:textFill>
            <w14:solidFill>
              <w14:srgbClr w14:val="222222"/>
            </w14:solidFill>
          </w14:textFill>
        </w:rPr>
        <w:t xml:space="preserve">'s epigrammatic production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in order to contextualise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en-US"/>
          <w14:textFill>
            <w14:solidFill>
              <w14:srgbClr w14:val="222222"/>
            </w14:solidFill>
          </w14:textFill>
        </w:rPr>
        <w:t xml:space="preserve"> th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is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it-IT"/>
          <w14:textFill>
            <w14:solidFill>
              <w14:srgbClr w14:val="222222"/>
            </w14:solidFill>
          </w14:textFill>
        </w:rPr>
        <w:t xml:space="preserve"> research: Consolino 1987, Conca 2000, Milo 2005, Palla 2015, Ypsilanti 2018,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 xml:space="preserve">and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Simelidis 2019. Gregor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y</w:t>
      </w:r>
      <w:r>
        <w:rPr>
          <w:rFonts w:ascii="Times" w:hAnsi="Times" w:hint="default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’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de-DE"/>
          <w14:textFill>
            <w14:solidFill>
              <w14:srgbClr w14:val="222222"/>
            </w14:solidFill>
          </w14:textFill>
        </w:rPr>
        <w:t xml:space="preserve">s debt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to preceding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en-US"/>
          <w14:textFill>
            <w14:solidFill>
              <w14:srgbClr w14:val="222222"/>
            </w14:solidFill>
          </w14:textFill>
        </w:rPr>
        <w:t xml:space="preserve"> literary tradition was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the focus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en-US"/>
          <w14:textFill>
            <w14:solidFill>
              <w14:srgbClr w14:val="222222"/>
            </w14:solidFill>
          </w14:textFill>
        </w:rPr>
        <w:t xml:space="preserve"> of many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successful studies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en-US"/>
          <w14:textFill>
            <w14:solidFill>
              <w14:srgbClr w14:val="222222"/>
            </w14:solidFill>
          </w14:textFill>
        </w:rPr>
        <w:t xml:space="preserve">, such as those 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14:textFill>
            <w14:solidFill>
              <w14:srgbClr w14:val="222222"/>
            </w14:solidFill>
          </w14:textFill>
        </w:rPr>
        <w:t>by</w:t>
      </w:r>
      <w:r>
        <w:rPr>
          <w:rFonts w:ascii="Times" w:hAnsi="Times"/>
          <w:outline w:val="0"/>
          <w:color w:val="222222"/>
          <w:sz w:val="18"/>
          <w:szCs w:val="18"/>
          <w:shd w:val="clear" w:color="auto" w:fill="f8f9fa"/>
          <w:rtl w:val="0"/>
          <w:lang w:val="de-DE"/>
          <w14:textFill>
            <w14:solidFill>
              <w14:srgbClr w14:val="222222"/>
            </w14:solidFill>
          </w14:textFill>
        </w:rPr>
        <w:t xml:space="preserve"> Wyss 1949 and Demoen 1993.</w:t>
      </w:r>
    </w:p>
  </w:footnote>
  <w:footnote w:id="2"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outline w:val="0"/>
          <w:color w:val="222222"/>
          <w:sz w:val="18"/>
          <w:szCs w:val="18"/>
          <w:shd w:val="clear" w:color="auto" w:fill="f8f9fa"/>
          <w:vertAlign w:val="superscript"/>
          <w:rtl w:val="0"/>
          <w14:textFill>
            <w14:solidFill>
              <w14:srgbClr w14:val="222222"/>
            </w14:solidFill>
          </w14:textFill>
        </w:rPr>
        <w:footnoteRef/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shd w:val="clear" w:color="auto" w:fill="f8f9fa"/>
          <w:rtl w:val="0"/>
          <w:lang w:val="en-US"/>
          <w14:textFill>
            <w14:solidFill>
              <w14:srgbClr w14:val="0070C0"/>
            </w14:solidFill>
          </w14:textFill>
        </w:rPr>
        <w:t>A comprehensive introduction to the epigrams devoted to Gregory</w:t>
      </w:r>
      <w:r>
        <w:rPr>
          <w:rFonts w:ascii="Palatino Linotype" w:cs="Palatino Linotype" w:hAnsi="Palatino Linotype" w:eastAsia="Palatino Linotype" w:hint="default"/>
          <w:outline w:val="0"/>
          <w:color w:val="0070c0"/>
          <w:sz w:val="18"/>
          <w:szCs w:val="18"/>
          <w:u w:color="0070c0"/>
          <w:shd w:val="clear" w:color="auto" w:fill="f8f9fa"/>
          <w:rtl w:val="0"/>
          <w:lang w:val="en-US"/>
          <w14:textFill>
            <w14:solidFill>
              <w14:srgbClr w14:val="0070C0"/>
            </w14:solidFill>
          </w14:textFill>
        </w:rPr>
        <w:t>’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shd w:val="clear" w:color="auto" w:fill="f8f9fa"/>
          <w:rtl w:val="0"/>
          <w:lang w:val="en-US"/>
          <w14:textFill>
            <w14:solidFill>
              <w14:srgbClr w14:val="0070C0"/>
            </w14:solidFill>
          </w14:textFill>
        </w:rPr>
        <w:t xml:space="preserve">s 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shd w:val="clear" w:color="auto" w:fill="f8f9fa"/>
          <w:rtl w:val="0"/>
          <w:lang w:val="it-IT"/>
          <w14:textFill>
            <w14:solidFill>
              <w14:srgbClr w14:val="0070C0"/>
            </w14:solidFill>
          </w14:textFill>
        </w:rPr>
        <w:t>f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shd w:val="clear" w:color="auto" w:fill="f8f9fa"/>
          <w:rtl w:val="0"/>
          <w:lang w:val="en-US"/>
          <w14:textFill>
            <w14:solidFill>
              <w14:srgbClr w14:val="0070C0"/>
            </w14:solidFill>
          </w14:textFill>
        </w:rPr>
        <w:t xml:space="preserve">ather can be 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shd w:val="clear" w:color="auto" w:fill="f8f9fa"/>
          <w:rtl w:val="0"/>
          <w:lang w:val="en-US"/>
          <w14:textFill>
            <w14:solidFill>
              <w14:srgbClr w14:val="0070C0"/>
            </w14:solidFill>
          </w14:textFill>
        </w:rPr>
        <w:t>found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shd w:val="clear" w:color="auto" w:fill="f8f9fa"/>
          <w:rtl w:val="0"/>
          <w:lang w:val="en-US"/>
          <w14:textFill>
            <w14:solidFill>
              <w14:srgbClr w14:val="0070C0"/>
            </w14:solidFill>
          </w14:textFill>
        </w:rPr>
        <w:t xml:space="preserve"> in Milo 2005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>. This study offers a precise analysis of lexical expressions claimed to be taken directly from older authors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 xml:space="preserve"> about which I would often be more tentative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 xml:space="preserve">. Simelidis 2009, 31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 xml:space="preserve">explains away some of those expressions taken from older authors as </w:t>
      </w:r>
      <w:r>
        <w:rPr>
          <w:rFonts w:ascii="Palatino Linotype" w:cs="Palatino Linotype" w:hAnsi="Palatino Linotype" w:eastAsia="Palatino Linotype" w:hint="default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>mere borrowings</w:t>
      </w:r>
      <w:r>
        <w:rPr>
          <w:rFonts w:ascii="Palatino Linotype" w:cs="Palatino Linotype" w:hAnsi="Palatino Linotype" w:eastAsia="Palatino Linotype" w:hint="default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shd w:val="clear" w:color="auto" w:fill="f8f9fa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</w:footnote>
  <w:footnote w:id="3">
    <w:p>
      <w:pPr>
        <w:pStyle w:val="footnote text"/>
      </w:pPr>
      <w:r>
        <w:rPr>
          <w:rFonts w:ascii="Palatino Linotype" w:cs="Palatino Linotype" w:hAnsi="Palatino Linotype" w:eastAsia="Palatino Linotype"/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Cf.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the previous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epigram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in this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serie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8.20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Γρηγόριος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τὸ δὲ θαῦμα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χάριν καὶ πνεύματος αἴγλην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ἔνθεν ἀειρόμενος ῥῖψ’ ἐπὶ παιδὶ φίλῳ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8.13.5,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where he introduces himself as the mildest, gentlest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ἀγανώτατος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among his father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 children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Gregor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 monopoly on affections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see also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Milo 2005, 443.</w:t>
      </w:r>
    </w:p>
  </w:footnote>
  <w:footnote w:id="4">
    <w:p>
      <w:pPr>
        <w:pStyle w:val="No Spacing"/>
        <w:jc w:val="both"/>
      </w:pPr>
      <w:r>
        <w:rPr>
          <w:rFonts w:ascii="Palatino Linotype" w:cs="Palatino Linotype" w:hAnsi="Palatino Linotype" w:eastAsia="Palatino Linotype"/>
          <w:outline w:val="0"/>
          <w:color w:val="0070c0"/>
          <w:sz w:val="20"/>
          <w:szCs w:val="20"/>
          <w:u w:color="0070c0"/>
          <w:vertAlign w:val="superscript"/>
          <w:lang w:val="it-IT"/>
          <w14:textFill>
            <w14:solidFill>
              <w14:srgbClr w14:val="0070C0"/>
            </w14:solidFill>
          </w14:textFill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 xml:space="preserve">As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>for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αὐτάρ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 xml:space="preserve"> in Gregory,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>for instance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 xml:space="preserve"> in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it-IT"/>
        </w:rPr>
        <w:t>carm.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 xml:space="preserve"> 2.2.7,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>“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the formula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αὐτὰρ ἐγὼ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‘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but I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 in 300 is a favorite tag of the Cyrenaean, who uses it to close the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Aetia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αὐτὰρ ἐγὼ Μουσέων πεζὸν </w:t>
      </w:r>
      <w:r>
        <w:rPr>
          <w:rFonts w:ascii="Cambria Math" w:cs="Cambria Math" w:hAnsi="Cambria Math" w:eastAsia="Cambria Math"/>
          <w:sz w:val="18"/>
          <w:szCs w:val="18"/>
          <w:rtl w:val="0"/>
          <w:lang w:val="en-US"/>
        </w:rPr>
        <w:t>⦋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ἔ</w:t>
      </w:r>
      <w:r>
        <w:rPr>
          <w:rFonts w:ascii="Cambria Math" w:cs="Cambria Math" w:hAnsi="Cambria Math" w:eastAsia="Cambria Math"/>
          <w:sz w:val="18"/>
          <w:szCs w:val="18"/>
          <w:rtl w:val="0"/>
          <w:lang w:val="en-US"/>
        </w:rPr>
        <w:t>⦌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πειµι νοµόν ‘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but I shall go to the foot-pasture of the Muses.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’</w:t>
      </w:r>
      <w:r>
        <w:rPr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fr. 112.9)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”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it-IT"/>
        </w:rPr>
        <w:t>Poulos 2019, 86-87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). According to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Denniston 1954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55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particle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αὐτάρ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 virtually confined to Epic (and, later, Pastoral) poetry, its place elsewhere being taken by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ἀτάρ”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. Indeed, poets such as Gregory of Nazianzus, Eudocia and Nonnus preferred 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αὐτάρ 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to 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ἀτάρ</w:t>
      </w:r>
      <w:r>
        <w:rPr>
          <w:rFonts w:ascii="Palatino Linotype" w:cs="Palatino Linotype" w:hAnsi="Palatino Linotype" w:eastAsia="Palatino Linotype"/>
          <w:outline w:val="0"/>
          <w:color w:val="0070c0"/>
          <w:sz w:val="18"/>
          <w:szCs w:val="1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. </w:t>
      </w:r>
    </w:p>
  </w:footnote>
  <w:footnote w:id="5">
    <w:p>
      <w:pPr>
        <w:pStyle w:val="No Spacing"/>
        <w:jc w:val="both"/>
        <w:rPr>
          <w:rFonts w:ascii="Palatino Linotype" w:cs="Palatino Linotype" w:hAnsi="Palatino Linotype" w:eastAsia="Palatino Linotype"/>
          <w:sz w:val="18"/>
          <w:szCs w:val="18"/>
          <w:lang w:val="en-US"/>
        </w:rPr>
      </w:pPr>
      <w:r>
        <w:rPr>
          <w:rFonts w:ascii="Palatino Linotype" w:cs="Palatino Linotype" w:hAnsi="Palatino Linotype" w:eastAsia="Palatino Linotype"/>
          <w:outline w:val="0"/>
          <w:color w:val="0070c0"/>
          <w:sz w:val="20"/>
          <w:szCs w:val="20"/>
          <w:u w:color="0070c0"/>
          <w:vertAlign w:val="superscript"/>
          <w:lang w:val="it-IT"/>
          <w14:textFill>
            <w14:solidFill>
              <w14:srgbClr w14:val="0070C0"/>
            </w14:solidFill>
          </w14:textFill>
        </w:rPr>
        <w:footnoteRef/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other cases of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λιθάκεσσι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are found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carm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1.2.1.217,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carm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1.2.19.227,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carm.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2.2.4.43,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and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carm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2.2.6.3.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for the medieval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lexica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exemplifying this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form,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they are the lexicon contained in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cod. Paris. Coislin. 394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Lexicon casinense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which explains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λιθάκεσσι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though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λίθοις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which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cf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Kalamakis 1992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s.v.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Kalamakis 1995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s.v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respectively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No Spacing"/>
        <w:jc w:val="both"/>
      </w:pP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for the other occurrences in Gregory, also in non-dative forms, cf.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carm.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1.2.1.244,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carm.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1.2.1.512,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carm.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2.1.34.64. The most significant one, considering the semantic importance acquired by this word, is probably the last one: after all it is found in a statement of poetics. Gregory avoids in his works a whole series of topics dear to pagan poetry, among which he also includes naturalistic or astronomical subjects, according to the taste of much Hellenistic poetry (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οὐκ αὐγὰ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λιθάκων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οὐ δρόμον οὐρανίων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). An analysis of this priamel, full of references to pagan literature and characterized by an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unmistakably Callimachean air, without being closely related to any specific passage of Callimachus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(Hollis, 2002, 47)</w:t>
      </w:r>
      <w:r>
        <w:rPr>
          <w:rFonts w:ascii="Palatino Linotype" w:cs="Palatino Linotype" w:hAnsi="Palatino Linotype" w:eastAsia="Palatino Linotyp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is to be found in Simelidis 2009, 35.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