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CF4CC" w14:textId="77777777" w:rsidR="00994839" w:rsidRDefault="008278C5">
      <w:pPr>
        <w:pStyle w:val="Heading10"/>
        <w:keepNext/>
        <w:keepLines/>
        <w:shd w:val="clear" w:color="auto" w:fill="auto"/>
      </w:pPr>
      <w:bookmarkStart w:id="0" w:name="bookmark8"/>
      <w:bookmarkStart w:id="1" w:name="bookmark9"/>
      <w:r>
        <w:rPr>
          <w:color w:val="808285"/>
        </w:rPr>
        <w:t xml:space="preserve">International </w:t>
      </w:r>
      <w:r>
        <w:rPr>
          <w:color w:val="808285"/>
        </w:rPr>
        <w:t>Accounting</w:t>
      </w:r>
      <w:bookmarkEnd w:id="0"/>
      <w:bookmarkEnd w:id="1"/>
    </w:p>
    <w:p w14:paraId="6C3CF4D8" w14:textId="77777777" w:rsidR="00994839" w:rsidRDefault="008278C5">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6C3CF4D9" w14:textId="77777777" w:rsidR="00994839" w:rsidRDefault="008278C5">
      <w:pPr>
        <w:pStyle w:val="BodyText"/>
        <w:pBdr>
          <w:top w:val="single" w:sz="4" w:space="0" w:color="auto"/>
          <w:left w:val="single" w:sz="4" w:space="0" w:color="auto"/>
          <w:bottom w:val="single" w:sz="4" w:space="0" w:color="auto"/>
          <w:right w:val="single" w:sz="4" w:space="0" w:color="auto"/>
        </w:pBdr>
        <w:shd w:val="clear" w:color="auto" w:fill="auto"/>
        <w:spacing w:after="160" w:line="293" w:lineRule="auto"/>
      </w:pPr>
      <w:r>
        <w:t xml:space="preserve">The course covers financial reporting in accordance with International Financial </w:t>
      </w:r>
      <w:r>
        <w:t xml:space="preserve">Reporting Standards (IFRS). The objective is to provide students with a working knowledge of </w:t>
      </w:r>
      <w:proofErr w:type="gramStart"/>
      <w:r>
        <w:t>general purpose</w:t>
      </w:r>
      <w:proofErr w:type="gramEnd"/>
      <w:r>
        <w:t xml:space="preserve"> financial reporting under IFRS, especially in comparison to accounting consistent with the German Commercial Code (HGB). The focus is on IFRS and n</w:t>
      </w:r>
      <w:r>
        <w:t>ot US-GAAP as global reporting language as the former is becoming increasingly important for German companies (i.e., obligation of listed parent companies to prepare consolidated financial statements in accordance with IFRS from the years 2005 or 2007 onwa</w:t>
      </w:r>
      <w:r>
        <w:t>rds).</w:t>
      </w:r>
    </w:p>
    <w:p w14:paraId="6C3CF4E5" w14:textId="77777777" w:rsidR="00994839" w:rsidRDefault="008278C5">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6C3CF4E6" w14:textId="77777777" w:rsidR="00994839" w:rsidRDefault="008278C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293" w:lineRule="auto"/>
      </w:pPr>
      <w:r>
        <w:t xml:space="preserve">Development and </w:t>
      </w:r>
      <w:r>
        <w:t>Significance of International Accounting</w:t>
      </w:r>
    </w:p>
    <w:p w14:paraId="6C3CF4E7"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The Importance of International Accounting Rules</w:t>
      </w:r>
    </w:p>
    <w:p w14:paraId="6C3CF4E8"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The Evolution of IFRS</w:t>
      </w:r>
    </w:p>
    <w:p w14:paraId="6C3CF4E9"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293" w:lineRule="auto"/>
        <w:ind w:firstLine="580"/>
      </w:pPr>
      <w:r>
        <w:t>Application of IFRS in the G-20</w:t>
      </w:r>
    </w:p>
    <w:p w14:paraId="6C3CF4EA" w14:textId="77777777" w:rsidR="00994839" w:rsidRDefault="008278C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293" w:lineRule="auto"/>
      </w:pPr>
      <w:r>
        <w:t>General Principles of IFRS</w:t>
      </w:r>
    </w:p>
    <w:p w14:paraId="6C3CF4EB"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Structure of International Financial Reporting Standards</w:t>
      </w:r>
    </w:p>
    <w:p w14:paraId="6C3CF4EC"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 xml:space="preserve">Purpose of the </w:t>
      </w:r>
      <w:r>
        <w:t>Conceptual Framework</w:t>
      </w:r>
    </w:p>
    <w:p w14:paraId="6C3CF4ED"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Basic Principles of the Conceptual Framework</w:t>
      </w:r>
    </w:p>
    <w:p w14:paraId="6C3CF4EE"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Overview of Individual Standards and Interpretations</w:t>
      </w:r>
    </w:p>
    <w:p w14:paraId="6C3CF4EF" w14:textId="77777777" w:rsidR="00994839" w:rsidRDefault="008278C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proofErr w:type="spellStart"/>
      <w:r>
        <w:t>Recogntion</w:t>
      </w:r>
      <w:proofErr w:type="spellEnd"/>
      <w:r>
        <w:t xml:space="preserve"> and Measurement Rules for IFRS Financial Reports</w:t>
      </w:r>
    </w:p>
    <w:p w14:paraId="6C3CF4F0"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Definition of the Elements of Financial Statements</w:t>
      </w:r>
    </w:p>
    <w:p w14:paraId="6C3CF4F1"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proofErr w:type="spellStart"/>
      <w:r>
        <w:t>Recogntion</w:t>
      </w:r>
      <w:proofErr w:type="spellEnd"/>
      <w:r>
        <w:t xml:space="preserve"> and </w:t>
      </w:r>
      <w:r>
        <w:t>Measurement of Intangible Assets and Property, Plant and Equipment</w:t>
      </w:r>
    </w:p>
    <w:p w14:paraId="6C3CF4F2"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Recognition and Measurement of Inventories and Financial Instruments</w:t>
      </w:r>
    </w:p>
    <w:p w14:paraId="6C3CF4F3"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Provisions and Deferred Taxes</w:t>
      </w:r>
    </w:p>
    <w:p w14:paraId="6C3CF4F4"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Revenue Recognition</w:t>
      </w:r>
    </w:p>
    <w:p w14:paraId="6C3CF4F5" w14:textId="77777777" w:rsidR="00994839" w:rsidRDefault="008278C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Preparation of the Balance Sheet and Income Statement under IFRS</w:t>
      </w:r>
    </w:p>
    <w:p w14:paraId="6C3CF4F6"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Structure and Elements of the Income Statement</w:t>
      </w:r>
    </w:p>
    <w:p w14:paraId="6C3CF4F7"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Components of Profit-and-Loss Account</w:t>
      </w:r>
    </w:p>
    <w:p w14:paraId="6C3CF4F8"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Accounting Policies</w:t>
      </w:r>
    </w:p>
    <w:p w14:paraId="6C3CF4F9" w14:textId="77777777" w:rsidR="00994839" w:rsidRDefault="008278C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Cash Flow Statement and Other Disclosures in Financial Statements for IFRS</w:t>
      </w:r>
    </w:p>
    <w:p w14:paraId="6C3CF4FA"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Cash Flow Statement in IFRS Financial Reports</w:t>
      </w:r>
    </w:p>
    <w:p w14:paraId="6C3CF4FB"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 xml:space="preserve">Statement of Changes in </w:t>
      </w:r>
      <w:r>
        <w:t>Equity According in IFRS Financial Reports</w:t>
      </w:r>
    </w:p>
    <w:p w14:paraId="6C3CF4FC"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Notes According to IFRS</w:t>
      </w:r>
    </w:p>
    <w:p w14:paraId="6C3CF4FD" w14:textId="77777777" w:rsidR="00994839" w:rsidRDefault="008278C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Business Combinations and Consolidated Financial Statements under IFRS</w:t>
      </w:r>
    </w:p>
    <w:p w14:paraId="6C3CF4FE"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Principles of Business Combinations and Consolidated Financial Statements</w:t>
      </w:r>
    </w:p>
    <w:p w14:paraId="6C3CF4FF"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 xml:space="preserve">Identifying and Accounting for a </w:t>
      </w:r>
      <w:r>
        <w:t>Business Combination</w:t>
      </w:r>
    </w:p>
    <w:p w14:paraId="6C3CF500"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pPr>
      <w:r>
        <w:t>Consolidation of Individual Financial Statements</w:t>
      </w:r>
    </w:p>
    <w:p w14:paraId="6C3CF501" w14:textId="77777777" w:rsidR="00994839" w:rsidRDefault="008278C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Other IFRS Application Areas from Practice</w:t>
      </w:r>
    </w:p>
    <w:p w14:paraId="6C3CF502"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lastRenderedPageBreak/>
        <w:t>IFRS for Small and Medium-Sized Companies</w:t>
      </w:r>
    </w:p>
    <w:p w14:paraId="6C3CF503"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Main Differences between IFRS and HGB</w:t>
      </w:r>
    </w:p>
    <w:p w14:paraId="6C3CF504" w14:textId="77777777" w:rsidR="00994839" w:rsidRDefault="008278C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sectPr w:rsidR="00994839">
          <w:headerReference w:type="even" r:id="rId7"/>
          <w:headerReference w:type="default" r:id="rId8"/>
          <w:footerReference w:type="even" r:id="rId9"/>
          <w:footerReference w:type="default" r:id="rId10"/>
          <w:pgSz w:w="13493" w:h="18427"/>
          <w:pgMar w:top="3552" w:right="2203" w:bottom="2482" w:left="2208" w:header="0" w:footer="3" w:gutter="0"/>
          <w:cols w:space="720"/>
          <w:noEndnote/>
          <w:docGrid w:linePitch="360"/>
        </w:sectPr>
      </w:pPr>
      <w:r>
        <w:t>Conversion from HGB to IFRS</w:t>
      </w:r>
    </w:p>
    <w:p w14:paraId="6C3CF55E" w14:textId="653C1A47" w:rsidR="00994839" w:rsidRDefault="00994839" w:rsidP="008278C5">
      <w:pPr>
        <w:pStyle w:val="BodyText"/>
        <w:pBdr>
          <w:top w:val="single" w:sz="4" w:space="0" w:color="auto"/>
          <w:left w:val="single" w:sz="4" w:space="0" w:color="auto"/>
          <w:bottom w:val="single" w:sz="4" w:space="0" w:color="auto"/>
          <w:right w:val="single" w:sz="4" w:space="0" w:color="auto"/>
        </w:pBdr>
        <w:shd w:val="clear" w:color="auto" w:fill="auto"/>
        <w:spacing w:after="100" w:line="305" w:lineRule="auto"/>
      </w:pPr>
    </w:p>
    <w:sectPr w:rsidR="00994839">
      <w:pgSz w:w="13493" w:h="18427"/>
      <w:pgMar w:top="3413" w:right="2208" w:bottom="3413"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CF571" w14:textId="77777777" w:rsidR="00000000" w:rsidRDefault="008278C5">
      <w:r>
        <w:separator/>
      </w:r>
    </w:p>
  </w:endnote>
  <w:endnote w:type="continuationSeparator" w:id="0">
    <w:p w14:paraId="6C3CF573" w14:textId="77777777" w:rsidR="00000000" w:rsidRDefault="00827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F56D" w14:textId="77777777" w:rsidR="00994839" w:rsidRDefault="008278C5">
    <w:pPr>
      <w:spacing w:line="1" w:lineRule="exact"/>
    </w:pPr>
    <w:r>
      <w:rPr>
        <w:noProof/>
      </w:rPr>
      <mc:AlternateContent>
        <mc:Choice Requires="wps">
          <w:drawing>
            <wp:anchor distT="0" distB="0" distL="0" distR="0" simplePos="0" relativeHeight="62914708" behindDoc="1" locked="0" layoutInCell="1" allowOverlap="1" wp14:anchorId="6C3CF57F" wp14:editId="6C3CF580">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6C3CF596" w14:textId="77777777" w:rsidR="00994839" w:rsidRDefault="008278C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6C3CF57F" id="_x0000_t202" coordsize="21600,21600" o:spt="202" path="m,l,21600r21600,l21600,xe">
              <v:stroke joinstyle="miter"/>
              <v:path gradientshapeok="t" o:connecttype="rect"/>
            </v:shapetype>
            <v:shape id="Shape 19" o:spid="_x0000_s1028"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R10y3oYBAAAGAwAADgAAAAAAAAAAAAAAAAAu&#10;AgAAZHJzL2Uyb0RvYy54bWxQSwECLQAUAAYACAAAACEAcTbNZ98AAAANAQAADwAAAAAAAAAAAAAA&#10;AADgAwAAZHJzL2Rvd25yZXYueG1sUEsFBgAAAAAEAAQA8wAAAOwEAAAAAA==&#10;" filled="f" stroked="f">
              <v:textbox style="mso-fit-shape-to-text:t" inset="0,0,0,0">
                <w:txbxContent>
                  <w:p w14:paraId="6C3CF596" w14:textId="77777777" w:rsidR="00994839" w:rsidRDefault="008278C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F56E" w14:textId="77777777" w:rsidR="00994839" w:rsidRDefault="008278C5">
    <w:pPr>
      <w:spacing w:line="1" w:lineRule="exact"/>
    </w:pPr>
    <w:r>
      <w:rPr>
        <w:noProof/>
      </w:rPr>
      <mc:AlternateContent>
        <mc:Choice Requires="wps">
          <w:drawing>
            <wp:anchor distT="0" distB="0" distL="0" distR="0" simplePos="0" relativeHeight="62914704" behindDoc="1" locked="0" layoutInCell="1" allowOverlap="1" wp14:anchorId="6C3CF581" wp14:editId="6C3CF582">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6C3CF594" w14:textId="77777777" w:rsidR="00994839" w:rsidRDefault="008278C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6C3CF581" id="_x0000_t202" coordsize="21600,21600" o:spt="202" path="m,l,21600r21600,l21600,xe">
              <v:stroke joinstyle="miter"/>
              <v:path gradientshapeok="t" o:connecttype="rect"/>
            </v:shapetype>
            <v:shape id="Shape 15" o:spid="_x0000_s1029"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GASSeeGAQAABgMAAA4AAAAAAAAAAAAAAAAA&#10;LgIAAGRycy9lMm9Eb2MueG1sUEsBAi0AFAAGAAgAAAAhANyALcrgAAAADwEAAA8AAAAAAAAAAAAA&#10;AAAA4AMAAGRycy9kb3ducmV2LnhtbFBLBQYAAAAABAAEAPMAAADtBAAAAAA=&#10;" filled="f" stroked="f">
              <v:textbox style="mso-fit-shape-to-text:t" inset="0,0,0,0">
                <w:txbxContent>
                  <w:p w14:paraId="6C3CF594" w14:textId="77777777" w:rsidR="00994839" w:rsidRDefault="008278C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CF563" w14:textId="77777777" w:rsidR="00994839" w:rsidRDefault="00994839"/>
  </w:footnote>
  <w:footnote w:type="continuationSeparator" w:id="0">
    <w:p w14:paraId="6C3CF564" w14:textId="77777777" w:rsidR="00994839" w:rsidRDefault="009948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F56B" w14:textId="77777777" w:rsidR="00994839" w:rsidRDefault="008278C5">
    <w:pPr>
      <w:spacing w:line="1" w:lineRule="exact"/>
    </w:pPr>
    <w:r>
      <w:rPr>
        <w:noProof/>
      </w:rPr>
      <mc:AlternateContent>
        <mc:Choice Requires="wps">
          <w:drawing>
            <wp:anchor distT="0" distB="0" distL="0" distR="0" simplePos="0" relativeHeight="62914706" behindDoc="1" locked="0" layoutInCell="1" allowOverlap="1" wp14:anchorId="6C3CF57B" wp14:editId="6C3CF57C">
              <wp:simplePos x="0" y="0"/>
              <wp:positionH relativeFrom="page">
                <wp:posOffset>862330</wp:posOffset>
              </wp:positionH>
              <wp:positionV relativeFrom="page">
                <wp:posOffset>826135</wp:posOffset>
              </wp:positionV>
              <wp:extent cx="1292225"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292225" cy="176530"/>
                      </a:xfrm>
                      <a:prstGeom prst="rect">
                        <a:avLst/>
                      </a:prstGeom>
                      <a:noFill/>
                    </wps:spPr>
                    <wps:txbx>
                      <w:txbxContent>
                        <w:p w14:paraId="6C3CF595" w14:textId="77777777" w:rsidR="00994839" w:rsidRDefault="008278C5">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DLFIAC01_E</w:t>
                          </w:r>
                        </w:p>
                      </w:txbxContent>
                    </wps:txbx>
                    <wps:bodyPr wrap="none" lIns="0" tIns="0" rIns="0" bIns="0">
                      <a:spAutoFit/>
                    </wps:bodyPr>
                  </wps:wsp>
                </a:graphicData>
              </a:graphic>
            </wp:anchor>
          </w:drawing>
        </mc:Choice>
        <mc:Fallback>
          <w:pict>
            <v:shapetype w14:anchorId="6C3CF57B" id="_x0000_t202" coordsize="21600,21600" o:spt="202" path="m,l,21600r21600,l21600,xe">
              <v:stroke joinstyle="miter"/>
              <v:path gradientshapeok="t" o:connecttype="rect"/>
            </v:shapetype>
            <v:shape id="Shape 17" o:spid="_x0000_s1026" type="#_x0000_t202" style="position:absolute;margin-left:67.9pt;margin-top:65.05pt;width:101.75pt;height:13.9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" filled="f" stroked="f">
              <v:textbox style="mso-fit-shape-to-text:t" inset="0,0,0,0">
                <w:txbxContent>
                  <w:p w14:paraId="6C3CF595" w14:textId="77777777" w:rsidR="00994839" w:rsidRDefault="008278C5">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DLFIAC01_E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F56C" w14:textId="77777777" w:rsidR="00994839" w:rsidRDefault="008278C5">
    <w:pPr>
      <w:spacing w:line="1" w:lineRule="exact"/>
    </w:pPr>
    <w:r>
      <w:rPr>
        <w:noProof/>
      </w:rPr>
      <mc:AlternateContent>
        <mc:Choice Requires="wps">
          <w:drawing>
            <wp:anchor distT="0" distB="0" distL="0" distR="0" simplePos="0" relativeHeight="62914702" behindDoc="1" locked="0" layoutInCell="1" allowOverlap="1" wp14:anchorId="6C3CF57D" wp14:editId="6C3CF57E">
              <wp:simplePos x="0" y="0"/>
              <wp:positionH relativeFrom="page">
                <wp:posOffset>6412865</wp:posOffset>
              </wp:positionH>
              <wp:positionV relativeFrom="page">
                <wp:posOffset>826135</wp:posOffset>
              </wp:positionV>
              <wp:extent cx="1292225"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292225" cy="176530"/>
                      </a:xfrm>
                      <a:prstGeom prst="rect">
                        <a:avLst/>
                      </a:prstGeom>
                      <a:noFill/>
                    </wps:spPr>
                    <wps:txbx>
                      <w:txbxContent>
                        <w:p w14:paraId="6C3CF593" w14:textId="77777777" w:rsidR="00994839" w:rsidRDefault="008278C5">
                          <w:pPr>
                            <w:pStyle w:val="Headerorfooter20"/>
                            <w:shd w:val="clear" w:color="auto" w:fill="auto"/>
                            <w:tabs>
                              <w:tab w:val="right" w:pos="2035"/>
                            </w:tabs>
                            <w:rPr>
                              <w:sz w:val="30"/>
                              <w:szCs w:val="30"/>
                            </w:rPr>
                          </w:pPr>
                          <w:r>
                            <w:rPr>
                              <w:rFonts w:ascii="Arial" w:eastAsia="Arial" w:hAnsi="Arial" w:cs="Arial"/>
                              <w:color w:val="013946"/>
                              <w:sz w:val="22"/>
                              <w:szCs w:val="22"/>
                            </w:rPr>
                            <w:t>DLFIAC01_E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6C3CF57D" id="_x0000_t202" coordsize="21600,21600" o:spt="202" path="m,l,21600r21600,l21600,xe">
              <v:stroke joinstyle="miter"/>
              <v:path gradientshapeok="t" o:connecttype="rect"/>
            </v:shapetype>
            <v:shape id="Shape 13" o:spid="_x0000_s1027" type="#_x0000_t202" style="position:absolute;margin-left:504.95pt;margin-top:65.05pt;width:101.75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" filled="f" stroked="f">
              <v:textbox style="mso-fit-shape-to-text:t" inset="0,0,0,0">
                <w:txbxContent>
                  <w:p w14:paraId="6C3CF593" w14:textId="77777777" w:rsidR="00994839" w:rsidRDefault="008278C5">
                    <w:pPr>
                      <w:pStyle w:val="Headerorfooter20"/>
                      <w:shd w:val="clear" w:color="auto" w:fill="auto"/>
                      <w:tabs>
                        <w:tab w:val="right" w:pos="2035"/>
                      </w:tabs>
                      <w:rPr>
                        <w:sz w:val="30"/>
                        <w:szCs w:val="30"/>
                      </w:rPr>
                    </w:pPr>
                    <w:r>
                      <w:rPr>
                        <w:rFonts w:ascii="Arial" w:eastAsia="Arial" w:hAnsi="Arial" w:cs="Arial"/>
                        <w:color w:val="013946"/>
                        <w:sz w:val="22"/>
                        <w:szCs w:val="22"/>
                      </w:rPr>
                      <w:t>DLFIAC01_E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7C51F1"/>
    <w:multiLevelType w:val="multilevel"/>
    <w:tmpl w:val="83A0FA70"/>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55743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839"/>
    <w:rsid w:val="008278C5"/>
    <w:rsid w:val="00994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CF483"/>
  <w15:docId w15:val="{EBE6FD67-0DF8-4471-8D04-5F6E0681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0" w:lineRule="auto"/>
    </w:pPr>
    <w:rPr>
      <w:rFonts w:ascii="Arial" w:eastAsia="Arial" w:hAnsi="Arial" w:cs="Arial"/>
      <w:color w:val="231F20"/>
      <w:sz w:val="20"/>
      <w:szCs w:val="20"/>
    </w:rPr>
  </w:style>
  <w:style w:type="paragraph" w:customStyle="1" w:styleId="Other0">
    <w:name w:val="Other"/>
    <w:basedOn w:val="Normal"/>
    <w:link w:val="Other"/>
    <w:pPr>
      <w:shd w:val="clear" w:color="auto" w:fill="FFFFFF"/>
      <w:spacing w:line="290" w:lineRule="auto"/>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317</Words>
  <Characters>1807</Characters>
  <Application>Microsoft Office Word</Application>
  <DocSecurity>0</DocSecurity>
  <Lines>15</Lines>
  <Paragraphs>4</Paragraphs>
  <ScaleCrop>false</ScaleCrop>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2023-02-23T15:16:00Z</dcterms:created>
  <dcterms:modified xsi:type="dcterms:W3CDTF">2023-02-23T15:17:00Z</dcterms:modified>
</cp:coreProperties>
</file>