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6E992" w14:textId="77777777" w:rsidR="00593ACB" w:rsidRDefault="00496186">
      <w:pPr>
        <w:pStyle w:val="Heading10"/>
        <w:keepNext/>
        <w:keepLines/>
        <w:shd w:val="clear" w:color="auto" w:fill="auto"/>
      </w:pPr>
      <w:bookmarkStart w:id="0" w:name="bookmark0"/>
      <w:bookmarkStart w:id="1" w:name="bookmark1"/>
      <w:r>
        <w:t>Introduction to Financial Services Sector</w:t>
      </w:r>
      <w:bookmarkEnd w:id="0"/>
      <w:bookmarkEnd w:id="1"/>
    </w:p>
    <w:p w14:paraId="5356E995" w14:textId="77777777" w:rsidR="00593ACB" w:rsidRDefault="00496186">
      <w:pPr>
        <w:pStyle w:val="BodyText"/>
        <w:pBdr>
          <w:top w:val="single" w:sz="4" w:space="0" w:color="auto"/>
          <w:left w:val="single" w:sz="4" w:space="0" w:color="auto"/>
          <w:bottom w:val="single" w:sz="4" w:space="0" w:color="auto"/>
          <w:right w:val="single" w:sz="4" w:space="0" w:color="auto"/>
        </w:pBdr>
        <w:shd w:val="clear" w:color="auto" w:fill="auto"/>
        <w:spacing w:line="307" w:lineRule="auto"/>
        <w:rPr>
          <w:sz w:val="19"/>
          <w:szCs w:val="19"/>
        </w:rPr>
      </w:pPr>
      <w:r>
        <w:rPr>
          <w:b/>
          <w:bCs/>
          <w:sz w:val="19"/>
          <w:szCs w:val="19"/>
        </w:rPr>
        <w:t>Course Description</w:t>
      </w:r>
    </w:p>
    <w:p w14:paraId="5356E996" w14:textId="77777777" w:rsidR="00593ACB" w:rsidRDefault="00496186">
      <w:pPr>
        <w:pStyle w:val="BodyText"/>
        <w:pBdr>
          <w:top w:val="single" w:sz="4" w:space="0" w:color="auto"/>
          <w:left w:val="single" w:sz="4" w:space="0" w:color="auto"/>
          <w:bottom w:val="single" w:sz="4" w:space="0" w:color="auto"/>
          <w:right w:val="single" w:sz="4" w:space="0" w:color="auto"/>
        </w:pBdr>
        <w:shd w:val="clear" w:color="auto" w:fill="auto"/>
        <w:spacing w:after="0" w:line="293" w:lineRule="auto"/>
      </w:pPr>
      <w:r>
        <w:t xml:space="preserve">This is an introductory module that exposes you to key </w:t>
      </w:r>
      <w:r>
        <w:t xml:space="preserve">forces driving change in the financial services industry. The module is designed to </w:t>
      </w:r>
      <w:proofErr w:type="gramStart"/>
      <w:r>
        <w:t>provide an introduction to</w:t>
      </w:r>
      <w:proofErr w:type="gramEnd"/>
      <w:r>
        <w:t xml:space="preserve"> the environment within which the financial services industry operates and to explore the main components of the financial system.</w:t>
      </w:r>
    </w:p>
    <w:p w14:paraId="5356E997" w14:textId="77777777" w:rsidR="00593ACB" w:rsidRDefault="00496186">
      <w:pPr>
        <w:pStyle w:val="BodyText"/>
        <w:pBdr>
          <w:top w:val="single" w:sz="4" w:space="0" w:color="auto"/>
          <w:left w:val="single" w:sz="4" w:space="0" w:color="auto"/>
          <w:bottom w:val="single" w:sz="4" w:space="0" w:color="auto"/>
          <w:right w:val="single" w:sz="4" w:space="0" w:color="auto"/>
        </w:pBdr>
        <w:shd w:val="clear" w:color="auto" w:fill="auto"/>
        <w:spacing w:after="180" w:line="293" w:lineRule="auto"/>
      </w:pPr>
      <w:r>
        <w:t xml:space="preserve">Traditionally, </w:t>
      </w:r>
      <w:r>
        <w:t>banks have been acting as intermediaries between borrowers and lenders, but changes to this model have generated expansion of the industry as well as increased risks. Several main players are considered, namely the central bank, commercial banks, retail ba</w:t>
      </w:r>
      <w:r>
        <w:t>nks, global investment banks, asset managers, hedge funds, insurance companies, private wealth managers, brokers, stock exchanges, and regulators.</w:t>
      </w:r>
    </w:p>
    <w:p w14:paraId="5356E99E" w14:textId="77777777" w:rsidR="00593ACB" w:rsidRDefault="00496186">
      <w:pPr>
        <w:pStyle w:val="BodyText"/>
        <w:pBdr>
          <w:top w:val="single" w:sz="4" w:space="0" w:color="auto"/>
          <w:left w:val="single" w:sz="4" w:space="0" w:color="auto"/>
          <w:bottom w:val="single" w:sz="4" w:space="0" w:color="auto"/>
          <w:right w:val="single" w:sz="4" w:space="0" w:color="auto"/>
        </w:pBdr>
        <w:shd w:val="clear" w:color="auto" w:fill="auto"/>
        <w:spacing w:line="307" w:lineRule="auto"/>
        <w:rPr>
          <w:sz w:val="19"/>
          <w:szCs w:val="19"/>
        </w:rPr>
      </w:pPr>
      <w:r>
        <w:rPr>
          <w:b/>
          <w:bCs/>
          <w:sz w:val="19"/>
          <w:szCs w:val="19"/>
        </w:rPr>
        <w:t>Contents</w:t>
      </w:r>
    </w:p>
    <w:p w14:paraId="5356E99F" w14:textId="77777777" w:rsidR="00593ACB" w:rsidRDefault="004961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line="293" w:lineRule="auto"/>
      </w:pPr>
      <w:r>
        <w:t>History of Banking</w:t>
      </w:r>
    </w:p>
    <w:p w14:paraId="5356E9A0"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Money</w:t>
      </w:r>
    </w:p>
    <w:p w14:paraId="5356E9A1"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line="293" w:lineRule="auto"/>
        <w:ind w:firstLine="500"/>
      </w:pPr>
      <w:r>
        <w:t>Development of Banking System</w:t>
      </w:r>
    </w:p>
    <w:p w14:paraId="5356E9A2" w14:textId="77777777" w:rsidR="00593ACB" w:rsidRDefault="004961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5"/>
        </w:tabs>
        <w:spacing w:line="293" w:lineRule="auto"/>
      </w:pPr>
      <w:r>
        <w:t>Deposit-Taking and Non-Deposit Taking Financial Institutions</w:t>
      </w:r>
    </w:p>
    <w:p w14:paraId="5356E9A3"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Depository (</w:t>
      </w:r>
      <w:proofErr w:type="spellStart"/>
      <w:proofErr w:type="gramStart"/>
      <w:r>
        <w:t>eg</w:t>
      </w:r>
      <w:proofErr w:type="spellEnd"/>
      <w:proofErr w:type="gramEnd"/>
      <w:r>
        <w:t xml:space="preserve"> Banks, Building Societies)</w:t>
      </w:r>
    </w:p>
    <w:p w14:paraId="5356E9A4"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Non-Depository (</w:t>
      </w:r>
      <w:proofErr w:type="spellStart"/>
      <w:proofErr w:type="gramStart"/>
      <w:r>
        <w:t>eg</w:t>
      </w:r>
      <w:proofErr w:type="spellEnd"/>
      <w:proofErr w:type="gramEnd"/>
      <w:r>
        <w:t xml:space="preserve"> Pension Funds, Unit Trusts, Insurance Companies)</w:t>
      </w:r>
    </w:p>
    <w:p w14:paraId="5356E9A5"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Financial Intermediaries and the Products They Deal In</w:t>
      </w:r>
    </w:p>
    <w:p w14:paraId="5356E9A6"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293" w:lineRule="auto"/>
        <w:ind w:firstLine="500"/>
      </w:pPr>
      <w:r>
        <w:t>Non-Marketable Securities</w:t>
      </w:r>
    </w:p>
    <w:p w14:paraId="5356E9A7" w14:textId="77777777" w:rsidR="00593ACB" w:rsidRDefault="004961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0"/>
      </w:pPr>
      <w:r>
        <w:t>Central Banks</w:t>
      </w:r>
    </w:p>
    <w:p w14:paraId="5356E9A8"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Structure</w:t>
      </w:r>
    </w:p>
    <w:p w14:paraId="5356E9A9"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Functions</w:t>
      </w:r>
    </w:p>
    <w:p w14:paraId="5356E9AA"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 xml:space="preserve">Comparison of World </w:t>
      </w:r>
      <w:r>
        <w:t>Central Banks</w:t>
      </w:r>
    </w:p>
    <w:p w14:paraId="5356E9AB" w14:textId="77777777" w:rsidR="00593ACB" w:rsidRDefault="004961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0"/>
      </w:pPr>
      <w:r>
        <w:t>Capital Markets</w:t>
      </w:r>
    </w:p>
    <w:p w14:paraId="5356E9AC"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0"/>
        <w:ind w:firstLine="500"/>
      </w:pPr>
      <w:r>
        <w:t>Financial Markets – And the Products They Deal In</w:t>
      </w:r>
    </w:p>
    <w:p w14:paraId="5356E9AD" w14:textId="77777777" w:rsidR="00593ACB" w:rsidRDefault="004961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Marketable Securities</w:t>
      </w:r>
    </w:p>
    <w:p w14:paraId="5356E9AE" w14:textId="77777777" w:rsidR="00593ACB" w:rsidRDefault="004961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0"/>
        <w:jc w:val="both"/>
      </w:pPr>
      <w:r>
        <w:t>Interest Rates and Derivatives</w:t>
      </w:r>
    </w:p>
    <w:p w14:paraId="5356E9AF" w14:textId="77777777" w:rsidR="00593ACB" w:rsidRDefault="00496186">
      <w:pPr>
        <w:pStyle w:val="BodyText"/>
        <w:pBdr>
          <w:top w:val="single" w:sz="4" w:space="0" w:color="auto"/>
          <w:left w:val="single" w:sz="4" w:space="0" w:color="auto"/>
          <w:bottom w:val="single" w:sz="4" w:space="0" w:color="auto"/>
          <w:right w:val="single" w:sz="4" w:space="0" w:color="auto"/>
        </w:pBdr>
        <w:shd w:val="clear" w:color="auto" w:fill="auto"/>
        <w:spacing w:after="0"/>
        <w:ind w:firstLine="500"/>
      </w:pPr>
      <w:r>
        <w:t>5.1 The Important Relationship Between Risk, Term and Return</w:t>
      </w:r>
    </w:p>
    <w:p w14:paraId="5356E9B0" w14:textId="77777777" w:rsidR="00593ACB" w:rsidRDefault="00496186">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spacing w:after="260"/>
        <w:ind w:firstLine="500"/>
      </w:pPr>
      <w:r>
        <w:t>Market Participants</w:t>
      </w:r>
    </w:p>
    <w:p w14:paraId="5356E9B1" w14:textId="77777777" w:rsidR="00593ACB" w:rsidRDefault="004961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0"/>
        <w:jc w:val="both"/>
      </w:pPr>
      <w:r>
        <w:t>Current Developments</w:t>
      </w:r>
    </w:p>
    <w:p w14:paraId="5356E9B2" w14:textId="77777777" w:rsidR="00593ACB" w:rsidRDefault="00496186">
      <w:pPr>
        <w:pStyle w:val="BodyText"/>
        <w:pBdr>
          <w:top w:val="single" w:sz="4" w:space="0" w:color="auto"/>
          <w:left w:val="single" w:sz="4" w:space="0" w:color="auto"/>
          <w:bottom w:val="single" w:sz="4" w:space="0" w:color="auto"/>
          <w:right w:val="single" w:sz="4" w:space="0" w:color="auto"/>
        </w:pBdr>
        <w:shd w:val="clear" w:color="auto" w:fill="auto"/>
        <w:spacing w:after="0"/>
        <w:ind w:left="980" w:hanging="480"/>
      </w:pPr>
      <w:r>
        <w:t xml:space="preserve">6.1 Wider </w:t>
      </w:r>
      <w:r>
        <w:t xml:space="preserve">Societal Implications Are Considered </w:t>
      </w:r>
      <w:proofErr w:type="gramStart"/>
      <w:r>
        <w:t>e.g.</w:t>
      </w:r>
      <w:proofErr w:type="gramEnd"/>
      <w:r>
        <w:t xml:space="preserve"> Financial Inclusion, Fossil Fuels/ Extractive Industries Finance</w:t>
      </w:r>
    </w:p>
    <w:p w14:paraId="5356E9B3" w14:textId="77777777" w:rsidR="00593ACB" w:rsidRDefault="00496186">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980"/>
        </w:tabs>
        <w:spacing w:after="560"/>
        <w:ind w:firstLine="500"/>
      </w:pPr>
      <w:r>
        <w:t>Socially Responsible Investments and Environmental, Societal and Governance Issues</w:t>
      </w:r>
    </w:p>
    <w:p w14:paraId="5356E9BA" w14:textId="68DAA3EC" w:rsidR="00593ACB" w:rsidRDefault="00593ACB">
      <w:pPr>
        <w:pStyle w:val="BodyText"/>
        <w:pBdr>
          <w:top w:val="single" w:sz="4" w:space="0" w:color="auto"/>
          <w:left w:val="single" w:sz="4" w:space="0" w:color="auto"/>
          <w:bottom w:val="single" w:sz="4" w:space="0" w:color="auto"/>
          <w:right w:val="single" w:sz="4" w:space="0" w:color="auto"/>
        </w:pBdr>
        <w:shd w:val="clear" w:color="auto" w:fill="auto"/>
        <w:spacing w:after="0" w:line="240" w:lineRule="auto"/>
        <w:rPr>
          <w:sz w:val="19"/>
          <w:szCs w:val="19"/>
        </w:rPr>
      </w:pPr>
    </w:p>
    <w:sectPr w:rsidR="00593ACB">
      <w:headerReference w:type="even" r:id="rId7"/>
      <w:headerReference w:type="default" r:id="rId8"/>
      <w:footerReference w:type="even" r:id="rId9"/>
      <w:footerReference w:type="default" r:id="rId10"/>
      <w:pgSz w:w="13493" w:h="18427"/>
      <w:pgMar w:top="3475" w:right="2329" w:bottom="3437" w:left="225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E9C7" w14:textId="77777777" w:rsidR="00000000" w:rsidRDefault="00496186">
      <w:r>
        <w:separator/>
      </w:r>
    </w:p>
  </w:endnote>
  <w:endnote w:type="continuationSeparator" w:id="0">
    <w:p w14:paraId="5356E9C9" w14:textId="77777777" w:rsidR="00000000" w:rsidRDefault="0049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E9C3" w14:textId="77777777" w:rsidR="00593ACB" w:rsidRDefault="00496186">
    <w:pPr>
      <w:spacing w:line="1" w:lineRule="exact"/>
    </w:pPr>
    <w:r>
      <w:rPr>
        <w:noProof/>
      </w:rPr>
      <mc:AlternateContent>
        <mc:Choice Requires="wps">
          <w:drawing>
            <wp:anchor distT="0" distB="0" distL="0" distR="0" simplePos="0" relativeHeight="62914696" behindDoc="1" locked="0" layoutInCell="1" allowOverlap="1" wp14:anchorId="5356E9C9" wp14:editId="5356E9CA">
              <wp:simplePos x="0" y="0"/>
              <wp:positionH relativeFrom="page">
                <wp:posOffset>884555</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356E9D3" w14:textId="77777777" w:rsidR="00593ACB" w:rsidRDefault="004961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356E9C9" id="_x0000_t202" coordsize="21600,21600" o:spt="202" path="m,l,21600r21600,l21600,xe">
              <v:stroke joinstyle="miter"/>
              <v:path gradientshapeok="t" o:connecttype="rect"/>
            </v:shapetype>
            <v:shape id="Shape 11" o:spid="_x0000_s1028" type="#_x0000_t202" style="position:absolute;margin-left:69.65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" filled="f" stroked="f">
              <v:textbox style="mso-fit-shape-to-text:t" inset="0,0,0,0">
                <w:txbxContent>
                  <w:p w14:paraId="5356E9D3" w14:textId="77777777" w:rsidR="00593ACB" w:rsidRDefault="004961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E9C4" w14:textId="77777777" w:rsidR="00593ACB" w:rsidRDefault="00496186">
    <w:pPr>
      <w:spacing w:line="1" w:lineRule="exact"/>
    </w:pPr>
    <w:r>
      <w:rPr>
        <w:noProof/>
      </w:rPr>
      <mc:AlternateContent>
        <mc:Choice Requires="wps">
          <w:drawing>
            <wp:anchor distT="0" distB="0" distL="0" distR="0" simplePos="0" relativeHeight="62914692" behindDoc="1" locked="0" layoutInCell="1" allowOverlap="1" wp14:anchorId="5356E9CB" wp14:editId="5356E9CC">
              <wp:simplePos x="0" y="0"/>
              <wp:positionH relativeFrom="page">
                <wp:posOffset>7195820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356E9D1" w14:textId="77777777" w:rsidR="00593ACB" w:rsidRDefault="004961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356E9CB" id="_x0000_t202" coordsize="21600,21600" o:spt="202" path="m,l,21600r21600,l21600,xe">
              <v:stroke joinstyle="miter"/>
              <v:path gradientshapeok="t" o:connecttype="rect"/>
            </v:shapetype>
            <v:shape id="Shape 7" o:spid="_x0000_s1029" type="#_x0000_t202" style="position:absolute;margin-left:566.6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" filled="f" stroked="f">
              <v:textbox style="mso-fit-shape-to-text:t" inset="0,0,0,0">
                <w:txbxContent>
                  <w:p w14:paraId="5356E9D1" w14:textId="77777777" w:rsidR="00593ACB" w:rsidRDefault="004961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6E9BF" w14:textId="77777777" w:rsidR="00593ACB" w:rsidRDefault="00593ACB"/>
  </w:footnote>
  <w:footnote w:type="continuationSeparator" w:id="0">
    <w:p w14:paraId="5356E9C0" w14:textId="77777777" w:rsidR="00593ACB" w:rsidRDefault="00593A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E9C1" w14:textId="77777777" w:rsidR="00593ACB" w:rsidRDefault="00496186">
    <w:pPr>
      <w:spacing w:line="1" w:lineRule="exact"/>
    </w:pPr>
    <w:r>
      <w:rPr>
        <w:noProof/>
      </w:rPr>
      <mc:AlternateContent>
        <mc:Choice Requires="wps">
          <w:drawing>
            <wp:anchor distT="0" distB="0" distL="0" distR="0" simplePos="0" relativeHeight="62914694" behindDoc="1" locked="0" layoutInCell="1" allowOverlap="1" wp14:anchorId="5356E9C5" wp14:editId="5356E9C6">
              <wp:simplePos x="0" y="0"/>
              <wp:positionH relativeFrom="page">
                <wp:posOffset>884555</wp:posOffset>
              </wp:positionH>
              <wp:positionV relativeFrom="page">
                <wp:posOffset>826135</wp:posOffset>
              </wp:positionV>
              <wp:extent cx="1566545" cy="176530"/>
              <wp:effectExtent l="0" t="0" r="0" b="0"/>
              <wp:wrapNone/>
              <wp:docPr id="9" name="Shape 9"/>
              <wp:cNvGraphicFramePr/>
              <a:graphic xmlns:a="http://schemas.openxmlformats.org/drawingml/2006/main">
                <a:graphicData uri="http://schemas.microsoft.com/office/word/2010/wordprocessingShape">
                  <wps:wsp>
                    <wps:cNvSpPr txBox="1"/>
                    <wps:spPr>
                      <a:xfrm>
                        <a:off x="0" y="0"/>
                        <a:ext cx="1566545" cy="176530"/>
                      </a:xfrm>
                      <a:prstGeom prst="rect">
                        <a:avLst/>
                      </a:prstGeom>
                      <a:noFill/>
                    </wps:spPr>
                    <wps:txbx>
                      <w:txbxContent>
                        <w:p w14:paraId="5356E9D2" w14:textId="77777777" w:rsidR="00593ACB" w:rsidRDefault="00496186">
                          <w:pPr>
                            <w:pStyle w:val="Headerorfooter20"/>
                            <w:shd w:val="clear" w:color="auto" w:fill="auto"/>
                            <w:tabs>
                              <w:tab w:val="right" w:pos="2467"/>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LIBFBBAEFFB01</w:t>
                          </w:r>
                        </w:p>
                      </w:txbxContent>
                    </wps:txbx>
                    <wps:bodyPr lIns="0" tIns="0" rIns="0" bIns="0">
                      <a:spAutoFit/>
                    </wps:bodyPr>
                  </wps:wsp>
                </a:graphicData>
              </a:graphic>
            </wp:anchor>
          </w:drawing>
        </mc:Choice>
        <mc:Fallback>
          <w:pict>
            <v:shapetype w14:anchorId="5356E9C5" id="_x0000_t202" coordsize="21600,21600" o:spt="202" path="m,l,21600r21600,l21600,xe">
              <v:stroke joinstyle="miter"/>
              <v:path gradientshapeok="t" o:connecttype="rect"/>
            </v:shapetype>
            <v:shape id="Shape 9" o:spid="_x0000_s1026" type="#_x0000_t202" style="position:absolute;margin-left:69.65pt;margin-top:65.05pt;width:123.3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" filled="f" stroked="f">
              <v:textbox style="mso-fit-shape-to-text:t" inset="0,0,0,0">
                <w:txbxContent>
                  <w:p w14:paraId="5356E9D2" w14:textId="77777777" w:rsidR="00593ACB" w:rsidRDefault="00496186">
                    <w:pPr>
                      <w:pStyle w:val="Headerorfooter20"/>
                      <w:shd w:val="clear" w:color="auto" w:fill="auto"/>
                      <w:tabs>
                        <w:tab w:val="right" w:pos="2467"/>
                      </w:tabs>
                      <w:rPr>
                        <w:sz w:val="22"/>
                        <w:szCs w:val="22"/>
                      </w:rPr>
                    </w:pPr>
                    <w:r>
                      <w:rPr>
                        <w:rFonts w:ascii="Arial" w:eastAsia="Arial" w:hAnsi="Arial" w:cs="Arial"/>
                        <w:b/>
                        <w:bCs/>
                        <w:color w:val="013946"/>
                        <w:sz w:val="30"/>
                        <w:szCs w:val="30"/>
                      </w:rPr>
                      <w:t>2</w:t>
                    </w:r>
                    <w:r>
                      <w:rPr>
                        <w:rFonts w:ascii="Arial" w:eastAsia="Arial" w:hAnsi="Arial" w:cs="Arial"/>
                        <w:b/>
                        <w:bCs/>
                        <w:color w:val="013946"/>
                        <w:sz w:val="30"/>
                        <w:szCs w:val="30"/>
                      </w:rPr>
                      <w:tab/>
                    </w:r>
                    <w:r>
                      <w:rPr>
                        <w:rFonts w:ascii="Arial" w:eastAsia="Arial" w:hAnsi="Arial" w:cs="Arial"/>
                        <w:color w:val="013946"/>
                        <w:sz w:val="22"/>
                        <w:szCs w:val="22"/>
                      </w:rPr>
                      <w:t>LIBFBBAEFFB01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E9C2" w14:textId="77777777" w:rsidR="00593ACB" w:rsidRDefault="00496186">
    <w:pPr>
      <w:spacing w:line="1" w:lineRule="exact"/>
    </w:pPr>
    <w:r>
      <w:rPr>
        <w:noProof/>
      </w:rPr>
      <mc:AlternateContent>
        <mc:Choice Requires="wps">
          <w:drawing>
            <wp:anchor distT="0" distB="0" distL="0" distR="0" simplePos="0" relativeHeight="62914690" behindDoc="1" locked="0" layoutInCell="1" allowOverlap="1" wp14:anchorId="5356E9C7" wp14:editId="5356E9C8">
              <wp:simplePos x="0" y="0"/>
              <wp:positionH relativeFrom="page">
                <wp:posOffset>6116320</wp:posOffset>
              </wp:positionH>
              <wp:positionV relativeFrom="page">
                <wp:posOffset>829310</wp:posOffset>
              </wp:positionV>
              <wp:extent cx="1566545"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566545" cy="173990"/>
                      </a:xfrm>
                      <a:prstGeom prst="rect">
                        <a:avLst/>
                      </a:prstGeom>
                      <a:noFill/>
                    </wps:spPr>
                    <wps:txbx>
                      <w:txbxContent>
                        <w:p w14:paraId="5356E9D0" w14:textId="77777777" w:rsidR="00593ACB" w:rsidRDefault="00496186">
                          <w:pPr>
                            <w:pStyle w:val="Headerorfooter20"/>
                            <w:shd w:val="clear" w:color="auto" w:fill="auto"/>
                            <w:rPr>
                              <w:sz w:val="30"/>
                              <w:szCs w:val="30"/>
                            </w:rPr>
                          </w:pPr>
                          <w:r>
                            <w:rPr>
                              <w:rFonts w:ascii="Arial" w:eastAsia="Arial" w:hAnsi="Arial" w:cs="Arial"/>
                              <w:color w:val="013946"/>
                              <w:sz w:val="22"/>
                              <w:szCs w:val="22"/>
                            </w:rPr>
                            <w:t xml:space="preserve">LIBFBBAEFFB01 </w:t>
                          </w:r>
                          <w:r>
                            <w:rPr>
                              <w:rFonts w:ascii="Arial" w:eastAsia="Arial" w:hAnsi="Arial" w:cs="Arial"/>
                              <w:b/>
                              <w:bCs/>
                              <w:color w:val="013946"/>
                              <w:sz w:val="30"/>
                              <w:szCs w:val="30"/>
                            </w:rPr>
                            <w:t>1</w:t>
                          </w:r>
                        </w:p>
                      </w:txbxContent>
                    </wps:txbx>
                    <wps:bodyPr wrap="none" lIns="0" tIns="0" rIns="0" bIns="0">
                      <a:spAutoFit/>
                    </wps:bodyPr>
                  </wps:wsp>
                </a:graphicData>
              </a:graphic>
            </wp:anchor>
          </w:drawing>
        </mc:Choice>
        <mc:Fallback>
          <w:pict>
            <v:shapetype w14:anchorId="5356E9C7" id="_x0000_t202" coordsize="21600,21600" o:spt="202" path="m,l,21600r21600,l21600,xe">
              <v:stroke joinstyle="miter"/>
              <v:path gradientshapeok="t" o:connecttype="rect"/>
            </v:shapetype>
            <v:shape id="Shape 5" o:spid="_x0000_s1027" type="#_x0000_t202" style="position:absolute;margin-left:481.6pt;margin-top:65.3pt;width:123.35pt;height:13.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" filled="f" stroked="f">
              <v:textbox style="mso-fit-shape-to-text:t" inset="0,0,0,0">
                <w:txbxContent>
                  <w:p w14:paraId="5356E9D0" w14:textId="77777777" w:rsidR="00593ACB" w:rsidRDefault="00496186">
                    <w:pPr>
                      <w:pStyle w:val="Headerorfooter20"/>
                      <w:shd w:val="clear" w:color="auto" w:fill="auto"/>
                      <w:rPr>
                        <w:sz w:val="30"/>
                        <w:szCs w:val="30"/>
                      </w:rPr>
                    </w:pPr>
                    <w:r>
                      <w:rPr>
                        <w:rFonts w:ascii="Arial" w:eastAsia="Arial" w:hAnsi="Arial" w:cs="Arial"/>
                        <w:color w:val="013946"/>
                        <w:sz w:val="22"/>
                        <w:szCs w:val="22"/>
                      </w:rPr>
                      <w:t xml:space="preserve">LIBFBBAEFFB01 </w:t>
                    </w:r>
                    <w:r>
                      <w:rPr>
                        <w:rFonts w:ascii="Arial" w:eastAsia="Arial" w:hAnsi="Arial" w:cs="Arial"/>
                        <w:b/>
                        <w:bCs/>
                        <w:color w:val="013946"/>
                        <w:sz w:val="30"/>
                        <w:szCs w:val="30"/>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2F32"/>
    <w:multiLevelType w:val="multilevel"/>
    <w:tmpl w:val="BC0E1256"/>
    <w:lvl w:ilvl="0">
      <w:start w:val="2"/>
      <w:numFmt w:val="decimal"/>
      <w:lvlText w:val="6.%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4A11AF"/>
    <w:multiLevelType w:val="multilevel"/>
    <w:tmpl w:val="19505860"/>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9C863B0"/>
    <w:multiLevelType w:val="multilevel"/>
    <w:tmpl w:val="34E81B0C"/>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78282556">
    <w:abstractNumId w:val="1"/>
  </w:num>
  <w:num w:numId="2" w16cid:durableId="573471119">
    <w:abstractNumId w:val="2"/>
  </w:num>
  <w:num w:numId="3" w16cid:durableId="1742411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ACB"/>
    <w:rsid w:val="00496186"/>
    <w:rsid w:val="00593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E992"/>
  <w15:docId w15:val="{668FFF7D-6B72-4FC4-BFD0-7EA2D9C8A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paragraph" w:styleId="BodyText">
    <w:name w:val="Body Text"/>
    <w:basedOn w:val="Normal"/>
    <w:link w:val="BodyTextChar"/>
    <w:qFormat/>
    <w:pPr>
      <w:shd w:val="clear" w:color="auto" w:fill="FFFFFF"/>
      <w:spacing w:after="40" w:line="290" w:lineRule="auto"/>
    </w:pPr>
    <w:rPr>
      <w:rFonts w:ascii="Arial" w:eastAsia="Arial" w:hAnsi="Arial" w:cs="Arial"/>
      <w:color w:val="231F20"/>
      <w:sz w:val="20"/>
      <w:szCs w:val="20"/>
    </w:rPr>
  </w:style>
  <w:style w:type="paragraph" w:customStyle="1" w:styleId="Heading10">
    <w:name w:val="Heading #1"/>
    <w:basedOn w:val="Normal"/>
    <w:link w:val="Heading1"/>
    <w:pPr>
      <w:shd w:val="clear" w:color="auto" w:fill="FFFFFF"/>
      <w:spacing w:after="180"/>
      <w:jc w:val="center"/>
      <w:outlineLvl w:val="0"/>
    </w:pPr>
    <w:rPr>
      <w:rFonts w:ascii="Arial" w:eastAsia="Arial" w:hAnsi="Arial" w:cs="Arial"/>
      <w:color w:val="808285"/>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2023-02-23T15:45:00Z</dcterms:created>
  <dcterms:modified xsi:type="dcterms:W3CDTF">2023-02-23T15:46:00Z</dcterms:modified>
</cp:coreProperties>
</file>