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19095" w14:textId="31C59A05" w:rsidR="00F17262" w:rsidRPr="0025237F" w:rsidRDefault="00000000" w:rsidP="0025237F">
      <w:pPr>
        <w:widowControl w:val="0"/>
        <w:pBdr>
          <w:top w:val="nil"/>
          <w:left w:val="nil"/>
          <w:bottom w:val="nil"/>
          <w:right w:val="nil"/>
          <w:between w:val="nil"/>
        </w:pBdr>
        <w:spacing w:line="240" w:lineRule="auto"/>
        <w:ind w:left="284" w:right="177"/>
        <w:rPr>
          <w:rFonts w:ascii="Times New Roman" w:eastAsia="Times New Roman" w:hAnsi="Times New Roman" w:cs="Times New Roman"/>
          <w:color w:val="222222"/>
          <w:sz w:val="24"/>
          <w:szCs w:val="24"/>
          <w:lang w:val="en-GB"/>
        </w:rPr>
      </w:pPr>
      <w:r>
        <w:rPr>
          <w:noProof/>
          <w:color w:val="000000"/>
          <w:sz w:val="24"/>
          <w:szCs w:val="24"/>
        </w:rPr>
        <w:drawing>
          <wp:inline distT="19050" distB="19050" distL="19050" distR="19050" wp14:anchorId="0360D43D" wp14:editId="34BAD6D7">
            <wp:extent cx="1836420" cy="647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1836420" cy="647700"/>
                    </a:xfrm>
                    <a:prstGeom prst="rect">
                      <a:avLst/>
                    </a:prstGeom>
                    <a:ln/>
                  </pic:spPr>
                </pic:pic>
              </a:graphicData>
            </a:graphic>
          </wp:inline>
        </w:drawing>
      </w:r>
      <w:r>
        <w:rPr>
          <w:noProof/>
        </w:rPr>
        <w:drawing>
          <wp:anchor distT="19050" distB="19050" distL="19050" distR="19050" simplePos="0" relativeHeight="251658240" behindDoc="0" locked="0" layoutInCell="1" hidden="0" allowOverlap="1" wp14:anchorId="7ED0D629" wp14:editId="2CB4DDDA">
            <wp:simplePos x="0" y="0"/>
            <wp:positionH relativeFrom="column">
              <wp:posOffset>-421004</wp:posOffset>
            </wp:positionH>
            <wp:positionV relativeFrom="paragraph">
              <wp:posOffset>28575</wp:posOffset>
            </wp:positionV>
            <wp:extent cx="7594600" cy="1472565"/>
            <wp:effectExtent l="0" t="0" r="0" b="0"/>
            <wp:wrapSquare wrapText="bothSides" distT="19050" distB="19050" distL="19050" distR="1905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7594600" cy="1472565"/>
                    </a:xfrm>
                    <a:prstGeom prst="rect">
                      <a:avLst/>
                    </a:prstGeom>
                    <a:ln/>
                  </pic:spPr>
                </pic:pic>
              </a:graphicData>
            </a:graphic>
          </wp:anchor>
        </w:drawing>
      </w:r>
      <w:r w:rsidR="0025237F">
        <w:rPr>
          <w:rFonts w:ascii="Times New Roman" w:eastAsia="Times New Roman" w:hAnsi="Times New Roman" w:cs="Times New Roman"/>
          <w:color w:val="222222"/>
          <w:sz w:val="24"/>
          <w:szCs w:val="24"/>
          <w:lang w:val="en-GB"/>
        </w:rPr>
        <w:t>19 October 2024</w:t>
      </w:r>
      <w:r w:rsidR="0025237F">
        <w:rPr>
          <w:rFonts w:ascii="Times New Roman" w:eastAsia="Times New Roman" w:hAnsi="Times New Roman" w:cs="Times New Roman"/>
          <w:color w:val="222222"/>
          <w:sz w:val="24"/>
          <w:szCs w:val="24"/>
          <w:lang w:val="en-GB"/>
        </w:rPr>
        <w:br/>
      </w:r>
      <w:r w:rsidR="0025237F">
        <w:rPr>
          <w:rFonts w:ascii="Times New Roman" w:eastAsia="Times New Roman" w:hAnsi="Times New Roman" w:cs="Times New Roman"/>
          <w:color w:val="222222"/>
          <w:sz w:val="24"/>
          <w:szCs w:val="24"/>
          <w:lang w:val="en-GB"/>
        </w:rPr>
        <w:br/>
      </w:r>
      <w:r w:rsidR="0025237F">
        <w:rPr>
          <w:rFonts w:ascii="Times New Roman" w:eastAsia="Times New Roman" w:hAnsi="Times New Roman" w:cs="Times New Roman"/>
          <w:color w:val="222222"/>
          <w:sz w:val="24"/>
          <w:szCs w:val="24"/>
          <w:lang w:val="en-GB"/>
        </w:rPr>
        <w:br/>
      </w:r>
      <w:r w:rsidR="0025237F">
        <w:rPr>
          <w:rFonts w:ascii="Times New Roman" w:eastAsia="Times New Roman" w:hAnsi="Times New Roman" w:cs="Times New Roman"/>
          <w:color w:val="222222"/>
          <w:sz w:val="24"/>
          <w:szCs w:val="24"/>
          <w:lang w:val="en-GB"/>
        </w:rPr>
        <w:br/>
      </w:r>
      <w:r>
        <w:rPr>
          <w:rFonts w:ascii="Tahoma" w:eastAsia="Tahoma" w:hAnsi="Tahoma" w:cs="Tahoma"/>
          <w:color w:val="222222"/>
          <w:sz w:val="24"/>
          <w:szCs w:val="24"/>
        </w:rPr>
        <w:t xml:space="preserve">I have selected </w:t>
      </w:r>
      <w:r w:rsidR="0025237F">
        <w:rPr>
          <w:rFonts w:ascii="Tahoma" w:eastAsia="Tahoma" w:hAnsi="Tahoma" w:cs="Tahoma"/>
          <w:color w:val="222222"/>
          <w:sz w:val="24"/>
          <w:szCs w:val="24"/>
          <w:lang w:val="en-GB"/>
        </w:rPr>
        <w:t>five</w:t>
      </w:r>
      <w:r>
        <w:rPr>
          <w:rFonts w:ascii="Tahoma" w:eastAsia="Tahoma" w:hAnsi="Tahoma" w:cs="Tahoma"/>
          <w:color w:val="222222"/>
          <w:sz w:val="24"/>
          <w:szCs w:val="24"/>
        </w:rPr>
        <w:t xml:space="preserve"> relevant journals with a range of impact factors that all publish original research in areas related to the topic of your article:  “</w:t>
      </w:r>
      <w:r w:rsidR="0025237F" w:rsidRPr="000E1A69">
        <w:rPr>
          <w:b/>
          <w:color w:val="000000"/>
          <w:sz w:val="24"/>
          <w:szCs w:val="24"/>
        </w:rPr>
        <w:t>The Motif of the Land (</w:t>
      </w:r>
      <w:r w:rsidR="0025237F" w:rsidRPr="000E1A69">
        <w:rPr>
          <w:b/>
          <w:i/>
          <w:iCs/>
          <w:color w:val="000000"/>
          <w:sz w:val="24"/>
          <w:szCs w:val="24"/>
        </w:rPr>
        <w:t>al-Arḍ</w:t>
      </w:r>
      <w:r w:rsidR="0025237F" w:rsidRPr="000E1A69">
        <w:rPr>
          <w:b/>
          <w:color w:val="000000"/>
          <w:sz w:val="24"/>
          <w:szCs w:val="24"/>
        </w:rPr>
        <w:t xml:space="preserve">) in the Poetry of Salem Jubran: A Reading of the </w:t>
      </w:r>
      <w:r w:rsidR="0025237F" w:rsidRPr="000E1A69">
        <w:rPr>
          <w:b/>
          <w:i/>
          <w:iCs/>
          <w:color w:val="000000"/>
          <w:sz w:val="24"/>
          <w:szCs w:val="24"/>
        </w:rPr>
        <w:t>Kalimāt min al-Qalb</w:t>
      </w:r>
      <w:r w:rsidR="0025237F" w:rsidRPr="000E1A69">
        <w:rPr>
          <w:b/>
          <w:color w:val="000000"/>
          <w:sz w:val="24"/>
          <w:szCs w:val="24"/>
        </w:rPr>
        <w:t xml:space="preserve"> Anthology as an Illustration</w:t>
      </w:r>
      <w:r>
        <w:rPr>
          <w:rFonts w:ascii="Tahoma" w:eastAsia="Tahoma" w:hAnsi="Tahoma" w:cs="Tahoma"/>
          <w:color w:val="222222"/>
          <w:sz w:val="24"/>
          <w:szCs w:val="24"/>
        </w:rPr>
        <w:t>”</w:t>
      </w:r>
    </w:p>
    <w:p w14:paraId="107480AB" w14:textId="77777777" w:rsidR="00F17262" w:rsidRDefault="00000000" w:rsidP="0025237F">
      <w:pPr>
        <w:widowControl w:val="0"/>
        <w:pBdr>
          <w:top w:val="nil"/>
          <w:left w:val="nil"/>
          <w:bottom w:val="nil"/>
          <w:right w:val="nil"/>
          <w:between w:val="nil"/>
        </w:pBdr>
        <w:spacing w:before="987" w:line="240" w:lineRule="auto"/>
        <w:ind w:left="284"/>
        <w:jc w:val="center"/>
        <w:rPr>
          <w:rFonts w:ascii="Tahoma" w:eastAsia="Tahoma" w:hAnsi="Tahoma" w:cs="Tahoma"/>
          <w:b/>
          <w:color w:val="222222"/>
          <w:sz w:val="24"/>
          <w:szCs w:val="24"/>
        </w:rPr>
      </w:pPr>
      <w:r>
        <w:rPr>
          <w:rFonts w:ascii="Tahoma" w:eastAsia="Tahoma" w:hAnsi="Tahoma" w:cs="Tahoma"/>
          <w:b/>
          <w:color w:val="222222"/>
          <w:sz w:val="24"/>
          <w:szCs w:val="24"/>
          <w:u w:val="single"/>
        </w:rPr>
        <w:t>Journal Selection Report</w:t>
      </w:r>
      <w:r>
        <w:rPr>
          <w:rFonts w:ascii="Tahoma" w:eastAsia="Tahoma" w:hAnsi="Tahoma" w:cs="Tahoma"/>
          <w:b/>
          <w:color w:val="222222"/>
          <w:sz w:val="24"/>
          <w:szCs w:val="24"/>
        </w:rPr>
        <w:t xml:space="preserve"> </w:t>
      </w:r>
    </w:p>
    <w:p w14:paraId="6078E01C" w14:textId="77777777" w:rsidR="00F17262" w:rsidRDefault="00F17262" w:rsidP="0025237F">
      <w:pPr>
        <w:bidi/>
        <w:spacing w:after="160" w:line="259" w:lineRule="auto"/>
        <w:ind w:left="284"/>
        <w:rPr>
          <w:rFonts w:ascii="Calibri" w:eastAsia="Calibri" w:hAnsi="Calibri" w:cs="Calibri"/>
        </w:rPr>
      </w:pPr>
    </w:p>
    <w:p w14:paraId="4C90E31A" w14:textId="77777777" w:rsidR="0025237F" w:rsidRDefault="0025237F" w:rsidP="0025237F">
      <w:pPr>
        <w:spacing w:after="160" w:line="259" w:lineRule="auto"/>
        <w:ind w:left="284" w:right="320"/>
        <w:rPr>
          <w:rFonts w:ascii="Calibri" w:eastAsia="Calibri" w:hAnsi="Calibri" w:cs="Calibri"/>
          <w:b/>
          <w:color w:val="1155CC"/>
          <w:sz w:val="28"/>
          <w:szCs w:val="28"/>
          <w:lang w:val="en-GB"/>
        </w:rPr>
      </w:pPr>
    </w:p>
    <w:p w14:paraId="183A70A9" w14:textId="31094B0C" w:rsidR="00F17262" w:rsidRDefault="00000000" w:rsidP="0025237F">
      <w:pPr>
        <w:spacing w:after="160" w:line="259" w:lineRule="auto"/>
        <w:ind w:left="284" w:right="320"/>
        <w:rPr>
          <w:rFonts w:ascii="Calibri" w:eastAsia="Calibri" w:hAnsi="Calibri" w:cs="Calibri"/>
          <w:b/>
          <w:color w:val="1155CC"/>
          <w:sz w:val="28"/>
          <w:szCs w:val="28"/>
          <w:lang w:val="en-GB"/>
        </w:rPr>
      </w:pPr>
      <w:r>
        <w:rPr>
          <w:rFonts w:ascii="Calibri" w:eastAsia="Calibri" w:hAnsi="Calibri" w:cs="Calibri"/>
          <w:b/>
          <w:color w:val="1155CC"/>
          <w:sz w:val="28"/>
          <w:szCs w:val="28"/>
        </w:rPr>
        <w:t xml:space="preserve">Journal of </w:t>
      </w:r>
      <w:r w:rsidR="0025237F">
        <w:rPr>
          <w:rFonts w:ascii="Calibri" w:eastAsia="Calibri" w:hAnsi="Calibri" w:cs="Calibri"/>
          <w:b/>
          <w:color w:val="1155CC"/>
          <w:sz w:val="28"/>
          <w:szCs w:val="28"/>
          <w:lang w:val="en-GB"/>
        </w:rPr>
        <w:t>Arabic Literature</w:t>
      </w:r>
    </w:p>
    <w:p w14:paraId="5D2893FA" w14:textId="77777777" w:rsidR="0025237F" w:rsidRPr="0025237F" w:rsidRDefault="0025237F" w:rsidP="0025237F">
      <w:pPr>
        <w:spacing w:after="160" w:line="259" w:lineRule="auto"/>
        <w:ind w:left="284" w:right="320"/>
        <w:rPr>
          <w:rFonts w:ascii="Calibri" w:eastAsia="Calibri" w:hAnsi="Calibri" w:cs="Calibri"/>
          <w:b/>
          <w:color w:val="1155CC"/>
          <w:sz w:val="28"/>
          <w:szCs w:val="28"/>
          <w:lang w:val="en-GB"/>
        </w:rPr>
      </w:pPr>
    </w:p>
    <w:p w14:paraId="57BC3773" w14:textId="5A1C440F" w:rsidR="00F17262" w:rsidRPr="00376163" w:rsidRDefault="0025237F" w:rsidP="0025237F">
      <w:pPr>
        <w:spacing w:after="280" w:line="240" w:lineRule="auto"/>
        <w:ind w:left="284"/>
        <w:rPr>
          <w:sz w:val="24"/>
          <w:szCs w:val="24"/>
          <w:lang w:val="en-GB"/>
        </w:rPr>
      </w:pPr>
      <w:r w:rsidRPr="000E1A69">
        <w:rPr>
          <w:sz w:val="24"/>
          <w:szCs w:val="24"/>
        </w:rPr>
        <w:t>The Journal of Arabic Literature (JAL) is the leading journal specializing in the study of Arabic literature, spanning from the pre-Islamic era to present day. Founded in 1970, JAL showcases critically and theoretically engaged scholarship aimed at a global readership, including specialists, comparatists, and students. The journal features literary, critical and historic studies as well as book reviews and review essays on Arabic literature broadly understood—classical and modern, written and oral, poetry and prose, formal and colloquial, monolingual and multilingual, whether written in Arabic or engaging Arabic canons, genres, literary histories, and/or theoretical concepts. JAL also welcomes contributions from comparative and interdisciplinary perspectives.</w:t>
      </w:r>
      <w:r>
        <w:rPr>
          <w:sz w:val="24"/>
          <w:szCs w:val="24"/>
          <w:lang w:val="en-GB"/>
        </w:rPr>
        <w:br/>
      </w:r>
      <w:r>
        <w:rPr>
          <w:sz w:val="24"/>
          <w:szCs w:val="24"/>
        </w:rPr>
        <w:br/>
      </w:r>
      <w:r w:rsidRPr="0071570F">
        <w:rPr>
          <w:sz w:val="24"/>
          <w:szCs w:val="24"/>
        </w:rPr>
        <w:t>Impact score</w:t>
      </w:r>
      <w:r>
        <w:rPr>
          <w:sz w:val="24"/>
          <w:szCs w:val="24"/>
        </w:rPr>
        <w:t>: 0.1</w:t>
      </w:r>
      <w:r w:rsidR="00376163">
        <w:rPr>
          <w:sz w:val="24"/>
          <w:szCs w:val="24"/>
          <w:lang w:val="en-GB"/>
        </w:rPr>
        <w:t>9</w:t>
      </w:r>
    </w:p>
    <w:p w14:paraId="429E9432" w14:textId="4F03B074" w:rsidR="0025237F" w:rsidRDefault="0025237F" w:rsidP="0025237F">
      <w:pPr>
        <w:shd w:val="clear" w:color="auto" w:fill="FFFFFF"/>
        <w:ind w:left="284"/>
        <w:rPr>
          <w:color w:val="333333"/>
          <w:sz w:val="24"/>
          <w:szCs w:val="24"/>
          <w:u w:val="single"/>
          <w:lang w:val="en-GB"/>
        </w:rPr>
      </w:pPr>
      <w:r w:rsidRPr="001B0829">
        <w:rPr>
          <w:color w:val="333333"/>
          <w:sz w:val="24"/>
          <w:szCs w:val="24"/>
        </w:rPr>
        <w:t xml:space="preserve">Kraver, S. (2024). Palestine, Futurity, and the Rithāʾ: A Poetics of Speculation and Proleptic Mourning. </w:t>
      </w:r>
      <w:r w:rsidRPr="001B0829">
        <w:rPr>
          <w:i/>
          <w:iCs/>
          <w:color w:val="333333"/>
          <w:sz w:val="24"/>
          <w:szCs w:val="24"/>
        </w:rPr>
        <w:t>Journal of Arabic Literature</w:t>
      </w:r>
      <w:r w:rsidRPr="001B0829">
        <w:rPr>
          <w:color w:val="333333"/>
          <w:sz w:val="24"/>
          <w:szCs w:val="24"/>
        </w:rPr>
        <w:t xml:space="preserve">, 55(1), 57-87. </w:t>
      </w:r>
      <w:hyperlink r:id="rId8" w:history="1">
        <w:r w:rsidRPr="00613A89">
          <w:rPr>
            <w:rStyle w:val="Hyperlink"/>
            <w:sz w:val="24"/>
            <w:szCs w:val="24"/>
          </w:rPr>
          <w:t>https://doi.org/10.1163/1570064x-12341506</w:t>
        </w:r>
      </w:hyperlink>
      <w:r>
        <w:rPr>
          <w:color w:val="333333"/>
          <w:sz w:val="24"/>
          <w:szCs w:val="24"/>
          <w:u w:val="single"/>
          <w:lang w:val="en-GB"/>
        </w:rPr>
        <w:br/>
      </w:r>
      <w:r>
        <w:rPr>
          <w:color w:val="333333"/>
          <w:sz w:val="24"/>
          <w:szCs w:val="24"/>
          <w:u w:val="single"/>
          <w:lang w:val="en-GB"/>
        </w:rPr>
        <w:br/>
      </w:r>
    </w:p>
    <w:p w14:paraId="3D2243E0" w14:textId="77777777" w:rsidR="0025237F" w:rsidRDefault="0025237F" w:rsidP="0025237F">
      <w:pPr>
        <w:shd w:val="clear" w:color="auto" w:fill="FFFFFF"/>
        <w:ind w:left="284"/>
        <w:rPr>
          <w:color w:val="333333"/>
          <w:sz w:val="24"/>
          <w:szCs w:val="24"/>
          <w:u w:val="single"/>
          <w:lang w:val="en-GB"/>
        </w:rPr>
      </w:pPr>
    </w:p>
    <w:p w14:paraId="24B9261B" w14:textId="77777777" w:rsidR="0025237F" w:rsidRDefault="0025237F" w:rsidP="0025237F">
      <w:pPr>
        <w:shd w:val="clear" w:color="auto" w:fill="FFFFFF"/>
        <w:ind w:left="284"/>
        <w:rPr>
          <w:color w:val="333333"/>
          <w:sz w:val="24"/>
          <w:szCs w:val="24"/>
          <w:u w:val="single"/>
          <w:lang w:val="en-GB"/>
        </w:rPr>
      </w:pPr>
    </w:p>
    <w:p w14:paraId="50861211" w14:textId="77777777" w:rsidR="0025237F" w:rsidRDefault="0025237F" w:rsidP="0025237F">
      <w:pPr>
        <w:shd w:val="clear" w:color="auto" w:fill="FFFFFF"/>
        <w:ind w:left="284"/>
        <w:rPr>
          <w:color w:val="333333"/>
          <w:sz w:val="24"/>
          <w:szCs w:val="24"/>
          <w:u w:val="single"/>
          <w:lang w:val="en-GB"/>
        </w:rPr>
      </w:pPr>
    </w:p>
    <w:p w14:paraId="5A5AA681" w14:textId="77777777" w:rsidR="0025237F" w:rsidRDefault="0025237F" w:rsidP="0025237F">
      <w:pPr>
        <w:shd w:val="clear" w:color="auto" w:fill="FFFFFF"/>
        <w:ind w:left="284"/>
        <w:rPr>
          <w:color w:val="333333"/>
          <w:sz w:val="24"/>
          <w:szCs w:val="24"/>
          <w:u w:val="single"/>
          <w:lang w:val="en-GB"/>
        </w:rPr>
      </w:pPr>
    </w:p>
    <w:p w14:paraId="76F079D5" w14:textId="77777777" w:rsidR="0025237F" w:rsidRPr="0025237F" w:rsidRDefault="0025237F" w:rsidP="0025237F">
      <w:pPr>
        <w:shd w:val="clear" w:color="auto" w:fill="FFFFFF"/>
        <w:ind w:left="284"/>
        <w:rPr>
          <w:color w:val="333333"/>
          <w:sz w:val="24"/>
          <w:szCs w:val="24"/>
          <w:u w:val="single"/>
          <w:lang w:val="en-GB"/>
        </w:rPr>
      </w:pPr>
    </w:p>
    <w:p w14:paraId="3D2F38BA" w14:textId="77777777" w:rsidR="0025237F" w:rsidRDefault="0025237F" w:rsidP="0025237F">
      <w:pPr>
        <w:spacing w:after="160" w:line="259" w:lineRule="auto"/>
        <w:ind w:left="284" w:right="320"/>
        <w:rPr>
          <w:rFonts w:ascii="Calibri" w:eastAsia="Calibri" w:hAnsi="Calibri" w:cs="Calibri"/>
          <w:b/>
          <w:color w:val="1155CC"/>
          <w:sz w:val="28"/>
          <w:szCs w:val="28"/>
          <w:lang w:val="en-GB"/>
        </w:rPr>
      </w:pPr>
    </w:p>
    <w:p w14:paraId="56D11904" w14:textId="1F132966" w:rsidR="0025237F" w:rsidRPr="0025237F" w:rsidRDefault="0025237F" w:rsidP="0025237F">
      <w:pPr>
        <w:spacing w:after="160" w:line="259" w:lineRule="auto"/>
        <w:ind w:left="284" w:right="320"/>
        <w:rPr>
          <w:rFonts w:ascii="Calibri" w:eastAsia="Calibri" w:hAnsi="Calibri" w:cs="Calibri"/>
          <w:b/>
          <w:color w:val="1155CC"/>
          <w:sz w:val="28"/>
          <w:szCs w:val="28"/>
          <w:lang w:val="en-GB"/>
        </w:rPr>
      </w:pPr>
      <w:r>
        <w:rPr>
          <w:rFonts w:ascii="Calibri" w:eastAsia="Calibri" w:hAnsi="Calibri" w:cs="Calibri"/>
          <w:b/>
          <w:color w:val="1155CC"/>
          <w:sz w:val="28"/>
          <w:szCs w:val="28"/>
        </w:rPr>
        <w:lastRenderedPageBreak/>
        <w:t xml:space="preserve">Journal of </w:t>
      </w:r>
      <w:r>
        <w:rPr>
          <w:rFonts w:ascii="Calibri" w:eastAsia="Calibri" w:hAnsi="Calibri" w:cs="Calibri"/>
          <w:b/>
          <w:color w:val="1155CC"/>
          <w:sz w:val="28"/>
          <w:szCs w:val="28"/>
          <w:lang w:val="en-GB"/>
        </w:rPr>
        <w:t>Holy Land and Palestine Studies</w:t>
      </w:r>
      <w:r>
        <w:rPr>
          <w:rFonts w:ascii="Calibri" w:eastAsia="Calibri" w:hAnsi="Calibri" w:cs="Calibri"/>
          <w:b/>
          <w:color w:val="1155CC"/>
          <w:sz w:val="28"/>
          <w:szCs w:val="28"/>
          <w:lang w:val="en-GB"/>
        </w:rPr>
        <w:br/>
      </w:r>
    </w:p>
    <w:p w14:paraId="14AE2D7D" w14:textId="7230A78B" w:rsidR="0025237F" w:rsidRPr="0025237F" w:rsidRDefault="0025237F" w:rsidP="0025237F">
      <w:pPr>
        <w:spacing w:after="280" w:line="240" w:lineRule="auto"/>
        <w:ind w:left="284"/>
        <w:rPr>
          <w:sz w:val="24"/>
          <w:szCs w:val="24"/>
          <w:lang w:val="en-GB"/>
        </w:rPr>
      </w:pPr>
      <w:r w:rsidRPr="001B0829">
        <w:rPr>
          <w:sz w:val="24"/>
          <w:szCs w:val="24"/>
        </w:rPr>
        <w:t xml:space="preserve">The </w:t>
      </w:r>
      <w:r w:rsidRPr="001B0829">
        <w:rPr>
          <w:i/>
          <w:iCs/>
          <w:sz w:val="24"/>
          <w:szCs w:val="24"/>
        </w:rPr>
        <w:t>Journal of Holy Land and Palestine Studies</w:t>
      </w:r>
      <w:r w:rsidRPr="001B0829">
        <w:rPr>
          <w:sz w:val="24"/>
          <w:szCs w:val="24"/>
        </w:rPr>
        <w:t xml:space="preserve"> is a fully international and multidisciplinary journal covering the history, politics, culture, religion, anthropology, sociology and economics of the Holy Land and Palestine. The journal deals with a wide range of topics, including but not limited to: conflicting Israeli and Palestinian perspectives; social and economic conditions; religion and politics in the Middle East; Palestine in history and today; modernism and postmodernism and more.</w:t>
      </w:r>
      <w:r>
        <w:rPr>
          <w:sz w:val="24"/>
          <w:szCs w:val="24"/>
          <w:lang w:val="en-GB"/>
        </w:rPr>
        <w:br/>
      </w:r>
      <w:r>
        <w:rPr>
          <w:sz w:val="24"/>
          <w:szCs w:val="24"/>
        </w:rPr>
        <w:br/>
      </w:r>
      <w:r w:rsidRPr="0071570F">
        <w:rPr>
          <w:sz w:val="24"/>
          <w:szCs w:val="24"/>
        </w:rPr>
        <w:t>Impact score</w:t>
      </w:r>
      <w:r>
        <w:rPr>
          <w:sz w:val="24"/>
          <w:szCs w:val="24"/>
        </w:rPr>
        <w:t>: 0.</w:t>
      </w:r>
      <w:r>
        <w:rPr>
          <w:sz w:val="24"/>
          <w:szCs w:val="24"/>
          <w:lang w:val="en-GB"/>
        </w:rPr>
        <w:t>57</w:t>
      </w:r>
    </w:p>
    <w:p w14:paraId="19C0AFDD" w14:textId="3B6065C5" w:rsidR="0025237F" w:rsidRDefault="0025237F" w:rsidP="0025237F">
      <w:pPr>
        <w:shd w:val="clear" w:color="auto" w:fill="FFFFFF"/>
        <w:ind w:left="284"/>
        <w:rPr>
          <w:color w:val="333333"/>
          <w:sz w:val="24"/>
          <w:szCs w:val="24"/>
          <w:u w:val="single"/>
          <w:lang w:val="en-US"/>
        </w:rPr>
      </w:pPr>
      <w:r w:rsidRPr="0025237F">
        <w:rPr>
          <w:color w:val="333333"/>
          <w:sz w:val="24"/>
          <w:szCs w:val="24"/>
          <w:lang w:val="en-US"/>
        </w:rPr>
        <w:t xml:space="preserve">Karam, K., and Khalifa, E. (2023). Counter-current Travel Memoirs and New Directions in Palestine Studies: Salman Abu Sitta's </w:t>
      </w:r>
      <w:r w:rsidRPr="0025237F">
        <w:rPr>
          <w:i/>
          <w:iCs/>
          <w:color w:val="333333"/>
          <w:sz w:val="24"/>
          <w:szCs w:val="24"/>
          <w:lang w:val="en-US"/>
        </w:rPr>
        <w:t>Mapping my Return</w:t>
      </w:r>
      <w:r w:rsidRPr="0025237F">
        <w:rPr>
          <w:color w:val="333333"/>
          <w:sz w:val="24"/>
          <w:szCs w:val="24"/>
          <w:lang w:val="en-US"/>
        </w:rPr>
        <w:t xml:space="preserve"> and Miko Peled's </w:t>
      </w:r>
      <w:r w:rsidRPr="0025237F">
        <w:rPr>
          <w:i/>
          <w:iCs/>
          <w:color w:val="333333"/>
          <w:sz w:val="24"/>
          <w:szCs w:val="24"/>
          <w:lang w:val="en-US"/>
        </w:rPr>
        <w:t>The General's Son</w:t>
      </w:r>
      <w:r w:rsidRPr="0025237F">
        <w:rPr>
          <w:color w:val="333333"/>
          <w:sz w:val="24"/>
          <w:szCs w:val="24"/>
          <w:lang w:val="en-US"/>
        </w:rPr>
        <w:t xml:space="preserve">. </w:t>
      </w:r>
      <w:r w:rsidRPr="0025237F">
        <w:rPr>
          <w:i/>
          <w:iCs/>
          <w:color w:val="333333"/>
          <w:sz w:val="24"/>
          <w:szCs w:val="24"/>
          <w:lang w:val="en-US"/>
        </w:rPr>
        <w:t>Journal of Holy Land and Palestine Studies</w:t>
      </w:r>
      <w:r w:rsidRPr="0025237F">
        <w:rPr>
          <w:color w:val="333333"/>
          <w:sz w:val="24"/>
          <w:szCs w:val="24"/>
          <w:lang w:val="en-US"/>
        </w:rPr>
        <w:t xml:space="preserve">, 22(2), 185-212. </w:t>
      </w:r>
      <w:hyperlink r:id="rId9" w:history="1">
        <w:r w:rsidRPr="0025237F">
          <w:rPr>
            <w:rStyle w:val="Hyperlink"/>
            <w:sz w:val="24"/>
            <w:szCs w:val="24"/>
            <w:lang w:val="en-US"/>
          </w:rPr>
          <w:t>https://doi.org/10.3366/hlps.2023.0314</w:t>
        </w:r>
      </w:hyperlink>
    </w:p>
    <w:p w14:paraId="39A5575D" w14:textId="77777777" w:rsidR="0025237F" w:rsidRDefault="0025237F" w:rsidP="0025237F">
      <w:pPr>
        <w:shd w:val="clear" w:color="auto" w:fill="FFFFFF"/>
        <w:ind w:left="284"/>
        <w:rPr>
          <w:color w:val="333333"/>
          <w:sz w:val="24"/>
          <w:szCs w:val="24"/>
          <w:u w:val="single"/>
          <w:lang w:val="en-US"/>
        </w:rPr>
      </w:pPr>
    </w:p>
    <w:p w14:paraId="12AE70BD" w14:textId="77777777" w:rsidR="0025237F" w:rsidRDefault="0025237F" w:rsidP="0025237F">
      <w:pPr>
        <w:bidi/>
        <w:spacing w:after="160" w:line="259" w:lineRule="auto"/>
        <w:ind w:left="284"/>
        <w:rPr>
          <w:rFonts w:ascii="Calibri" w:eastAsia="Calibri" w:hAnsi="Calibri" w:cs="Calibri"/>
        </w:rPr>
      </w:pPr>
      <w:bookmarkStart w:id="0" w:name="_Hlk180317919"/>
    </w:p>
    <w:p w14:paraId="4927C3FF" w14:textId="3D27E13B" w:rsidR="0025237F" w:rsidRPr="0025237F" w:rsidRDefault="0025237F" w:rsidP="0025237F">
      <w:pPr>
        <w:spacing w:after="160" w:line="259" w:lineRule="auto"/>
        <w:ind w:left="284" w:right="320"/>
        <w:rPr>
          <w:rFonts w:ascii="Calibri" w:eastAsia="Calibri" w:hAnsi="Calibri" w:cs="Calibri"/>
          <w:b/>
          <w:color w:val="1155CC"/>
          <w:sz w:val="28"/>
          <w:szCs w:val="28"/>
          <w:lang w:val="en-GB"/>
        </w:rPr>
      </w:pPr>
      <w:r>
        <w:rPr>
          <w:rFonts w:ascii="Calibri" w:eastAsia="Calibri" w:hAnsi="Calibri" w:cs="Calibri"/>
          <w:b/>
          <w:color w:val="1155CC"/>
          <w:sz w:val="28"/>
          <w:szCs w:val="28"/>
          <w:lang w:val="en-GB"/>
        </w:rPr>
        <w:t>Middle Eastern Literatures</w:t>
      </w:r>
      <w:r>
        <w:rPr>
          <w:rFonts w:ascii="Calibri" w:eastAsia="Calibri" w:hAnsi="Calibri" w:cs="Calibri"/>
          <w:b/>
          <w:color w:val="1155CC"/>
          <w:sz w:val="28"/>
          <w:szCs w:val="28"/>
          <w:lang w:val="en-GB"/>
        </w:rPr>
        <w:br/>
      </w:r>
    </w:p>
    <w:p w14:paraId="1596F677" w14:textId="2847D87B" w:rsidR="0025237F" w:rsidRPr="0025237F" w:rsidRDefault="0025237F" w:rsidP="0025237F">
      <w:pPr>
        <w:spacing w:after="280" w:line="240" w:lineRule="auto"/>
        <w:ind w:left="284"/>
        <w:rPr>
          <w:sz w:val="24"/>
          <w:szCs w:val="24"/>
          <w:lang w:val="en-GB"/>
        </w:rPr>
      </w:pPr>
      <w:r w:rsidRPr="0084168B">
        <w:rPr>
          <w:i/>
          <w:iCs/>
          <w:sz w:val="24"/>
          <w:szCs w:val="24"/>
        </w:rPr>
        <w:t>Middle Eastern Literatures</w:t>
      </w:r>
      <w:r w:rsidRPr="0084168B">
        <w:rPr>
          <w:sz w:val="24"/>
          <w:szCs w:val="24"/>
        </w:rPr>
        <w:t xml:space="preserve"> is a forum for the academic study of all Middle Eastern Literatures from Late Antiquity until the present. We publish critical studies and translations of literature and other cultural works encoded in language (such as films, songs, graphic novels, memoirs, etc.). The journal’s linguistic scope is wide and encompasses works composed in, for example, the Persian, Turkish, post-Biblical and modern Hebrew, Kurdish, Urdu, Arabic, and Amazigh languages, as well as the colonial and diasporic languages through which Middle Eastern experiences have been mediated. By bringing diverse texts and disciplines into dialogue we seek to establish new connections across geographies and time periods, to forge theoretical languages, grounded in the region’s epistemologies, and to foster a comparative literature beyond the main reference point of Euroamerica.</w:t>
      </w:r>
      <w:r w:rsidRPr="001B0829">
        <w:rPr>
          <w:sz w:val="24"/>
          <w:szCs w:val="24"/>
        </w:rPr>
        <w:t>.</w:t>
      </w:r>
      <w:r>
        <w:rPr>
          <w:sz w:val="24"/>
          <w:szCs w:val="24"/>
          <w:lang w:val="en-GB"/>
        </w:rPr>
        <w:br/>
      </w:r>
      <w:r>
        <w:rPr>
          <w:sz w:val="24"/>
          <w:szCs w:val="24"/>
        </w:rPr>
        <w:br/>
      </w:r>
      <w:r w:rsidRPr="0071570F">
        <w:rPr>
          <w:sz w:val="24"/>
          <w:szCs w:val="24"/>
        </w:rPr>
        <w:t>Impact score</w:t>
      </w:r>
      <w:r>
        <w:rPr>
          <w:sz w:val="24"/>
          <w:szCs w:val="24"/>
        </w:rPr>
        <w:t>: 0.</w:t>
      </w:r>
      <w:r>
        <w:rPr>
          <w:sz w:val="24"/>
          <w:szCs w:val="24"/>
          <w:lang w:val="en-GB"/>
        </w:rPr>
        <w:t>1</w:t>
      </w:r>
      <w:r w:rsidR="00376163">
        <w:rPr>
          <w:sz w:val="24"/>
          <w:szCs w:val="24"/>
          <w:lang w:val="en-GB"/>
        </w:rPr>
        <w:t>7</w:t>
      </w:r>
    </w:p>
    <w:p w14:paraId="655FF408" w14:textId="68352C51" w:rsidR="0025237F" w:rsidRPr="0025237F" w:rsidRDefault="0025237F" w:rsidP="0025237F">
      <w:pPr>
        <w:shd w:val="clear" w:color="auto" w:fill="FFFFFF"/>
        <w:ind w:left="284"/>
        <w:rPr>
          <w:color w:val="333333"/>
          <w:sz w:val="24"/>
          <w:szCs w:val="24"/>
          <w:u w:val="single"/>
          <w:lang w:val="en-US"/>
        </w:rPr>
      </w:pPr>
      <w:r w:rsidRPr="0025237F">
        <w:rPr>
          <w:color w:val="333333"/>
          <w:sz w:val="24"/>
          <w:szCs w:val="24"/>
          <w:lang w:val="en-US"/>
        </w:rPr>
        <w:t xml:space="preserve">Fakhreddine, H. (2016). The prose poem and the Arabic literary tradition. </w:t>
      </w:r>
      <w:r w:rsidRPr="0025237F">
        <w:rPr>
          <w:i/>
          <w:iCs/>
          <w:color w:val="333333"/>
          <w:sz w:val="24"/>
          <w:szCs w:val="24"/>
          <w:lang w:val="en-US"/>
        </w:rPr>
        <w:t>Middle Eastern Literatures</w:t>
      </w:r>
      <w:r w:rsidRPr="0025237F">
        <w:rPr>
          <w:color w:val="333333"/>
          <w:sz w:val="24"/>
          <w:szCs w:val="24"/>
          <w:lang w:val="en-US"/>
        </w:rPr>
        <w:t xml:space="preserve">, 19(3), 243–259. </w:t>
      </w:r>
      <w:hyperlink r:id="rId10" w:history="1">
        <w:r w:rsidRPr="00C42D21">
          <w:rPr>
            <w:rStyle w:val="Hyperlink"/>
            <w:sz w:val="24"/>
            <w:szCs w:val="24"/>
            <w:lang w:val="en-US"/>
          </w:rPr>
          <w:t>https://doi.org/10.1080/1475262X.2016.1248022</w:t>
        </w:r>
      </w:hyperlink>
      <w:r>
        <w:rPr>
          <w:color w:val="333333"/>
          <w:sz w:val="24"/>
          <w:szCs w:val="24"/>
          <w:u w:val="single"/>
          <w:lang w:val="en-US"/>
        </w:rPr>
        <w:br/>
      </w:r>
      <w:r>
        <w:rPr>
          <w:color w:val="333333"/>
          <w:sz w:val="24"/>
          <w:szCs w:val="24"/>
          <w:u w:val="single"/>
          <w:lang w:val="en-US"/>
        </w:rPr>
        <w:br/>
      </w:r>
    </w:p>
    <w:bookmarkEnd w:id="0"/>
    <w:p w14:paraId="0E99D7D4" w14:textId="3DF87099" w:rsidR="0025237F" w:rsidRPr="0025237F" w:rsidRDefault="0025237F" w:rsidP="0025237F">
      <w:pPr>
        <w:spacing w:after="160" w:line="259" w:lineRule="auto"/>
        <w:ind w:left="284" w:right="320"/>
        <w:rPr>
          <w:rFonts w:ascii="Calibri" w:eastAsia="Calibri" w:hAnsi="Calibri" w:cs="Calibri"/>
          <w:b/>
          <w:color w:val="1155CC"/>
          <w:sz w:val="28"/>
          <w:szCs w:val="28"/>
          <w:lang w:val="en-GB"/>
        </w:rPr>
      </w:pPr>
      <w:r>
        <w:rPr>
          <w:rFonts w:ascii="Calibri" w:eastAsia="Calibri" w:hAnsi="Calibri" w:cs="Calibri"/>
          <w:b/>
          <w:color w:val="1155CC"/>
          <w:sz w:val="28"/>
          <w:szCs w:val="28"/>
          <w:lang w:val="en-GB"/>
        </w:rPr>
        <w:br/>
        <w:t>Journal of Palestine Studies</w:t>
      </w:r>
      <w:r>
        <w:rPr>
          <w:rFonts w:ascii="Calibri" w:eastAsia="Calibri" w:hAnsi="Calibri" w:cs="Calibri"/>
          <w:b/>
          <w:color w:val="1155CC"/>
          <w:sz w:val="28"/>
          <w:szCs w:val="28"/>
          <w:lang w:val="en-GB"/>
        </w:rPr>
        <w:br/>
      </w:r>
    </w:p>
    <w:p w14:paraId="57728E2F" w14:textId="1EE2EFFF" w:rsidR="0025237F" w:rsidRPr="0025237F" w:rsidRDefault="0025237F" w:rsidP="0025237F">
      <w:pPr>
        <w:spacing w:after="280" w:line="240" w:lineRule="auto"/>
        <w:ind w:left="284"/>
        <w:rPr>
          <w:sz w:val="24"/>
          <w:szCs w:val="24"/>
          <w:lang w:val="en-US"/>
        </w:rPr>
      </w:pPr>
      <w:r w:rsidRPr="0025237F">
        <w:rPr>
          <w:sz w:val="24"/>
          <w:szCs w:val="24"/>
          <w:lang w:val="en-US"/>
        </w:rPr>
        <w:t xml:space="preserve">The </w:t>
      </w:r>
      <w:r w:rsidRPr="0025237F">
        <w:rPr>
          <w:i/>
          <w:iCs/>
          <w:sz w:val="24"/>
          <w:szCs w:val="24"/>
          <w:lang w:val="en-US"/>
        </w:rPr>
        <w:t>Journal of Palestine Studies</w:t>
      </w:r>
      <w:r w:rsidRPr="0025237F">
        <w:rPr>
          <w:sz w:val="24"/>
          <w:szCs w:val="24"/>
          <w:lang w:val="en-US"/>
        </w:rPr>
        <w:t> (JPS) is a refereed multidisciplinary journal published by Routledge, Taylor &amp; Francis on behalf of the Institute for Palestine Studies. Since its founding in 1971, JPS has been the English-language academic journal of record on Palestinian affairs. The Journal publishes original articles that span the humanities and social sciences, including, but not limited to, history, political science, international relations, law, economic development, geography, sociology and anthropology/ethnography, as well as gender and queer studies, literature, and the arts. Contributions on communities that have historical, political, and cultural ties to Palestine are also of interest to the Journal.</w:t>
      </w:r>
    </w:p>
    <w:p w14:paraId="3EF9A2B4" w14:textId="33D6EEA9" w:rsidR="0025237F" w:rsidRPr="0025237F" w:rsidRDefault="0025237F" w:rsidP="0025237F">
      <w:pPr>
        <w:spacing w:after="280" w:line="240" w:lineRule="auto"/>
        <w:ind w:left="284"/>
        <w:rPr>
          <w:sz w:val="24"/>
          <w:szCs w:val="24"/>
          <w:lang w:val="en-GB"/>
        </w:rPr>
      </w:pPr>
      <w:r w:rsidRPr="0071570F">
        <w:rPr>
          <w:sz w:val="24"/>
          <w:szCs w:val="24"/>
        </w:rPr>
        <w:t>Impact score</w:t>
      </w:r>
      <w:r>
        <w:rPr>
          <w:sz w:val="24"/>
          <w:szCs w:val="24"/>
        </w:rPr>
        <w:t>: 0.</w:t>
      </w:r>
      <w:r>
        <w:rPr>
          <w:sz w:val="24"/>
          <w:szCs w:val="24"/>
          <w:lang w:val="en-GB"/>
        </w:rPr>
        <w:t>59</w:t>
      </w:r>
    </w:p>
    <w:p w14:paraId="6A807A76" w14:textId="441428A4" w:rsidR="0025237F" w:rsidRDefault="0025237F" w:rsidP="0025237F">
      <w:pPr>
        <w:shd w:val="clear" w:color="auto" w:fill="FFFFFF"/>
        <w:ind w:left="284"/>
        <w:rPr>
          <w:color w:val="333333"/>
          <w:sz w:val="24"/>
          <w:szCs w:val="24"/>
          <w:lang w:val="en-US"/>
        </w:rPr>
      </w:pPr>
      <w:r w:rsidRPr="0025237F">
        <w:rPr>
          <w:color w:val="333333"/>
          <w:sz w:val="24"/>
          <w:szCs w:val="24"/>
          <w:lang w:val="en-US"/>
        </w:rPr>
        <w:t>Abdou, I. M., &amp; Abu-</w:t>
      </w:r>
      <w:proofErr w:type="spellStart"/>
      <w:r w:rsidRPr="0025237F">
        <w:rPr>
          <w:color w:val="333333"/>
          <w:sz w:val="24"/>
          <w:szCs w:val="24"/>
          <w:lang w:val="en-US"/>
        </w:rPr>
        <w:t>Remaileh</w:t>
      </w:r>
      <w:proofErr w:type="spellEnd"/>
      <w:r w:rsidRPr="0025237F">
        <w:rPr>
          <w:color w:val="333333"/>
          <w:sz w:val="24"/>
          <w:szCs w:val="24"/>
          <w:lang w:val="en-US"/>
        </w:rPr>
        <w:t>, R. (2022). A Literary </w:t>
      </w:r>
      <w:r w:rsidRPr="0025237F">
        <w:rPr>
          <w:i/>
          <w:iCs/>
          <w:color w:val="333333"/>
          <w:sz w:val="24"/>
          <w:szCs w:val="24"/>
          <w:lang w:val="en-US"/>
        </w:rPr>
        <w:t>Nahda</w:t>
      </w:r>
      <w:r w:rsidRPr="0025237F">
        <w:rPr>
          <w:color w:val="333333"/>
          <w:sz w:val="24"/>
          <w:szCs w:val="24"/>
          <w:lang w:val="en-US"/>
        </w:rPr>
        <w:t> Interrupted: Pre-Nakba Palestinian Literature as </w:t>
      </w:r>
      <w:r w:rsidRPr="0025237F">
        <w:rPr>
          <w:i/>
          <w:iCs/>
          <w:color w:val="333333"/>
          <w:sz w:val="24"/>
          <w:szCs w:val="24"/>
          <w:lang w:val="en-US"/>
        </w:rPr>
        <w:t xml:space="preserve">Adab </w:t>
      </w:r>
      <w:proofErr w:type="spellStart"/>
      <w:r w:rsidRPr="0025237F">
        <w:rPr>
          <w:i/>
          <w:iCs/>
          <w:color w:val="333333"/>
          <w:sz w:val="24"/>
          <w:szCs w:val="24"/>
          <w:lang w:val="en-US"/>
        </w:rPr>
        <w:t>Maqalat</w:t>
      </w:r>
      <w:proofErr w:type="spellEnd"/>
      <w:r w:rsidRPr="0025237F">
        <w:rPr>
          <w:color w:val="333333"/>
          <w:sz w:val="24"/>
          <w:szCs w:val="24"/>
          <w:lang w:val="en-US"/>
        </w:rPr>
        <w:t>. </w:t>
      </w:r>
      <w:r w:rsidRPr="0025237F">
        <w:rPr>
          <w:i/>
          <w:iCs/>
          <w:color w:val="333333"/>
          <w:sz w:val="24"/>
          <w:szCs w:val="24"/>
          <w:lang w:val="en-US"/>
        </w:rPr>
        <w:t>Journal of Palestine Studies</w:t>
      </w:r>
      <w:r w:rsidRPr="0025237F">
        <w:rPr>
          <w:color w:val="333333"/>
          <w:sz w:val="24"/>
          <w:szCs w:val="24"/>
          <w:lang w:val="en-US"/>
        </w:rPr>
        <w:t>, </w:t>
      </w:r>
      <w:r w:rsidRPr="0025237F">
        <w:rPr>
          <w:i/>
          <w:iCs/>
          <w:color w:val="333333"/>
          <w:sz w:val="24"/>
          <w:szCs w:val="24"/>
          <w:lang w:val="en-US"/>
        </w:rPr>
        <w:t>51</w:t>
      </w:r>
      <w:r w:rsidRPr="0025237F">
        <w:rPr>
          <w:color w:val="333333"/>
          <w:sz w:val="24"/>
          <w:szCs w:val="24"/>
          <w:lang w:val="en-US"/>
        </w:rPr>
        <w:t xml:space="preserve">(3), 23–43. </w:t>
      </w:r>
      <w:hyperlink r:id="rId11" w:history="1">
        <w:r w:rsidRPr="00C42D21">
          <w:rPr>
            <w:rStyle w:val="Hyperlink"/>
            <w:sz w:val="24"/>
            <w:szCs w:val="24"/>
            <w:lang w:val="en-US"/>
          </w:rPr>
          <w:t>https://doi.org/10.1080/0377919X.2022.2103329</w:t>
        </w:r>
      </w:hyperlink>
    </w:p>
    <w:p w14:paraId="6D6E78DD" w14:textId="77777777" w:rsidR="0025237F" w:rsidRDefault="0025237F" w:rsidP="0025237F">
      <w:pPr>
        <w:shd w:val="clear" w:color="auto" w:fill="FFFFFF"/>
        <w:ind w:left="284"/>
        <w:rPr>
          <w:color w:val="333333"/>
          <w:sz w:val="24"/>
          <w:szCs w:val="24"/>
          <w:lang w:val="en-US"/>
        </w:rPr>
      </w:pPr>
    </w:p>
    <w:p w14:paraId="116AE649" w14:textId="7F046117" w:rsidR="0025237F" w:rsidRPr="0025237F" w:rsidRDefault="0025237F" w:rsidP="0025237F">
      <w:pPr>
        <w:spacing w:after="160" w:line="259" w:lineRule="auto"/>
        <w:ind w:left="284" w:right="320"/>
        <w:rPr>
          <w:rFonts w:ascii="Calibri" w:eastAsia="Calibri" w:hAnsi="Calibri" w:cs="Calibri"/>
          <w:b/>
          <w:color w:val="1155CC"/>
          <w:sz w:val="28"/>
          <w:szCs w:val="28"/>
          <w:lang w:val="en-GB"/>
        </w:rPr>
      </w:pPr>
      <w:r>
        <w:rPr>
          <w:rFonts w:ascii="Calibri" w:eastAsia="Calibri" w:hAnsi="Calibri" w:cs="Calibri"/>
          <w:b/>
          <w:color w:val="1155CC"/>
          <w:sz w:val="28"/>
          <w:szCs w:val="28"/>
          <w:lang w:val="en-GB"/>
        </w:rPr>
        <w:lastRenderedPageBreak/>
        <w:br/>
      </w:r>
      <w:r>
        <w:rPr>
          <w:rFonts w:ascii="Calibri" w:eastAsia="Calibri" w:hAnsi="Calibri" w:cs="Calibri"/>
          <w:b/>
          <w:color w:val="1155CC"/>
          <w:sz w:val="28"/>
          <w:szCs w:val="28"/>
          <w:lang w:val="en-GB"/>
        </w:rPr>
        <w:br/>
        <w:t>Journal of Modern Literature</w:t>
      </w:r>
      <w:r>
        <w:rPr>
          <w:rFonts w:ascii="Calibri" w:eastAsia="Calibri" w:hAnsi="Calibri" w:cs="Calibri"/>
          <w:b/>
          <w:color w:val="1155CC"/>
          <w:sz w:val="28"/>
          <w:szCs w:val="28"/>
          <w:lang w:val="en-GB"/>
        </w:rPr>
        <w:br/>
      </w:r>
    </w:p>
    <w:p w14:paraId="2886CC00" w14:textId="15780DB7" w:rsidR="0025237F" w:rsidRPr="0025237F" w:rsidRDefault="0025237F" w:rsidP="0025237F">
      <w:pPr>
        <w:spacing w:after="280" w:line="240" w:lineRule="auto"/>
        <w:ind w:left="284"/>
        <w:rPr>
          <w:sz w:val="24"/>
          <w:szCs w:val="24"/>
          <w:lang w:val="en-US"/>
        </w:rPr>
      </w:pPr>
      <w:r w:rsidRPr="0025237F">
        <w:rPr>
          <w:sz w:val="24"/>
          <w:szCs w:val="24"/>
          <w:lang w:val="en-US"/>
        </w:rPr>
        <w:t xml:space="preserve">More than four decades after its founding, the </w:t>
      </w:r>
      <w:r w:rsidRPr="0025237F">
        <w:rPr>
          <w:i/>
          <w:iCs/>
          <w:sz w:val="24"/>
          <w:szCs w:val="24"/>
          <w:lang w:val="en-US"/>
        </w:rPr>
        <w:t>Journal of Modern Literature</w:t>
      </w:r>
      <w:r w:rsidRPr="0025237F">
        <w:rPr>
          <w:sz w:val="24"/>
          <w:szCs w:val="24"/>
          <w:lang w:val="en-US"/>
        </w:rPr>
        <w:t xml:space="preserve"> remains a leading scholarly journal in the field of modern and contemporary literature and is widely recognized as such. It emphasizes scholarly studies of literature in all languages, as well as related arts and cultural artifacts, from 1900 to the present. International in its scope, its contributors include scholars from Australia, Canada, China, England, Denmark, France, Israel, Japan, Nigeria, Spain, and Turkey. </w:t>
      </w:r>
      <w:r>
        <w:rPr>
          <w:sz w:val="24"/>
          <w:szCs w:val="24"/>
          <w:lang w:val="en-US"/>
        </w:rPr>
        <w:br/>
      </w:r>
      <w:r>
        <w:rPr>
          <w:sz w:val="24"/>
          <w:szCs w:val="24"/>
        </w:rPr>
        <w:br/>
      </w:r>
      <w:r w:rsidRPr="0071570F">
        <w:rPr>
          <w:sz w:val="24"/>
          <w:szCs w:val="24"/>
        </w:rPr>
        <w:t>Impact score</w:t>
      </w:r>
      <w:r>
        <w:rPr>
          <w:sz w:val="24"/>
          <w:szCs w:val="24"/>
        </w:rPr>
        <w:t>: 0.</w:t>
      </w:r>
      <w:r>
        <w:rPr>
          <w:sz w:val="24"/>
          <w:szCs w:val="24"/>
          <w:lang w:val="en-GB"/>
        </w:rPr>
        <w:t>14</w:t>
      </w:r>
    </w:p>
    <w:p w14:paraId="328F836F" w14:textId="47A89437" w:rsidR="0025237F" w:rsidRPr="0025237F" w:rsidRDefault="0025237F" w:rsidP="0025237F">
      <w:pPr>
        <w:shd w:val="clear" w:color="auto" w:fill="FFFFFF"/>
        <w:ind w:left="284"/>
        <w:rPr>
          <w:color w:val="333333"/>
          <w:sz w:val="24"/>
          <w:szCs w:val="24"/>
          <w:lang w:val="en-GB"/>
        </w:rPr>
      </w:pPr>
      <w:r w:rsidRPr="0071570F">
        <w:rPr>
          <w:sz w:val="24"/>
          <w:szCs w:val="24"/>
        </w:rPr>
        <w:t>Meyers, H. (2010). On Homelands and Home-making</w:t>
      </w:r>
      <w:r>
        <w:rPr>
          <w:sz w:val="24"/>
          <w:szCs w:val="24"/>
          <w:lang w:val="en-GB"/>
        </w:rPr>
        <w:t>:</w:t>
      </w:r>
      <w:r w:rsidRPr="0071570F">
        <w:rPr>
          <w:sz w:val="24"/>
          <w:szCs w:val="24"/>
        </w:rPr>
        <w:t xml:space="preserve"> Rebecca Goldstein’s Mazel. </w:t>
      </w:r>
      <w:r w:rsidRPr="0071570F">
        <w:rPr>
          <w:i/>
          <w:iCs/>
          <w:sz w:val="24"/>
          <w:szCs w:val="24"/>
        </w:rPr>
        <w:t>Journal of Modern Literature</w:t>
      </w:r>
      <w:r w:rsidRPr="0071570F">
        <w:rPr>
          <w:sz w:val="24"/>
          <w:szCs w:val="24"/>
        </w:rPr>
        <w:t>, 33(3), 131–141. https://doi.org/10.2979/jml.2010.33.3.131</w:t>
      </w:r>
    </w:p>
    <w:p w14:paraId="4355AEE6" w14:textId="77777777" w:rsidR="0025237F" w:rsidRDefault="0025237F" w:rsidP="0025237F">
      <w:pPr>
        <w:shd w:val="clear" w:color="auto" w:fill="FFFFFF"/>
        <w:rPr>
          <w:color w:val="333333"/>
          <w:sz w:val="24"/>
          <w:szCs w:val="24"/>
          <w:lang w:val="en-GB"/>
        </w:rPr>
      </w:pPr>
    </w:p>
    <w:p w14:paraId="731F3E96" w14:textId="77777777" w:rsidR="0025237F" w:rsidRDefault="0025237F" w:rsidP="0025237F">
      <w:pPr>
        <w:shd w:val="clear" w:color="auto" w:fill="FFFFFF"/>
        <w:rPr>
          <w:color w:val="333333"/>
          <w:sz w:val="24"/>
          <w:szCs w:val="24"/>
          <w:lang w:val="en-GB"/>
        </w:rPr>
      </w:pPr>
    </w:p>
    <w:p w14:paraId="6DAEA9DD" w14:textId="77777777" w:rsidR="0025237F" w:rsidRDefault="0025237F" w:rsidP="0025237F">
      <w:pPr>
        <w:shd w:val="clear" w:color="auto" w:fill="FFFFFF"/>
        <w:rPr>
          <w:color w:val="333333"/>
          <w:sz w:val="24"/>
          <w:szCs w:val="24"/>
          <w:lang w:val="en-GB"/>
        </w:rPr>
      </w:pPr>
    </w:p>
    <w:p w14:paraId="770074FC" w14:textId="77777777" w:rsidR="0025237F" w:rsidRDefault="0025237F" w:rsidP="0025237F">
      <w:pPr>
        <w:shd w:val="clear" w:color="auto" w:fill="FFFFFF"/>
        <w:rPr>
          <w:color w:val="333333"/>
          <w:sz w:val="24"/>
          <w:szCs w:val="24"/>
          <w:lang w:val="en-GB"/>
        </w:rPr>
      </w:pPr>
    </w:p>
    <w:p w14:paraId="55AE2C87" w14:textId="77777777" w:rsidR="0025237F" w:rsidRPr="0025237F" w:rsidRDefault="0025237F" w:rsidP="0025237F">
      <w:pPr>
        <w:shd w:val="clear" w:color="auto" w:fill="FFFFFF"/>
        <w:rPr>
          <w:color w:val="333333"/>
          <w:sz w:val="24"/>
          <w:szCs w:val="24"/>
          <w:lang w:val="en-GB"/>
        </w:rPr>
      </w:pPr>
    </w:p>
    <w:p w14:paraId="33635F9E" w14:textId="037874F3" w:rsidR="00F17262" w:rsidRDefault="00F17262" w:rsidP="0025237F">
      <w:pPr>
        <w:widowControl w:val="0"/>
        <w:pBdr>
          <w:top w:val="nil"/>
          <w:left w:val="nil"/>
          <w:bottom w:val="nil"/>
          <w:right w:val="nil"/>
          <w:between w:val="nil"/>
        </w:pBdr>
        <w:spacing w:line="227" w:lineRule="auto"/>
        <w:ind w:left="284" w:hanging="1189"/>
        <w:rPr>
          <w:rFonts w:ascii="Times New Roman" w:eastAsia="Times New Roman" w:hAnsi="Times New Roman" w:cs="Times New Roman"/>
          <w:color w:val="00B0F0"/>
          <w:sz w:val="24"/>
          <w:szCs w:val="24"/>
        </w:rPr>
      </w:pPr>
    </w:p>
    <w:p w14:paraId="0657FF74" w14:textId="77777777" w:rsidR="00F17262" w:rsidRDefault="00F17262" w:rsidP="0025237F">
      <w:pPr>
        <w:widowControl w:val="0"/>
        <w:pBdr>
          <w:top w:val="nil"/>
          <w:left w:val="nil"/>
          <w:bottom w:val="nil"/>
          <w:right w:val="nil"/>
          <w:between w:val="nil"/>
        </w:pBdr>
        <w:spacing w:line="227" w:lineRule="auto"/>
        <w:ind w:left="284" w:hanging="1189"/>
        <w:rPr>
          <w:rFonts w:ascii="Tahoma" w:eastAsia="Tahoma" w:hAnsi="Tahoma" w:cs="Tahoma"/>
          <w:color w:val="1155CC"/>
          <w:sz w:val="24"/>
          <w:szCs w:val="24"/>
          <w:u w:val="single"/>
        </w:rPr>
      </w:pPr>
    </w:p>
    <w:p w14:paraId="24E53581" w14:textId="77777777" w:rsidR="00F17262" w:rsidRDefault="00F17262" w:rsidP="0025237F">
      <w:pPr>
        <w:widowControl w:val="0"/>
        <w:spacing w:before="188" w:line="259" w:lineRule="auto"/>
        <w:ind w:left="284"/>
        <w:rPr>
          <w:i/>
          <w:color w:val="333333"/>
          <w:sz w:val="24"/>
          <w:szCs w:val="24"/>
        </w:rPr>
      </w:pPr>
    </w:p>
    <w:p w14:paraId="084259FA" w14:textId="77777777" w:rsidR="00F17262" w:rsidRDefault="00F17262" w:rsidP="0025237F">
      <w:pPr>
        <w:spacing w:after="160" w:line="259" w:lineRule="auto"/>
        <w:ind w:left="284"/>
        <w:rPr>
          <w:b/>
          <w:sz w:val="27"/>
          <w:szCs w:val="27"/>
          <w:highlight w:val="white"/>
        </w:rPr>
      </w:pPr>
    </w:p>
    <w:p w14:paraId="74828390" w14:textId="77777777" w:rsidR="00F17262" w:rsidRDefault="00F17262" w:rsidP="0025237F">
      <w:pPr>
        <w:shd w:val="clear" w:color="auto" w:fill="FFFFFF"/>
        <w:spacing w:before="280" w:after="280" w:line="240" w:lineRule="auto"/>
        <w:ind w:left="284"/>
        <w:rPr>
          <w:highlight w:val="white"/>
        </w:rPr>
      </w:pPr>
    </w:p>
    <w:p w14:paraId="4DFE30E9" w14:textId="77777777" w:rsidR="00F17262" w:rsidRDefault="00F17262" w:rsidP="0025237F">
      <w:pPr>
        <w:widowControl w:val="0"/>
        <w:pBdr>
          <w:top w:val="nil"/>
          <w:left w:val="nil"/>
          <w:bottom w:val="nil"/>
          <w:right w:val="nil"/>
          <w:between w:val="nil"/>
        </w:pBdr>
        <w:spacing w:before="174" w:line="258" w:lineRule="auto"/>
        <w:ind w:left="284"/>
        <w:rPr>
          <w:rFonts w:ascii="Merriweather" w:eastAsia="Merriweather" w:hAnsi="Merriweather" w:cs="Merriweather"/>
          <w:b/>
          <w:color w:val="2A2A2A"/>
          <w:sz w:val="23"/>
          <w:szCs w:val="23"/>
          <w:highlight w:val="white"/>
        </w:rPr>
      </w:pPr>
    </w:p>
    <w:p w14:paraId="57AC2DAB" w14:textId="0986BFDA" w:rsidR="00F17262" w:rsidRDefault="00000000" w:rsidP="0025237F">
      <w:pPr>
        <w:widowControl w:val="0"/>
        <w:pBdr>
          <w:top w:val="nil"/>
          <w:left w:val="nil"/>
          <w:bottom w:val="nil"/>
          <w:right w:val="nil"/>
          <w:between w:val="nil"/>
        </w:pBdr>
        <w:spacing w:before="2675" w:line="199" w:lineRule="auto"/>
        <w:ind w:left="284"/>
        <w:rPr>
          <w:rFonts w:ascii="Calibri" w:eastAsia="Calibri" w:hAnsi="Calibri" w:cs="Calibri"/>
          <w:color w:val="FFC000"/>
          <w:sz w:val="24"/>
          <w:szCs w:val="24"/>
        </w:rPr>
      </w:pPr>
      <w:r>
        <w:rPr>
          <w:rFonts w:ascii="Tahoma" w:eastAsia="Tahoma" w:hAnsi="Tahoma" w:cs="Tahoma"/>
          <w:noProof/>
          <w:color w:val="222222"/>
          <w:sz w:val="24"/>
          <w:szCs w:val="24"/>
          <w:highlight w:val="white"/>
        </w:rPr>
        <w:drawing>
          <wp:inline distT="19050" distB="19050" distL="19050" distR="19050" wp14:anchorId="588147C1" wp14:editId="7AEF7AF1">
            <wp:extent cx="8003098" cy="2504661"/>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8007958" cy="2506182"/>
                    </a:xfrm>
                    <a:prstGeom prst="rect">
                      <a:avLst/>
                    </a:prstGeom>
                    <a:ln/>
                  </pic:spPr>
                </pic:pic>
              </a:graphicData>
            </a:graphic>
          </wp:inline>
        </w:drawing>
      </w:r>
    </w:p>
    <w:sectPr w:rsidR="00F17262" w:rsidSect="0025237F">
      <w:type w:val="continuous"/>
      <w:pgSz w:w="12240" w:h="15840"/>
      <w:pgMar w:top="585" w:right="13" w:bottom="16" w:left="0" w:header="0" w:footer="720" w:gutter="0"/>
      <w:cols w:space="720" w:equalWidth="0">
        <w:col w:w="1222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1336611-055E-41BC-8961-69349AC7050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CFE6574-F6AE-4A17-A4A5-F58142128760}"/>
    <w:embedItalic r:id="rId3" w:fontKey="{BA9D9DA9-01ED-463C-8D31-D9ECFDB29C39}"/>
  </w:font>
  <w:font w:name="Tahoma">
    <w:panose1 w:val="020B0604030504040204"/>
    <w:charset w:val="00"/>
    <w:family w:val="swiss"/>
    <w:pitch w:val="variable"/>
    <w:sig w:usb0="E1002EFF" w:usb1="C000605B" w:usb2="00000029" w:usb3="00000000" w:csb0="000101FF" w:csb1="00000000"/>
    <w:embedRegular r:id="rId4" w:fontKey="{B1155EBE-6CDE-47DB-A096-D300F0E056D3}"/>
    <w:embedBold r:id="rId5" w:fontKey="{C53A3566-8391-4E37-921C-9BAE7B5DD266}"/>
  </w:font>
  <w:font w:name="Calibri">
    <w:panose1 w:val="020F0502020204030204"/>
    <w:charset w:val="00"/>
    <w:family w:val="swiss"/>
    <w:pitch w:val="variable"/>
    <w:sig w:usb0="E4002EFF" w:usb1="C200247B" w:usb2="00000009" w:usb3="00000000" w:csb0="000001FF" w:csb1="00000000"/>
    <w:embedRegular r:id="rId6" w:fontKey="{B3686EF7-979F-4FCA-A69E-E54A8E635A70}"/>
    <w:embedBold r:id="rId7" w:fontKey="{DCFCEB2D-C761-4E8A-9B58-9E2B129285CA}"/>
  </w:font>
  <w:font w:name="Merriweather">
    <w:charset w:val="00"/>
    <w:family w:val="auto"/>
    <w:pitch w:val="variable"/>
    <w:sig w:usb0="20000207" w:usb1="00000002" w:usb2="00000000" w:usb3="00000000" w:csb0="00000197" w:csb1="00000000"/>
    <w:embedRegular r:id="rId8" w:fontKey="{80236790-5B55-4102-A53D-C59786E695B6}"/>
    <w:embedBold r:id="rId9" w:fontKey="{0F36D4D9-2C82-463C-8586-8907FA3B34E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A5F4E2CE-7D46-4D75-B83D-05F7E04702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86D7E"/>
    <w:multiLevelType w:val="multilevel"/>
    <w:tmpl w:val="7C94D1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76421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YwMzc1NjQ1MTW3MDFV0lEKTi0uzszPAykwqgUAM6TEjiwAAAA="/>
  </w:docVars>
  <w:rsids>
    <w:rsidRoot w:val="00F17262"/>
    <w:rsid w:val="000C52F3"/>
    <w:rsid w:val="0025237F"/>
    <w:rsid w:val="00376163"/>
    <w:rsid w:val="00476265"/>
    <w:rsid w:val="00B05DB5"/>
    <w:rsid w:val="00CC598A"/>
    <w:rsid w:val="00E92BBA"/>
    <w:rsid w:val="00EB3EF0"/>
    <w:rsid w:val="00F17262"/>
  </w:rsids>
  <m:mathPr>
    <m:mathFont m:val="Cambria Math"/>
    <m:brkBin m:val="before"/>
    <m:brkBinSub m:val="--"/>
    <m:smallFrac m:val="0"/>
    <m:dispDef/>
    <m:lMargin m:val="0"/>
    <m:rMargin m:val="0"/>
    <m:defJc m:val="centerGroup"/>
    <m:wrapIndent m:val="1440"/>
    <m:intLim m:val="subSup"/>
    <m:naryLim m:val="undOvr"/>
  </m:mathPr>
  <w:themeFontLang w:val="en-IL"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279177"/>
  <w15:docId w15:val="{E22BEC19-3E45-477F-B9BB-57A79517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IL" w:eastAsia="zh-CN"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37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25237F"/>
    <w:rPr>
      <w:color w:val="0000FF" w:themeColor="hyperlink"/>
      <w:u w:val="single"/>
    </w:rPr>
  </w:style>
  <w:style w:type="character" w:styleId="UnresolvedMention">
    <w:name w:val="Unresolved Mention"/>
    <w:basedOn w:val="DefaultParagraphFont"/>
    <w:uiPriority w:val="99"/>
    <w:semiHidden/>
    <w:unhideWhenUsed/>
    <w:rsid w:val="00252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163/1570064x-1234150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i.org/10.1080/0377919X.2022.2103329" TargetMode="External"/><Relationship Id="rId5" Type="http://schemas.openxmlformats.org/officeDocument/2006/relationships/webSettings" Target="webSettings.xml"/><Relationship Id="rId10" Type="http://schemas.openxmlformats.org/officeDocument/2006/relationships/hyperlink" Target="https://doi.org/10.1080/1475262X.2016.1248022" TargetMode="External"/><Relationship Id="rId4" Type="http://schemas.openxmlformats.org/officeDocument/2006/relationships/settings" Target="settings.xml"/><Relationship Id="rId9" Type="http://schemas.openxmlformats.org/officeDocument/2006/relationships/hyperlink" Target="https://doi.org/10.3366/hlps.2023.031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FBC7A-BDEA-4E2D-A29A-09CBB2612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689</Words>
  <Characters>4265</Characters>
  <Application>Microsoft Office Word</Application>
  <DocSecurity>0</DocSecurity>
  <Lines>101</Lines>
  <Paragraphs>18</Paragraphs>
  <ScaleCrop>false</ScaleCrop>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dc:creator>
  <cp:lastModifiedBy>Susan Doron</cp:lastModifiedBy>
  <cp:revision>2</cp:revision>
  <dcterms:created xsi:type="dcterms:W3CDTF">2024-10-21T12:12:00Z</dcterms:created>
  <dcterms:modified xsi:type="dcterms:W3CDTF">2024-10-21T12:12:00Z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3c70f23da977d2a9f7e1157b43f2bb30963a43eacc77562406fc52ee610e03f8</vt:lpwstr>
  </property>
</Properties>
</file>