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7E7A" w14:textId="0E7A2753" w:rsidR="00051730" w:rsidRPr="00051730" w:rsidRDefault="00051730" w:rsidP="00051730">
      <w:pPr>
        <w:rPr>
          <w:sz w:val="24"/>
          <w:szCs w:val="24"/>
        </w:rPr>
      </w:pPr>
      <w:r w:rsidRPr="00051730">
        <w:rPr>
          <w:sz w:val="24"/>
          <w:szCs w:val="24"/>
        </w:rPr>
        <w:t xml:space="preserve">Basic science research, towards </w:t>
      </w:r>
      <w:r w:rsidRPr="00051730">
        <w:rPr>
          <w:sz w:val="24"/>
          <w:szCs w:val="24"/>
        </w:rPr>
        <w:t>fulfillment of the requirements for</w:t>
      </w:r>
      <w:r w:rsidRPr="00051730">
        <w:rPr>
          <w:sz w:val="24"/>
          <w:szCs w:val="24"/>
        </w:rPr>
        <w:t xml:space="preserve"> internal medicine specialty training</w:t>
      </w:r>
    </w:p>
    <w:p w14:paraId="71E0CBBE" w14:textId="77777777" w:rsidR="00051730" w:rsidRDefault="00051730" w:rsidP="00051730"/>
    <w:p w14:paraId="0EBA394C" w14:textId="4362E6F5" w:rsidR="00051730" w:rsidRDefault="00051730" w:rsidP="00051730">
      <w:r>
        <w:t>Topic:</w:t>
      </w:r>
    </w:p>
    <w:p w14:paraId="7531EA54" w14:textId="67DFC5F5" w:rsidR="00051730" w:rsidRDefault="00051730" w:rsidP="00051730">
      <w:pPr>
        <w:pStyle w:val="Heading1"/>
      </w:pPr>
      <w:r w:rsidRPr="00063C18">
        <w:t>The influence of percutaneous c</w:t>
      </w:r>
      <w:r>
        <w:t xml:space="preserve">holecystostomy on the prognosis </w:t>
      </w:r>
      <w:r w:rsidRPr="00063C18">
        <w:t>of patients with acute cholecystitis.</w:t>
      </w:r>
    </w:p>
    <w:p w14:paraId="735A8DE6" w14:textId="77777777" w:rsidR="00051730" w:rsidRDefault="00051730">
      <w:pPr>
        <w:rPr>
          <w:rFonts w:asciiTheme="majorHAnsi" w:eastAsiaTheme="majorEastAsia" w:hAnsiTheme="majorHAnsi" w:cstheme="majorBidi"/>
          <w:color w:val="2F5496" w:themeColor="accent1" w:themeShade="BF"/>
          <w:sz w:val="32"/>
          <w:szCs w:val="32"/>
        </w:rPr>
      </w:pPr>
      <w:r>
        <w:br w:type="page"/>
      </w:r>
    </w:p>
    <w:p w14:paraId="5AAC60F8" w14:textId="7DA9BA3C" w:rsidR="00F34B94" w:rsidRDefault="00F34B94" w:rsidP="004D77B5">
      <w:pPr>
        <w:pStyle w:val="Heading1"/>
      </w:pPr>
      <w:r>
        <w:lastRenderedPageBreak/>
        <w:t>Introduction</w:t>
      </w:r>
    </w:p>
    <w:p w14:paraId="0A2531C9" w14:textId="108B0613" w:rsidR="00E45A5E" w:rsidRDefault="00722309" w:rsidP="004D77B5">
      <w:r>
        <w:t>Acute c</w:t>
      </w:r>
      <w:r w:rsidR="00E45A5E">
        <w:t xml:space="preserve">holecystitis </w:t>
      </w:r>
      <w:r>
        <w:t xml:space="preserve">(AC) </w:t>
      </w:r>
      <w:r w:rsidR="00E45A5E">
        <w:t>is an infectious disorder</w:t>
      </w:r>
      <w:r w:rsidR="00F34B94">
        <w:t xml:space="preserve">, </w:t>
      </w:r>
      <w:r w:rsidR="00E45A5E">
        <w:t xml:space="preserve">most commonly </w:t>
      </w:r>
      <w:r w:rsidR="00B47880">
        <w:t xml:space="preserve">occurring </w:t>
      </w:r>
      <w:r w:rsidR="00F34B94">
        <w:t>in patients with gallstones (cholelithiasis) which obs</w:t>
      </w:r>
      <w:r w:rsidR="00B47880">
        <w:t>truct the cystic duct. L</w:t>
      </w:r>
      <w:r w:rsidR="00F34B94">
        <w:t>ess commonly</w:t>
      </w:r>
      <w:r w:rsidR="00B47880">
        <w:t>, it is a result of</w:t>
      </w:r>
      <w:r w:rsidR="00E45A5E">
        <w:t xml:space="preserve"> other abdominal </w:t>
      </w:r>
      <w:r w:rsidR="00F34B94">
        <w:t>disorders</w:t>
      </w:r>
      <w:r w:rsidR="00B47880">
        <w:t xml:space="preserve">. </w:t>
      </w:r>
    </w:p>
    <w:p w14:paraId="7793F3A1" w14:textId="531FC470" w:rsidR="002C6925" w:rsidRDefault="00E45A5E" w:rsidP="004D77B5">
      <w:r>
        <w:t>In most patients, this obstruction</w:t>
      </w:r>
      <w:r w:rsidR="00B47880">
        <w:t xml:space="preserve"> blocks outflow through the</w:t>
      </w:r>
      <w:r>
        <w:t xml:space="preserve"> cystic duct</w:t>
      </w:r>
      <w:r w:rsidR="00B47880">
        <w:t xml:space="preserve">, leading </w:t>
      </w:r>
      <w:r>
        <w:t xml:space="preserve">to increased pressure within the gallbladder, which continues secreting mucus </w:t>
      </w:r>
      <w:r w:rsidR="00B47880">
        <w:t xml:space="preserve">from epithelial cells of the gallbladder wall. The rising pressure leads to decreased blood flow, ischemia of the gallbladder wall, and even hydrops of the gallbladder. </w:t>
      </w:r>
      <w:r w:rsidR="00C36968">
        <w:t xml:space="preserve">Stasis of </w:t>
      </w:r>
      <w:r w:rsidR="00B47880">
        <w:t xml:space="preserve">obstructed </w:t>
      </w:r>
      <w:r w:rsidR="00C36968">
        <w:t xml:space="preserve">bile </w:t>
      </w:r>
      <w:r w:rsidR="00B47880">
        <w:t xml:space="preserve">allows </w:t>
      </w:r>
      <w:r w:rsidR="00C36968">
        <w:t>bacteri</w:t>
      </w:r>
      <w:r w:rsidR="00B47880">
        <w:t>a</w:t>
      </w:r>
      <w:r w:rsidR="00C36968">
        <w:t xml:space="preserve"> </w:t>
      </w:r>
      <w:r w:rsidR="00B47880">
        <w:t>to colonize the gallbladder, producing infection</w:t>
      </w:r>
      <w:r w:rsidR="00C36968">
        <w:t xml:space="preserve">, usually due to </w:t>
      </w:r>
      <w:r w:rsidR="001B581C">
        <w:rPr>
          <w:i/>
          <w:iCs/>
        </w:rPr>
        <w:t>Escherichia</w:t>
      </w:r>
      <w:r w:rsidR="00C36968" w:rsidRPr="001B581C">
        <w:rPr>
          <w:i/>
          <w:iCs/>
        </w:rPr>
        <w:t xml:space="preserve"> coli</w:t>
      </w:r>
      <w:r w:rsidR="00C36968">
        <w:t xml:space="preserve">, </w:t>
      </w:r>
      <w:r w:rsidR="00C36968" w:rsidRPr="00B47880">
        <w:rPr>
          <w:i/>
          <w:iCs/>
        </w:rPr>
        <w:t>Klebsiella</w:t>
      </w:r>
      <w:r w:rsidR="00B47880">
        <w:t xml:space="preserve">, </w:t>
      </w:r>
      <w:r w:rsidR="00B47880" w:rsidRPr="00B47880">
        <w:rPr>
          <w:i/>
          <w:iCs/>
        </w:rPr>
        <w:t>Clostridium</w:t>
      </w:r>
      <w:r w:rsidR="00B47880">
        <w:t xml:space="preserve">, and </w:t>
      </w:r>
      <w:r w:rsidR="00B47880" w:rsidRPr="00B47880">
        <w:rPr>
          <w:i/>
          <w:iCs/>
        </w:rPr>
        <w:t>Streptococcus</w:t>
      </w:r>
      <w:r w:rsidR="00894C6D">
        <w:t xml:space="preserve"> S</w:t>
      </w:r>
      <w:r w:rsidR="00C36968">
        <w:t>p</w:t>
      </w:r>
      <w:r w:rsidR="00B47880">
        <w:t>p</w:t>
      </w:r>
      <w:r w:rsidR="00C36968">
        <w:t xml:space="preserve">. </w:t>
      </w:r>
      <w:r w:rsidR="001B581C">
        <w:t>Unchecked progression of this process c</w:t>
      </w:r>
      <w:r w:rsidR="00C36968">
        <w:t xml:space="preserve">an lead to gangrene of the gallbladder wall, </w:t>
      </w:r>
      <w:r w:rsidR="002C6925">
        <w:t>in some cases even to perforation of the gallbladder and biliary peritonitis, which is a potentially fatal complication.</w:t>
      </w:r>
    </w:p>
    <w:p w14:paraId="01F6648C" w14:textId="54B53ED7" w:rsidR="00C36968" w:rsidRDefault="00C36968" w:rsidP="004D77B5">
      <w:r w:rsidRPr="00051730">
        <w:t xml:space="preserve"> </w:t>
      </w:r>
      <w:r w:rsidR="00051730">
        <w:t xml:space="preserve">Gallstones, which underlie the root of the </w:t>
      </w:r>
      <w:r w:rsidR="002C6925" w:rsidRPr="00051730">
        <w:t>inflammatory process</w:t>
      </w:r>
      <w:r w:rsidR="002C6925">
        <w:t>, are usually composed of cholesterol and calcium, or less commonly are pure cholesterol stones. The pathophysiology of gallstone formation involves a rise in cho</w:t>
      </w:r>
      <w:r w:rsidR="009C469B">
        <w:t xml:space="preserve">lesterol levels within the bile, rapid accumulation of </w:t>
      </w:r>
      <w:r w:rsidR="002C6925">
        <w:t xml:space="preserve">cholesterol crystals into cholesterol stones, and decreased </w:t>
      </w:r>
      <w:r w:rsidR="00C32A88">
        <w:t xml:space="preserve">motility of the gallbladder </w:t>
      </w:r>
      <w:r w:rsidR="009C469B">
        <w:t xml:space="preserve">further promoting </w:t>
      </w:r>
      <w:r w:rsidR="00C32A88">
        <w:t xml:space="preserve">crystallization of cholesterol. Risk factors for gallstones include, among others, obesity, pregnancy, </w:t>
      </w:r>
      <w:commentRangeStart w:id="0"/>
      <w:r w:rsidR="00C32A88">
        <w:t>high cholesterol intake</w:t>
      </w:r>
      <w:commentRangeEnd w:id="0"/>
      <w:r w:rsidR="009C469B">
        <w:rPr>
          <w:rStyle w:val="CommentReference"/>
        </w:rPr>
        <w:commentReference w:id="0"/>
      </w:r>
      <w:r w:rsidR="00C32A88">
        <w:t xml:space="preserve">, older age, and previous gastrointestinal surgeries. </w:t>
      </w:r>
      <w:r w:rsidR="009C469B">
        <w:rPr>
          <w:rFonts w:hint="cs"/>
        </w:rPr>
        <w:t>G</w:t>
      </w:r>
      <w:r w:rsidR="009C469B">
        <w:t xml:space="preserve">allstones are more commonly found </w:t>
      </w:r>
      <w:r w:rsidR="00471672">
        <w:t xml:space="preserve">in women than </w:t>
      </w:r>
      <w:r w:rsidR="009C469B">
        <w:t xml:space="preserve">in </w:t>
      </w:r>
      <w:r w:rsidR="00471672">
        <w:t xml:space="preserve">men, and </w:t>
      </w:r>
      <w:r w:rsidR="009C469B">
        <w:t>are</w:t>
      </w:r>
      <w:r w:rsidR="00471672">
        <w:t xml:space="preserve"> a generally common disorder</w:t>
      </w:r>
      <w:r w:rsidR="009C469B">
        <w:t>. Cholelithiasis affects a</w:t>
      </w:r>
      <w:r w:rsidR="00471672">
        <w:t>pproximately 10-20% of Americans</w:t>
      </w:r>
      <w:r w:rsidR="009C469B">
        <w:t>,</w:t>
      </w:r>
      <w:r w:rsidR="00471672">
        <w:t xml:space="preserve"> up t</w:t>
      </w:r>
      <w:r w:rsidR="009C469B">
        <w:t>o</w:t>
      </w:r>
      <w:r w:rsidR="00471672">
        <w:t xml:space="preserve"> a third of which will develop acute calculous cholecystitis. Surgical removal of the gallbladder(cholecystectomy), the primary treatment for cholecystitis, is the most common surgical procedure performed in general surgery, with up to 500,000 operations annually in the US alone</w:t>
      </w:r>
      <w:r w:rsidR="00051730">
        <w:rPr>
          <w:vertAlign w:val="superscript"/>
        </w:rPr>
        <w:t>1</w:t>
      </w:r>
      <w:r w:rsidR="00471672">
        <w:t>.</w:t>
      </w:r>
    </w:p>
    <w:p w14:paraId="2B7DF260" w14:textId="6C6DF788" w:rsidR="008E272C" w:rsidRDefault="00256325" w:rsidP="004D77B5">
      <w:r>
        <w:t xml:space="preserve">Pathologically, acute cholecystitis is </w:t>
      </w:r>
      <w:r w:rsidR="009C469B">
        <w:t>characterized</w:t>
      </w:r>
      <w:r>
        <w:t xml:space="preserve"> by a dilated gallbladder, with a reddish-viole</w:t>
      </w:r>
      <w:r w:rsidR="009C469B">
        <w:t>t color and covered in a layer o</w:t>
      </w:r>
      <w:r>
        <w:t xml:space="preserve">f fibrin, causing adhesion of the gallbladder to surrounding organs. The tissue surrounding the gallbladder is usually </w:t>
      </w:r>
      <w:r w:rsidR="009C469B">
        <w:t xml:space="preserve">also </w:t>
      </w:r>
      <w:r>
        <w:t>inflamed and edematous. Spreading and progression of the inf</w:t>
      </w:r>
      <w:r w:rsidR="009C469B">
        <w:t>lammation may lead to ischemia,</w:t>
      </w:r>
      <w:r>
        <w:t xml:space="preserve"> which if left untreated may allow </w:t>
      </w:r>
      <w:r w:rsidR="009C469B">
        <w:t xml:space="preserve">for </w:t>
      </w:r>
      <w:r>
        <w:t>proliferation of gas-forming bacteria, and lead to gangrenous cholecystitis.</w:t>
      </w:r>
    </w:p>
    <w:p w14:paraId="09E087BC" w14:textId="5E66EBFC" w:rsidR="008E272C" w:rsidRDefault="00773CF5" w:rsidP="004D77B5">
      <w:r>
        <w:t xml:space="preserve">Prognosis of acute cholecystitis </w:t>
      </w:r>
      <w:r w:rsidR="009C469B">
        <w:t xml:space="preserve">patients </w:t>
      </w:r>
      <w:r>
        <w:t xml:space="preserve">is generally </w:t>
      </w:r>
      <w:r w:rsidR="009C469B">
        <w:t>favorable</w:t>
      </w:r>
      <w:r>
        <w:t>. Most patients (about 75%) will report reduced symptoms</w:t>
      </w:r>
      <w:r w:rsidR="00380C57">
        <w:t xml:space="preserve"> within days of initial treatment. However, a quarter of patients may develop complications despite conservative treatment measures. </w:t>
      </w:r>
      <w:r w:rsidR="009C469B">
        <w:t>Complications</w:t>
      </w:r>
      <w:r w:rsidR="00380C57">
        <w:t xml:space="preserve"> include </w:t>
      </w:r>
      <w:r w:rsidR="009C469B">
        <w:t>empyema</w:t>
      </w:r>
      <w:r w:rsidR="00380C57">
        <w:t xml:space="preserve"> of the gallbladder, necrosis, perforation, fistulization with the intestines, gallstone bowel obstruction, cholangitis, pancreatitis, and others.</w:t>
      </w:r>
    </w:p>
    <w:p w14:paraId="52FC9E5B" w14:textId="48389DA4" w:rsidR="008E272C" w:rsidRDefault="00380C57" w:rsidP="004D77B5">
      <w:r>
        <w:t xml:space="preserve">Treatment for </w:t>
      </w:r>
      <w:r w:rsidR="00F70FD7">
        <w:t>cholecystitis</w:t>
      </w:r>
      <w:r>
        <w:t xml:space="preserve"> depends on the clinical state of the patient.</w:t>
      </w:r>
      <w:r w:rsidR="00F70FD7">
        <w:t xml:space="preserve"> </w:t>
      </w:r>
      <w:r>
        <w:t xml:space="preserve">In principle, the primary treatment for cholecystitis is </w:t>
      </w:r>
      <w:r w:rsidR="00F70FD7">
        <w:t>laparoscopic</w:t>
      </w:r>
      <w:r>
        <w:t xml:space="preserve"> surgical removal of the gallbladder (cholecystectomy)</w:t>
      </w:r>
      <w:r w:rsidR="00051730">
        <w:rPr>
          <w:vertAlign w:val="superscript"/>
        </w:rPr>
        <w:t>2</w:t>
      </w:r>
      <w:r>
        <w:t xml:space="preserve">. This </w:t>
      </w:r>
      <w:r w:rsidR="00F70FD7">
        <w:t xml:space="preserve">procedure </w:t>
      </w:r>
      <w:r>
        <w:t xml:space="preserve">prevents </w:t>
      </w:r>
      <w:r w:rsidR="00F70FD7">
        <w:t xml:space="preserve">disease </w:t>
      </w:r>
      <w:r>
        <w:t xml:space="preserve">recurrence </w:t>
      </w:r>
      <w:r w:rsidR="00F70FD7">
        <w:t xml:space="preserve">as </w:t>
      </w:r>
      <w:r>
        <w:t>well as complications. However, prior to surgery, initial treatment includes antibiotic coverage of common gastrointestinal bacteria (e.g. with thir</w:t>
      </w:r>
      <w:r w:rsidR="00F70FD7">
        <w:t xml:space="preserve">d-generation cephalosporins, or </w:t>
      </w:r>
      <w:commentRangeStart w:id="1"/>
      <w:r w:rsidR="00F70FD7">
        <w:t>broad-spectrum penicillins</w:t>
      </w:r>
      <w:commentRangeEnd w:id="1"/>
      <w:r w:rsidR="00F70FD7">
        <w:rPr>
          <w:rStyle w:val="CommentReference"/>
        </w:rPr>
        <w:commentReference w:id="1"/>
      </w:r>
      <w:r>
        <w:t xml:space="preserve">), fluid administration, pain control, correction of electrolyte </w:t>
      </w:r>
      <w:r w:rsidR="00256325">
        <w:t>abnormalities</w:t>
      </w:r>
      <w:r>
        <w:t xml:space="preserve">, </w:t>
      </w:r>
      <w:r w:rsidR="00256325">
        <w:t>and</w:t>
      </w:r>
      <w:r>
        <w:t xml:space="preserve"> </w:t>
      </w:r>
      <w:r w:rsidR="00256325">
        <w:t>complete fasting. Some patients can continue treatment as outpatients (after comprehensive risk assessment), though the vast majority will require hospitalization.</w:t>
      </w:r>
    </w:p>
    <w:p w14:paraId="0E0FCF3C" w14:textId="4DC07E73" w:rsidR="008E272C" w:rsidRDefault="00F70FD7" w:rsidP="004D77B5">
      <w:r>
        <w:t>The timing of</w:t>
      </w:r>
      <w:r w:rsidR="008E272C">
        <w:t xml:space="preserve"> cholecystectomy</w:t>
      </w:r>
      <w:r>
        <w:t xml:space="preserve"> also</w:t>
      </w:r>
      <w:r w:rsidR="008E272C">
        <w:t xml:space="preserve"> depends on pati</w:t>
      </w:r>
      <w:r>
        <w:t>ent’s clinical status. Ideally</w:t>
      </w:r>
      <w:r w:rsidR="008E272C">
        <w:t xml:space="preserve">, patients with </w:t>
      </w:r>
      <w:r>
        <w:t>uncomplicated</w:t>
      </w:r>
      <w:r w:rsidR="008E272C">
        <w:t xml:space="preserve"> acute cholecystitis</w:t>
      </w:r>
      <w:r w:rsidR="00DD1BA8">
        <w:t xml:space="preserve"> will undergo </w:t>
      </w:r>
      <w:r>
        <w:t>laparoscopic</w:t>
      </w:r>
      <w:r w:rsidR="00DD1BA8">
        <w:t xml:space="preserve"> </w:t>
      </w:r>
      <w:r>
        <w:t>cholecystectomy</w:t>
      </w:r>
      <w:r w:rsidR="00DD1BA8">
        <w:t xml:space="preserve"> within 72 hours of diagnosis</w:t>
      </w:r>
      <w:r w:rsidR="00051730">
        <w:rPr>
          <w:vertAlign w:val="superscript"/>
        </w:rPr>
        <w:t>3</w:t>
      </w:r>
      <w:r w:rsidR="00DD1BA8">
        <w:t xml:space="preserve">. </w:t>
      </w:r>
      <w:r w:rsidR="00E65AFB">
        <w:t xml:space="preserve">Early timing of surgery has been shown to reduce </w:t>
      </w:r>
      <w:r>
        <w:t>hospital stays</w:t>
      </w:r>
      <w:r w:rsidR="00E65AFB">
        <w:t>, duration of illness, and complications</w:t>
      </w:r>
      <w:r w:rsidR="00051730">
        <w:rPr>
          <w:vertAlign w:val="superscript"/>
        </w:rPr>
        <w:t>4,5,6</w:t>
      </w:r>
      <w:r w:rsidR="00E65AFB">
        <w:t>. However, this treat</w:t>
      </w:r>
      <w:r>
        <w:t xml:space="preserve">ment strategy is less commonly followed in </w:t>
      </w:r>
      <w:r w:rsidR="00E65AFB">
        <w:t xml:space="preserve">older patients, with </w:t>
      </w:r>
      <w:r w:rsidR="00E65AFB">
        <w:lastRenderedPageBreak/>
        <w:t>severe disease, who may be</w:t>
      </w:r>
      <w:r>
        <w:t xml:space="preserve"> hemodynamically</w:t>
      </w:r>
      <w:r w:rsidR="00E65AFB">
        <w:t xml:space="preserve"> unstable and who suffer from various comorbidities. I</w:t>
      </w:r>
      <w:r>
        <w:t>n</w:t>
      </w:r>
      <w:r w:rsidR="00E65AFB">
        <w:t xml:space="preserve"> such cases, early surgery has been associated with increased rates of post-operative complications, and </w:t>
      </w:r>
      <w:r>
        <w:t xml:space="preserve">it is the practice of </w:t>
      </w:r>
      <w:r w:rsidR="00E65AFB">
        <w:t>many surgeons</w:t>
      </w:r>
      <w:r>
        <w:t xml:space="preserve"> </w:t>
      </w:r>
      <w:r w:rsidR="00E65AFB">
        <w:t xml:space="preserve">to </w:t>
      </w:r>
      <w:r>
        <w:t xml:space="preserve">first </w:t>
      </w:r>
      <w:r w:rsidR="00E65AFB">
        <w:t>stabilize the patient under conservative treatment, referring the patients to delayed surgery up to 6 weeks or more after diagnosis</w:t>
      </w:r>
      <w:r w:rsidR="00051730">
        <w:rPr>
          <w:vertAlign w:val="superscript"/>
        </w:rPr>
        <w:t>3</w:t>
      </w:r>
      <w:r w:rsidR="00E65AFB">
        <w:t>.</w:t>
      </w:r>
      <w:r>
        <w:t xml:space="preserve"> </w:t>
      </w:r>
    </w:p>
    <w:p w14:paraId="2613C1E7" w14:textId="59D079A2" w:rsidR="00773CF5" w:rsidRDefault="00E65AFB" w:rsidP="004D77B5">
      <w:r>
        <w:t>In high-risk surgical patients, an alternative option is to insert a</w:t>
      </w:r>
      <w:r w:rsidR="00722309">
        <w:t xml:space="preserve"> drainage</w:t>
      </w:r>
      <w:r>
        <w:t xml:space="preserve"> </w:t>
      </w:r>
      <w:r w:rsidR="00722309">
        <w:t>tube</w:t>
      </w:r>
      <w:r>
        <w:t xml:space="preserve"> into the gallbladder – </w:t>
      </w:r>
      <w:r w:rsidR="00722309">
        <w:t>percutaneous</w:t>
      </w:r>
      <w:r>
        <w:t xml:space="preserve"> cholecystostomy</w:t>
      </w:r>
      <w:r w:rsidR="00722309">
        <w:t xml:space="preserve"> (PC)</w:t>
      </w:r>
      <w:r>
        <w:t xml:space="preserve"> under ultrasound guidance. This procedure allows pressure within the gallbladder to decrease immediately, preventing progression of the disease. This drainage procedure is usually not associated with major complications, and effects in significant improvement in severe cholecystitis patients. In </w:t>
      </w:r>
      <w:r w:rsidR="00722309">
        <w:t>patients</w:t>
      </w:r>
      <w:r>
        <w:t xml:space="preserve"> with acalculous cholecystitis, percutaneous </w:t>
      </w:r>
      <w:r w:rsidR="00722309">
        <w:t>drain</w:t>
      </w:r>
      <w:r>
        <w:t xml:space="preserve"> insertion combined with antibiotic therapy may </w:t>
      </w:r>
      <w:r w:rsidR="00722309">
        <w:t xml:space="preserve">even </w:t>
      </w:r>
      <w:r>
        <w:t>be the definitive treatment</w:t>
      </w:r>
      <w:r w:rsidR="00051730">
        <w:rPr>
          <w:vertAlign w:val="superscript"/>
        </w:rPr>
        <w:t>7</w:t>
      </w:r>
      <w:r>
        <w:t>, but in most cases is used only as bridging therapy until cholecystectomy is feasible</w:t>
      </w:r>
      <w:r w:rsidR="00051730">
        <w:rPr>
          <w:vertAlign w:val="superscript"/>
        </w:rPr>
        <w:t>8</w:t>
      </w:r>
      <w:r>
        <w:t>. Cholecystostomy insertion is a relatively safe procedure, with few complications</w:t>
      </w:r>
      <w:r w:rsidR="00051730">
        <w:rPr>
          <w:vertAlign w:val="superscript"/>
        </w:rPr>
        <w:t>9</w:t>
      </w:r>
      <w:r>
        <w:t>, and is also useful for cases of post-operative traumatic</w:t>
      </w:r>
      <w:r w:rsidR="00722309">
        <w:t xml:space="preserve"> (iatrogenic)</w:t>
      </w:r>
      <w:r>
        <w:t xml:space="preserve"> gallbladder disease</w:t>
      </w:r>
      <w:r w:rsidR="00051730">
        <w:rPr>
          <w:vertAlign w:val="superscript"/>
        </w:rPr>
        <w:t>10</w:t>
      </w:r>
      <w:r>
        <w:t>.</w:t>
      </w:r>
    </w:p>
    <w:p w14:paraId="461D5FB6" w14:textId="13D8C264" w:rsidR="00773CF5" w:rsidRDefault="00773CF5" w:rsidP="004D77B5">
      <w:r>
        <w:t xml:space="preserve">In recent years, there has been debate in the literature on how essential is percutaneous drainage in severe cases of acute cholecystitis, and regarding the timing of the procedure. Some </w:t>
      </w:r>
      <w:r w:rsidR="00722309">
        <w:t xml:space="preserve">posit </w:t>
      </w:r>
      <w:r>
        <w:t xml:space="preserve">that </w:t>
      </w:r>
      <w:r w:rsidR="00722309">
        <w:t>prolonged waiting and delayed</w:t>
      </w:r>
      <w:r>
        <w:t xml:space="preserve"> </w:t>
      </w:r>
      <w:r w:rsidR="00722309">
        <w:t>surgery</w:t>
      </w:r>
      <w:r>
        <w:t>, leads to higher rates of complications, as a result of fibrin accumulation leading to adhesion of the gallbladder to surrounding structures. In some</w:t>
      </w:r>
      <w:r w:rsidR="00722309">
        <w:t xml:space="preserve"> medical</w:t>
      </w:r>
      <w:r>
        <w:t xml:space="preserve"> centers, cholecystect</w:t>
      </w:r>
      <w:r w:rsidR="00722309">
        <w:t>omy is performed even in severely ill patients</w:t>
      </w:r>
      <w:r>
        <w:t xml:space="preserve">, reporting high </w:t>
      </w:r>
      <w:r w:rsidR="00722309">
        <w:t>measures</w:t>
      </w:r>
      <w:r>
        <w:t xml:space="preserve"> of safety and effectiveness</w:t>
      </w:r>
      <w:r w:rsidR="00051730">
        <w:rPr>
          <w:vertAlign w:val="superscript"/>
        </w:rPr>
        <w:t>11</w:t>
      </w:r>
      <w:r w:rsidR="00722309">
        <w:t>,</w:t>
      </w:r>
      <w:r>
        <w:t xml:space="preserve"> compared to the conservative </w:t>
      </w:r>
      <w:r w:rsidR="00722309">
        <w:t xml:space="preserve">approach advocating </w:t>
      </w:r>
      <w:r>
        <w:t>waiting for the patie</w:t>
      </w:r>
      <w:r w:rsidR="00722309">
        <w:t>nt to “cool down”, and postponement</w:t>
      </w:r>
      <w:r>
        <w:t xml:space="preserve"> surgery.</w:t>
      </w:r>
    </w:p>
    <w:p w14:paraId="1C0EE716" w14:textId="3A6D75C5" w:rsidR="00773CF5" w:rsidRDefault="00773CF5" w:rsidP="004D77B5">
      <w:r>
        <w:t xml:space="preserve">The objective of this study was to examine outcomes of percutaneous </w:t>
      </w:r>
      <w:r w:rsidR="00722309">
        <w:t xml:space="preserve">gallbladder </w:t>
      </w:r>
      <w:r>
        <w:t>drainage in patients hospitalized for acute calculous cholecystitis.</w:t>
      </w:r>
    </w:p>
    <w:p w14:paraId="40025149" w14:textId="3E03DCAE" w:rsidR="00471672" w:rsidRDefault="00722309" w:rsidP="004D77B5">
      <w:r>
        <w:t>Research</w:t>
      </w:r>
      <w:r w:rsidR="00471672">
        <w:t xml:space="preserve"> question: Does percutaneous gallbladder drainage reduce hospitalization times and reduce complications in patients with acute calculous cholecystitis.</w:t>
      </w:r>
    </w:p>
    <w:p w14:paraId="32B90611" w14:textId="36D535F8" w:rsidR="00471672" w:rsidRDefault="00471672" w:rsidP="004D77B5">
      <w:r>
        <w:t>Specific questions:</w:t>
      </w:r>
    </w:p>
    <w:p w14:paraId="2C844BAE" w14:textId="77CE9F6A" w:rsidR="00471672" w:rsidRDefault="00F94FCD" w:rsidP="004D77B5">
      <w:pPr>
        <w:pStyle w:val="ListParagraph"/>
        <w:numPr>
          <w:ilvl w:val="0"/>
          <w:numId w:val="1"/>
        </w:numPr>
      </w:pPr>
      <w:r>
        <w:t>Length of hospital stay in pati</w:t>
      </w:r>
      <w:r w:rsidR="00471672">
        <w:t>ents who underwent percutaneous gallbladder drainage, compared to patients who did not.</w:t>
      </w:r>
    </w:p>
    <w:p w14:paraId="6654DFD4" w14:textId="7AE17385" w:rsidR="00471672" w:rsidRDefault="00471672" w:rsidP="004D77B5">
      <w:pPr>
        <w:pStyle w:val="ListParagraph"/>
        <w:numPr>
          <w:ilvl w:val="0"/>
          <w:numId w:val="1"/>
        </w:numPr>
      </w:pPr>
      <w:r>
        <w:t xml:space="preserve">30-day and 1-year mortality after acute cholecystitis hospitalization in patients who underwent percutaneous gallbladder </w:t>
      </w:r>
      <w:r w:rsidR="00F94FCD">
        <w:t>drainage</w:t>
      </w:r>
      <w:r>
        <w:t xml:space="preserve"> vs those who did not.</w:t>
      </w:r>
    </w:p>
    <w:p w14:paraId="3582E5E3" w14:textId="0E0E290C" w:rsidR="00471672" w:rsidRDefault="00471672" w:rsidP="004D77B5">
      <w:pPr>
        <w:pStyle w:val="ListParagraph"/>
        <w:numPr>
          <w:ilvl w:val="0"/>
          <w:numId w:val="1"/>
        </w:numPr>
      </w:pPr>
      <w:r>
        <w:t xml:space="preserve">Number of recurrent hospitalizations of patients after </w:t>
      </w:r>
      <w:r w:rsidR="00F94FCD">
        <w:t>cholecystitis</w:t>
      </w:r>
      <w:r>
        <w:t xml:space="preserve"> in patients treated with or without percutaneous gallbladder drainage.</w:t>
      </w:r>
    </w:p>
    <w:p w14:paraId="6792F054" w14:textId="2E42B1F5" w:rsidR="00471672" w:rsidRDefault="00F94FCD" w:rsidP="004D77B5">
      <w:pPr>
        <w:pStyle w:val="Heading1"/>
      </w:pPr>
      <w:r>
        <w:t xml:space="preserve">Materials and </w:t>
      </w:r>
      <w:r w:rsidR="00471672">
        <w:t>Methods</w:t>
      </w:r>
    </w:p>
    <w:p w14:paraId="0FF42092" w14:textId="625EFBED" w:rsidR="00471672" w:rsidRDefault="00471672" w:rsidP="004D77B5">
      <w:r>
        <w:t xml:space="preserve">Study type: Retrospective </w:t>
      </w:r>
      <w:r w:rsidR="002F7E3A">
        <w:t>study of medical records</w:t>
      </w:r>
    </w:p>
    <w:p w14:paraId="70F3AA9B" w14:textId="5D83360C" w:rsidR="002F7E3A" w:rsidRDefault="002F7E3A" w:rsidP="004D77B5">
      <w:r>
        <w:t>Inclusion criteria: All patients admitted to the Wolfson Medical Center between the years 2008-2014 with a diagnosis of acute calculous cholecystitis</w:t>
      </w:r>
    </w:p>
    <w:p w14:paraId="0DBD6013" w14:textId="49A7015C" w:rsidR="002F7E3A" w:rsidRDefault="002F7E3A" w:rsidP="004D77B5">
      <w:r>
        <w:t>Exclusion criteria:</w:t>
      </w:r>
    </w:p>
    <w:p w14:paraId="26EBFBD8" w14:textId="7200A286" w:rsidR="002F7E3A" w:rsidRDefault="002F7E3A" w:rsidP="004D77B5">
      <w:pPr>
        <w:pStyle w:val="ListParagraph"/>
        <w:numPr>
          <w:ilvl w:val="0"/>
          <w:numId w:val="2"/>
        </w:numPr>
      </w:pPr>
      <w:r>
        <w:t xml:space="preserve">Patients having </w:t>
      </w:r>
      <w:r w:rsidR="00F94FCD">
        <w:t>undergone</w:t>
      </w:r>
      <w:r>
        <w:t xml:space="preserve"> cholecystectomy during their initial hospitalization, whether because of mild disease or because of radiologic diagnosis of necrotic disease.</w:t>
      </w:r>
    </w:p>
    <w:p w14:paraId="5C59CA86" w14:textId="5EBDA91C" w:rsidR="002F7E3A" w:rsidRDefault="002F7E3A" w:rsidP="004D77B5">
      <w:pPr>
        <w:pStyle w:val="ListParagraph"/>
        <w:numPr>
          <w:ilvl w:val="0"/>
          <w:numId w:val="2"/>
        </w:numPr>
      </w:pPr>
      <w:r>
        <w:lastRenderedPageBreak/>
        <w:t>Patients hospitalized due to recurrent episodes of cholecystitis, with the first episode prior to 2008.</w:t>
      </w:r>
    </w:p>
    <w:p w14:paraId="2D0D889D" w14:textId="5B822D86" w:rsidR="002F7E3A" w:rsidRPr="00F94FCD" w:rsidRDefault="002F7E3A" w:rsidP="004D77B5">
      <w:pPr>
        <w:pStyle w:val="Heading2"/>
      </w:pPr>
      <w:r w:rsidRPr="00F94FCD">
        <w:t>Methods:</w:t>
      </w:r>
    </w:p>
    <w:p w14:paraId="2C19560E" w14:textId="4A4AE34E" w:rsidR="002F7E3A" w:rsidRDefault="002F7E3A" w:rsidP="004D77B5">
      <w:r>
        <w:t xml:space="preserve">Patients were sorted into 2 groups based on whether they had undergone percutaneous gallbladder cholecystostomy. Demographic data of </w:t>
      </w:r>
      <w:r w:rsidR="00F94FCD">
        <w:t>patients</w:t>
      </w:r>
      <w:r>
        <w:t xml:space="preserve"> was gathered (age, sex, marital status), along with </w:t>
      </w:r>
      <w:r w:rsidR="00F94FCD">
        <w:t>severity</w:t>
      </w:r>
      <w:r>
        <w:t xml:space="preserve"> of disease (mild, moderate, and severe, based on established criteria</w:t>
      </w:r>
      <w:r w:rsidR="00FF308D">
        <w:rPr>
          <w:vertAlign w:val="superscript"/>
        </w:rPr>
        <w:t>3</w:t>
      </w:r>
      <w:r>
        <w:t xml:space="preserve">), ASA </w:t>
      </w:r>
      <w:r w:rsidR="00D65B30">
        <w:t>score</w:t>
      </w:r>
      <w:r>
        <w:t xml:space="preserve"> at admission, </w:t>
      </w:r>
      <w:r w:rsidR="00F94FCD">
        <w:t>laboratory</w:t>
      </w:r>
      <w:r>
        <w:t xml:space="preserve"> test results, background comorbidity, duration of first hospitalization, date of cholecystectomy, number of</w:t>
      </w:r>
      <w:r w:rsidR="00F94FCD">
        <w:t xml:space="preserve"> </w:t>
      </w:r>
      <w:r>
        <w:t xml:space="preserve">hospitalizations following initial admission, recurrent hospitalizations due to cholecystitis, and date </w:t>
      </w:r>
      <w:r w:rsidR="00D65B30">
        <w:t>of death</w:t>
      </w:r>
      <w:r>
        <w:t xml:space="preserve"> (where relevant). </w:t>
      </w:r>
      <w:r w:rsidR="00D65B30">
        <w:t>In</w:t>
      </w:r>
      <w:r>
        <w:t xml:space="preserve"> patients who underwent</w:t>
      </w:r>
      <w:r w:rsidR="00D65B30">
        <w:t xml:space="preserve"> PC</w:t>
      </w:r>
      <w:r>
        <w:t>, additional data</w:t>
      </w:r>
      <w:r w:rsidR="00D65B30">
        <w:t xml:space="preserve"> was collected regarding complications of</w:t>
      </w:r>
      <w:r>
        <w:t xml:space="preserve"> </w:t>
      </w:r>
      <w:r w:rsidR="00D65B30">
        <w:t xml:space="preserve">cholecystostomy tube </w:t>
      </w:r>
      <w:commentRangeStart w:id="2"/>
      <w:r w:rsidR="00D65B30">
        <w:t>including</w:t>
      </w:r>
      <w:commentRangeEnd w:id="2"/>
      <w:r w:rsidR="00D65B30">
        <w:rPr>
          <w:rStyle w:val="CommentReference"/>
        </w:rPr>
        <w:commentReference w:id="2"/>
      </w:r>
      <w:r w:rsidR="00D65B30">
        <w:t xml:space="preserve"> </w:t>
      </w:r>
      <w:r w:rsidR="006A656C">
        <w:t xml:space="preserve"> ___________.</w:t>
      </w:r>
    </w:p>
    <w:p w14:paraId="07D653B2" w14:textId="6CDB40AF" w:rsidR="002F7E3A" w:rsidRDefault="002F7E3A" w:rsidP="004D77B5">
      <w:pPr>
        <w:pStyle w:val="Heading2"/>
      </w:pPr>
      <w:r>
        <w:t>Statistical analysis:</w:t>
      </w:r>
    </w:p>
    <w:p w14:paraId="562B9413" w14:textId="41048620" w:rsidR="00346444" w:rsidRDefault="002F7E3A" w:rsidP="004D77B5">
      <w:r>
        <w:t xml:space="preserve">All data was gathered from medical records and entered into an Excel spreadsheet. </w:t>
      </w:r>
      <w:r w:rsidR="005D3BC7">
        <w:t>Statistical analyses were performed using SPSS software, version 23. Continuous variables were compared between the t</w:t>
      </w:r>
      <w:r w:rsidR="00D65B30">
        <w:rPr>
          <w:rFonts w:hint="cs"/>
          <w:rtl/>
        </w:rPr>
        <w:t>'</w:t>
      </w:r>
      <w:r w:rsidR="005D3BC7">
        <w:t xml:space="preserve">o groups using t-test. Non-continuous variables were compared using </w:t>
      </w:r>
      <w:r w:rsidR="00D65B30" w:rsidRPr="00D65B30">
        <w:t>chi-squared</w:t>
      </w:r>
      <w:r w:rsidR="005D3BC7">
        <w:t xml:space="preserve"> test. P-values less than 0.05 were considered significant.</w:t>
      </w:r>
      <w:r w:rsidR="00D65B30">
        <w:t xml:space="preserve"> In</w:t>
      </w:r>
      <w:r w:rsidR="005D3BC7">
        <w:t xml:space="preserve"> order to </w:t>
      </w:r>
      <w:r w:rsidR="00D65B30">
        <w:t>correct for selection</w:t>
      </w:r>
      <w:r w:rsidR="005D3BC7">
        <w:t xml:space="preserve"> bias </w:t>
      </w:r>
      <w:r w:rsidR="00D65B30">
        <w:t xml:space="preserve">towards </w:t>
      </w:r>
      <w:r w:rsidR="005D3BC7">
        <w:t>severe</w:t>
      </w:r>
      <w:r w:rsidR="00D65B30">
        <w:t xml:space="preserve"> </w:t>
      </w:r>
      <w:r w:rsidR="005D3BC7">
        <w:t xml:space="preserve">patients </w:t>
      </w:r>
      <w:r w:rsidR="00D65B30">
        <w:t xml:space="preserve">in the PC group </w:t>
      </w:r>
      <w:r w:rsidR="005D3BC7">
        <w:t xml:space="preserve">(vs those with milder disease, who received only antibiotic treatment without need for additional intervention), a linear regression model (of hospital stay duration and number of hospitalizations) and a logistic regression (for 30-day and 1-year mortality) were constructed </w:t>
      </w:r>
      <w:r w:rsidR="00D65B30">
        <w:t>PC patients with the controls</w:t>
      </w:r>
      <w:r w:rsidR="005D3BC7">
        <w:t xml:space="preserve">. </w:t>
      </w:r>
      <w:r w:rsidR="00D65B30">
        <w:t xml:space="preserve">Each </w:t>
      </w:r>
      <w:r w:rsidR="005D3BC7">
        <w:t xml:space="preserve">model included the </w:t>
      </w:r>
      <w:r w:rsidR="00D65B30">
        <w:t>respective</w:t>
      </w:r>
      <w:r w:rsidR="005D3BC7">
        <w:t xml:space="preserve"> study outcome</w:t>
      </w:r>
      <w:r w:rsidR="00D65B30">
        <w:t xml:space="preserve"> </w:t>
      </w:r>
      <w:r w:rsidR="005D3BC7">
        <w:t xml:space="preserve">as the </w:t>
      </w:r>
      <w:r w:rsidR="00D65B30">
        <w:t>dependent</w:t>
      </w:r>
      <w:r w:rsidR="005D3BC7">
        <w:t xml:space="preserve"> variable, with patient age, sex, disease severity, creatinine levels at admission, and ASA grade as independent variables. In light of the recognized association between obesity and mortality, </w:t>
      </w:r>
      <w:r w:rsidR="00D65B30">
        <w:t>a</w:t>
      </w:r>
      <w:r w:rsidR="005D3BC7">
        <w:t xml:space="preserve"> Cox survival model was used to include also obesity as an independent variable, in addition to the others.</w:t>
      </w:r>
    </w:p>
    <w:p w14:paraId="1CE31348" w14:textId="008AA2E6" w:rsidR="003E010B" w:rsidRDefault="003E010B" w:rsidP="004D77B5"/>
    <w:p w14:paraId="4E889C05" w14:textId="5F4BF88A" w:rsidR="00346444" w:rsidRDefault="00346444" w:rsidP="003E010B">
      <w:pPr>
        <w:pStyle w:val="Heading1"/>
      </w:pPr>
      <w:r>
        <w:t>Results</w:t>
      </w:r>
    </w:p>
    <w:p w14:paraId="15CE3548" w14:textId="40702B98" w:rsidR="00014094" w:rsidRDefault="00014094" w:rsidP="004D77B5">
      <w:r>
        <w:t xml:space="preserve">Within the timeframe of the study, 683 patients were admitted to surgical departments with a diagnosis of acute cholecystitis. Out of these, 69 (10%) required additional hospitalizations, with a total of 764 hospitalizations for </w:t>
      </w:r>
      <w:r w:rsidR="00F94FCD">
        <w:t>AC</w:t>
      </w:r>
      <w:r>
        <w:t xml:space="preserve">. The distribution of </w:t>
      </w:r>
      <w:r w:rsidR="00F94FCD">
        <w:t>AC</w:t>
      </w:r>
      <w:r>
        <w:t xml:space="preserve"> hospitalizations is presented in Figure 1. Demographic data of the 683 patients is listed in Table 1. Average age of study subjects was 62 years, with 336 </w:t>
      </w:r>
      <w:r w:rsidR="00F94FCD">
        <w:t>patients</w:t>
      </w:r>
      <w:r>
        <w:t xml:space="preserve"> over age 65.</w:t>
      </w:r>
    </w:p>
    <w:p w14:paraId="2E25E524" w14:textId="306D00AC" w:rsidR="00DE3157" w:rsidRDefault="005C33AD" w:rsidP="004D77B5">
      <w:r>
        <w:rPr>
          <w:rFonts w:asciiTheme="minorBidi" w:hAnsiTheme="minorBidi"/>
          <w:noProof/>
          <w:sz w:val="24"/>
          <w:szCs w:val="24"/>
          <w:rtl/>
          <w:lang w:val="he-IL"/>
        </w:rPr>
        <w:lastRenderedPageBreak/>
        <mc:AlternateContent>
          <mc:Choice Requires="wpg">
            <w:drawing>
              <wp:inline distT="0" distB="0" distL="0" distR="0" wp14:anchorId="60BF9130" wp14:editId="3031BBF3">
                <wp:extent cx="3881755" cy="3411855"/>
                <wp:effectExtent l="0" t="0" r="4445" b="17145"/>
                <wp:docPr id="5" name="Group 5"/>
                <wp:cNvGraphicFramePr/>
                <a:graphic xmlns:a="http://schemas.openxmlformats.org/drawingml/2006/main">
                  <a:graphicData uri="http://schemas.microsoft.com/office/word/2010/wordprocessingGroup">
                    <wpg:wgp>
                      <wpg:cNvGrpSpPr/>
                      <wpg:grpSpPr>
                        <a:xfrm>
                          <a:off x="0" y="0"/>
                          <a:ext cx="3881755" cy="3411855"/>
                          <a:chOff x="723331" y="218364"/>
                          <a:chExt cx="3882390" cy="3412149"/>
                        </a:xfrm>
                      </wpg:grpSpPr>
                      <wps:wsp>
                        <wps:cNvPr id="217" name="Text Box 2"/>
                        <wps:cNvSpPr txBox="1">
                          <a:spLocks noChangeArrowheads="1"/>
                        </wps:cNvSpPr>
                        <wps:spPr bwMode="auto">
                          <a:xfrm>
                            <a:off x="723331" y="218364"/>
                            <a:ext cx="3882390" cy="552450"/>
                          </a:xfrm>
                          <a:prstGeom prst="rect">
                            <a:avLst/>
                          </a:prstGeom>
                          <a:solidFill>
                            <a:srgbClr val="FFFFFF"/>
                          </a:solidFill>
                          <a:ln w="9525">
                            <a:noFill/>
                            <a:miter lim="800000"/>
                            <a:headEnd/>
                            <a:tailEnd/>
                          </a:ln>
                        </wps:spPr>
                        <wps:txbx>
                          <w:txbxContent>
                            <w:p w14:paraId="60838408" w14:textId="77777777" w:rsidR="005C33AD" w:rsidRDefault="005C33AD" w:rsidP="005C33AD">
                              <w:r w:rsidRPr="00DE3157">
                                <w:rPr>
                                  <w:b/>
                                  <w:bCs/>
                                </w:rPr>
                                <w:t>Figure 1</w:t>
                              </w:r>
                              <w:r w:rsidRPr="00DE3157">
                                <w:t>: Admissions for acute cholecystitis according to number of admissions per patient</w:t>
                              </w:r>
                            </w:p>
                          </w:txbxContent>
                        </wps:txbx>
                        <wps:bodyPr rot="0" vert="horz" wrap="square" lIns="91440" tIns="45720" rIns="91440" bIns="45720" anchor="t" anchorCtr="0">
                          <a:noAutofit/>
                        </wps:bodyPr>
                      </wps:wsp>
                      <wpg:graphicFrame>
                        <wpg:cNvPr id="10" name="Chart 10"/>
                        <wpg:cNvFrPr/>
                        <wpg:xfrm>
                          <a:off x="1023582" y="743803"/>
                          <a:ext cx="3056890" cy="2886710"/>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inline>
            </w:drawing>
          </mc:Choice>
          <mc:Fallback>
            <w:pict>
              <v:group w14:anchorId="60BF9130" id="Group 5" o:spid="_x0000_s1026" style="width:305.65pt;height:268.65pt;mso-position-horizontal-relative:char;mso-position-vertical-relative:line" coordorigin="7233,2183" coordsize="38823,34121"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Dh3PN0AAAAFAQAADwAAAGRycy9k&#10;b3ducmV2LnhtbEyPQUvDQBCF74L/YRnBm92sobXEbEop6qkItoL0Ns1Ok9DsbMhuk/Tfu3rRy8Dj&#10;Pd77Jl9NthUD9b5xrEHNEhDEpTMNVxo+968PSxA+IBtsHZOGK3lYFbc3OWbGjfxBwy5UIpawz1BD&#10;HUKXSenLmiz6meuIo3dyvcUQZV9J0+MYy20rH5NkIS02HBdq7GhTU3neXayGtxHHdapehu35tLke&#10;9vP3r60ire/vpvUziEBT+AvDD35EhyIyHd2FjRethvhI+L3RWyiVgjhqmKdPKcgil//pi28AAAD/&#10;/wMAUEsDBBQABgAIAAAAIQA9ljmiHgMAACYHAAAOAAAAZHJzL2Uyb0RvYy54bWykVdtu2zAMfR+w&#10;fxD0vvqeOEadomubokC3FWj3AYosXzBb0iQlTvf1o2THSdMVG7o8OKJEH5HnkPT5xa5r0ZYp3Qie&#10;4+DMx4hxKoqGVzn+/rT6lGKkDeEFaQVnOX5mGl8sP34472XGQlGLtmAKAQjXWS9zXBsjM8/TtGYd&#10;0WdCMg6HpVAdMWCqyisU6QG9a73Q92deL1QhlaBMa9i9Hg7x0uGXJaPmW1lqZlCbY4jNuKdyz7V9&#10;estzklWKyLqhYxjkHVF0pOFw6QR1TQxBG9W8guoaqoQWpTmjovNEWTaUuRwgm8A/yeZWiY10uVRZ&#10;X8mJJqD2hKd3w9Kv2weFmiLHCUacdCCRuxUllppeVhl43Cr5KB/UuFENls12V6rO/kMeaOdIfZ5I&#10;ZTuDKGxGaRrME0CncBbFQZCC4WinNWhj35uHURQFGIFDGKTRLN6f3xwwwmgB+o0YYRAvrI+3D8Gz&#10;kU6B9RKKSR/40v/H12NNJHMyaMvGyFcYzPeMPdlcP4sdCm1Q9nZws4whs4Nt6AtXG1reC/pDIy6u&#10;asIrdqmU6GtGCogvcOkcvTrgaAuy7r+IAoQhGyMc0Antb9B3JMCBvCQJ48SV/cQdyaTS5paJDtlF&#10;jhV0jbuHbO+1GWjeu1i1tWibYtW0rTNUtb5qFdoS6LCV+43KvHBrOepzvEjCxCFzYd93VdA1BiZA&#10;23Q5Tn37s6+TzPJywwu3NqRphzUE3XLQ3RJluRlYMrv1Dhzt5loUz0CZEkOnw2SCRS3UL4x66PIc&#10;658bohhG7R0H2hdBHNux4Iw4mYdgqOOT9fEJ4RSgcmwwGpZXxo0SGy8XlyBP2Ti+DpGMsUI12vhs&#10;jbpRs1LQasPOoaICuHxoQagPZRDYLivXgys1NeCJ/IEfRkkauvaZx1HqRwODk/5+Mkv3zROm6Ww+&#10;ALue2WONcdlMxuWbI+zvM5na8EFnmrnVOLfoqy78V6QRALg+GXt/ABhG6rWgm45xM3wjFGuJgQ+U&#10;rhupQeDMzjt1VwxN9yJjN1MmMsaxciyZ24JhfOxoqTq2nejZ9Hlb/gY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Fz9ENLJAAAAMAEAACAAAABkcnMvY2hhcnRzL19yZWxzL2NoYXJ0MS54&#10;bWwucmVsc4SPzUpDMRCF94LvEGZvc+tCitzcgqjQhQhSH2BM5v60uTMhGaV9e9OuWhBcHg7n+zjt&#10;+jBH80O5TMIOlosGDLGXMPHg4HP7ercCUxQ5YBQmB0cqsO5ub9oPiqh1VMYpFVMpXByMqunR2uJH&#10;mrEsJBHXppc8o9aYB5vQ73Ege980DzZfMqC7YppNcJA3YQlme0zV/D9b+n7y9Cz+eybWPxRWIr1/&#10;7chrhWIeSB08iexPjnN8k1BNLwelzBjBdq29+tn9AgAA//8DAFBLAwQUAAYACAAAACEArq+zK0QE&#10;AACZCgAAFQAAAGRycy9jaGFydHMvY2hhcnQxLnhtbKRWTW/bOBC9L7D/wSv0qkikPmwZsQtbjoti&#10;3W1RJ70z0tgWQpEqRSXxFv3vO5QoW2k3aLKbgyMNZ57mPc4Mefn2seSje1B1IcXMIRe+MwKRybwQ&#10;+5lzc712J86o1kzkjEsBM+cItfN2/vtvl9k0OzCltxXLYIQgop5mM+egdTX1vDo7QMnqC1mBwLWd&#10;VCXT+Kr2Xq7YA4KX3KO+H3stiGMB2H8AKFkh+nj1kni52xUZrGTWlCB0l4UCzjQqUB+Kqu7RMhIr&#10;+hNiWWRK1nKnLzJZeh1YTwrBSOSdWM1RpJxpIIkfju4Znzm+4xkjZ2LfGUC4N9vOqGQjcshTqQRu&#10;x8C/zKYLrkEJhEql0Ji11at8keIlU3dN5WK6FZK8LXihjy1tZ36J2OlBoh6jz/C1KRTUMycj4VmC&#10;8LUC+GNv4lG7r0iWhNNaHzl0hIhPDVvv9N02hTXj/JZld0abgfPJ9bxuAn8Uw0S1ZWQeWKPldaE5&#10;rICDhnygYzatuNQLBcw4cnaUjTZPJRMN45vTe7dyzdQedBdeCNySbpceP8jccoF8D53x+G/GR/vp&#10;CxpT4ic0Ikk8ifwgCWxQv05IMkkinwSEBkGUxC3tbPrQr4+DkJBwQpMgiQMahWEXfzitj8eTse+T&#10;ceIHQULp2Kx7P/JCw5lyVUBqutfQv2fqmEou+5ojHXwNyqwWec+jM0uVg7Jf7izwiLKa8dFZadSZ&#10;880trw1CXX1CJDYVcl1wjqmxKRdPDF5vgd0OMr2pdUegi0SEg3zYwB5E/iccn3zbrHxhOMAGzWVs&#10;KdN/sbKvOUsI7VtQZ7ttRuP/CVRm2qrF6QVA+7K5veWwLf62UIOQDTBUYlMIsL1qw+DREDDE8WnU&#10;qGLmfEuv4igYL4i7itepG+7iyE1WCXHHlIZpmITRZLn8fu656LU9R/p+63TrU8AtP+1Cxtqcaq0+&#10;w85kt5tvDwCa/PFm/YZO8ScyNdMuoVPKcIIbt0qnOJesMrbyKj3CsjDTzHjcz0mtRywvi9pUgUG5&#10;b+uvar/YOxPrTEX+a2dqnQP1AufAOof68Bwy5nQm1b20MuCjFQZ33pARTfmTPu+MPu8G+qDTSZ/u&#10;aEtxKMzfAU4JxlsZ2wOvtb5Qw3gS/Eq5OHnOo5eL+M959BrRpw7I/0yme+l1sYL0tfSknINg4qdp&#10;6Ear+MoN/SR1l1cBda/GdEWTcRAFaToo5/jV5RwOjo942ojiawPv7Sj/5ts/Nw1WKzdc+kt3QaPY&#10;XZNF4q9XV/6EhN9NyyMfzL7/3zYlmuxcOzXG/xwug4nwouEy8H/1cMHsT2nvClXrLceTe9HfJWjS&#10;gqPXebybl8GhZ56/FPVHwe0ctUMrL+pqibeSu3php9meVeexuTKz/CPeEj+w4WmA4KdzF5U2NxS+&#10;YpqNFB4bM0e9z7umN2fyTWVuQoNBjcHDmHabWrT2Rjn/BwAA//8DAFBLAQItABQABgAIAAAAIQD1&#10;avy5IAEAAF4CAAATAAAAAAAAAAAAAAAAAAAAAABbQ29udGVudF9UeXBlc10ueG1sUEsBAi0AFAAG&#10;AAgAAAAhADj9If/WAAAAlAEAAAsAAAAAAAAAAAAAAAAAUQEAAF9yZWxzLy5yZWxzUEsBAi0AFAAG&#10;AAgAAAAhADw4dzzdAAAABQEAAA8AAAAAAAAAAAAAAAAAUAIAAGRycy9kb3ducmV2LnhtbFBLAQIt&#10;ABQABgAIAAAAIQA9ljmiHgMAACYHAAAOAAAAAAAAAAAAAAAAAFoDAABkcnMvZTJvRG9jLnhtbFBL&#10;AQItABQABgAIAAAAIQCrFs1GuQAAACIBAAAZAAAAAAAAAAAAAAAAAKQGAABkcnMvX3JlbHMvZTJv&#10;RG9jLnhtbC5yZWxzUEsBAi0AFAAGAAgAAAAhAFz9ENLJAAAAMAEAACAAAAAAAAAAAAAAAAAAlAcA&#10;AGRycy9jaGFydHMvX3JlbHMvY2hhcnQxLnhtbC5yZWxzUEsBAi0AFAAGAAgAAAAhAK6vsytEBAAA&#10;mQoAABUAAAAAAAAAAAAAAAAAmwgAAGRycy9jaGFydHMvY2hhcnQxLnhtbFBLBQYAAAAABwAHAMsB&#10;AAASDQAAAAA=&#10;">
                <v:shapetype id="_x0000_t202" coordsize="21600,21600" o:spt="202" path="m,l,21600r21600,l21600,xe">
                  <v:stroke joinstyle="miter"/>
                  <v:path gradientshapeok="t" o:connecttype="rect"/>
                </v:shapetype>
                <v:shape id="Text Box 2" o:spid="_x0000_s1027" type="#_x0000_t202" style="position:absolute;left:7233;top:2183;width:3882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0838408" w14:textId="77777777" w:rsidR="005C33AD" w:rsidRDefault="005C33AD" w:rsidP="005C33AD">
                        <w:r w:rsidRPr="00DE3157">
                          <w:rPr>
                            <w:b/>
                            <w:bCs/>
                          </w:rPr>
                          <w:t>Figure 1</w:t>
                        </w:r>
                        <w:r w:rsidRPr="00DE3157">
                          <w:t>: Admissions for acute cholecystitis according to number of admissions per patient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8" type="#_x0000_t75" style="position:absolute;left:10220;top:7426;width:30607;height:28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ycxQAAANsAAAAPAAAAZHJzL2Rvd25yZXYueG1sRI/NasNA&#10;DITvhb7DokJvzbop5MfxOpSCIZRSGieQq+JVbFOv1ng3ifP20aHQm8SMZj5l69F16kJDaD0beJ0k&#10;oIgrb1uuDex3xcsCVIjIFjvPZOBGAdb540OGqfVX3tKljLWSEA4pGmhi7FOtQ9WQwzDxPbFoJz84&#10;jLIOtbYDXiXcdXqaJDPtsGVpaLCnj4aq3/LsDBxssbsV8+/j55vm8JMsv+absTLm+Wl8X4GKNMZ/&#10;89/1xgq+0MsvMoDO7wAAAP//AwBQSwECLQAUAAYACAAAACEA2+H2y+4AAACFAQAAEwAAAAAAAAAA&#10;AAAAAAAAAAAAW0NvbnRlbnRfVHlwZXNdLnhtbFBLAQItABQABgAIAAAAIQBa9CxbvwAAABUBAAAL&#10;AAAAAAAAAAAAAAAAAB8BAABfcmVscy8ucmVsc1BLAQItABQABgAIAAAAIQBR9hycxQAAANsAAAAP&#10;AAAAAAAAAAAAAAAAAAcCAABkcnMvZG93bnJldi54bWxQSwUGAAAAAAMAAwC3AAAA+QIAAAAA&#10;">
                  <v:imagedata r:id="rId10" o:title=""/>
                  <o:lock v:ext="edit" aspectratio="f"/>
                </v:shape>
                <w10:anchorlock/>
              </v:group>
            </w:pict>
          </mc:Fallback>
        </mc:AlternateContent>
      </w:r>
    </w:p>
    <w:p w14:paraId="097E4F56" w14:textId="28E14004" w:rsidR="00014094" w:rsidRDefault="00014094" w:rsidP="004D77B5">
      <w:r>
        <w:t xml:space="preserve">Table 2 details subject data regarding severity, </w:t>
      </w:r>
      <w:r w:rsidR="00DE3157">
        <w:t xml:space="preserve">average </w:t>
      </w:r>
      <w:r>
        <w:t>ASA</w:t>
      </w:r>
      <w:r w:rsidR="00DE3157">
        <w:t xml:space="preserve"> score</w:t>
      </w:r>
      <w:r>
        <w:t xml:space="preserve">, comorbidities, and blood tests on admission. </w:t>
      </w:r>
      <w:r w:rsidR="006D17FA">
        <w:t>Figure</w:t>
      </w:r>
      <w:r>
        <w:t xml:space="preserve"> 2 presents </w:t>
      </w:r>
      <w:r w:rsidR="00DE3157">
        <w:t>the distribution</w:t>
      </w:r>
      <w:r>
        <w:t xml:space="preserve"> of ASA grades among the subjects. Most </w:t>
      </w:r>
      <w:r w:rsidR="00457B32">
        <w:t xml:space="preserve">patients presented with mild disease (439 patients, 64.3%), and a minority suffered severe disease (39 patients, 5.7%). Most patients fell into ASA grades 2 and two (427, 62.5%), a few with grades 4 and 5 (23, 2.8%). The most </w:t>
      </w:r>
      <w:r w:rsidR="00DE3157">
        <w:t>prevalent</w:t>
      </w:r>
      <w:r w:rsidR="00457B32">
        <w:t xml:space="preserve"> comorbidity was diabetes mellitus (30.2%). Out of these, 50 patients (7.3%) underwent </w:t>
      </w:r>
      <w:r w:rsidR="00F94FCD">
        <w:t>PC</w:t>
      </w:r>
      <w:r w:rsidR="00457B32">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876"/>
        <w:gridCol w:w="3063"/>
      </w:tblGrid>
      <w:tr w:rsidR="00DE3157" w:rsidRPr="00DE3157" w14:paraId="47BA61A9" w14:textId="77777777" w:rsidTr="00DE3157">
        <w:tc>
          <w:tcPr>
            <w:tcW w:w="8296" w:type="dxa"/>
            <w:gridSpan w:val="3"/>
            <w:tcBorders>
              <w:top w:val="nil"/>
              <w:left w:val="nil"/>
              <w:bottom w:val="single" w:sz="8" w:space="0" w:color="auto"/>
              <w:right w:val="nil"/>
            </w:tcBorders>
            <w:hideMark/>
          </w:tcPr>
          <w:p w14:paraId="301C461C"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tl/>
              </w:rPr>
              <w:br w:type="page"/>
            </w:r>
            <w:r w:rsidRPr="00DE3157">
              <w:rPr>
                <w:rFonts w:ascii="Times New Roman" w:hAnsi="Times New Roman" w:cs="Times New Roman"/>
                <w:b/>
                <w:bCs/>
              </w:rPr>
              <w:t>Table 2</w:t>
            </w:r>
            <w:r w:rsidRPr="00DE3157">
              <w:rPr>
                <w:rFonts w:ascii="Times New Roman" w:hAnsi="Times New Roman" w:cs="Times New Roman"/>
              </w:rPr>
              <w:t>: Disease parameters, co-morbidities and laboratory values of study cohort</w:t>
            </w:r>
          </w:p>
        </w:tc>
      </w:tr>
      <w:tr w:rsidR="00DE3157" w:rsidRPr="00DE3157" w14:paraId="70BB23C2" w14:textId="77777777" w:rsidTr="00DE3157">
        <w:tc>
          <w:tcPr>
            <w:tcW w:w="5233" w:type="dxa"/>
            <w:gridSpan w:val="2"/>
            <w:hideMark/>
          </w:tcPr>
          <w:p w14:paraId="544160CB"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Disease severity</w:t>
            </w:r>
          </w:p>
        </w:tc>
        <w:tc>
          <w:tcPr>
            <w:tcW w:w="3063" w:type="dxa"/>
          </w:tcPr>
          <w:p w14:paraId="6B2B21C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r>
      <w:tr w:rsidR="00DE3157" w:rsidRPr="00DE3157" w14:paraId="6B0F4EE2" w14:textId="77777777" w:rsidTr="00DE3157">
        <w:tc>
          <w:tcPr>
            <w:tcW w:w="357" w:type="dxa"/>
          </w:tcPr>
          <w:p w14:paraId="5657B54C"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7DD30D22"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Mild</w:t>
            </w:r>
          </w:p>
        </w:tc>
        <w:tc>
          <w:tcPr>
            <w:tcW w:w="3063" w:type="dxa"/>
            <w:hideMark/>
          </w:tcPr>
          <w:p w14:paraId="24ABBA1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439 (64.3%)</w:t>
            </w:r>
          </w:p>
        </w:tc>
      </w:tr>
      <w:tr w:rsidR="00DE3157" w:rsidRPr="00DE3157" w14:paraId="5F9BF26B" w14:textId="77777777" w:rsidTr="00DE3157">
        <w:tc>
          <w:tcPr>
            <w:tcW w:w="357" w:type="dxa"/>
          </w:tcPr>
          <w:p w14:paraId="45523354"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7D8807D6"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Moderate</w:t>
            </w:r>
          </w:p>
        </w:tc>
        <w:tc>
          <w:tcPr>
            <w:tcW w:w="3063" w:type="dxa"/>
            <w:hideMark/>
          </w:tcPr>
          <w:p w14:paraId="66A19347"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205 (30.0%)</w:t>
            </w:r>
          </w:p>
        </w:tc>
      </w:tr>
      <w:tr w:rsidR="00DE3157" w:rsidRPr="00DE3157" w14:paraId="4074D0B9" w14:textId="77777777" w:rsidTr="00DE3157">
        <w:tc>
          <w:tcPr>
            <w:tcW w:w="357" w:type="dxa"/>
          </w:tcPr>
          <w:p w14:paraId="7CAFD4B9"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0080C5F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Severe</w:t>
            </w:r>
          </w:p>
        </w:tc>
        <w:tc>
          <w:tcPr>
            <w:tcW w:w="3063" w:type="dxa"/>
            <w:hideMark/>
          </w:tcPr>
          <w:p w14:paraId="6736E82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39 (5.7%)</w:t>
            </w:r>
          </w:p>
        </w:tc>
      </w:tr>
      <w:tr w:rsidR="00DE3157" w:rsidRPr="00DE3157" w14:paraId="7242572F" w14:textId="77777777" w:rsidTr="00DE3157">
        <w:tc>
          <w:tcPr>
            <w:tcW w:w="5233" w:type="dxa"/>
            <w:gridSpan w:val="2"/>
            <w:hideMark/>
          </w:tcPr>
          <w:p w14:paraId="5C78231F"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Average ASA score</w:t>
            </w:r>
          </w:p>
        </w:tc>
        <w:tc>
          <w:tcPr>
            <w:tcW w:w="3063" w:type="dxa"/>
            <w:hideMark/>
          </w:tcPr>
          <w:p w14:paraId="07E834E8"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2.12+0.87</w:t>
            </w:r>
          </w:p>
        </w:tc>
      </w:tr>
      <w:tr w:rsidR="00DE3157" w:rsidRPr="00DE3157" w14:paraId="58E259F7" w14:textId="77777777" w:rsidTr="00DE3157">
        <w:tc>
          <w:tcPr>
            <w:tcW w:w="5233" w:type="dxa"/>
            <w:gridSpan w:val="2"/>
            <w:hideMark/>
          </w:tcPr>
          <w:p w14:paraId="76179B09"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 xml:space="preserve">Co-morbidities </w:t>
            </w:r>
          </w:p>
        </w:tc>
        <w:tc>
          <w:tcPr>
            <w:tcW w:w="3063" w:type="dxa"/>
          </w:tcPr>
          <w:p w14:paraId="02A396F1"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r>
      <w:tr w:rsidR="00DE3157" w:rsidRPr="00DE3157" w14:paraId="51743476" w14:textId="77777777" w:rsidTr="00DE3157">
        <w:tc>
          <w:tcPr>
            <w:tcW w:w="357" w:type="dxa"/>
          </w:tcPr>
          <w:p w14:paraId="7EA23E5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313E3F69"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Diabetes mellitus</w:t>
            </w:r>
          </w:p>
        </w:tc>
        <w:tc>
          <w:tcPr>
            <w:tcW w:w="3063" w:type="dxa"/>
            <w:hideMark/>
          </w:tcPr>
          <w:p w14:paraId="3C1374C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30.2%</w:t>
            </w:r>
          </w:p>
        </w:tc>
      </w:tr>
      <w:tr w:rsidR="00DE3157" w:rsidRPr="00DE3157" w14:paraId="2925638B" w14:textId="77777777" w:rsidTr="00DE3157">
        <w:tc>
          <w:tcPr>
            <w:tcW w:w="357" w:type="dxa"/>
          </w:tcPr>
          <w:p w14:paraId="720D6CD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0815ED2C"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Ischemic heart disease</w:t>
            </w:r>
          </w:p>
        </w:tc>
        <w:tc>
          <w:tcPr>
            <w:tcW w:w="3063" w:type="dxa"/>
            <w:hideMark/>
          </w:tcPr>
          <w:p w14:paraId="4C385BC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20.6%</w:t>
            </w:r>
          </w:p>
        </w:tc>
      </w:tr>
      <w:tr w:rsidR="00DE3157" w:rsidRPr="00DE3157" w14:paraId="47354D19" w14:textId="77777777" w:rsidTr="00DE3157">
        <w:tc>
          <w:tcPr>
            <w:tcW w:w="357" w:type="dxa"/>
          </w:tcPr>
          <w:p w14:paraId="1A68903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38710A62"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COPD</w:t>
            </w:r>
          </w:p>
        </w:tc>
        <w:tc>
          <w:tcPr>
            <w:tcW w:w="3063" w:type="dxa"/>
            <w:hideMark/>
          </w:tcPr>
          <w:p w14:paraId="63A8363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10.8%</w:t>
            </w:r>
          </w:p>
        </w:tc>
      </w:tr>
      <w:tr w:rsidR="00DE3157" w:rsidRPr="00DE3157" w14:paraId="1146CB26" w14:textId="77777777" w:rsidTr="00DE3157">
        <w:tc>
          <w:tcPr>
            <w:tcW w:w="357" w:type="dxa"/>
          </w:tcPr>
          <w:p w14:paraId="62DBA5D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1F767A02"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Renal failure</w:t>
            </w:r>
          </w:p>
        </w:tc>
        <w:tc>
          <w:tcPr>
            <w:tcW w:w="3063" w:type="dxa"/>
            <w:hideMark/>
          </w:tcPr>
          <w:p w14:paraId="1F336217"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7.3%</w:t>
            </w:r>
          </w:p>
        </w:tc>
      </w:tr>
      <w:tr w:rsidR="00DE3157" w:rsidRPr="00DE3157" w14:paraId="7844A762" w14:textId="77777777" w:rsidTr="00DE3157">
        <w:tc>
          <w:tcPr>
            <w:tcW w:w="357" w:type="dxa"/>
          </w:tcPr>
          <w:p w14:paraId="63EC2C8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7674E199"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Obesity</w:t>
            </w:r>
          </w:p>
        </w:tc>
        <w:tc>
          <w:tcPr>
            <w:tcW w:w="3063" w:type="dxa"/>
            <w:hideMark/>
          </w:tcPr>
          <w:p w14:paraId="7CFFB160"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7.3%</w:t>
            </w:r>
          </w:p>
        </w:tc>
      </w:tr>
      <w:tr w:rsidR="00DE3157" w:rsidRPr="00DE3157" w14:paraId="50741E30" w14:textId="77777777" w:rsidTr="00DE3157">
        <w:tc>
          <w:tcPr>
            <w:tcW w:w="357" w:type="dxa"/>
          </w:tcPr>
          <w:p w14:paraId="7CD6500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44C8753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Biliary calculus</w:t>
            </w:r>
          </w:p>
        </w:tc>
        <w:tc>
          <w:tcPr>
            <w:tcW w:w="3063" w:type="dxa"/>
            <w:hideMark/>
          </w:tcPr>
          <w:p w14:paraId="59453E4E"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4.8%</w:t>
            </w:r>
          </w:p>
        </w:tc>
      </w:tr>
      <w:tr w:rsidR="00DE3157" w:rsidRPr="00DE3157" w14:paraId="2D34F071" w14:textId="77777777" w:rsidTr="00DE3157">
        <w:tc>
          <w:tcPr>
            <w:tcW w:w="357" w:type="dxa"/>
          </w:tcPr>
          <w:p w14:paraId="11B6E7D7"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30E8D2C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CVA</w:t>
            </w:r>
          </w:p>
        </w:tc>
        <w:tc>
          <w:tcPr>
            <w:tcW w:w="3063" w:type="dxa"/>
            <w:hideMark/>
          </w:tcPr>
          <w:p w14:paraId="6EEA4A6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1.6%</w:t>
            </w:r>
          </w:p>
        </w:tc>
      </w:tr>
      <w:tr w:rsidR="00DE3157" w:rsidRPr="00DE3157" w14:paraId="59C86566" w14:textId="77777777" w:rsidTr="00DE3157">
        <w:tc>
          <w:tcPr>
            <w:tcW w:w="357" w:type="dxa"/>
          </w:tcPr>
          <w:p w14:paraId="62F8DA51"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7FDC494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Cholecystostomy</w:t>
            </w:r>
          </w:p>
        </w:tc>
        <w:tc>
          <w:tcPr>
            <w:tcW w:w="3063" w:type="dxa"/>
            <w:hideMark/>
          </w:tcPr>
          <w:p w14:paraId="40F38880"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7.3%</w:t>
            </w:r>
          </w:p>
        </w:tc>
      </w:tr>
      <w:tr w:rsidR="00DE3157" w:rsidRPr="00DE3157" w14:paraId="28D312CD" w14:textId="77777777" w:rsidTr="00DE3157">
        <w:tc>
          <w:tcPr>
            <w:tcW w:w="357" w:type="dxa"/>
          </w:tcPr>
          <w:p w14:paraId="77E6DE28"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6EE5982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Cholecystectomy*</w:t>
            </w:r>
          </w:p>
        </w:tc>
        <w:tc>
          <w:tcPr>
            <w:tcW w:w="3063" w:type="dxa"/>
            <w:hideMark/>
          </w:tcPr>
          <w:p w14:paraId="790AA7C4"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41.6%</w:t>
            </w:r>
          </w:p>
        </w:tc>
      </w:tr>
      <w:tr w:rsidR="00DE3157" w:rsidRPr="00DE3157" w14:paraId="55CF303B" w14:textId="77777777" w:rsidTr="00DE3157">
        <w:tc>
          <w:tcPr>
            <w:tcW w:w="5233" w:type="dxa"/>
            <w:gridSpan w:val="2"/>
            <w:hideMark/>
          </w:tcPr>
          <w:p w14:paraId="4484FB0B"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Laboratory values</w:t>
            </w:r>
          </w:p>
        </w:tc>
        <w:tc>
          <w:tcPr>
            <w:tcW w:w="3063" w:type="dxa"/>
          </w:tcPr>
          <w:p w14:paraId="3C9FB428"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r>
      <w:tr w:rsidR="00DE3157" w:rsidRPr="00DE3157" w14:paraId="0166877C" w14:textId="77777777" w:rsidTr="00DE3157">
        <w:tc>
          <w:tcPr>
            <w:tcW w:w="357" w:type="dxa"/>
          </w:tcPr>
          <w:p w14:paraId="087A2F2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526F142D"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Hemoglobin (g/dL)</w:t>
            </w:r>
          </w:p>
        </w:tc>
        <w:tc>
          <w:tcPr>
            <w:tcW w:w="3063" w:type="dxa"/>
            <w:hideMark/>
          </w:tcPr>
          <w:p w14:paraId="0A65E09C"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13.3+1.7</w:t>
            </w:r>
          </w:p>
        </w:tc>
      </w:tr>
      <w:tr w:rsidR="00DE3157" w:rsidRPr="00DE3157" w14:paraId="55454522" w14:textId="77777777" w:rsidTr="00DE3157">
        <w:tc>
          <w:tcPr>
            <w:tcW w:w="357" w:type="dxa"/>
          </w:tcPr>
          <w:p w14:paraId="5568461C"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1C568481"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WBC (cells per cmm</w:t>
            </w:r>
            <w:r w:rsidRPr="00DE3157">
              <w:rPr>
                <w:rFonts w:ascii="Times New Roman" w:hAnsi="Times New Roman" w:cs="Times New Roman"/>
                <w:vertAlign w:val="superscript"/>
              </w:rPr>
              <w:t>3</w:t>
            </w:r>
            <w:r w:rsidRPr="00DE3157">
              <w:rPr>
                <w:rFonts w:ascii="Times New Roman" w:hAnsi="Times New Roman" w:cs="Times New Roman"/>
              </w:rPr>
              <w:t>)</w:t>
            </w:r>
          </w:p>
        </w:tc>
        <w:tc>
          <w:tcPr>
            <w:tcW w:w="3063" w:type="dxa"/>
            <w:hideMark/>
          </w:tcPr>
          <w:p w14:paraId="3E26101F"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12.7+4.8</w:t>
            </w:r>
          </w:p>
        </w:tc>
      </w:tr>
      <w:tr w:rsidR="00DE3157" w:rsidRPr="00DE3157" w14:paraId="0F6D74DA" w14:textId="77777777" w:rsidTr="00DE3157">
        <w:tc>
          <w:tcPr>
            <w:tcW w:w="357" w:type="dxa"/>
          </w:tcPr>
          <w:p w14:paraId="5D7A1B51"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3076D6D5"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Creatinine (mg/dL)</w:t>
            </w:r>
          </w:p>
        </w:tc>
        <w:tc>
          <w:tcPr>
            <w:tcW w:w="3063" w:type="dxa"/>
            <w:hideMark/>
          </w:tcPr>
          <w:p w14:paraId="5A1C6C24"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0.93+0.56</w:t>
            </w:r>
          </w:p>
        </w:tc>
      </w:tr>
      <w:tr w:rsidR="00DE3157" w:rsidRPr="00DE3157" w14:paraId="072610AB" w14:textId="77777777" w:rsidTr="00DE3157">
        <w:tc>
          <w:tcPr>
            <w:tcW w:w="357" w:type="dxa"/>
          </w:tcPr>
          <w:p w14:paraId="75288584"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hideMark/>
          </w:tcPr>
          <w:p w14:paraId="2E970D3E"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Total bilirubin (mg/dL</w:t>
            </w:r>
          </w:p>
        </w:tc>
        <w:tc>
          <w:tcPr>
            <w:tcW w:w="3063" w:type="dxa"/>
            <w:hideMark/>
          </w:tcPr>
          <w:p w14:paraId="73E3D9C3"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1.26+1.30</w:t>
            </w:r>
          </w:p>
        </w:tc>
      </w:tr>
      <w:tr w:rsidR="00DE3157" w:rsidRPr="00DE3157" w14:paraId="03824501" w14:textId="77777777" w:rsidTr="00DE3157">
        <w:tc>
          <w:tcPr>
            <w:tcW w:w="357" w:type="dxa"/>
            <w:tcBorders>
              <w:top w:val="nil"/>
              <w:left w:val="nil"/>
              <w:bottom w:val="single" w:sz="8" w:space="0" w:color="auto"/>
              <w:right w:val="nil"/>
            </w:tcBorders>
          </w:tcPr>
          <w:p w14:paraId="5A5A294A"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c>
          <w:tcPr>
            <w:tcW w:w="4876" w:type="dxa"/>
            <w:tcBorders>
              <w:top w:val="nil"/>
              <w:left w:val="nil"/>
              <w:bottom w:val="single" w:sz="8" w:space="0" w:color="auto"/>
              <w:right w:val="nil"/>
            </w:tcBorders>
            <w:hideMark/>
          </w:tcPr>
          <w:p w14:paraId="4FEEEC6D"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ALP (IU/dL)</w:t>
            </w:r>
          </w:p>
        </w:tc>
        <w:tc>
          <w:tcPr>
            <w:tcW w:w="3063" w:type="dxa"/>
            <w:tcBorders>
              <w:top w:val="nil"/>
              <w:left w:val="nil"/>
              <w:bottom w:val="single" w:sz="8" w:space="0" w:color="auto"/>
              <w:right w:val="nil"/>
            </w:tcBorders>
            <w:hideMark/>
          </w:tcPr>
          <w:p w14:paraId="1BF0E4B2" w14:textId="77777777"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110+101</w:t>
            </w:r>
          </w:p>
        </w:tc>
      </w:tr>
      <w:tr w:rsidR="00DE3157" w:rsidRPr="00DE3157" w14:paraId="3032DDED" w14:textId="77777777" w:rsidTr="00DE3157">
        <w:tc>
          <w:tcPr>
            <w:tcW w:w="357" w:type="dxa"/>
            <w:tcBorders>
              <w:top w:val="single" w:sz="8" w:space="0" w:color="auto"/>
              <w:left w:val="nil"/>
              <w:bottom w:val="nil"/>
              <w:right w:val="nil"/>
            </w:tcBorders>
          </w:tcPr>
          <w:p w14:paraId="379DDDA7" w14:textId="77777777" w:rsidR="00DE3157" w:rsidRPr="00DE3157" w:rsidRDefault="00DE3157" w:rsidP="004D77B5">
            <w:pPr>
              <w:pStyle w:val="ListParagraph"/>
              <w:numPr>
                <w:ilvl w:val="0"/>
                <w:numId w:val="3"/>
              </w:numPr>
              <w:autoSpaceDE w:val="0"/>
              <w:autoSpaceDN w:val="0"/>
              <w:adjustRightInd w:val="0"/>
              <w:spacing w:before="120" w:line="320" w:lineRule="atLeast"/>
              <w:rPr>
                <w:rFonts w:ascii="Times New Roman" w:hAnsi="Times New Roman" w:cs="Times New Roman"/>
              </w:rPr>
            </w:pPr>
          </w:p>
        </w:tc>
        <w:tc>
          <w:tcPr>
            <w:tcW w:w="7939" w:type="dxa"/>
            <w:gridSpan w:val="2"/>
            <w:tcBorders>
              <w:top w:val="single" w:sz="8" w:space="0" w:color="auto"/>
              <w:left w:val="nil"/>
              <w:bottom w:val="nil"/>
              <w:right w:val="nil"/>
            </w:tcBorders>
            <w:hideMark/>
          </w:tcPr>
          <w:p w14:paraId="4A8053FA" w14:textId="77777777" w:rsidR="005C33AD" w:rsidRDefault="00DE3157" w:rsidP="004D77B5">
            <w:pPr>
              <w:autoSpaceDE w:val="0"/>
              <w:autoSpaceDN w:val="0"/>
              <w:adjustRightInd w:val="0"/>
              <w:spacing w:before="120" w:line="320" w:lineRule="atLeast"/>
              <w:contextualSpacing/>
              <w:rPr>
                <w:rFonts w:ascii="Times New Roman" w:hAnsi="Times New Roman" w:cs="Times New Roman"/>
              </w:rPr>
            </w:pPr>
            <w:r w:rsidRPr="00DE3157">
              <w:rPr>
                <w:rFonts w:ascii="Times New Roman" w:hAnsi="Times New Roman" w:cs="Times New Roman"/>
              </w:rPr>
              <w:t>* -Number of patients undergoing elective cholecystectomy at the Wolfson Medical Center following admi</w:t>
            </w:r>
            <w:r w:rsidR="005C33AD">
              <w:rPr>
                <w:rFonts w:ascii="Times New Roman" w:hAnsi="Times New Roman" w:cs="Times New Roman"/>
              </w:rPr>
              <w:t>ssion.</w:t>
            </w:r>
          </w:p>
          <w:p w14:paraId="3E4D228A" w14:textId="3C2AA172" w:rsidR="00DE3157" w:rsidRPr="00DE3157" w:rsidRDefault="00DE3157" w:rsidP="004D77B5">
            <w:pPr>
              <w:autoSpaceDE w:val="0"/>
              <w:autoSpaceDN w:val="0"/>
              <w:adjustRightInd w:val="0"/>
              <w:spacing w:before="120" w:line="320" w:lineRule="atLeast"/>
              <w:contextualSpacing/>
              <w:rPr>
                <w:rFonts w:ascii="Times New Roman" w:hAnsi="Times New Roman" w:cs="Times New Roman"/>
              </w:rPr>
            </w:pPr>
          </w:p>
        </w:tc>
      </w:tr>
    </w:tbl>
    <w:p w14:paraId="0FE0BBAF" w14:textId="2CB8AE97" w:rsidR="006D17FA" w:rsidRDefault="006D17FA" w:rsidP="005C33AD">
      <w:r>
        <w:rPr>
          <w:noProof/>
        </w:rPr>
        <mc:AlternateContent>
          <mc:Choice Requires="wpg">
            <w:drawing>
              <wp:inline distT="0" distB="0" distL="0" distR="0" wp14:anchorId="61117F40" wp14:editId="4D37CE22">
                <wp:extent cx="3091179" cy="3307080"/>
                <wp:effectExtent l="0" t="0" r="0" b="7620"/>
                <wp:docPr id="7" name="Group 7"/>
                <wp:cNvGraphicFramePr/>
                <a:graphic xmlns:a="http://schemas.openxmlformats.org/drawingml/2006/main">
                  <a:graphicData uri="http://schemas.microsoft.com/office/word/2010/wordprocessingGroup">
                    <wpg:wgp>
                      <wpg:cNvGrpSpPr/>
                      <wpg:grpSpPr>
                        <a:xfrm>
                          <a:off x="0" y="0"/>
                          <a:ext cx="3091179" cy="3307080"/>
                          <a:chOff x="0" y="0"/>
                          <a:chExt cx="3091179" cy="3307080"/>
                        </a:xfrm>
                      </wpg:grpSpPr>
                      <wps:wsp>
                        <wps:cNvPr id="6" name="Text Box 2"/>
                        <wps:cNvSpPr txBox="1">
                          <a:spLocks noChangeArrowheads="1"/>
                        </wps:cNvSpPr>
                        <wps:spPr bwMode="auto">
                          <a:xfrm>
                            <a:off x="0" y="2920366"/>
                            <a:ext cx="3091179" cy="386714"/>
                          </a:xfrm>
                          <a:prstGeom prst="rect">
                            <a:avLst/>
                          </a:prstGeom>
                          <a:solidFill>
                            <a:srgbClr val="FFFFFF"/>
                          </a:solidFill>
                          <a:ln w="9525">
                            <a:noFill/>
                            <a:miter lim="800000"/>
                            <a:headEnd/>
                            <a:tailEnd/>
                          </a:ln>
                        </wps:spPr>
                        <wps:txbx>
                          <w:txbxContent>
                            <w:p w14:paraId="509A1F94" w14:textId="6F3B1F29" w:rsidR="006D17FA" w:rsidRDefault="006D17FA">
                              <w:r w:rsidRPr="006D17FA">
                                <w:rPr>
                                  <w:b/>
                                  <w:bCs/>
                                </w:rPr>
                                <w:t>Figure 2:</w:t>
                              </w:r>
                              <w:r w:rsidRPr="006D17FA">
                                <w:t xml:space="preserve"> Distribution of ASA score in study cohort</w:t>
                              </w:r>
                            </w:p>
                          </w:txbxContent>
                        </wps:txbx>
                        <wps:bodyPr rot="0" vert="horz" wrap="square" lIns="91440" tIns="45720" rIns="91440" bIns="45720" anchor="t" anchorCtr="0">
                          <a:spAutoFit/>
                        </wps:bodyPr>
                      </wps:wsp>
                      <wpg:graphicFrame>
                        <wpg:cNvPr id="1" name="Chart 1"/>
                        <wpg:cNvFrPr/>
                        <wpg:xfrm>
                          <a:off x="20472" y="0"/>
                          <a:ext cx="3048000" cy="2876550"/>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inline>
            </w:drawing>
          </mc:Choice>
          <mc:Fallback>
            <w:pict>
              <v:group w14:anchorId="61117F40" id="Group 7" o:spid="_x0000_s1029" style="width:243.4pt;height:260.4pt;mso-position-horizontal-relative:char;mso-position-vertical-relative:line" coordsize="30911,33070"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52SaIU&#10;AgAAsAYAABkAAABkcnMvZHJhd2luZ3MvZHJhd2luZzEueG1s1FVtb5swEP4rlr83OIR0LQpI6aZN&#10;k6otGt0PuBoT0Ixt2V5C+ut3xtB2m7QPyb5USNi+87099xxseP7TCVu1YIQjQy+Vy3lBW+9NniSO&#10;t6IHt9BGKNQ12vbg8Wj3SW3h2Kl9L5OUseuEt2A9LTe8trkVsuqexFbxVtvZZ23P9fohRpqcN1b3&#10;McxQsk0S4g3xfCrZYnmbsnWUnsq4vhh4/Wy4WP1lmr7LbibpbDobOEN64FYXlBIvBi879QP30Zs6&#10;VGZn455/Oews6eqCppQo6EVBH/D+nR7IkibPd4IB8QOKCzrKxzJeO3KjS8iHxvYTgnAGfj10CtOE&#10;XDcNwWCMklNB1+s0W7OQD+SYHeGouV1mGUM1R326ulmm66BPYgbhorHOfxL64mxIcFRQK3igC+Rw&#10;uHc+hppDTI2LGIQGB6hqbArkj7gidpGnZyNCDsL6r/hqpD4WlMvOUHK0YAqqtBKUWC/fazk1B3Lp&#10;fOVPUlwad0TcXOol4IB8wxciIUHtCyrU1feKEveEKeM4jsBK8J0i/mREAxyJuLUdSEoMKO3wyFJ2&#10;x65Zhuv8ZKjtPG8/Qt9J5MEKBWGuncCGTXzh7j+7RIphHaEcX26rbaCcH4kXS/x3neQRnMBpDPW8&#10;1aKJ49qKP+oWqt6BhW/PHW7F1ef7N9vhl3LG1pppwue5Hj9/bpb+9vsIN1/9ocpfAAAA//8DAFBL&#10;AwQUAAYACAAAACEAeijDOv8CAAAUBwAADgAAAGRycy9lMm9Eb2MueG1spJXJbtswEIbvBfoOBO+N&#10;Fi+yhchBmsRBgC4Bkj4ATVELKpEsSUdKn75DipYdx0WK1AeZ68+ZbzjD84u+bdATU7oWPMPRWYgR&#10;41TkNS8z/ONx/WmBkTaE56QRnGX4mWl8sfr44byTKYtFJZqcKQQiXKedzHBljEyDQNOKtUSfCck4&#10;TBZCtcRAV5VBrkgH6m0TxGE4DzqhcqkEZVrD6PUwiVdOvygYNd+LQjODmgyDbcZ9lftu7DdYnZO0&#10;VERWNfVmkHdY0ZKaw6Gj1DUxBG1V/UqqrakSWhTmjIo2EEVRU+Z8AG+i8MibWyW20vlSpl0pR0yA&#10;9ojTu2Xpt6d7heo8wwlGnLQQIncqSiyaTpYprLhV8kHeKz9QDj3rbV+o1v6DH6h3UJ9HqKw3iMLg&#10;JFxGUbLEiMLcZBIm4cJjpxXE5tU+Wt28sTPYHRxY+0ZzOglXSO8p6f+j9FARyRx8bRl4SvMdpUfr&#10;32fRo3gA5RZZSsj0MAy54O6Dll8E/akRF1cV4SW7VEp0FSM5WBfZneDDuNUC16m2Ipvuq8ghGGRr&#10;hBM6iTpexuFkPrc6JD0NfDFPoqk7aEeNpFJpc8tEi2wjwwqyxJ1Bnr5oY23aL7HCWjR1vq6bxnVU&#10;ublqFHoikFFr9/PqL5Y1HHUZXs7imVPmwu53Zra1gYxv6jbDi9D+BustkxueuyWG1M3QBksa7iFZ&#10;LgMh0296d2cdQctsI/JnoKbEkOBQkKBRCfUbow6SO8P615YohlFzx4H8MppObTVwneksiaGjDmc2&#10;hzOEU5DKsMFoaF4ZV0EcDnkJEVrXDtveEm8yXMchiXyFWSvIsDGt/JWKdlcKbogyyPvkEm+txqw7&#10;in8cTpMYo1PpNrVYh3SLF8l8NnOEXa7sRLw51gHf/GvBersCU2s2RJmmruWrFH2Vff+q5AUA8VGR&#10;OyEwFNBrQbct42Z4ERRriIHnSFe11BDX1FY3dZcP6fbCY3fVRxi+nLi3wEfKDUHpPVxoUR32Xaz3&#10;j9nqDwAAAP//AwBQSwMEFAAGAAgAAAAhAJ97DbVMAQAARQIAACAAAABkcnMvY2hhcnRzL19yZWxz&#10;L2NoYXJ0MS54bWwucmVsc6xRzUoDMRC+C77DEvDoZtuDSHHbg1boQQRtb3sZs7M/mk2WJK3bxyi2&#10;iFBFvIi+UF7HqaVooeDFQ5iZzHzffDNz0msqGUzQ2FKrmLXCiAWohE5LlcdsNDw/PGaBdaBSkFph&#10;zKZoWa+7v3dyhRIcgWxR1jYgFmVjVjhXdzi3osAKbKhrVJTJtKnAUWhyXoO4gxx5O4qOuPnNwbpb&#10;nMEgjZkZpG0WDKc1df6bW2dZKfBMi3GFyu1owUUBxo0smusCapokGILJ0cUsDHlq4J6mthunFZJ0&#10;xnerav2nKi3x8uYWhfvRk5USaZH8tJOs5NqkPwWZbEaziX/zM7/wD36egHDlBA/akUGqBFEk/sV/&#10;0nv0T/458Usyc0r7D3Jm/pVgsxV+QUXv6/8lGVnCmmMs6VSNtM1GzYVOaf39xqFR8L0RvnX87hcA&#10;AAD//wMAUEsDBBQABgAIAAAAIQDETNAM3AAAAAUBAAAPAAAAZHJzL2Rvd25yZXYueG1sTI9BS8NA&#10;EIXvgv9hGcGb3aTaEmI2pRT1VARbQbxNk2kSmp0N2W2S/ntHL/XyYHjDe9/LVpNt1UC9bxwbiGcR&#10;KOLClQ1XBj73rw8JKB+QS2wdk4ELeVjltzcZpqUb+YOGXaiUhLBP0UAdQpdq7YuaLPqZ64jFO7re&#10;YpCzr3TZ4yjhttXzKFpqiw1LQ40dbWoqTruzNfA24rh+jF+G7em4uXzvF+9f25iMub+b1s+gAk3h&#10;+gy/+IIOuTAd3JlLr1oDMiT8qXhPyVJmHAws5lECOs/0f/r8BwAA//8DAFBLAwQUAAYACAAAACEA&#10;8uPWmo4EAADiCgAAFQAAAGRycy9jaGFydHMvY2hhcnQxLnhtbKRW3W7bNhS+H7B30ITeKhL1Z8uI&#10;XdiyMxR11yBOek9LtC2UIlWKSuwWfYkBuxgwYI+V19mhSMlK1wLJFiCJeHj48XyH53zk5etjSa17&#10;IuqCs6mNLjzbIizjecH2U/vu9soZ21YtMcsx5YxM7ROp7dezn3+6zCbZAQu5qXBGLABh9SSb2gcp&#10;q4nr1tmBlLi+4BVhMLfjosQShmLv5gI/AHhJXd/zYrcFsQ0A/g8AJS5Yt148Zz3f7YqMLHnWlIRJ&#10;HYUgFEvIQH0oqrpDy1As/H8hlkUmeM138iLjpavBOlIAhiK3ZzWDJOVYEpR4oXWP6dT2bFcZKWZ7&#10;bSDMudtoo+ANy0mecsHgOAb+ZTaZU0kEA6iUMwlRm3yVz8p4icXHpnIg3ApIbgtayFNL255dAnZ6&#10;4JAP64Z8agpB6qmdofCcgvClCfBG7tj1zbkCWRROanmiRBNCnq/Yuv2+bQhXmNItzj6q3Ayce9fz&#10;vFr4bTLUqraM1AduJL8tJCVLQokk+SCP2aSiXM4FwcqR4hNvpPoqMWswXfdjPXOLxZ5IvbxgcCT6&#10;lI7veG64kHxPtPH0PePRbH3hxz7yEj9CSTyOvCAJzKJuHqFknEQeCpAfBFESjfX8Qzc/CkKEwrGf&#10;BEkc+FEY6vlDPz8ajUeeh0aJFwQJQrGad7/lBYYz5aogqepeRf8ei1PKKe9qDmn4mgg1W+QdD23m&#10;IifC7Kwt5AhpVfKhrb6p8Xy9pbVCqKtrQMITxq8KSiE0PKHsicHtLGS3I5lc11IT0CsB4cAf1mRP&#10;WP6WnJ7srWY+YBCwQXMpW4rlb7jsas4QAvuGiLPdBKr8r4nIVFu1OF0CwL5otltKNsVnAzVYsiYY&#10;MrEuGDG9apaRoyKgiMOX1Yhian9JV3EUjObIWcZXqRPu4shJlglyRr4fpmESRuPF4uu556KX9hzq&#10;+k3nrQsBjrw/BWCmYmJNeUN26ms3e/z98c/Hv+D3j8e//V9eLV6hCfyJVOm0HuCbYhDy1rtV8BRq&#10;f/YrgWbAtHU7WwGxkilImElipJNeSQsqSAmfQrmfocRXC+/bAq3aNHUuyLj4QRvC91z83iX+EUrQ&#10;bfRDkNB4hE8hIKozYT1oM6Wi1bnr0vrkZINg7KVp6ETLeOWEXpI6i1XgO6uRv/STURAFaTo42fjF&#10;JxsOlDSeNKz41JA3RtW+eObHWaRzzwmXMXKSeRo76WqxWiZp6s/98Vd1EEACou/+t/UJJtPifY38&#10;zz4bNMez+mzg/+I+g+j7sHeFqOWGwiU2767VFhp8zjqnBkP1b+VE1SRtv6656WKq65bDkwjk8omw&#10;yKMWsi3PT9dCCxlsrC63dlApUQOxs4Rsr3o1zMnupvUFjTM6CDJ2jQUGs6XeAVO7fwMon/aM9E4Q&#10;sg5OhamC/1DU7xk1QRm5yYu6WgDOx3puGOxxpTmo41wqFX4PZN7hoY4DdH9jPpfWmY5Vf4anIjzf&#10;2tJ6ObG2GNV7hi6xxJaAS2Zqize5VgB1g99V6t00yD4EDAXcr1EZaaB8Nwdcgf72CPrFMHyazv4B&#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BAi0AFAAGAAgAAAAhAHTcNXAwAQAA5QIAABMAAAAAAAAAAAAA&#10;AAAAAAAAAFtDb250ZW50X1R5cGVzXS54bWxQSwECLQAUAAYACAAAACEAOP0h/9YAAACUAQAACwAA&#10;AAAAAAAAAAAAAABhAQAAX3JlbHMvLnJlbHNQSwECLQAUAAYACAAAACEADnZJohQCAACwBgAAGQAA&#10;AAAAAAAAAAAAAABgAgAAZHJzL2RyYXdpbmdzL2RyYXdpbmcxLnhtbFBLAQItABQABgAIAAAAIQB6&#10;KMM6/wIAABQHAAAOAAAAAAAAAAAAAAAAAKsEAABkcnMvZTJvRG9jLnhtbFBLAQItABQABgAIAAAA&#10;IQCfew21TAEAAEUCAAAgAAAAAAAAAAAAAAAAANYHAABkcnMvY2hhcnRzL19yZWxzL2NoYXJ0MS54&#10;bWwucmVsc1BLAQItABQABgAIAAAAIQDETNAM3AAAAAUBAAAPAAAAAAAAAAAAAAAAAGAJAABkcnMv&#10;ZG93bnJldi54bWxQSwECLQAUAAYACAAAACEA8uPWmo4EAADiCgAAFQAAAAAAAAAAAAAAAABpCgAA&#10;ZHJzL2NoYXJ0cy9jaGFydDEueG1sUEsBAi0AFAAGAAgAAAAhAKsWzUa5AAAAIgEAABkAAAAAAAAA&#10;AAAAAAAAKg8AAGRycy9fcmVscy9lMm9Eb2MueG1sLnJlbHNQSwUGAAAAAAgACAASAgAAGhAAAAAA&#10;">
                <v:shape id="Text Box 2" o:spid="_x0000_s1030" type="#_x0000_t202" style="position:absolute;top:29203;width:30911;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14:paraId="509A1F94" w14:textId="6F3B1F29" w:rsidR="006D17FA" w:rsidRDefault="006D17FA">
                        <w:r w:rsidRPr="006D17FA">
                          <w:rPr>
                            <w:b/>
                            <w:bCs/>
                          </w:rPr>
                          <w:t>Figure 2:</w:t>
                        </w:r>
                        <w:r w:rsidRPr="006D17FA">
                          <w:t xml:space="preserve"> Distribution of ASA score in study cohort</w:t>
                        </w:r>
                      </w:p>
                    </w:txbxContent>
                  </v:textbox>
                </v:shape>
                <v:shape id="Chart 1" o:spid="_x0000_s1031" type="#_x0000_t75" style="position:absolute;left:182;width:30541;height:287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oQwgAAANoAAAAPAAAAZHJzL2Rvd25yZXYueG1sRE9LawIx&#10;EL4L/Q9hhF6KJlZodWsU2yJqwYMP6HXYjJulm8mySd313zdCwdPw8T1ntuhcJS7UhNKzhtFQgSDO&#10;vSm50HA6rgYTECEiG6w8k4YrBVjMH3ozzIxveU+XQyxECuGQoQYbY51JGXJLDsPQ18SJO/vGYUyw&#10;KaRpsE3hrpLPSr1IhyWnBos1fVjKfw6/TsPXZDv2yn1/rt93tp6qV//UVhutH/vd8g1EpC7exf/u&#10;jUnz4fbK7cr5HwAAAP//AwBQSwECLQAUAAYACAAAACEA2+H2y+4AAACFAQAAEwAAAAAAAAAAAAAA&#10;AAAAAAAAW0NvbnRlbnRfVHlwZXNdLnhtbFBLAQItABQABgAIAAAAIQBa9CxbvwAAABUBAAALAAAA&#10;AAAAAAAAAAAAAB8BAABfcmVscy8ucmVsc1BLAQItABQABgAIAAAAIQA5kNoQwgAAANoAAAAPAAAA&#10;AAAAAAAAAAAAAAcCAABkcnMvZG93bnJldi54bWxQSwUGAAAAAAMAAwC3AAAA9gIAAAAA&#10;">
                  <v:imagedata r:id="rId12" o:title=""/>
                  <o:lock v:ext="edit" aspectratio="f"/>
                </v:shape>
                <w10:anchorlock/>
              </v:group>
            </w:pict>
          </mc:Fallback>
        </mc:AlternateContent>
      </w:r>
    </w:p>
    <w:p w14:paraId="02DE0FBC" w14:textId="6EE37290" w:rsidR="00457B32" w:rsidRDefault="00457B32" w:rsidP="004D77B5">
      <w:pPr>
        <w:pStyle w:val="Heading2"/>
      </w:pPr>
      <w:r>
        <w:t xml:space="preserve">Comparison of patients with and without cholecystostomy: </w:t>
      </w:r>
    </w:p>
    <w:p w14:paraId="26AEE1D2" w14:textId="0B5BE7BF" w:rsidR="00457B32" w:rsidRDefault="006D17FA" w:rsidP="004D77B5">
      <w:r>
        <w:t xml:space="preserve">Subjects’ </w:t>
      </w:r>
      <w:r w:rsidR="00457B32">
        <w:t>demographic data and comorbidities</w:t>
      </w:r>
      <w:r>
        <w:t xml:space="preserve"> are presented in Table 3; </w:t>
      </w:r>
      <w:r w:rsidR="00457B32">
        <w:t>laboratory data appear</w:t>
      </w:r>
      <w:r>
        <w:t>s</w:t>
      </w:r>
      <w:r w:rsidR="00457B32">
        <w:t xml:space="preserve"> in Table 4. </w:t>
      </w:r>
      <w:r w:rsidR="00F94FCD">
        <w:t>PC patients</w:t>
      </w:r>
      <w:r w:rsidR="00457B32">
        <w:t xml:space="preserve"> were older by about 15 years on average, the vast majority being over age 65. There was no significant </w:t>
      </w:r>
      <w:r w:rsidR="002B136D">
        <w:t>difference</w:t>
      </w:r>
      <w:r w:rsidR="00457B32">
        <w:t xml:space="preserve"> in the </w:t>
      </w:r>
      <w:r>
        <w:t xml:space="preserve">presence </w:t>
      </w:r>
      <w:r w:rsidR="00457B32">
        <w:t xml:space="preserve">of </w:t>
      </w:r>
      <w:r w:rsidR="002B136D">
        <w:t>comorbidities</w:t>
      </w:r>
      <w:r w:rsidR="00457B32">
        <w:t xml:space="preserve"> except a higher </w:t>
      </w:r>
      <w:r w:rsidR="00374DBF">
        <w:t>prevalence of</w:t>
      </w:r>
      <w:r w:rsidR="004F38B1">
        <w:t xml:space="preserve"> cerebrovascular disease (</w:t>
      </w:r>
      <w:r w:rsidR="00374DBF">
        <w:t>CVA</w:t>
      </w:r>
      <w:r w:rsidR="004F38B1">
        <w:t>)</w:t>
      </w:r>
      <w:r w:rsidR="00374DBF">
        <w:t xml:space="preserve"> in </w:t>
      </w:r>
      <w:r w:rsidR="00F94FCD">
        <w:t xml:space="preserve">PC patients </w:t>
      </w:r>
      <w:r w:rsidR="00374DBF">
        <w:t xml:space="preserve">(6.6% vs 1.1% in patients without </w:t>
      </w:r>
      <w:r w:rsidR="00F94FCD">
        <w:t>PC</w:t>
      </w:r>
      <w:r w:rsidR="00374DBF">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1"/>
        <w:gridCol w:w="1428"/>
        <w:gridCol w:w="1218"/>
      </w:tblGrid>
      <w:tr w:rsidR="006D17FA" w14:paraId="75FCD8AC" w14:textId="77777777" w:rsidTr="006D17FA">
        <w:tc>
          <w:tcPr>
            <w:tcW w:w="8306" w:type="dxa"/>
            <w:gridSpan w:val="4"/>
            <w:tcBorders>
              <w:top w:val="nil"/>
              <w:left w:val="nil"/>
              <w:bottom w:val="single" w:sz="8" w:space="0" w:color="auto"/>
              <w:right w:val="nil"/>
            </w:tcBorders>
            <w:hideMark/>
          </w:tcPr>
          <w:p w14:paraId="1C86AF39" w14:textId="3ABDF56A"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b/>
                <w:bCs/>
                <w:sz w:val="24"/>
                <w:szCs w:val="24"/>
              </w:rPr>
              <w:t>Table 3</w:t>
            </w:r>
            <w:r>
              <w:rPr>
                <w:rFonts w:asciiTheme="majorBidi" w:hAnsiTheme="majorBidi" w:cstheme="majorBidi"/>
                <w:sz w:val="24"/>
                <w:szCs w:val="24"/>
              </w:rPr>
              <w:t>: Comparison of patient demographic data and co-morbidities across cholecystostomy status</w:t>
            </w:r>
          </w:p>
        </w:tc>
      </w:tr>
      <w:tr w:rsidR="006D17FA" w14:paraId="65E7EE49" w14:textId="77777777" w:rsidTr="006D17FA">
        <w:tc>
          <w:tcPr>
            <w:tcW w:w="3969" w:type="dxa"/>
            <w:tcBorders>
              <w:top w:val="single" w:sz="8" w:space="0" w:color="auto"/>
              <w:left w:val="nil"/>
              <w:bottom w:val="single" w:sz="8" w:space="0" w:color="auto"/>
              <w:right w:val="nil"/>
            </w:tcBorders>
          </w:tcPr>
          <w:p w14:paraId="00113CD1"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p>
        </w:tc>
        <w:tc>
          <w:tcPr>
            <w:tcW w:w="1691" w:type="dxa"/>
            <w:tcBorders>
              <w:top w:val="single" w:sz="8" w:space="0" w:color="auto"/>
              <w:left w:val="nil"/>
              <w:bottom w:val="single" w:sz="8" w:space="0" w:color="auto"/>
              <w:right w:val="nil"/>
            </w:tcBorders>
            <w:hideMark/>
          </w:tcPr>
          <w:p w14:paraId="3056DAFE" w14:textId="77777777" w:rsidR="006D17FA" w:rsidRDefault="006D17FA" w:rsidP="003E010B">
            <w:pPr>
              <w:autoSpaceDE w:val="0"/>
              <w:autoSpaceDN w:val="0"/>
              <w:adjustRightInd w:val="0"/>
              <w:spacing w:before="120" w:line="100" w:lineRule="atLeast"/>
              <w:contextualSpacing/>
              <w:jc w:val="center"/>
              <w:rPr>
                <w:rFonts w:asciiTheme="majorBidi" w:hAnsiTheme="majorBidi" w:cstheme="majorBidi"/>
                <w:sz w:val="24"/>
                <w:szCs w:val="24"/>
              </w:rPr>
            </w:pPr>
            <w:r>
              <w:rPr>
                <w:rFonts w:asciiTheme="majorBidi" w:hAnsiTheme="majorBidi" w:cstheme="majorBidi"/>
                <w:sz w:val="24"/>
                <w:szCs w:val="24"/>
              </w:rPr>
              <w:t>No</w:t>
            </w:r>
          </w:p>
          <w:p w14:paraId="0F1C1D8A" w14:textId="77777777" w:rsidR="006D17FA" w:rsidRDefault="006D17FA" w:rsidP="003E010B">
            <w:pPr>
              <w:autoSpaceDE w:val="0"/>
              <w:autoSpaceDN w:val="0"/>
              <w:adjustRightInd w:val="0"/>
              <w:spacing w:before="120" w:line="100" w:lineRule="atLeast"/>
              <w:contextualSpacing/>
              <w:jc w:val="center"/>
              <w:rPr>
                <w:rFonts w:asciiTheme="majorBidi" w:hAnsiTheme="majorBidi" w:cstheme="majorBidi"/>
                <w:sz w:val="24"/>
                <w:szCs w:val="24"/>
              </w:rPr>
            </w:pPr>
            <w:r>
              <w:rPr>
                <w:rFonts w:asciiTheme="majorBidi" w:hAnsiTheme="majorBidi" w:cstheme="majorBidi"/>
                <w:sz w:val="24"/>
                <w:szCs w:val="24"/>
              </w:rPr>
              <w:t>n=633</w:t>
            </w:r>
          </w:p>
        </w:tc>
        <w:tc>
          <w:tcPr>
            <w:tcW w:w="1428" w:type="dxa"/>
            <w:tcBorders>
              <w:top w:val="single" w:sz="8" w:space="0" w:color="auto"/>
              <w:left w:val="nil"/>
              <w:bottom w:val="single" w:sz="8" w:space="0" w:color="auto"/>
              <w:right w:val="nil"/>
            </w:tcBorders>
            <w:hideMark/>
          </w:tcPr>
          <w:p w14:paraId="44A60163" w14:textId="77777777" w:rsidR="006D17FA" w:rsidRDefault="006D17FA" w:rsidP="003E010B">
            <w:pPr>
              <w:autoSpaceDE w:val="0"/>
              <w:autoSpaceDN w:val="0"/>
              <w:adjustRightInd w:val="0"/>
              <w:spacing w:before="120" w:line="100" w:lineRule="atLeast"/>
              <w:contextualSpacing/>
              <w:jc w:val="center"/>
              <w:rPr>
                <w:rFonts w:asciiTheme="majorBidi" w:hAnsiTheme="majorBidi" w:cstheme="majorBidi"/>
                <w:sz w:val="24"/>
                <w:szCs w:val="24"/>
              </w:rPr>
            </w:pPr>
            <w:r>
              <w:rPr>
                <w:rFonts w:asciiTheme="majorBidi" w:hAnsiTheme="majorBidi" w:cstheme="majorBidi"/>
                <w:sz w:val="24"/>
                <w:szCs w:val="24"/>
              </w:rPr>
              <w:t>Yes</w:t>
            </w:r>
          </w:p>
          <w:p w14:paraId="2F900D08" w14:textId="77777777" w:rsidR="006D17FA" w:rsidRDefault="006D17FA" w:rsidP="003E010B">
            <w:pPr>
              <w:autoSpaceDE w:val="0"/>
              <w:autoSpaceDN w:val="0"/>
              <w:adjustRightInd w:val="0"/>
              <w:spacing w:before="120" w:line="100" w:lineRule="atLeast"/>
              <w:contextualSpacing/>
              <w:jc w:val="center"/>
              <w:rPr>
                <w:rFonts w:asciiTheme="majorBidi" w:hAnsiTheme="majorBidi" w:cstheme="majorBidi"/>
                <w:sz w:val="24"/>
                <w:szCs w:val="24"/>
              </w:rPr>
            </w:pPr>
            <w:r>
              <w:rPr>
                <w:rFonts w:asciiTheme="majorBidi" w:hAnsiTheme="majorBidi" w:cstheme="majorBidi"/>
                <w:sz w:val="24"/>
                <w:szCs w:val="24"/>
              </w:rPr>
              <w:t>n=50</w:t>
            </w:r>
          </w:p>
        </w:tc>
        <w:tc>
          <w:tcPr>
            <w:tcW w:w="1218" w:type="dxa"/>
            <w:tcBorders>
              <w:top w:val="single" w:sz="8" w:space="0" w:color="auto"/>
              <w:left w:val="nil"/>
              <w:bottom w:val="single" w:sz="8" w:space="0" w:color="auto"/>
              <w:right w:val="nil"/>
            </w:tcBorders>
            <w:hideMark/>
          </w:tcPr>
          <w:p w14:paraId="4450AC1F" w14:textId="77777777" w:rsidR="006D17FA" w:rsidRDefault="006D17FA" w:rsidP="003E010B">
            <w:pPr>
              <w:autoSpaceDE w:val="0"/>
              <w:autoSpaceDN w:val="0"/>
              <w:adjustRightInd w:val="0"/>
              <w:spacing w:before="120" w:line="100" w:lineRule="atLeast"/>
              <w:contextualSpacing/>
              <w:jc w:val="center"/>
              <w:rPr>
                <w:rFonts w:asciiTheme="majorBidi" w:hAnsiTheme="majorBidi" w:cstheme="majorBidi"/>
                <w:sz w:val="24"/>
                <w:szCs w:val="24"/>
              </w:rPr>
            </w:pPr>
            <w:r>
              <w:rPr>
                <w:rFonts w:asciiTheme="majorBidi" w:hAnsiTheme="majorBidi" w:cstheme="majorBidi"/>
                <w:sz w:val="24"/>
                <w:szCs w:val="24"/>
              </w:rPr>
              <w:t>p Value</w:t>
            </w:r>
          </w:p>
        </w:tc>
      </w:tr>
      <w:tr w:rsidR="006D17FA" w14:paraId="7AE3D312" w14:textId="77777777" w:rsidTr="006D17FA">
        <w:tc>
          <w:tcPr>
            <w:tcW w:w="3969" w:type="dxa"/>
            <w:tcBorders>
              <w:top w:val="single" w:sz="8" w:space="0" w:color="auto"/>
              <w:left w:val="nil"/>
              <w:bottom w:val="nil"/>
              <w:right w:val="nil"/>
            </w:tcBorders>
            <w:vAlign w:val="bottom"/>
            <w:hideMark/>
          </w:tcPr>
          <w:p w14:paraId="0DAD5C3C" w14:textId="77777777" w:rsidR="006D17FA" w:rsidRDefault="006D17FA" w:rsidP="004D77B5">
            <w:pPr>
              <w:spacing w:before="120" w:line="100" w:lineRule="atLeast"/>
              <w:rPr>
                <w:rFonts w:asciiTheme="majorBidi" w:eastAsia="Times New Roman" w:hAnsiTheme="majorBidi" w:cstheme="majorBidi" w:hint="cs"/>
                <w:b/>
                <w:bCs/>
                <w:color w:val="000000"/>
                <w:sz w:val="24"/>
                <w:szCs w:val="24"/>
                <w:rtl/>
              </w:rPr>
            </w:pPr>
            <w:r>
              <w:rPr>
                <w:rFonts w:asciiTheme="majorBidi" w:eastAsia="Times New Roman" w:hAnsiTheme="majorBidi" w:cstheme="majorBidi"/>
                <w:b/>
                <w:bCs/>
                <w:color w:val="000000"/>
                <w:sz w:val="24"/>
                <w:szCs w:val="24"/>
              </w:rPr>
              <w:t>Age (years)</w:t>
            </w:r>
          </w:p>
        </w:tc>
        <w:tc>
          <w:tcPr>
            <w:tcW w:w="1691" w:type="dxa"/>
            <w:tcBorders>
              <w:top w:val="single" w:sz="8" w:space="0" w:color="auto"/>
              <w:left w:val="nil"/>
              <w:bottom w:val="nil"/>
              <w:right w:val="nil"/>
            </w:tcBorders>
            <w:vAlign w:val="bottom"/>
            <w:hideMark/>
          </w:tcPr>
          <w:p w14:paraId="4EB82AFC" w14:textId="77777777" w:rsidR="006D17FA" w:rsidRDefault="006D17FA" w:rsidP="004D77B5">
            <w:pPr>
              <w:spacing w:before="120" w:line="10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60.8±19.2</w:t>
            </w:r>
          </w:p>
        </w:tc>
        <w:tc>
          <w:tcPr>
            <w:tcW w:w="1428" w:type="dxa"/>
            <w:tcBorders>
              <w:top w:val="single" w:sz="8" w:space="0" w:color="auto"/>
              <w:left w:val="nil"/>
              <w:bottom w:val="nil"/>
              <w:right w:val="nil"/>
            </w:tcBorders>
            <w:vAlign w:val="bottom"/>
            <w:hideMark/>
          </w:tcPr>
          <w:p w14:paraId="0A55E070" w14:textId="77777777" w:rsidR="006D17FA" w:rsidRDefault="006D17FA" w:rsidP="004D77B5">
            <w:pPr>
              <w:spacing w:before="120" w:line="10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76.0±12.4</w:t>
            </w:r>
          </w:p>
        </w:tc>
        <w:tc>
          <w:tcPr>
            <w:tcW w:w="1218" w:type="dxa"/>
            <w:tcBorders>
              <w:top w:val="single" w:sz="8" w:space="0" w:color="auto"/>
              <w:left w:val="nil"/>
              <w:bottom w:val="nil"/>
              <w:right w:val="nil"/>
            </w:tcBorders>
            <w:hideMark/>
          </w:tcPr>
          <w:p w14:paraId="1B8FE8D4" w14:textId="77777777" w:rsidR="006D17FA" w:rsidRDefault="006D17FA" w:rsidP="004D77B5">
            <w:pPr>
              <w:autoSpaceDE w:val="0"/>
              <w:autoSpaceDN w:val="0"/>
              <w:adjustRightInd w:val="0"/>
              <w:spacing w:before="120" w:line="100" w:lineRule="atLeast"/>
              <w:jc w:val="center"/>
              <w:rPr>
                <w:rFonts w:asciiTheme="majorBidi" w:hAnsiTheme="majorBidi" w:cstheme="majorBidi"/>
                <w:b/>
                <w:bCs/>
                <w:sz w:val="24"/>
                <w:szCs w:val="24"/>
              </w:rPr>
            </w:pPr>
            <w:r>
              <w:rPr>
                <w:rFonts w:asciiTheme="majorBidi" w:hAnsiTheme="majorBidi" w:cstheme="majorBidi"/>
                <w:b/>
                <w:bCs/>
                <w:sz w:val="24"/>
                <w:szCs w:val="24"/>
              </w:rPr>
              <w:t>&lt;0.001</w:t>
            </w:r>
          </w:p>
        </w:tc>
      </w:tr>
      <w:tr w:rsidR="006D17FA" w14:paraId="60DF22EE" w14:textId="77777777" w:rsidTr="006D17FA">
        <w:tc>
          <w:tcPr>
            <w:tcW w:w="3969" w:type="dxa"/>
            <w:vAlign w:val="bottom"/>
            <w:hideMark/>
          </w:tcPr>
          <w:p w14:paraId="11255360" w14:textId="77777777" w:rsidR="006D17FA" w:rsidRDefault="006D17FA" w:rsidP="004D77B5">
            <w:pPr>
              <w:spacing w:before="120" w:line="10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Age 65 and over (%)</w:t>
            </w:r>
          </w:p>
        </w:tc>
        <w:tc>
          <w:tcPr>
            <w:tcW w:w="1691" w:type="dxa"/>
            <w:vAlign w:val="bottom"/>
            <w:hideMark/>
          </w:tcPr>
          <w:p w14:paraId="5FFC4AD6" w14:textId="77777777" w:rsidR="006D17FA" w:rsidRDefault="006D17FA" w:rsidP="004D77B5">
            <w:pPr>
              <w:spacing w:before="120" w:line="10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46.4</w:t>
            </w:r>
          </w:p>
        </w:tc>
        <w:tc>
          <w:tcPr>
            <w:tcW w:w="1428" w:type="dxa"/>
            <w:vAlign w:val="bottom"/>
            <w:hideMark/>
          </w:tcPr>
          <w:p w14:paraId="6CCFE016" w14:textId="77777777" w:rsidR="006D17FA" w:rsidRDefault="006D17FA" w:rsidP="004D77B5">
            <w:pPr>
              <w:spacing w:before="120" w:line="10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84.0</w:t>
            </w:r>
          </w:p>
        </w:tc>
        <w:tc>
          <w:tcPr>
            <w:tcW w:w="1218" w:type="dxa"/>
            <w:hideMark/>
          </w:tcPr>
          <w:p w14:paraId="7DD49EDB" w14:textId="77777777" w:rsidR="006D17FA" w:rsidRDefault="006D17FA" w:rsidP="004D77B5">
            <w:pPr>
              <w:autoSpaceDE w:val="0"/>
              <w:autoSpaceDN w:val="0"/>
              <w:adjustRightInd w:val="0"/>
              <w:spacing w:before="120" w:line="100" w:lineRule="atLeast"/>
              <w:jc w:val="center"/>
              <w:rPr>
                <w:rFonts w:asciiTheme="majorBidi" w:hAnsiTheme="majorBidi" w:cstheme="majorBidi"/>
                <w:b/>
                <w:bCs/>
                <w:sz w:val="24"/>
                <w:szCs w:val="24"/>
              </w:rPr>
            </w:pPr>
            <w:r>
              <w:rPr>
                <w:rFonts w:asciiTheme="majorBidi" w:hAnsiTheme="majorBidi" w:cstheme="majorBidi"/>
                <w:b/>
                <w:bCs/>
                <w:sz w:val="24"/>
                <w:szCs w:val="24"/>
              </w:rPr>
              <w:t>&lt;0.001</w:t>
            </w:r>
          </w:p>
        </w:tc>
      </w:tr>
      <w:tr w:rsidR="006D17FA" w14:paraId="4A13F7E9" w14:textId="77777777" w:rsidTr="006D17FA">
        <w:tc>
          <w:tcPr>
            <w:tcW w:w="3969" w:type="dxa"/>
            <w:vAlign w:val="bottom"/>
            <w:hideMark/>
          </w:tcPr>
          <w:p w14:paraId="6B4BE989" w14:textId="77777777" w:rsidR="006D17FA" w:rsidRDefault="006D17FA" w:rsidP="004D77B5">
            <w:pPr>
              <w:spacing w:before="120" w:line="100" w:lineRule="atLeas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Female sex (%)</w:t>
            </w:r>
          </w:p>
        </w:tc>
        <w:tc>
          <w:tcPr>
            <w:tcW w:w="1691" w:type="dxa"/>
            <w:vAlign w:val="bottom"/>
            <w:hideMark/>
          </w:tcPr>
          <w:p w14:paraId="5A4B2E3F" w14:textId="77777777" w:rsidR="006D17FA" w:rsidRDefault="006D17FA" w:rsidP="004D77B5">
            <w:pPr>
              <w:spacing w:before="120" w:line="10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55.1</w:t>
            </w:r>
          </w:p>
        </w:tc>
        <w:tc>
          <w:tcPr>
            <w:tcW w:w="1428" w:type="dxa"/>
            <w:vAlign w:val="bottom"/>
            <w:hideMark/>
          </w:tcPr>
          <w:p w14:paraId="1139FBEF" w14:textId="77777777" w:rsidR="006D17FA" w:rsidRDefault="006D17FA" w:rsidP="004D77B5">
            <w:pPr>
              <w:spacing w:before="120" w:line="10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44.0</w:t>
            </w:r>
          </w:p>
        </w:tc>
        <w:tc>
          <w:tcPr>
            <w:tcW w:w="1218" w:type="dxa"/>
            <w:hideMark/>
          </w:tcPr>
          <w:p w14:paraId="7882B984"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0.128</w:t>
            </w:r>
          </w:p>
        </w:tc>
      </w:tr>
      <w:tr w:rsidR="006D17FA" w14:paraId="13A13F1B" w14:textId="77777777" w:rsidTr="006D17FA">
        <w:tc>
          <w:tcPr>
            <w:tcW w:w="3969" w:type="dxa"/>
            <w:hideMark/>
          </w:tcPr>
          <w:p w14:paraId="7B1A8254"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Diabetes mellitus (%)</w:t>
            </w:r>
          </w:p>
        </w:tc>
        <w:tc>
          <w:tcPr>
            <w:tcW w:w="1691" w:type="dxa"/>
            <w:hideMark/>
          </w:tcPr>
          <w:p w14:paraId="4306C4CE"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29.5</w:t>
            </w:r>
          </w:p>
        </w:tc>
        <w:tc>
          <w:tcPr>
            <w:tcW w:w="1428" w:type="dxa"/>
            <w:hideMark/>
          </w:tcPr>
          <w:p w14:paraId="75B8E913"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36.7</w:t>
            </w:r>
          </w:p>
        </w:tc>
        <w:tc>
          <w:tcPr>
            <w:tcW w:w="1218" w:type="dxa"/>
            <w:hideMark/>
          </w:tcPr>
          <w:p w14:paraId="51D280BA"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0.414</w:t>
            </w:r>
          </w:p>
        </w:tc>
      </w:tr>
      <w:tr w:rsidR="006D17FA" w14:paraId="1C81141B" w14:textId="77777777" w:rsidTr="006D17FA">
        <w:tc>
          <w:tcPr>
            <w:tcW w:w="3969" w:type="dxa"/>
            <w:hideMark/>
          </w:tcPr>
          <w:p w14:paraId="2BFEB8FD"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lastRenderedPageBreak/>
              <w:t>Renal failure (%)</w:t>
            </w:r>
          </w:p>
        </w:tc>
        <w:tc>
          <w:tcPr>
            <w:tcW w:w="1691" w:type="dxa"/>
            <w:hideMark/>
          </w:tcPr>
          <w:p w14:paraId="660B9501"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7.0</w:t>
            </w:r>
          </w:p>
        </w:tc>
        <w:tc>
          <w:tcPr>
            <w:tcW w:w="1428" w:type="dxa"/>
            <w:hideMark/>
          </w:tcPr>
          <w:p w14:paraId="6560320F"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10.0</w:t>
            </w:r>
          </w:p>
        </w:tc>
        <w:tc>
          <w:tcPr>
            <w:tcW w:w="1218" w:type="dxa"/>
            <w:hideMark/>
          </w:tcPr>
          <w:p w14:paraId="366D5C77"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0.550</w:t>
            </w:r>
          </w:p>
        </w:tc>
      </w:tr>
      <w:tr w:rsidR="006D17FA" w14:paraId="3BD8EE5F" w14:textId="77777777" w:rsidTr="006D17FA">
        <w:tc>
          <w:tcPr>
            <w:tcW w:w="3969" w:type="dxa"/>
            <w:hideMark/>
          </w:tcPr>
          <w:p w14:paraId="1EECFF3E"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Obesity (%)</w:t>
            </w:r>
          </w:p>
        </w:tc>
        <w:tc>
          <w:tcPr>
            <w:tcW w:w="1691" w:type="dxa"/>
            <w:hideMark/>
          </w:tcPr>
          <w:p w14:paraId="0508A02E"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6.7</w:t>
            </w:r>
          </w:p>
        </w:tc>
        <w:tc>
          <w:tcPr>
            <w:tcW w:w="1428" w:type="dxa"/>
            <w:hideMark/>
          </w:tcPr>
          <w:p w14:paraId="36F5B018"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13.3</w:t>
            </w:r>
          </w:p>
        </w:tc>
        <w:tc>
          <w:tcPr>
            <w:tcW w:w="1218" w:type="dxa"/>
            <w:hideMark/>
          </w:tcPr>
          <w:p w14:paraId="0A716915"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0.182</w:t>
            </w:r>
          </w:p>
        </w:tc>
      </w:tr>
      <w:tr w:rsidR="006D17FA" w14:paraId="4D5225A6" w14:textId="77777777" w:rsidTr="006D17FA">
        <w:tc>
          <w:tcPr>
            <w:tcW w:w="3969" w:type="dxa"/>
            <w:hideMark/>
          </w:tcPr>
          <w:p w14:paraId="0C3D7EA4"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IHD (%)</w:t>
            </w:r>
          </w:p>
        </w:tc>
        <w:tc>
          <w:tcPr>
            <w:tcW w:w="1691" w:type="dxa"/>
            <w:hideMark/>
          </w:tcPr>
          <w:p w14:paraId="2E302209"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19.3</w:t>
            </w:r>
          </w:p>
        </w:tc>
        <w:tc>
          <w:tcPr>
            <w:tcW w:w="1428" w:type="dxa"/>
            <w:hideMark/>
          </w:tcPr>
          <w:p w14:paraId="07967F8D"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33.3</w:t>
            </w:r>
          </w:p>
        </w:tc>
        <w:tc>
          <w:tcPr>
            <w:tcW w:w="1218" w:type="dxa"/>
            <w:hideMark/>
          </w:tcPr>
          <w:p w14:paraId="33A7F441"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0.071</w:t>
            </w:r>
          </w:p>
        </w:tc>
      </w:tr>
      <w:tr w:rsidR="006D17FA" w14:paraId="66C0219E" w14:textId="77777777" w:rsidTr="006D17FA">
        <w:tc>
          <w:tcPr>
            <w:tcW w:w="3969" w:type="dxa"/>
            <w:hideMark/>
          </w:tcPr>
          <w:p w14:paraId="637B2872"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Biliary calculus (%)</w:t>
            </w:r>
          </w:p>
        </w:tc>
        <w:tc>
          <w:tcPr>
            <w:tcW w:w="1691" w:type="dxa"/>
            <w:hideMark/>
          </w:tcPr>
          <w:p w14:paraId="06CB80C6"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5.3</w:t>
            </w:r>
          </w:p>
        </w:tc>
        <w:tc>
          <w:tcPr>
            <w:tcW w:w="1428" w:type="dxa"/>
            <w:hideMark/>
          </w:tcPr>
          <w:p w14:paraId="4817D9DC"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w:t>
            </w:r>
          </w:p>
        </w:tc>
        <w:tc>
          <w:tcPr>
            <w:tcW w:w="1218" w:type="dxa"/>
            <w:hideMark/>
          </w:tcPr>
          <w:p w14:paraId="560DB406"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0.198</w:t>
            </w:r>
          </w:p>
        </w:tc>
      </w:tr>
      <w:tr w:rsidR="006D17FA" w14:paraId="39950685" w14:textId="77777777" w:rsidTr="006D17FA">
        <w:tc>
          <w:tcPr>
            <w:tcW w:w="3969" w:type="dxa"/>
            <w:hideMark/>
          </w:tcPr>
          <w:p w14:paraId="73D6A9A0" w14:textId="77777777" w:rsidR="006D17FA" w:rsidRDefault="006D17FA" w:rsidP="004D77B5">
            <w:pPr>
              <w:autoSpaceDE w:val="0"/>
              <w:autoSpaceDN w:val="0"/>
              <w:adjustRightInd w:val="0"/>
              <w:spacing w:before="120" w:line="100" w:lineRule="atLeast"/>
              <w:rPr>
                <w:rFonts w:asciiTheme="majorBidi" w:hAnsiTheme="majorBidi" w:cstheme="majorBidi"/>
                <w:b/>
                <w:bCs/>
                <w:sz w:val="24"/>
                <w:szCs w:val="24"/>
              </w:rPr>
            </w:pPr>
            <w:r>
              <w:rPr>
                <w:rFonts w:asciiTheme="majorBidi" w:hAnsiTheme="majorBidi" w:cstheme="majorBidi"/>
                <w:b/>
                <w:bCs/>
                <w:sz w:val="24"/>
                <w:szCs w:val="24"/>
              </w:rPr>
              <w:t>CVA</w:t>
            </w:r>
            <w:r>
              <w:rPr>
                <w:rFonts w:asciiTheme="majorBidi" w:hAnsiTheme="majorBidi" w:cstheme="majorBidi"/>
                <w:sz w:val="24"/>
                <w:szCs w:val="24"/>
              </w:rPr>
              <w:t xml:space="preserve"> (%)</w:t>
            </w:r>
          </w:p>
        </w:tc>
        <w:tc>
          <w:tcPr>
            <w:tcW w:w="1691" w:type="dxa"/>
            <w:hideMark/>
          </w:tcPr>
          <w:p w14:paraId="0D36494D" w14:textId="77777777" w:rsidR="006D17FA" w:rsidRDefault="006D17FA" w:rsidP="004D77B5">
            <w:pPr>
              <w:autoSpaceDE w:val="0"/>
              <w:autoSpaceDN w:val="0"/>
              <w:adjustRightInd w:val="0"/>
              <w:spacing w:before="120" w:line="100" w:lineRule="atLeast"/>
              <w:jc w:val="center"/>
              <w:rPr>
                <w:rFonts w:asciiTheme="majorBidi" w:hAnsiTheme="majorBidi" w:cstheme="majorBidi"/>
                <w:b/>
                <w:bCs/>
                <w:sz w:val="24"/>
                <w:szCs w:val="24"/>
              </w:rPr>
            </w:pPr>
            <w:r>
              <w:rPr>
                <w:rFonts w:asciiTheme="majorBidi" w:hAnsiTheme="majorBidi" w:cstheme="majorBidi"/>
                <w:b/>
                <w:bCs/>
                <w:sz w:val="24"/>
                <w:szCs w:val="24"/>
              </w:rPr>
              <w:t>1.1</w:t>
            </w:r>
          </w:p>
        </w:tc>
        <w:tc>
          <w:tcPr>
            <w:tcW w:w="1428" w:type="dxa"/>
            <w:hideMark/>
          </w:tcPr>
          <w:p w14:paraId="76A6D148" w14:textId="77777777" w:rsidR="006D17FA" w:rsidRDefault="006D17FA" w:rsidP="004D77B5">
            <w:pPr>
              <w:autoSpaceDE w:val="0"/>
              <w:autoSpaceDN w:val="0"/>
              <w:adjustRightInd w:val="0"/>
              <w:spacing w:before="120" w:line="100" w:lineRule="atLeast"/>
              <w:jc w:val="center"/>
              <w:rPr>
                <w:rFonts w:asciiTheme="majorBidi" w:hAnsiTheme="majorBidi" w:cstheme="majorBidi"/>
                <w:b/>
                <w:bCs/>
                <w:sz w:val="24"/>
                <w:szCs w:val="24"/>
              </w:rPr>
            </w:pPr>
            <w:r>
              <w:rPr>
                <w:rFonts w:asciiTheme="majorBidi" w:hAnsiTheme="majorBidi" w:cstheme="majorBidi"/>
                <w:b/>
                <w:bCs/>
                <w:sz w:val="24"/>
                <w:szCs w:val="24"/>
              </w:rPr>
              <w:t>6.7</w:t>
            </w:r>
          </w:p>
        </w:tc>
        <w:tc>
          <w:tcPr>
            <w:tcW w:w="1218" w:type="dxa"/>
            <w:hideMark/>
          </w:tcPr>
          <w:p w14:paraId="78B7ADD7" w14:textId="77777777" w:rsidR="006D17FA" w:rsidRDefault="006D17FA" w:rsidP="004D77B5">
            <w:pPr>
              <w:autoSpaceDE w:val="0"/>
              <w:autoSpaceDN w:val="0"/>
              <w:adjustRightInd w:val="0"/>
              <w:spacing w:before="120" w:line="100" w:lineRule="atLeast"/>
              <w:jc w:val="center"/>
              <w:rPr>
                <w:rFonts w:asciiTheme="majorBidi" w:hAnsiTheme="majorBidi" w:cstheme="majorBidi"/>
                <w:b/>
                <w:bCs/>
                <w:sz w:val="24"/>
                <w:szCs w:val="24"/>
              </w:rPr>
            </w:pPr>
            <w:r>
              <w:rPr>
                <w:rFonts w:asciiTheme="majorBidi" w:hAnsiTheme="majorBidi" w:cstheme="majorBidi"/>
                <w:b/>
                <w:bCs/>
                <w:sz w:val="24"/>
                <w:szCs w:val="24"/>
              </w:rPr>
              <w:t>0.019</w:t>
            </w:r>
          </w:p>
        </w:tc>
      </w:tr>
      <w:tr w:rsidR="006D17FA" w14:paraId="44E033FC" w14:textId="77777777" w:rsidTr="006D17FA">
        <w:tc>
          <w:tcPr>
            <w:tcW w:w="3969" w:type="dxa"/>
            <w:hideMark/>
          </w:tcPr>
          <w:p w14:paraId="2527E812"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Cholangitis (%)</w:t>
            </w:r>
          </w:p>
        </w:tc>
        <w:tc>
          <w:tcPr>
            <w:tcW w:w="1691" w:type="dxa"/>
            <w:hideMark/>
          </w:tcPr>
          <w:p w14:paraId="06FEC685"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0.7</w:t>
            </w:r>
          </w:p>
        </w:tc>
        <w:tc>
          <w:tcPr>
            <w:tcW w:w="1428" w:type="dxa"/>
            <w:hideMark/>
          </w:tcPr>
          <w:p w14:paraId="771296D5"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w:t>
            </w:r>
          </w:p>
        </w:tc>
        <w:tc>
          <w:tcPr>
            <w:tcW w:w="1218" w:type="dxa"/>
            <w:hideMark/>
          </w:tcPr>
          <w:p w14:paraId="1F316443"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0.645</w:t>
            </w:r>
          </w:p>
        </w:tc>
      </w:tr>
      <w:tr w:rsidR="006D17FA" w14:paraId="51171CD4" w14:textId="77777777" w:rsidTr="006D17FA">
        <w:tc>
          <w:tcPr>
            <w:tcW w:w="3969" w:type="dxa"/>
            <w:tcBorders>
              <w:top w:val="nil"/>
              <w:left w:val="nil"/>
              <w:bottom w:val="single" w:sz="8" w:space="0" w:color="000000"/>
              <w:right w:val="nil"/>
            </w:tcBorders>
            <w:hideMark/>
          </w:tcPr>
          <w:p w14:paraId="6837159F" w14:textId="77777777" w:rsidR="006D17FA" w:rsidRDefault="006D17FA" w:rsidP="004D77B5">
            <w:pPr>
              <w:autoSpaceDE w:val="0"/>
              <w:autoSpaceDN w:val="0"/>
              <w:adjustRightInd w:val="0"/>
              <w:spacing w:before="120" w:line="100" w:lineRule="atLeast"/>
              <w:rPr>
                <w:rFonts w:asciiTheme="majorBidi" w:hAnsiTheme="majorBidi" w:cstheme="majorBidi"/>
                <w:sz w:val="24"/>
                <w:szCs w:val="24"/>
              </w:rPr>
            </w:pPr>
            <w:r>
              <w:rPr>
                <w:rFonts w:asciiTheme="majorBidi" w:hAnsiTheme="majorBidi" w:cstheme="majorBidi"/>
                <w:sz w:val="24"/>
                <w:szCs w:val="24"/>
              </w:rPr>
              <w:t>Cholecystectomy (%)</w:t>
            </w:r>
          </w:p>
        </w:tc>
        <w:tc>
          <w:tcPr>
            <w:tcW w:w="1691" w:type="dxa"/>
            <w:tcBorders>
              <w:top w:val="nil"/>
              <w:left w:val="nil"/>
              <w:bottom w:val="single" w:sz="8" w:space="0" w:color="000000"/>
              <w:right w:val="nil"/>
            </w:tcBorders>
            <w:hideMark/>
          </w:tcPr>
          <w:p w14:paraId="2445751E"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41.4</w:t>
            </w:r>
          </w:p>
        </w:tc>
        <w:tc>
          <w:tcPr>
            <w:tcW w:w="1428" w:type="dxa"/>
            <w:tcBorders>
              <w:top w:val="nil"/>
              <w:left w:val="nil"/>
              <w:bottom w:val="single" w:sz="8" w:space="0" w:color="000000"/>
              <w:right w:val="nil"/>
            </w:tcBorders>
            <w:hideMark/>
          </w:tcPr>
          <w:p w14:paraId="17AAB925"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44.0</w:t>
            </w:r>
          </w:p>
        </w:tc>
        <w:tc>
          <w:tcPr>
            <w:tcW w:w="1218" w:type="dxa"/>
            <w:tcBorders>
              <w:top w:val="nil"/>
              <w:left w:val="nil"/>
              <w:bottom w:val="single" w:sz="8" w:space="0" w:color="000000"/>
              <w:right w:val="nil"/>
            </w:tcBorders>
            <w:hideMark/>
          </w:tcPr>
          <w:p w14:paraId="0B8D9198" w14:textId="77777777" w:rsidR="006D17FA" w:rsidRDefault="006D17FA" w:rsidP="004D77B5">
            <w:pPr>
              <w:autoSpaceDE w:val="0"/>
              <w:autoSpaceDN w:val="0"/>
              <w:adjustRightInd w:val="0"/>
              <w:spacing w:before="120" w:line="100" w:lineRule="atLeast"/>
              <w:jc w:val="center"/>
              <w:rPr>
                <w:rFonts w:asciiTheme="majorBidi" w:hAnsiTheme="majorBidi" w:cstheme="majorBidi"/>
                <w:sz w:val="24"/>
                <w:szCs w:val="24"/>
              </w:rPr>
            </w:pPr>
            <w:r>
              <w:rPr>
                <w:rFonts w:asciiTheme="majorBidi" w:hAnsiTheme="majorBidi" w:cstheme="majorBidi"/>
                <w:sz w:val="24"/>
                <w:szCs w:val="24"/>
              </w:rPr>
              <w:t>0.719</w:t>
            </w:r>
          </w:p>
        </w:tc>
      </w:tr>
    </w:tbl>
    <w:p w14:paraId="4D0D3E0E" w14:textId="77777777" w:rsidR="003E010B" w:rsidRDefault="003E010B" w:rsidP="004D77B5"/>
    <w:p w14:paraId="0EB7E455" w14:textId="2F61913B" w:rsidR="00B52C84" w:rsidRDefault="006D17FA" w:rsidP="004D77B5">
      <w:r>
        <w:t>A greater rate</w:t>
      </w:r>
      <w:r w:rsidR="00B52C84">
        <w:t xml:space="preserve"> of laboratory test abnormalities </w:t>
      </w:r>
      <w:r>
        <w:t>was</w:t>
      </w:r>
      <w:r w:rsidR="00B52C84">
        <w:t xml:space="preserve"> found in patients who underwent </w:t>
      </w:r>
      <w:r w:rsidR="00F94FCD">
        <w:t>PC</w:t>
      </w:r>
      <w:r w:rsidR="00B52C84">
        <w:t>. Th</w:t>
      </w:r>
      <w:r w:rsidR="00F94FCD">
        <w:t>e</w:t>
      </w:r>
      <w:r w:rsidR="00B52C84">
        <w:t>se</w:t>
      </w:r>
      <w:r w:rsidR="00F94FCD">
        <w:t xml:space="preserve"> patients presented with hemoglobin </w:t>
      </w:r>
      <w:r w:rsidR="00B52C84">
        <w:t xml:space="preserve">levels lower by about 9.6 g/dL on average, higher </w:t>
      </w:r>
      <w:r w:rsidR="00F94FCD">
        <w:t>percentage</w:t>
      </w:r>
      <w:r w:rsidR="00B52C84">
        <w:t xml:space="preserve"> of patients with leukocytosis, and higher creatinine and urea levels. Likewise, they </w:t>
      </w:r>
      <w:r w:rsidR="00F94FCD">
        <w:t>exhibited</w:t>
      </w:r>
      <w:r w:rsidR="00B52C84">
        <w:t xml:space="preserve"> lower sodium levels and more abnormally low albumin levels. Additionally, patients who underwent cholecystostomy had higher ASA grades on average. </w:t>
      </w:r>
      <w:r w:rsidR="004D77B5">
        <w:t>Figure</w:t>
      </w:r>
      <w:r w:rsidR="00B52C84">
        <w:t xml:space="preserve"> 3 displays the percentages of patients in each ASA </w:t>
      </w:r>
      <w:r w:rsidR="004D77B5">
        <w:t xml:space="preserve">class </w:t>
      </w:r>
      <w:r w:rsidR="00F94FCD">
        <w:t>in patients treated with and without PC</w:t>
      </w:r>
      <w:r w:rsidR="00B52C84">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701"/>
        <w:gridCol w:w="1418"/>
        <w:gridCol w:w="1192"/>
      </w:tblGrid>
      <w:tr w:rsidR="006D17FA" w14:paraId="242C5F70" w14:textId="77777777" w:rsidTr="004D77B5">
        <w:tc>
          <w:tcPr>
            <w:tcW w:w="8280" w:type="dxa"/>
            <w:gridSpan w:val="4"/>
            <w:tcBorders>
              <w:top w:val="nil"/>
              <w:left w:val="nil"/>
              <w:bottom w:val="single" w:sz="8" w:space="0" w:color="auto"/>
              <w:right w:val="nil"/>
            </w:tcBorders>
            <w:hideMark/>
          </w:tcPr>
          <w:p w14:paraId="2C0A5A06" w14:textId="07505587" w:rsidR="006D17FA" w:rsidRDefault="006D17FA" w:rsidP="004D77B5">
            <w:pPr>
              <w:autoSpaceDE w:val="0"/>
              <w:autoSpaceDN w:val="0"/>
              <w:adjustRightInd w:val="0"/>
              <w:spacing w:before="120" w:line="60" w:lineRule="atLeast"/>
              <w:rPr>
                <w:rFonts w:asciiTheme="majorBidi" w:hAnsiTheme="majorBidi" w:cstheme="majorBidi"/>
                <w:sz w:val="24"/>
                <w:szCs w:val="24"/>
              </w:rPr>
            </w:pPr>
            <w:r>
              <w:rPr>
                <w:rFonts w:asciiTheme="majorBidi" w:hAnsiTheme="majorBidi" w:cstheme="majorBidi"/>
                <w:b/>
                <w:bCs/>
                <w:sz w:val="24"/>
                <w:szCs w:val="24"/>
              </w:rPr>
              <w:t>Table 4</w:t>
            </w:r>
            <w:r>
              <w:rPr>
                <w:rFonts w:asciiTheme="majorBidi" w:hAnsiTheme="majorBidi" w:cstheme="majorBidi"/>
                <w:sz w:val="24"/>
                <w:szCs w:val="24"/>
              </w:rPr>
              <w:t>: Compar</w:t>
            </w:r>
            <w:r w:rsidR="004D77B5">
              <w:rPr>
                <w:rFonts w:asciiTheme="majorBidi" w:hAnsiTheme="majorBidi" w:cstheme="majorBidi"/>
                <w:sz w:val="24"/>
                <w:szCs w:val="24"/>
              </w:rPr>
              <w:t>ison of patient laboratory data, in patients with and without cholecystostomy</w:t>
            </w:r>
          </w:p>
        </w:tc>
      </w:tr>
      <w:tr w:rsidR="006D17FA" w14:paraId="21158DE3" w14:textId="77777777" w:rsidTr="004D77B5">
        <w:tc>
          <w:tcPr>
            <w:tcW w:w="3969" w:type="dxa"/>
            <w:tcBorders>
              <w:top w:val="single" w:sz="8" w:space="0" w:color="auto"/>
              <w:left w:val="nil"/>
              <w:bottom w:val="single" w:sz="8" w:space="0" w:color="auto"/>
              <w:right w:val="nil"/>
            </w:tcBorders>
          </w:tcPr>
          <w:p w14:paraId="55561B8F" w14:textId="77777777" w:rsidR="006D17FA" w:rsidRPr="003E010B" w:rsidRDefault="006D17FA" w:rsidP="004D77B5">
            <w:pPr>
              <w:autoSpaceDE w:val="0"/>
              <w:autoSpaceDN w:val="0"/>
              <w:adjustRightInd w:val="0"/>
              <w:spacing w:before="120" w:line="60" w:lineRule="atLeast"/>
              <w:rPr>
                <w:rFonts w:asciiTheme="majorBidi" w:hAnsiTheme="majorBidi" w:cstheme="majorBidi"/>
              </w:rPr>
            </w:pPr>
          </w:p>
        </w:tc>
        <w:tc>
          <w:tcPr>
            <w:tcW w:w="1701" w:type="dxa"/>
            <w:tcBorders>
              <w:top w:val="single" w:sz="8" w:space="0" w:color="auto"/>
              <w:left w:val="nil"/>
              <w:bottom w:val="single" w:sz="8" w:space="0" w:color="auto"/>
              <w:right w:val="nil"/>
            </w:tcBorders>
            <w:hideMark/>
          </w:tcPr>
          <w:p w14:paraId="636C2EEA" w14:textId="77777777" w:rsidR="006D17FA" w:rsidRPr="003E010B" w:rsidRDefault="006D17FA" w:rsidP="003E010B">
            <w:pPr>
              <w:autoSpaceDE w:val="0"/>
              <w:autoSpaceDN w:val="0"/>
              <w:adjustRightInd w:val="0"/>
              <w:spacing w:line="60" w:lineRule="atLeast"/>
              <w:contextualSpacing/>
              <w:jc w:val="center"/>
              <w:rPr>
                <w:rFonts w:asciiTheme="majorBidi" w:hAnsiTheme="majorBidi" w:cstheme="majorBidi"/>
              </w:rPr>
            </w:pPr>
            <w:r w:rsidRPr="003E010B">
              <w:rPr>
                <w:rFonts w:asciiTheme="majorBidi" w:hAnsiTheme="majorBidi" w:cstheme="majorBidi"/>
              </w:rPr>
              <w:t>No</w:t>
            </w:r>
          </w:p>
          <w:p w14:paraId="4850AB69" w14:textId="77777777" w:rsidR="006D17FA" w:rsidRPr="003E010B" w:rsidRDefault="006D17FA" w:rsidP="003E010B">
            <w:pPr>
              <w:autoSpaceDE w:val="0"/>
              <w:autoSpaceDN w:val="0"/>
              <w:adjustRightInd w:val="0"/>
              <w:spacing w:line="60" w:lineRule="atLeast"/>
              <w:contextualSpacing/>
              <w:jc w:val="center"/>
              <w:rPr>
                <w:rFonts w:asciiTheme="majorBidi" w:hAnsiTheme="majorBidi" w:cstheme="majorBidi"/>
              </w:rPr>
            </w:pPr>
            <w:r w:rsidRPr="003E010B">
              <w:rPr>
                <w:rFonts w:asciiTheme="majorBidi" w:hAnsiTheme="majorBidi" w:cstheme="majorBidi"/>
              </w:rPr>
              <w:t>n=633</w:t>
            </w:r>
          </w:p>
        </w:tc>
        <w:tc>
          <w:tcPr>
            <w:tcW w:w="1418" w:type="dxa"/>
            <w:tcBorders>
              <w:top w:val="single" w:sz="8" w:space="0" w:color="auto"/>
              <w:left w:val="nil"/>
              <w:bottom w:val="single" w:sz="8" w:space="0" w:color="auto"/>
              <w:right w:val="nil"/>
            </w:tcBorders>
            <w:hideMark/>
          </w:tcPr>
          <w:p w14:paraId="59CCC445" w14:textId="77777777" w:rsidR="006D17FA" w:rsidRPr="003E010B" w:rsidRDefault="006D17FA" w:rsidP="003E010B">
            <w:pPr>
              <w:autoSpaceDE w:val="0"/>
              <w:autoSpaceDN w:val="0"/>
              <w:adjustRightInd w:val="0"/>
              <w:spacing w:line="60" w:lineRule="atLeast"/>
              <w:contextualSpacing/>
              <w:jc w:val="center"/>
              <w:rPr>
                <w:rFonts w:asciiTheme="majorBidi" w:hAnsiTheme="majorBidi" w:cstheme="majorBidi"/>
              </w:rPr>
            </w:pPr>
            <w:r w:rsidRPr="003E010B">
              <w:rPr>
                <w:rFonts w:asciiTheme="majorBidi" w:hAnsiTheme="majorBidi" w:cstheme="majorBidi"/>
              </w:rPr>
              <w:t>Yes</w:t>
            </w:r>
          </w:p>
          <w:p w14:paraId="1F925ED7" w14:textId="77777777" w:rsidR="006D17FA" w:rsidRPr="003E010B" w:rsidRDefault="006D17FA" w:rsidP="003E010B">
            <w:pPr>
              <w:autoSpaceDE w:val="0"/>
              <w:autoSpaceDN w:val="0"/>
              <w:adjustRightInd w:val="0"/>
              <w:spacing w:line="60" w:lineRule="atLeast"/>
              <w:contextualSpacing/>
              <w:jc w:val="center"/>
              <w:rPr>
                <w:rFonts w:asciiTheme="majorBidi" w:hAnsiTheme="majorBidi" w:cstheme="majorBidi"/>
              </w:rPr>
            </w:pPr>
            <w:r w:rsidRPr="003E010B">
              <w:rPr>
                <w:rFonts w:asciiTheme="majorBidi" w:hAnsiTheme="majorBidi" w:cstheme="majorBidi"/>
              </w:rPr>
              <w:t>n=50</w:t>
            </w:r>
          </w:p>
        </w:tc>
        <w:tc>
          <w:tcPr>
            <w:tcW w:w="1192" w:type="dxa"/>
            <w:tcBorders>
              <w:top w:val="single" w:sz="8" w:space="0" w:color="auto"/>
              <w:left w:val="nil"/>
              <w:bottom w:val="single" w:sz="8" w:space="0" w:color="auto"/>
              <w:right w:val="nil"/>
            </w:tcBorders>
            <w:hideMark/>
          </w:tcPr>
          <w:p w14:paraId="4D4D146E" w14:textId="77777777" w:rsidR="006D17FA" w:rsidRPr="003E010B" w:rsidRDefault="006D17FA" w:rsidP="003E010B">
            <w:pPr>
              <w:autoSpaceDE w:val="0"/>
              <w:autoSpaceDN w:val="0"/>
              <w:adjustRightInd w:val="0"/>
              <w:spacing w:line="60" w:lineRule="atLeast"/>
              <w:contextualSpacing/>
              <w:jc w:val="center"/>
              <w:rPr>
                <w:rFonts w:asciiTheme="majorBidi" w:hAnsiTheme="majorBidi" w:cstheme="majorBidi"/>
              </w:rPr>
            </w:pPr>
            <w:r w:rsidRPr="003E010B">
              <w:rPr>
                <w:rFonts w:asciiTheme="majorBidi" w:hAnsiTheme="majorBidi" w:cstheme="majorBidi"/>
              </w:rPr>
              <w:t>p Value</w:t>
            </w:r>
          </w:p>
        </w:tc>
      </w:tr>
      <w:tr w:rsidR="006D17FA" w14:paraId="7A2055AA" w14:textId="77777777" w:rsidTr="004D77B5">
        <w:tc>
          <w:tcPr>
            <w:tcW w:w="3969" w:type="dxa"/>
            <w:vAlign w:val="bottom"/>
            <w:hideMark/>
          </w:tcPr>
          <w:p w14:paraId="52F113B5" w14:textId="77777777" w:rsidR="006D17FA" w:rsidRDefault="006D17FA" w:rsidP="003E010B">
            <w:pPr>
              <w:spacing w:before="120" w:line="60" w:lineRule="atLeast"/>
              <w:rPr>
                <w:rFonts w:asciiTheme="majorBidi" w:eastAsia="Times New Roman" w:hAnsiTheme="majorBidi" w:cstheme="majorBidi" w:hint="cs"/>
                <w:b/>
                <w:bCs/>
                <w:color w:val="000000"/>
                <w:sz w:val="24"/>
                <w:szCs w:val="24"/>
                <w:rtl/>
              </w:rPr>
            </w:pPr>
            <w:r>
              <w:rPr>
                <w:rFonts w:asciiTheme="majorBidi" w:eastAsia="Times New Roman" w:hAnsiTheme="majorBidi" w:cstheme="majorBidi"/>
                <w:b/>
                <w:bCs/>
                <w:color w:val="000000"/>
                <w:sz w:val="24"/>
                <w:szCs w:val="24"/>
              </w:rPr>
              <w:t>Hemoglobin (g/dL)</w:t>
            </w:r>
          </w:p>
        </w:tc>
        <w:tc>
          <w:tcPr>
            <w:tcW w:w="1701" w:type="dxa"/>
            <w:vAlign w:val="bottom"/>
            <w:hideMark/>
          </w:tcPr>
          <w:p w14:paraId="058DE338"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13.3±1.6</w:t>
            </w:r>
          </w:p>
        </w:tc>
        <w:tc>
          <w:tcPr>
            <w:tcW w:w="1418" w:type="dxa"/>
            <w:vAlign w:val="bottom"/>
            <w:hideMark/>
          </w:tcPr>
          <w:p w14:paraId="2F52945E"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12.7±1.5</w:t>
            </w:r>
          </w:p>
        </w:tc>
        <w:tc>
          <w:tcPr>
            <w:tcW w:w="1192" w:type="dxa"/>
            <w:hideMark/>
          </w:tcPr>
          <w:p w14:paraId="0E129665" w14:textId="77777777"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0.010</w:t>
            </w:r>
          </w:p>
        </w:tc>
      </w:tr>
      <w:tr w:rsidR="006D17FA" w14:paraId="79E94F58" w14:textId="77777777" w:rsidTr="004D77B5">
        <w:tc>
          <w:tcPr>
            <w:tcW w:w="3969" w:type="dxa"/>
            <w:vAlign w:val="bottom"/>
            <w:hideMark/>
          </w:tcPr>
          <w:p w14:paraId="458344B5" w14:textId="77777777" w:rsidR="006D17FA" w:rsidRDefault="006D17FA" w:rsidP="003E010B">
            <w:pPr>
              <w:spacing w:before="120" w:line="6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WBC (per cmm</w:t>
            </w:r>
            <w:r>
              <w:rPr>
                <w:rFonts w:asciiTheme="majorBidi" w:eastAsia="Times New Roman" w:hAnsiTheme="majorBidi" w:cstheme="majorBidi"/>
                <w:b/>
                <w:bCs/>
                <w:color w:val="000000"/>
                <w:sz w:val="24"/>
                <w:szCs w:val="24"/>
                <w:vertAlign w:val="superscript"/>
              </w:rPr>
              <w:t>3</w:t>
            </w:r>
            <w:r>
              <w:rPr>
                <w:rFonts w:asciiTheme="majorBidi" w:eastAsia="Times New Roman" w:hAnsiTheme="majorBidi" w:cstheme="majorBidi"/>
                <w:b/>
                <w:bCs/>
                <w:color w:val="000000"/>
                <w:sz w:val="24"/>
                <w:szCs w:val="24"/>
              </w:rPr>
              <w:t>)</w:t>
            </w:r>
          </w:p>
        </w:tc>
        <w:tc>
          <w:tcPr>
            <w:tcW w:w="1701" w:type="dxa"/>
            <w:vAlign w:val="bottom"/>
            <w:hideMark/>
          </w:tcPr>
          <w:p w14:paraId="57EFA799"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12.5±4.6</w:t>
            </w:r>
          </w:p>
        </w:tc>
        <w:tc>
          <w:tcPr>
            <w:tcW w:w="1418" w:type="dxa"/>
            <w:vAlign w:val="bottom"/>
            <w:hideMark/>
          </w:tcPr>
          <w:p w14:paraId="1FFD7C3D"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14.8±5.7</w:t>
            </w:r>
          </w:p>
        </w:tc>
        <w:tc>
          <w:tcPr>
            <w:tcW w:w="1192" w:type="dxa"/>
            <w:hideMark/>
          </w:tcPr>
          <w:p w14:paraId="5A93F9F7" w14:textId="77777777"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0.001</w:t>
            </w:r>
          </w:p>
        </w:tc>
      </w:tr>
      <w:tr w:rsidR="006D17FA" w14:paraId="1E5BB166" w14:textId="77777777" w:rsidTr="004D77B5">
        <w:tc>
          <w:tcPr>
            <w:tcW w:w="3969" w:type="dxa"/>
            <w:vAlign w:val="bottom"/>
            <w:hideMark/>
          </w:tcPr>
          <w:p w14:paraId="0695E247" w14:textId="77777777" w:rsidR="006D17FA" w:rsidRDefault="006D17FA" w:rsidP="003E010B">
            <w:pPr>
              <w:spacing w:before="120" w:line="60" w:lineRule="atLeas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Platelets (per cmm</w:t>
            </w:r>
            <w:r>
              <w:rPr>
                <w:rFonts w:asciiTheme="majorBidi" w:eastAsia="Times New Roman" w:hAnsiTheme="majorBidi" w:cstheme="majorBidi"/>
                <w:color w:val="000000"/>
                <w:sz w:val="24"/>
                <w:szCs w:val="24"/>
                <w:vertAlign w:val="superscript"/>
              </w:rPr>
              <w:t>3</w:t>
            </w:r>
            <w:r>
              <w:rPr>
                <w:rFonts w:asciiTheme="majorBidi" w:eastAsia="Times New Roman" w:hAnsiTheme="majorBidi" w:cstheme="majorBidi"/>
                <w:color w:val="000000"/>
                <w:sz w:val="24"/>
                <w:szCs w:val="24"/>
              </w:rPr>
              <w:t>)</w:t>
            </w:r>
          </w:p>
        </w:tc>
        <w:tc>
          <w:tcPr>
            <w:tcW w:w="1701" w:type="dxa"/>
            <w:vAlign w:val="bottom"/>
            <w:hideMark/>
          </w:tcPr>
          <w:p w14:paraId="3F166249"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245±80</w:t>
            </w:r>
          </w:p>
        </w:tc>
        <w:tc>
          <w:tcPr>
            <w:tcW w:w="1418" w:type="dxa"/>
            <w:vAlign w:val="bottom"/>
            <w:hideMark/>
          </w:tcPr>
          <w:p w14:paraId="58C54F9A"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248±92</w:t>
            </w:r>
          </w:p>
        </w:tc>
        <w:tc>
          <w:tcPr>
            <w:tcW w:w="1192" w:type="dxa"/>
            <w:hideMark/>
          </w:tcPr>
          <w:p w14:paraId="248BB2EB" w14:textId="77777777" w:rsidR="006D17FA" w:rsidRDefault="006D17FA" w:rsidP="003E010B">
            <w:pPr>
              <w:autoSpaceDE w:val="0"/>
              <w:autoSpaceDN w:val="0"/>
              <w:adjustRightInd w:val="0"/>
              <w:spacing w:before="120" w:line="60" w:lineRule="atLeast"/>
              <w:jc w:val="center"/>
              <w:rPr>
                <w:rFonts w:asciiTheme="majorBidi" w:hAnsiTheme="majorBidi" w:cstheme="majorBidi"/>
                <w:sz w:val="24"/>
                <w:szCs w:val="24"/>
              </w:rPr>
            </w:pPr>
            <w:r>
              <w:rPr>
                <w:rFonts w:asciiTheme="majorBidi" w:hAnsiTheme="majorBidi" w:cstheme="majorBidi"/>
                <w:sz w:val="24"/>
                <w:szCs w:val="24"/>
              </w:rPr>
              <w:t>0.832</w:t>
            </w:r>
          </w:p>
        </w:tc>
      </w:tr>
      <w:tr w:rsidR="006D17FA" w14:paraId="3E23B141" w14:textId="77777777" w:rsidTr="004D77B5">
        <w:tc>
          <w:tcPr>
            <w:tcW w:w="3969" w:type="dxa"/>
            <w:vAlign w:val="bottom"/>
            <w:hideMark/>
          </w:tcPr>
          <w:p w14:paraId="3EB1493B" w14:textId="77777777" w:rsidR="006D17FA" w:rsidRDefault="006D17FA" w:rsidP="003E010B">
            <w:pPr>
              <w:spacing w:before="120" w:line="6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Creatinine (mg/dL)</w:t>
            </w:r>
          </w:p>
        </w:tc>
        <w:tc>
          <w:tcPr>
            <w:tcW w:w="1701" w:type="dxa"/>
            <w:vAlign w:val="bottom"/>
            <w:hideMark/>
          </w:tcPr>
          <w:p w14:paraId="32533899"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0.9±0.5</w:t>
            </w:r>
          </w:p>
        </w:tc>
        <w:tc>
          <w:tcPr>
            <w:tcW w:w="1418" w:type="dxa"/>
            <w:vAlign w:val="bottom"/>
            <w:hideMark/>
          </w:tcPr>
          <w:p w14:paraId="3DAF0918"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1.0±0.4</w:t>
            </w:r>
          </w:p>
        </w:tc>
        <w:tc>
          <w:tcPr>
            <w:tcW w:w="1192" w:type="dxa"/>
            <w:hideMark/>
          </w:tcPr>
          <w:p w14:paraId="7EFCAA71" w14:textId="77777777"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0.033</w:t>
            </w:r>
          </w:p>
        </w:tc>
      </w:tr>
      <w:tr w:rsidR="006D17FA" w14:paraId="78F15533" w14:textId="77777777" w:rsidTr="004D77B5">
        <w:tc>
          <w:tcPr>
            <w:tcW w:w="3969" w:type="dxa"/>
            <w:vAlign w:val="bottom"/>
            <w:hideMark/>
          </w:tcPr>
          <w:p w14:paraId="7A53DC5B" w14:textId="77777777" w:rsidR="006D17FA" w:rsidRDefault="006D17FA" w:rsidP="003E010B">
            <w:pPr>
              <w:spacing w:before="120" w:line="6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UREA (mg/dL)</w:t>
            </w:r>
          </w:p>
        </w:tc>
        <w:tc>
          <w:tcPr>
            <w:tcW w:w="1701" w:type="dxa"/>
            <w:vAlign w:val="bottom"/>
            <w:hideMark/>
          </w:tcPr>
          <w:p w14:paraId="7E3995C7"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36.7±21.1</w:t>
            </w:r>
          </w:p>
        </w:tc>
        <w:tc>
          <w:tcPr>
            <w:tcW w:w="1418" w:type="dxa"/>
            <w:vAlign w:val="bottom"/>
            <w:hideMark/>
          </w:tcPr>
          <w:p w14:paraId="0233E3EA"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48.1±24.8</w:t>
            </w:r>
          </w:p>
        </w:tc>
        <w:tc>
          <w:tcPr>
            <w:tcW w:w="1192" w:type="dxa"/>
            <w:hideMark/>
          </w:tcPr>
          <w:p w14:paraId="1BBB3BC9" w14:textId="150018FC"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0.003</w:t>
            </w:r>
          </w:p>
        </w:tc>
      </w:tr>
      <w:tr w:rsidR="006D17FA" w14:paraId="1811DE42" w14:textId="77777777" w:rsidTr="004D77B5">
        <w:tc>
          <w:tcPr>
            <w:tcW w:w="3969" w:type="dxa"/>
            <w:vAlign w:val="bottom"/>
            <w:hideMark/>
          </w:tcPr>
          <w:p w14:paraId="5D5E8BCC" w14:textId="77777777" w:rsidR="006D17FA" w:rsidRDefault="006D17FA" w:rsidP="003E010B">
            <w:pPr>
              <w:spacing w:before="120" w:line="6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Sodium (meq/L)</w:t>
            </w:r>
          </w:p>
        </w:tc>
        <w:tc>
          <w:tcPr>
            <w:tcW w:w="1701" w:type="dxa"/>
            <w:vAlign w:val="bottom"/>
            <w:hideMark/>
          </w:tcPr>
          <w:p w14:paraId="0F25FE22"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137±3.2</w:t>
            </w:r>
          </w:p>
        </w:tc>
        <w:tc>
          <w:tcPr>
            <w:tcW w:w="1418" w:type="dxa"/>
            <w:vAlign w:val="bottom"/>
            <w:hideMark/>
          </w:tcPr>
          <w:p w14:paraId="3F931CD8"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135±3.9</w:t>
            </w:r>
          </w:p>
        </w:tc>
        <w:tc>
          <w:tcPr>
            <w:tcW w:w="1192" w:type="dxa"/>
            <w:hideMark/>
          </w:tcPr>
          <w:p w14:paraId="09C650AE" w14:textId="77777777"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&lt;0.001</w:t>
            </w:r>
          </w:p>
        </w:tc>
      </w:tr>
      <w:tr w:rsidR="006D17FA" w14:paraId="6D3A69AC" w14:textId="77777777" w:rsidTr="004D77B5">
        <w:tc>
          <w:tcPr>
            <w:tcW w:w="3969" w:type="dxa"/>
            <w:vAlign w:val="bottom"/>
            <w:hideMark/>
          </w:tcPr>
          <w:p w14:paraId="0088428D" w14:textId="77777777" w:rsidR="006D17FA" w:rsidRDefault="006D17FA" w:rsidP="003E010B">
            <w:pPr>
              <w:spacing w:before="120" w:line="60" w:lineRule="atLeas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Albumin (g/dL)</w:t>
            </w:r>
          </w:p>
        </w:tc>
        <w:tc>
          <w:tcPr>
            <w:tcW w:w="1701" w:type="dxa"/>
            <w:vAlign w:val="bottom"/>
            <w:hideMark/>
          </w:tcPr>
          <w:p w14:paraId="066DD406"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3.4±0.5</w:t>
            </w:r>
          </w:p>
        </w:tc>
        <w:tc>
          <w:tcPr>
            <w:tcW w:w="1418" w:type="dxa"/>
            <w:vAlign w:val="bottom"/>
            <w:hideMark/>
          </w:tcPr>
          <w:p w14:paraId="3E6B9185" w14:textId="77777777" w:rsidR="006D17FA" w:rsidRDefault="006D17FA" w:rsidP="003E010B">
            <w:pPr>
              <w:spacing w:before="120" w:line="60" w:lineRule="atLeast"/>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3.1±0.7</w:t>
            </w:r>
          </w:p>
        </w:tc>
        <w:tc>
          <w:tcPr>
            <w:tcW w:w="1192" w:type="dxa"/>
            <w:hideMark/>
          </w:tcPr>
          <w:p w14:paraId="3FBA6827" w14:textId="77777777" w:rsidR="006D17FA" w:rsidRDefault="006D17FA" w:rsidP="003E010B">
            <w:pPr>
              <w:autoSpaceDE w:val="0"/>
              <w:autoSpaceDN w:val="0"/>
              <w:adjustRightInd w:val="0"/>
              <w:spacing w:before="120" w:line="60" w:lineRule="atLeast"/>
              <w:jc w:val="center"/>
              <w:rPr>
                <w:rFonts w:asciiTheme="majorBidi" w:hAnsiTheme="majorBidi" w:cstheme="majorBidi"/>
                <w:b/>
                <w:bCs/>
                <w:sz w:val="24"/>
                <w:szCs w:val="24"/>
              </w:rPr>
            </w:pPr>
            <w:r>
              <w:rPr>
                <w:rFonts w:asciiTheme="majorBidi" w:hAnsiTheme="majorBidi" w:cstheme="majorBidi"/>
                <w:b/>
                <w:bCs/>
                <w:sz w:val="24"/>
                <w:szCs w:val="24"/>
              </w:rPr>
              <w:t>0.005</w:t>
            </w:r>
          </w:p>
        </w:tc>
      </w:tr>
      <w:tr w:rsidR="006D17FA" w14:paraId="24A8B104" w14:textId="77777777" w:rsidTr="004D77B5">
        <w:tc>
          <w:tcPr>
            <w:tcW w:w="3969" w:type="dxa"/>
            <w:vAlign w:val="bottom"/>
            <w:hideMark/>
          </w:tcPr>
          <w:p w14:paraId="74F4CC97" w14:textId="77777777" w:rsidR="006D17FA" w:rsidRDefault="006D17FA" w:rsidP="003E010B">
            <w:pPr>
              <w:spacing w:before="120" w:line="60" w:lineRule="atLeas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LDH (IU/dL)</w:t>
            </w:r>
          </w:p>
        </w:tc>
        <w:tc>
          <w:tcPr>
            <w:tcW w:w="1701" w:type="dxa"/>
            <w:vAlign w:val="bottom"/>
            <w:hideMark/>
          </w:tcPr>
          <w:p w14:paraId="6E59A647"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447±231</w:t>
            </w:r>
          </w:p>
        </w:tc>
        <w:tc>
          <w:tcPr>
            <w:tcW w:w="1418" w:type="dxa"/>
            <w:vAlign w:val="bottom"/>
            <w:hideMark/>
          </w:tcPr>
          <w:p w14:paraId="004CE184"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418±156</w:t>
            </w:r>
          </w:p>
        </w:tc>
        <w:tc>
          <w:tcPr>
            <w:tcW w:w="1192" w:type="dxa"/>
            <w:hideMark/>
          </w:tcPr>
          <w:p w14:paraId="207431D6" w14:textId="77EDD49F" w:rsidR="006D17FA" w:rsidRDefault="006D17FA" w:rsidP="003E010B">
            <w:pPr>
              <w:autoSpaceDE w:val="0"/>
              <w:autoSpaceDN w:val="0"/>
              <w:adjustRightInd w:val="0"/>
              <w:spacing w:before="120" w:line="60" w:lineRule="atLeast"/>
              <w:jc w:val="center"/>
              <w:rPr>
                <w:rFonts w:asciiTheme="majorBidi" w:hAnsiTheme="majorBidi" w:cstheme="majorBidi"/>
                <w:sz w:val="24"/>
                <w:szCs w:val="24"/>
              </w:rPr>
            </w:pPr>
            <w:r>
              <w:rPr>
                <w:rFonts w:asciiTheme="majorBidi" w:hAnsiTheme="majorBidi" w:cstheme="majorBidi"/>
                <w:sz w:val="24"/>
                <w:szCs w:val="24"/>
              </w:rPr>
              <w:t>0.441</w:t>
            </w:r>
          </w:p>
        </w:tc>
      </w:tr>
      <w:tr w:rsidR="006D17FA" w14:paraId="67AB643E" w14:textId="77777777" w:rsidTr="004D77B5">
        <w:tc>
          <w:tcPr>
            <w:tcW w:w="3969" w:type="dxa"/>
            <w:vAlign w:val="bottom"/>
            <w:hideMark/>
          </w:tcPr>
          <w:p w14:paraId="769BB93F" w14:textId="77777777" w:rsidR="006D17FA" w:rsidRDefault="006D17FA" w:rsidP="003E010B">
            <w:pPr>
              <w:spacing w:before="120" w:line="60" w:lineRule="atLeas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Total bilirubin (mg/dL)</w:t>
            </w:r>
          </w:p>
        </w:tc>
        <w:tc>
          <w:tcPr>
            <w:tcW w:w="1701" w:type="dxa"/>
            <w:vAlign w:val="bottom"/>
            <w:hideMark/>
          </w:tcPr>
          <w:p w14:paraId="4F1E9B13"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1.2±1.3</w:t>
            </w:r>
          </w:p>
        </w:tc>
        <w:tc>
          <w:tcPr>
            <w:tcW w:w="1418" w:type="dxa"/>
            <w:vAlign w:val="bottom"/>
            <w:hideMark/>
          </w:tcPr>
          <w:p w14:paraId="64300509"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1.2±0.9</w:t>
            </w:r>
          </w:p>
        </w:tc>
        <w:tc>
          <w:tcPr>
            <w:tcW w:w="1192" w:type="dxa"/>
            <w:hideMark/>
          </w:tcPr>
          <w:p w14:paraId="213E2202" w14:textId="77777777" w:rsidR="006D17FA" w:rsidRDefault="006D17FA" w:rsidP="003E010B">
            <w:pPr>
              <w:autoSpaceDE w:val="0"/>
              <w:autoSpaceDN w:val="0"/>
              <w:adjustRightInd w:val="0"/>
              <w:spacing w:before="120" w:line="60" w:lineRule="atLeast"/>
              <w:jc w:val="center"/>
              <w:rPr>
                <w:rFonts w:asciiTheme="majorBidi" w:hAnsiTheme="majorBidi" w:cstheme="majorBidi"/>
                <w:sz w:val="24"/>
                <w:szCs w:val="24"/>
              </w:rPr>
            </w:pPr>
            <w:r>
              <w:rPr>
                <w:rFonts w:asciiTheme="majorBidi" w:hAnsiTheme="majorBidi" w:cstheme="majorBidi"/>
                <w:sz w:val="24"/>
                <w:szCs w:val="24"/>
              </w:rPr>
              <w:t>0.943</w:t>
            </w:r>
          </w:p>
        </w:tc>
      </w:tr>
      <w:tr w:rsidR="006D17FA" w14:paraId="161BAC9C" w14:textId="77777777" w:rsidTr="004D77B5">
        <w:tc>
          <w:tcPr>
            <w:tcW w:w="3969" w:type="dxa"/>
            <w:tcBorders>
              <w:top w:val="nil"/>
              <w:left w:val="nil"/>
              <w:bottom w:val="single" w:sz="8" w:space="0" w:color="auto"/>
              <w:right w:val="nil"/>
            </w:tcBorders>
            <w:vAlign w:val="bottom"/>
            <w:hideMark/>
          </w:tcPr>
          <w:p w14:paraId="35317D3C" w14:textId="77777777" w:rsidR="006D17FA" w:rsidRDefault="006D17FA" w:rsidP="003E010B">
            <w:pPr>
              <w:spacing w:before="120" w:line="60" w:lineRule="atLeas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ALP (IU/dL)</w:t>
            </w:r>
          </w:p>
        </w:tc>
        <w:tc>
          <w:tcPr>
            <w:tcW w:w="1701" w:type="dxa"/>
            <w:tcBorders>
              <w:top w:val="nil"/>
              <w:left w:val="nil"/>
              <w:bottom w:val="single" w:sz="8" w:space="0" w:color="auto"/>
              <w:right w:val="nil"/>
            </w:tcBorders>
            <w:vAlign w:val="bottom"/>
            <w:hideMark/>
          </w:tcPr>
          <w:p w14:paraId="469E310D"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109±99</w:t>
            </w:r>
          </w:p>
        </w:tc>
        <w:tc>
          <w:tcPr>
            <w:tcW w:w="1418" w:type="dxa"/>
            <w:tcBorders>
              <w:top w:val="nil"/>
              <w:left w:val="nil"/>
              <w:bottom w:val="single" w:sz="8" w:space="0" w:color="auto"/>
              <w:right w:val="nil"/>
            </w:tcBorders>
            <w:vAlign w:val="bottom"/>
            <w:hideMark/>
          </w:tcPr>
          <w:p w14:paraId="3DCC99C9" w14:textId="77777777" w:rsidR="006D17FA" w:rsidRDefault="006D17FA" w:rsidP="003E010B">
            <w:pPr>
              <w:spacing w:before="120" w:line="60" w:lineRule="atLeast"/>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120±126</w:t>
            </w:r>
          </w:p>
        </w:tc>
        <w:tc>
          <w:tcPr>
            <w:tcW w:w="1192" w:type="dxa"/>
            <w:tcBorders>
              <w:top w:val="nil"/>
              <w:left w:val="nil"/>
              <w:bottom w:val="single" w:sz="8" w:space="0" w:color="auto"/>
              <w:right w:val="nil"/>
            </w:tcBorders>
            <w:hideMark/>
          </w:tcPr>
          <w:p w14:paraId="6D349A98" w14:textId="38F88D31" w:rsidR="006D17FA" w:rsidRDefault="006D17FA" w:rsidP="003E010B">
            <w:pPr>
              <w:autoSpaceDE w:val="0"/>
              <w:autoSpaceDN w:val="0"/>
              <w:adjustRightInd w:val="0"/>
              <w:spacing w:before="120" w:line="60" w:lineRule="atLeast"/>
              <w:jc w:val="center"/>
              <w:rPr>
                <w:rFonts w:asciiTheme="majorBidi" w:hAnsiTheme="majorBidi" w:cstheme="majorBidi"/>
                <w:sz w:val="24"/>
                <w:szCs w:val="24"/>
              </w:rPr>
            </w:pPr>
            <w:r>
              <w:rPr>
                <w:rFonts w:asciiTheme="majorBidi" w:hAnsiTheme="majorBidi" w:cstheme="majorBidi"/>
                <w:sz w:val="24"/>
                <w:szCs w:val="24"/>
              </w:rPr>
              <w:t>0.472</w:t>
            </w:r>
          </w:p>
        </w:tc>
      </w:tr>
    </w:tbl>
    <w:p w14:paraId="5EDF7ED2" w14:textId="6A63611F" w:rsidR="006D17FA" w:rsidRDefault="004D77B5" w:rsidP="004D77B5">
      <w:r>
        <w:rPr>
          <w:noProof/>
        </w:rPr>
        <w:lastRenderedPageBreak/>
        <mc:AlternateContent>
          <mc:Choice Requires="wpg">
            <w:drawing>
              <wp:inline distT="0" distB="0" distL="0" distR="0" wp14:anchorId="773DA712" wp14:editId="2CE1DEE5">
                <wp:extent cx="4124960" cy="3507294"/>
                <wp:effectExtent l="0" t="0" r="8890" b="17145"/>
                <wp:docPr id="11" name="Group 11"/>
                <wp:cNvGraphicFramePr/>
                <a:graphic xmlns:a="http://schemas.openxmlformats.org/drawingml/2006/main">
                  <a:graphicData uri="http://schemas.microsoft.com/office/word/2010/wordprocessingGroup">
                    <wpg:wgp>
                      <wpg:cNvGrpSpPr/>
                      <wpg:grpSpPr>
                        <a:xfrm>
                          <a:off x="0" y="0"/>
                          <a:ext cx="4124960" cy="3507294"/>
                          <a:chOff x="0" y="0"/>
                          <a:chExt cx="4125896" cy="3508336"/>
                        </a:xfrm>
                      </wpg:grpSpPr>
                      <wps:wsp>
                        <wps:cNvPr id="9" name="Text Box 2"/>
                        <wps:cNvSpPr txBox="1">
                          <a:spLocks noChangeArrowheads="1"/>
                        </wps:cNvSpPr>
                        <wps:spPr bwMode="auto">
                          <a:xfrm>
                            <a:off x="0" y="0"/>
                            <a:ext cx="4064286" cy="403344"/>
                          </a:xfrm>
                          <a:prstGeom prst="rect">
                            <a:avLst/>
                          </a:prstGeom>
                          <a:solidFill>
                            <a:srgbClr val="FFFFFF"/>
                          </a:solidFill>
                          <a:ln w="9525">
                            <a:noFill/>
                            <a:miter lim="800000"/>
                            <a:headEnd/>
                            <a:tailEnd/>
                          </a:ln>
                        </wps:spPr>
                        <wps:txbx>
                          <w:txbxContent>
                            <w:p w14:paraId="4E40090A" w14:textId="259E04CE" w:rsidR="004D77B5" w:rsidRPr="004D77B5" w:rsidRDefault="004D77B5">
                              <w:pPr>
                                <w:rPr>
                                  <w:sz w:val="24"/>
                                  <w:szCs w:val="24"/>
                                </w:rPr>
                              </w:pPr>
                              <w:r w:rsidRPr="004D77B5">
                                <w:rPr>
                                  <w:b/>
                                  <w:bCs/>
                                  <w:sz w:val="24"/>
                                  <w:szCs w:val="24"/>
                                </w:rPr>
                                <w:t>Figure 3:</w:t>
                              </w:r>
                              <w:r w:rsidRPr="004D77B5">
                                <w:rPr>
                                  <w:sz w:val="24"/>
                                  <w:szCs w:val="24"/>
                                </w:rPr>
                                <w:t xml:space="preserve"> Distribution of ASA score </w:t>
                              </w:r>
                              <w:r>
                                <w:rPr>
                                  <w:sz w:val="24"/>
                                  <w:szCs w:val="24"/>
                                </w:rPr>
                                <w:t xml:space="preserve">and cholecystostomy </w:t>
                              </w:r>
                            </w:p>
                          </w:txbxContent>
                        </wps:txbx>
                        <wps:bodyPr rot="0" vert="horz" wrap="square" lIns="91440" tIns="45720" rIns="91440" bIns="45720" anchor="t" anchorCtr="0">
                          <a:spAutoFit/>
                        </wps:bodyPr>
                      </wps:wsp>
                      <wpg:graphicFrame>
                        <wpg:cNvPr id="8" name="Chart 8"/>
                        <wpg:cNvFrPr/>
                        <wpg:xfrm>
                          <a:off x="68246" y="365086"/>
                          <a:ext cx="4057650" cy="3143250"/>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inline>
            </w:drawing>
          </mc:Choice>
          <mc:Fallback>
            <w:pict>
              <v:group w14:anchorId="773DA712" id="Group 11" o:spid="_x0000_s1032" style="width:324.8pt;height:276.15pt;mso-position-horizontal-relative:char;mso-position-vertical-relative:line" coordsize="41258,35083"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QoRsXp&#10;AgAApgwAABkAAABkcnMvZHJhd2luZ3MvZHJhd2luZzEueG1s5JftatswFIZvRejH/ozWsfwZrw50&#10;HYxB2cqyXYAqy42ZLBtJTZNe/Y4spXa2UUaSlsEgOM6xznnk8/HauWDFveZquaI912jTCqkLVuKV&#10;MX0RBJqteEv1eddzCdfqTrXUwE91F1SKPjTyrhUBmc3SgK2oMnhxwSpVKC6WzSO/lGzVqV3MSh0a&#10;9YMj+eC16lqH2Sxm54Rk2UVgoRtn3IJxRkISOut24b5HL9ON3mmUJ795/+K5W6971FKmuhJjZPjG&#10;iEb+gHMXTK6X/Y1y5+zz+kahpioxwUjSlpf4G6x/321QiIOnNdYBmQ2YSzzYh7uYBtJDSFpsatX6&#10;LNIDctjSRsI2adHVNQLYnERzEmO0LXGaplli90QL2CFiditgy8GIGFwncZYmM7sgcNuwK3ulzUfe&#10;Hb0lZAOVWHFm+4YWdH2tjUPtEL54LhG2yDZfFdSUFrfwDQl0DXtwWtCaK/MFDrXoHkrMRNNj9KBo&#10;X2LZSY6RMuKqE75CtBDaLM1W8GO5Q8r7Y6PYPEDTwQEyIai8KzGXZ9+XGOlH2DLM5ZBYppHZ9rym&#10;DFrxbSvPmPYlBT/rbhZXq05wttWmg0+7RdpQc69t1c1Q+2EZl9UNVfTrE2zFzz5d/zVsdB9C9r64&#10;u5IO7a931j0JcTOzZ/Kpg544YCIGrXpOVbI/iEqYzr3SPK8p8yjfLZxIEonzON+XpCOEJfonhSUK&#10;E1BjkA5QjiSKYmi/PWlJk4yQ/0ZZXkFF7OyKtQjtk6Sl6rrEM4waWXEJuupmv+K1nddBD0KvB4Ka&#10;Rk4k4YqK5lY1XhOcxzCiPrbHkBETQyUh2IlZFuBZ0ciah7HtpBOzLMCz4pEVRlmYnh5mCR6WTGA5&#10;yfPTwyzBw9IRRkgON3byNFqCh2UTWBZHL9AfluBh+QizpBdoEEvwsPkEBhr2Ag1iCW7i/PuFJb/G&#10;68Ggz2bRvxHmHbw3z+Dd98hH/qVqqPBScswTP5j+L1n8BAAA//8DAFBLAwQUAAYACAAAACEAbd4j&#10;fRADAAAVBwAADgAAAGRycy9lMm9Eb2MueG1spJVtT9swEMffT9p3sPx+JE3T0kakiAFFSGxDgn0A&#10;13ESa4nt2W4T9ul3ttNQyqYh1hepHy93v7v/5ey8bxu0Y9pwKXI8OYkxYoLKgosqx98f158WGBlL&#10;REEaKViOn5jB56uPH846lbFE1rIpmEZgRJisUzmurVVZFBlas5aYE6mYgM1S6pZYmOoqKjTpwHrb&#10;REkcz6NO6kJpSZkxsHoVNvHK2y9LRu23sjTMoibH4Jv1T+2fG/eMVmckqzRRNaeDG+QdXrSEC3jp&#10;aOqKWIK2mr8y1XKqpZGlPaGyjWRZcsp8DBDNJD6K5kbLrfKxVFlXqREToD3i9G6z9OvuXiNeQO4m&#10;GAnSQo78axHMAU6nqgzO3Gj1oO71sFCFmYu3L3Xr/iES1HusTyNW1ltEYTGdJOlyDvQp7E1n8Wmy&#10;TAN4WkN2Xt2j9fXzzdliOR9vLqbTubsZ7V8cOf9GdzoFRWSeOZn/4/RQE8U8fuMYDJyWe0yPLr7P&#10;skdJAOUPOUrI9rAMRH1FGHUn6Q+DhLysiajYhdayqxkpwDuPGGIYrzrgJjPOyKb7IgvIBtla6Q29&#10;CXU8T5PFACyNp9PUkx55kUxpY2+YbJEb5FiDQrx1srszNqDdH3F5NbLhxZo3jZ/oanPZaLQjoKa1&#10;/w3ZeHGsEajL8XKWzLxlId19ME2ylltQe8PbHC9i9wtl4Ghci8IfsYQ3YQxONwJyvScS2Nh+0/t6&#10;HalvZPEEvLQM4oZmBINa6l8YdSDsHJufW6IZRs2tAObLSZq6TuAn6ew0gYk+3Nkc7hBBwVSOLUZh&#10;eGl99/A41AXkZs09Nudl8GRwGQoxyGfoLmsN4hoFNRQTdMegOagNbdEiVJKX3FqPejvK/HyRpJBi&#10;J6b5LIZse3Cj2uLZKSwPmpmk0wQmLrFOKntLg08uimH414717xZMne+Qapr50dCm6CvxvdXSYAA4&#10;H3W5PxgIHfRK0m3LhA2fBM0aYuF7ZGquDCQ3c+1N3xZBbS8i9q1khDF0E/8xGNLll6D3Hh50qA7n&#10;nu3z12z1GwAA//8DAFBLAwQUAAYACAAAACEA+CCnqusAAADGAQAAIAAAAGRycy9jaGFydHMvX3Jl&#10;bHMvY2hhcnQxLnhtbC5yZWxzrJDBSgMxEIbvgu8Q5u5mtwcRabYgKvQggm4fYExmN2t3MyETtX17&#10;Y0G0UPDiLcMw3//9Wa5286TeKcnIwUBT1aAoWHZjGAxsuvuLK1CSMTicOJCBPQms2vOz5RNNmMuR&#10;+DGKKpQgBnzO8VprsZ5mlIojhbLpOc2Yy5gGHdFucSC9qOtLnX4zoD1iqrUzkNZuAarbx5L8N5v7&#10;frR0y/ZtppBPRGjrMeWNUHr2GEsT1WEaKBuoKu0SfpTW8v1oqqIO+rRV859WPNHjyyvZ/ONzw7z9&#10;yjjoPbAr/e92mVLAg5I++v32EwAA//8DAFBLAwQUAAYACAAAACEABk6dhd0AAAAFAQAADwAAAGRy&#10;cy9kb3ducmV2LnhtbEyPQUvDQBCF74L/YRnBm92kNUFjNqUU9VQEW6H0Ns1Ok9DsbMhuk/Tfu3rR&#10;y8DjPd77Jl9OphUD9a6xrCCeRSCIS6sbrhR87d4enkA4j6yxtUwKruRgWdze5JhpO/InDVtfiVDC&#10;LkMFtfddJqUrazLoZrYjDt7J9gZ9kH0ldY9jKDetnEdRKg02HBZq7GhdU3neXoyC9xHH1SJ+HTbn&#10;0/p62CUf+01MSt3fTasXEJ4m/xeGH/yADkVgOtoLaydaBeER/3uDlz4+pyCOCpJkvgBZ5PI/ffEN&#10;AAD//wMAUEsDBBQABgAIAAAAIQDjFIUihwYAABAVAAAVAAAAZHJzL2NoYXJ0cy9jaGFydDEueG1s&#10;7Fhtb9s2EP4+YP9BE1Jgw2BbkiW/CLELx06GNE4b1GkH7Bst0bYWilQpKrFb9L/v+CLZcuysWdcC&#10;A9YANXU8Hu+ND+94+nKdEuse8zxhdGC7Tce2MI1YnNDlwH53e9Ho2VYuEI0RYRQP7A3O7ZfDH384&#10;jcJohbiYZSjCFgiheRgN7JUQWdhq5dEKpyhvsgxTmFswniIBn3zZijl6AOEpaXmO02kpIbYRgP6B&#10;gBQltFzPv2Q9WyySCE9YVKSYCq0FxwQJ8EC+SrK8lBa5He49kpgmEWc5W4hmxNKWFlYaBcLcoFVZ&#10;NQQnxUhgt+/41j0iA9uxW5JIEF1qAqaNdzNN5KygMY7HjFMIxw5/GoUjIjCnIGrMqACtjb/SL/J4&#10;ivhdkTVA3QyMnCckERtltj08BdnjFQN/WG/xhyLhOB/YketvXeA/1wFOt9VreSauYKzrh7nYEKwN&#10;ch1PWtuq9lUqXCBC5ii6k77ZYa5Yt/Ny4b4z5CqVRnKACsFuE0HwBBMscLzjxyjMCBMjjpFkJGjD&#10;CqHCMUd8LHNZkmE8SbheFTGiQ7OE2GSQtIZMihzCgWM9eY/4ZswIq8UM7MBcykvidU0FxmNsxJtk&#10;EGvJlwv+Fi/kaDGcrTAW7Z9Ork46py1J0PNjBKdKjjMxhlwRWq6rtciEBVvJDJMc90PK5NJ7cLXk&#10;Vz+whREBtHI/GGoFEgooIC4Xr/ESsuTexMvoGCHlHFqkj5R8ddINT16duG6lKnBVquqTP2YxHv6G&#10;Ia8RUWwKDxR135zgsDlK+tYaaZO21zX2enVztwyeYWgfY2gbBv8Yg28YgjoDeG5rqf5QzoGhcRcc&#10;eRmMQ167kl67+tZec5pev+vs/PtbNzrNduDuLHCco34rHQtL2rUVTrfuqG0sSle7zZpWjuOeN44G&#10;sHR/u1nfxQnOG3vKPRESEwu8FtNc5TKMrIInA/vTuN3uOeOx3wgmnfOG7/THjbPzttc473oT8F87&#10;aI/Hn7eI2HkuIrr+Dhp2woImHwp8aZDpU2lUY3IOKvj+RdA463kXDa8TnAUBfHpd77M8FGAc6Fz+&#10;KiuAZGBmH20MKuygjaEcR5vpV6ANVAX1mEvN/oebQ4BVnoHvCjdTCTfTbw03vb0T6sJxOnqsS+AG&#10;jFK33CFfbSEmOOqu0p/P2rzEFH9PY6f3SOP/MKa4X4cp8XROclV7rNjDFC8xja/wplbN5DDzHkED&#10;sVPcStoYidcordcQkj7D/CD9BvNIlrX7cs6K+ZzgWfJxVxREpFJtibLfk1isTC0UmHoFrUt89Ryv&#10;3/Y6Tk/XFXsTfuCpCRC5WwTC/T1SVdke+1ZOHiECBaH0DuMJqK7aB61FmtBrtDaQvcMYq4q0ZiNa&#10;3zBT6s+1gkLWrlKsBmqeRKvhKQrnLN7ccLgFUEhyMZMFtfrIJCW74fInxou3iqdVkRSd33BLdhwD&#10;u+o2UCiGo9nIyiPG8Snwy3sFhcAu16o7Ru8MjtGKMKgOoWTe0V5OlcpCiXORCmtb7Q1sU+5B98gK&#10;CO40oXc4hg5Tm5miPxm/TaK7a2hOtFAK/aWZTOjxSQGLIDErv1G4FG+ZXig7s3xkCm4V+TLAUJPJ&#10;OWycLbuEPzA3y+SX1sFoR+ZkRJZU0yLBtXSgvlksclwW3o5JNsquCyKS6T0BveoOqhIJEvtgRm31&#10;20mUJzIqClNUNhTNTlk76N+gXbmvrsWO6Kdz0LQ7VVgP5aDFmRjYjcBXm9ry7QC+V4x/lLv/e+l5&#10;SaMkhqcIbP384pdvk6LOi/3sNBH9Xtm5xZMnslNNnWHxgLHJyLn+MNGWJ+kdTUrwbLpBLS1clRVw&#10;WE0KwqjWBitcl4BD1Kg6V8IkvWqT5XyKaIHItPpeX0NXpxMNx0tzdDeHiNuEhXLa7/l9+L/b7rue&#10;avCj0KCK1/S93T+vD5ex1uLBJHTTczq+47v9vt8NnE7QMylv8L/X9Hq+F/T7nucEgdt320YCGF1X&#10;Hwj6AUAh+CNsk6inQfXLgVclP1wD1BKbDC/gWWxg/5rSBlGeBFzV+KwhVguHG/UGcQSovQ/QFQxr&#10;PaS6VaBk+N4n+RtKjOMMasVJnp0B0N/lIwNzcDtq/8m7dwLolL8BU+FyquND9XjyfKOt/CNgOrzk&#10;QY+Mwijfsz3K5f5fZ7tqe+TrF5kggSwOTyoDm1/GuoCU2P0uk69sdZvgVqjWyBgX0CHNViiDG6CS&#10;oJILXKvsVw+Zw7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BAi0AFAAGAAgAAAAhAHTcNXAwAQAA5QIA&#10;ABMAAAAAAAAAAAAAAAAAAAAAAFtDb250ZW50X1R5cGVzXS54bWxQSwECLQAUAAYACAAAACEAOP0h&#10;/9YAAACUAQAACwAAAAAAAAAAAAAAAABhAQAAX3JlbHMvLnJlbHNQSwECLQAUAAYACAAAACEAxChG&#10;xekCAACmDAAAGQAAAAAAAAAAAAAAAABgAgAAZHJzL2RyYXdpbmdzL2RyYXdpbmcxLnhtbFBLAQIt&#10;ABQABgAIAAAAIQBt3iN9EAMAABUHAAAOAAAAAAAAAAAAAAAAAIAFAABkcnMvZTJvRG9jLnhtbFBL&#10;AQItABQABgAIAAAAIQD4IKeq6wAAAMYBAAAgAAAAAAAAAAAAAAAAALwIAABkcnMvY2hhcnRzL19y&#10;ZWxzL2NoYXJ0MS54bWwucmVsc1BLAQItABQABgAIAAAAIQAGTp2F3QAAAAUBAAAPAAAAAAAAAAAA&#10;AAAAAOUJAABkcnMvZG93bnJldi54bWxQSwECLQAUAAYACAAAACEA4xSFIocGAAAQFQAAFQAAAAAA&#10;AAAAAAAAAADvCgAAZHJzL2NoYXJ0cy9jaGFydDEueG1sUEsBAi0AFAAGAAgAAAAhAKsWzUa5AAAA&#10;IgEAABkAAAAAAAAAAAAAAAAAqREAAGRycy9fcmVscy9lMm9Eb2MueG1sLnJlbHNQSwUGAAAAAAgA&#10;CAASAgAAmRIAAAAA&#10;">
                <v:shape id="Text Box 2" o:spid="_x0000_s1033" type="#_x0000_t202" style="position:absolute;width:40642;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4E40090A" w14:textId="259E04CE" w:rsidR="004D77B5" w:rsidRPr="004D77B5" w:rsidRDefault="004D77B5">
                        <w:pPr>
                          <w:rPr>
                            <w:sz w:val="24"/>
                            <w:szCs w:val="24"/>
                          </w:rPr>
                        </w:pPr>
                        <w:r w:rsidRPr="004D77B5">
                          <w:rPr>
                            <w:b/>
                            <w:bCs/>
                            <w:sz w:val="24"/>
                            <w:szCs w:val="24"/>
                          </w:rPr>
                          <w:t>Figure 3:</w:t>
                        </w:r>
                        <w:r w:rsidRPr="004D77B5">
                          <w:rPr>
                            <w:sz w:val="24"/>
                            <w:szCs w:val="24"/>
                          </w:rPr>
                          <w:t xml:space="preserve"> Distribution of ASA score </w:t>
                        </w:r>
                        <w:r>
                          <w:rPr>
                            <w:sz w:val="24"/>
                            <w:szCs w:val="24"/>
                          </w:rPr>
                          <w:t xml:space="preserve">and cholecystostomy </w:t>
                        </w:r>
                      </w:p>
                    </w:txbxContent>
                  </v:textbox>
                </v:shape>
                <v:shape id="Chart 8" o:spid="_x0000_s1034" type="#_x0000_t75" style="position:absolute;left:670;top:3597;width:40609;height:31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dR5vAAAANoAAAAPAAAAZHJzL2Rvd25yZXYueG1sRE9LawIx&#10;EL4L/ocwBW+abQ8iq1GKICgUii+8DsnsZulmsuxE3f57cyj0+PG9V5shtOpBvTSRDbzPClDENrqG&#10;awOX8266ACUJ2WEbmQz8ksBmPR6tsHTxyUd6nFKtcghLiQZ8Sl2ptVhPAWUWO+LMVbEPmDLsa+16&#10;fObw0OqPopjrgA3nBo8dbT3Zn9M9GNDSiv3y5/oWhPzBSnWt4rcxk7fhcwkq0ZD+xX/uvTOQt+Yr&#10;+Qbo9QsAAP//AwBQSwECLQAUAAYACAAAACEA2+H2y+4AAACFAQAAEwAAAAAAAAAAAAAAAAAAAAAA&#10;W0NvbnRlbnRfVHlwZXNdLnhtbFBLAQItABQABgAIAAAAIQBa9CxbvwAAABUBAAALAAAAAAAAAAAA&#10;AAAAAB8BAABfcmVscy8ucmVsc1BLAQItABQABgAIAAAAIQDYAdR5vAAAANoAAAAPAAAAAAAAAAAA&#10;AAAAAAcCAABkcnMvZG93bnJldi54bWxQSwUGAAAAAAMAAwC3AAAA8AIAAAAA&#10;">
                  <v:imagedata r:id="rId14" o:title=""/>
                  <o:lock v:ext="edit" aspectratio="f"/>
                </v:shape>
                <w10:anchorlock/>
              </v:group>
            </w:pict>
          </mc:Fallback>
        </mc:AlternateContent>
      </w:r>
    </w:p>
    <w:p w14:paraId="2FA1158F" w14:textId="61E21072" w:rsidR="00B52C84" w:rsidRDefault="004D77B5" w:rsidP="004D77B5">
      <w:r>
        <w:t xml:space="preserve">Figure </w:t>
      </w:r>
      <w:r w:rsidR="00B52C84">
        <w:t xml:space="preserve">4 shows severity of disease with regard to </w:t>
      </w:r>
      <w:r w:rsidR="00F94FCD">
        <w:t>PC treatment</w:t>
      </w:r>
      <w:r w:rsidR="00B52C84">
        <w:t>. Patients who were treated with this procedure had more severe disease than those who were not.</w:t>
      </w:r>
    </w:p>
    <w:p w14:paraId="6909FED8" w14:textId="1B039760" w:rsidR="00767BBD" w:rsidRDefault="005C33AD" w:rsidP="00767BBD">
      <w:r>
        <w:rPr>
          <w:noProof/>
        </w:rPr>
        <mc:AlternateContent>
          <mc:Choice Requires="wpg">
            <w:drawing>
              <wp:inline distT="0" distB="0" distL="0" distR="0" wp14:anchorId="73D30A39" wp14:editId="023C306F">
                <wp:extent cx="4013835" cy="3300730"/>
                <wp:effectExtent l="0" t="0" r="5715" b="13970"/>
                <wp:docPr id="14" name="Group 14"/>
                <wp:cNvGraphicFramePr/>
                <a:graphic xmlns:a="http://schemas.openxmlformats.org/drawingml/2006/main">
                  <a:graphicData uri="http://schemas.microsoft.com/office/word/2010/wordprocessingGroup">
                    <wpg:wgp>
                      <wpg:cNvGrpSpPr/>
                      <wpg:grpSpPr>
                        <a:xfrm>
                          <a:off x="0" y="0"/>
                          <a:ext cx="4013835" cy="3300730"/>
                          <a:chOff x="130216" y="21287"/>
                          <a:chExt cx="4078122" cy="3431510"/>
                        </a:xfrm>
                      </wpg:grpSpPr>
                      <wps:wsp>
                        <wps:cNvPr id="13" name="Text Box 2"/>
                        <wps:cNvSpPr txBox="1">
                          <a:spLocks noChangeArrowheads="1"/>
                        </wps:cNvSpPr>
                        <wps:spPr bwMode="auto">
                          <a:xfrm>
                            <a:off x="130216" y="21287"/>
                            <a:ext cx="3861435" cy="386080"/>
                          </a:xfrm>
                          <a:prstGeom prst="rect">
                            <a:avLst/>
                          </a:prstGeom>
                          <a:solidFill>
                            <a:srgbClr val="FFFFFF"/>
                          </a:solidFill>
                          <a:ln w="9525">
                            <a:noFill/>
                            <a:miter lim="800000"/>
                            <a:headEnd/>
                            <a:tailEnd/>
                          </a:ln>
                        </wps:spPr>
                        <wps:txbx>
                          <w:txbxContent>
                            <w:p w14:paraId="3889D6D6" w14:textId="77777777" w:rsidR="005C33AD" w:rsidRDefault="005C33AD" w:rsidP="005C33AD">
                              <w:r w:rsidRPr="00795EC3">
                                <w:rPr>
                                  <w:b/>
                                  <w:bCs/>
                                </w:rPr>
                                <w:t>Figure 4:</w:t>
                              </w:r>
                              <w:r w:rsidRPr="004D77B5">
                                <w:t xml:space="preserve"> Disease severity </w:t>
                              </w:r>
                              <w:r>
                                <w:t>and cholecystostomy</w:t>
                              </w:r>
                            </w:p>
                          </w:txbxContent>
                        </wps:txbx>
                        <wps:bodyPr rot="0" vert="horz" wrap="square" lIns="91440" tIns="45720" rIns="91440" bIns="45720" anchor="t" anchorCtr="0">
                          <a:noAutofit/>
                        </wps:bodyPr>
                      </wps:wsp>
                      <wpg:graphicFrame>
                        <wpg:cNvPr id="12" name="Chart 12"/>
                        <wpg:cNvFrPr/>
                        <wpg:xfrm>
                          <a:off x="150688" y="309547"/>
                          <a:ext cx="4057650" cy="314325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inline>
            </w:drawing>
          </mc:Choice>
          <mc:Fallback>
            <w:pict>
              <v:group w14:anchorId="73D30A39" id="Group 14" o:spid="_x0000_s1035" style="width:316.05pt;height:259.9pt;mso-position-horizontal-relative:char;mso-position-vertical-relative:line" coordorigin="1302,212" coordsize="40781,34315"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QoRsXp&#10;AgAApgwAABkAAABkcnMvZHJhd2luZ3MvZHJhd2luZzEueG1s5JftatswFIZvRejH/ozWsfwZrw50&#10;HYxB2cqyXYAqy42ZLBtJTZNe/Y4spXa2UUaSlsEgOM6xznnk8/HauWDFveZquaI912jTCqkLVuKV&#10;MX0RBJqteEv1eddzCdfqTrXUwE91F1SKPjTyrhUBmc3SgK2oMnhxwSpVKC6WzSO/lGzVqV3MSh0a&#10;9YMj+eC16lqH2Sxm54Rk2UVgoRtn3IJxRkISOut24b5HL9ON3mmUJ795/+K5W6971FKmuhJjZPjG&#10;iEb+gHMXTK6X/Y1y5+zz+kahpioxwUjSlpf4G6x/321QiIOnNdYBmQ2YSzzYh7uYBtJDSFpsatX6&#10;LNIDctjSRsI2adHVNQLYnERzEmO0LXGaplli90QL2CFiditgy8GIGFwncZYmM7sgcNuwK3ulzUfe&#10;Hb0lZAOVWHFm+4YWdH2tjUPtEL54LhG2yDZfFdSUFrfwDQl0DXtwWtCaK/MFDrXoHkrMRNNj9KBo&#10;X2LZSY6RMuKqE75CtBDaLM1W8GO5Q8r7Y6PYPEDTwQEyIai8KzGXZ9+XGOlH2DLM5ZBYppHZ9rym&#10;DFrxbSvPmPYlBT/rbhZXq05wttWmg0+7RdpQc69t1c1Q+2EZl9UNVfTrE2zFzz5d/zVsdB9C9r64&#10;u5IO7a931j0JcTOzZ/Kpg544YCIGrXpOVbI/iEqYzr3SPK8p8yjfLZxIEonzON+XpCOEJfonhSUK&#10;E1BjkA5QjiSKYmi/PWlJk4yQ/0ZZXkFF7OyKtQjtk6Sl6rrEM4waWXEJuupmv+K1nddBD0KvB4Ka&#10;Rk4k4YqK5lY1XhOcxzCiPrbHkBETQyUh2IlZFuBZ0ciah7HtpBOzLMCz4pEVRlmYnh5mCR6WTGA5&#10;yfPTwyzBw9IRRkgON3byNFqCh2UTWBZHL9AfluBh+QizpBdoEEvwsPkEBhr2Ag1iCW7i/PuFJb/G&#10;68Ggz2bRvxHmHbw3z+Dd98hH/qVqqPBScswTP5j+L1n8BAAA//8DAFBLAwQUAAYACAAAACEAu6tO&#10;3SMDAAArBwAADgAAAGRycy9lMm9Eb2MueG1spFXbTtwwEH2v1H+w/F5y3w0RWUSBRUi0RYJ+gNdx&#10;Lmpip7Z3E/r1HdvZsCxUrWgeEo8vJzNn5ozPzseuRTsmVSN4joMTHyPGqSgaXuX4++P6U4qR0oQX&#10;pBWc5fiJKXy++vjhbOgzFopatAWTCEC4yoY+x7XWfeZ5itasI+pE9IzDYilkRzSYsvIKSQZA71ov&#10;9P2FNwhZ9FJQphTMXrlFvLL4Zcmo/laWimnU5hh80/Yt7Xtj3t7qjGSVJH3d0MkN8g4vOtJw+OkM&#10;dUU0QVvZvILqGiqFEqU+oaLzRFk2lNkYIJrAP4rmRoptb2OpsqHqZ5qA2iOe3g1Lv+7uJWoKyF2M&#10;EScd5Mj+FoEN5Ax9lcGeG9k/9PdymqicZeIdS9mZL0SCRkvr00wrGzWiMBn7QZRGCUYU1qLI95fR&#10;RDytITvmXBD5YbDACDaEQZguXV5ofT1DLNMgDCeIOAqSwEJ4ew884+js19BDNalnwtT/EfZQk57Z&#10;PChDxp6waE/Yo4n0sxhR6CizuwxfSI8wDeHZ2lD9naA/FOLisia8YhdSiqFmpAD3AnMSgpiPGupV&#10;pgzIZvgiCsgL2WphgY5If5u8PftRugjimf104acvmSNZL5W+YaJDZpBjCaKxvyG7O6WNW89bTKqV&#10;aJti3bStNWS1uWwl2hEQ2No+NpKjbS1HQ45PkzCxyFyY8wBNsq7R0ADapstx6pvHpd7Qcs0Lu0WT&#10;pnVj8KTlE0+GGkeSHjejLeFoT/9GFE9AnBRO79CfYFAL+QujAbSeY/VzSyTDqL3lQP5pEMemOVgj&#10;TpYhGPJwZXO4QjgFqBxrjNzwUtuGYqLh4gKSVDaWNpNA58nkMpSkU9TUcNYS9DZrbF9WUOVOh1Al&#10;UqNgKiqrw7WcRXhcBIm/SKHZGon5p0k8SWhfBbGfLBcJxGU1CAURguFKrppFPLllApmGf+xjf2/M&#10;1HgP2aaZHU3Ni75S4r8iTQBA9VHvewPA9dUrQbcd49pdFJK1RMMtpeqmV5DfzDQ9eVs45b2I2Jb8&#10;TMbUWuwVMWXMTkFHPtxoqDq0bc6f77jVbwAAAP//AwBQSwMEFAAGAAgAAAAhAJ97DbVMAQAARQIA&#10;ACAAAABkcnMvY2hhcnRzL19yZWxzL2NoYXJ0MS54bWwucmVsc6xRzUoDMRC+C77DEvDoZtuDSHHb&#10;g1boQQRtb3sZs7M/mk2WJK3bxyi2iFBFvIi+UF7HqaVooeDFQ5iZzHzffDNz0msqGUzQ2FKrmLXC&#10;iAWohE5LlcdsNDw/PGaBdaBSkFphzKZoWa+7v3dyhRIcgWxR1jYgFmVjVjhXdzi3osAKbKhrVJTJ&#10;tKnAUWhyXoO4gxx5O4qOuPnNwbpbnMEgjZkZpG0WDKc1df6bW2dZKfBMi3GFyu1owUUBxo0smusC&#10;apokGILJ0cUsDHlq4J6mthunFZJ0xnerav2nKi3x8uYWhfvRk5USaZH8tJOs5NqkPwWZbEaziX/z&#10;M7/wD36egHDlBA/akUGqBFEk/sV/0nv0T/458Usyc0r7D3Jm/pVgsxV+QUXv6/8lGVnCmmMs6VSN&#10;tM1GzYVOaf39xqFR8L0RvnX87hcAAAD//wMAUEsDBBQABgAIAAAAIQBMvh613QAAAAUBAAAPAAAA&#10;ZHJzL2Rvd25yZXYueG1sTI9Ba8JAEIXvhf6HZQq91c0qiqbZiEjbkxSqheJtzI5JMDsbsmsS/323&#10;vbSXgcd7vPdNth5tI3rqfO1Yg5okIIgLZ2ouNXweXp+WIHxANtg4Jg038rDO7+8yTI0b+IP6fShF&#10;LGGfooYqhDaV0hcVWfQT1xJH7+w6iyHKrpSmwyGW20ZOk2QhLdYcFypsaVtRcdlfrYa3AYfNTL30&#10;u8t5ezse5u9fO0VaPz6Mm2cQgcbwF4Yf/IgOeWQ6uSsbLxoN8ZHwe6O3mE0ViJOGuVotQeaZ/E+f&#10;fwMAAP//AwBQSwMEFAAGAAgAAAAhAJTK1j1YBgAAVBMAABUAAABkcnMvY2hhcnRzL2NoYXJ0MS54&#10;bWzsWG1v2zYQ/j5g/0ETUmDDYFuSJb8IsQtHToa0Ths0SQfsGy3RthaKVCkqsVv0v+/4Illykr6s&#10;64ABS4OGOpKnu+fuHh51/HybEesO8yJldGK7Xce2MI1ZktL1xL65PuuMbKsQiCaIMIon9g4X9vPp&#10;jz8cx2G8QVxc5SjGFiihRRhP7I0QedjrFfEGZ6joshxTmFsxniEBj3zdSzi6B+UZ6XmOM+gpJbZR&#10;gP6GggyltNrPv2Q/W63SGM9ZXGaYCm0FxwQJQKDYpHlRaYvdAfceaMzSmLOCrUQ3ZllPK6ucAmVu&#10;0Ku9mgJICRLYHTu+dYfIxHbsnhQSRNdagGnn5koLOStpgpOIcQrhaKzP4nBGBOYUVEWMCrDa4JV9&#10;EeIZ4rdl3gFzc3BymZJU7JTb9vQYdEcbBnhYb/C7MuW4mNix6+8h8L8WAGfYG/U8E1dw1vXDQuwI&#10;1g65jie97dXvVSacIUKWKL6V2DQW10v383LjIRhyl0ojOUClYNepIHiOCRY4aeAYhzlhYsYxkgsJ&#10;2rFSqHAsEY9kLksxjOcp17tiRnRo1hCbHJLWiElZQDhwoifvEN9FjLBWzMAPzKW+NNm2TGA8wUa9&#10;SQaxlesKwd/glRytplcbjIX/09HLo8FxTwr0fISgquQ4FxHkitB6XW1FLix4lcwwueJuSpncegdQ&#10;y/XqD7zCqABZ9T4YagNSCiwgzlev8Bqy5M7Ey9gYIwVOtalp5IujYXj04mj8eUv7j1uapSRp2yot&#10;1t64xpuMAWqQ/k+t88y6AoMTB6u0s496btyC0pSg0TJ7JATg3cuGd7CojoOmtQhsm/6GoWgRUSAo&#10;slPSw1g9gYDTHYxcp/kTPOVoBYjT9YZPranA8Lvjpk7H8U47XnsTYLN3SD8oCGBoQMFbsShU8GFk&#10;lTyd2B+ifn/kRJHfCeaD047vjKPOyWnf65wOvbk3HvaDfhR93FPI4GspxPUb9DEIS5q+K/G5KeUP&#10;lU+dE2c26Pjj2axzMvDdTnTmDAOvPzoJnOFHmWrgBNhc/VVegMjU5WF5mjJqlKeRPF2ei28oTzhG&#10;H0Ti//qsaKrKwc/X50Kyz+K716eriHjPpg8ZStZwO6L7NVVBOt1DPbrk9txUUdB/oP7cb6u/ZLEk&#10;hTrYNux+gdeYJi/xrnVUFjDzFkF32uicpCxC4hXK2geUlF9h/qj8EvNY9kyHek7K5ZLgq/R9UxUg&#10;X5u2RvnvaSI25qANzGGIthUXjYMAfr2H8uHI7Q/6un9RPUXdX0BKz9SB/5SWIkYEWg0JDeMp2K0a&#10;U21CltILtDXc1liYqF6n5SDaXjLTRC71uStkVyTVakbjabyZHqNwyZLdJQe6RCEpxJVs1dRDLiX5&#10;JTQxKEzw6o1a06tFSs4vuSV72Yld97EoFNN5WmBUYEudxtBsHsM2ycMohF1ShapzbQDgre1hcHJD&#10;T9ZwQk5VNkNhnGXC2p+4E9scuXA9YSUEeJHSW5zAFUZ7m6E/Gb9O49sL6H61UgoXGDOZ0qcnBWyC&#10;5Kzho3CIXDO9Ubb+xcx0dONGlKEDlVPYQC670D8wN7vkkzbBGEeWZEbWVMtiwbVykL5erQpcNXaO&#10;ySvKLkoi0sUdAbPa+NTZBLn9IK1a5jWy5RNpFYcZqvrV7qgGq/3ShqpPJ57pnusgPpZ4FmdiYncC&#10;Xx3rtryKwvOG8ffy7f9cTp7TOE3gZoutn5/98n0S0nl2mIsmgP9GLraY6BO5qKZOsLjH2OTfUj+Y&#10;YMuyuaFpxZbdisNMgkFNti5RirglqRA1qotGmJRWlyw5nyFaIrKon7cX0DbrvMLJ2tTl7jFhnY8D&#10;6C39kT+G/4f9sSklQxhe1/ea//qy19U23Jvs7XrOwHd8dzz2h4EzCIZm3tD7qOuNfC8Yjz3PCQJ3&#10;7A2NBnC5bTwI9OVRcfQD2pKEpmnzy6lVZToQPbXELscr+KQysX/NaIcoHIEyNQNr9tTK4cC8RBwB&#10;Lx9ScM2w2g5pbh0mGby3afGaEgOcgTFJi/wEqPy2mBkKg8NP4yeP1jkwT/EaXIXjp00G9cX7S522&#10;uFAfQvbnilW8B9qGr0FwiUNhXBxgEBfSjm/DQN0E5BcUMkcCWRyu5RObnyf6OiX5+SaXX2ravgHx&#10;13tkrEu4NFxtUA4sX2uo6kPhoD6GTf8C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BAi0AFAAGAAgAAAAh&#10;AHTcNXAwAQAA5QIAABMAAAAAAAAAAAAAAAAAAAAAAFtDb250ZW50X1R5cGVzXS54bWxQSwECLQAU&#10;AAYACAAAACEAOP0h/9YAAACUAQAACwAAAAAAAAAAAAAAAABhAQAAX3JlbHMvLnJlbHNQSwECLQAU&#10;AAYACAAAACEAxChGxekCAACmDAAAGQAAAAAAAAAAAAAAAABgAgAAZHJzL2RyYXdpbmdzL2RyYXdp&#10;bmcxLnhtbFBLAQItABQABgAIAAAAIQC7q07dIwMAACsHAAAOAAAAAAAAAAAAAAAAAIAFAABkcnMv&#10;ZTJvRG9jLnhtbFBLAQItABQABgAIAAAAIQCfew21TAEAAEUCAAAgAAAAAAAAAAAAAAAAAM8IAABk&#10;cnMvY2hhcnRzL19yZWxzL2NoYXJ0MS54bWwucmVsc1BLAQItABQABgAIAAAAIQBMvh613QAAAAUB&#10;AAAPAAAAAAAAAAAAAAAAAFkKAABkcnMvZG93bnJldi54bWxQSwECLQAUAAYACAAAACEAlMrWPVgG&#10;AABUEwAAFQAAAAAAAAAAAAAAAABjCwAAZHJzL2NoYXJ0cy9jaGFydDEueG1sUEsBAi0AFAAGAAgA&#10;AAAhAKsWzUa5AAAAIgEAABkAAAAAAAAAAAAAAAAA7hEAAGRycy9fcmVscy9lMm9Eb2MueG1sLnJl&#10;bHNQSwUGAAAAAAgACAASAgAA3hIAAAAA&#10;">
                <v:shape id="Text Box 2" o:spid="_x0000_s1036" type="#_x0000_t202" style="position:absolute;left:1302;top:212;width:3861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889D6D6" w14:textId="77777777" w:rsidR="005C33AD" w:rsidRDefault="005C33AD" w:rsidP="005C33AD">
                        <w:r w:rsidRPr="00795EC3">
                          <w:rPr>
                            <w:b/>
                            <w:bCs/>
                          </w:rPr>
                          <w:t>Figure 4:</w:t>
                        </w:r>
                        <w:r w:rsidRPr="004D77B5">
                          <w:t xml:space="preserve"> Disease severity </w:t>
                        </w:r>
                        <w:r>
                          <w:t>and cholecystostomy</w:t>
                        </w:r>
                      </w:p>
                    </w:txbxContent>
                  </v:textbox>
                </v:shape>
                <v:shape id="Chart 12" o:spid="_x0000_s1037" type="#_x0000_t75" style="position:absolute;left:1487;top:3064;width:40631;height:314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2/vwAAANsAAAAPAAAAZHJzL2Rvd25yZXYueG1sRE9Na8JA&#10;EL0X+h+WKXirm6YoJbqK2Ba9qjn0OGbHJCQ7G3a3Sfz3riB4m8f7nOV6NK3oyfnasoKPaQKCuLC6&#10;5lJBfvp9/wLhA7LG1jIpuJKH9er1ZYmZtgMfqD+GUsQQ9hkqqELoMil9UZFBP7UdceQu1hkMEbpS&#10;aodDDDetTJNkLg3WHBsq7GhbUdEc/42CbfONlM/+Pintf85h17DTw06pydu4WYAINIan+OHe6zg/&#10;hfsv8QC5ugEAAP//AwBQSwECLQAUAAYACAAAACEA2+H2y+4AAACFAQAAEwAAAAAAAAAAAAAAAAAA&#10;AAAAW0NvbnRlbnRfVHlwZXNdLnhtbFBLAQItABQABgAIAAAAIQBa9CxbvwAAABUBAAALAAAAAAAA&#10;AAAAAAAAAB8BAABfcmVscy8ucmVsc1BLAQItABQABgAIAAAAIQBD2M2/vwAAANsAAAAPAAAAAAAA&#10;AAAAAAAAAAcCAABkcnMvZG93bnJldi54bWxQSwUGAAAAAAMAAwC3AAAA8wIAAAAA&#10;">
                  <v:imagedata r:id="rId16" o:title=""/>
                  <o:lock v:ext="edit" aspectratio="f"/>
                </v:shape>
                <w10:anchorlock/>
              </v:group>
            </w:pict>
          </mc:Fallback>
        </mc:AlternateContent>
      </w:r>
    </w:p>
    <w:p w14:paraId="0D38E70B" w14:textId="55CC2869" w:rsidR="00D30025" w:rsidRDefault="00B52C84" w:rsidP="006A656C">
      <w:pPr>
        <w:spacing w:before="120" w:after="120"/>
      </w:pPr>
      <w:r>
        <w:t>Prognosis was worse in</w:t>
      </w:r>
      <w:r w:rsidR="00F94FCD">
        <w:t xml:space="preserve"> patients in the PC group</w:t>
      </w:r>
      <w:r>
        <w:t xml:space="preserve">. Hospital stay was on average </w:t>
      </w:r>
      <w:commentRangeStart w:id="3"/>
      <w:r>
        <w:t>12.8</w:t>
      </w:r>
      <w:r w:rsidR="004D77B5" w:rsidRPr="004D77B5">
        <w:t>±</w:t>
      </w:r>
      <w:r>
        <w:t>9.7 days, vs 6.5</w:t>
      </w:r>
      <w:r w:rsidR="00767BBD" w:rsidRPr="00767BBD">
        <w:t>±</w:t>
      </w:r>
      <w:r>
        <w:t xml:space="preserve">7.0 </w:t>
      </w:r>
      <w:commentRangeEnd w:id="3"/>
      <w:r w:rsidR="00051730">
        <w:rPr>
          <w:rStyle w:val="CommentReference"/>
        </w:rPr>
        <w:commentReference w:id="3"/>
      </w:r>
      <w:r>
        <w:t>days</w:t>
      </w:r>
      <w:r w:rsidR="00F94FCD">
        <w:t xml:space="preserve"> </w:t>
      </w:r>
      <w:r>
        <w:t>in</w:t>
      </w:r>
      <w:r w:rsidR="00F94FCD">
        <w:t xml:space="preserve"> non-PC group</w:t>
      </w:r>
      <w:r>
        <w:t xml:space="preserve">, p&lt;0.001). There were no differences in </w:t>
      </w:r>
      <w:r w:rsidR="00D30025">
        <w:t xml:space="preserve">number of recurrent </w:t>
      </w:r>
      <w:r w:rsidR="00F94FCD">
        <w:t>hospitalizations</w:t>
      </w:r>
      <w:r w:rsidR="00D30025">
        <w:t xml:space="preserve"> within a year in </w:t>
      </w:r>
      <w:r>
        <w:t>patients with and without</w:t>
      </w:r>
      <w:r w:rsidR="00767BBD">
        <w:t xml:space="preserve"> </w:t>
      </w:r>
      <w:r w:rsidR="00F94FCD">
        <w:t>PC</w:t>
      </w:r>
      <w:r w:rsidR="00D30025">
        <w:t>, or in</w:t>
      </w:r>
      <w:r w:rsidR="00767BBD">
        <w:t xml:space="preserve"> total</w:t>
      </w:r>
      <w:r w:rsidR="00D30025">
        <w:t xml:space="preserve"> </w:t>
      </w:r>
      <w:r w:rsidR="00767BBD">
        <w:t>hospital stay duration over</w:t>
      </w:r>
      <w:r w:rsidR="00D30025">
        <w:t xml:space="preserve"> the year </w:t>
      </w:r>
      <w:r w:rsidR="00767BBD">
        <w:t xml:space="preserve">following </w:t>
      </w:r>
      <w:r w:rsidR="00767BBD">
        <w:lastRenderedPageBreak/>
        <w:t xml:space="preserve">initial admission. </w:t>
      </w:r>
      <w:r w:rsidR="00D30025">
        <w:t xml:space="preserve">30-day mortality rates were 10%, vs 0.9% in patients </w:t>
      </w:r>
      <w:r w:rsidR="00F94FCD">
        <w:t xml:space="preserve">without PC (p&lt;0.001). </w:t>
      </w:r>
      <w:r w:rsidR="00767BBD">
        <w:t xml:space="preserve">At one year, </w:t>
      </w:r>
      <w:r w:rsidR="00D30025">
        <w:t xml:space="preserve">mortality in </w:t>
      </w:r>
      <w:r w:rsidR="00767BBD">
        <w:t>PC</w:t>
      </w:r>
      <w:r w:rsidR="00D30025">
        <w:t xml:space="preserve"> patients was 20%, </w:t>
      </w:r>
      <w:r w:rsidR="00767BBD">
        <w:t>and</w:t>
      </w:r>
      <w:r w:rsidR="00D30025">
        <w:t xml:space="preserve"> 4.9% </w:t>
      </w:r>
      <w:r w:rsidR="00F94FCD">
        <w:t xml:space="preserve">in the control group </w:t>
      </w:r>
      <w:r w:rsidR="00D30025">
        <w:t>(p&lt;0.001).</w:t>
      </w:r>
    </w:p>
    <w:p w14:paraId="0B632A7A" w14:textId="110FC202" w:rsidR="00D30025" w:rsidRDefault="00D30025" w:rsidP="004D77B5">
      <w:r>
        <w:t xml:space="preserve">Among </w:t>
      </w:r>
      <w:r w:rsidR="00767BBD">
        <w:t>PC patients</w:t>
      </w:r>
      <w:r>
        <w:t>, those with ASA grades 3-5 were hospitalized longer than those</w:t>
      </w:r>
      <w:r w:rsidR="00B215C3">
        <w:t xml:space="preserve"> with ASA grades 1-2.</w:t>
      </w:r>
      <w:r w:rsidR="00767BBD">
        <w:t xml:space="preserve"> (Figure 5). Similarly, there was an increase in mortality at 30 days and at one year among the ASA groups (Figure 6), though this did not reach statistical significance. </w:t>
      </w:r>
    </w:p>
    <w:p w14:paraId="56F75B16" w14:textId="0BB3DC71" w:rsidR="007F31C6" w:rsidRDefault="005C33AD" w:rsidP="005C33AD">
      <w:pPr>
        <w:pStyle w:val="Heading2"/>
      </w:pPr>
      <w:r>
        <w:rPr>
          <w:noProof/>
        </w:rPr>
        <mc:AlternateContent>
          <mc:Choice Requires="wpg">
            <w:drawing>
              <wp:inline distT="0" distB="0" distL="0" distR="0" wp14:anchorId="0E1C8B28" wp14:editId="78134888">
                <wp:extent cx="5308600" cy="3052445"/>
                <wp:effectExtent l="0" t="0" r="6350" b="14605"/>
                <wp:docPr id="21" name="Group 21"/>
                <wp:cNvGraphicFramePr/>
                <a:graphic xmlns:a="http://schemas.openxmlformats.org/drawingml/2006/main">
                  <a:graphicData uri="http://schemas.microsoft.com/office/word/2010/wordprocessingGroup">
                    <wpg:wgp>
                      <wpg:cNvGrpSpPr/>
                      <wpg:grpSpPr>
                        <a:xfrm>
                          <a:off x="0" y="0"/>
                          <a:ext cx="5308600" cy="3052445"/>
                          <a:chOff x="0" y="0"/>
                          <a:chExt cx="5308600" cy="3052937"/>
                        </a:xfrm>
                      </wpg:grpSpPr>
                      <wps:wsp>
                        <wps:cNvPr id="20" name="Text Box 2"/>
                        <wps:cNvSpPr txBox="1">
                          <a:spLocks noChangeArrowheads="1"/>
                        </wps:cNvSpPr>
                        <wps:spPr bwMode="auto">
                          <a:xfrm>
                            <a:off x="0" y="0"/>
                            <a:ext cx="5308600" cy="570230"/>
                          </a:xfrm>
                          <a:prstGeom prst="rect">
                            <a:avLst/>
                          </a:prstGeom>
                          <a:solidFill>
                            <a:srgbClr val="FFFFFF"/>
                          </a:solidFill>
                          <a:ln w="9525">
                            <a:noFill/>
                            <a:miter lim="800000"/>
                            <a:headEnd/>
                            <a:tailEnd/>
                          </a:ln>
                        </wps:spPr>
                        <wps:txbx>
                          <w:txbxContent>
                            <w:p w14:paraId="2B08CD2C" w14:textId="77777777" w:rsidR="005C33AD" w:rsidRDefault="005C33AD" w:rsidP="005C33AD">
                              <w:r w:rsidRPr="00767BBD">
                                <w:rPr>
                                  <w:b/>
                                  <w:bCs/>
                                </w:rPr>
                                <w:t xml:space="preserve">Figure 5: </w:t>
                              </w:r>
                              <w:r w:rsidRPr="00767BBD">
                                <w:t>Length of hospital stay among cholecystostom</w:t>
                              </w:r>
                              <w:r>
                                <w:t>y</w:t>
                              </w:r>
                              <w:r w:rsidRPr="00767BBD">
                                <w:t xml:space="preserve"> patients according to ASA group</w:t>
                              </w:r>
                              <w:r>
                                <w:t>s (1-2 v</w:t>
                              </w:r>
                              <w:r w:rsidRPr="00767BBD">
                                <w:t>s. 3-5).</w:t>
                              </w:r>
                            </w:p>
                          </w:txbxContent>
                        </wps:txbx>
                        <wps:bodyPr rot="0" vert="horz" wrap="square" lIns="91440" tIns="45720" rIns="91440" bIns="45720" anchor="t" anchorCtr="0">
                          <a:spAutoFit/>
                        </wps:bodyPr>
                      </wps:wsp>
                      <wpg:graphicFrame>
                        <wpg:cNvPr id="19" name="Chart 19"/>
                        <wpg:cNvFrPr/>
                        <wpg:xfrm>
                          <a:off x="914400" y="409432"/>
                          <a:ext cx="3472815" cy="264350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inline>
            </w:drawing>
          </mc:Choice>
          <mc:Fallback>
            <w:pict>
              <v:group w14:anchorId="0E1C8B28" id="Group 21" o:spid="_x0000_s1038" style="width:418pt;height:240.35pt;mso-position-horizontal-relative:char;mso-position-vertical-relative:line" coordsize="53086,30529"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8wtGFx&#10;AgAAuggAABkAAABkcnMvZHJhd2luZ3MvZHJhd2luZzEueG1stJZRb5swEMe/iuX3FkwSIKhE6jpp&#10;mlRN1bJ9gKsxCZoxyPZS0k8/H3YKa7U9tMlLAmf+9zvfnQ9uePHbCL3dQy8MGVqpTMFLure2L6LI&#10;8L1owVx3vVBure50C9bd6l1UaXhq1K6VURLHacT3oC3d3PBKF1rIbfMsbhXfd/rks9Lv9frZk4Lz&#10;Wnetxwyb+DpJs5TdREgdvPXorHHG1sF63PjVSWa7Sb5M1qv8jZyt4nTtrSf5SWR60gLXXUkpsWKw&#10;slG/3LX3qA7b/kH7a/7t8KBJU5V0QYmCVpT0h3v+UzcQRqOXZ1BA7ODMJR3t41bmjszoEoqh1m3I&#10;Jbwjky00yoUJRVfXBGFxvsrTNSXHkiYsY8lIh8LFSLhbT1dZwnJKOK4vsjzz0fk40E+vjf0iug/H&#10;RNBRSbXg2D5QwOHeWJegaEKEEvpMYKkxYZUrDRSP7t9l0Pftu/NCnjT0JVWdEpRoK+86GcoBhTR2&#10;a49SfJSB0cqDZFjwFvR9SWNKGlUJ5XYfj1uvRP3drZpnB2ext0mwjSL22IsauGuiO5DNo26whVyG&#10;vGK8DL4DJpkwS1dJ5+zMLAQE1mJirdlyeX4WAgJrObHYImPp+WFICLDVDJYneX5+GBICLJ1gSZK7&#10;jZ29ZEgIsGwGy5aLC/QHEgIsn2BIukCDICHA1jOYm2EXaBAk+BMXJgOS+3OMh3EP2k0ACWpXUqGu&#10;fm6pHwdYIXfkobCbHg++HSPwAjRPqr24+nr/VlX+X/UPlnuVsuyVUqjqATTgpPJxviZiPNzMZtat&#10;bkCGiTWpxx307nc+0ccbc7L+9SGBT86+VTZ/AAAA//8DAFBLAwQUAAYACAAAACEA5rlzmAkDAAAZ&#10;BwAADgAAAGRycy9lMm9Eb2MueG1spJVtT9swEMffT9p3sPx+JE0T2kakiAFFSHtAgn0A13EetMT2&#10;bLcJ+/Q720koZWgb64vUj5e7393/cnbetw3aM6VrwTM8OwkxYpyKvOZlhr89bD4sMdKG8Jw0grMM&#10;PzKNz9fv3511MmWRqESTM4XACNdpJzNcGSPTINC0Yi3RJ0IyDpuFUC0xMFVlkCvSgfW2CaIwPA06&#10;oXKpBGVaw+qV38RrZ78oGDVfi0Izg5oMg2/GPZV7bu0zWJ+RtFREVjUd3CBv8KIlNYeXTqauiCFo&#10;p+oXptqaKqFFYU6oaANRFDVlLgaIZhYeRXOjxE66WMq0K+WECdAecXqzWfplf6dQnWc4mmHESQs5&#10;cq9FMAc4nSxTOHOj5L28U8NC6Wc23r5Qrf2HSFDvsD5OWFlvEIXFZB4uT0OgT2FvHiZRHCcePK0g&#10;Oy/u0er6tZur+cLeDMYXB9a/yZ1OQhHpJ076/zjdV0Qyh19bBiMnCMRzerABfhQ9ijwpd8piQqaH&#10;ZZCDKwktPwn6XSMuLivCS3ahlOgqRnJwzzGGIKarlrhOtTWy7T6LHNJBdkY4Q//MOlmE0dzV+ASM&#10;pFJpc8NEi+wgwwok4qyT/SdtPNvxiE2sFk2db+qmcRNVbi8bhfYE5LRxvyEdz441HHUZXiVR4ixz&#10;Ye+DaZK2tQG5N3Wb4WVof74OLI1rnrsjhtSNH4PTDYdkj0Q8G9Nve1ew8Uh9K/JH4KWEVzd0IxhU&#10;Qv3EqANlZ1j/2BHFMGpuOTBfzeLYtgI3iZNFBBN1uLM93CGcgqkMG4z88NK49uFwyAvIzaZ22KyX&#10;3pPBZahEr5+hvWwUqGtS1FBNs9VYTVAcyiCYA4VBdRs1Se4o9y4G8BsEFYereO4qkKSj4ubxIlrO&#10;Eq+46DSeJ6FTnJPLaGpwywYyDF/tWn9uw9R6D9mmqRsNrYq+EODfWhoMAOqjTvcbA76LXgm6axk3&#10;/rOgWEMMfJN0VUsN+U1ti1O3uRfcs4hdO5lgDB3FfRCGjLkl6L+HBy2qw7nL+dMXbf0LAAD//wMA&#10;UEsDBBQABgAIAAAAIQCfew21TAEAAEUCAAAgAAAAZHJzL2NoYXJ0cy9fcmVscy9jaGFydDEueG1s&#10;LnJlbHOsUc1KAzEQvgu+wxLw6Gbbg0hx24NW6EEEbW97GbOzP5pNliSt28cotohQRbyIvlBex6ml&#10;aKHgxUOYmcx833wzc9JrKhlM0NhSq5i1wogFqIROS5XHbDQ8PzxmgXWgUpBaYcymaFmvu793coUS&#10;HIFsUdY2IBZlY1Y4V3c4t6LACmyoa1SUybSpwFFocl6DuIMceTuKjrj5zcG6W5zBII2ZGaRtFgyn&#10;NXX+m1tnWSnwTItxhcrtaMFFAcaNLJrrAmqaJBiCydHFLAx5auCeprYbpxWSdMZ3q2r9pyot8fLm&#10;FoX70ZOVEmmR/LSTrOTapD8FmWxGs4l/8zO/8A9+noBw5QQP2pFBqgRRJP7Ff9J79E/+OfFLMnNK&#10;+w9yZv6VYLMVfkFF7+v/JRlZwppjLOlUjbTNRs2FTmn9/cahUfC9Eb51/O4XAAAA//8DAFBLAwQU&#10;AAYACAAAACEA/ICJpNwAAAAFAQAADwAAAGRycy9kb3ducmV2LnhtbEyPQUvDQBCF74L/YRnBm93E&#10;ag0xm1KKeipCW0G8TZNpEpqdDdltkv57Ry96efB4w3vfZMvJtmqg3jeODcSzCBRx4cqGKwMf+9e7&#10;BJQPyCW2jsnAhTws8+urDNPSjbylYRcqJSXsUzRQh9ClWvuiJot+5jpiyY6utxjE9pUuexyl3Lb6&#10;PooW2mLDslBjR+uaitPubA28jTiu5vHLsDkd15ev/eP75yYmY25vptUzqEBT+DuGH3xBh1yYDu7M&#10;pVetAXkk/KpkyXwh9mDgIYmeQOeZ/k+ffwMAAP//AwBQSwMEFAAGAAgAAAAhABP8PP2YBgAAyxMA&#10;ABUAAABkcnMvY2hhcnRzL2NoYXJ0MS54bWzsWFtv2zYUfh+w/6AJedgw2NbNV8QeHDkeiqWt0SQd&#10;sDdaom0tFKmSdGq36J8YsIcBA/az8nd2eJFs2U2atuuwhzmIQJHnHJ7Ldw4PdfrDJifOLeYiY3To&#10;+k3PdTBNWJrR5dC9vpo2eq4jJKIpIoziobvFwv1h9PVXp8kgWSEuLwuUYAeEUDFIhu5KymLQaolk&#10;hXMkmqzAFNYWjOdIwitftlKOXoPwnLQCz+u0tBDXCkCfICBHGS35+WP42WKRJXjCknWOqTRacEyQ&#10;BA+IVVaIUlrid3hwJDHPEs4EW8hmwvKWEVYaBcL8dquyagROSpHEft+LnFtEhq7nttQkQXRpJjBt&#10;XF+aSc7WNMVpzDiFcOzR58lgTCTmFETFjErQ2vorf5THc8Rv1kUD1C3AyHlGMrnVZrujU5Adrxj4&#10;w3mBX60zjsXQTfxo54LoYx3gdVu9VmDjCsb60UDILcHGIN8LlLWtal+twhQRMkfJjfLNHnFFultX&#10;jIfOUFwaRmqA1pJdZZLgCSZY4nTPj8mgIEyOOUaKkKAtW0sdjjniscKymobxJOOGK2HEhGYJsSkA&#10;tHaarAWEA6dm8RbxbcwIq8UM7MBcycvSTU0FxlNsxVswiGIGlGhAqJOgYuiKVxAXNBCMZOk0I0S/&#10;qHzCMbGcKEkABL72ZI2ypcSAe2F7LRX2p5Dc8sniGV5C8G9tGOzW6UzbfKjjgzzz9XxOcDipWVXa&#10;8GGl28dKfynT8UZeCG0gjJw1z4bu2zgMe14cR432pHPeiLx+3Dg7D4PGeTeYBP1u2A7j+N0O/Z2P&#10;Rb8f7SG/M1jT7NUaP7EofOuZn9+Ip+1pI+oGcaMfxtPGNPKioNNt98bt4J12UDIAnXUgSysgpjZc&#10;h1HTOPhApD8zap3/o+aFnxc1zPkZ4kLVBDO82hY2GwsoKMrBeuUlIruVBCqNWaHsnKYxKmpppxgV&#10;G13nL/BCjRaju9/u/rj7E/5/v/ur/c3J7MQPBurZUVVB0wB1jKCgaHp9MscsxaMfMZw7iGiy3SzI&#10;LGQMR5M0O+v8VXMOVA11oCkptyO/GbQV563GbKGzrqTxK5qo7/XDIOr1Ar/jdSKt0vs4AssRNL1O&#10;EPR6UVs9/XbYvW+PsOLo9ns9rx90gTOC371aRaVWfvOABszYuci8aO/CsHR4ntHK8xeZttb0OB/h&#10;SZu2pZcqT9ZNNPvrPWBo94XRHpwSpBUQkt8HgvgkCAcn8Ix0dFXIgLoCQS3A+tA9DvD4cuz4jaCu&#10;3I6sjLEiCxvHDt1tB7qXmsLQ6g7NkVLqARxPtAnw3JmwCxIAe4fYx+H4HjP7Tb/bibpeGzAatoN+&#10;eGDKscV+1OwGtb+6j8DInaLmpUSTtbqs8Lrm/5fOqegTK55tfdKLOdHlSazY6wu8xDT9CW9rBUyt&#10;QME7mouRfIbyerOiaC8xf+/8DHPVER3JOdPNymX2Zl8UBKFSbYmKn7NUrgyn37aNEdqUZ7bvdeEX&#10;eT1ThvcWQi/sdqGQ6aNRN45VEwmoHm8UoPfI63JEggg0lIqG8QxU19cPowUk+VO0sWL3CFPd0dZs&#10;RJsZs1eFuVFQqt5XiZVaAZ4lK9VAzlm6nXE4Y6DZEvJSNeT6pVAztgFN8eKFpoEu0k5xtcxn3FE3&#10;lqFb3VbQQI5UqouEcXwK9KpXAUr9BJngYrMzDIwiDNpQaLn3tFdLpbKQIdNcOrssHro2jeH2ydYQ&#10;3IuM3uAUbqjGzBz9yvhVltw8hcuNEUrhfmoXM3r/ogQmAGblNwrpd8UMo7rZibFt2P39AEOlUmvY&#10;OlvdMn7B3LKpN6OD1Y7MyZgsqZlLJDfSYfb5YiGwhanvWbBR9nRNZHZxS0CvuoMqIEGpOEJUXb89&#10;oDyAKDhCkLUv0NtDFPY4H4aYvQ1VUXsfxBzO5NBttCPd6rrq0wK8rxh/o5zwz6HvAtMlpC1bqK8T&#10;2xoENQ6PYevMkcCQdPARQ1uuQOt8m6Kt+O6AHQrVDHEEyXCIe5UZXxLdFhH/Brrr9egBdOulMyxf&#10;Y2wRPTcvNtlUJl7TbL8/BFBZwMJo/9Ktxi8z8ZwSWwlswqSZKM6gxtyIsc0wKMxGvir7E0gM8Ryg&#10;BHXxIEHKe7vcmFv04wudI95AOYGPUNAIokEiHAkN+QK+Zg3d73PaSHRLDgE3ZdFUNrPHI/Bh1NEn&#10;uvpwQyZIIofD14Chy5+kpltSZeO6UB+I6jZBQap4VCVfw3l6uUIFFJ9Kgm5fwLn6u4f+Bjf6Gw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QItABQABgAIAAAAIQB03DVwMAEAAOUCAAATAAAAAAAAAAAAAAAA&#10;AAAAAABbQ29udGVudF9UeXBlc10ueG1sUEsBAi0AFAAGAAgAAAAhADj9If/WAAAAlAEAAAsAAAAA&#10;AAAAAAAAAAAAYQEAAF9yZWxzLy5yZWxzUEsBAi0AFAAGAAgAAAAhAC8wtGFxAgAAuggAABkAAAAA&#10;AAAAAAAAAAAAYAIAAGRycy9kcmF3aW5ncy9kcmF3aW5nMS54bWxQSwECLQAUAAYACAAAACEA5rlz&#10;mAkDAAAZBwAADgAAAAAAAAAAAAAAAAAIBQAAZHJzL2Uyb0RvYy54bWxQSwECLQAUAAYACAAAACEA&#10;n3sNtUwBAABFAgAAIAAAAAAAAAAAAAAAAAA9CAAAZHJzL2NoYXJ0cy9fcmVscy9jaGFydDEueG1s&#10;LnJlbHNQSwECLQAUAAYACAAAACEA/ICJpNwAAAAFAQAADwAAAAAAAAAAAAAAAADHCQAAZHJzL2Rv&#10;d25yZXYueG1sUEsBAi0AFAAGAAgAAAAhABP8PP2YBgAAyxMAABUAAAAAAAAAAAAAAAAA0AoAAGRy&#10;cy9jaGFydHMvY2hhcnQxLnhtbFBLAQItABQABgAIAAAAIQCrFs1GuQAAACIBAAAZAAAAAAAAAAAA&#10;AAAAAJsRAABkcnMvX3JlbHMvZTJvRG9jLnhtbC5yZWxzUEsFBgAAAAAIAAgAEgIAAIsSAAAAAA==&#10;">
                <v:shape id="Text Box 2" o:spid="_x0000_s1039" type="#_x0000_t202" style="position:absolute;width:53086;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2B08CD2C" w14:textId="77777777" w:rsidR="005C33AD" w:rsidRDefault="005C33AD" w:rsidP="005C33AD">
                        <w:r w:rsidRPr="00767BBD">
                          <w:rPr>
                            <w:b/>
                            <w:bCs/>
                          </w:rPr>
                          <w:t xml:space="preserve">Figure 5: </w:t>
                        </w:r>
                        <w:r w:rsidRPr="00767BBD">
                          <w:t>Length of hospital stay among cholecystostom</w:t>
                        </w:r>
                        <w:r>
                          <w:t>y</w:t>
                        </w:r>
                        <w:r w:rsidRPr="00767BBD">
                          <w:t xml:space="preserve"> patients according to ASA group</w:t>
                        </w:r>
                        <w:r>
                          <w:t>s (1-2 v</w:t>
                        </w:r>
                        <w:r w:rsidRPr="00767BBD">
                          <w:t>s. 3-5).</w:t>
                        </w:r>
                      </w:p>
                    </w:txbxContent>
                  </v:textbox>
                </v:shape>
                <v:shape id="Chart 19" o:spid="_x0000_s1040" type="#_x0000_t75" style="position:absolute;left:9144;top:4084;width:34747;height:264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xkXwgAAANsAAAAPAAAAZHJzL2Rvd25yZXYueG1sRE9Ni8Iw&#10;EL0L/ocwghfZpnoQ7RplERQvCmp32b0NzWxbbCalibX+eyMI3ubxPmex6kwlWmpcaVnBOIpBEGdW&#10;l5wrSM+bjxkI55E1VpZJwZ0crJb93gITbW98pPbkcxFC2CWooPC+TqR0WUEGXWRr4sD928agD7DJ&#10;pW7wFsJNJSdxPJUGSw4NBda0Lii7nK5GwXfa3S/7dPO3PmznP/VvhaN2NFVqOOi+PkF46vxb/HLv&#10;dJg/h+cv4QC5fAAAAP//AwBQSwECLQAUAAYACAAAACEA2+H2y+4AAACFAQAAEwAAAAAAAAAAAAAA&#10;AAAAAAAAW0NvbnRlbnRfVHlwZXNdLnhtbFBLAQItABQABgAIAAAAIQBa9CxbvwAAABUBAAALAAAA&#10;AAAAAAAAAAAAAB8BAABfcmVscy8ucmVsc1BLAQItABQABgAIAAAAIQB7zxkXwgAAANsAAAAPAAAA&#10;AAAAAAAAAAAAAAcCAABkcnMvZG93bnJldi54bWxQSwUGAAAAAAMAAwC3AAAA9gIAAAAA&#10;">
                  <v:imagedata r:id="rId18" o:title=""/>
                  <o:lock v:ext="edit" aspectratio="f"/>
                </v:shape>
                <w10:anchorlock/>
              </v:group>
            </w:pict>
          </mc:Fallback>
        </mc:AlternateContent>
      </w:r>
    </w:p>
    <w:p w14:paraId="7172017E" w14:textId="3DB03EAD" w:rsidR="005C33AD" w:rsidRDefault="005C33AD" w:rsidP="005C33AD"/>
    <w:p w14:paraId="2D614F16" w14:textId="5817AD29" w:rsidR="005C33AD" w:rsidRDefault="005C33AD" w:rsidP="005C33AD">
      <w:r>
        <w:rPr>
          <w:noProof/>
        </w:rPr>
        <mc:AlternateContent>
          <mc:Choice Requires="wpg">
            <w:drawing>
              <wp:inline distT="0" distB="0" distL="0" distR="0" wp14:anchorId="1F5AEBBE" wp14:editId="7E12966F">
                <wp:extent cx="5198745" cy="2947035"/>
                <wp:effectExtent l="0" t="0" r="1905" b="5715"/>
                <wp:docPr id="24" name="Group 24"/>
                <wp:cNvGraphicFramePr/>
                <a:graphic xmlns:a="http://schemas.openxmlformats.org/drawingml/2006/main">
                  <a:graphicData uri="http://schemas.microsoft.com/office/word/2010/wordprocessingGroup">
                    <wpg:wgp>
                      <wpg:cNvGrpSpPr/>
                      <wpg:grpSpPr>
                        <a:xfrm>
                          <a:off x="0" y="0"/>
                          <a:ext cx="5198745" cy="2947035"/>
                          <a:chOff x="-730154" y="1"/>
                          <a:chExt cx="5199314" cy="2947669"/>
                        </a:xfrm>
                      </wpg:grpSpPr>
                      <wps:wsp>
                        <wps:cNvPr id="23" name="Text Box 2"/>
                        <wps:cNvSpPr txBox="1">
                          <a:spLocks noChangeArrowheads="1"/>
                        </wps:cNvSpPr>
                        <wps:spPr bwMode="auto">
                          <a:xfrm>
                            <a:off x="-730154" y="1"/>
                            <a:ext cx="5199314" cy="436728"/>
                          </a:xfrm>
                          <a:prstGeom prst="rect">
                            <a:avLst/>
                          </a:prstGeom>
                          <a:solidFill>
                            <a:srgbClr val="FFFFFF"/>
                          </a:solidFill>
                          <a:ln w="9525">
                            <a:noFill/>
                            <a:miter lim="800000"/>
                            <a:headEnd/>
                            <a:tailEnd/>
                          </a:ln>
                        </wps:spPr>
                        <wps:txbx>
                          <w:txbxContent>
                            <w:p w14:paraId="3A75E67A" w14:textId="77777777" w:rsidR="005C33AD" w:rsidRDefault="005C33AD" w:rsidP="005C33AD">
                              <w:r w:rsidRPr="007F31C6">
                                <w:rPr>
                                  <w:b/>
                                  <w:bCs/>
                                </w:rPr>
                                <w:t>Figure 6:</w:t>
                              </w:r>
                              <w:r>
                                <w:t xml:space="preserve"> 30-day and 1-</w:t>
                              </w:r>
                              <w:r w:rsidRPr="007F31C6">
                                <w:t>year mortality rates among cholecystostom</w:t>
                              </w:r>
                              <w:r>
                                <w:t>y</w:t>
                              </w:r>
                              <w:r w:rsidRPr="007F31C6">
                                <w:t xml:space="preserve"> patient</w:t>
                              </w:r>
                              <w:r>
                                <w:t>s according to ASA groups (1-2 v</w:t>
                              </w:r>
                              <w:r w:rsidRPr="007F31C6">
                                <w:t>s. 3-5).</w:t>
                              </w:r>
                            </w:p>
                          </w:txbxContent>
                        </wps:txbx>
                        <wps:bodyPr rot="0" vert="horz" wrap="square" lIns="91440" tIns="45720" rIns="91440" bIns="45720" anchor="t" anchorCtr="0">
                          <a:noAutofit/>
                        </wps:bodyPr>
                      </wps:wsp>
                      <wpg:graphicFrame>
                        <wpg:cNvPr id="22" name="Chart 22"/>
                        <wpg:cNvFrPr/>
                        <wpg:xfrm>
                          <a:off x="13648" y="457200"/>
                          <a:ext cx="3575685" cy="2490470"/>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inline>
            </w:drawing>
          </mc:Choice>
          <mc:Fallback>
            <w:pict>
              <v:group w14:anchorId="1F5AEBBE" id="Group 24" o:spid="_x0000_s1041" style="width:409.35pt;height:232.05pt;mso-position-horizontal-relative:char;mso-position-vertical-relative:line" coordorigin="-7301" coordsize="51993,29476"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RnEs9u&#10;AgAAtggAABkAAABkcnMvZHJhd2luZ3MvZHJhd2luZzEueG1stJZtb5swEMe/iuX3LY8FgkKkrpOm&#10;SVFVLdsHcI1J0IxBtpeSfvrdYWewVtuLNn2TmLP/9zvfHSfWvPxlhN4d2CAMGTupTMkrerB2KIPA&#10;8IPomLnuB6Fgr+l1xyw86n1Qa/bUqn0ngzgMs4AfmLZ0s+a1LrWQu/ZZ3Cp+6PXZZ63f6vWzI3nn&#10;je47hxk34XWcRvlqHSB1dNYTWKMsSbz1tHG7s8z2szwNkzx7JY/TOMqd9Sw/i8xAOsZ1X1FKrBit&#10;bNVPWDuP6rgbHrRb8/vjgyZtXdGEEsU6UdHvcP5TP5KIBn/OoIDYEcwVnezTVZaOzOSSlWOjO59L&#10;9oZMdqxVECYr+6YhAFsVUbhKKTlVNF0lSZphUKyEEAmH7ewmj6OCEg77cZIXuQvOhYEHB23sF9G/&#10;OySCjiqqBcfuYSU7bo2FUIIZ4SvoEoGVxnzVUBlWPsI/JNC17ZvTQp40GyqqeiUo0Vbe9dJXg5XS&#10;2J09SfFeBkYrjzLCendMbysaUtKqWii4fThdvRbNN9g1zwCPQmeTzLaK2NMgGsahh+6YbB91i8WC&#10;DDnFtPS+PSaeMSlUEpxdmIUAz0pm1ipK08uzEOBZ6cyKkjzKLg9DgofdLGBFXBSXhyHBw7IZFscF&#10;XOziJUOCh+ULWJ4mH9AfSPCwYoYh6QMaBAketlrAYIZ9QIMgwb1xfjIgebjEeJjuoGECSKb2FRXq&#10;6seOunGAFZrms90M+OLbKQInQP6sOoirr9vXqur/qn+w7ncvZELVD0wzHFMuyJc4DIabxcC61S2T&#10;flzN6in8AX6X43x6MGfrXx8ReHLxnbL5DQAA//8DAFBLAwQUAAYACAAAACEA7Ht2CRwDAAAkBwAA&#10;DgAAAGRycy9lMm9Eb2MueG1spFVtb9sgEP4+af8B8b31S+wktupUXdtUlfZSqd0PIBi/aDYwILG7&#10;X78D20madtrU5YMDHDzcPXfPcXHZtw3aMaVrwTMcnPsYMU5FXvMyw9+f1mdLjLQhPCeN4CzDz0zj&#10;y9XHDxedTFkoKtHkTCEA4TrtZIYrY2TqeZpWrCX6XEjGwVgI1RIDU1V6uSIdoLeNF/r+3OuEyqUS&#10;lGkNqzeDEa8cflEwar4VhWYGNRkG34z7Kvfd2K+3uiBpqYisajq6Qd7hRUtqDpfuoW6IIWir6ldQ&#10;bU2V0KIw51S0niiKmjIXA0QT+CfR3CmxlS6WMu1KuacJqD3h6d2w9OvuQaE6z3AYYcRJCzly1yKY&#10;AzmdLFPYc6fko3xQ40I5zGy8faFa+w+RoN7R+rynlfUGUViMg2S5iGKMKNjCJFr4s3ggnlaQHXvu&#10;bDHzgxg8gB3BZLs9nE9mARin8/N5Yvd40/We9XLvVCehlPSBLf1/bD1WRDKXBG2ZmNiaTWw92TA/&#10;iR6F1id7OeyyZCHTw7KNxxKk5WdBf2jExXVFeMmulBJdxUgO7rmIIYj90QFHW5BN90XkkBSyNcIB&#10;nTD+BnNHvB94i2bzRbh8QRtJpdLmjokW2UGGFcjF3UF2n7UZGJ62uBhEU+frumncRJWb60ahHQFp&#10;rd1vRNfH2xqOugwncRg7ZC7seYAmaVsbkH5Ttxle+vZnj5PUcnLLczc2pG6GMeS64ZByS5LlZWDI&#10;9JveFa+rJ2vbiPwZWFNiUDp0JhhUQv3CqAOVZ1j/3BLFMGruOTCfBFFk24KbRPEihIk6tmyOLYRT&#10;gMqwwWgYXhvXSqzbXFxBhora0XbwZHQZ6nHQ0thq1gqUNqwc1VQ41RSUiDIoHCvKKXCt9vI7qYBg&#10;No+gy4JyXAAjjVMRzOJFPF9O4osSH+Tn8mQ1MyGNXtk4xuEfG9jfOzK1zkOyaepGY9eir1T4r0gj&#10;ADB90vTeABga6o2g25ZxM7wQijXEwPOkq1pqSG9qu526zwfVvYjY9ZQ9GWNbcW/DmDC3BK34eKOl&#10;6njuUn543Fa/AQAA//8DAFBLAwQUAAYACAAAACEAn3sNtUwBAABFAgAAIAAAAGRycy9jaGFydHMv&#10;X3JlbHMvY2hhcnQxLnhtbC5yZWxzrFHNSgMxEL4LvsMS8Ohm24NIcduDVuhBBG1vexmzsz+aTZYk&#10;rdvHKLaIUEW8iL5QXseppWih4MVDmJnMfN98M3PSayoZTNDYUquYtcKIBaiETkuVx2w0PD88ZoF1&#10;oFKQWmHMpmhZr7u/d3KFEhyBbFHWNiAWZWNWOFd3OLeiwApsqGtUlMm0qcBRaHJeg7iDHHk7io64&#10;+c3BulucwSCNmRmkbRYMpzV1/ptbZ1kp8EyLcYXK7WjBRQHGjSya6wJqmiQYgsnRxSwMeWrgnqa2&#10;G6cVknTGd6tq/acqLfHy5haF+9GTlRJpkfy0k6zk2qQ/BZlsRrOJf/Mzv/APfp6AcOUED9qRQaoE&#10;UST+xX/Se/RP/jnxSzJzSvsPcmb+lWCzFX5BRe/r/yUZWcKaYyzpVI20zUbNhU5p/f3GoVHwvRG+&#10;dfzuFwAAAP//AwBQSwMEFAAGAAgAAAAhAH5MAufdAAAABQEAAA8AAABkcnMvZG93bnJldi54bWxM&#10;j0FLw0AQhe+C/2EZwZvdrNYaYjalFPVUhLaCeJtmp0lodjZkt0n671296GXg8R7vfZMvJ9uKgXrf&#10;ONagZgkI4tKZhisNH/vXuxSED8gGW8ek4UIelsX1VY6ZcSNvadiFSsQS9hlqqEPoMil9WZNFP3Md&#10;cfSOrrcYouwraXocY7lt5X2SLKTFhuNCjR2taypPu7PV8DbiuHpQL8PmdFxfvvaP758bRVrf3kyr&#10;ZxCBpvAXhh/8iA5FZDq4MxsvWg3xkfB7o5eq9AnEQcN8MVcgi1z+py++AQAA//8DAFBLAwQUAAYA&#10;CAAAACEAarRUwRIGAAC1EgAAFQAAAGRycy9jaGFydHMvY2hhcnQxLnhtbOxY62rjRhT+X+g7qCKF&#10;liJb8j0izuLIcQnNbtxNsoX+G4/G9jSjGe1olI132Zco9Eeh0MfK6/TMxbLlXJq9tFBoQshcz5zb&#10;980ZHTy7yZh3TWRBBR/6USP0PcKxSClfDP3Li0kw8L1CIZ4iJjgZ+itS+M8Ov/ziAMd4iaQ6zxEm&#10;HgjhRYyH/lKpPG42C7wkGSoaIicc5uZCZkhBVy6aqURvQHjGmq0w7DWNEN8JQB8hIEOUr/fLp+wX&#10;8znFZCxwmRGurBaSMKTAA8WS5sVaGo56snVHYkaxFIWYqwYWWdMKWxsFwqJus7LqEJyUIkWi/bDj&#10;XSM29EO/qQcZ4gs7QHhweW4HpSh5StJESA7h2Fqf4XjEFJEcRCWCK9Da+St7ksczJK/KPAB1czBy&#10;RhlVK2O2f3gAspOlAH94L8nrkkpSDH0cdTYu6HyoA8J+c9BsubiCsVEnLtSKEWtQFLa0tc3qXKPC&#10;BDE2Q/hK+2ZrcbV0M6837jpD7zJppBuoVOKCKkbGhBFF0i0/4jhnQo0kQXohQytRKhOOGZKJzmU9&#10;DO0xlXYXFsyGZgGxySFp3TArCwgHSe3kNZKrRDBRixnYQaSWR9ObmgpCpsSJd8mgbvS6QsmXZK5b&#10;88PbX29/v/0D/n67/bP91d7Z3v5BU4/bZQkCcOl2rhJIGWXFR1aZXHlwok40veL6cHQ+8qKgpfdf&#10;g9v1JvMPjnNyYGx9NjSdMvkUlEdxIRhNJ5Qx09GYJglz2iOMIRG7Jpq1lVqg2Q/Gc2AWdTJ/QRaQ&#10;edcuB5zdGBmHrw+/x/Dp3iDe+3Fv8PfWm0zRxtWtb4deilZ14zerIuejyFsRJOurrFfudZHTG/Cs&#10;XczL7KG4Tff2tfqb4MHaKniWEhORksPvCQAeMWOlIUozuhvgB0wM63rftS5sRFF/v/ZT3wKmbhSz&#10;HWMRNJ2N5EadFiZY0PJKSYf+u6TdHoRJ0gm6495x0An3k+DouN0KjvutcWu/3+62k+T9hkZ6H0oj&#10;UWeLQnpxyenrkpw4OL8L3U8w6fWjoNPujoKjcDIORq1wMol6x5N2v//epCaOQWeT8msrdGgtNnch&#10;6jC0BVE38gSIRiYQH43RdtC9E5XPhdHe/xh9BKNRqEG6Fb4NGICSNnj8NJQ2om79d4eS78NtqxPV&#10;YGuIpMbiG1X/W7iNPg236emMFeY2XIo3p2RBePoDWdWu2QJmXiGobLeqLj2WIPUCZfWLSI+fE3nv&#10;+JRIfc3dkXNUzmaMnNO326IgCJVqC5T/RFO1dLdz11166GbNYVE7bA963d79E4N+28LWVCRVdQJ3&#10;z8iUCw/KKTBiUKlo7whJQXVT11otMsqfoxtHi1sLU1Mq1WxEN1PhatCZ3gCVgS6qTMMoICle6qpg&#10;JtLVVMIKFLNCnetKz3RyPeLKiJTMX5o1zWrIlBdyKj1dCg/9qgxGsTI1S4GFJAewXnM3imG53mt4&#10;3J4MvrasLKDEgFpuS3s9tVYWEDLJlLfB8dB3QIZnjSghuKeUX5EUnj7WzAz9IuQFxVfPoWq2Qjk8&#10;fNwk5Q9PKtgEiVn5jcOFcyHsRv1kKEauEjSRXwcYSlc9R5yzdfn6M5Fum+5ZHZx2bMZGbMHtGFbS&#10;SofRs/m8IOtSMHQ5xcXzkil6es1Ar7qDqkQCgNybURv9thLlkYzCcYbWlW6jvb6f3f9O5b66Flui&#10;H89BV4dXYbWhr+egJ4Ua+kG3Yw719aMW+ksh3+rTP196nnBMU3gjE++br7/9Z1I0/Ho3O11E/63s&#10;3PDSI9lppo6IekOIy8iZ7bhoayRdcromz4bJYQCnSzlo1d5jhsc1wTDTqnCkrLi7ONcMYN8pTych&#10;kwhAidxTq5zM4dvF0P8u4wEzpwDHWK6ydGOFw+0yRRIBg+2SVUVJVg8wyKqujdCmvaLFGWeOmhyC&#10;U1rkR0B6V8XIQR5uCmuhvofGgNTiDFIXiLqOleqF++FGe8Vb4Df43AIPHhTjYsd2XOjzP812U2br&#10;TxRsjBTyJLx7h748Se0bS/PYZa4/hdRtAoas9minlVCRny9RDmxYSTDvHnCtsd98bTr8Cw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QItABQABgAIAAAAIQB03DVwMAEAAOUCAAATAAAAAAAAAAAAAAAAAAAA&#10;AABbQ29udGVudF9UeXBlc10ueG1sUEsBAi0AFAAGAAgAAAAhADj9If/WAAAAlAEAAAsAAAAAAAAA&#10;AAAAAAAAYQEAAF9yZWxzLy5yZWxzUEsBAi0AFAAGAAgAAAAhAHRnEs9uAgAAtggAABkAAAAAAAAA&#10;AAAAAAAAYAIAAGRycy9kcmF3aW5ncy9kcmF3aW5nMS54bWxQSwECLQAUAAYACAAAACEA7Ht2CRwD&#10;AAAkBwAADgAAAAAAAAAAAAAAAAAFBQAAZHJzL2Uyb0RvYy54bWxQSwECLQAUAAYACAAAACEAn3sN&#10;tUwBAABFAgAAIAAAAAAAAAAAAAAAAABNCAAAZHJzL2NoYXJ0cy9fcmVscy9jaGFydDEueG1sLnJl&#10;bHNQSwECLQAUAAYACAAAACEAfkwC590AAAAFAQAADwAAAAAAAAAAAAAAAADXCQAAZHJzL2Rvd25y&#10;ZXYueG1sUEsBAi0AFAAGAAgAAAAhAGq0VMESBgAAtRIAABUAAAAAAAAAAAAAAAAA4QoAAGRycy9j&#10;aGFydHMvY2hhcnQxLnhtbFBLAQItABQABgAIAAAAIQCrFs1GuQAAACIBAAAZAAAAAAAAAAAAAAAA&#10;ACYRAABkcnMvX3JlbHMvZTJvRG9jLnhtbC5yZWxzUEsFBgAAAAAIAAgAEgIAABYSAAAAAA==&#10;">
                <v:shape id="Text Box 2" o:spid="_x0000_s1042" type="#_x0000_t202" style="position:absolute;left:-7301;width:51992;height:4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A75E67A" w14:textId="77777777" w:rsidR="005C33AD" w:rsidRDefault="005C33AD" w:rsidP="005C33AD">
                        <w:r w:rsidRPr="007F31C6">
                          <w:rPr>
                            <w:b/>
                            <w:bCs/>
                          </w:rPr>
                          <w:t>Figure 6:</w:t>
                        </w:r>
                        <w:r>
                          <w:t xml:space="preserve"> 30-day and 1-</w:t>
                        </w:r>
                        <w:r w:rsidRPr="007F31C6">
                          <w:t>year mortality rates among cholecystostom</w:t>
                        </w:r>
                        <w:r>
                          <w:t>y</w:t>
                        </w:r>
                        <w:r w:rsidRPr="007F31C6">
                          <w:t xml:space="preserve"> patient</w:t>
                        </w:r>
                        <w:r>
                          <w:t>s according to ASA groups (1-2 v</w:t>
                        </w:r>
                        <w:r w:rsidRPr="007F31C6">
                          <w:t>s. 3-5).</w:t>
                        </w:r>
                      </w:p>
                    </w:txbxContent>
                  </v:textbox>
                </v:shape>
                <v:shape id="Chart 22" o:spid="_x0000_s1043" type="#_x0000_t75" style="position:absolute;left:136;top:4512;width:35787;height:249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VQwwAAANsAAAAPAAAAZHJzL2Rvd25yZXYueG1sRI/NasMw&#10;EITvgb6D2EIvoZbrQxucKKENpPRWHJueF2n9k1orYymJ/fZVINDjMDPfMJvdZHtxodF3jhW8JCkI&#10;Yu1Mx42Cqjw8r0D4gGywd0wKZvKw2z4sNpgbd+WCLsfQiAhhn6OCNoQhl9Lrliz6xA3E0avdaDFE&#10;OTbSjHiNcNvLLE1fpcWO40KLA+1b0r/Hs1XwcVoW6Vvzva/1p51rLOtK/0ilnh6n9zWIQFP4D9/b&#10;X0ZBlsHtS/wBcvsHAAD//wMAUEsBAi0AFAAGAAgAAAAhANvh9svuAAAAhQEAABMAAAAAAAAAAAAA&#10;AAAAAAAAAFtDb250ZW50X1R5cGVzXS54bWxQSwECLQAUAAYACAAAACEAWvQsW78AAAAVAQAACwAA&#10;AAAAAAAAAAAAAAAfAQAAX3JlbHMvLnJlbHNQSwECLQAUAAYACAAAACEA7iKVUMMAAADbAAAADwAA&#10;AAAAAAAAAAAAAAAHAgAAZHJzL2Rvd25yZXYueG1sUEsFBgAAAAADAAMAtwAAAPcCAAAAAA==&#10;">
                  <v:imagedata r:id="rId20" o:title=""/>
                  <o:lock v:ext="edit" aspectratio="f"/>
                </v:shape>
                <w10:anchorlock/>
              </v:group>
            </w:pict>
          </mc:Fallback>
        </mc:AlternateContent>
      </w:r>
    </w:p>
    <w:p w14:paraId="038B6563" w14:textId="14ADC5DE" w:rsidR="005C33AD" w:rsidRDefault="005C33AD" w:rsidP="005C33AD"/>
    <w:p w14:paraId="698C8993" w14:textId="0AFB9378" w:rsidR="005C33AD" w:rsidRDefault="005C33AD" w:rsidP="005C33AD"/>
    <w:p w14:paraId="4E3267C9" w14:textId="4693A758" w:rsidR="009E0FD1" w:rsidRDefault="007F31C6" w:rsidP="007F31C6">
      <w:pPr>
        <w:pStyle w:val="Heading2"/>
      </w:pPr>
      <w:r>
        <w:lastRenderedPageBreak/>
        <w:t xml:space="preserve">Effect </w:t>
      </w:r>
      <w:r w:rsidR="009E0FD1">
        <w:t xml:space="preserve">of </w:t>
      </w:r>
      <w:r w:rsidR="00F94FCD">
        <w:t>PC</w:t>
      </w:r>
      <w:r w:rsidR="009E0FD1">
        <w:t xml:space="preserve"> in patients over age 65 years</w:t>
      </w:r>
    </w:p>
    <w:p w14:paraId="1BC659E6" w14:textId="1B2A173E" w:rsidR="009E0FD1" w:rsidRDefault="009E0FD1" w:rsidP="004D77B5">
      <w:pPr>
        <w:rPr>
          <w:rFonts w:cstheme="minorHAnsi"/>
        </w:rPr>
      </w:pPr>
      <w:r>
        <w:t>Considering that most patients undergoing cholecystostomy wer</w:t>
      </w:r>
      <w:r w:rsidR="00F94FCD">
        <w:t>e</w:t>
      </w:r>
      <w:r>
        <w:t xml:space="preserve"> over age 65, we further analyzed these patients separately. </w:t>
      </w:r>
      <w:r w:rsidR="006A656C">
        <w:t>Of note,</w:t>
      </w:r>
      <w:r w:rsidRPr="00F94FCD">
        <w:t xml:space="preserve"> analysis of patients under age 65 </w:t>
      </w:r>
      <w:r w:rsidR="006A656C">
        <w:t xml:space="preserve">(data not presented here), </w:t>
      </w:r>
      <w:r w:rsidRPr="00F94FCD">
        <w:t>revealed that cholecystostomy patients were on average 11 years older</w:t>
      </w:r>
      <w:r w:rsidRPr="00F94FCD">
        <w:rPr>
          <w:rFonts w:cstheme="minorHAnsi"/>
        </w:rPr>
        <w:t xml:space="preserve"> than those who were not treated with cholecystostomy (45.9+12.6 years </w:t>
      </w:r>
      <w:r w:rsidR="00894C6D" w:rsidRPr="00F94FCD">
        <w:rPr>
          <w:rFonts w:cstheme="minorHAnsi"/>
        </w:rPr>
        <w:t xml:space="preserve">vs </w:t>
      </w:r>
      <w:r w:rsidR="00894C6D" w:rsidRPr="00F94FCD">
        <w:rPr>
          <w:rFonts w:cstheme="minorHAnsi" w:hint="cs"/>
          <w:rtl/>
        </w:rPr>
        <w:t>57</w:t>
      </w:r>
      <w:r w:rsidRPr="00F94FCD">
        <w:rPr>
          <w:rFonts w:cstheme="minorHAnsi"/>
          <w:rtl/>
        </w:rPr>
        <w:t>.0+9.2</w:t>
      </w:r>
      <w:r w:rsidR="004F38B1">
        <w:rPr>
          <w:rFonts w:cstheme="minorHAnsi"/>
        </w:rPr>
        <w:t>,</w:t>
      </w:r>
      <w:r w:rsidR="00894C6D">
        <w:rPr>
          <w:rFonts w:cstheme="minorHAnsi"/>
        </w:rPr>
        <w:t xml:space="preserve"> </w:t>
      </w:r>
      <w:r w:rsidR="004F38B1">
        <w:rPr>
          <w:rFonts w:cstheme="minorHAnsi"/>
        </w:rPr>
        <w:t>p=0.014), and there was significant disparity in sex of patients and comorbidities such as ischemic heart disease. Therefore, we did not further analyze data of patients under 65 years separately.</w:t>
      </w:r>
    </w:p>
    <w:p w14:paraId="65FA5DA1" w14:textId="12D2AE85" w:rsidR="004F38B1" w:rsidRDefault="004F38B1" w:rsidP="004D77B5">
      <w:pPr>
        <w:rPr>
          <w:rFonts w:cstheme="minorHAnsi"/>
        </w:rPr>
      </w:pPr>
      <w:r>
        <w:rPr>
          <w:rFonts w:cstheme="minorHAnsi"/>
        </w:rPr>
        <w:t xml:space="preserve">In patients age 5 and older, PC and control groups were comparable with regard to demographic data. There were somewhat increased rates of comorbid CVA in the PC patients, approaching statistical significance. </w:t>
      </w:r>
      <w:r w:rsidR="00894C6D">
        <w:rPr>
          <w:rFonts w:cstheme="minorHAnsi"/>
        </w:rPr>
        <w:t>Additionally</w:t>
      </w:r>
      <w:r>
        <w:rPr>
          <w:rFonts w:cstheme="minorHAnsi"/>
        </w:rPr>
        <w:t xml:space="preserve">, ASA score of PC patients was significant higher (mean ASA and distribution). This data is presented in Table 5 </w:t>
      </w:r>
      <w:commentRangeStart w:id="4"/>
      <w:r>
        <w:rPr>
          <w:rFonts w:cstheme="minorHAnsi"/>
        </w:rPr>
        <w:t>and Figure 5</w:t>
      </w:r>
      <w:commentRangeEnd w:id="4"/>
      <w:r>
        <w:rPr>
          <w:rStyle w:val="CommentReference"/>
        </w:rPr>
        <w:commentReference w:id="4"/>
      </w:r>
      <w:r>
        <w:rPr>
          <w:rFonts w:cstheme="minorHAnsi"/>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4F38B1" w14:paraId="6399F3AE" w14:textId="77777777" w:rsidTr="004F38B1">
        <w:tc>
          <w:tcPr>
            <w:tcW w:w="8296" w:type="dxa"/>
            <w:gridSpan w:val="4"/>
            <w:tcBorders>
              <w:top w:val="nil"/>
              <w:left w:val="nil"/>
              <w:bottom w:val="single" w:sz="8" w:space="0" w:color="000000"/>
              <w:right w:val="nil"/>
            </w:tcBorders>
            <w:hideMark/>
          </w:tcPr>
          <w:p w14:paraId="54B29F66" w14:textId="4909CF8D"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b/>
                <w:bCs/>
                <w:sz w:val="24"/>
                <w:szCs w:val="24"/>
              </w:rPr>
              <w:t>Table 5</w:t>
            </w:r>
            <w:r>
              <w:rPr>
                <w:rFonts w:asciiTheme="majorBidi" w:hAnsiTheme="majorBidi" w:cstheme="majorBidi"/>
                <w:sz w:val="24"/>
                <w:szCs w:val="24"/>
              </w:rPr>
              <w:t>: Com</w:t>
            </w:r>
            <w:r w:rsidR="00894C6D">
              <w:rPr>
                <w:rFonts w:asciiTheme="majorBidi" w:hAnsiTheme="majorBidi" w:cstheme="majorBidi"/>
                <w:sz w:val="24"/>
                <w:szCs w:val="24"/>
              </w:rPr>
              <w:t>parison of patient data across c</w:t>
            </w:r>
            <w:r>
              <w:rPr>
                <w:rFonts w:asciiTheme="majorBidi" w:hAnsiTheme="majorBidi" w:cstheme="majorBidi"/>
                <w:sz w:val="24"/>
                <w:szCs w:val="24"/>
              </w:rPr>
              <w:t>holecystostom</w:t>
            </w:r>
            <w:r>
              <w:rPr>
                <w:rFonts w:asciiTheme="majorBidi" w:hAnsiTheme="majorBidi" w:cstheme="majorBidi"/>
                <w:sz w:val="24"/>
                <w:szCs w:val="24"/>
              </w:rPr>
              <w:t>y</w:t>
            </w:r>
            <w:r>
              <w:rPr>
                <w:rFonts w:asciiTheme="majorBidi" w:hAnsiTheme="majorBidi" w:cstheme="majorBidi"/>
                <w:sz w:val="24"/>
                <w:szCs w:val="24"/>
              </w:rPr>
              <w:t xml:space="preserve"> placement status</w:t>
            </w:r>
          </w:p>
        </w:tc>
      </w:tr>
      <w:tr w:rsidR="004F38B1" w14:paraId="1645FE0B" w14:textId="77777777" w:rsidTr="004F38B1">
        <w:tc>
          <w:tcPr>
            <w:tcW w:w="4248" w:type="dxa"/>
            <w:tcBorders>
              <w:top w:val="single" w:sz="8" w:space="0" w:color="000000"/>
              <w:left w:val="nil"/>
              <w:bottom w:val="single" w:sz="8" w:space="0" w:color="000000"/>
              <w:right w:val="nil"/>
            </w:tcBorders>
          </w:tcPr>
          <w:p w14:paraId="24263C12" w14:textId="77777777" w:rsidR="004F38B1" w:rsidRDefault="004F38B1" w:rsidP="004F38B1">
            <w:pPr>
              <w:autoSpaceDE w:val="0"/>
              <w:autoSpaceDN w:val="0"/>
              <w:adjustRightInd w:val="0"/>
              <w:spacing w:before="120"/>
              <w:contextualSpacing/>
              <w:rPr>
                <w:rFonts w:asciiTheme="majorBidi" w:hAnsiTheme="majorBidi" w:cstheme="majorBidi"/>
                <w:sz w:val="24"/>
                <w:szCs w:val="24"/>
              </w:rPr>
            </w:pPr>
          </w:p>
        </w:tc>
        <w:tc>
          <w:tcPr>
            <w:tcW w:w="1559" w:type="dxa"/>
            <w:tcBorders>
              <w:top w:val="single" w:sz="8" w:space="0" w:color="000000"/>
              <w:left w:val="nil"/>
              <w:bottom w:val="single" w:sz="8" w:space="0" w:color="000000"/>
              <w:right w:val="nil"/>
            </w:tcBorders>
            <w:hideMark/>
          </w:tcPr>
          <w:p w14:paraId="69DB3A8E" w14:textId="77777777" w:rsidR="004F38B1" w:rsidRDefault="004F38B1" w:rsidP="004F38B1">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No</w:t>
            </w:r>
          </w:p>
          <w:p w14:paraId="1A624662" w14:textId="77777777" w:rsidR="004F38B1" w:rsidRDefault="004F38B1" w:rsidP="004F38B1">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left w:val="nil"/>
              <w:bottom w:val="single" w:sz="8" w:space="0" w:color="000000"/>
              <w:right w:val="nil"/>
            </w:tcBorders>
            <w:hideMark/>
          </w:tcPr>
          <w:p w14:paraId="4732ED8D" w14:textId="77777777" w:rsidR="004F38B1" w:rsidRDefault="004F38B1" w:rsidP="004F38B1">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Yes</w:t>
            </w:r>
          </w:p>
          <w:p w14:paraId="07D00CCC" w14:textId="77777777" w:rsidR="004F38B1" w:rsidRDefault="004F38B1" w:rsidP="004F38B1">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left w:val="nil"/>
              <w:bottom w:val="single" w:sz="8" w:space="0" w:color="000000"/>
              <w:right w:val="nil"/>
            </w:tcBorders>
            <w:hideMark/>
          </w:tcPr>
          <w:p w14:paraId="5387A807" w14:textId="77777777" w:rsidR="004F38B1" w:rsidRDefault="004F38B1" w:rsidP="004F38B1">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p Value</w:t>
            </w:r>
          </w:p>
        </w:tc>
      </w:tr>
      <w:tr w:rsidR="004F38B1" w14:paraId="5B423D2D" w14:textId="77777777" w:rsidTr="004F38B1">
        <w:tc>
          <w:tcPr>
            <w:tcW w:w="4248" w:type="dxa"/>
            <w:tcBorders>
              <w:top w:val="single" w:sz="8" w:space="0" w:color="000000"/>
              <w:left w:val="nil"/>
              <w:bottom w:val="nil"/>
              <w:right w:val="nil"/>
            </w:tcBorders>
            <w:vAlign w:val="bottom"/>
            <w:hideMark/>
          </w:tcPr>
          <w:p w14:paraId="162FBC3F"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Age (years)</w:t>
            </w:r>
          </w:p>
        </w:tc>
        <w:tc>
          <w:tcPr>
            <w:tcW w:w="1559" w:type="dxa"/>
            <w:tcBorders>
              <w:top w:val="single" w:sz="8" w:space="0" w:color="000000"/>
              <w:left w:val="nil"/>
              <w:bottom w:val="nil"/>
              <w:right w:val="nil"/>
            </w:tcBorders>
            <w:vAlign w:val="bottom"/>
            <w:hideMark/>
          </w:tcPr>
          <w:p w14:paraId="405584F8"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78.2±7.6</w:t>
            </w:r>
          </w:p>
        </w:tc>
        <w:tc>
          <w:tcPr>
            <w:tcW w:w="1418" w:type="dxa"/>
            <w:tcBorders>
              <w:top w:val="single" w:sz="8" w:space="0" w:color="000000"/>
              <w:left w:val="nil"/>
              <w:bottom w:val="nil"/>
              <w:right w:val="nil"/>
            </w:tcBorders>
            <w:vAlign w:val="bottom"/>
            <w:hideMark/>
          </w:tcPr>
          <w:p w14:paraId="2BDAEDE5"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79.7±9.3</w:t>
            </w:r>
          </w:p>
        </w:tc>
        <w:tc>
          <w:tcPr>
            <w:tcW w:w="1071" w:type="dxa"/>
            <w:tcBorders>
              <w:top w:val="single" w:sz="8" w:space="0" w:color="000000"/>
              <w:left w:val="nil"/>
              <w:bottom w:val="nil"/>
              <w:right w:val="nil"/>
            </w:tcBorders>
            <w:hideMark/>
          </w:tcPr>
          <w:p w14:paraId="08E52ED4"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0.254</w:t>
            </w:r>
          </w:p>
        </w:tc>
      </w:tr>
      <w:tr w:rsidR="004F38B1" w14:paraId="79B4C150" w14:textId="77777777" w:rsidTr="004F38B1">
        <w:tc>
          <w:tcPr>
            <w:tcW w:w="4248" w:type="dxa"/>
            <w:vAlign w:val="bottom"/>
            <w:hideMark/>
          </w:tcPr>
          <w:p w14:paraId="1731D01A"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Female sex (%)</w:t>
            </w:r>
          </w:p>
        </w:tc>
        <w:tc>
          <w:tcPr>
            <w:tcW w:w="1559" w:type="dxa"/>
            <w:vAlign w:val="bottom"/>
            <w:hideMark/>
          </w:tcPr>
          <w:p w14:paraId="6D09265F"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50.3</w:t>
            </w:r>
          </w:p>
        </w:tc>
        <w:tc>
          <w:tcPr>
            <w:tcW w:w="1418" w:type="dxa"/>
            <w:vAlign w:val="bottom"/>
            <w:hideMark/>
          </w:tcPr>
          <w:p w14:paraId="1311FBCE"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45.2</w:t>
            </w:r>
          </w:p>
        </w:tc>
        <w:tc>
          <w:tcPr>
            <w:tcW w:w="1071" w:type="dxa"/>
            <w:hideMark/>
          </w:tcPr>
          <w:p w14:paraId="33F5D9E4"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0.536</w:t>
            </w:r>
          </w:p>
        </w:tc>
      </w:tr>
      <w:tr w:rsidR="004F38B1" w14:paraId="50566BEC" w14:textId="77777777" w:rsidTr="004F38B1">
        <w:tc>
          <w:tcPr>
            <w:tcW w:w="4248" w:type="dxa"/>
            <w:hideMark/>
          </w:tcPr>
          <w:p w14:paraId="266910D3" w14:textId="77777777" w:rsidR="004F38B1" w:rsidRDefault="004F38B1" w:rsidP="004F38B1">
            <w:pPr>
              <w:autoSpaceDE w:val="0"/>
              <w:autoSpaceDN w:val="0"/>
              <w:adjustRightInd w:val="0"/>
              <w:spacing w:before="120"/>
              <w:rPr>
                <w:rFonts w:asciiTheme="majorBidi" w:hAnsiTheme="majorBidi" w:cstheme="majorBidi"/>
                <w:b/>
                <w:bCs/>
                <w:sz w:val="24"/>
                <w:szCs w:val="24"/>
              </w:rPr>
            </w:pPr>
            <w:r>
              <w:rPr>
                <w:rFonts w:asciiTheme="majorBidi" w:hAnsiTheme="majorBidi" w:cstheme="majorBidi"/>
                <w:b/>
                <w:bCs/>
                <w:sz w:val="24"/>
                <w:szCs w:val="24"/>
              </w:rPr>
              <w:t>Mean ASA score</w:t>
            </w:r>
          </w:p>
        </w:tc>
        <w:tc>
          <w:tcPr>
            <w:tcW w:w="1559" w:type="dxa"/>
            <w:hideMark/>
          </w:tcPr>
          <w:p w14:paraId="27B744BF" w14:textId="77777777" w:rsidR="004F38B1" w:rsidRDefault="004F38B1" w:rsidP="004F38B1">
            <w:pPr>
              <w:autoSpaceDE w:val="0"/>
              <w:autoSpaceDN w:val="0"/>
              <w:adjustRightInd w:val="0"/>
              <w:spacing w:before="120"/>
              <w:jc w:val="center"/>
              <w:rPr>
                <w:rFonts w:asciiTheme="majorBidi" w:hAnsiTheme="majorBidi" w:cstheme="majorBidi"/>
                <w:b/>
                <w:bCs/>
                <w:sz w:val="24"/>
                <w:szCs w:val="24"/>
              </w:rPr>
            </w:pPr>
            <w:r>
              <w:rPr>
                <w:rFonts w:asciiTheme="majorBidi" w:hAnsiTheme="majorBidi" w:cstheme="majorBidi"/>
                <w:b/>
                <w:bCs/>
                <w:sz w:val="24"/>
                <w:szCs w:val="24"/>
              </w:rPr>
              <w:t>2.1</w:t>
            </w:r>
            <w:r>
              <w:rPr>
                <w:rFonts w:asciiTheme="majorBidi" w:eastAsia="Times New Roman" w:hAnsiTheme="majorBidi" w:cstheme="majorBidi"/>
                <w:b/>
                <w:bCs/>
                <w:color w:val="000000"/>
                <w:sz w:val="24"/>
                <w:szCs w:val="24"/>
              </w:rPr>
              <w:t>±</w:t>
            </w:r>
            <w:r>
              <w:rPr>
                <w:rFonts w:asciiTheme="majorBidi" w:hAnsiTheme="majorBidi" w:cstheme="majorBidi"/>
                <w:b/>
                <w:bCs/>
                <w:sz w:val="24"/>
                <w:szCs w:val="24"/>
              </w:rPr>
              <w:t>0.9</w:t>
            </w:r>
          </w:p>
        </w:tc>
        <w:tc>
          <w:tcPr>
            <w:tcW w:w="1418" w:type="dxa"/>
            <w:hideMark/>
          </w:tcPr>
          <w:p w14:paraId="3CD521E9" w14:textId="77777777" w:rsidR="004F38B1" w:rsidRDefault="004F38B1" w:rsidP="004F38B1">
            <w:pPr>
              <w:autoSpaceDE w:val="0"/>
              <w:autoSpaceDN w:val="0"/>
              <w:adjustRightInd w:val="0"/>
              <w:spacing w:before="120"/>
              <w:jc w:val="center"/>
              <w:rPr>
                <w:rFonts w:asciiTheme="majorBidi" w:hAnsiTheme="majorBidi" w:cstheme="majorBidi"/>
                <w:b/>
                <w:bCs/>
                <w:sz w:val="24"/>
                <w:szCs w:val="24"/>
              </w:rPr>
            </w:pPr>
            <w:r>
              <w:rPr>
                <w:rFonts w:asciiTheme="majorBidi" w:hAnsiTheme="majorBidi" w:cstheme="majorBidi"/>
                <w:b/>
                <w:bCs/>
                <w:sz w:val="24"/>
                <w:szCs w:val="24"/>
              </w:rPr>
              <w:t>2.7</w:t>
            </w:r>
            <w:r>
              <w:rPr>
                <w:rFonts w:asciiTheme="majorBidi" w:eastAsia="Times New Roman" w:hAnsiTheme="majorBidi" w:cstheme="majorBidi"/>
                <w:b/>
                <w:bCs/>
                <w:color w:val="000000"/>
                <w:sz w:val="24"/>
                <w:szCs w:val="24"/>
              </w:rPr>
              <w:t>±0.9</w:t>
            </w:r>
          </w:p>
        </w:tc>
        <w:tc>
          <w:tcPr>
            <w:tcW w:w="1071" w:type="dxa"/>
            <w:hideMark/>
          </w:tcPr>
          <w:p w14:paraId="5782CF45" w14:textId="77777777" w:rsidR="004F38B1" w:rsidRDefault="004F38B1" w:rsidP="004F38B1">
            <w:pPr>
              <w:autoSpaceDE w:val="0"/>
              <w:autoSpaceDN w:val="0"/>
              <w:adjustRightInd w:val="0"/>
              <w:spacing w:before="120"/>
              <w:jc w:val="center"/>
              <w:rPr>
                <w:rFonts w:asciiTheme="majorBidi" w:hAnsiTheme="majorBidi" w:cstheme="majorBidi"/>
                <w:b/>
                <w:bCs/>
                <w:sz w:val="24"/>
                <w:szCs w:val="24"/>
              </w:rPr>
            </w:pPr>
            <w:r>
              <w:rPr>
                <w:rFonts w:asciiTheme="majorBidi" w:hAnsiTheme="majorBidi" w:cstheme="majorBidi"/>
                <w:b/>
                <w:bCs/>
                <w:sz w:val="24"/>
                <w:szCs w:val="24"/>
              </w:rPr>
              <w:t>&lt;0.001</w:t>
            </w:r>
          </w:p>
        </w:tc>
      </w:tr>
      <w:tr w:rsidR="004F38B1" w14:paraId="4122C9ED" w14:textId="77777777" w:rsidTr="004F38B1">
        <w:tc>
          <w:tcPr>
            <w:tcW w:w="4248" w:type="dxa"/>
            <w:hideMark/>
          </w:tcPr>
          <w:p w14:paraId="1E771F1E"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Diabetes mellitus (%)</w:t>
            </w:r>
          </w:p>
        </w:tc>
        <w:tc>
          <w:tcPr>
            <w:tcW w:w="1559" w:type="dxa"/>
            <w:hideMark/>
          </w:tcPr>
          <w:p w14:paraId="5AF18854"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33.3</w:t>
            </w:r>
          </w:p>
        </w:tc>
        <w:tc>
          <w:tcPr>
            <w:tcW w:w="1418" w:type="dxa"/>
            <w:hideMark/>
          </w:tcPr>
          <w:p w14:paraId="7F07F4D3"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38.5</w:t>
            </w:r>
          </w:p>
        </w:tc>
        <w:tc>
          <w:tcPr>
            <w:tcW w:w="1071" w:type="dxa"/>
            <w:hideMark/>
          </w:tcPr>
          <w:p w14:paraId="6F483B96"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0.605</w:t>
            </w:r>
          </w:p>
        </w:tc>
      </w:tr>
      <w:tr w:rsidR="004F38B1" w14:paraId="511AC17C" w14:textId="77777777" w:rsidTr="004F38B1">
        <w:tc>
          <w:tcPr>
            <w:tcW w:w="4248" w:type="dxa"/>
            <w:hideMark/>
          </w:tcPr>
          <w:p w14:paraId="6EA95A3E"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Renal failure (%)</w:t>
            </w:r>
          </w:p>
        </w:tc>
        <w:tc>
          <w:tcPr>
            <w:tcW w:w="1559" w:type="dxa"/>
            <w:hideMark/>
          </w:tcPr>
          <w:p w14:paraId="71F7F1DC"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9.3</w:t>
            </w:r>
          </w:p>
        </w:tc>
        <w:tc>
          <w:tcPr>
            <w:tcW w:w="1418" w:type="dxa"/>
            <w:hideMark/>
          </w:tcPr>
          <w:p w14:paraId="50067025"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11.5</w:t>
            </w:r>
          </w:p>
        </w:tc>
        <w:tc>
          <w:tcPr>
            <w:tcW w:w="1071" w:type="dxa"/>
            <w:hideMark/>
          </w:tcPr>
          <w:p w14:paraId="22091296"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0.715</w:t>
            </w:r>
          </w:p>
        </w:tc>
      </w:tr>
      <w:tr w:rsidR="004F38B1" w14:paraId="7F7D96B6" w14:textId="77777777" w:rsidTr="004F38B1">
        <w:tc>
          <w:tcPr>
            <w:tcW w:w="4248" w:type="dxa"/>
            <w:hideMark/>
          </w:tcPr>
          <w:p w14:paraId="0A7D8658"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Obesity (%)</w:t>
            </w:r>
          </w:p>
        </w:tc>
        <w:tc>
          <w:tcPr>
            <w:tcW w:w="1559" w:type="dxa"/>
            <w:hideMark/>
          </w:tcPr>
          <w:p w14:paraId="0C979EB6"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2.7</w:t>
            </w:r>
          </w:p>
        </w:tc>
        <w:tc>
          <w:tcPr>
            <w:tcW w:w="1418" w:type="dxa"/>
            <w:hideMark/>
          </w:tcPr>
          <w:p w14:paraId="2FB05D32"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15.4</w:t>
            </w:r>
          </w:p>
        </w:tc>
        <w:tc>
          <w:tcPr>
            <w:tcW w:w="1071" w:type="dxa"/>
            <w:hideMark/>
          </w:tcPr>
          <w:p w14:paraId="1BF42008"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0.003</w:t>
            </w:r>
          </w:p>
        </w:tc>
      </w:tr>
      <w:tr w:rsidR="004F38B1" w14:paraId="72F24F55" w14:textId="77777777" w:rsidTr="004F38B1">
        <w:tc>
          <w:tcPr>
            <w:tcW w:w="4248" w:type="dxa"/>
            <w:hideMark/>
          </w:tcPr>
          <w:p w14:paraId="100BD315"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IHD (%)</w:t>
            </w:r>
          </w:p>
        </w:tc>
        <w:tc>
          <w:tcPr>
            <w:tcW w:w="1559" w:type="dxa"/>
            <w:hideMark/>
          </w:tcPr>
          <w:p w14:paraId="30AD95FC"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24.0</w:t>
            </w:r>
          </w:p>
        </w:tc>
        <w:tc>
          <w:tcPr>
            <w:tcW w:w="1418" w:type="dxa"/>
            <w:hideMark/>
          </w:tcPr>
          <w:p w14:paraId="0E5FB7B8"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34.6</w:t>
            </w:r>
          </w:p>
        </w:tc>
        <w:tc>
          <w:tcPr>
            <w:tcW w:w="1071" w:type="dxa"/>
            <w:hideMark/>
          </w:tcPr>
          <w:p w14:paraId="0917D926"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0.246</w:t>
            </w:r>
          </w:p>
        </w:tc>
      </w:tr>
      <w:tr w:rsidR="004F38B1" w14:paraId="0AE48A94" w14:textId="77777777" w:rsidTr="004F38B1">
        <w:tc>
          <w:tcPr>
            <w:tcW w:w="4248" w:type="dxa"/>
            <w:hideMark/>
          </w:tcPr>
          <w:p w14:paraId="54DA697D"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CVA (%)</w:t>
            </w:r>
          </w:p>
        </w:tc>
        <w:tc>
          <w:tcPr>
            <w:tcW w:w="1559" w:type="dxa"/>
            <w:hideMark/>
          </w:tcPr>
          <w:p w14:paraId="5A0DB2C1"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1.6</w:t>
            </w:r>
          </w:p>
        </w:tc>
        <w:tc>
          <w:tcPr>
            <w:tcW w:w="1418" w:type="dxa"/>
            <w:hideMark/>
          </w:tcPr>
          <w:p w14:paraId="5A8F87DA"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7.7</w:t>
            </w:r>
          </w:p>
        </w:tc>
        <w:tc>
          <w:tcPr>
            <w:tcW w:w="1071" w:type="dxa"/>
            <w:hideMark/>
          </w:tcPr>
          <w:p w14:paraId="4F5BAC0F"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0.059</w:t>
            </w:r>
          </w:p>
        </w:tc>
      </w:tr>
      <w:tr w:rsidR="004F38B1" w14:paraId="7E55F6AB" w14:textId="77777777" w:rsidTr="004F38B1">
        <w:tc>
          <w:tcPr>
            <w:tcW w:w="4248" w:type="dxa"/>
            <w:tcBorders>
              <w:top w:val="nil"/>
              <w:left w:val="nil"/>
              <w:bottom w:val="single" w:sz="8" w:space="0" w:color="000000"/>
              <w:right w:val="nil"/>
            </w:tcBorders>
            <w:hideMark/>
          </w:tcPr>
          <w:p w14:paraId="7CA4FC0B" w14:textId="77777777"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Cholangitis (%)</w:t>
            </w:r>
          </w:p>
        </w:tc>
        <w:tc>
          <w:tcPr>
            <w:tcW w:w="1559" w:type="dxa"/>
            <w:tcBorders>
              <w:top w:val="nil"/>
              <w:left w:val="nil"/>
              <w:bottom w:val="single" w:sz="8" w:space="0" w:color="000000"/>
              <w:right w:val="nil"/>
            </w:tcBorders>
            <w:hideMark/>
          </w:tcPr>
          <w:p w14:paraId="60663F9C"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1.6</w:t>
            </w:r>
          </w:p>
        </w:tc>
        <w:tc>
          <w:tcPr>
            <w:tcW w:w="1418" w:type="dxa"/>
            <w:tcBorders>
              <w:top w:val="nil"/>
              <w:left w:val="nil"/>
              <w:bottom w:val="single" w:sz="8" w:space="0" w:color="000000"/>
              <w:right w:val="nil"/>
            </w:tcBorders>
            <w:hideMark/>
          </w:tcPr>
          <w:p w14:paraId="4DA32933"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3.8</w:t>
            </w:r>
          </w:p>
        </w:tc>
        <w:tc>
          <w:tcPr>
            <w:tcW w:w="1071" w:type="dxa"/>
            <w:tcBorders>
              <w:top w:val="nil"/>
              <w:left w:val="nil"/>
              <w:bottom w:val="single" w:sz="8" w:space="0" w:color="000000"/>
              <w:right w:val="nil"/>
            </w:tcBorders>
            <w:hideMark/>
          </w:tcPr>
          <w:p w14:paraId="07706817"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0.406</w:t>
            </w:r>
          </w:p>
        </w:tc>
      </w:tr>
    </w:tbl>
    <w:p w14:paraId="4E5BF589" w14:textId="463130E2" w:rsidR="004F38B1" w:rsidRPr="00F94FCD" w:rsidRDefault="004F38B1" w:rsidP="004D77B5">
      <w:pPr>
        <w:rPr>
          <w:rFonts w:cstheme="minorHAnsi"/>
        </w:rPr>
      </w:pPr>
    </w:p>
    <w:p w14:paraId="4DD63080" w14:textId="7E098E00" w:rsidR="009E0FD1" w:rsidRDefault="004F38B1" w:rsidP="004D77B5">
      <w:r>
        <w:t xml:space="preserve">Presented in Table 6 is a comparison of </w:t>
      </w:r>
      <w:r w:rsidR="00051730">
        <w:t>laboratory</w:t>
      </w:r>
      <w:r>
        <w:t xml:space="preserve"> tests in PC and control patients over age 65. Results were similar in both groups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4F38B1" w14:paraId="248796CA" w14:textId="77777777" w:rsidTr="004F38B1">
        <w:tc>
          <w:tcPr>
            <w:tcW w:w="8296" w:type="dxa"/>
            <w:gridSpan w:val="4"/>
            <w:tcBorders>
              <w:top w:val="nil"/>
              <w:left w:val="nil"/>
              <w:bottom w:val="single" w:sz="8" w:space="0" w:color="000000"/>
              <w:right w:val="nil"/>
            </w:tcBorders>
            <w:hideMark/>
          </w:tcPr>
          <w:p w14:paraId="1ECFCA10" w14:textId="47074934" w:rsidR="004F38B1" w:rsidRDefault="004F38B1" w:rsidP="004F38B1">
            <w:pPr>
              <w:autoSpaceDE w:val="0"/>
              <w:autoSpaceDN w:val="0"/>
              <w:adjustRightInd w:val="0"/>
              <w:spacing w:before="120"/>
              <w:rPr>
                <w:rFonts w:asciiTheme="majorBidi" w:hAnsiTheme="majorBidi" w:cstheme="majorBidi"/>
                <w:sz w:val="24"/>
                <w:szCs w:val="24"/>
              </w:rPr>
            </w:pPr>
            <w:r>
              <w:rPr>
                <w:rFonts w:asciiTheme="majorBidi" w:hAnsiTheme="majorBidi" w:cstheme="majorBidi"/>
                <w:b/>
                <w:bCs/>
                <w:sz w:val="24"/>
                <w:szCs w:val="24"/>
              </w:rPr>
              <w:t>Table 6</w:t>
            </w:r>
            <w:r>
              <w:rPr>
                <w:rFonts w:asciiTheme="majorBidi" w:hAnsiTheme="majorBidi" w:cstheme="majorBidi"/>
                <w:sz w:val="24"/>
                <w:szCs w:val="24"/>
              </w:rPr>
              <w:t>: Comparison of admission labora</w:t>
            </w:r>
            <w:r>
              <w:rPr>
                <w:rFonts w:asciiTheme="majorBidi" w:hAnsiTheme="majorBidi" w:cstheme="majorBidi"/>
                <w:sz w:val="24"/>
                <w:szCs w:val="24"/>
              </w:rPr>
              <w:t>tory data</w:t>
            </w:r>
            <w:r w:rsidR="00A4282C">
              <w:rPr>
                <w:rFonts w:asciiTheme="majorBidi" w:hAnsiTheme="majorBidi" w:cstheme="majorBidi"/>
                <w:sz w:val="24"/>
                <w:szCs w:val="24"/>
              </w:rPr>
              <w:t xml:space="preserve"> in PC and no PC groups</w:t>
            </w:r>
          </w:p>
        </w:tc>
      </w:tr>
      <w:tr w:rsidR="004F38B1" w14:paraId="45B0E96F" w14:textId="77777777" w:rsidTr="004F38B1">
        <w:tc>
          <w:tcPr>
            <w:tcW w:w="4248" w:type="dxa"/>
            <w:tcBorders>
              <w:top w:val="single" w:sz="8" w:space="0" w:color="000000"/>
              <w:left w:val="nil"/>
              <w:bottom w:val="single" w:sz="8" w:space="0" w:color="000000"/>
              <w:right w:val="nil"/>
            </w:tcBorders>
          </w:tcPr>
          <w:p w14:paraId="00B08819" w14:textId="77777777" w:rsidR="004F38B1" w:rsidRDefault="004F38B1" w:rsidP="004F38B1">
            <w:pPr>
              <w:autoSpaceDE w:val="0"/>
              <w:autoSpaceDN w:val="0"/>
              <w:adjustRightInd w:val="0"/>
              <w:spacing w:before="120"/>
              <w:rPr>
                <w:rFonts w:asciiTheme="majorBidi" w:hAnsiTheme="majorBidi" w:cstheme="majorBidi"/>
                <w:sz w:val="24"/>
                <w:szCs w:val="24"/>
              </w:rPr>
            </w:pPr>
          </w:p>
        </w:tc>
        <w:tc>
          <w:tcPr>
            <w:tcW w:w="1559" w:type="dxa"/>
            <w:tcBorders>
              <w:top w:val="single" w:sz="8" w:space="0" w:color="000000"/>
              <w:left w:val="nil"/>
              <w:bottom w:val="single" w:sz="8" w:space="0" w:color="000000"/>
              <w:right w:val="nil"/>
            </w:tcBorders>
            <w:hideMark/>
          </w:tcPr>
          <w:p w14:paraId="0F61C9DA" w14:textId="77777777" w:rsidR="004F38B1" w:rsidRDefault="004F38B1" w:rsidP="00A4282C">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No</w:t>
            </w:r>
          </w:p>
          <w:p w14:paraId="35896E76" w14:textId="77777777" w:rsidR="004F38B1" w:rsidRDefault="004F38B1" w:rsidP="00A4282C">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left w:val="nil"/>
              <w:bottom w:val="single" w:sz="8" w:space="0" w:color="000000"/>
              <w:right w:val="nil"/>
            </w:tcBorders>
            <w:hideMark/>
          </w:tcPr>
          <w:p w14:paraId="745F8808" w14:textId="77777777" w:rsidR="004F38B1" w:rsidRDefault="004F38B1" w:rsidP="00A4282C">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Yes</w:t>
            </w:r>
          </w:p>
          <w:p w14:paraId="0FF2974A" w14:textId="77777777" w:rsidR="004F38B1" w:rsidRDefault="004F38B1" w:rsidP="00A4282C">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left w:val="nil"/>
              <w:bottom w:val="single" w:sz="8" w:space="0" w:color="000000"/>
              <w:right w:val="nil"/>
            </w:tcBorders>
            <w:hideMark/>
          </w:tcPr>
          <w:p w14:paraId="68A2B970" w14:textId="0F501B1C" w:rsidR="004F38B1" w:rsidRDefault="004F38B1" w:rsidP="00A4282C">
            <w:pPr>
              <w:autoSpaceDE w:val="0"/>
              <w:autoSpaceDN w:val="0"/>
              <w:adjustRightInd w:val="0"/>
              <w:spacing w:before="120"/>
              <w:contextualSpacing/>
              <w:jc w:val="center"/>
              <w:rPr>
                <w:rFonts w:asciiTheme="majorBidi" w:hAnsiTheme="majorBidi" w:cstheme="majorBidi"/>
                <w:sz w:val="24"/>
                <w:szCs w:val="24"/>
              </w:rPr>
            </w:pPr>
            <w:r>
              <w:rPr>
                <w:rFonts w:asciiTheme="majorBidi" w:hAnsiTheme="majorBidi" w:cstheme="majorBidi"/>
                <w:sz w:val="24"/>
                <w:szCs w:val="24"/>
              </w:rPr>
              <w:t>p</w:t>
            </w:r>
            <w:r w:rsidR="00A4282C">
              <w:rPr>
                <w:rFonts w:asciiTheme="majorBidi" w:hAnsiTheme="majorBidi" w:cstheme="majorBidi"/>
                <w:sz w:val="24"/>
                <w:szCs w:val="24"/>
              </w:rPr>
              <w:t>-v</w:t>
            </w:r>
            <w:r>
              <w:rPr>
                <w:rFonts w:asciiTheme="majorBidi" w:hAnsiTheme="majorBidi" w:cstheme="majorBidi"/>
                <w:sz w:val="24"/>
                <w:szCs w:val="24"/>
              </w:rPr>
              <w:t>alue</w:t>
            </w:r>
          </w:p>
        </w:tc>
      </w:tr>
      <w:tr w:rsidR="004F38B1" w14:paraId="1C952317" w14:textId="77777777" w:rsidTr="004F38B1">
        <w:tc>
          <w:tcPr>
            <w:tcW w:w="4248" w:type="dxa"/>
            <w:tcBorders>
              <w:top w:val="single" w:sz="8" w:space="0" w:color="000000"/>
              <w:left w:val="nil"/>
              <w:bottom w:val="nil"/>
              <w:right w:val="nil"/>
            </w:tcBorders>
            <w:vAlign w:val="bottom"/>
            <w:hideMark/>
          </w:tcPr>
          <w:p w14:paraId="2EF828CF"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Hemoglobin (g/dL)</w:t>
            </w:r>
          </w:p>
        </w:tc>
        <w:tc>
          <w:tcPr>
            <w:tcW w:w="1559" w:type="dxa"/>
            <w:tcBorders>
              <w:top w:val="single" w:sz="8" w:space="0" w:color="000000"/>
              <w:left w:val="nil"/>
              <w:bottom w:val="nil"/>
              <w:right w:val="nil"/>
            </w:tcBorders>
            <w:vAlign w:val="bottom"/>
            <w:hideMark/>
          </w:tcPr>
          <w:p w14:paraId="01424CBE"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13.0±1.8</w:t>
            </w:r>
          </w:p>
        </w:tc>
        <w:tc>
          <w:tcPr>
            <w:tcW w:w="1418" w:type="dxa"/>
            <w:tcBorders>
              <w:top w:val="single" w:sz="8" w:space="0" w:color="000000"/>
              <w:left w:val="nil"/>
              <w:bottom w:val="nil"/>
              <w:right w:val="nil"/>
            </w:tcBorders>
            <w:vAlign w:val="bottom"/>
            <w:hideMark/>
          </w:tcPr>
          <w:p w14:paraId="6786C9B2" w14:textId="1E2DC465"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12.6±1.6</w:t>
            </w:r>
          </w:p>
        </w:tc>
        <w:tc>
          <w:tcPr>
            <w:tcW w:w="1071" w:type="dxa"/>
            <w:tcBorders>
              <w:top w:val="single" w:sz="8" w:space="0" w:color="000000"/>
              <w:left w:val="nil"/>
              <w:bottom w:val="nil"/>
              <w:right w:val="nil"/>
            </w:tcBorders>
            <w:hideMark/>
          </w:tcPr>
          <w:p w14:paraId="38F4A61B"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0.122</w:t>
            </w:r>
          </w:p>
        </w:tc>
      </w:tr>
      <w:tr w:rsidR="004F38B1" w14:paraId="25F70271" w14:textId="77777777" w:rsidTr="004F38B1">
        <w:tc>
          <w:tcPr>
            <w:tcW w:w="4248" w:type="dxa"/>
            <w:vAlign w:val="bottom"/>
            <w:hideMark/>
          </w:tcPr>
          <w:p w14:paraId="206FF58F"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WBC (per cmm</w:t>
            </w:r>
            <w:r>
              <w:rPr>
                <w:rFonts w:asciiTheme="majorBidi" w:eastAsia="Times New Roman" w:hAnsiTheme="majorBidi" w:cstheme="majorBidi"/>
                <w:color w:val="000000"/>
                <w:sz w:val="24"/>
                <w:szCs w:val="24"/>
                <w:vertAlign w:val="superscript"/>
              </w:rPr>
              <w:t>3</w:t>
            </w:r>
            <w:r>
              <w:rPr>
                <w:rFonts w:asciiTheme="majorBidi" w:eastAsia="Times New Roman" w:hAnsiTheme="majorBidi" w:cstheme="majorBidi"/>
                <w:color w:val="000000"/>
                <w:sz w:val="24"/>
                <w:szCs w:val="24"/>
              </w:rPr>
              <w:t>)</w:t>
            </w:r>
          </w:p>
        </w:tc>
        <w:tc>
          <w:tcPr>
            <w:tcW w:w="1559" w:type="dxa"/>
            <w:vAlign w:val="bottom"/>
            <w:hideMark/>
          </w:tcPr>
          <w:p w14:paraId="022C3E61"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13.4±5.2</w:t>
            </w:r>
          </w:p>
        </w:tc>
        <w:tc>
          <w:tcPr>
            <w:tcW w:w="1418" w:type="dxa"/>
            <w:vAlign w:val="bottom"/>
            <w:hideMark/>
          </w:tcPr>
          <w:p w14:paraId="7661B107"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14.6±6.1</w:t>
            </w:r>
          </w:p>
        </w:tc>
        <w:tc>
          <w:tcPr>
            <w:tcW w:w="1071" w:type="dxa"/>
            <w:hideMark/>
          </w:tcPr>
          <w:p w14:paraId="1CD156AE"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0.164</w:t>
            </w:r>
          </w:p>
        </w:tc>
      </w:tr>
      <w:tr w:rsidR="004F38B1" w14:paraId="4E20B4C0" w14:textId="77777777" w:rsidTr="004F38B1">
        <w:tc>
          <w:tcPr>
            <w:tcW w:w="4248" w:type="dxa"/>
            <w:vAlign w:val="bottom"/>
            <w:hideMark/>
          </w:tcPr>
          <w:p w14:paraId="1025697E"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Platelets (per cmm</w:t>
            </w:r>
            <w:r>
              <w:rPr>
                <w:rFonts w:asciiTheme="majorBidi" w:eastAsia="Times New Roman" w:hAnsiTheme="majorBidi" w:cstheme="majorBidi"/>
                <w:color w:val="000000"/>
                <w:sz w:val="24"/>
                <w:szCs w:val="24"/>
                <w:vertAlign w:val="superscript"/>
              </w:rPr>
              <w:t>3</w:t>
            </w:r>
            <w:r>
              <w:rPr>
                <w:rFonts w:asciiTheme="majorBidi" w:eastAsia="Times New Roman" w:hAnsiTheme="majorBidi" w:cstheme="majorBidi"/>
                <w:color w:val="000000"/>
                <w:sz w:val="24"/>
                <w:szCs w:val="24"/>
              </w:rPr>
              <w:t>)</w:t>
            </w:r>
          </w:p>
        </w:tc>
        <w:tc>
          <w:tcPr>
            <w:tcW w:w="1559" w:type="dxa"/>
            <w:vAlign w:val="bottom"/>
            <w:hideMark/>
          </w:tcPr>
          <w:p w14:paraId="064CC258"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236±89</w:t>
            </w:r>
          </w:p>
        </w:tc>
        <w:tc>
          <w:tcPr>
            <w:tcW w:w="1418" w:type="dxa"/>
            <w:vAlign w:val="bottom"/>
            <w:hideMark/>
          </w:tcPr>
          <w:p w14:paraId="49C86CF4" w14:textId="71EF1BD4"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231±85</w:t>
            </w:r>
          </w:p>
        </w:tc>
        <w:tc>
          <w:tcPr>
            <w:tcW w:w="1071" w:type="dxa"/>
            <w:hideMark/>
          </w:tcPr>
          <w:p w14:paraId="2908B551"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0.745</w:t>
            </w:r>
          </w:p>
        </w:tc>
      </w:tr>
      <w:tr w:rsidR="004F38B1" w14:paraId="68E5B8B5" w14:textId="77777777" w:rsidTr="004F38B1">
        <w:tc>
          <w:tcPr>
            <w:tcW w:w="4248" w:type="dxa"/>
            <w:vAlign w:val="bottom"/>
            <w:hideMark/>
          </w:tcPr>
          <w:p w14:paraId="57C2F8CC"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Creatinine (mg/dL)</w:t>
            </w:r>
          </w:p>
        </w:tc>
        <w:tc>
          <w:tcPr>
            <w:tcW w:w="1559" w:type="dxa"/>
            <w:vAlign w:val="bottom"/>
            <w:hideMark/>
          </w:tcPr>
          <w:p w14:paraId="6DCF9C26"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1.0±0.5</w:t>
            </w:r>
          </w:p>
        </w:tc>
        <w:tc>
          <w:tcPr>
            <w:tcW w:w="1418" w:type="dxa"/>
            <w:vAlign w:val="bottom"/>
            <w:hideMark/>
          </w:tcPr>
          <w:p w14:paraId="50A6492D" w14:textId="61F69EC5"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1.1±0.5</w:t>
            </w:r>
          </w:p>
        </w:tc>
        <w:tc>
          <w:tcPr>
            <w:tcW w:w="1071" w:type="dxa"/>
            <w:hideMark/>
          </w:tcPr>
          <w:p w14:paraId="1652286E"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0.237</w:t>
            </w:r>
          </w:p>
        </w:tc>
      </w:tr>
      <w:tr w:rsidR="004F38B1" w14:paraId="19A7791B" w14:textId="77777777" w:rsidTr="004F38B1">
        <w:tc>
          <w:tcPr>
            <w:tcW w:w="4248" w:type="dxa"/>
            <w:vAlign w:val="bottom"/>
            <w:hideMark/>
          </w:tcPr>
          <w:p w14:paraId="4FEBF329"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UREA (mg/dL)</w:t>
            </w:r>
          </w:p>
        </w:tc>
        <w:tc>
          <w:tcPr>
            <w:tcW w:w="1559" w:type="dxa"/>
            <w:vAlign w:val="bottom"/>
            <w:hideMark/>
          </w:tcPr>
          <w:p w14:paraId="29DC4BF4"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46.2±24.8</w:t>
            </w:r>
          </w:p>
        </w:tc>
        <w:tc>
          <w:tcPr>
            <w:tcW w:w="1418" w:type="dxa"/>
            <w:vAlign w:val="bottom"/>
            <w:hideMark/>
          </w:tcPr>
          <w:p w14:paraId="035AA43D" w14:textId="3D1E9835"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52.0±25.0</w:t>
            </w:r>
          </w:p>
        </w:tc>
        <w:tc>
          <w:tcPr>
            <w:tcW w:w="1071" w:type="dxa"/>
            <w:hideMark/>
          </w:tcPr>
          <w:p w14:paraId="475B6E68"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0.159</w:t>
            </w:r>
          </w:p>
        </w:tc>
      </w:tr>
      <w:tr w:rsidR="004F38B1" w14:paraId="04E3C0E2" w14:textId="77777777" w:rsidTr="004F38B1">
        <w:tc>
          <w:tcPr>
            <w:tcW w:w="4248" w:type="dxa"/>
            <w:vAlign w:val="bottom"/>
            <w:hideMark/>
          </w:tcPr>
          <w:p w14:paraId="48DDB4CF"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Sodium (meq/L)</w:t>
            </w:r>
          </w:p>
        </w:tc>
        <w:tc>
          <w:tcPr>
            <w:tcW w:w="1559" w:type="dxa"/>
            <w:vAlign w:val="bottom"/>
            <w:hideMark/>
          </w:tcPr>
          <w:p w14:paraId="7C6E4548"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136±4</w:t>
            </w:r>
          </w:p>
        </w:tc>
        <w:tc>
          <w:tcPr>
            <w:tcW w:w="1418" w:type="dxa"/>
            <w:vAlign w:val="bottom"/>
            <w:hideMark/>
          </w:tcPr>
          <w:p w14:paraId="2D64E46D" w14:textId="19A0F0F8"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135±4</w:t>
            </w:r>
          </w:p>
        </w:tc>
        <w:tc>
          <w:tcPr>
            <w:tcW w:w="1071" w:type="dxa"/>
            <w:hideMark/>
          </w:tcPr>
          <w:p w14:paraId="129BFA73"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0.097</w:t>
            </w:r>
          </w:p>
        </w:tc>
      </w:tr>
      <w:tr w:rsidR="004F38B1" w14:paraId="17504BA7" w14:textId="77777777" w:rsidTr="004F38B1">
        <w:tc>
          <w:tcPr>
            <w:tcW w:w="4248" w:type="dxa"/>
            <w:vAlign w:val="bottom"/>
            <w:hideMark/>
          </w:tcPr>
          <w:p w14:paraId="306B4CEF"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Albumin (g/dL)</w:t>
            </w:r>
          </w:p>
        </w:tc>
        <w:tc>
          <w:tcPr>
            <w:tcW w:w="1559" w:type="dxa"/>
            <w:vAlign w:val="bottom"/>
            <w:hideMark/>
          </w:tcPr>
          <w:p w14:paraId="1F733475"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3.3±0.6</w:t>
            </w:r>
          </w:p>
        </w:tc>
        <w:tc>
          <w:tcPr>
            <w:tcW w:w="1418" w:type="dxa"/>
            <w:vAlign w:val="bottom"/>
            <w:hideMark/>
          </w:tcPr>
          <w:p w14:paraId="21B038DC" w14:textId="04232942"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3.2±0.8</w:t>
            </w:r>
          </w:p>
        </w:tc>
        <w:tc>
          <w:tcPr>
            <w:tcW w:w="1071" w:type="dxa"/>
            <w:hideMark/>
          </w:tcPr>
          <w:p w14:paraId="008206EC"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0.409</w:t>
            </w:r>
          </w:p>
        </w:tc>
      </w:tr>
      <w:tr w:rsidR="004F38B1" w14:paraId="5FC13A6D" w14:textId="77777777" w:rsidTr="004F38B1">
        <w:tc>
          <w:tcPr>
            <w:tcW w:w="4248" w:type="dxa"/>
            <w:vAlign w:val="bottom"/>
            <w:hideMark/>
          </w:tcPr>
          <w:p w14:paraId="7E72F6D2" w14:textId="77777777"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Total bilirubin (mg/dL)</w:t>
            </w:r>
          </w:p>
        </w:tc>
        <w:tc>
          <w:tcPr>
            <w:tcW w:w="1559" w:type="dxa"/>
            <w:vAlign w:val="bottom"/>
            <w:hideMark/>
          </w:tcPr>
          <w:p w14:paraId="1B73C1A0"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1.4±1.2</w:t>
            </w:r>
          </w:p>
        </w:tc>
        <w:tc>
          <w:tcPr>
            <w:tcW w:w="1418" w:type="dxa"/>
            <w:vAlign w:val="bottom"/>
            <w:hideMark/>
          </w:tcPr>
          <w:p w14:paraId="42D7E593"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1.3±1.1</w:t>
            </w:r>
          </w:p>
        </w:tc>
        <w:tc>
          <w:tcPr>
            <w:tcW w:w="1071" w:type="dxa"/>
            <w:hideMark/>
          </w:tcPr>
          <w:p w14:paraId="6F8F190F"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0.516</w:t>
            </w:r>
          </w:p>
        </w:tc>
      </w:tr>
      <w:tr w:rsidR="004F38B1" w14:paraId="78D555B9" w14:textId="77777777" w:rsidTr="004F38B1">
        <w:tc>
          <w:tcPr>
            <w:tcW w:w="4248" w:type="dxa"/>
            <w:vAlign w:val="bottom"/>
            <w:hideMark/>
          </w:tcPr>
          <w:p w14:paraId="12EB49AF" w14:textId="200112F9"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ALP (IU/dL)</w:t>
            </w:r>
          </w:p>
        </w:tc>
        <w:tc>
          <w:tcPr>
            <w:tcW w:w="1559" w:type="dxa"/>
            <w:vAlign w:val="bottom"/>
            <w:hideMark/>
          </w:tcPr>
          <w:p w14:paraId="67766922" w14:textId="77777777"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123±110</w:t>
            </w:r>
          </w:p>
        </w:tc>
        <w:tc>
          <w:tcPr>
            <w:tcW w:w="1418" w:type="dxa"/>
            <w:vAlign w:val="bottom"/>
            <w:hideMark/>
          </w:tcPr>
          <w:p w14:paraId="44AC1DC9" w14:textId="1557CEEE"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116±113</w:t>
            </w:r>
          </w:p>
        </w:tc>
        <w:tc>
          <w:tcPr>
            <w:tcW w:w="1071" w:type="dxa"/>
            <w:hideMark/>
          </w:tcPr>
          <w:p w14:paraId="19FF7918"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0.718</w:t>
            </w:r>
          </w:p>
        </w:tc>
      </w:tr>
      <w:tr w:rsidR="004F38B1" w14:paraId="5619A4A8" w14:textId="77777777" w:rsidTr="004F38B1">
        <w:tc>
          <w:tcPr>
            <w:tcW w:w="4248" w:type="dxa"/>
            <w:tcBorders>
              <w:top w:val="nil"/>
              <w:left w:val="nil"/>
              <w:bottom w:val="single" w:sz="8" w:space="0" w:color="000000"/>
              <w:right w:val="nil"/>
            </w:tcBorders>
            <w:vAlign w:val="bottom"/>
            <w:hideMark/>
          </w:tcPr>
          <w:p w14:paraId="2B468967" w14:textId="72A5BE8C" w:rsidR="004F38B1" w:rsidRDefault="004F38B1" w:rsidP="004F38B1">
            <w:pPr>
              <w:spacing w:before="12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LDH (IU/dL)</w:t>
            </w:r>
          </w:p>
        </w:tc>
        <w:tc>
          <w:tcPr>
            <w:tcW w:w="1559" w:type="dxa"/>
            <w:tcBorders>
              <w:top w:val="nil"/>
              <w:left w:val="nil"/>
              <w:bottom w:val="single" w:sz="8" w:space="0" w:color="000000"/>
              <w:right w:val="nil"/>
            </w:tcBorders>
            <w:vAlign w:val="bottom"/>
            <w:hideMark/>
          </w:tcPr>
          <w:p w14:paraId="4C11FD2C" w14:textId="59CAD10A"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465±240</w:t>
            </w:r>
          </w:p>
        </w:tc>
        <w:tc>
          <w:tcPr>
            <w:tcW w:w="1418" w:type="dxa"/>
            <w:tcBorders>
              <w:top w:val="nil"/>
              <w:left w:val="nil"/>
              <w:bottom w:val="single" w:sz="8" w:space="0" w:color="000000"/>
              <w:right w:val="nil"/>
            </w:tcBorders>
            <w:vAlign w:val="bottom"/>
            <w:hideMark/>
          </w:tcPr>
          <w:p w14:paraId="692A6922" w14:textId="72673141" w:rsidR="004F38B1" w:rsidRDefault="004F38B1" w:rsidP="004F38B1">
            <w:pPr>
              <w:spacing w:before="120"/>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415±163</w:t>
            </w:r>
          </w:p>
        </w:tc>
        <w:tc>
          <w:tcPr>
            <w:tcW w:w="1071" w:type="dxa"/>
            <w:tcBorders>
              <w:top w:val="nil"/>
              <w:left w:val="nil"/>
              <w:bottom w:val="single" w:sz="8" w:space="0" w:color="000000"/>
              <w:right w:val="nil"/>
            </w:tcBorders>
            <w:hideMark/>
          </w:tcPr>
          <w:p w14:paraId="1B1029A0" w14:textId="77777777" w:rsidR="004F38B1" w:rsidRDefault="004F38B1" w:rsidP="004F38B1">
            <w:pPr>
              <w:autoSpaceDE w:val="0"/>
              <w:autoSpaceDN w:val="0"/>
              <w:adjustRightInd w:val="0"/>
              <w:spacing w:before="120"/>
              <w:jc w:val="center"/>
              <w:rPr>
                <w:rFonts w:asciiTheme="majorBidi" w:hAnsiTheme="majorBidi" w:cstheme="majorBidi"/>
                <w:sz w:val="24"/>
                <w:szCs w:val="24"/>
              </w:rPr>
            </w:pPr>
            <w:r>
              <w:rPr>
                <w:rFonts w:asciiTheme="majorBidi" w:hAnsiTheme="majorBidi" w:cstheme="majorBidi"/>
                <w:sz w:val="24"/>
                <w:szCs w:val="24"/>
              </w:rPr>
              <w:t>0.240</w:t>
            </w:r>
          </w:p>
        </w:tc>
      </w:tr>
    </w:tbl>
    <w:p w14:paraId="70646A54" w14:textId="3C74178C" w:rsidR="004F38B1" w:rsidRDefault="004F38B1" w:rsidP="004D77B5"/>
    <w:p w14:paraId="21A43B69" w14:textId="266E3934" w:rsidR="00A4282C" w:rsidRDefault="00A4282C" w:rsidP="00A4282C">
      <w:r>
        <w:t>Distribution of ASA scores and disease severity in patients are presented in Figure 7 and Figure 8, respectively. ASA score and disease severity were higher in PC patients.</w:t>
      </w:r>
    </w:p>
    <w:p w14:paraId="3CD3F648" w14:textId="7C5F6469" w:rsidR="00A4282C" w:rsidRDefault="005C33AD" w:rsidP="005C33AD">
      <w:r>
        <w:rPr>
          <w:noProof/>
        </w:rPr>
        <mc:AlternateContent>
          <mc:Choice Requires="wpg">
            <w:drawing>
              <wp:inline distT="0" distB="0" distL="0" distR="0" wp14:anchorId="637E2BFB" wp14:editId="7A6A38A3">
                <wp:extent cx="4155440" cy="3131185"/>
                <wp:effectExtent l="0" t="0" r="0" b="12065"/>
                <wp:docPr id="192" name="Group 192"/>
                <wp:cNvGraphicFramePr/>
                <a:graphic xmlns:a="http://schemas.openxmlformats.org/drawingml/2006/main">
                  <a:graphicData uri="http://schemas.microsoft.com/office/word/2010/wordprocessingGroup">
                    <wpg:wgp>
                      <wpg:cNvGrpSpPr/>
                      <wpg:grpSpPr>
                        <a:xfrm>
                          <a:off x="0" y="0"/>
                          <a:ext cx="4155440" cy="3131185"/>
                          <a:chOff x="0" y="0"/>
                          <a:chExt cx="4155440" cy="3199907"/>
                        </a:xfrm>
                      </wpg:grpSpPr>
                      <wps:wsp>
                        <wps:cNvPr id="29" name="Text Box 2"/>
                        <wps:cNvSpPr txBox="1">
                          <a:spLocks noChangeArrowheads="1"/>
                        </wps:cNvSpPr>
                        <wps:spPr bwMode="auto">
                          <a:xfrm>
                            <a:off x="0" y="0"/>
                            <a:ext cx="4155440" cy="450215"/>
                          </a:xfrm>
                          <a:prstGeom prst="rect">
                            <a:avLst/>
                          </a:prstGeom>
                          <a:solidFill>
                            <a:srgbClr val="FFFFFF"/>
                          </a:solidFill>
                          <a:ln w="9525">
                            <a:noFill/>
                            <a:miter lim="800000"/>
                            <a:headEnd/>
                            <a:tailEnd/>
                          </a:ln>
                        </wps:spPr>
                        <wps:txbx>
                          <w:txbxContent>
                            <w:p w14:paraId="4089D104" w14:textId="77777777" w:rsidR="005C33AD" w:rsidRDefault="005C33AD" w:rsidP="005C33AD">
                              <w:r w:rsidRPr="00DD03E5">
                                <w:rPr>
                                  <w:b/>
                                  <w:bCs/>
                                </w:rPr>
                                <w:t>Figure 7:</w:t>
                              </w:r>
                              <w:r w:rsidRPr="00DD03E5">
                                <w:t xml:space="preserve">  Distribution of ASA score among patients over 65 across cholecystostom</w:t>
                              </w:r>
                              <w:r>
                                <w:t>y</w:t>
                              </w:r>
                              <w:r w:rsidRPr="00DD03E5">
                                <w:t xml:space="preserve"> status groups</w:t>
                              </w:r>
                            </w:p>
                            <w:p w14:paraId="022464F1" w14:textId="77777777" w:rsidR="005C33AD" w:rsidRDefault="005C33AD" w:rsidP="005C33AD"/>
                          </w:txbxContent>
                        </wps:txbx>
                        <wps:bodyPr rot="0" vert="horz" wrap="square" lIns="91440" tIns="45720" rIns="91440" bIns="45720" anchor="t" anchorCtr="0">
                          <a:noAutofit/>
                        </wps:bodyPr>
                      </wps:wsp>
                      <wpg:graphicFrame>
                        <wpg:cNvPr id="31" name="Chart 31"/>
                        <wpg:cNvFrPr/>
                        <wpg:xfrm>
                          <a:off x="0" y="504967"/>
                          <a:ext cx="3787140" cy="2694940"/>
                        </wpg:xfrm>
                        <a:graphic>
                          <a:graphicData uri="http://schemas.openxmlformats.org/drawingml/2006/chart">
                            <c:chart xmlns:c="http://schemas.openxmlformats.org/drawingml/2006/chart" xmlns:r="http://schemas.openxmlformats.org/officeDocument/2006/relationships" r:id="rId21"/>
                          </a:graphicData>
                        </a:graphic>
                      </wpg:graphicFrame>
                    </wpg:wgp>
                  </a:graphicData>
                </a:graphic>
              </wp:inline>
            </w:drawing>
          </mc:Choice>
          <mc:Fallback>
            <w:pict>
              <v:group w14:anchorId="637E2BFB" id="Group 192" o:spid="_x0000_s1044" style="width:327.2pt;height:246.55pt;mso-position-horizontal-relative:char;mso-position-vertical-relative:line" coordsize="41554,31999"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v4GRr3&#10;AgAADA0AABkAAABkcnMvZHJhd2luZ3MvZHJhd2luZzEueG1s5JftatswFIZvRejvaB3LnzF1oOtg&#10;DMpWlu0CVFluzGTZSGrq7Op3ZCl1ko0ykrQMBiFxTnTOI5+P18oVKx41V8sV7blGQyukLliJV8b0&#10;RRBotuIt1ZddzyX8VneqpQa+qoegUvSpkQ+tCMhslgZsRZXBiytWqUJxsWx+8mvJVp3axqzUsVE/&#10;OJIPXquudZhhMbskJMuuAgsdnHEDxhkJSeism4X7nLxMN3mnUZ785n3guV2ve9RSproSY2T4YEQj&#10;f8C1CybXy/5OuWv2eX2nUFOVmGAkactL/A3Wv+8GFOLgeY11QGYAc4lH+3gXu4H0GJIWQ61an0V6&#10;RA5b2kjYJi26ukYAm5NoTmKMNiVO0zRL7J5oATtEzG4FbDkYEYPfSZylycwuCNw27MpeafORdydv&#10;CdlAJVac2b6hBV3fauNQW4QvnkuELbLNVwU1pcU9fEICXcMenRa05sp8gbdadE8lZqLpMXpStC+x&#10;7CTHSBlx0wlfIVoIbZZmI/ip3DHl/alRbB6g6eANMiGofCgxlxfflxjpn7BlmMsxsUwjs+l5TRm0&#10;4rtWXjDtSwp+1t0sblad4GyjTQevdoO0oeZR26qbsfbjMi6rO6ro12fYil98uv1r2OQ+hux9cbcl&#10;Hdtfb617EuJmZs/kUwc9ccREjFr1kqpkfxCVMJ17pXlZU+ZRvl24I0kkzuN8X5JOEJbonxSWKExA&#10;jUE6QDmSKIqh/fakJU0yQv4bZXkDFbGzK9YitE+SlqrbEs8wamTFJeiqm/2K13ZeRz0IvR4Iahq5&#10;Iwk3VDT3qvGa4DzGEfWxPYZMmBgqCcHOzLIAz4om1jyMbSedmWUBnhVPrDDKwvT8MEvwsGQHlpM8&#10;Pz/MEjwsnWCE5HBjZ0+jJXhYtgPL4ugV+sMSPCyfYJb0Cg1iCR4234GBhr1Cg1iCmzh/vrDktzge&#10;jPpsFv3Bk3688+lQcfic917ly16HRxHvBcdzOGGfeLC4Vg0VXrBOOVcEu/9+Fr8AAAD//wMAUEsD&#10;BBQABgAIAAAAIQBxZCiPBAMAABYHAAAOAAAAZHJzL2Uyb0RvYy54bWyklclu2zAQhu8F+g4E740W&#10;W4klRA7SJA4CdAmQ9AFoilpQiWRJ2lL69B1SlOIsRdvUB5nrr5lvFp2eDV2L9kzpRvAcR0chRoxT&#10;UTS8yvG3+82HFUbaEF6QVnCW4wem8dn6/bvTXmYsFrVoC6YQiHCd9TLHtTEyCwJNa9YRfSQk47BZ&#10;CtURA1NVBYUiPah3bRCH4XHQC1VIJSjTGlYvx028dvplyaj5WpaaGdTmGGwz7qncc2ufwfqUZJUi&#10;sm6oN4O8wYqONBxeOktdEkPQTjUvpLqGKqFFaY6o6AJRlg1lzgfwJgqfeXOtxE46X6qsr+SMCdA+&#10;4/RmWfplf6tQU0Ds0hgjTjoIknsvsguAp5dVBqeulbyTt8ovVOPMejyUqrP/4AsaHNiHGSwbDKKw&#10;uIySZLkE/hT2FtEiilbJiJ7WEJ8X92h99frNNE3DE3szmF4cWPtmc3oJaaQfSen/I3VXE8lcALRl&#10;4EnF6QTq3jr4UQzIk3KnLCZkBlgGqC4ptPwk6HeNuLioCa/YuVKirxkpwLzIeWPthhfYq5a4zrQV&#10;2fafRQHxIDsjnNA/s14mYRw51DMwkkmlzTUTHbKDHCsoEqdO9p+0GdlOR2xgtWibYtO0rZuoanvR&#10;KrQnUFAb9/PheHKs5ajPcZrEiVPmwt4HaZJ1jYGCb5sux6vQ/sY8sDSueOGOGNK04xiMbjkEeyIy&#10;sjHDdnAp6zLB7m1F8QC8lBjrG/oRDGqhfmLUQ23nWP/YEcUwam84ME8jl4zGTZbJSQyZqQ53toc7&#10;hFOQyrHBaBxeGNdArDdcnENsysZhe7TEmwyZONaPbzAbBeU1V5TPpkU0ZRMkhzII5kDBV91GzSX3&#10;auyTcJkeOwwkm4ptcbI6iaZii4/TZQoTG1arOal4i6wPfvjblvXnHkyt4RBomrmR71P0Re39rZIX&#10;AMrP2twrAmMLvRR01zFuxm+CYi0x8EHSdSM1hDaz/U3dFGOtPfHYdZIZhm8m7mvgg+WWoPkeHrSo&#10;DueO7ePnbP0LAAD//wMAUEsDBBQABgAIAAAAIQCfew21TAEAAEUCAAAgAAAAZHJzL2NoYXJ0cy9f&#10;cmVscy9jaGFydDEueG1sLnJlbHOsUc1KAzEQvgu+wxLw6Gbbg0hx24NW6EEEbW97GbOzP5pNliSt&#10;28cotohQRbyIvlBex6mlaKHgxUOYmcx833wzc9JrKhlM0NhSq5i1wogFqIROS5XHbDQ8PzxmgXWg&#10;UpBaYcymaFmvu793coUSHIFsUdY2IBZlY1Y4V3c4t6LACmyoa1SUybSpwFFocl6DuIMceTuKjrj5&#10;zcG6W5zBII2ZGaRtFgynNXX+m1tnWSnwTItxhcrtaMFFAcaNLJrrAmqaJBiCydHFLAx5auCeprYb&#10;pxWSdMZ3q2r9pyot8fLmFoX70ZOVEmmR/LSTrOTapD8FmWxGs4l/8zO/8A9+noBw5QQP2pFBqgRR&#10;JP7Ff9J79E/+OfFLMnNK+w9yZv6VYLMVfkFF7+v/JRlZwppjLOlUjbTNRs2FTmn9/cahUfC9Eb51&#10;/O4XAAAA//8DAFBLAwQUAAYACAAAACEA2X3TEd0AAAAFAQAADwAAAGRycy9kb3ducmV2LnhtbEyP&#10;QWvCQBCF74X+h2UKvdVNNEqbZiMiticRqoXS25gdk2B2NmTXJP77bnuxl4HHe7z3TbYcTSN66lxt&#10;WUE8iUAQF1bXXCr4PLw9PYNwHlljY5kUXMnBMr+/yzDVduAP6ve+FKGEXYoKKu/bVEpXVGTQTWxL&#10;HLyT7Qz6ILtS6g6HUG4aOY2ihTRYc1iosKV1RcV5fzEK3gccVrN402/Pp/X1+zDffW1jUurxYVy9&#10;gvA0+lsYfvEDOuSB6WgvrJ1oFIRH/N8N3mKeJCCOCpKXWQwyz+R/+vwHAAD//wMAUEsDBBQABgAI&#10;AAAAIQD6rBtHvQYAAFcVAAAVAAAAZHJzL2NoYXJ0cy9jaGFydDEueG1s7Fjrbts2FP4/YO/gCRmw&#10;YbCtuywjduEoyZAmaYOm6YD9oyXa1kKRKkUncYu9xID9GDBgj9XX2eFFsuXGWbouAwasQWXp8PDw&#10;3PjxHO4/uytI5wbzKmd0ZDk92+pgmrIsp/ORdfX6uDuwOpVANEOEUTyyVriyno2//GI/HaYLxMVl&#10;iVLcASG0GqYjayFEOez3q3SBC1T1WIkpjM0YL5CATz7vZxzdgvCC9F3bDvtKiGUEoL8hoEA5refz&#10;x8xns1me4kOWLgtMhdaCY4IEeKBa5GVVS0udkLsfSSzylLOKzUQvZUVfC6uNAmFO0G+sGoOTMiSw&#10;E9t+5waRkWVbfUkkiM41AdPu1aUmcrakGc4SximEY4O/SIcTIjCnICphVIDWxl/FozxeIH69LLug&#10;bglGTnOSi5Uy2xrvg+xkwcAfnVf47TLnuBpZqeOvXeB/qgPsqD/ouyauYKzjDyuxIlgb5NiutLbf&#10;rKtUOEaETFF6LX2zwdywrsflxG1nyFkqjeQLWgr2OhcEH2KCBc42/JgOS8LEhGMkGQlasaVQ4Zgi&#10;nshclmR4P8y5npUyokMzh9iUkLSGTJYVhANnevAG8VXCCGvFDOzAXMrLs7uWCoxn2Ig3ySDuJF8l&#10;+Cs8k2+z8YdfPvz24Xf4/+uHP5yv9p7v+ft9SddsCYLNJd9LkUDKCC3e0cqUogMrykSTHDdjyuTU&#10;G/C45Fc/sJIRAbR6WXjVeuQUwECczF7gOSTLjQmbUTVFykd0WezS9WQvGO6d7MWNwsDbKKxhIGEZ&#10;Hn+PIckRUWwKHBR126jgfqOctk3SMm21Y6x2dzG4hsHbxeAZBuXxtdvWS/iGIWhLAP+tLdUfykXw&#10;apwG+1+G5AHfPZe+e/7EvvN6ke/4cRjEg9CL/SAYHHV3uqv2p93zQjvwfdeJwkFkR/5gp39qD9u9&#10;IBzYbuQ69mDge4EX7Yxa7XO3t8GtlHxAtToOYa+9ihcfdbei+0BsTFDwnTirVGrDW2fJ85H1PvG8&#10;gZ0kfjc4DI+6vh0n3YMjz+0eRe6hG0dgUZL8vMbJ8FNx0vE3MDIcLmn+dolPDF69t82/7oE38bp+&#10;EoXdQeIfd+Pw6Mi13eD48AhWl0iaDkHn+ldZASQDPtsYZEBiA4MM5S8x6PQzMAhKho82y/8gdDPe&#10;StM1xtQbYucmq5P/CUDoVILQ6RODkN+LQlkUNU/YYY8AIdfx3UEQNc+onVZrB26AUBy4sI/Xz11T&#10;ap/Hva0J3gOq1XF4hD3/YRByPg+EsrMpqVTtsmC3Z3iOaXaKV62iqIKRNwj6kI0aWdISJF6gol2D&#10;SPol5vfSLzBPZXW8LedgOZ0SfJm/2xQFEWlUm6PyhzwTC1NLBabeQXc1IDue7QPshvcP+JEXGjDe&#10;rCXh5J+o4m6nnCpFBOpK6R3Gc1BddSFaiyKn5+jOiN1gzFRh27IR3V0w0zFMdckkZAksxWpk53m6&#10;GO+j4ZRlqwsOxwYakkpcyrpcfZSSUl5w+ZPh2SvF029Iis4veEc2LiOraVrQUIwnl5NOlTKO94Ff&#10;HkRoCOxyrjqU9Mrga60Ig+oSKu8N7eVQrSwUR8eF6KzrxJFlCkVoQtkSgnuW02ucQaOqzSzQT4y/&#10;ztPrc+hxtFAKbaoZzOnuQQGTIDEbv1E4RV8zPVE2eNXE1O0q8nWAoZqTY9g4WzYbP2JupskvrYPR&#10;jkzJhMyppqWCa+lAfTmbVbgu3G2TU5SdL4nIz24I6NV2UJNIkNj3ZtRav41EeSCj0mGB6r6kF9bF&#10;hvmNG/e1tdgQ/XAOmq6pCet9OdjhTIysbuCrRS15BQHfC8bfydX/ufQ8oWmewY0G7nzz9bdPk6L2&#10;19vZaSL6b2XnGpceyE41dIDFLcYmI6f6w0Rb7qQrmtfg2XOCdlroZhx6SZ2CsG1b3bTCdQk4RL01&#10;+0qYpFfdthwvEF0ictZ8351DP6gTDWdzs3VX9xHXCQv1N7QgMTwjL7ajgV7DoIrb8932H5zgmuPW&#10;JHTPtUPf9p049qPADoPQbFiD/4OeO/DdII5d1w4CJw5ljyQlgNFt9YGg7xEUgn+EbRL1NKg+HnhV&#10;8sMxQDtiVeIZ3K6NrO8K2iXKk4CrGp81xGrhcKJeII4AtbcBuoFhrYdUtwmUDN+bvHpJiXGccUKW&#10;V+UBAP11NTEwB6ej9p88ew8BnaqXYCocTm18aO5gPt3oTvUOMB0uBKG7RsO02rI9rZT3P8t21SfJ&#10;SzRyiATqcLiZGVn8JNM9rsTuq1Je1rVtglOhmSNjvISW6nKBSjgBGgl1aij71X3o+E8A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BAi0AFAAGAAgAAAAhAHTcNXAwAQAA5QIAABMAAAAAAAAAAAAAAAAAAAAA&#10;AFtDb250ZW50X1R5cGVzXS54bWxQSwECLQAUAAYACAAAACEAOP0h/9YAAACUAQAACwAAAAAAAAAA&#10;AAAAAABhAQAAX3JlbHMvLnJlbHNQSwECLQAUAAYACAAAACEA6/gZGvcCAAAMDQAAGQAAAAAAAAAA&#10;AAAAAABgAgAAZHJzL2RyYXdpbmdzL2RyYXdpbmcxLnhtbFBLAQItABQABgAIAAAAIQBxZCiPBAMA&#10;ABYHAAAOAAAAAAAAAAAAAAAAAI4FAABkcnMvZTJvRG9jLnhtbFBLAQItABQABgAIAAAAIQCfew21&#10;TAEAAEUCAAAgAAAAAAAAAAAAAAAAAL4IAABkcnMvY2hhcnRzL19yZWxzL2NoYXJ0MS54bWwucmVs&#10;c1BLAQItABQABgAIAAAAIQDZfdMR3QAAAAUBAAAPAAAAAAAAAAAAAAAAAEgKAABkcnMvZG93bnJl&#10;di54bWxQSwECLQAUAAYACAAAACEA+qwbR70GAABXFQAAFQAAAAAAAAAAAAAAAABSCwAAZHJzL2No&#10;YXJ0cy9jaGFydDEueG1sUEsBAi0AFAAGAAgAAAAhAKsWzUa5AAAAIgEAABkAAAAAAAAAAAAAAAAA&#10;QhIAAGRycy9fcmVscy9lMm9Eb2MueG1sLnJlbHNQSwUGAAAAAAgACAASAgAAMhMAAAAA&#10;">
                <v:shape id="Text Box 2" o:spid="_x0000_s1045" type="#_x0000_t202" style="position:absolute;width:41554;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089D104" w14:textId="77777777" w:rsidR="005C33AD" w:rsidRDefault="005C33AD" w:rsidP="005C33AD">
                        <w:r w:rsidRPr="00DD03E5">
                          <w:rPr>
                            <w:b/>
                            <w:bCs/>
                          </w:rPr>
                          <w:t>Figure 7:</w:t>
                        </w:r>
                        <w:r w:rsidRPr="00DD03E5">
                          <w:t xml:space="preserve">  Distribution of ASA score among patients over 65 across cholecystostom</w:t>
                        </w:r>
                        <w:r>
                          <w:t>y</w:t>
                        </w:r>
                        <w:r w:rsidRPr="00DD03E5">
                          <w:t xml:space="preserve"> status groups</w:t>
                        </w:r>
                      </w:p>
                      <w:p w14:paraId="022464F1" w14:textId="77777777" w:rsidR="005C33AD" w:rsidRDefault="005C33AD" w:rsidP="005C33AD"/>
                    </w:txbxContent>
                  </v:textbox>
                </v:shape>
                <v:shape id="Chart 31" o:spid="_x0000_s1046" type="#_x0000_t75" style="position:absolute;top:5046;width:37917;height:26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rSxQAAANsAAAAPAAAAZHJzL2Rvd25yZXYueG1sRI9Lb8Iw&#10;EITvlfofrK3ErTiA6CPFoALi1RsUievKXpK08TrEJoR/j5Eq9TiamW80o0lrS9FQ7QvHCnrdBASx&#10;dqbgTMH+e/H8BsIHZIOlY1JwJQ+T8ePDCFPjLrylZhcyESHsU1SQh1ClUnqdk0XfdRVx9I6uthii&#10;rDNparxEuC1lP0lepMWC40KOFc1y0r+7s42UVaKPPxu9fT2cvhbDabN8H877SnWe2s8PEIHa8B/+&#10;a6+NgkEP7l/iD5DjGwAAAP//AwBQSwECLQAUAAYACAAAACEA2+H2y+4AAACFAQAAEwAAAAAAAAAA&#10;AAAAAAAAAAAAW0NvbnRlbnRfVHlwZXNdLnhtbFBLAQItABQABgAIAAAAIQBa9CxbvwAAABUBAAAL&#10;AAAAAAAAAAAAAAAAAB8BAABfcmVscy8ucmVsc1BLAQItABQABgAIAAAAIQBIRBrSxQAAANsAAAAP&#10;AAAAAAAAAAAAAAAAAAcCAABkcnMvZG93bnJldi54bWxQSwUGAAAAAAMAAwC3AAAA+QIAAAAA&#10;">
                  <v:imagedata r:id="rId22" o:title=""/>
                  <o:lock v:ext="edit" aspectratio="f"/>
                </v:shape>
                <w10:anchorlock/>
              </v:group>
            </w:pict>
          </mc:Fallback>
        </mc:AlternateContent>
      </w:r>
    </w:p>
    <w:p w14:paraId="7EF20128" w14:textId="77777777" w:rsidR="005C33AD" w:rsidRDefault="005C33AD" w:rsidP="00A4282C">
      <w:r>
        <w:rPr>
          <w:noProof/>
        </w:rPr>
        <mc:AlternateContent>
          <mc:Choice Requires="wpg">
            <w:drawing>
              <wp:inline distT="0" distB="0" distL="0" distR="0" wp14:anchorId="4302FCBB" wp14:editId="7E6700D7">
                <wp:extent cx="4239260" cy="2839720"/>
                <wp:effectExtent l="0" t="0" r="8890" b="17780"/>
                <wp:docPr id="193" name="Group 193"/>
                <wp:cNvGraphicFramePr/>
                <a:graphic xmlns:a="http://schemas.openxmlformats.org/drawingml/2006/main">
                  <a:graphicData uri="http://schemas.microsoft.com/office/word/2010/wordprocessingGroup">
                    <wpg:wgp>
                      <wpg:cNvGrpSpPr/>
                      <wpg:grpSpPr>
                        <a:xfrm>
                          <a:off x="0" y="0"/>
                          <a:ext cx="4239260" cy="2839720"/>
                          <a:chOff x="0" y="0"/>
                          <a:chExt cx="4743645" cy="3682659"/>
                        </a:xfrm>
                      </wpg:grpSpPr>
                      <wps:wsp>
                        <wps:cNvPr id="194" name="Text Box 2"/>
                        <wps:cNvSpPr txBox="1">
                          <a:spLocks noChangeArrowheads="1"/>
                        </wps:cNvSpPr>
                        <wps:spPr bwMode="auto">
                          <a:xfrm>
                            <a:off x="0" y="0"/>
                            <a:ext cx="4743645" cy="570230"/>
                          </a:xfrm>
                          <a:prstGeom prst="rect">
                            <a:avLst/>
                          </a:prstGeom>
                          <a:solidFill>
                            <a:srgbClr val="FFFFFF"/>
                          </a:solidFill>
                          <a:ln w="9525">
                            <a:noFill/>
                            <a:miter lim="800000"/>
                            <a:headEnd/>
                            <a:tailEnd/>
                          </a:ln>
                        </wps:spPr>
                        <wps:txbx>
                          <w:txbxContent>
                            <w:p w14:paraId="34F62E8E" w14:textId="77777777" w:rsidR="00A4282C" w:rsidRDefault="00A4282C" w:rsidP="00A4282C">
                              <w:r w:rsidRPr="00DD03E5">
                                <w:rPr>
                                  <w:b/>
                                  <w:bCs/>
                                </w:rPr>
                                <w:t>Figure 8</w:t>
                              </w:r>
                              <w:r w:rsidRPr="00DD03E5">
                                <w:t>: Disease severity of patients over 65 across cholecystostom</w:t>
                              </w:r>
                              <w:r>
                                <w:t>y</w:t>
                              </w:r>
                              <w:r w:rsidRPr="00DD03E5">
                                <w:t xml:space="preserve"> status groups</w:t>
                              </w:r>
                            </w:p>
                          </w:txbxContent>
                        </wps:txbx>
                        <wps:bodyPr rot="0" vert="horz" wrap="square" lIns="91440" tIns="45720" rIns="91440" bIns="45720" anchor="t" anchorCtr="0">
                          <a:noAutofit/>
                        </wps:bodyPr>
                      </wps:wsp>
                      <wpg:graphicFrame>
                        <wpg:cNvPr id="195" name="Chart 195"/>
                        <wpg:cNvFrPr/>
                        <wpg:xfrm>
                          <a:off x="7" y="539409"/>
                          <a:ext cx="4057649" cy="3143250"/>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w:pict>
              <v:group w14:anchorId="4302FCBB" id="Group 193" o:spid="_x0000_s1047" style="width:333.8pt;height:223.6pt;mso-position-horizontal-relative:char;mso-position-vertical-relative:line" coordsize="47436,36826"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QoRsXp&#10;AgAApgwAABkAAABkcnMvZHJhd2luZ3MvZHJhd2luZzEueG1s5JftatswFIZvRejH/ozWsfwZrw50&#10;HYxB2cqyXYAqy42ZLBtJTZNe/Y4spXa2UUaSlsEgOM6xznnk8/HauWDFveZquaI912jTCqkLVuKV&#10;MX0RBJqteEv1eddzCdfqTrXUwE91F1SKPjTyrhUBmc3SgK2oMnhxwSpVKC6WzSO/lGzVqV3MSh0a&#10;9YMj+eC16lqH2Sxm54Rk2UVgoRtn3IJxRkISOut24b5HL9ON3mmUJ795/+K5W6971FKmuhJjZPjG&#10;iEb+gHMXTK6X/Y1y5+zz+kahpioxwUjSlpf4G6x/321QiIOnNdYBmQ2YSzzYh7uYBtJDSFpsatX6&#10;LNIDctjSRsI2adHVNQLYnERzEmO0LXGaplli90QL2CFiditgy8GIGFwncZYmM7sgcNuwK3ulzUfe&#10;Hb0lZAOVWHFm+4YWdH2tjUPtEL54LhG2yDZfFdSUFrfwDQl0DXtwWtCaK/MFDrXoHkrMRNNj9KBo&#10;X2LZSY6RMuKqE75CtBDaLM1W8GO5Q8r7Y6PYPEDTwQEyIai8KzGXZ9+XGOlH2DLM5ZBYppHZ9rym&#10;DFrxbSvPmPYlBT/rbhZXq05wttWmg0+7RdpQc69t1c1Q+2EZl9UNVfTrE2zFzz5d/zVsdB9C9r64&#10;u5IO7a931j0JcTOzZ/Kpg544YCIGrXpOVbI/iEqYzr3SPK8p8yjfLZxIEonzON+XpCOEJfonhSUK&#10;E1BjkA5QjiSKYmi/PWlJk4yQ/0ZZXkFF7OyKtQjtk6Sl6rrEM4waWXEJuupmv+K1nddBD0KvB4Ka&#10;Rk4k4YqK5lY1XhOcxzCiPrbHkBETQyUh2IlZFuBZ0ciah7HtpBOzLMCz4pEVRlmYnh5mCR6WTGA5&#10;yfPTwyzBw9IRRkgON3byNFqCh2UTWBZHL9AfluBh+QizpBdoEEvwsPkEBhr2Ag1iCW7i/PuFJb/G&#10;68Ggz2bRvxHmHbw3z+Dd98hH/qVqqPBScswTP5j+L1n8BAAA//8DAFBLAwQUAAYACAAAACEAWggO&#10;+RYDAAAZBwAADgAAAGRycy9lMm9Eb2MueG1spJVtT9swEMffT9p3sPx+JM1D20SkiAFFSGxDgn0A&#10;13EetMT2bJeUffqd7TSUsmmI9UXqx8vd7+5/OT3b9R16ZEq3ghd4dhJixDgVZcvrAn9/WH9aYqQN&#10;4SXpBGcFfmIan60+fjgdZM4i0YiuZAqBEa7zQRa4MUbmQaBpw3qiT4RkHDYroXpiYKrqoFRkAOt9&#10;F0RhOA8GoUqpBGVaw+ql38QrZ7+qGDXfqkozg7oCg2/GPZV7buwzWJ2SvFZENi0d3SDv8KInLYeX&#10;TqYuiSFoq9pXpvqWKqFFZU6o6ANRVS1lLgaIZhYeRXOtxFa6WOp8qOWECdAecXq3Wfr18U6htoTc&#10;ZTFGnPSQJPdeZBcAzyDrHE5dK3kv79S4UPuZjXhXqd7+Qyxo58A+TWDZziAKi0kUZ9Ec+FPYi5Zx&#10;tohG9LSB/Ly6R5ur/c1FEs+T1N+M58tonmbWq2D/4sD6N7kzSCgj/UxK/x+p+4ZI5hKgLYOJVLIn&#10;9WAj/Cx2KPKo3DHLCZkdLANVVxVa3gr6QyMuLhrCa3aulBgaRkrwb+bCsY7DG+xVi1zn2hrZDF9E&#10;CQkhWyOcoTfBPkSWLsIodqwnYiSXSptrJnpkBwVWoBJnnTzeauPh7o/YzGrRteW67To3UfXmolPo&#10;kYCi1u435uPFsY6jocBZGqXOMhf2Ppgmed8aUHzX9gVehvZnr5Pc0rjipRsb0nZ+DE53HLK9J+LZ&#10;mN1m52p2uae+EeUT8FLCCxwaEgwaoX5hNIC4C6x/boliGHU3HJhnsySx3cBNktRWI1KHO5vDHcIp&#10;mCqwwcgPL4zrINZtLs4hN1XrsFkvvSejy1CKXkBjh1kr0NckqamcoLy98KA6lAHhpT4uJ7y1mlR3&#10;lP0FRiCnNM6S0GmC5JPewnQxT7JRNbMkjlJfA1YseyujTzaKcfjXrvXvNkyt55BqmrvR2KroK/m9&#10;1dJoADgfdbo/GPBd9FLQbc+48Z8FxTpi4Jukm1ZqSG5uW5y6Kb3aXkTsmskEY+wn7oMwpsstQf89&#10;PGhRHc5dwp+/aKvfAAAA//8DAFBLAwQUAAYACAAAACEAn3sNtUwBAABFAgAAIAAAAGRycy9jaGFy&#10;dHMvX3JlbHMvY2hhcnQxLnhtbC5yZWxzrFHNSgMxEL4LvsMS8Ohm24NIcduDVuhBBG1vexmzsz+a&#10;TZYkrdvHKLaIUEW8iL5QXseppWih4MVDmJnMfN98M3PSayoZTNDYUquYtcKIBaiETkuVx2w0PD88&#10;ZoF1oFKQWmHMpmhZr7u/d3KFEhyBbFHWNiAWZWNWOFd3OLeiwApsqGtUlMm0qcBRaHJeg7iDHHk7&#10;io64+c3BulucwSCNmRmkbRYMpzV1/ptbZ1kp8EyLcYXK7WjBRQHGjSya6wJqmiQYgsnRxSwMeWrg&#10;nqa2G6cVknTGd6tq/acqLfHy5haF+9GTlRJpkfy0k6zk2qQ/BZlsRrOJf/Mzv/APfp6AcOUED9qR&#10;QaoEUST+xX/Se/RP/jnxSzJzSvsPcmb+lWCzFX5BRe/r/yUZWcKaYyzpVI20zUbNhU5p/f3GoVHw&#10;vRG+dfzuFwAAAP//AwBQSwMEFAAGAAgAAAAhADQqe7bdAAAABQEAAA8AAABkcnMvZG93bnJldi54&#10;bWxMj0FrwkAQhe8F/8Myhd7qJtbGkmYjIrYnEaqF0tuYHZNgdjZk1yT++269tJeBx3u89022HE0j&#10;eupcbVlBPI1AEBdW11wq+Dy8Pb6AcB5ZY2OZFFzJwTKf3GWYajvwB/V7X4pQwi5FBZX3bSqlKyoy&#10;6Ka2JQ7eyXYGfZBdKXWHQyg3jZxFUSIN1hwWKmxpXVFx3l+MgvcBh9VTvOm359P6+n143n1tY1Lq&#10;4X5cvYLwNPq/MPziB3TIA9PRXlg70SgIj/jbDV6SLBIQRwXz+WIGMs/kf/r8BwAA//8DAFBLAwQU&#10;AAYACAAAACEAsL3rDH4GAAC7EwAAFQAAAGRycy9jaGFydHMvY2hhcnQxLnhtbOxYbW/bNhD+PmD/&#10;wRMyYMNgW5Il2RZiF4mcDsGS1s1LB+wbLdG2FopUKSqxW+xPDNiHAQP2s/J3dnyRbDlxm67rgAFL&#10;0UQ6kse75+4eHnX4bJWR1i3mRcroyHI6ttXCNGZJShcj6/rqeXtgtQqBaIIIo3hkrXFhPRt/+cVh&#10;HMZLxMVljmLcAiW0COORtRQiD7vdIl7iDBUdlmMKY3PGMyTglS+6CUd3oDwjXde2g65SYhkF6G8o&#10;yFBKq/X8KevZfJ7GeMLiMsNUaCs4JkgAAsUyzYtKW+wE3H2gMUtjzgo2F52YZV2trHIKlDl+t/Zq&#10;DCAlSGBnaHutW0RGlm11pZAgutACTNvXl1rIWUkTnESMUwjH1vwsDo+IwJyCqohRAVYbvLInIZ4h&#10;flPmbTA3BydnKUnFWrltjQ9Bd7RkgEfrAr8pU46LkRU73gYC72MBsPvdQdc1cQVnHS8sxJpg7ZBj&#10;u9Lbbr2vMuE5ImSG4huJzdbkeupmXC7cBUOuUmkkH1Ap2FUqCJ5gggVOtnCMw5wwccQxkhMJWrNS&#10;qHDMEI9kLksxPE9SrlfFjOjQLCA2OSStEZOygHDgRA/eIr6OGGGNmIEfmEt9abJqmMB4go16kwxi&#10;JecVgl/guXyaj+9/vf/9/g/4/9v9n95XB68OBoddKdfTIgTFJZ9zEUHKCK3e0cbkogU7ykSTM27H&#10;lMmlt4C4nK/+wE5GBciqbeFR25FSIANxOn+BF5AstyZsxtQYKYyqRY/YOj0YhgfTA8f5sMW9xy3O&#10;UpI0bZaWa68c41XGAESohn3zXDOvwODMzizt9KMIGPegUiV4tMz2RwS8fLXtJUyu46LZLgIbx99j&#10;qGVEFBiKA5V0N3Z7kLA7/mDg9fxe33O8YeAPB/4+hytg7E7Ps51eYPue5zr9YNDft6KCqN9xPHfg&#10;9+vf/knbbS4CxDbu6RcFDDwaqPBKnBUqNeCpVfJ0ZL2Ler2BHUVe258EJ23PHkbt45Oe2z7puxN3&#10;2Ae3ouiXDc8EH8szjrfFMUFY0vRNiU9Nvb+zzU970vf9tnfc77WPg+NeOwgie+BEfWfYg90lE8Uh&#10;2Fz9VV6AyBTvbg2bItuqYSP5YA1ffEINw5H7ICD/F/E+BJ5cxBeSqi4+fxE7QfOn1wzmQ3azO80F&#10;gb9TkJslVRXbnQ/sost2w3oVuf0Hatj5tBpOzmakUEfnkt2d4QWmyQ943TiTCxh5jaAN3mrRpCxC&#10;4gXKmkeglF9i/qh8inksm7NdPcflbEbwZfp2WxUgX5u2QPmPaSKW5ij3zXGLVhWfOT3bG3je4PGB&#10;IPADw2XbrQxUwpHqLfbqKWJEoK2R6DCegumqCdZWZCk9Ryujdmtiovqqho9oNWWmYZ3pQ13IDkyq&#10;1cTI03g5PkThjCXrKQfWRSEpxKVsC9VLLiX5FBomFCZ4fqHmdGuRkvMpb8m+eWTVPTMKxXiSFhgV&#10;uKWOemhsD2GZpHMUwiqpQlG7NgAg1/YwaAug/9tyQg5VNkNtPM9Ea3OMjyxzjsNViJUQ47OU3uAE&#10;rkva2wz9zPhVGt+cQ6etlVK4LJnBlO4fFLAI8rOGj8JZdMX0QnnNKI5M96gSoIoztLtyDBvMZcv7&#10;E+ZmmXzTNhjryIwckQXVslhwrR2kL+fzAlfto21Si7Lzkoj07JaAXU2A6nyC/H40sTb2beXLexIr&#10;DjNUdcedQQ1Xc9ctVe9PPdOr12F8LPVanImR1fY91R5Y8uIL70vG38rd/7msPKVxmsA9Gre++frb&#10;z5OS9te72Wgi+G9l44aO3pONaugYizuMTQbO9IuJtqyca5pWnNnRVz7VWMoUg7Js3NkUfUteIeqp&#10;rhthklrd6eR4hmiJyFn9vjqHdlwnFk4WpjTXjwnrhAygSwXSHcLvfm9oislwhtvx3O1/PRe6Zm3D&#10;nUnfjmsHnu05w6HX9+3A75txQ/KDjjvwXH84dF3b952h2zcawOWm8SDQd1VF0w+YS3KaZs6ns6tK&#10;deB62hLrHM/hC87I+i6jbaJwBNbUJKwJVCuHY3OKOAJq3mXhmmS1HdLcOkwyeK/T4iUlBjgDY5IW&#10;+TGw+U1xZEgMjkCNnzxgJ8A9xUtwFU6gJhvU9/yPd7pVvAXGho9OcDlEYVzs+B4Xcv9P813dJeSH&#10;GjJBArU43P5HFj9N9PVMMvN1Lj8INX0Czq/XyBiXcO24XKIc+L3WUNWF8l99cxv/BQ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QItABQABgAIAAAAIQB03DVwMAEAAOUCAAATAAAAAAAAAAAAAAAAAAAAAABb&#10;Q29udGVudF9UeXBlc10ueG1sUEsBAi0AFAAGAAgAAAAhADj9If/WAAAAlAEAAAsAAAAAAAAAAAAA&#10;AAAAYQEAAF9yZWxzLy5yZWxzUEsBAi0AFAAGAAgAAAAhAMQoRsXpAgAApgwAABkAAAAAAAAAAAAA&#10;AAAAYAIAAGRycy9kcmF3aW5ncy9kcmF3aW5nMS54bWxQSwECLQAUAAYACAAAACEAWggO+RYDAAAZ&#10;BwAADgAAAAAAAAAAAAAAAACABQAAZHJzL2Uyb0RvYy54bWxQSwECLQAUAAYACAAAACEAn3sNtUwB&#10;AABFAgAAIAAAAAAAAAAAAAAAAADCCAAAZHJzL2NoYXJ0cy9fcmVscy9jaGFydDEueG1sLnJlbHNQ&#10;SwECLQAUAAYACAAAACEANCp7tt0AAAAFAQAADwAAAAAAAAAAAAAAAABMCgAAZHJzL2Rvd25yZXYu&#10;eG1sUEsBAi0AFAAGAAgAAAAhALC96wx+BgAAuxMAABUAAAAAAAAAAAAAAAAAVgsAAGRycy9jaGFy&#10;dHMvY2hhcnQxLnhtbFBLAQItABQABgAIAAAAIQCrFs1GuQAAACIBAAAZAAAAAAAAAAAAAAAAAAcS&#10;AABkcnMvX3JlbHMvZTJvRG9jLnhtbC5yZWxzUEsFBgAAAAAIAAgAEgIAAPcSAAAAAA==&#10;">
                <v:shape id="Text Box 2" o:spid="_x0000_s1048" type="#_x0000_t202" style="position:absolute;width:47436;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34F62E8E" w14:textId="77777777" w:rsidR="00A4282C" w:rsidRDefault="00A4282C" w:rsidP="00A4282C">
                        <w:r w:rsidRPr="00DD03E5">
                          <w:rPr>
                            <w:b/>
                            <w:bCs/>
                          </w:rPr>
                          <w:t>Figure 8</w:t>
                        </w:r>
                        <w:r w:rsidRPr="00DD03E5">
                          <w:t>: Disease severity of patients over 65 across cholecystostom</w:t>
                        </w:r>
                        <w:r>
                          <w:t>y</w:t>
                        </w:r>
                        <w:r w:rsidRPr="00DD03E5">
                          <w:t xml:space="preserve"> status groups</w:t>
                        </w:r>
                      </w:p>
                    </w:txbxContent>
                  </v:textbox>
                </v:shape>
                <v:shape id="Chart 195" o:spid="_x0000_s1049" type="#_x0000_t75" style="position:absolute;top:5375;width:40586;height:314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RBxQAAANwAAAAPAAAAZHJzL2Rvd25yZXYueG1sRI/NbsIw&#10;EITvlXgHa5G4FYefRjTgRKgSKKeqQB9gG2+TQLyObBfC29eVKnHb1czON7spBtOJKznfWlYwmyYg&#10;iCurW64VfJ52zysQPiBr7CyTgjt5KPLR0wYzbW98oOsx1CKGsM9QQRNCn0npq4YM+qntiaP2bZ3B&#10;EFdXS+3wFsNNJ+dJkkqDLUdCgz29NVRdjj8mcktnd/vl3n0s3lO/+qLzZQhnpSbjYbsGEWgID/P/&#10;dalj/dcX+HsmTiDzXwAAAP//AwBQSwECLQAUAAYACAAAACEA2+H2y+4AAACFAQAAEwAAAAAAAAAA&#10;AAAAAAAAAAAAW0NvbnRlbnRfVHlwZXNdLnhtbFBLAQItABQABgAIAAAAIQBa9CxbvwAAABUBAAAL&#10;AAAAAAAAAAAAAAAAAB8BAABfcmVscy8ucmVsc1BLAQItABQABgAIAAAAIQDU5xRBxQAAANwAAAAP&#10;AAAAAAAAAAAAAAAAAAcCAABkcnMvZG93bnJldi54bWxQSwUGAAAAAAMAAwC3AAAA+QIAAAAA&#10;">
                  <v:imagedata r:id="rId24" o:title=""/>
                  <o:lock v:ext="edit" aspectratio="f"/>
                </v:shape>
                <w10:anchorlock/>
              </v:group>
            </w:pict>
          </mc:Fallback>
        </mc:AlternateContent>
      </w:r>
    </w:p>
    <w:p w14:paraId="17001811" w14:textId="164C0F41" w:rsidR="00A4282C" w:rsidRDefault="00A12F97" w:rsidP="00A4282C">
      <w:r>
        <w:lastRenderedPageBreak/>
        <w:t xml:space="preserve">Analysis </w:t>
      </w:r>
      <w:r w:rsidR="00A4282C">
        <w:t>of PC in AC patients over age</w:t>
      </w:r>
      <w:r>
        <w:t xml:space="preserve"> 65 revealed that longer hospital stays and higher mortality at 30 days and one year, like in the larger sample. There was no difference in recurrent hospitalization rates within a year after AC (Table 7).</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1418"/>
        <w:gridCol w:w="1071"/>
      </w:tblGrid>
      <w:tr w:rsidR="00A12F97" w14:paraId="128E3003" w14:textId="77777777" w:rsidTr="00A12F97">
        <w:tc>
          <w:tcPr>
            <w:tcW w:w="8296" w:type="dxa"/>
            <w:gridSpan w:val="4"/>
            <w:tcBorders>
              <w:top w:val="nil"/>
              <w:left w:val="nil"/>
              <w:bottom w:val="single" w:sz="8" w:space="0" w:color="000000"/>
              <w:right w:val="nil"/>
            </w:tcBorders>
            <w:hideMark/>
          </w:tcPr>
          <w:p w14:paraId="73515747" w14:textId="566742A8" w:rsidR="00A12F97" w:rsidRDefault="00A12F97" w:rsidP="00A12F97">
            <w:pPr>
              <w:autoSpaceDE w:val="0"/>
              <w:autoSpaceDN w:val="0"/>
              <w:adjustRightInd w:val="0"/>
              <w:spacing w:before="80"/>
              <w:rPr>
                <w:rFonts w:asciiTheme="majorBidi" w:hAnsiTheme="majorBidi" w:cstheme="majorBidi"/>
                <w:sz w:val="24"/>
                <w:szCs w:val="24"/>
              </w:rPr>
            </w:pPr>
            <w:r>
              <w:rPr>
                <w:rFonts w:asciiTheme="majorBidi" w:hAnsiTheme="majorBidi" w:cstheme="majorBidi"/>
                <w:b/>
                <w:bCs/>
                <w:sz w:val="24"/>
                <w:szCs w:val="24"/>
              </w:rPr>
              <w:t>Table 7</w:t>
            </w:r>
            <w:r>
              <w:rPr>
                <w:rFonts w:asciiTheme="majorBidi" w:hAnsiTheme="majorBidi" w:cstheme="majorBidi"/>
                <w:sz w:val="24"/>
                <w:szCs w:val="24"/>
              </w:rPr>
              <w:t>: Prognosis of patients across c</w:t>
            </w:r>
            <w:r>
              <w:rPr>
                <w:rFonts w:asciiTheme="majorBidi" w:hAnsiTheme="majorBidi" w:cstheme="majorBidi"/>
                <w:sz w:val="24"/>
                <w:szCs w:val="24"/>
              </w:rPr>
              <w:t>holecystostom</w:t>
            </w:r>
            <w:r>
              <w:rPr>
                <w:rFonts w:asciiTheme="majorBidi" w:hAnsiTheme="majorBidi" w:cstheme="majorBidi"/>
                <w:sz w:val="24"/>
                <w:szCs w:val="24"/>
              </w:rPr>
              <w:t>y</w:t>
            </w:r>
            <w:r>
              <w:rPr>
                <w:rFonts w:asciiTheme="majorBidi" w:hAnsiTheme="majorBidi" w:cstheme="majorBidi"/>
                <w:sz w:val="24"/>
                <w:szCs w:val="24"/>
              </w:rPr>
              <w:t xml:space="preserve"> placement status</w:t>
            </w:r>
          </w:p>
        </w:tc>
      </w:tr>
      <w:tr w:rsidR="00A12F97" w14:paraId="7FA35F98" w14:textId="77777777" w:rsidTr="00A12F97">
        <w:tc>
          <w:tcPr>
            <w:tcW w:w="4248" w:type="dxa"/>
            <w:tcBorders>
              <w:top w:val="single" w:sz="8" w:space="0" w:color="000000"/>
              <w:left w:val="nil"/>
              <w:bottom w:val="single" w:sz="8" w:space="0" w:color="000000"/>
              <w:right w:val="nil"/>
            </w:tcBorders>
          </w:tcPr>
          <w:p w14:paraId="73D4A83F" w14:textId="6D1785D6" w:rsidR="00A12F97" w:rsidRDefault="00A12F97" w:rsidP="00A12F97">
            <w:pPr>
              <w:autoSpaceDE w:val="0"/>
              <w:autoSpaceDN w:val="0"/>
              <w:adjustRightInd w:val="0"/>
              <w:spacing w:before="80"/>
              <w:rPr>
                <w:rFonts w:asciiTheme="majorBidi" w:hAnsiTheme="majorBidi" w:cstheme="majorBidi"/>
                <w:sz w:val="24"/>
                <w:szCs w:val="24"/>
              </w:rPr>
            </w:pPr>
          </w:p>
        </w:tc>
        <w:tc>
          <w:tcPr>
            <w:tcW w:w="1559" w:type="dxa"/>
            <w:tcBorders>
              <w:top w:val="single" w:sz="8" w:space="0" w:color="000000"/>
              <w:left w:val="nil"/>
              <w:bottom w:val="single" w:sz="8" w:space="0" w:color="000000"/>
              <w:right w:val="nil"/>
            </w:tcBorders>
            <w:hideMark/>
          </w:tcPr>
          <w:p w14:paraId="40476BD4" w14:textId="77777777" w:rsidR="00A12F97" w:rsidRDefault="00A12F97" w:rsidP="00A12F97">
            <w:pPr>
              <w:autoSpaceDE w:val="0"/>
              <w:autoSpaceDN w:val="0"/>
              <w:adjustRightInd w:val="0"/>
              <w:spacing w:before="80"/>
              <w:contextualSpacing/>
              <w:jc w:val="center"/>
              <w:rPr>
                <w:rFonts w:asciiTheme="majorBidi" w:hAnsiTheme="majorBidi" w:cstheme="majorBidi"/>
                <w:sz w:val="24"/>
                <w:szCs w:val="24"/>
              </w:rPr>
            </w:pPr>
            <w:r>
              <w:rPr>
                <w:rFonts w:asciiTheme="majorBidi" w:hAnsiTheme="majorBidi" w:cstheme="majorBidi"/>
                <w:sz w:val="24"/>
                <w:szCs w:val="24"/>
              </w:rPr>
              <w:t>No</w:t>
            </w:r>
          </w:p>
          <w:p w14:paraId="0F007012" w14:textId="77777777" w:rsidR="00A12F97" w:rsidRDefault="00A12F97" w:rsidP="00A12F97">
            <w:pPr>
              <w:autoSpaceDE w:val="0"/>
              <w:autoSpaceDN w:val="0"/>
              <w:adjustRightInd w:val="0"/>
              <w:spacing w:before="80"/>
              <w:contextualSpacing/>
              <w:jc w:val="center"/>
              <w:rPr>
                <w:rFonts w:asciiTheme="majorBidi" w:hAnsiTheme="majorBidi" w:cstheme="majorBidi"/>
                <w:sz w:val="24"/>
                <w:szCs w:val="24"/>
              </w:rPr>
            </w:pPr>
            <w:r>
              <w:rPr>
                <w:rFonts w:asciiTheme="majorBidi" w:hAnsiTheme="majorBidi" w:cstheme="majorBidi"/>
                <w:sz w:val="24"/>
                <w:szCs w:val="24"/>
              </w:rPr>
              <w:t>n=294</w:t>
            </w:r>
          </w:p>
        </w:tc>
        <w:tc>
          <w:tcPr>
            <w:tcW w:w="1418" w:type="dxa"/>
            <w:tcBorders>
              <w:top w:val="single" w:sz="8" w:space="0" w:color="000000"/>
              <w:left w:val="nil"/>
              <w:bottom w:val="single" w:sz="8" w:space="0" w:color="000000"/>
              <w:right w:val="nil"/>
            </w:tcBorders>
            <w:hideMark/>
          </w:tcPr>
          <w:p w14:paraId="1ED82407" w14:textId="77777777" w:rsidR="00A12F97" w:rsidRDefault="00A12F97" w:rsidP="00A12F97">
            <w:pPr>
              <w:autoSpaceDE w:val="0"/>
              <w:autoSpaceDN w:val="0"/>
              <w:adjustRightInd w:val="0"/>
              <w:spacing w:before="80"/>
              <w:contextualSpacing/>
              <w:jc w:val="center"/>
              <w:rPr>
                <w:rFonts w:asciiTheme="majorBidi" w:hAnsiTheme="majorBidi" w:cstheme="majorBidi"/>
                <w:sz w:val="24"/>
                <w:szCs w:val="24"/>
              </w:rPr>
            </w:pPr>
            <w:r>
              <w:rPr>
                <w:rFonts w:asciiTheme="majorBidi" w:hAnsiTheme="majorBidi" w:cstheme="majorBidi"/>
                <w:sz w:val="24"/>
                <w:szCs w:val="24"/>
              </w:rPr>
              <w:t>Yes</w:t>
            </w:r>
          </w:p>
          <w:p w14:paraId="64EAF0F0" w14:textId="77777777" w:rsidR="00A12F97" w:rsidRDefault="00A12F97" w:rsidP="00A12F97">
            <w:pPr>
              <w:autoSpaceDE w:val="0"/>
              <w:autoSpaceDN w:val="0"/>
              <w:adjustRightInd w:val="0"/>
              <w:spacing w:before="80"/>
              <w:contextualSpacing/>
              <w:jc w:val="center"/>
              <w:rPr>
                <w:rFonts w:asciiTheme="majorBidi" w:hAnsiTheme="majorBidi" w:cstheme="majorBidi"/>
                <w:sz w:val="24"/>
                <w:szCs w:val="24"/>
              </w:rPr>
            </w:pPr>
            <w:r>
              <w:rPr>
                <w:rFonts w:asciiTheme="majorBidi" w:hAnsiTheme="majorBidi" w:cstheme="majorBidi"/>
                <w:sz w:val="24"/>
                <w:szCs w:val="24"/>
              </w:rPr>
              <w:t>n=42</w:t>
            </w:r>
          </w:p>
        </w:tc>
        <w:tc>
          <w:tcPr>
            <w:tcW w:w="1071" w:type="dxa"/>
            <w:tcBorders>
              <w:top w:val="single" w:sz="8" w:space="0" w:color="000000"/>
              <w:left w:val="nil"/>
              <w:bottom w:val="single" w:sz="8" w:space="0" w:color="000000"/>
              <w:right w:val="nil"/>
            </w:tcBorders>
            <w:hideMark/>
          </w:tcPr>
          <w:p w14:paraId="242A2392" w14:textId="77777777" w:rsidR="00A12F97" w:rsidRDefault="00A12F97" w:rsidP="00A12F97">
            <w:pPr>
              <w:autoSpaceDE w:val="0"/>
              <w:autoSpaceDN w:val="0"/>
              <w:adjustRightInd w:val="0"/>
              <w:spacing w:before="80"/>
              <w:contextualSpacing/>
              <w:jc w:val="center"/>
              <w:rPr>
                <w:rFonts w:asciiTheme="majorBidi" w:hAnsiTheme="majorBidi" w:cstheme="majorBidi"/>
                <w:sz w:val="24"/>
                <w:szCs w:val="24"/>
              </w:rPr>
            </w:pPr>
            <w:r>
              <w:rPr>
                <w:rFonts w:asciiTheme="majorBidi" w:hAnsiTheme="majorBidi" w:cstheme="majorBidi"/>
                <w:sz w:val="24"/>
                <w:szCs w:val="24"/>
              </w:rPr>
              <w:t>p Value</w:t>
            </w:r>
          </w:p>
        </w:tc>
      </w:tr>
      <w:tr w:rsidR="00A12F97" w14:paraId="1C623949" w14:textId="77777777" w:rsidTr="00A12F97">
        <w:tc>
          <w:tcPr>
            <w:tcW w:w="4248" w:type="dxa"/>
            <w:tcBorders>
              <w:top w:val="single" w:sz="8" w:space="0" w:color="000000"/>
              <w:left w:val="nil"/>
              <w:bottom w:val="nil"/>
              <w:right w:val="nil"/>
            </w:tcBorders>
            <w:hideMark/>
          </w:tcPr>
          <w:p w14:paraId="399735F7" w14:textId="77777777" w:rsidR="00A12F97" w:rsidRDefault="00A12F97" w:rsidP="00A12F97">
            <w:pPr>
              <w:autoSpaceDE w:val="0"/>
              <w:autoSpaceDN w:val="0"/>
              <w:adjustRightInd w:val="0"/>
              <w:spacing w:before="80"/>
              <w:rPr>
                <w:rFonts w:asciiTheme="majorBidi" w:hAnsiTheme="majorBidi" w:cstheme="majorBidi"/>
                <w:sz w:val="24"/>
                <w:szCs w:val="24"/>
              </w:rPr>
            </w:pPr>
            <w:r>
              <w:rPr>
                <w:rFonts w:asciiTheme="majorBidi" w:hAnsiTheme="majorBidi" w:cstheme="majorBidi"/>
                <w:sz w:val="24"/>
                <w:szCs w:val="24"/>
              </w:rPr>
              <w:t>Hospital duration (days)</w:t>
            </w:r>
          </w:p>
        </w:tc>
        <w:tc>
          <w:tcPr>
            <w:tcW w:w="1559" w:type="dxa"/>
            <w:tcBorders>
              <w:top w:val="single" w:sz="8" w:space="0" w:color="000000"/>
              <w:left w:val="nil"/>
              <w:bottom w:val="nil"/>
              <w:right w:val="nil"/>
            </w:tcBorders>
            <w:hideMark/>
          </w:tcPr>
          <w:p w14:paraId="78FE265C"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8.1±9.2</w:t>
            </w:r>
          </w:p>
        </w:tc>
        <w:tc>
          <w:tcPr>
            <w:tcW w:w="1418" w:type="dxa"/>
            <w:tcBorders>
              <w:top w:val="single" w:sz="8" w:space="0" w:color="000000"/>
              <w:left w:val="nil"/>
              <w:bottom w:val="nil"/>
              <w:right w:val="nil"/>
            </w:tcBorders>
            <w:hideMark/>
          </w:tcPr>
          <w:p w14:paraId="49128B43"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13.5±10.4</w:t>
            </w:r>
          </w:p>
        </w:tc>
        <w:tc>
          <w:tcPr>
            <w:tcW w:w="1071" w:type="dxa"/>
            <w:tcBorders>
              <w:top w:val="single" w:sz="8" w:space="0" w:color="000000"/>
              <w:left w:val="nil"/>
              <w:bottom w:val="nil"/>
              <w:right w:val="nil"/>
            </w:tcBorders>
            <w:hideMark/>
          </w:tcPr>
          <w:p w14:paraId="67755C49"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0.002</w:t>
            </w:r>
          </w:p>
        </w:tc>
      </w:tr>
      <w:tr w:rsidR="00A12F97" w14:paraId="1A500988" w14:textId="77777777" w:rsidTr="00A12F97">
        <w:tc>
          <w:tcPr>
            <w:tcW w:w="4248" w:type="dxa"/>
            <w:hideMark/>
          </w:tcPr>
          <w:p w14:paraId="7F3C540C" w14:textId="55C6C879" w:rsidR="00A12F97" w:rsidRDefault="00894C6D" w:rsidP="00A12F97">
            <w:pPr>
              <w:autoSpaceDE w:val="0"/>
              <w:autoSpaceDN w:val="0"/>
              <w:adjustRightInd w:val="0"/>
              <w:spacing w:before="80"/>
              <w:rPr>
                <w:rFonts w:asciiTheme="majorBidi" w:hAnsiTheme="majorBidi" w:cstheme="majorBidi"/>
                <w:sz w:val="24"/>
                <w:szCs w:val="24"/>
              </w:rPr>
            </w:pPr>
            <w:r>
              <w:rPr>
                <w:rFonts w:asciiTheme="majorBidi" w:hAnsiTheme="majorBidi" w:cstheme="majorBidi"/>
                <w:sz w:val="24"/>
                <w:szCs w:val="24"/>
              </w:rPr>
              <w:t>1-</w:t>
            </w:r>
            <w:r w:rsidR="00A12F97">
              <w:rPr>
                <w:rFonts w:asciiTheme="majorBidi" w:hAnsiTheme="majorBidi" w:cstheme="majorBidi"/>
                <w:sz w:val="24"/>
                <w:szCs w:val="24"/>
              </w:rPr>
              <w:t>year rate of admissions (%)</w:t>
            </w:r>
          </w:p>
        </w:tc>
        <w:tc>
          <w:tcPr>
            <w:tcW w:w="1559" w:type="dxa"/>
            <w:hideMark/>
          </w:tcPr>
          <w:p w14:paraId="487148D8"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15.0</w:t>
            </w:r>
          </w:p>
        </w:tc>
        <w:tc>
          <w:tcPr>
            <w:tcW w:w="1418" w:type="dxa"/>
            <w:hideMark/>
          </w:tcPr>
          <w:p w14:paraId="3D04634E"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14.3</w:t>
            </w:r>
          </w:p>
        </w:tc>
        <w:tc>
          <w:tcPr>
            <w:tcW w:w="1071" w:type="dxa"/>
            <w:hideMark/>
          </w:tcPr>
          <w:p w14:paraId="6C628332"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0.908</w:t>
            </w:r>
          </w:p>
        </w:tc>
      </w:tr>
      <w:tr w:rsidR="00A12F97" w14:paraId="4498512E" w14:textId="77777777" w:rsidTr="00A12F97">
        <w:tc>
          <w:tcPr>
            <w:tcW w:w="4248" w:type="dxa"/>
            <w:hideMark/>
          </w:tcPr>
          <w:p w14:paraId="0B8A5D55" w14:textId="538CE88A" w:rsidR="00A12F97" w:rsidRDefault="00A12F97" w:rsidP="00A12F97">
            <w:pPr>
              <w:autoSpaceDE w:val="0"/>
              <w:autoSpaceDN w:val="0"/>
              <w:adjustRightInd w:val="0"/>
              <w:spacing w:before="80"/>
              <w:rPr>
                <w:rFonts w:asciiTheme="majorBidi" w:hAnsiTheme="majorBidi" w:cstheme="majorBidi"/>
                <w:sz w:val="24"/>
                <w:szCs w:val="24"/>
              </w:rPr>
            </w:pPr>
            <w:r>
              <w:rPr>
                <w:rFonts w:asciiTheme="majorBidi" w:hAnsiTheme="majorBidi" w:cstheme="majorBidi"/>
                <w:sz w:val="24"/>
                <w:szCs w:val="24"/>
              </w:rPr>
              <w:t>30</w:t>
            </w:r>
            <w:r w:rsidR="00894C6D">
              <w:rPr>
                <w:rFonts w:asciiTheme="majorBidi" w:hAnsiTheme="majorBidi" w:cstheme="majorBidi"/>
                <w:sz w:val="24"/>
                <w:szCs w:val="24"/>
              </w:rPr>
              <w:t>-</w:t>
            </w:r>
            <w:r>
              <w:rPr>
                <w:rFonts w:asciiTheme="majorBidi" w:hAnsiTheme="majorBidi" w:cstheme="majorBidi"/>
                <w:sz w:val="24"/>
                <w:szCs w:val="24"/>
              </w:rPr>
              <w:t>day mortality (%)</w:t>
            </w:r>
          </w:p>
        </w:tc>
        <w:tc>
          <w:tcPr>
            <w:tcW w:w="1559" w:type="dxa"/>
            <w:hideMark/>
          </w:tcPr>
          <w:p w14:paraId="562B3ED3"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1.7</w:t>
            </w:r>
          </w:p>
        </w:tc>
        <w:tc>
          <w:tcPr>
            <w:tcW w:w="1418" w:type="dxa"/>
            <w:hideMark/>
          </w:tcPr>
          <w:p w14:paraId="5416004A"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11.9</w:t>
            </w:r>
          </w:p>
        </w:tc>
        <w:tc>
          <w:tcPr>
            <w:tcW w:w="1071" w:type="dxa"/>
            <w:hideMark/>
          </w:tcPr>
          <w:p w14:paraId="6B15F657"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&lt;0.001</w:t>
            </w:r>
          </w:p>
        </w:tc>
      </w:tr>
      <w:tr w:rsidR="00A12F97" w14:paraId="065FFD45" w14:textId="77777777" w:rsidTr="00A12F97">
        <w:tc>
          <w:tcPr>
            <w:tcW w:w="4248" w:type="dxa"/>
            <w:tcBorders>
              <w:top w:val="nil"/>
              <w:left w:val="nil"/>
              <w:bottom w:val="single" w:sz="8" w:space="0" w:color="000000"/>
              <w:right w:val="nil"/>
            </w:tcBorders>
            <w:hideMark/>
          </w:tcPr>
          <w:p w14:paraId="226F2901" w14:textId="0E29CDD9" w:rsidR="00A12F97" w:rsidRDefault="00894C6D" w:rsidP="00A12F97">
            <w:pPr>
              <w:autoSpaceDE w:val="0"/>
              <w:autoSpaceDN w:val="0"/>
              <w:adjustRightInd w:val="0"/>
              <w:spacing w:before="80"/>
              <w:rPr>
                <w:rFonts w:asciiTheme="majorBidi" w:hAnsiTheme="majorBidi" w:cstheme="majorBidi"/>
                <w:sz w:val="24"/>
                <w:szCs w:val="24"/>
              </w:rPr>
            </w:pPr>
            <w:r>
              <w:rPr>
                <w:rFonts w:asciiTheme="majorBidi" w:hAnsiTheme="majorBidi" w:cstheme="majorBidi"/>
                <w:sz w:val="24"/>
                <w:szCs w:val="24"/>
              </w:rPr>
              <w:t>1-</w:t>
            </w:r>
            <w:r w:rsidR="00A12F97">
              <w:rPr>
                <w:rFonts w:asciiTheme="majorBidi" w:hAnsiTheme="majorBidi" w:cstheme="majorBidi"/>
                <w:sz w:val="24"/>
                <w:szCs w:val="24"/>
              </w:rPr>
              <w:t>year mortality (%)</w:t>
            </w:r>
          </w:p>
        </w:tc>
        <w:tc>
          <w:tcPr>
            <w:tcW w:w="1559" w:type="dxa"/>
            <w:tcBorders>
              <w:top w:val="nil"/>
              <w:left w:val="nil"/>
              <w:bottom w:val="single" w:sz="8" w:space="0" w:color="000000"/>
              <w:right w:val="nil"/>
            </w:tcBorders>
            <w:hideMark/>
          </w:tcPr>
          <w:p w14:paraId="1D84D64B"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9.9</w:t>
            </w:r>
          </w:p>
        </w:tc>
        <w:tc>
          <w:tcPr>
            <w:tcW w:w="1418" w:type="dxa"/>
            <w:tcBorders>
              <w:top w:val="nil"/>
              <w:left w:val="nil"/>
              <w:bottom w:val="single" w:sz="8" w:space="0" w:color="000000"/>
              <w:right w:val="nil"/>
            </w:tcBorders>
            <w:hideMark/>
          </w:tcPr>
          <w:p w14:paraId="0C1DC74D"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23.8</w:t>
            </w:r>
          </w:p>
        </w:tc>
        <w:tc>
          <w:tcPr>
            <w:tcW w:w="1071" w:type="dxa"/>
            <w:tcBorders>
              <w:top w:val="nil"/>
              <w:left w:val="nil"/>
              <w:bottom w:val="single" w:sz="8" w:space="0" w:color="000000"/>
              <w:right w:val="nil"/>
            </w:tcBorders>
            <w:hideMark/>
          </w:tcPr>
          <w:p w14:paraId="6D739675" w14:textId="77777777" w:rsidR="00A12F97" w:rsidRDefault="00A12F97" w:rsidP="00A12F97">
            <w:pPr>
              <w:autoSpaceDE w:val="0"/>
              <w:autoSpaceDN w:val="0"/>
              <w:adjustRightInd w:val="0"/>
              <w:spacing w:before="80"/>
              <w:jc w:val="center"/>
              <w:rPr>
                <w:rFonts w:asciiTheme="majorBidi" w:hAnsiTheme="majorBidi" w:cstheme="majorBidi"/>
                <w:sz w:val="24"/>
                <w:szCs w:val="24"/>
              </w:rPr>
            </w:pPr>
            <w:r>
              <w:rPr>
                <w:rFonts w:asciiTheme="majorBidi" w:hAnsiTheme="majorBidi" w:cstheme="majorBidi"/>
                <w:sz w:val="24"/>
                <w:szCs w:val="24"/>
              </w:rPr>
              <w:t>0.008</w:t>
            </w:r>
          </w:p>
        </w:tc>
      </w:tr>
    </w:tbl>
    <w:p w14:paraId="1366DD53" w14:textId="77777777" w:rsidR="00A4282C" w:rsidRDefault="00A4282C" w:rsidP="004D77B5"/>
    <w:p w14:paraId="3F8A60F8" w14:textId="77777777" w:rsidR="00A4282C" w:rsidRDefault="00A4282C" w:rsidP="004D77B5"/>
    <w:p w14:paraId="20E4CF2D" w14:textId="17AAAFC1" w:rsidR="00A432F8" w:rsidRDefault="00A4282C" w:rsidP="00A12F97">
      <w:r>
        <w:t>E</w:t>
      </w:r>
      <w:r w:rsidR="00A432F8">
        <w:t>ffect of cholecystostomy</w:t>
      </w:r>
      <w:r w:rsidR="009E0FD1">
        <w:t xml:space="preserve"> in patients over age 65 with </w:t>
      </w:r>
      <w:r w:rsidR="00F94FCD">
        <w:t xml:space="preserve">AC </w:t>
      </w:r>
      <w:r w:rsidR="00A12F97">
        <w:t xml:space="preserve">was analyzed using logistic regression, with 30-day mortality as the dependent variable. Independent variables included age of patients, sex, ASA grade, disease severity, serum creatinine levels at admission and cholecystostomy procedure. Higher mortality was correlated with higher serum creatinine levels </w:t>
      </w:r>
      <w:r w:rsidR="00A12F97" w:rsidRPr="00A12F97">
        <w:t>(OR 4.899, 95% confidence interval 1.447-16.580, p=0.011)</w:t>
      </w:r>
      <w:r w:rsidR="00A12F97">
        <w:t xml:space="preserve"> and older age </w:t>
      </w:r>
      <w:r w:rsidR="00A12F97" w:rsidRPr="00A12F97">
        <w:t>(OR 1.125, 95% confidence interval 1.001-1.264, p=0.048)</w:t>
      </w:r>
      <w:r w:rsidR="00A12F97">
        <w:t xml:space="preserve">, and inversely correlated with female sex </w:t>
      </w:r>
      <w:r w:rsidR="00A12F97" w:rsidRPr="00A12F97">
        <w:t>(OR 0.041, 95% confidence interval 0.002-0.764, p=0.032).</w:t>
      </w:r>
      <w:r w:rsidR="00A12F97">
        <w:t xml:space="preserve"> Cholecystostomy patients trended towards higher 30-day mortality </w:t>
      </w:r>
      <w:r w:rsidR="00A12F97" w:rsidRPr="00A12F97">
        <w:t>(OR 5.431, 95% confidence interval 0.885-33.338, p=0.068)</w:t>
      </w:r>
      <w:r w:rsidR="00A12F97">
        <w:t>. There was no significant correlation between disease severity at admission and subsequent mortality. This model correctly predicted 97.3% of cases.</w:t>
      </w:r>
    </w:p>
    <w:p w14:paraId="61E55218" w14:textId="58B11AD1" w:rsidR="00A432F8" w:rsidRPr="00612C54" w:rsidRDefault="00A432F8" w:rsidP="004D77B5">
      <w:r>
        <w:t xml:space="preserve">An additional model was constructed to analyze factors affecting mortality at one year from hospitalization. The model was constructed identically to the previous except the outcome variable which was set as mortality at 1 year (vs 30 days). Initial creatinine levels </w:t>
      </w:r>
      <w:r w:rsidRPr="00A432F8">
        <w:t>(OR 4.284, 95% confidence interval 2.189-8.383, p&lt;0.001)</w:t>
      </w:r>
      <w:r>
        <w:t xml:space="preserve"> and patient age </w:t>
      </w:r>
      <w:r w:rsidRPr="00A432F8">
        <w:t>(OR 1.073, 95% confidence interval 1.019-1.129, p=0.007)</w:t>
      </w:r>
      <w:r>
        <w:t xml:space="preserve"> were associated with increased mortality at 30 days. </w:t>
      </w:r>
      <w:r w:rsidR="00F94FCD">
        <w:t>PC</w:t>
      </w:r>
      <w:r>
        <w:t xml:space="preserve"> was again associated with a statistically </w:t>
      </w:r>
      <w:r w:rsidR="00894C6D">
        <w:t>in</w:t>
      </w:r>
      <w:r>
        <w:t xml:space="preserve">significant increase in mortality at on year </w:t>
      </w:r>
      <w:r w:rsidRPr="00A432F8">
        <w:t>(OR 2.448, 95% confidence interval 0.916-6.540, p=0.074)</w:t>
      </w:r>
      <w:r>
        <w:t xml:space="preserve">, whereas ASA, disease severity, and sex, had no correlation with mortality. This model was correctly predicted of 90.1% of all </w:t>
      </w:r>
      <w:commentRangeStart w:id="5"/>
      <w:r>
        <w:t>(outcome)?</w:t>
      </w:r>
      <w:commentRangeEnd w:id="5"/>
      <w:r>
        <w:rPr>
          <w:rStyle w:val="CommentReference"/>
        </w:rPr>
        <w:commentReference w:id="5"/>
      </w:r>
      <w:r>
        <w:t xml:space="preserve"> events and 17.9% of mortality events</w:t>
      </w:r>
      <w:r w:rsidRPr="00612C54">
        <w:t>.</w:t>
      </w:r>
    </w:p>
    <w:p w14:paraId="549368C1" w14:textId="3A9DA343" w:rsidR="005C33AD" w:rsidRDefault="00795EC3" w:rsidP="005C33AD">
      <w:r>
        <w:t>Finally, we constructed a Cox</w:t>
      </w:r>
      <w:r w:rsidR="001E24FF">
        <w:t xml:space="preserve"> model to describe patient survival throughout the full 6-year follow-up period. Like in the logistic regression models, the dependent variable was death within 6 years follow-up, and independent variables included age, sex, severity of disease, ASA scores, </w:t>
      </w:r>
      <w:commentRangeStart w:id="6"/>
      <w:r w:rsidR="001E24FF">
        <w:t xml:space="preserve">initial </w:t>
      </w:r>
      <w:commentRangeEnd w:id="6"/>
      <w:r w:rsidR="001E24FF">
        <w:rPr>
          <w:rStyle w:val="CommentReference"/>
        </w:rPr>
        <w:commentReference w:id="6"/>
      </w:r>
      <w:r w:rsidR="001E24FF">
        <w:t xml:space="preserve">serum creatinine levels, comorbid obesity, and cholecystostomy procedure. We found increased mortality associated with initial creatinine levels </w:t>
      </w:r>
      <w:r w:rsidR="001E24FF" w:rsidRPr="001E24FF">
        <w:t>(OR 2.316, 95% confidence interval 1.563-3.430, p&lt;0.001)</w:t>
      </w:r>
      <w:r w:rsidR="001E24FF">
        <w:t xml:space="preserve">, comorbid obesity </w:t>
      </w:r>
      <w:r w:rsidR="001E24FF" w:rsidRPr="001E24FF">
        <w:t>(OR 4.063, 95% confidence interval 1.748-9.448, p=0.001)</w:t>
      </w:r>
      <w:r w:rsidR="001E24FF">
        <w:t xml:space="preserve">, and age of patients </w:t>
      </w:r>
      <w:r w:rsidR="001E24FF" w:rsidRPr="001E24FF">
        <w:t>(OR 1.101, 95% confidence interval 1.067-1.136, p&lt;0.001)</w:t>
      </w:r>
      <w:r w:rsidR="00BF7FE4">
        <w:t xml:space="preserve">. </w:t>
      </w:r>
      <w:r w:rsidR="00F94FCD">
        <w:t>PC</w:t>
      </w:r>
      <w:r w:rsidR="00A432F8">
        <w:t xml:space="preserve"> was associated with a statistically </w:t>
      </w:r>
      <w:r w:rsidR="00894C6D">
        <w:t>in</w:t>
      </w:r>
      <w:r w:rsidR="00A432F8">
        <w:t xml:space="preserve">significant increase in mortality during follow-up </w:t>
      </w:r>
      <w:r w:rsidR="00A432F8" w:rsidRPr="00A432F8">
        <w:t>(OR 1.861 95% confidence interval 0.951-3.648, p=0.070</w:t>
      </w:r>
      <w:r w:rsidR="00A432F8">
        <w:t>). Measure of ASA, disease severity, and patient sex were not associated with mortality. Graph 9 depicts the Cox analysis for cholecystostomy status and survival.</w:t>
      </w:r>
    </w:p>
    <w:p w14:paraId="1CA22670" w14:textId="7A3403EE" w:rsidR="00795EC3" w:rsidRDefault="00FF308D" w:rsidP="00795EC3">
      <w:r>
        <w:rPr>
          <w:noProof/>
        </w:rPr>
        <w:lastRenderedPageBreak/>
        <mc:AlternateContent>
          <mc:Choice Requires="wpg">
            <w:drawing>
              <wp:inline distT="0" distB="0" distL="0" distR="0" wp14:anchorId="252365DA" wp14:editId="3548056E">
                <wp:extent cx="5029200" cy="3827780"/>
                <wp:effectExtent l="0" t="0" r="0" b="1270"/>
                <wp:docPr id="26" name="Group 26"/>
                <wp:cNvGraphicFramePr/>
                <a:graphic xmlns:a="http://schemas.openxmlformats.org/drawingml/2006/main">
                  <a:graphicData uri="http://schemas.microsoft.com/office/word/2010/wordprocessingGroup">
                    <wpg:wgp>
                      <wpg:cNvGrpSpPr/>
                      <wpg:grpSpPr>
                        <a:xfrm>
                          <a:off x="0" y="0"/>
                          <a:ext cx="5029200" cy="3827780"/>
                          <a:chOff x="0" y="0"/>
                          <a:chExt cx="5943600" cy="5014187"/>
                        </a:xfrm>
                      </wpg:grpSpPr>
                      <pic:pic xmlns:pic="http://schemas.openxmlformats.org/drawingml/2006/picture">
                        <pic:nvPicPr>
                          <pic:cNvPr id="27" name="תמונה 17"/>
                          <pic:cNvPicPr/>
                        </pic:nvPicPr>
                        <pic:blipFill>
                          <a:blip r:embed="rId25">
                            <a:extLst>
                              <a:ext uri="{28A0092B-C50C-407E-A947-70E740481C1C}">
                                <a14:useLocalDpi xmlns:a14="http://schemas.microsoft.com/office/drawing/2010/main" val="0"/>
                              </a:ext>
                            </a:extLst>
                          </a:blip>
                          <a:srcRect/>
                          <a:stretch>
                            <a:fillRect/>
                          </a:stretch>
                        </pic:blipFill>
                        <pic:spPr bwMode="auto">
                          <a:xfrm>
                            <a:off x="0" y="259307"/>
                            <a:ext cx="5943600" cy="4754880"/>
                          </a:xfrm>
                          <a:prstGeom prst="rect">
                            <a:avLst/>
                          </a:prstGeom>
                          <a:noFill/>
                          <a:ln>
                            <a:noFill/>
                          </a:ln>
                        </pic:spPr>
                      </pic:pic>
                      <wps:wsp>
                        <wps:cNvPr id="28" name="Text Box 2"/>
                        <wps:cNvSpPr txBox="1">
                          <a:spLocks noChangeArrowheads="1"/>
                        </wps:cNvSpPr>
                        <wps:spPr bwMode="auto">
                          <a:xfrm>
                            <a:off x="136478" y="0"/>
                            <a:ext cx="4373880" cy="570230"/>
                          </a:xfrm>
                          <a:prstGeom prst="rect">
                            <a:avLst/>
                          </a:prstGeom>
                          <a:solidFill>
                            <a:srgbClr val="FFFFFF"/>
                          </a:solidFill>
                          <a:ln w="9525">
                            <a:noFill/>
                            <a:miter lim="800000"/>
                            <a:headEnd/>
                            <a:tailEnd/>
                          </a:ln>
                        </wps:spPr>
                        <wps:txbx>
                          <w:txbxContent>
                            <w:p w14:paraId="335D872E" w14:textId="3A609167" w:rsidR="00795EC3" w:rsidRDefault="00795EC3" w:rsidP="00795EC3">
                              <w:r w:rsidRPr="004B7BD5">
                                <w:rPr>
                                  <w:b/>
                                  <w:bCs/>
                                </w:rPr>
                                <w:t>Figure 9:</w:t>
                              </w:r>
                              <w:r w:rsidRPr="004B7BD5">
                                <w:t xml:space="preserve"> Cox regression analysis for 4</w:t>
                              </w:r>
                              <w:r w:rsidR="00894C6D">
                                <w:t>-</w:t>
                              </w:r>
                              <w:r w:rsidRPr="004B7BD5">
                                <w:t>year survival rate according to cholecystostom</w:t>
                              </w:r>
                              <w:r>
                                <w:t>y</w:t>
                              </w:r>
                              <w:r w:rsidRPr="004B7BD5">
                                <w:t xml:space="preserve"> statu</w:t>
                              </w:r>
                              <w:r>
                                <w:t>s</w:t>
                              </w:r>
                            </w:p>
                          </w:txbxContent>
                        </wps:txbx>
                        <wps:bodyPr rot="0" vert="horz" wrap="square" lIns="91440" tIns="45720" rIns="91440" bIns="45720" anchor="t" anchorCtr="0">
                          <a:noAutofit/>
                        </wps:bodyPr>
                      </wps:wsp>
                    </wpg:wgp>
                  </a:graphicData>
                </a:graphic>
              </wp:inline>
            </w:drawing>
          </mc:Choice>
          <mc:Fallback>
            <w:pict>
              <v:group w14:anchorId="252365DA" id="Group 26" o:spid="_x0000_s1050" style="width:396pt;height:301.4pt;mso-position-horizontal-relative:char;mso-position-vertical-relative:line" coordsize="59436,50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2C3wAMAAHUIAAAOAAAAZHJzL2Uyb0RvYy54bWycVttu2zgQfV+g/0Dw&#10;3bEky5EtRClS54IC7W6w7X4ATVEWUYnkkrTl7KJ/sX0t9nl/yL+zM5TsOnGABjEQe3gbnjlzZpiL&#10;t9u2IRthndSqoPFZRIlQXJdSrQr6x+fb0YwS55kqWaOVKOiDcPTt5ZtfLjqTi0TXuimFJeBEubwz&#10;Ba29N/l47HgtWubOtBEKFittW+ZhaFfj0rIOvLfNOImi83GnbWms5sI5mL3uF+ll8F9VgvvfqsoJ&#10;T5qCAjYfvm34XuL3+PKC5SvLTC35AIO9AkXLpIJLD66umWdkbeWJq1Zyq52u/BnX7VhXleQixADR&#10;xNGTaO6sXpsQyyrvVuZAE1D7hKdXu+W/bu4tkWVBk3NKFGshR+FaAmMgpzOrHPbcWfPJ3NthYtWP&#10;MN5tZVv8hUjINtD6cKBVbD3hMDmNkjnkihIOa5NZkmWzgXheQ3ZOzvH6Zn9ynk7O9yenUZzGswxR&#10;jfcXjxHfAY6RPIe/gSewTnj6uZ7glF9bQQcn7Yt8tMx+WZsRpNQwL5eykf4hyBOSh6DU5l7ye9sP&#10;jijP9pTv/tt9333b/bv7h8QhQjyFG/EYBnziZdlIcyubBslHe8AL0n4ijWdC7mV3rfm6Fcr3dWRF&#10;A9C1crU0jhKbi3YpQBb2fRkHZUM2PziP12Feg7b/TmZXUTRP3o0W02gxSqPsZnQ1T7NRFt1kaZTO&#10;4kW8+Iqn4zRfO/FBc9ZcGzlghdkTtM8KeSj5vkRCqZENCwXdawEABU3sIYI8kBLE6iz/HZoA7APb&#10;W+F5jWYFzA3zsPmwEGj+wSyS7kD2ZNl91CVUBlt7Hch4VvbJdD6JQvZ6joL2jxWcZtN01mv/oGCW&#10;G+v8ndAtQQMIB7jhDrYBvvsA91sQutKY9hBQox5NgE+cCUEg7MGEKLCOob+6vUpg9DLmsbs+15k+&#10;1cwIQIluj/QMzb5vIZ9RI+/0liR9Ewm7sIMQv4VpeClCiM6AJL44ovSiZmolrqzVXS1YCfDiUOjD&#10;BXi0v+1F+Ygn52kGYE57UTrJJpiC0IumWZRMQit6fTqcbmS5L0RnV8tFY3t13obP0K4ebWsU6Qo6&#10;nybTwMJRRlvp4TlsZFvQWYQfPM5ypORGlcH2TDa9vc83ctTnGy2/XW5DQx/6t8uXunwA5q0GdUHk&#10;8FqDUWv7FyUdvHwFdX+uGba85r0C4udxmuJTGQbpNEtgYI9XlscrTHFwVVBPSW8ufHhee2VeQcFU&#10;MqgYsfVIQJc4ADkGK7xtYD16PI/HYdeP/xYu/w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fGK27cAAAABQEAAA8AAABkcnMvZG93bnJldi54bWxMj0FLw0AQhe+C/2EZwZvdJGKt&#10;MZtSinoqQltBvE2TaRKanQ3ZbZL+e0cvennweMN732TLybZqoN43jg3EswgUceHKhisDH/vXuwUo&#10;H5BLbB2TgQt5WObXVxmmpRt5S8MuVEpK2KdooA6hS7X2RU0W/cx1xJIdXW8xiO0rXfY4SrltdRJF&#10;c22xYVmosaN1TcVpd7YG3kYcV/fxy7A5HdeXr/3D++cmJmNub6bVM6hAU/g7hh98QYdcmA7uzKVX&#10;rQF5JPyqZI9PidiDgXmULEDnmf5Pn38DAAD//wMAUEsDBAoAAAAAAAAAIQAU1b0XyTcAAMk3AAAU&#10;AAAAZHJzL21lZGlhL2ltYWdlMS5wbmeJUE5HDQoaCgAAAA1JSERSAAACcgAAAfUIAgAAAP0RhD8A&#10;ADeQSURBVHja7d0NTBt3nvDxSF7Xm+NBKBKHImRxFivkRRGgHNoIpStuL8oKOC6X64MasRHbRDzd&#10;qL2Kkmy3ydNuk4fkYZtquyiX6xG2EsexFPHk0mQJouEldBGQlMtCL6zLspSlL65FCOcAvZQQSoDm&#10;+TWzN536HduBsf39aITG9vhljM2Xvz0eb7gPAADCZAN3AQAAZBUAALIKAABZBQAAZBUAALIKAABZ&#10;BQCArAIAALIKAABZBQCArAIAALIKAABZBQCArAIAQFYBAABZBQCArAIAQFYBAABZBQCArAIAQFYB&#10;ACCrAACArAIAQFYBACCrAACArAIAQFYBACCrAACQVQAAQFYBACCrAACQ1Yg0OztbAQA6YLfbiRBZ&#10;jXgffvjhN77xDZ7PANaXxWLp6ekhQmQ1GrK6ceNGfvEA1tf3vvc9skpWySoAkFWQVbIKgKyCrJJV&#10;AGQVZJWsAgBZJatkFQDIKsgqWQVAVkFWySoAsgqySlYBgKyCrJJVAGQVZJWsAiCrIKtkFQDIKlkl&#10;qwBAVkFWySoAsgqy+sDc3FxKSoqPBZqamiwWi9FotFqt1dXVAZ5EVgGQVcRcVqWpRUVFGzZ4vSUO&#10;hyM9PX1oaEjmh4eHzWZzX1+f35PIKgCyipjLqjyqtm7dOjAw4COrFRUVzc3N6sH6+vry8nK/J5FV&#10;AGQVMZdVKVxnZ+eXt8N7VvPy8qamprSD1+zsbL8nkVUAZBUxl9XR0dE/3Q7vWY2Pj19ZWVEPynxc&#10;XJyPkyYmJsq9279/v8lkCu7W/r/rvQ2D3TxoAJBV6DSrX90O71k1Go3ejvF40tjY2KPeyXD2kUce&#10;Ce5GZnbky8SDBmv8FAjjWYLz6quvruPZH941rv0NI6tkVadZVYebPk7yJpQXgckqYjOrIV7Rmt3O&#10;1V7j2t8wskpWdfE0cH+lV47xexJZBVklq2QVZNWDwsJC7XZJTqezoKDA70lkFbr12muvmc1mo9Eo&#10;f1jHx8fVp8Dp06dTUlIMBoOc1N7eri7f2tq6ZcsWOVJ+yrzHZ40sn5GRIcukp6dfunTJx9WNjY19&#10;97vf1S4wMTGRlZUlM3JGWUwuVp4jO3bsGB4eVq5F5fv2hHh2WaClpUVuv/Ix9K6urnPnzqWlpbnf&#10;Iau9xlOnTikXK4s99thjk5OT7ou5/AlSD3q8CrKKyM5qVVXV2bNn1YMyX1lZ6fcksgp9am5ulj/x&#10;8jhcWVmpr69XeqY8BbZv3+5wOJRGqm9wyHxycvK1a9dkXn4mJSX19/e7PGuGhoZkme7uL7ene/fd&#10;d2V+YGDAx9Vt27bNbrerN+n1119/8cUX7z94V0Wplyzc2NgoZ/TYb2+3J8Szy2Jyw6T6cnZ5Iicm&#10;Jubm5rrfIVqBXKP8lcjLy1PWd25uTtZUDrov5i2r3q6CrCKCszo9PS1/C5R9PthsNvnvVf2L4OMk&#10;sgp9Kigo8DjwkqeAdiSkPiMkLfLXXD2+qampsLDQZZmioiJJpnYZOcbH1UlHX3nlFfWgDOCuXr2q&#10;XKAy4+Pp6fv2hHh29b+BpaUlOah+UsDbn4hArjE1NVWe9epBqaP6FyCQrHq7CrKKyMuq9pjW1laz&#10;2WwwGOQZoh2e+j6JrEKHXDYICGS0tLi4qB4v8+oGBOoycszCwoLHZTxenQzatm7dqmZm06ZNynx5&#10;efnu3bvr6ur6+vq059LeNh+3J8Szy2LezuUtq4Fco5A7R/63kL8Vx44dk3/E5c9F4Fn1dhVkFXrP&#10;6pohq1hf6t/0ALPqnhP15VD1JLnMDV+nXou3q3viiSdGRkZkpqurq7i4WM3P3r17k5OT5RISEhLG&#10;xsb85kd7e0I8u++OesxqINfY398v/zdkZ2fLKldXV8sI2ON96+3qvF0FWQVZJavQBXn4rWq0KoM5&#10;v6NVs9m8tLS0qqvr7u5+7rnnZObpp59uampyOXViYqK+vj4tLc39tvm4PSGePYisBnKNGRkZ2m24&#10;5Br9ZlXuMferc7kKsgqySlahCzt27FB22BlgVnft2qV9M1Lm3be42b9/vzaNMiBTt4TydnX3H7zp&#10;KCM5GSzOzs76HkBrb5uP2xPi2UPJqo9rlBXU/mPR2trqN6vDw8Peri6Mn8khq2SVrP4pqz842MHj&#10;BkE7d+7c1q1bZeijbFmq3RLY45/vq1evbt68Wdl0Vioo8+rfYnWZkZGR5OTkrq4u5RGek5Ojbmfg&#10;7eruP/imivT0dO2HbeTUhoYGJULajW/j4uLkYpUPs/m4PSGePYisBnKNubm5R44ckdG8LNbc3CzX&#10;qF6UdjF1i1+73S73ibqMt6sgqyCrYctqbvF5HjcIxenTp+WPu8lkkoGa8gES3xWRGCgf9MzIyGhp&#10;afG4THd3t7Ixjtlsrqmp8Xt1Sj/kEl5++WXts0NGt7KkHC9Xp752Wl1dbXrA9+0J8exBZDWQa5yc&#10;nJQVVw7u3LlT0qhelHYxJZlyB1qtVrkcdRlvV0FWQVbDmdV3/mOShw6i4LkgqQjjNjggqyCrwWT1&#10;f//8nbYeOw8dRDRllwt+v58YZBVk9aFn9WTNIFlFpJNnQV5ennajXJBVkNX1yWrlPw/UvTkyN3+P&#10;Rw8AsgqyGnxWt3YWyvSP/zqUW3z+p7/o59EDgKyCrAaf1cEZW+nAYZlp67GfrBnk0QOArIKsklUA&#10;ZBVkVR9ZzezIf/2DJrIKgKyCrIaa1Vufz54Zf0PK2nnlk9zi83VvjvAAAkBWQVY3hnIJym6Bpalk&#10;FQBZBVkNQ1Y/X1n81a9HZcAqU+PF93kYAR41NTVZLBaj0Wi1WqurqwM8iayCrMZcVi9OXFbmGbMi&#10;ism/jMoj3Mfk499Kh8ORnp4+NDR0/8F3wpjN5r6+Pr8nkVWQ1ZjL6tHhKm1WZcD67IlemfaUtXVe&#10;+YSHFKKGsgGB78nHN09UVFQ0NzerB+vr69V9Jfo4iayCrMZ0Vmc+XRgacSqTlJWRK6Isq6Esk5eX&#10;p3znmjpCzc7O9nsSWQVZjemsain/ucvP3/5uigcWyGp8fLz2+8NlPi4uzu9JZBVklaz+yXvv35Km&#10;7ilrY7+GIKv3H3wxuLdjfJxEVkFWyerXtPXYD/2sb3n5Cx5bIKsux6jfZO7jJLIKshpzWX3hvZ+f&#10;GX/js6U7Hk/tG7whf2iGRpw8thDjWXV/pVeO8XsSWQVZjbmsnvzDmcyO/IPXj3tb4NkTvWQVOvfe&#10;+7fUre28TSFmtbCwULtdktPpLCgo8HsSWQVZjbmsiosTl48OV3k7dU9Zm7JVsDLdXVjicQa9+cnJ&#10;K8oHw3xMJT/u9Hs5z/wfr2Goqqo6e/aselDmKysr/Z5EVkFWyaqrziufaD/Vd9M5z+MMMWh6ejor&#10;K0vZ54PNZktLS7Pb7X5PIqsgq2TVFxm5klXE1t+UDV/9VWltbTWbzQaDITU1VTs89X0SWQVZJate&#10;yWi15MedyktqpUferqq9zmMOAFklq2Q1yKyO2z9VNwCpe3NEyspjDgBZJatkNcisaik7OOQxB4Cs&#10;klWy6prVzI783/zn6vam9N77t5TXhHnYASCrZJWsfuXG3an83n1nxt9gwAqArIKsbgz9cqSpwWX1&#10;b0pb5Of7H87y4APIKvcDWSWrIWX1I8ftPWVtJT/uDGT/NUDkmpubS0lJ8bFAU1OTxWIxGo1Wq7W6&#10;ujrAk8gqyGo0ZzWzIz+/d1/75KqfGDed8xJXHnzQuVufz964O+V7mlq45bGpRUVF2g+wunA4HOnp&#10;6cruIIaHh81mc19fn9+TyCrIajRnVf7iDM7YSgcOBzFmlazKaPXtdxw8/qBnyj+OvidZxuVckoqt&#10;W7cODAz4yGpFRUVzc7N6sL6+vry83O9JZBVkNZqzqo5Zg8jq4r3lQz/rY8AK/Wc1iGXk+dXZ+eXm&#10;7j6ympeXp93VvoxQs7Oz/Z5EVkFWyapXbBKMaM3q6Ojon/64eM+q+xfDxcXF+T2JrIKsxkRW5c9K&#10;6cBhmfJ797114zeBZ5WtlhCVWf3qj4v3rLp/jbl6jI+TyCrIavRnVXmHVZlW9T7r3Pw9sgqyqjKZ&#10;TH5PIqsgq9GfVZeR66peECariNmsur/SK8f4PYmsgqySVT9ZZWNgxGZWCwsLtdslOZ3OgoICvyeR&#10;VZDVmMuq/ImRn1dvDQay/E9OXql7c4SHINbF/7z6VBAfnglXVquqqrTfsSrzlZWVfk8iqyCrsZVV&#10;26ej0lT5Y3Tw+vFAlpemklWsl6B39eDis6U7QWR1eno6KytL2eeDzWZLS0uz2+1+TyKrIKuxlVVF&#10;4N8ZJ03NLT6vfMP5U0e7D/2sj4cjouqPi1tWtce0traazWaDwZCamqodnvo+iayCrJJVr5wzd9Vv&#10;OG/rse/8YTMPRyB2kFWySlYDzeqBwReWv1he1bnYSzBAVkFWyaoHvc5rmR35gzO21WZVfUHYZeJr&#10;zwGyCrIau1kVpQOHV5tV8d77t9TXhLUTH28FyCrIKlm1hevSyCpAVkFWyWo4s8qmwgBZBVmN3azu&#10;vvKjo8NVFycuK9PnK4uhXJry4jCbCgNkFWTVv6amJovFYjQarVZrdXW1t8UaGxtlMZPJlJuba7N9&#10;bSB47tw55RLS0tJkXg9Zff2DpsO2k1JWmTI78m/cnQr9MtlUGCCrIKt+OByO9PR0ZXcqw8PDZrO5&#10;r8/D65yXLl3KyckZHx+X+ampqb17905MTCgnjY6OHjp0aG5uTublZ1lZmXJp65tVrfzefeHKam7x&#10;+ZM1gz/9Rf/c/D0euABZBVl1VVFR0dz81Qub9fX15eXlHh982txKOCWfyvzu3bsXF796iXV+fn7H&#10;jh1RmdXl5S86r3zS1mOXuEpieeACZBVk1VVeXp72qypk8Jqdne2+mMlkcvmiqC1btijziYmJ2qzK&#10;fFJSUlRmVbWnrI2sAmQVZNUD9y9WjIuLc1/M5WuNZTG1i62trc8///zt27eVoeqLL77Y1dWlq6x+&#10;5/LfXZy4rH7V+Ud3Qv0mOOWlYGU3/TL96tejPIgBsgqy6qGXHo8R27dvHx39Kh7d3d0Gg0E92NDQ&#10;IAc3PKDslft3v/vd//Duz/7szx555JE1W8en332p5NrB0oHDMj36dpEMXkO8wAsdH6hNVXbWz4MY&#10;IKsgq54jajKZ3BdraWkpKCiYnJy8/+CLorZt26YuVldXV1xcrIxWp6amioqKpLIzMzP/4t0rr7zi&#10;8VrWgIxWJa7hvUyyCpBVkNU/cX8RWI7xuKTE0mKxyKh0586dY2Nj6mvFqamp6lbBwm63W61W31e6&#10;xi8Cr0FWh0acEzfneCgDZBWxntXCwkLtJktOp1NGpX7P1d/fn5aW5m286/Fl5CjOasmPO6WsP/1F&#10;Pw9lgKwi1rNaVVWl/Y5ima+srHRfrLi42OH4akuf06dPyzHKfHp6una8KyNXnY9WH327KPStlly0&#10;9dhP1gzyUAbIKmI9q9PT01lZWcoOHGw2m4xB7Xa7+2KTk5MlJSWzs7NS0M7OTgmnus+Hurq6AwcO&#10;jI2NybwsIIvJMbrN6vjcx5kd+aFvteSe1UM/61te/oJHM0BWEdNZvf/gEzJms9lgMKSmpmpHrl/e&#10;sg1f3bbGxsaEhASTyZSXl+ey80LpqPRYFpaftbW1fq9xHbN6/+G8Dtw3eEN5h5VHM0BWEetZXXvR&#10;l1Xx7IlesgqQVZBVskpWAbIKskpWQ8jq7is/unF3amrhVhgv9u+feosPsAJkFWQ15rL6+9t/zOzI&#10;z+l6TH6G8WLH7Z/u+lErj2aArIKsxlZWFTJaDe/2wHwbK0BWQVbJajizquyCX51++ov+kT/O8PgG&#10;yCrIKlldtcV7y209du2Ut/+i/OTxDZBVkNWYyGpO12OfLt5+eFchA1ayCpBVkNWYyKoE9WHsbknr&#10;2Kl/f/ZEr3b8ypefA2QVZDU6s3r/oX2AVSUdlbKqb7XmFp9n8AqQVZBVshoevCYMkFWQVbJKVgGy&#10;CrJKVvWX1eP/9Nvc4vPsiQkgqyCr0ZnV67O/D++OlgJBVgGyCrIanVkVZBUgq9wPZJWsRnZWT9YM&#10;Hjv17zzuAbIKskpWQ/X2O462HjtjVoCsgqyS1XCOWXncA2QVZDUKs3r11uC6ZPWmc16dnDN3eRoA&#10;ZBVkNeKz+rd9pWfG31iXrO4pa1MnBq8AWQVZjYasSlPXJavuleVpAJBVkFWySlYBsgqySlb1l9U9&#10;ZW1vv+PgyQCQVZDVyM7q0eGqG3enlGlq4da63Iz33r/17IneujdHeDIAZBVkNYKz2vRJi/KtqzLl&#10;dD22Xp+3EdJUsgqQVZDVyM6qloxWH+q3mvvN6p6ytv/67HOeDwBZBVklq6F65z8mc4vPD404eT4A&#10;ZBVklayGwbMneskqQFZBVskqWQXIKsgqWXXLamZH/tHhKvfpsO3kGtyAHxzsUL7n/ELHBzwrALIK&#10;shrZWV3+YvmtG7+5OHHZfVqbLYTn5u/ddM6frBlkk2CArIKsRnxWfVjLD97wSRuArIKsktVwZnVP&#10;WVtbj93j9P6HszxhALIKskpWA/Xb30399Bf9J2sG3ae8/RflJJ4wAFkFWSWrYSCjVYkrTxiArIKs&#10;RnxW1YmsAmQVZJWshsG6f7BVsppbfP7ZE717yto6r3zCMwcgqyCrZDV4c/P3hkacMvF1NwBZBVkl&#10;q2HDh3AAsgqySlbDmdWTNYM3nfN84w1AVhGGrG7wyWAwkNWHlNXMjnxlv0ufryyu4y252PWhspvD&#10;PWVtPH8AsopQs2rwyWg0ktWHYX757nNDlUeHqySukth1vz3Km6w8fwCyilCzGukiNKuq/N59ZBUg&#10;q4iJrM7NzR05coSsxkhWc4vPK5svqdPFrg95RgFklawGaWxsLDEx0WAw8N5qDGZ15tMFl6aerBmU&#10;0PKMAsgqWQ3S5s2bXbZXMplM8/PzZDUWsurupnOejZgAsorgs6qMU51OZ3Jysvy8du2aHMzJySGr&#10;D1VmR/6BwRfULzk/eP04WQXIKqInqzJTWlp67Nix6elpXgReA73Oa2v/JecBZjW3+Hxr90c8qQCy&#10;SlaDYbFYlIja7Xb1deCkpCSyusaDV53ckuXlLw79rO/YqX/nSQWQVbIajKWlpeTkZGX+xIkTJpMp&#10;ISFhdHSUrMZmVu/zLTcAWQWfWyWrZBUgq9BFVvU/MCWra6zzyifKTg1l2vnD5p+cvMITDCCrZDXg&#10;c27YEBcX98wzz0xPT5PVdcyqTCf/cEYPN2Z5+YubznllkpHrU0e7eYIBZJWsBiojI0PdUiklJaW5&#10;uTmIC2lqarJYLEaj0Wq1VldXe1ussbFRFjOZTLm5uTabTT1+cXHRfXf/MZXVW5/Pnhl/44X3fq63&#10;G8beDQGySlZXbWFhoba2VrtfiB07dgR+dofDkZ6ePjQ0JPPDw8Nms7mvr899sUuXLuXk5IyPj8v8&#10;1NTU3r17JyYmlJPa29uLiopiebQqLk5cPjpcRVYBsoqIz6pKRpBSvtV+brWiokI7xq2vry8vL/f4&#10;4NPmVjJcVlamzDc0NMiFkFUdZnXkjzPK98fxkRuArJLVVYxWa2pq1NGq0Wh84oknAj97Xl6ejD61&#10;g9fs7Gz3xUwm08rKinpQ5rds2aLMHzhwoLW1lazqMKsKtg0GyCpZDZTValVf+7VYLFevXl3tJcTH&#10;x7v0Mi4uzn0xl+9wlcXULhYWFu7duzcxMVHSK0nu6uqSIz/99NNz3r322muycJRl9cDgC8tfLJNV&#10;gKwigrMqNZUuHjt27Pbt28Fdgvt3nnv8FvTt27drP8zT3d2tvtSckJDw8ssvK22enZ0tLS2VU69f&#10;v77BJ/1/1/qq/OY/+zM78gdnbPrMasmPO4dGnMvLX/BkA8gqWfVF2YYoFO558ziObGlpKSgomJyc&#10;vP/gTdxt27Z5G246HA5psO8rjb4XgUXpwGF9ZlWCuqesLbf4/E3nPE82gKyS1YfL/UVgOcbjkg0N&#10;DcouiHfu3Dk2NubxtWIf412yur6krGQVIKtk1csZ/ntzX4+vr65qS+DCwkLtJktOp1NGpX7P1d/f&#10;n5aW5vEk7duuZJWsAmQVEZBVCacyIjR4sqq3Lauqqs6ePaselPnKykr3xYqLix0Oh3rw9OnTcowy&#10;n5ycrLw4rBgdHd21axdZ1ZudP2xu67EPjTidM3d5ygFklaw+LNPT01lZWcruIGw2m4xB7Xa7+2IS&#10;zpKSktnZWRmMdnZ2Wq1W5SxKYvfv3z8/P69cmuRWPSmmsvr4O/9Q//F53d68n5y88tTR7tzi83Vv&#10;jvCUA8gqWfUsLLvab21tNZvNMsxNTU3VjlzvP3iRWZ1vbGxMSEgwmUx5eXnanReKuro66bFcwtat&#10;W7u7/e+ENiqzevD6cV3tc98jaSpZBcgqWfV+Tna1rxs37k7l9+4jqwBZRQRnNSy72ierMZXVZ0/0&#10;Do041Wlu/h7PQJBVkNWvhLirfbIaU1ntvPLJnrI2Kasy5Rafb+ux8wwEWQVZ9SC4Xe2T1ZjKqouT&#10;NYNkFWSV+4Gsuo5WQ9nVPlkNY1YzO/IvTlzWTnIkWQXIKiImq6Hvap+shstnS3cOXj9+dLhKnZTK&#10;6vk2V/7zQN2bIzed8y4Tn20FWUWMZjX0Xe2T1YdHyqrzrP7jvw7lFp/fU9amnfL2X5QjeVqCrCIW&#10;sxr6rvbJaixn1SMZrUpceVqCrCIWs2o2m9PS0sKyUwiySlbJKsgqYj2rBoNBuyMkskpWySpAVhF8&#10;F2trayWrhw4dun37tvb73ciqHhy8fjy/d9+Z8TfUaXzuY/3fbOfMXfUNV95kBVlFbGU19C+GI6sP&#10;T6/zmrap+t8wWFtWZZNgsgqyitjKauhfDEdW10wkviZMVkFWEVtZjVBklawCZBVklazGYlbVHQjL&#10;tKes7b8++5xnLMgqojarvLdKVh+qkT/OaL/uRip70znPMxZkFVGbVfX9VG1WeW9Vn54bqiwdONw+&#10;GcHPYRmtklWQVURzVrUWFhaOHDkiWb1w4QJZ1SEZqkpZMzvyySpAVhEBWRUrKyuS1aSkJLKqWxGd&#10;1dzi8ydrBuveHJn5dIHnLcgqojyr0lR5fPDeKll9iAPurg+lqRLXoREnz1uQVURhVj1uspSSkkJW&#10;yerD8+yJXrIKsorozKr7viCkqYuLi2SVrJJVgKyS1VgR41kdnLFdn/195K5C6ZG3694c0X7wJsCJ&#10;z7yCrIKsktUw233lR6UDhyN6zFpVe13Kqt1NRCBTbvH5th47z3aQVeg0q+Xl5XFxcerBXbt2GY1G&#10;OebUqVNkNSLGrLG2yidrBskqyCp0mtVXX31Vu8XvY489pt1kqauri6ySVbIKkFWyGqjNmzdLPtvb&#10;22X+9u3bSk1lnNrX18eWwGSVrAJklayujtFolHwq31u+f/9+Jav3/3t3EOy8kKzq0PF/+m1u8flf&#10;/XqUJzzIKnSXVWUnwCsPKE197bXX5PjFxUWySlZ1q+7NEZl4woOsQndZNZvNks933323trZWHap+&#10;+Werro6dF0ZKVl0msgqQVaxbVru7u7XbKD3//PN/uqAHqqurySqDV7IKkFWyugqnT5/e+EB5ebl6&#10;ZHx8/EsvvaT/FSarMZvV3OLze8raxu2f8ksHWYW+shrRyGpsZnXm04WhEefflLaw70OQVZBVskpW&#10;w4NdCoOsgqySVbJKVkFWQVbJauRkVaZzjrdiYWX3lLVd6PiAXzrIKsgqWX1YphZuHR2uOjP+Riys&#10;7N8/9Ra7WwJZhX6zarPZrFZrXFycsovgrVu3ktVIJE2NkayyF0OQVeg3q5cuXVI/vapkVWZ2795N&#10;VskqWQXIKlldNWWf+8PDw9qsar8wjqySVb05/k+/lbK6fMP53YUlHgMgq1j/rKp7LlSyquwiWP3C&#10;OLJKVnWo8eL7JT/udPmGc7YNBlmFLrK6adMm6ejVq1eVmioz7BM4QrOa2ZE/PvdxDK47H7kBWYVe&#10;strQ0LDBzdmzZ8lqxJlauPXo20WDMzayCpBVrFtWRV9fX0pKislkMhqNycnJLS0t+l9hsupR6cBh&#10;sgqQVaxzViMRWSWrWj842KHsgj+4Sc57setDHj8gqwhDVkdHR8kqWY10c/P3bjrng55O1gzyfXMg&#10;qwhPVpWP0zzzzDPT09NklazGJr7GFWQVYctqRkaGuqVSSkpKc3MzWY1c+b37pKxnxt+4Pvt77g2y&#10;CrKKdciqWFhYqK2tVfYLodixYwdZjUTtkz3Kx2xi5AOsYczqnrK2th677+nd9/6T+wpklayugs1m&#10;y8nJYXcQkS529gsRLr/93dRPf9F/smbQx1Ty405JL/cVyCpZDWi0WlNTo45WjUbjE088QVbJKrSG&#10;RpzPnujlfgBZJat+WK1W9bVfi8Vy9erViFhhskpWySrIKvSYValpfHz8sWPHbt++HUErTFbJKlkF&#10;WYUeszo+Ph761Tc1NclI12g0yti3urra22KNjY2ymMlkys3Ntdm+9jmQ+vr6jIyMuLi4srKyhYUF&#10;shpiVo8OV924O+Vx+mzpDndRcFnNLT6v3b9/KNOesraPHLe5V8kqojCroXM4HOnp6UNDQzI/PDxs&#10;Npv7+vrcF7t06VJOTo5S8ampqb17905MTCgnvfbaa4WFhdPT0ysrK0eOHJGyktVQnHO8ldmRn9+7&#10;z32S4w9eP85dFITFe8suX0UXyvQ3pS3sbZGsIqqyqv12VXer2hK4oqJC+2lXGXeWl5d7fPBpcysZ&#10;VvOZmpqqJnZpaSmQb3slq8G5OHFZBrLcD+uOnRiTVURbViWcRqNRmXGnnBSgvLw8GX1qB6/Z2dnu&#10;i5lMJhmMqgdlfsuWLe6Lzc3Nbdq0iaySVbIKsopIymoYxcfHu/TS43DTJdWymHsXZ2dnS0pKXn31&#10;VZn/4IMP8rzLzc195JFH+MWT1Qj11NHuth57KPsx1sO0vPwFv0qySlbdzvn1l3xl3Gm1Wi0WS+CX&#10;4D609TjY3b59u3a3/t3d3S4vNT/55JNJSUkyhB0Z+XI3cp988sn/8m7Pnj0y/OUXT1Yj1E9OXtn5&#10;w+agv3JHD1Nu8XkG3GSVrPrP6tLSkrJHiFCy6jF4LS0tBQUFk5OT9x/szmnbtm0eF5ubm9u1a1dr&#10;a6vvK+VFYLKK9cXr2GSVrLqSIekGLwLZaEjl/iKwHONxyYaGBrlSqfjOnTvHxsa8XcvExITf4TJZ&#10;DTqrmR35pQOH83v3vXXjN9whIKtkFWHLqt1ul8Kpm/6qJFenTp0K/HIKCwu1myw5nU4Zlfo9V39/&#10;f1paWuAjYLIaFp8t3RmcscmkfNENdwjIKllF2LKqWO12v+6qqqrOnj2rHpT5yspK98WKi4sdDod6&#10;8PTp03KMMp+cnCyNV08aHR31uC0xWQ0j9sQEskpW8VCy6m5ubu7IkSOBLz89PZ2VlaXsDsJms8kY&#10;VNtI1eTkZElJyezs7MrKSmdnp9VqVc4iXnnllccff1zZe6IsJoPd9vZ2skpWoWedVz5xztzlfiCr&#10;ZNXV2NhYYmKi+mpwELuDEK2trWazWc6VmpqqHbnef7BJlDrf2NiYkJBgMpny8vJcdl746quvyphV&#10;LiEjI6OlpcXvNZJVsgqQVegxq9pvL1dI9ubn53W+wmSVrAJkFXrMqjJOdTqdMliUn9euXZODOTk5&#10;ZDXqs1o6cHhwxjY+9zH3BkBWEeasykxpaemxY8emp6eDeBGYrEac9sme/N59j75dJD+5NwCyirBl&#10;Vfkg6f0Hn7dRXwdOSkoiq7FA+aQN9wNAVhG2rC4tLSUnJyvzJ06cMJlMCQkJ2r0MklWyCoCsktUo&#10;R1bJKkBWQVbJKlkFyCqiMasbfGKTJbIKgKyS1VUw+BTi7gzJagRlNbMj/+hwlTq98N7Pfz76S+4Z&#10;gKyS1dhCVsPis6U7Fycua6cz429IaLlnALJKVskqwuDG3Sk+yQqQVYT0Nea8twqyCpBVhCer6vup&#10;2qzy3ipZBUBWyWqoFhYWjhw5Ilm9cOECWSWrAMgqWQ3VysoKOy8kq9wPAFklq+Fpqjw+eG81lk0t&#10;3MrsyOczNgBZJavBntOTlJQUshqzXv+g6YX3fs79AJBVshoM931BSFMXFxfJasy6OHH56HAV9wNA&#10;VslqDCGrZBUgqyCrZJWsAmQVUZ1VeUAkJia6fG6VTZbIKvcDQFbJajDi4uLUlLKrfZBVgKwipKya&#10;TCZp6vT0dGStMFl9eNonezI78tXpb/tKuU8AskpWA1VfXy9ZbW1tXVpaIqtwwReyAmSVrK6OjFPj&#10;4+PZ1T7IKkBWEYas8t4qyCpAVhG2rPLeKsgqQFYRtqyeOnVKstre3s57qyCrAFlFqFnla8zhO6uP&#10;vl0kP2/cneLeAMgqWfXP4AnvrULx0R1Hfu++zI78g9ePc28AZJWsRi2yupbYQQRAVskqWQVZBcgq&#10;1jyrvLcKsgqQVYQtq+r7qdqs8t4qyCpAVslqqBYWFo4cOSJZvXDhAlkFWQXIKlkN1crKimQ1KSmJ&#10;rEKb1cyO/DPjb8wv3+XeAMgqWV1FU+XxwXurcDE+97E0VcrKp1cBskpW/Z3Tk5SUFLIKF/m9+8gq&#10;QFbJqh/u+4KQpi4uLpJVkFWArJLVWEFWySpAVkFWySpZBcgqojSr3d3diYmJdrtdPWZ8fDw5OXl0&#10;dJSsgqwCZJWsroIUVNk6KTU1VT3SYrEoR05OTpJVuMjsyD86XHVm/A3bp6PcGwBZJatfoxQ0LS3N&#10;6XSqR05PT0tllePJKlw0fdKifMxGfnJvAGSVrH6N0WiUfM7NzbkcL5Vl54XwQZpKVgGySlY9Z9Xz&#10;ZZFVkFWArJLVVUlOTpZ82mw2l+OHh4fl+M2bN5NVkFWArJLVQNXX1ytbJ/X19Sk7f1hYWOjq6lKO&#10;rKmpIasgqwBZJaur8Pjjj3vcc2FhYaH+V5isklWArEJfWRUDAwNWqzU+Pt5gMEilLBZLZ2dnRKww&#10;WV3HrJYOHB6csanTZ0t3uFtAVkFWIxtZXS9v3fhNfu8+KasyZXbkX5y4zN0CsgqySlYRBkeHq8gq&#10;yCr3A1kNs6amJovFYjQarVZrdXW1t8UaGxtlMZPJlJub67IRcoCXQFbJKkBWEeVZdTgc6enpQ0ND&#10;9x98PsdsNvf19bkvdunSpZycnPHxcZmfmprau3fvxMTEqi6BrJJVgKwi+rNaUVHR3NysHqyvry8v&#10;L/f44NPGUiJaVla2qksgq2QVIKuI/qzm5eXJ6FM7eM3OznZfzGQyraysqAdlfsuWLau6BLJKVgGy&#10;iujPanx8vEsv4+Li3Bdz2SGiLKZ20eMl3Lt3b8K7/v7+b37zm/ziySpAVhFtWXXfgbDHXQpv375d&#10;+02u3d3dBoPBxyVcv359g0/633FxLHhuqDKzIz+/d592yu3e8/2eEu4ckFWQ1fBk1WQyuS/W0tJS&#10;UFCgfJOrzWbbtm2bupjHS7hz506/d+fPn2e0qgfzy3dv3J1ymQZnbFJW7hyQVZDVYLi/hCvHeFyy&#10;oaHBYrHIIHXnzp1jY2Pqa8WBX4KK91b1TMoqY1buB5BVkNVgFBYWajc4cjqdMir1ey4Zcapflh7E&#10;JZBVsgqQVURnVquqqs6ePaselPnKykr3xYqLix0Oh3rw9OnTcsyqLoGsklWArCL6szo9PZ2VlaXs&#10;zMFms8kY1G63uy82OTlZUlIyOzu7srLS2dlptVqVswR+CWSVrAJkFdGfVdHa2mo2mw0GQ2pqqnbc&#10;+eUt2/DVbWtsbExISDCZTHl5eS47L/RxCWSVrAJkFbGV1bVHVnWe1cyOfOWbWf/lo3/jDgFZBVkl&#10;qwje5yuLr3/QpGRV+sodArIKskpWER5kFWQVZJWsgqwCZJWsklWQVYCsgqySVbIKkFWQVbIKsgqy&#10;SlbJKlnF2mbVZUf83CcgqyCrZBXBZ1X7nXFKZblbQFZBVskqwkDKSlZBVkFWySrIKkBWySpZBVkF&#10;yCrIKlklqwBZBVklqyCrIKsgq2QVZBUgqyCr/OIjTmZH/oHBFw5eP/7J/A3uDZBVkFWyipD0Oq9d&#10;nLgscR2csXFvgKyCrJJVhEHpwGGyCrIKskpWQVYBskpWySrIKkBWQVbJKlkFyCrIKlkFWQVZBVkl&#10;q1grj7/zD2fG35Cyrnb6bOkO9x7IKsgqWcXX/N+R16SsMmZd1ZTZkX9x4jL3HsgqyCpZRRgcHa4i&#10;qyCrIKtkFWQVZBVklayCrAJklaySVZBVgKyCrJJVkFWQVZBVsgqyCrIKskpWEXEOXj+e2ZHfPsmf&#10;MJBVkFWyipDduDtVOnD4zPgb3BUgqyCrZBVhIE0lqyCrIKtkFWQVZBVklayCrAJklaySVZBVgKyC&#10;rJJVkFWQVZBVsoo1zKryXa3zy3e5N0BWQVbJKkLSPtmT37svsyOfb0EHWQVZJasID2XAyv0Asgqy&#10;SlZBVkFWQVbJKsgqQFbJKlkFWQXIKsgqWQVZBVkFWSWrIKsgqyCrZBWRJbMjv/7j89wPIKsgq2QV&#10;4Rmt8n3mIKsgq2QV4XF0uIqsgqyCrJJVkFWQVZBVsgqyCpBVskpWQVYBsgqySlZBVkFWQVbJKtbK&#10;YdtJKevgjE078VVxIKuInqw2NTVZLBaj0Wi1Wqurq70tdu7cOWWxtLQ0mQ/wJLIKF//y0b/tvvKj&#10;0oHD6sRXxYGsInqy6nA40tPTh4aGZH54eNhsNvf19bkvNjo6eujQobm5OZmXn2VlZcpZfJ9EVhEI&#10;9rsEsoroyWpFRUVzc7N6sL6+vry83H2x3bt3Ly4uqgfn5+d37Njh9ySyCrIKsorYympeXt7U1JR2&#10;8Jqdne2+WGJioradMp+UlOT3JLIKsgqyitjKanx8/MrKinpQ5uPi4twXa21tff7552/fvq2MR198&#10;8cWuri4fJ928efO4dwcPHjSZTPziQVZBVhFtWTUajX6PUTQ0NBgMhg0PnD171vdJf/jDH77t3be+&#10;9a1HHnmEXzzIKsgqoj+rHseRdXV1xcXFypB0amqqqKhIUur3JG94ERhkFWQV0ZlV9xeB5Rj3xVJT&#10;UycmJtSDdrvdarX6PYmsIhD5vft2X/nR0eGq4KaD14/3Oq9xN4KsQhdZLSws1G6y5HQ6CwoKAhnU&#10;qscE/jIyWYVHMlS9OHE56EmqfGb8De5GkFXoIqtVVVXaN0plvrKy0n2x9PR07aBWhqfqkNTHSWQV&#10;a0CaSlZBVqGXrE5PT2dlZSk7cLDZbGlpaXa73X2xurq6AwcOjI2Nyfzs7GxJSYkc4/cksgqyCrKK&#10;2Mrq/QefkDGbzQaDITU11WUT3w0bNmjLKtGVY+RnbW2tS3S9nURWQVZBVhFbWV17ZBVkFWQVZJWs&#10;gqyCrIKsklWQVYCsklWyCgTi9Q+aMjvy83v3+Zi+c/nvnn73Je4rkFWySlYBPz5fWbxxd8r3dHHi&#10;csm1g9xXIKtklawCYTA4YysdOMz9ALJKVskqQFZBVkFWySrIKsgqyCpZBVkFWQVZJasAWQVZBVkF&#10;yCrIKsgqWUXEZTWzI1/KGpYpv3ff+NzH3KtkFWSVrCJGfb6yKGUN1/To20Xyk3uVrIKsklUgDGTA&#10;SlbJKsgqWQXIKsgqWSWrAFkFWQVZJasgqyCrIKtkFSCrZBVklawCZBVkFWQViDj5vfsefbsoXJ+C&#10;XZdJVuGjOw5+lWSVrJJVYP2Nz30cxk/BrsvER2/JKlklqwDChtexySpZJasAyCpZBVklqwBZJasg&#10;q2QVIKtkFWSVrAIgq2SVrJJVAGSVrIKsklWArJJVkFWyCsS09smeW5/Pcj+QVbJKVgGArIKsklUA&#10;ZBVklawCIKsgq2QVAMgqWSWrAEBWQVbJKgCyCrJKVgGQVbJKVskqAJBVkFWyCoCsgqySVQBkFWSV&#10;rAIAWSWrZBUAyCrIKlkFQFZBVskqALIKskpWAYCsgqySVQBkFWSVrAIgqyCrZBUAyCpZJasAQFZB&#10;VskqALIKskpWAZBVkFWyCgBkFWT1ww+/8Y1vPAUA68psNpNVshoNZmZmfvCDH+QH5Zvf/GZGRkZ+&#10;tNi+fbvBYPirv/qrqFmjb3/72/Hx8flR5M///M//4i/+ImpWJy8vTx5yf/mXfxk1a/Sd73xH1uj7&#10;3/9+EOctKiqS//KJEFmNaZs2bfrlL38ZNavz7rvvbtiw4aOPPoqaNXr55Ze/9a1vRdND7q//+q+f&#10;fvrpqFmd5eVlecj9+te/jpo1amtrkzWam5vjzyPIKlklq2SVrJJVkFWySlbJKlklqyCrZJWsklWy&#10;SlZBVkFWySpZJatkFWSVrJJVskpWySrIKlklq2SVrJJVkNVYMT8/v7S0FDWrs7KycufOnS+++CJq&#10;1ujevXt3796NpofcwsLC4uJiNK2RPOQkrtH0j4KsEX8bQVYBACCrAACQ1SjQ1NRksViMRqPVaq2u&#10;ro6I27y4uLjBTSBrpMOVnZubS0lJCfyXov+1c1+jyP199fT0ZGdnyw1ITk6uqqqK9N+Rt9WJpicU&#10;yOo6czgc6enpQ0NDMj88PGw2m/v6+vR/s9vb24uKila7RjpcWSmQrIj2T1jQq6CTtfO4RhH6+7p2&#10;7dpjjz2m7Nt2dHRUgnTq1KnI/R35WJ2oeUKBrK6/ioqK5uZm9WB9fX15ebn+b3ZDQ4Pc8tWukd5W&#10;VoYOW7duHRgYcIlQcKugh7XztkYR+vvKycm5ffu2elBSJCOzyP0d+Vid6HhCgazqQl5e3tTUlPY/&#10;U/kfVv83+8CBA62tratdI72t7MaNGzs7O798pH49QsGtgh7WztsaRcfvS5hMpkj/HXlcnaj5BYGs&#10;rr/4+PiVlRX1oMzHxcXp/2YXFhbu3bs3MTFR/i7IM7mrqyuQNdLbyspw4U+P1K9HKLhV0MPaeVuj&#10;6Ph9TUxMZGRkRPrvyOPqRMcvCGRVF4xGo99jdCghIeHll19WntKzs7OlpaXd3d1+10i3K+sSoeBW&#10;QVdr57JG0fH7euWVV2pqaqLmd6RdnSh7QoGs6iur6utCEcThcGzfvt3vGul2Zf1mNZBV0NXauaxR&#10;FPy+ZGwn47mo+R25rE6UPaFAVteT+8s4ckxE/3/gY410u7J+XwQOZBV0tXa+sxpxvy+56pKSEhnG&#10;RcfvyH11ouwJBbK6ngoLC7UbHTidzoKCgohbC3k+b9y40e8a6XZl3d+JDGIVdLV2vrMacb+v8vLy&#10;kZGRqPkdua9OlD2hQFbXU1VV1dmzZ9WDMl9ZWan/m52cnDw5OakeHB0d3bVrl9810u3KukQouFXQ&#10;1dq5rFHk/r6mp6efeOIJ5aOZUfA78rY6UfaEAlldT/I0y8rKUp5mNpstLS3Nbrfr/2afPn16//79&#10;8/PzyioUFxerfyl8rJFuV9YlQsGtgq7WzmWNIvT31d/fn52d7fFKI/F35GN1ouwJBbK6zlpbW81m&#10;s8FgSE1N1f7vqXN1dXXyNJabvXXrVnWrRb9rpM+VdX/JNLhV0M/aua9RJP6+5Kp97NIv4n5Hvlcn&#10;mp5QIKsAAJBVAADIKgAAIKsAAJBVAADIKgAAIKsAAJBVAADIKgAAZBUAAJBVAADIKgAAZBUAAJBV&#10;AADIKiL1oeaF9lR93mb9XJo+7yUAZBUxkdX+/v7vfe9765gxlxsQ4KW1tLTs379/enp6DbJaUlLi&#10;8YoAkFVEWF8j4opCvASXswdyaQsLCxs3bpSyrsFdJ9cil1ZQUMBjEiCriLasuo9ca2trExMTLRbL&#10;6OhoY2NjfHx8SkrK1atX1bPIkWlpaUajMSMjo7W11ffgWDny3LlzW7ZskbNYrdbm5maPN6+6ujop&#10;KWnz5s11dXUuN9XbNdrtdhmVSg7lpOzsbBmkerwByozD4cjJyTGZTN/97nfHx8ddrr2hocFlhO3t&#10;9ni8Url5ssDExITMT05OynxqaqrMj4yMyNXJkrK8nEtug3Lkpk2bZBn3ew8AWUW0ZVWVlZVlMBiU&#10;eemZssylS5dcFlO64iOr7e3tLkd2d3e7V83by9Q+rlGqpj1emu0jq+np6eqRubm5LjeguLi4qakp&#10;kNvj8UpLS0tlXs6lnvfJJ5+UeflnQrvwtm3blAvp6emR0BYWFvKwBMgqojyrMjT88MMPlfn6+vqx&#10;sTGZkfGWsowESQ5KKZU2yPzjjz/u+4pklCYHDxw4sLS0JD89Vm3r1q1yfHl5uczLT+0lBHKNyg2W&#10;kajHG6AcfOaZZ1ZWVrq6umRekuZyCTIin5ubC+T2eLxSGY7LvLRZKbTMX7hwQeaV/0uUQaqLmpqa&#10;uLg4HpYAWUWUZ1Xa43FeWUYq4jKGi4+P931FylkWFxdlXn56rJqSn8nJSZmXCAV+jQMDA88//7xS&#10;QW/bYSkH5+fnfdwP8n+DsrJ+b4/HK52dnZWZxMREmU9KSpJ5OUYdxcqlbd++vaKiQjlSIVen/rMC&#10;gKwiarPqe15K4BI5aUboWVWWuX37tnvGfFxjdXW1HHzppZdGR0f9ZtX3/SADx9ra2kBuj7crzcjI&#10;UF4Hlp9SXOVIGaBLTQsLC5OTk+X4HTt2qFchg2Oz2czDEiCriOmsKu8sXrp0ye8VLSwsKC+rKq/i&#10;al8Edv/4TU5OjhwvYzuZf/rppwO8RiV+dru9s7PT/QarNyCQrO7atUti39PT4/f2eLvSsrIy5U1o&#10;+Xno0CGXy5+enta+li6ampqUF40BkFXEblbPnj3rMnbMy8tzuUxlM1f1vcbm5maXs/T19bmc5cKF&#10;C942EfJxjRaLRT1Shpvq+NLlBgSSVWXDKDnjyMiI79vj7Uq1q6lu4qvkWbV9+3b1GuW/DWUTJwBk&#10;FbGbVVFXV5eenm4wGBISEp555hnt+4XqAps3b5aRmVqRc+fOyTBOjpEzehvp1tbWygUmJyfLTIDX&#10;2N/fr3xup6CgYHx8XM7y3HPPud+AAD/GWlhYKMern//xdnu8Xen8/LzyjqycJONyZeHJycmioiLl&#10;0zjy34DyCZz7Dz66KqNeGU/zsATIKhCdpNYlJSWhXILycrffj81MT08/+eSTyrbNAMgqAA9khJqV&#10;lSVZff3117k3ALIKICQbN27ctGlTWVmZ9oM6AMgqAABkFQAAsgoAAMgqAABkFQAAsgoAAMgqAABk&#10;FQAAsgoAAFkFAABkFQAAsgoAAFkFAABkFQAAsgoAQKT4/wV5VXFJFY1GAAAAAElFTkSuQmCCUEsB&#10;Ai0AFAAGAAgAAAAhALGCZ7YKAQAAEwIAABMAAAAAAAAAAAAAAAAAAAAAAFtDb250ZW50X1R5cGVz&#10;XS54bWxQSwECLQAUAAYACAAAACEAOP0h/9YAAACUAQAACwAAAAAAAAAAAAAAAAA7AQAAX3JlbHMv&#10;LnJlbHNQSwECLQAUAAYACAAAACEAR09gt8ADAAB1CAAADgAAAAAAAAAAAAAAAAA6AgAAZHJzL2Uy&#10;b0RvYy54bWxQSwECLQAUAAYACAAAACEAqiYOvrwAAAAhAQAAGQAAAAAAAAAAAAAAAAAmBgAAZHJz&#10;L19yZWxzL2Uyb0RvYy54bWwucmVsc1BLAQItABQABgAIAAAAIQA3xitu3AAAAAUBAAAPAAAAAAAA&#10;AAAAAAAAABkHAABkcnMvZG93bnJldi54bWxQSwECLQAKAAAAAAAAACEAFNW9F8k3AADJNwAAFAAA&#10;AAAAAAAAAAAAAAAiCAAAZHJzL21lZGlhL2ltYWdlMS5wbmdQSwUGAAAAAAYABgB8AQAAHUAAAAAA&#10;">
                <v:shape id="תמונה 17" o:spid="_x0000_s1051" type="#_x0000_t75" style="position:absolute;top:2593;width:59436;height:47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VoxQAAANsAAAAPAAAAZHJzL2Rvd25yZXYueG1sRI9Pa8JA&#10;FMTvBb/D8oTe6qYeao1uQvEPBFoqxlavj+wzCWbfhuzWxG/fLRQ8DjPzG2aZDqYRV+pcbVnB8yQC&#10;QVxYXXOp4OuwfXoF4TyyxsYyKbiRgzQZPSwx1rbnPV1zX4oAYRejgsr7NpbSFRUZdBPbEgfvbDuD&#10;PsiulLrDPsBNI6dR9CIN1hwWKmxpVVFxyX+MgjqbH9+3Gc1P/WXnv9efK9p85Eo9joe3BQhPg7+H&#10;/9uZVjCdwd+X8ANk8gsAAP//AwBQSwECLQAUAAYACAAAACEA2+H2y+4AAACFAQAAEwAAAAAAAAAA&#10;AAAAAAAAAAAAW0NvbnRlbnRfVHlwZXNdLnhtbFBLAQItABQABgAIAAAAIQBa9CxbvwAAABUBAAAL&#10;AAAAAAAAAAAAAAAAAB8BAABfcmVscy8ucmVsc1BLAQItABQABgAIAAAAIQBtkTVoxQAAANsAAAAP&#10;AAAAAAAAAAAAAAAAAAcCAABkcnMvZG93bnJldi54bWxQSwUGAAAAAAMAAwC3AAAA+QIAAAAA&#10;">
                  <v:imagedata r:id="rId26" o:title=""/>
                </v:shape>
                <v:shape id="Text Box 2" o:spid="_x0000_s1052" type="#_x0000_t202" style="position:absolute;left:1364;width:43739;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35D872E" w14:textId="3A609167" w:rsidR="00795EC3" w:rsidRDefault="00795EC3" w:rsidP="00795EC3">
                        <w:r w:rsidRPr="004B7BD5">
                          <w:rPr>
                            <w:b/>
                            <w:bCs/>
                          </w:rPr>
                          <w:t>Figure 9:</w:t>
                        </w:r>
                        <w:r w:rsidRPr="004B7BD5">
                          <w:t xml:space="preserve"> Cox regression analysis for 4</w:t>
                        </w:r>
                        <w:r w:rsidR="00894C6D">
                          <w:t>-</w:t>
                        </w:r>
                        <w:r w:rsidRPr="004B7BD5">
                          <w:t>year survival rate according to cholecystostom</w:t>
                        </w:r>
                        <w:r>
                          <w:t>y</w:t>
                        </w:r>
                        <w:r w:rsidRPr="004B7BD5">
                          <w:t xml:space="preserve"> statu</w:t>
                        </w:r>
                        <w:r>
                          <w:t>s</w:t>
                        </w:r>
                      </w:p>
                    </w:txbxContent>
                  </v:textbox>
                </v:shape>
                <w10:anchorlock/>
              </v:group>
            </w:pict>
          </mc:Fallback>
        </mc:AlternateContent>
      </w:r>
    </w:p>
    <w:p w14:paraId="76C752B1" w14:textId="7B3FE26B" w:rsidR="00B8419C" w:rsidRDefault="00B8419C" w:rsidP="004D77B5">
      <w:pPr>
        <w:pStyle w:val="Heading1"/>
      </w:pPr>
      <w:r>
        <w:t>Discussion</w:t>
      </w:r>
    </w:p>
    <w:p w14:paraId="13B34E7D" w14:textId="2E263362" w:rsidR="00D770B5" w:rsidRDefault="00B8419C" w:rsidP="00612C54">
      <w:r>
        <w:t xml:space="preserve">The significance and </w:t>
      </w:r>
      <w:r w:rsidR="00F94FCD">
        <w:t>necessity</w:t>
      </w:r>
      <w:r>
        <w:t xml:space="preserve"> of</w:t>
      </w:r>
      <w:r w:rsidR="00F94FCD">
        <w:t xml:space="preserve"> percutaneous</w:t>
      </w:r>
      <w:r>
        <w:t xml:space="preserve"> cholecystostomy is under debate in the literature</w:t>
      </w:r>
      <w:r w:rsidR="00FF308D">
        <w:rPr>
          <w:vertAlign w:val="superscript"/>
        </w:rPr>
        <w:t>12</w:t>
      </w:r>
      <w:r>
        <w:t xml:space="preserve">. Our study revealed an association between </w:t>
      </w:r>
      <w:r w:rsidR="00F94FCD">
        <w:t>PC</w:t>
      </w:r>
      <w:r>
        <w:t xml:space="preserve"> and longer </w:t>
      </w:r>
      <w:r w:rsidR="00F94FCD">
        <w:t xml:space="preserve">hospital stays, </w:t>
      </w:r>
      <w:r w:rsidR="0076245D">
        <w:t xml:space="preserve">as well as </w:t>
      </w:r>
      <w:r w:rsidR="00F94FCD">
        <w:t>higher 30-day</w:t>
      </w:r>
      <w:r w:rsidR="0022108A">
        <w:t xml:space="preserve"> and one-year mortality. Length of hospital stay in </w:t>
      </w:r>
      <w:r w:rsidR="0076245D">
        <w:t>PC</w:t>
      </w:r>
      <w:r w:rsidR="0022108A">
        <w:t xml:space="preserve"> patients was longer by about 50% than</w:t>
      </w:r>
      <w:r w:rsidR="0076245D">
        <w:t xml:space="preserve"> the controls. This finding </w:t>
      </w:r>
      <w:r w:rsidR="0022108A">
        <w:t>has been previously described in the literature</w:t>
      </w:r>
      <w:r w:rsidR="00FF308D">
        <w:rPr>
          <w:vertAlign w:val="superscript"/>
        </w:rPr>
        <w:t>13</w:t>
      </w:r>
      <w:r w:rsidR="0022108A">
        <w:t xml:space="preserve">, and may be explained by two factors: one is the fact that procedures require longer post-procedure treatment </w:t>
      </w:r>
      <w:r w:rsidR="0076245D">
        <w:t>and follow-up</w:t>
      </w:r>
      <w:r w:rsidR="0022108A">
        <w:t xml:space="preserve">, leading to the longer hospital stays. A second possibility is that </w:t>
      </w:r>
      <w:r w:rsidR="0076245D">
        <w:t>PC</w:t>
      </w:r>
      <w:r w:rsidR="0022108A">
        <w:t xml:space="preserve"> was performed only after patients were</w:t>
      </w:r>
      <w:r w:rsidR="0076245D">
        <w:t xml:space="preserve"> deemed</w:t>
      </w:r>
      <w:r w:rsidR="0022108A">
        <w:t xml:space="preserve"> unresponsive to antibiotic therapy, and not right after initial admission. This logically led to longer hospital stays when including the time waiting for clinical response to conservative treatment. It is important to observe that in our study, similar to other studies published, patients who underwent cholecystostomy were on average more </w:t>
      </w:r>
      <w:r w:rsidR="0076245D">
        <w:t>severely</w:t>
      </w:r>
      <w:r w:rsidR="0022108A">
        <w:t xml:space="preserve"> ill, whether</w:t>
      </w:r>
      <w:r w:rsidR="0076245D">
        <w:t xml:space="preserve"> measured by</w:t>
      </w:r>
      <w:r w:rsidR="0022108A">
        <w:t xml:space="preserve"> ASA</w:t>
      </w:r>
      <w:r w:rsidR="0076245D">
        <w:t xml:space="preserve"> score, clinical status</w:t>
      </w:r>
      <w:r w:rsidR="0022108A">
        <w:t xml:space="preserve">, or abnormal </w:t>
      </w:r>
      <w:r w:rsidR="0076245D">
        <w:t>laboratory</w:t>
      </w:r>
      <w:r w:rsidR="0022108A">
        <w:t xml:space="preserve"> tests. Therefore, it is hard to deduce the actual effect of the cholecystostomy drainage procedure on hospital stay</w:t>
      </w:r>
      <w:r w:rsidR="001E24FF">
        <w:t>, a challenge that our study cannot resolve.</w:t>
      </w:r>
    </w:p>
    <w:p w14:paraId="2A8B386A" w14:textId="5F42431C" w:rsidR="00F261B6" w:rsidRDefault="00D770B5" w:rsidP="00874230">
      <w:r>
        <w:t xml:space="preserve">Additionally, we found that in the </w:t>
      </w:r>
      <w:r w:rsidR="0076245D">
        <w:t>PC</w:t>
      </w:r>
      <w:r>
        <w:t xml:space="preserve"> group, 30-day mortality versus the control group was 10 times greater across all</w:t>
      </w:r>
      <w:r w:rsidR="00874230">
        <w:t xml:space="preserve"> age groups</w:t>
      </w:r>
      <w:r>
        <w:t xml:space="preserve">, and 8 times greater in patients older than 65 years. 1-year mortality was 5 times greater in all </w:t>
      </w:r>
      <w:r w:rsidR="00874230">
        <w:t>PC</w:t>
      </w:r>
      <w:r>
        <w:t xml:space="preserve"> patients and 2.5 times greater in those older than 65 yea</w:t>
      </w:r>
      <w:r w:rsidR="00F261B6">
        <w:t xml:space="preserve">rs, compared to patients without cholecystostomy. Multi-variate analysis revealed that serum creatinine levels at admission, age, and ASA score, were the highest predictors of </w:t>
      </w:r>
      <w:r w:rsidR="00874230">
        <w:t>mortality</w:t>
      </w:r>
      <w:r w:rsidR="00F261B6">
        <w:t xml:space="preserve"> at 30 days and one </w:t>
      </w:r>
      <w:r w:rsidR="00874230">
        <w:t>year from initial cholecystitis, while PC status itself exhibited only</w:t>
      </w:r>
      <w:r w:rsidR="00894C6D">
        <w:t xml:space="preserve"> in</w:t>
      </w:r>
      <w:r w:rsidR="00874230">
        <w:t xml:space="preserve">significant associations with these measures. </w:t>
      </w:r>
      <w:r w:rsidR="00F261B6">
        <w:t xml:space="preserve">This may be due to the study sample size, since only 50 patients were treated with </w:t>
      </w:r>
      <w:r w:rsidR="00874230">
        <w:t>cholecystostomy</w:t>
      </w:r>
      <w:r w:rsidR="00F261B6">
        <w:t xml:space="preserve"> during the 6-year study period, limiting the ability to reach statistically significant conclusions.</w:t>
      </w:r>
    </w:p>
    <w:p w14:paraId="4D906559" w14:textId="66523D95" w:rsidR="00F261B6" w:rsidRDefault="00F261B6" w:rsidP="004D77B5">
      <w:r>
        <w:lastRenderedPageBreak/>
        <w:t>Creatinine</w:t>
      </w:r>
      <w:r w:rsidR="00815DF6">
        <w:t xml:space="preserve"> level</w:t>
      </w:r>
      <w:r w:rsidR="000516DD">
        <w:t xml:space="preserve"> of patients</w:t>
      </w:r>
      <w:r w:rsidR="00815DF6">
        <w:t xml:space="preserve"> at admission</w:t>
      </w:r>
      <w:r>
        <w:t xml:space="preserve"> </w:t>
      </w:r>
      <w:r w:rsidR="000516DD">
        <w:t xml:space="preserve">was </w:t>
      </w:r>
      <w:r>
        <w:t>found to be an independent predictor of mortality, independent of ASA score and patient age. A study by Hsieh also reported an association between creatinine and mortality during hospitalization</w:t>
      </w:r>
      <w:r w:rsidR="00FF308D">
        <w:rPr>
          <w:vertAlign w:val="superscript"/>
        </w:rPr>
        <w:t>13</w:t>
      </w:r>
      <w:r>
        <w:t>. Creatinine levels may indicate multiple organ system injury</w:t>
      </w:r>
      <w:r w:rsidR="00874230">
        <w:t xml:space="preserve"> </w:t>
      </w:r>
      <w:r>
        <w:t xml:space="preserve">resulting from the infectious disease process, </w:t>
      </w:r>
      <w:r w:rsidR="009C70D0">
        <w:t xml:space="preserve">although </w:t>
      </w:r>
      <w:r w:rsidR="00874230">
        <w:t>interestingly</w:t>
      </w:r>
      <w:r w:rsidR="009C70D0">
        <w:t xml:space="preserve">, creatinine levels were inversely </w:t>
      </w:r>
      <w:r w:rsidR="00874230">
        <w:t>correlated</w:t>
      </w:r>
      <w:r w:rsidR="009C70D0">
        <w:t xml:space="preserve"> with prognosis even within the normal reference ranges. </w:t>
      </w:r>
      <w:commentRangeStart w:id="7"/>
      <w:r w:rsidR="009C70D0">
        <w:t>There is a possibility that minor kidney i</w:t>
      </w:r>
      <w:r w:rsidR="00874230">
        <w:t>njury may be related to the body’</w:t>
      </w:r>
      <w:r w:rsidR="009C70D0">
        <w:t>s ability to deal with infections, a topic which may be clarified by larger studies.</w:t>
      </w:r>
      <w:commentRangeEnd w:id="7"/>
      <w:r w:rsidR="00874230">
        <w:rPr>
          <w:rStyle w:val="CommentReference"/>
        </w:rPr>
        <w:commentReference w:id="7"/>
      </w:r>
      <w:r w:rsidR="009C70D0">
        <w:t xml:space="preserve"> Curiously, disease severity at admission was not correlated with prognosis throughout hospitalization, and in multi-variate analysis did not seem to have significant </w:t>
      </w:r>
      <w:r w:rsidR="00874230">
        <w:t>effects</w:t>
      </w:r>
      <w:r w:rsidR="009C70D0">
        <w:t>.</w:t>
      </w:r>
      <w:r w:rsidR="0044623A">
        <w:t xml:space="preserve"> O</w:t>
      </w:r>
      <w:r w:rsidR="00874230">
        <w:rPr>
          <w:rFonts w:hint="cs"/>
          <w:rtl/>
        </w:rPr>
        <w:t>מ</w:t>
      </w:r>
      <w:r w:rsidR="0044623A">
        <w:t xml:space="preserve"> the other hand, tests of kidney function had significant implications on prognosis in these patients during hospital stay.</w:t>
      </w:r>
      <w:r w:rsidR="009C70D0">
        <w:t xml:space="preserve"> </w:t>
      </w:r>
    </w:p>
    <w:p w14:paraId="6D5D334C" w14:textId="476A047A" w:rsidR="009921DC" w:rsidRDefault="009921DC" w:rsidP="00874230">
      <w:commentRangeStart w:id="8"/>
      <w:r>
        <w:t>D</w:t>
      </w:r>
      <w:r w:rsidR="00E86279">
        <w:t>ata from our</w:t>
      </w:r>
      <w:r>
        <w:t xml:space="preserve"> study revealed a number of cases of cholecystostomy drainage in patients with mild disease and low ASA scores. Analysis showed that patients exhibited longer </w:t>
      </w:r>
      <w:r w:rsidR="00874230">
        <w:t xml:space="preserve">hospital stays </w:t>
      </w:r>
      <w:r w:rsidR="00B8419C">
        <w:t>even in patients with low ASA scores</w:t>
      </w:r>
      <w:commentRangeEnd w:id="8"/>
      <w:r w:rsidR="00B8419C">
        <w:rPr>
          <w:rStyle w:val="CommentReference"/>
        </w:rPr>
        <w:commentReference w:id="8"/>
      </w:r>
      <w:r w:rsidR="00B8419C">
        <w:t xml:space="preserve">. </w:t>
      </w:r>
      <w:r>
        <w:t xml:space="preserve">On one hand, cholecystostomy insertion is generally intended for use </w:t>
      </w:r>
      <w:r w:rsidR="00B8419C">
        <w:t>specifically</w:t>
      </w:r>
      <w:r>
        <w:t xml:space="preserve"> in patients with severe disease; however, though they may have been classified as </w:t>
      </w:r>
      <w:r w:rsidR="00874230">
        <w:t>“low severity</w:t>
      </w:r>
      <w:r>
        <w:t xml:space="preserve"> patients”, their lack of </w:t>
      </w:r>
      <w:r w:rsidR="00B8419C">
        <w:t>improvement</w:t>
      </w:r>
      <w:r>
        <w:t xml:space="preserve"> with </w:t>
      </w:r>
      <w:r w:rsidR="00B8419C">
        <w:t>conservative</w:t>
      </w:r>
      <w:r>
        <w:t xml:space="preserve"> measures may have been the driving factor in the decision to treat with percutaneous drainage. Even after cholecystostomy ASA score had a profound effect on duration of </w:t>
      </w:r>
      <w:r w:rsidR="00B8419C">
        <w:t>hospital</w:t>
      </w:r>
      <w:r>
        <w:t xml:space="preserve"> stay and possibly on</w:t>
      </w:r>
      <w:r w:rsidR="00874230">
        <w:t xml:space="preserve"> </w:t>
      </w:r>
      <w:r>
        <w:t>30</w:t>
      </w:r>
      <w:r w:rsidR="00874230">
        <w:t>-</w:t>
      </w:r>
      <w:r>
        <w:t>day mortality. Therefore, it is unclear whether chol</w:t>
      </w:r>
      <w:r w:rsidR="00B8419C">
        <w:t>ecy</w:t>
      </w:r>
      <w:r>
        <w:t>st</w:t>
      </w:r>
      <w:r w:rsidR="00B8419C">
        <w:t>o</w:t>
      </w:r>
      <w:r>
        <w:t>stomy is beneficial in patients defined as “mild” at admission but unresponsive to conservative treatment.</w:t>
      </w:r>
    </w:p>
    <w:p w14:paraId="7411C33E" w14:textId="2C655C4D" w:rsidR="00A42EE4" w:rsidRDefault="00F015A3" w:rsidP="00874230">
      <w:r>
        <w:t xml:space="preserve">In our study, we found that elective cholecystectomy after discharge was performed in less than 50% </w:t>
      </w:r>
      <w:r w:rsidR="00874230">
        <w:t>of patients</w:t>
      </w:r>
      <w:r>
        <w:t xml:space="preserve">; interestingly, </w:t>
      </w:r>
      <w:r w:rsidR="00E86279">
        <w:t>there was</w:t>
      </w:r>
      <w:r>
        <w:t xml:space="preserve"> no difference in rates between patients cholecystostomy group and the control group. These results are similar to those found in other studies</w:t>
      </w:r>
      <w:r w:rsidR="00FF308D">
        <w:rPr>
          <w:vertAlign w:val="superscript"/>
        </w:rPr>
        <w:t>14</w:t>
      </w:r>
      <w:r>
        <w:t xml:space="preserve">. There are a few explanations for this: </w:t>
      </w:r>
      <w:r w:rsidR="00874230">
        <w:t>one,</w:t>
      </w:r>
      <w:r>
        <w:t xml:space="preserve"> patients may have chosen not to return for elective cholecystectomy;</w:t>
      </w:r>
      <w:r w:rsidR="00874230">
        <w:t xml:space="preserve"> alternatively,</w:t>
      </w:r>
      <w:r>
        <w:t xml:space="preserve"> patients may have undergone cholecystectomy in a different medical center, </w:t>
      </w:r>
      <w:r w:rsidR="00D770B5">
        <w:t xml:space="preserve">from which data could not be collected. It is a reasonable possibility that in fact patients underwent cholecystectomy in other hospitals, or perhaps </w:t>
      </w:r>
      <w:commentRangeStart w:id="9"/>
      <w:r w:rsidR="00D770B5">
        <w:t>through private insurance/funding____</w:t>
      </w:r>
      <w:commentRangeEnd w:id="9"/>
      <w:r w:rsidR="00874230">
        <w:rPr>
          <w:rStyle w:val="CommentReference"/>
        </w:rPr>
        <w:commentReference w:id="9"/>
      </w:r>
      <w:r w:rsidR="00D770B5">
        <w:t xml:space="preserve">, leading to a misleadingly low rate of cholecystectomy in our sample. Since less than half of patients underwent the surgery at this </w:t>
      </w:r>
      <w:r w:rsidR="00E86279">
        <w:t>hospital, we</w:t>
      </w:r>
      <w:r w:rsidR="00D770B5">
        <w:t xml:space="preserve"> decided not to examine surgery duration and complications for this small sample size</w:t>
      </w:r>
      <w:r w:rsidR="00874230">
        <w:t>.</w:t>
      </w:r>
    </w:p>
    <w:p w14:paraId="7446CE96" w14:textId="650BA421" w:rsidR="00A42EE4" w:rsidRPr="00D65B30" w:rsidRDefault="00A42EE4" w:rsidP="004D77B5">
      <w:pPr>
        <w:pStyle w:val="Heading2"/>
      </w:pPr>
      <w:r w:rsidRPr="00D65B30">
        <w:t>Study limitations</w:t>
      </w:r>
    </w:p>
    <w:p w14:paraId="30CFC91C" w14:textId="7A5A1E59" w:rsidR="00A42EE4" w:rsidRDefault="00A42EE4" w:rsidP="00874230">
      <w:r>
        <w:t xml:space="preserve">As with any retrospective study, the possibility of selection bias is always present, and very </w:t>
      </w:r>
      <w:r w:rsidR="00E86279">
        <w:t>difficult to accurately measure</w:t>
      </w:r>
      <w:r>
        <w:t>. Additionally, our sample size was relatively small, which may reduce the accuracy of our regression models – larger samples may better estimate the effect size and statistical significance of the intervention’s effect on prognosis. These difficulties may be remedied with a large-sample, prospective, randomized trial</w:t>
      </w:r>
      <w:r w:rsidR="00874230">
        <w:t xml:space="preserve"> of the effects of the colostomy procedure</w:t>
      </w:r>
      <w:r>
        <w:t>.</w:t>
      </w:r>
      <w:r w:rsidR="00F015A3">
        <w:t xml:space="preserve"> </w:t>
      </w:r>
    </w:p>
    <w:p w14:paraId="28DB59E9" w14:textId="765491C4" w:rsidR="00A42EE4" w:rsidRDefault="00E86279" w:rsidP="00E86279">
      <w:pPr>
        <w:pStyle w:val="Heading1"/>
      </w:pPr>
      <w:r>
        <w:t>Conclusions</w:t>
      </w:r>
    </w:p>
    <w:p w14:paraId="563655B4" w14:textId="1099B420" w:rsidR="00E86279" w:rsidRDefault="00A42EE4" w:rsidP="005C33AD">
      <w:pPr>
        <w:rPr>
          <w:rFonts w:asciiTheme="majorHAnsi" w:eastAsiaTheme="majorEastAsia" w:hAnsiTheme="majorHAnsi" w:cstheme="majorBidi"/>
          <w:color w:val="2F5496" w:themeColor="accent1" w:themeShade="BF"/>
          <w:sz w:val="32"/>
          <w:szCs w:val="32"/>
        </w:rPr>
      </w:pPr>
      <w:r>
        <w:t xml:space="preserve">In our study, we found that percutaneous cholecystostomy and drainage for acute cholecystitis patients is associated with worse prognosis, longer hospitalization times, and increased 30-day and one-year mortality. Additionally, higher age and ASA score were associated with multiple measures of adverse outcomes in acute </w:t>
      </w:r>
      <w:r w:rsidR="00E86279">
        <w:t>cholecystitis</w:t>
      </w:r>
      <w:r>
        <w:t xml:space="preserve"> patients.</w:t>
      </w:r>
      <w:bookmarkStart w:id="10" w:name="_GoBack"/>
      <w:bookmarkEnd w:id="10"/>
      <w:r w:rsidR="00E86279">
        <w:br w:type="page"/>
      </w:r>
    </w:p>
    <w:p w14:paraId="7CA7B816" w14:textId="0BE7C9D3" w:rsidR="00E86279" w:rsidRDefault="00E86279" w:rsidP="00E86279">
      <w:pPr>
        <w:pStyle w:val="Heading1"/>
      </w:pPr>
      <w:r>
        <w:lastRenderedPageBreak/>
        <w:t>References</w:t>
      </w:r>
    </w:p>
    <w:p w14:paraId="3C6192F7" w14:textId="7EC0DCDE" w:rsidR="00E86279" w:rsidRDefault="00E86279" w:rsidP="00E86279">
      <w:pPr>
        <w:pStyle w:val="ListParagraph"/>
        <w:numPr>
          <w:ilvl w:val="0"/>
          <w:numId w:val="5"/>
        </w:numPr>
      </w:pPr>
      <w:r>
        <w:t>http://emedicine.medscape.com/article/171886-overview#a0156 Accessed on 06.05.2015</w:t>
      </w:r>
    </w:p>
    <w:p w14:paraId="064FEA32" w14:textId="3D444948" w:rsidR="00E86279" w:rsidRDefault="00E86279" w:rsidP="00E86279">
      <w:pPr>
        <w:pStyle w:val="ListParagraph"/>
        <w:numPr>
          <w:ilvl w:val="0"/>
          <w:numId w:val="5"/>
        </w:numPr>
      </w:pPr>
      <w:r>
        <w:t>Katz DS, Rosen MP, Blake MA, et al; and Expert Panel on Gastrointestinal Imaging. ACR Appropriateness Criteria® right upper quadrant pain. Reston (VA): American College of Radiology (ACR); 2010:</w:t>
      </w:r>
    </w:p>
    <w:p w14:paraId="42D8392F" w14:textId="1B2F90CF" w:rsidR="00E86279" w:rsidRDefault="00E86279" w:rsidP="00E86279">
      <w:pPr>
        <w:pStyle w:val="ListParagraph"/>
        <w:numPr>
          <w:ilvl w:val="0"/>
          <w:numId w:val="5"/>
        </w:numPr>
      </w:pPr>
      <w:r>
        <w:t>Takada T, Strasberg SM, Solomkin JS, et al.  Tokyo Guidelines Revision Committee. TG13: Updated Tokyo Guidelines for the management of acute cholangitis and cholecystitis. J Hepatobiliary Pancreat Sci. 2013 ;20(1):1-7.</w:t>
      </w:r>
    </w:p>
    <w:p w14:paraId="7C16A2AD" w14:textId="7938B49A" w:rsidR="00E86279" w:rsidRDefault="00E86279" w:rsidP="00E86279">
      <w:pPr>
        <w:pStyle w:val="ListParagraph"/>
        <w:numPr>
          <w:ilvl w:val="0"/>
          <w:numId w:val="5"/>
        </w:numPr>
      </w:pPr>
      <w:r>
        <w:t xml:space="preserve">Lo CM, Liu CL, Fan ST, et al. Prospective randomized study of early versus delayed laparoscopic cholecystectomy for acute cholecystitis. Ann Surg. Apr 1998;227(4):461-7. </w:t>
      </w:r>
    </w:p>
    <w:p w14:paraId="0B6BC88D" w14:textId="06078405" w:rsidR="00E86279" w:rsidRDefault="00E86279" w:rsidP="00E86279">
      <w:pPr>
        <w:pStyle w:val="ListParagraph"/>
        <w:numPr>
          <w:ilvl w:val="0"/>
          <w:numId w:val="5"/>
        </w:numPr>
      </w:pPr>
      <w:r>
        <w:t xml:space="preserve">Cox MR, Wilson TG, Luck AJ, et al. Laparoscopic cholecystectomy for acute inflammation of the gallbladder. Ann Surg. Nov 1993;218(5):630-4. </w:t>
      </w:r>
    </w:p>
    <w:p w14:paraId="40F98CE2" w14:textId="3BD2C38A" w:rsidR="00E86279" w:rsidRDefault="00E86279" w:rsidP="00E86279">
      <w:pPr>
        <w:pStyle w:val="ListParagraph"/>
        <w:numPr>
          <w:ilvl w:val="0"/>
          <w:numId w:val="5"/>
        </w:numPr>
        <w:rPr>
          <w:noProof/>
        </w:rPr>
      </w:pPr>
      <w:r>
        <w:t>Siddiqui T</w:t>
      </w:r>
      <w:r>
        <w:rPr>
          <w:noProof/>
        </w:rPr>
        <w:t xml:space="preserve">, MacDonald A, Chong PS, et al. Early versus delayed laparoscopic cholecystectomy for acute cholecystitis: a meta-analysis of randomized clinical trials. Am J Surg. Jan 2008;195(1):40-7. </w:t>
      </w:r>
    </w:p>
    <w:p w14:paraId="409E94C4" w14:textId="2B29EEAE" w:rsidR="00E86279" w:rsidRDefault="00E86279" w:rsidP="00E86279">
      <w:pPr>
        <w:pStyle w:val="ListParagraph"/>
        <w:numPr>
          <w:ilvl w:val="0"/>
          <w:numId w:val="5"/>
        </w:numPr>
        <w:rPr>
          <w:noProof/>
        </w:rPr>
      </w:pPr>
      <w:r>
        <w:rPr>
          <w:noProof/>
        </w:rPr>
        <w:t xml:space="preserve">Silberfein EJ, Zhou W, Kougias P, et al. Percutaneous cholecystostomy for acute cholecystitis in high-risk patients: experience of a surgeon-initiated interventional program. Am J Surg. Nov 2007;194(5):672-7. </w:t>
      </w:r>
    </w:p>
    <w:p w14:paraId="1EBDF4CD" w14:textId="3E8EF11E" w:rsidR="00E86279" w:rsidRDefault="00E86279" w:rsidP="00E86279">
      <w:pPr>
        <w:pStyle w:val="ListParagraph"/>
        <w:numPr>
          <w:ilvl w:val="0"/>
          <w:numId w:val="5"/>
        </w:numPr>
        <w:rPr>
          <w:noProof/>
        </w:rPr>
      </w:pPr>
      <w:r>
        <w:rPr>
          <w:noProof/>
        </w:rPr>
        <w:t>Overby DW, Apelgren KN, Richardson W, Fanelli R. SAGES guidelines for the clinical application of laparoscopic biliary tract surgery. Surg Endosc. Oct 2010;24(10):2368-86. [Guideline]</w:t>
      </w:r>
    </w:p>
    <w:p w14:paraId="78652EE4" w14:textId="42E7268D" w:rsidR="00E86279" w:rsidRDefault="00E86279" w:rsidP="00E86279">
      <w:pPr>
        <w:pStyle w:val="ListParagraph"/>
        <w:numPr>
          <w:ilvl w:val="0"/>
          <w:numId w:val="5"/>
        </w:numPr>
        <w:rPr>
          <w:noProof/>
        </w:rPr>
      </w:pPr>
      <w:r>
        <w:rPr>
          <w:noProof/>
        </w:rPr>
        <w:t>Viste A, Jensen D, Angelsen J, Hoem D. Percutaneous cholecystostomy in acute cholecystitis; a retrospective analysis of a large series of 104 patients. BMC Surg. 2015 Mar 8;15(1):17.</w:t>
      </w:r>
    </w:p>
    <w:p w14:paraId="5CC4D989" w14:textId="42D6CCA0" w:rsidR="00E86279" w:rsidRDefault="00E86279" w:rsidP="00E86279">
      <w:pPr>
        <w:pStyle w:val="ListParagraph"/>
        <w:numPr>
          <w:ilvl w:val="0"/>
          <w:numId w:val="5"/>
        </w:numPr>
        <w:rPr>
          <w:noProof/>
        </w:rPr>
      </w:pPr>
      <w:r>
        <w:rPr>
          <w:noProof/>
        </w:rPr>
        <w:t>Rahnemai-Azar AA, Rahnemaiazar AA, Naghshizadian R, Cohen JH, Naghshizadian I, Gilchrist BF, Farkas DT. Minimally invasive management of biliary tract injury following percutaneous nephrolithotomy. Nephrourol Mon. 2014 Sep 5;6(5):e19943</w:t>
      </w:r>
    </w:p>
    <w:p w14:paraId="06DA4E97" w14:textId="4EF123BE" w:rsidR="00E86279" w:rsidRDefault="00E86279" w:rsidP="00E86279">
      <w:pPr>
        <w:pStyle w:val="ListParagraph"/>
        <w:numPr>
          <w:ilvl w:val="0"/>
          <w:numId w:val="5"/>
        </w:numPr>
        <w:rPr>
          <w:noProof/>
        </w:rPr>
      </w:pPr>
      <w:r>
        <w:rPr>
          <w:noProof/>
        </w:rPr>
        <w:t xml:space="preserve">Kamalapurkar D, Pang TC, Siriwardhane M, Hollands M, Johnston E, Pleass H, Richardson A, Lam VW. Index cholecystectomy in grade II and III acute calculous cholecystitis is feasible and safe. ANZ J Surg. 2015 Feb 2. </w:t>
      </w:r>
    </w:p>
    <w:p w14:paraId="0005A6F7" w14:textId="0B51FD0E" w:rsidR="00E86279" w:rsidRDefault="00E86279" w:rsidP="00E86279">
      <w:pPr>
        <w:pStyle w:val="ListParagraph"/>
        <w:numPr>
          <w:ilvl w:val="0"/>
          <w:numId w:val="5"/>
        </w:numPr>
        <w:rPr>
          <w:noProof/>
        </w:rPr>
      </w:pPr>
      <w:r>
        <w:rPr>
          <w:noProof/>
        </w:rPr>
        <w:t>Wang CH, Wu CY, Yang JC, Lien WC, Wang HP, Liu KL, Wu YM, Chen SC. Long-Term Outcomes of Patients with Acute Cholecystitis after Successful Percutaneous Cholecystostomy Treatment and the Risk Factors for Recurrence: A Decade Experience at a Single Center. PLoS One. 2016 Jan 28;11(1): Epub ahead of print</w:t>
      </w:r>
    </w:p>
    <w:p w14:paraId="334CFEF3" w14:textId="77777777" w:rsidR="00FF308D" w:rsidRPr="00A42EE4" w:rsidRDefault="00FF308D" w:rsidP="00FF308D">
      <w:pPr>
        <w:pStyle w:val="ListParagraph"/>
        <w:numPr>
          <w:ilvl w:val="0"/>
          <w:numId w:val="5"/>
        </w:numPr>
        <w:rPr>
          <w:noProof/>
        </w:rPr>
      </w:pPr>
      <w:r>
        <w:rPr>
          <w:noProof/>
        </w:rPr>
        <w:t>Hsieh YC, Chen CK, Su CW, Chan CC, Huo TI, Liu CJ, Fang WL, Lee KC, Lin HC. Outcome after percutaneous cholecystostomy for acute cholecystitis: a single-center experience. J Gastrointest Surg. 2012 Oct;16(10):1860-8.</w:t>
      </w:r>
    </w:p>
    <w:p w14:paraId="73E2F65E" w14:textId="07428240" w:rsidR="00E86279" w:rsidRDefault="00E86279" w:rsidP="00E86279">
      <w:pPr>
        <w:pStyle w:val="ListParagraph"/>
        <w:numPr>
          <w:ilvl w:val="0"/>
          <w:numId w:val="5"/>
        </w:numPr>
        <w:rPr>
          <w:noProof/>
        </w:rPr>
      </w:pPr>
      <w:r>
        <w:rPr>
          <w:noProof/>
        </w:rPr>
        <w:t>Popowicz A, Lundell L, Gerber P, Gustafsson U, Pieniowski E, Sinabulya H, Sjödahl K, Tsekrekos A, Sandblom G. Cholecystostomy as Bridge to Surgery and as Definitive Treatment or Acute Cholecystectomy in Patients with Acute Cholecystitis. Gastroenterol Res Pract. 2016; Epub 2015 Dec 29.</w:t>
      </w:r>
    </w:p>
    <w:p w14:paraId="0E610EC0" w14:textId="44DBB0B3" w:rsidR="00A42EE4" w:rsidRDefault="00A42EE4" w:rsidP="004D77B5"/>
    <w:p w14:paraId="3B16A4E2" w14:textId="6C202D84" w:rsidR="00A42EE4" w:rsidRDefault="00A42EE4" w:rsidP="004D77B5"/>
    <w:p w14:paraId="70665659" w14:textId="214FB744" w:rsidR="00A42EE4" w:rsidRPr="00457B32" w:rsidRDefault="00A42EE4" w:rsidP="004D77B5"/>
    <w:sectPr w:rsidR="00A42EE4" w:rsidRPr="00457B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7-07-22T18:03:00Z" w:initials="ib">
    <w:p w14:paraId="7E6698E9" w14:textId="4BBCA2FE" w:rsidR="006D17FA" w:rsidRDefault="006D17FA" w:rsidP="00F94FCD">
      <w:pPr>
        <w:pStyle w:val="CommentText"/>
        <w:bidi/>
        <w:rPr>
          <w:rFonts w:hint="cs"/>
          <w:rtl/>
        </w:rPr>
      </w:pPr>
      <w:r>
        <w:rPr>
          <w:rStyle w:val="CommentReference"/>
        </w:rPr>
        <w:annotationRef/>
      </w:r>
      <w:r>
        <w:rPr>
          <w:rFonts w:hint="cs"/>
          <w:rtl/>
        </w:rPr>
        <w:t>יש מקור לזה?</w:t>
      </w:r>
    </w:p>
  </w:comment>
  <w:comment w:id="1" w:author="ilan ben-ami" w:date="2017-07-22T18:12:00Z" w:initials="ib">
    <w:p w14:paraId="070D83E5" w14:textId="489302FD" w:rsidR="006D17FA" w:rsidRPr="00F70FD7" w:rsidRDefault="006D17FA" w:rsidP="00F94FCD">
      <w:pPr>
        <w:pStyle w:val="CommentText"/>
        <w:bidi/>
        <w:rPr>
          <w:rFonts w:hint="cs"/>
          <w:rtl/>
          <w:lang w:val="ru-RU"/>
        </w:rPr>
      </w:pPr>
      <w:r>
        <w:rPr>
          <w:rStyle w:val="CommentReference"/>
        </w:rPr>
        <w:annotationRef/>
      </w:r>
      <w:r>
        <w:rPr>
          <w:rFonts w:hint="cs"/>
          <w:rtl/>
        </w:rPr>
        <w:t>פניצילינים מתקדמים?</w:t>
      </w:r>
      <w:r>
        <w:rPr>
          <w:rFonts w:hint="cs"/>
          <w:rtl/>
          <w:lang w:val="ru-RU"/>
        </w:rPr>
        <w:t xml:space="preserve"> לא ברור מה ההגדרה</w:t>
      </w:r>
    </w:p>
  </w:comment>
  <w:comment w:id="2" w:author="ilan ben-ami" w:date="2017-07-22T21:42:00Z" w:initials="ib">
    <w:p w14:paraId="612C7CBD" w14:textId="390474C7" w:rsidR="006D17FA" w:rsidRDefault="006D17FA" w:rsidP="00D65B30">
      <w:pPr>
        <w:pStyle w:val="CommentText"/>
        <w:bidi/>
        <w:rPr>
          <w:rFonts w:hint="cs"/>
          <w:rtl/>
        </w:rPr>
      </w:pPr>
      <w:r>
        <w:rPr>
          <w:rStyle w:val="CommentReference"/>
        </w:rPr>
        <w:annotationRef/>
      </w:r>
      <w:r>
        <w:rPr>
          <w:rFonts w:hint="cs"/>
          <w:rtl/>
        </w:rPr>
        <w:t xml:space="preserve">"שליפה עצמונית" </w:t>
      </w:r>
      <w:r>
        <w:rPr>
          <w:rtl/>
        </w:rPr>
        <w:t>–</w:t>
      </w:r>
      <w:r>
        <w:rPr>
          <w:rFonts w:hint="cs"/>
          <w:rtl/>
        </w:rPr>
        <w:t xml:space="preserve"> לא ברור במה מדובר, שהמטופל שולף את הנקז? בכוונה בו בטעות? או שהנקז יוצא בטעות בעצמו?</w:t>
      </w:r>
    </w:p>
  </w:comment>
  <w:comment w:id="3" w:author="ilan ben-ami" w:date="2017-07-23T00:55:00Z" w:initials="ib">
    <w:p w14:paraId="4F99A377" w14:textId="14C1F5C0" w:rsidR="00051730" w:rsidRDefault="00051730">
      <w:pPr>
        <w:pStyle w:val="CommentText"/>
        <w:rPr>
          <w:rFonts w:hint="cs"/>
          <w:rtl/>
        </w:rPr>
      </w:pPr>
      <w:r>
        <w:rPr>
          <w:rStyle w:val="CommentReference"/>
        </w:rPr>
        <w:annotationRef/>
      </w:r>
      <w:r>
        <w:rPr>
          <w:rFonts w:hint="cs"/>
          <w:rtl/>
        </w:rPr>
        <w:t>אני חושש שיש שגיאה במספרים אלה</w:t>
      </w:r>
    </w:p>
  </w:comment>
  <w:comment w:id="4" w:author="ilan ben-ami" w:date="2017-07-23T00:31:00Z" w:initials="ib">
    <w:p w14:paraId="26C92065" w14:textId="6FE041CE" w:rsidR="004F38B1" w:rsidRDefault="004F38B1">
      <w:pPr>
        <w:pStyle w:val="CommentText"/>
      </w:pPr>
      <w:r>
        <w:rPr>
          <w:rStyle w:val="CommentReference"/>
        </w:rPr>
        <w:annotationRef/>
      </w:r>
      <w:r>
        <w:t>Which figure?</w:t>
      </w:r>
    </w:p>
  </w:comment>
  <w:comment w:id="5" w:author="ilan ben-ami" w:date="2017-07-22T17:06:00Z" w:initials="ib">
    <w:p w14:paraId="031B01A3" w14:textId="26A093DA" w:rsidR="006D17FA" w:rsidRDefault="006D17FA" w:rsidP="00F94FCD">
      <w:pPr>
        <w:pStyle w:val="CommentText"/>
        <w:rPr>
          <w:rFonts w:hint="cs"/>
          <w:rtl/>
        </w:rPr>
      </w:pPr>
      <w:r>
        <w:rPr>
          <w:rStyle w:val="CommentReference"/>
        </w:rPr>
        <w:annotationRef/>
      </w:r>
      <w:r>
        <w:rPr>
          <w:rFonts w:hint="cs"/>
          <w:rtl/>
        </w:rPr>
        <w:t>לא ברור על איזה מקרים מדובר</w:t>
      </w:r>
    </w:p>
  </w:comment>
  <w:comment w:id="6" w:author="ilan ben-ami" w:date="2017-07-22T16:37:00Z" w:initials="ib">
    <w:p w14:paraId="25E83171" w14:textId="1AAA291B" w:rsidR="006D17FA" w:rsidRPr="001E24FF" w:rsidRDefault="006D17FA" w:rsidP="00F94FCD">
      <w:pPr>
        <w:pStyle w:val="CommentText"/>
        <w:bidi/>
        <w:rPr>
          <w:rtl/>
        </w:rPr>
      </w:pPr>
      <w:r>
        <w:rPr>
          <w:rFonts w:hint="cs"/>
          <w:rtl/>
        </w:rPr>
        <w:t>לפי הבנתי הכוונה כאן של ערכי</w:t>
      </w:r>
      <w:r>
        <w:rPr>
          <w:rStyle w:val="CommentReference"/>
        </w:rPr>
        <w:annotationRef/>
      </w:r>
      <w:r>
        <w:rPr>
          <w:rFonts w:hint="cs"/>
          <w:rtl/>
        </w:rPr>
        <w:t xml:space="preserve"> "בסיס" הם ערכים בקבלה, תורגם ל-</w:t>
      </w:r>
      <w:r>
        <w:t>initial</w:t>
      </w:r>
      <w:r>
        <w:rPr>
          <w:rFonts w:hint="cs"/>
          <w:rtl/>
        </w:rPr>
        <w:t xml:space="preserve"> על מנת לא לבלבל בין ערכי בסיס לפני המחלה (למשל בבדיקות בקהילה)</w:t>
      </w:r>
    </w:p>
  </w:comment>
  <w:comment w:id="7" w:author="ilan ben-ami" w:date="2017-07-22T23:16:00Z" w:initials="ib">
    <w:p w14:paraId="1528CA32" w14:textId="3033749A" w:rsidR="00874230" w:rsidRDefault="00874230" w:rsidP="00874230">
      <w:pPr>
        <w:pStyle w:val="CommentText"/>
        <w:bidi/>
        <w:rPr>
          <w:rFonts w:hint="cs"/>
          <w:rtl/>
        </w:rPr>
      </w:pPr>
      <w:r>
        <w:rPr>
          <w:rStyle w:val="CommentReference"/>
        </w:rPr>
        <w:annotationRef/>
      </w:r>
      <w:r>
        <w:rPr>
          <w:rFonts w:hint="cs"/>
          <w:rtl/>
        </w:rPr>
        <w:t>לא מובן בדיוק על מה מדובר פה</w:t>
      </w:r>
    </w:p>
  </w:comment>
  <w:comment w:id="8" w:author="ilan ben-ami" w:date="2017-07-22T16:11:00Z" w:initials="ib">
    <w:p w14:paraId="4FF6AA8A" w14:textId="77777777" w:rsidR="006D17FA" w:rsidRDefault="006D17FA" w:rsidP="00F94FCD">
      <w:pPr>
        <w:pStyle w:val="CommentText"/>
        <w:bidi/>
        <w:rPr>
          <w:rtl/>
        </w:rPr>
      </w:pPr>
      <w:r>
        <w:rPr>
          <w:rStyle w:val="CommentReference"/>
        </w:rPr>
        <w:annotationRef/>
      </w:r>
      <w:r>
        <w:rPr>
          <w:rFonts w:hint="cs"/>
          <w:rtl/>
        </w:rPr>
        <w:t xml:space="preserve">לא ברור במקור </w:t>
      </w:r>
      <w:r>
        <w:rPr>
          <w:rtl/>
        </w:rPr>
        <w:t>–</w:t>
      </w:r>
      <w:r>
        <w:rPr>
          <w:rFonts w:hint="cs"/>
          <w:rtl/>
        </w:rPr>
        <w:t xml:space="preserve"> </w:t>
      </w:r>
    </w:p>
    <w:p w14:paraId="2ED244DA" w14:textId="0995B969" w:rsidR="006D17FA" w:rsidRDefault="006D17FA" w:rsidP="00F94FCD">
      <w:pPr>
        <w:pStyle w:val="CommentText"/>
        <w:bidi/>
        <w:rPr>
          <w:rtl/>
        </w:rPr>
      </w:pPr>
      <w:r>
        <w:rPr>
          <w:rFonts w:hint="cs"/>
          <w:rtl/>
        </w:rPr>
        <w:t>"ניתוח נתונים רק בקרב חולים שלהם הוחדר הנקז.... ארוך יותר משל החולים ללא החדרת נקז..."</w:t>
      </w:r>
    </w:p>
    <w:p w14:paraId="3902E536" w14:textId="2B60DE14" w:rsidR="006D17FA" w:rsidRDefault="006D17FA" w:rsidP="00F94FCD">
      <w:pPr>
        <w:pStyle w:val="CommentText"/>
        <w:bidi/>
        <w:rPr>
          <w:rtl/>
        </w:rPr>
      </w:pPr>
      <w:r>
        <w:rPr>
          <w:rFonts w:hint="cs"/>
          <w:rtl/>
        </w:rPr>
        <w:t>האם הניתוח משווה בין שתי קבוצות או שהוא בוצע "רק בקרב חולים שלהם הוחדר נקז"?</w:t>
      </w:r>
    </w:p>
  </w:comment>
  <w:comment w:id="9" w:author="ilan ben-ami" w:date="2017-07-22T23:12:00Z" w:initials="ib">
    <w:p w14:paraId="3BD87E08" w14:textId="607B06BB" w:rsidR="00874230" w:rsidRDefault="00874230" w:rsidP="00874230">
      <w:pPr>
        <w:pStyle w:val="CommentText"/>
        <w:bidi/>
        <w:rPr>
          <w:rFonts w:hint="cs"/>
          <w:rtl/>
        </w:rPr>
      </w:pPr>
      <w:r>
        <w:rPr>
          <w:rStyle w:val="CommentReference"/>
        </w:rPr>
        <w:annotationRef/>
      </w:r>
      <w:r>
        <w:rPr>
          <w:rFonts w:hint="cs"/>
          <w:rtl/>
        </w:rPr>
        <w:t>צריך להגדיר "פרטי", והמשמעות בהקשר זה (למה לא יהיה מידע על פרוצדורה שנעשית באותו בית חולים באופן "פרטי"?)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6698E9" w15:done="0"/>
  <w15:commentEx w15:paraId="070D83E5" w15:done="0"/>
  <w15:commentEx w15:paraId="612C7CBD" w15:done="0"/>
  <w15:commentEx w15:paraId="4F99A377" w15:done="0"/>
  <w15:commentEx w15:paraId="26C92065" w15:done="0"/>
  <w15:commentEx w15:paraId="031B01A3" w15:done="0"/>
  <w15:commentEx w15:paraId="25E83171" w15:done="0"/>
  <w15:commentEx w15:paraId="1528CA32" w15:done="0"/>
  <w15:commentEx w15:paraId="3902E536" w15:done="0"/>
  <w15:commentEx w15:paraId="3BD87E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698E9" w16cid:durableId="1D1E11D4"/>
  <w16cid:commentId w16cid:paraId="070D83E5" w16cid:durableId="1D1E1417"/>
  <w16cid:commentId w16cid:paraId="612C7CBD" w16cid:durableId="1D1E4548"/>
  <w16cid:commentId w16cid:paraId="4F99A377" w16cid:durableId="1D1E729D"/>
  <w16cid:commentId w16cid:paraId="26C92065" w16cid:durableId="1D1E6CFC"/>
  <w16cid:commentId w16cid:paraId="031B01A3" w16cid:durableId="1D1E04B3"/>
  <w16cid:commentId w16cid:paraId="25E83171" w16cid:durableId="1D1DFDC7"/>
  <w16cid:commentId w16cid:paraId="1528CA32" w16cid:durableId="1D1E5B51"/>
  <w16cid:commentId w16cid:paraId="3902E536" w16cid:durableId="1D1DF7CD"/>
  <w16cid:commentId w16cid:paraId="3BD87E08" w16cid:durableId="1D1E5A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BDC"/>
    <w:multiLevelType w:val="hybridMultilevel"/>
    <w:tmpl w:val="94F28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40636"/>
    <w:multiLevelType w:val="hybridMultilevel"/>
    <w:tmpl w:val="E8220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1621B"/>
    <w:multiLevelType w:val="hybridMultilevel"/>
    <w:tmpl w:val="DE863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81700"/>
    <w:multiLevelType w:val="hybridMultilevel"/>
    <w:tmpl w:val="9A368310"/>
    <w:lvl w:ilvl="0" w:tplc="CA4C7AB2">
      <w:start w:val="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lvlOverride w:ilvl="2"/>
    <w:lvlOverride w:ilvl="3"/>
    <w:lvlOverride w:ilvl="4"/>
    <w:lvlOverride w:ilvl="5"/>
    <w:lvlOverride w:ilvl="6"/>
    <w:lvlOverride w:ilvl="7"/>
    <w:lvlOverride w:ilvl="8"/>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5E"/>
    <w:rsid w:val="00014094"/>
    <w:rsid w:val="000516DD"/>
    <w:rsid w:val="00051730"/>
    <w:rsid w:val="000B6997"/>
    <w:rsid w:val="000F64BD"/>
    <w:rsid w:val="00107D35"/>
    <w:rsid w:val="001B581C"/>
    <w:rsid w:val="001E24FF"/>
    <w:rsid w:val="00217809"/>
    <w:rsid w:val="0022108A"/>
    <w:rsid w:val="00256325"/>
    <w:rsid w:val="002A4E0C"/>
    <w:rsid w:val="002B136D"/>
    <w:rsid w:val="002C6925"/>
    <w:rsid w:val="002F7E3A"/>
    <w:rsid w:val="00346444"/>
    <w:rsid w:val="00374DBF"/>
    <w:rsid w:val="00380C57"/>
    <w:rsid w:val="003E010B"/>
    <w:rsid w:val="0044623A"/>
    <w:rsid w:val="00457B32"/>
    <w:rsid w:val="00471672"/>
    <w:rsid w:val="004A157A"/>
    <w:rsid w:val="004D77B5"/>
    <w:rsid w:val="004F38B1"/>
    <w:rsid w:val="0050123B"/>
    <w:rsid w:val="005A3202"/>
    <w:rsid w:val="005C33AD"/>
    <w:rsid w:val="005D3BC7"/>
    <w:rsid w:val="006066A6"/>
    <w:rsid w:val="00612C54"/>
    <w:rsid w:val="006A656C"/>
    <w:rsid w:val="006D17FA"/>
    <w:rsid w:val="006D287A"/>
    <w:rsid w:val="00722309"/>
    <w:rsid w:val="0076245D"/>
    <w:rsid w:val="00767BBD"/>
    <w:rsid w:val="00773CF5"/>
    <w:rsid w:val="00795EC3"/>
    <w:rsid w:val="007F31C6"/>
    <w:rsid w:val="00815DF6"/>
    <w:rsid w:val="00874230"/>
    <w:rsid w:val="00894C6D"/>
    <w:rsid w:val="008E272C"/>
    <w:rsid w:val="009921DC"/>
    <w:rsid w:val="009C469B"/>
    <w:rsid w:val="009C70D0"/>
    <w:rsid w:val="009E0FD1"/>
    <w:rsid w:val="00A12F97"/>
    <w:rsid w:val="00A24890"/>
    <w:rsid w:val="00A4282C"/>
    <w:rsid w:val="00A42EE4"/>
    <w:rsid w:val="00A432F8"/>
    <w:rsid w:val="00A56B1B"/>
    <w:rsid w:val="00AC0134"/>
    <w:rsid w:val="00B215C3"/>
    <w:rsid w:val="00B47880"/>
    <w:rsid w:val="00B52C84"/>
    <w:rsid w:val="00B8419C"/>
    <w:rsid w:val="00BB659A"/>
    <w:rsid w:val="00BF7FE4"/>
    <w:rsid w:val="00C32A88"/>
    <w:rsid w:val="00C36968"/>
    <w:rsid w:val="00C63DD9"/>
    <w:rsid w:val="00CC2623"/>
    <w:rsid w:val="00D30025"/>
    <w:rsid w:val="00D65B30"/>
    <w:rsid w:val="00D770B5"/>
    <w:rsid w:val="00DC66A8"/>
    <w:rsid w:val="00DD1BA8"/>
    <w:rsid w:val="00DE3157"/>
    <w:rsid w:val="00E45A5E"/>
    <w:rsid w:val="00E65AFB"/>
    <w:rsid w:val="00E86279"/>
    <w:rsid w:val="00F015A3"/>
    <w:rsid w:val="00F261B6"/>
    <w:rsid w:val="00F34B94"/>
    <w:rsid w:val="00F70FD7"/>
    <w:rsid w:val="00F94FCD"/>
    <w:rsid w:val="00FF3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38C999"/>
  <w15:chartTrackingRefBased/>
  <w15:docId w15:val="{730D340B-67BB-487E-8E53-3DFB18C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FCD"/>
  </w:style>
  <w:style w:type="paragraph" w:styleId="Heading1">
    <w:name w:val="heading 1"/>
    <w:basedOn w:val="Normal"/>
    <w:next w:val="Normal"/>
    <w:link w:val="Heading1Char"/>
    <w:uiPriority w:val="9"/>
    <w:qFormat/>
    <w:rsid w:val="00457B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B30"/>
    <w:pPr>
      <w:keepNext/>
      <w:keepLines/>
      <w:spacing w:before="4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94FCD"/>
    <w:pPr>
      <w:keepNext/>
      <w:keepLines/>
      <w:spacing w:before="40" w:after="0"/>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672"/>
    <w:pPr>
      <w:ind w:left="720"/>
      <w:contextualSpacing/>
    </w:pPr>
  </w:style>
  <w:style w:type="character" w:customStyle="1" w:styleId="Heading2Char">
    <w:name w:val="Heading 2 Char"/>
    <w:basedOn w:val="DefaultParagraphFont"/>
    <w:link w:val="Heading2"/>
    <w:uiPriority w:val="9"/>
    <w:rsid w:val="00D65B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94FCD"/>
    <w:rPr>
      <w:rFonts w:asciiTheme="majorHAnsi" w:eastAsiaTheme="majorEastAsia" w:hAnsiTheme="majorHAnsi" w:cstheme="majorBidi"/>
      <w:b/>
      <w:bCs/>
      <w:sz w:val="24"/>
      <w:szCs w:val="24"/>
    </w:rPr>
  </w:style>
  <w:style w:type="paragraph" w:styleId="NoSpacing">
    <w:name w:val="No Spacing"/>
    <w:uiPriority w:val="1"/>
    <w:qFormat/>
    <w:rsid w:val="00457B32"/>
    <w:pPr>
      <w:spacing w:after="0" w:line="240" w:lineRule="auto"/>
    </w:pPr>
  </w:style>
  <w:style w:type="character" w:customStyle="1" w:styleId="Heading1Char">
    <w:name w:val="Heading 1 Char"/>
    <w:basedOn w:val="DefaultParagraphFont"/>
    <w:link w:val="Heading1"/>
    <w:uiPriority w:val="9"/>
    <w:rsid w:val="00457B3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8419C"/>
    <w:rPr>
      <w:sz w:val="16"/>
      <w:szCs w:val="16"/>
    </w:rPr>
  </w:style>
  <w:style w:type="paragraph" w:styleId="CommentText">
    <w:name w:val="annotation text"/>
    <w:basedOn w:val="Normal"/>
    <w:link w:val="CommentTextChar"/>
    <w:uiPriority w:val="99"/>
    <w:unhideWhenUsed/>
    <w:rsid w:val="00B8419C"/>
    <w:pPr>
      <w:spacing w:line="240" w:lineRule="auto"/>
    </w:pPr>
    <w:rPr>
      <w:sz w:val="20"/>
      <w:szCs w:val="20"/>
    </w:rPr>
  </w:style>
  <w:style w:type="character" w:customStyle="1" w:styleId="CommentTextChar">
    <w:name w:val="Comment Text Char"/>
    <w:basedOn w:val="DefaultParagraphFont"/>
    <w:link w:val="CommentText"/>
    <w:uiPriority w:val="99"/>
    <w:rsid w:val="00B8419C"/>
    <w:rPr>
      <w:sz w:val="20"/>
      <w:szCs w:val="20"/>
    </w:rPr>
  </w:style>
  <w:style w:type="paragraph" w:styleId="CommentSubject">
    <w:name w:val="annotation subject"/>
    <w:basedOn w:val="CommentText"/>
    <w:next w:val="CommentText"/>
    <w:link w:val="CommentSubjectChar"/>
    <w:uiPriority w:val="99"/>
    <w:semiHidden/>
    <w:unhideWhenUsed/>
    <w:rsid w:val="00B8419C"/>
    <w:rPr>
      <w:b/>
      <w:bCs/>
    </w:rPr>
  </w:style>
  <w:style w:type="character" w:customStyle="1" w:styleId="CommentSubjectChar">
    <w:name w:val="Comment Subject Char"/>
    <w:basedOn w:val="CommentTextChar"/>
    <w:link w:val="CommentSubject"/>
    <w:uiPriority w:val="99"/>
    <w:semiHidden/>
    <w:rsid w:val="00B8419C"/>
    <w:rPr>
      <w:b/>
      <w:bCs/>
      <w:sz w:val="20"/>
      <w:szCs w:val="20"/>
    </w:rPr>
  </w:style>
  <w:style w:type="paragraph" w:styleId="BalloonText">
    <w:name w:val="Balloon Text"/>
    <w:basedOn w:val="Normal"/>
    <w:link w:val="BalloonTextChar"/>
    <w:uiPriority w:val="99"/>
    <w:semiHidden/>
    <w:unhideWhenUsed/>
    <w:rsid w:val="00B8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9C"/>
    <w:rPr>
      <w:rFonts w:ascii="Segoe UI" w:hAnsi="Segoe UI" w:cs="Segoe UI"/>
      <w:sz w:val="18"/>
      <w:szCs w:val="18"/>
    </w:rPr>
  </w:style>
  <w:style w:type="paragraph" w:styleId="Caption">
    <w:name w:val="caption"/>
    <w:basedOn w:val="Normal"/>
    <w:next w:val="Normal"/>
    <w:uiPriority w:val="35"/>
    <w:unhideWhenUsed/>
    <w:qFormat/>
    <w:rsid w:val="00DE3157"/>
    <w:pPr>
      <w:spacing w:after="200" w:line="240" w:lineRule="auto"/>
    </w:pPr>
    <w:rPr>
      <w:i/>
      <w:iCs/>
      <w:color w:val="44546A" w:themeColor="text2"/>
      <w:sz w:val="18"/>
      <w:szCs w:val="18"/>
    </w:rPr>
  </w:style>
  <w:style w:type="table" w:styleId="TableGrid">
    <w:name w:val="Table Grid"/>
    <w:basedOn w:val="TableNormal"/>
    <w:uiPriority w:val="39"/>
    <w:rsid w:val="00DE31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6787">
      <w:bodyDiv w:val="1"/>
      <w:marLeft w:val="0"/>
      <w:marRight w:val="0"/>
      <w:marTop w:val="0"/>
      <w:marBottom w:val="0"/>
      <w:divBdr>
        <w:top w:val="none" w:sz="0" w:space="0" w:color="auto"/>
        <w:left w:val="none" w:sz="0" w:space="0" w:color="auto"/>
        <w:bottom w:val="none" w:sz="0" w:space="0" w:color="auto"/>
        <w:right w:val="none" w:sz="0" w:space="0" w:color="auto"/>
      </w:divBdr>
    </w:div>
    <w:div w:id="228620073">
      <w:bodyDiv w:val="1"/>
      <w:marLeft w:val="0"/>
      <w:marRight w:val="0"/>
      <w:marTop w:val="0"/>
      <w:marBottom w:val="0"/>
      <w:divBdr>
        <w:top w:val="none" w:sz="0" w:space="0" w:color="auto"/>
        <w:left w:val="none" w:sz="0" w:space="0" w:color="auto"/>
        <w:bottom w:val="none" w:sz="0" w:space="0" w:color="auto"/>
        <w:right w:val="none" w:sz="0" w:space="0" w:color="auto"/>
      </w:divBdr>
    </w:div>
    <w:div w:id="441648919">
      <w:bodyDiv w:val="1"/>
      <w:marLeft w:val="0"/>
      <w:marRight w:val="0"/>
      <w:marTop w:val="0"/>
      <w:marBottom w:val="0"/>
      <w:divBdr>
        <w:top w:val="none" w:sz="0" w:space="0" w:color="auto"/>
        <w:left w:val="none" w:sz="0" w:space="0" w:color="auto"/>
        <w:bottom w:val="none" w:sz="0" w:space="0" w:color="auto"/>
        <w:right w:val="none" w:sz="0" w:space="0" w:color="auto"/>
      </w:divBdr>
    </w:div>
    <w:div w:id="632444310">
      <w:bodyDiv w:val="1"/>
      <w:marLeft w:val="0"/>
      <w:marRight w:val="0"/>
      <w:marTop w:val="0"/>
      <w:marBottom w:val="0"/>
      <w:divBdr>
        <w:top w:val="none" w:sz="0" w:space="0" w:color="auto"/>
        <w:left w:val="none" w:sz="0" w:space="0" w:color="auto"/>
        <w:bottom w:val="none" w:sz="0" w:space="0" w:color="auto"/>
        <w:right w:val="none" w:sz="0" w:space="0" w:color="auto"/>
      </w:divBdr>
    </w:div>
    <w:div w:id="643243471">
      <w:bodyDiv w:val="1"/>
      <w:marLeft w:val="0"/>
      <w:marRight w:val="0"/>
      <w:marTop w:val="0"/>
      <w:marBottom w:val="0"/>
      <w:divBdr>
        <w:top w:val="none" w:sz="0" w:space="0" w:color="auto"/>
        <w:left w:val="none" w:sz="0" w:space="0" w:color="auto"/>
        <w:bottom w:val="none" w:sz="0" w:space="0" w:color="auto"/>
        <w:right w:val="none" w:sz="0" w:space="0" w:color="auto"/>
      </w:divBdr>
    </w:div>
    <w:div w:id="821506751">
      <w:bodyDiv w:val="1"/>
      <w:marLeft w:val="0"/>
      <w:marRight w:val="0"/>
      <w:marTop w:val="0"/>
      <w:marBottom w:val="0"/>
      <w:divBdr>
        <w:top w:val="none" w:sz="0" w:space="0" w:color="auto"/>
        <w:left w:val="none" w:sz="0" w:space="0" w:color="auto"/>
        <w:bottom w:val="none" w:sz="0" w:space="0" w:color="auto"/>
        <w:right w:val="none" w:sz="0" w:space="0" w:color="auto"/>
      </w:divBdr>
    </w:div>
    <w:div w:id="956066324">
      <w:bodyDiv w:val="1"/>
      <w:marLeft w:val="0"/>
      <w:marRight w:val="0"/>
      <w:marTop w:val="0"/>
      <w:marBottom w:val="0"/>
      <w:divBdr>
        <w:top w:val="none" w:sz="0" w:space="0" w:color="auto"/>
        <w:left w:val="none" w:sz="0" w:space="0" w:color="auto"/>
        <w:bottom w:val="none" w:sz="0" w:space="0" w:color="auto"/>
        <w:right w:val="none" w:sz="0" w:space="0" w:color="auto"/>
      </w:divBdr>
    </w:div>
    <w:div w:id="964700778">
      <w:bodyDiv w:val="1"/>
      <w:marLeft w:val="0"/>
      <w:marRight w:val="0"/>
      <w:marTop w:val="0"/>
      <w:marBottom w:val="0"/>
      <w:divBdr>
        <w:top w:val="none" w:sz="0" w:space="0" w:color="auto"/>
        <w:left w:val="none" w:sz="0" w:space="0" w:color="auto"/>
        <w:bottom w:val="none" w:sz="0" w:space="0" w:color="auto"/>
        <w:right w:val="none" w:sz="0" w:space="0" w:color="auto"/>
      </w:divBdr>
    </w:div>
    <w:div w:id="1115444345">
      <w:bodyDiv w:val="1"/>
      <w:marLeft w:val="0"/>
      <w:marRight w:val="0"/>
      <w:marTop w:val="0"/>
      <w:marBottom w:val="0"/>
      <w:divBdr>
        <w:top w:val="none" w:sz="0" w:space="0" w:color="auto"/>
        <w:left w:val="none" w:sz="0" w:space="0" w:color="auto"/>
        <w:bottom w:val="none" w:sz="0" w:space="0" w:color="auto"/>
        <w:right w:val="none" w:sz="0" w:space="0" w:color="auto"/>
      </w:divBdr>
    </w:div>
    <w:div w:id="1219708635">
      <w:bodyDiv w:val="1"/>
      <w:marLeft w:val="0"/>
      <w:marRight w:val="0"/>
      <w:marTop w:val="0"/>
      <w:marBottom w:val="0"/>
      <w:divBdr>
        <w:top w:val="none" w:sz="0" w:space="0" w:color="auto"/>
        <w:left w:val="none" w:sz="0" w:space="0" w:color="auto"/>
        <w:bottom w:val="none" w:sz="0" w:space="0" w:color="auto"/>
        <w:right w:val="none" w:sz="0" w:space="0" w:color="auto"/>
      </w:divBdr>
    </w:div>
    <w:div w:id="1226257478">
      <w:bodyDiv w:val="1"/>
      <w:marLeft w:val="0"/>
      <w:marRight w:val="0"/>
      <w:marTop w:val="0"/>
      <w:marBottom w:val="0"/>
      <w:divBdr>
        <w:top w:val="none" w:sz="0" w:space="0" w:color="auto"/>
        <w:left w:val="none" w:sz="0" w:space="0" w:color="auto"/>
        <w:bottom w:val="none" w:sz="0" w:space="0" w:color="auto"/>
        <w:right w:val="none" w:sz="0" w:space="0" w:color="auto"/>
      </w:divBdr>
    </w:div>
    <w:div w:id="1303077976">
      <w:bodyDiv w:val="1"/>
      <w:marLeft w:val="0"/>
      <w:marRight w:val="0"/>
      <w:marTop w:val="0"/>
      <w:marBottom w:val="0"/>
      <w:divBdr>
        <w:top w:val="none" w:sz="0" w:space="0" w:color="auto"/>
        <w:left w:val="none" w:sz="0" w:space="0" w:color="auto"/>
        <w:bottom w:val="none" w:sz="0" w:space="0" w:color="auto"/>
        <w:right w:val="none" w:sz="0" w:space="0" w:color="auto"/>
      </w:divBdr>
    </w:div>
    <w:div w:id="1929148576">
      <w:bodyDiv w:val="1"/>
      <w:marLeft w:val="0"/>
      <w:marRight w:val="0"/>
      <w:marTop w:val="0"/>
      <w:marBottom w:val="0"/>
      <w:divBdr>
        <w:top w:val="none" w:sz="0" w:space="0" w:color="auto"/>
        <w:left w:val="none" w:sz="0" w:space="0" w:color="auto"/>
        <w:bottom w:val="none" w:sz="0" w:space="0" w:color="auto"/>
        <w:right w:val="none" w:sz="0" w:space="0" w:color="auto"/>
      </w:divBdr>
    </w:div>
    <w:div w:id="1963152077">
      <w:bodyDiv w:val="1"/>
      <w:marLeft w:val="0"/>
      <w:marRight w:val="0"/>
      <w:marTop w:val="0"/>
      <w:marBottom w:val="0"/>
      <w:divBdr>
        <w:top w:val="none" w:sz="0" w:space="0" w:color="auto"/>
        <w:left w:val="none" w:sz="0" w:space="0" w:color="auto"/>
        <w:bottom w:val="none" w:sz="0" w:space="0" w:color="auto"/>
        <w:right w:val="none" w:sz="0" w:space="0" w:color="auto"/>
      </w:divBdr>
    </w:div>
    <w:div w:id="2036878610">
      <w:bodyDiv w:val="1"/>
      <w:marLeft w:val="0"/>
      <w:marRight w:val="0"/>
      <w:marTop w:val="0"/>
      <w:marBottom w:val="0"/>
      <w:divBdr>
        <w:top w:val="none" w:sz="0" w:space="0" w:color="auto"/>
        <w:left w:val="none" w:sz="0" w:space="0" w:color="auto"/>
        <w:bottom w:val="none" w:sz="0" w:space="0" w:color="auto"/>
        <w:right w:val="none" w:sz="0" w:space="0" w:color="auto"/>
      </w:divBdr>
    </w:div>
    <w:div w:id="206952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7.xml"/><Relationship Id="rId7" Type="http://schemas.microsoft.com/office/2011/relationships/commentsExtended" Target="commentsExtended.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8.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Eyal\Documents\&#1506;&#1489;&#1493;&#1491;&#1492;\active%20reserach\&#1502;&#1514;&#1502;&#1495;&#1497;&#1501;\&#1500;&#1497;&#1492;%20&#1513;&#1497;&#1489;&#1504;&#1493;&#1489;\&#1506;&#1493;&#1514;&#1511;%20&#1513;&#1500;%20lia%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0925196850393"/>
          <c:y val="0.11989501312335962"/>
          <c:w val="0.73411482939632544"/>
          <c:h val="0.77787001790339227"/>
        </c:manualLayout>
      </c:layout>
      <c:pieChart>
        <c:varyColors val="1"/>
        <c:ser>
          <c:idx val="0"/>
          <c:order val="0"/>
          <c:explosion val="25"/>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Sheet1!$F$2:$F$5</c:f>
              <c:strCache>
                <c:ptCount val="4"/>
                <c:pt idx="0">
                  <c:v>1st admission</c:v>
                </c:pt>
                <c:pt idx="1">
                  <c:v>2nd admission</c:v>
                </c:pt>
                <c:pt idx="2">
                  <c:v>3rd admission</c:v>
                </c:pt>
                <c:pt idx="3">
                  <c:v>4th admission</c:v>
                </c:pt>
              </c:strCache>
            </c:strRef>
          </c:cat>
          <c:val>
            <c:numRef>
              <c:f>Sheet1!$G$2:$G$5</c:f>
              <c:numCache>
                <c:formatCode>General</c:formatCode>
                <c:ptCount val="4"/>
                <c:pt idx="0">
                  <c:v>683</c:v>
                </c:pt>
                <c:pt idx="1">
                  <c:v>69</c:v>
                </c:pt>
                <c:pt idx="2">
                  <c:v>10</c:v>
                </c:pt>
                <c:pt idx="3">
                  <c:v>2</c:v>
                </c:pt>
              </c:numCache>
            </c:numRef>
          </c:val>
          <c:extLst>
            <c:ext xmlns:c16="http://schemas.microsoft.com/office/drawing/2014/chart" uri="{C3380CC4-5D6E-409C-BE32-E72D297353CC}">
              <c16:uniqueId val="{00000000-C3DD-4B0B-A256-F1A90FDE0814}"/>
            </c:ext>
          </c:extLst>
        </c:ser>
        <c:dLbls>
          <c:showLegendKey val="0"/>
          <c:showVal val="0"/>
          <c:showCatName val="0"/>
          <c:showSerName val="0"/>
          <c:showPercent val="0"/>
          <c:showBubbleSize val="0"/>
          <c:showLeaderLines val="1"/>
        </c:dLbls>
        <c:firstSliceAng val="29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0925196850393"/>
          <c:y val="0.11989501312335958"/>
          <c:w val="0.73411482939632544"/>
          <c:h val="0.77787001790339116"/>
        </c:manualLayout>
      </c:layout>
      <c:pieChart>
        <c:varyColors val="1"/>
        <c:ser>
          <c:idx val="0"/>
          <c:order val="0"/>
          <c:explosion val="2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val>
            <c:numRef>
              <c:f>גיליון2!$B$1:$B$5</c:f>
              <c:numCache>
                <c:formatCode>General</c:formatCode>
                <c:ptCount val="5"/>
                <c:pt idx="0">
                  <c:v>192</c:v>
                </c:pt>
                <c:pt idx="1">
                  <c:v>235</c:v>
                </c:pt>
                <c:pt idx="2">
                  <c:v>236</c:v>
                </c:pt>
                <c:pt idx="3">
                  <c:v>15</c:v>
                </c:pt>
                <c:pt idx="4">
                  <c:v>4</c:v>
                </c:pt>
              </c:numCache>
            </c:numRef>
          </c:val>
          <c:extLst>
            <c:ext xmlns:c16="http://schemas.microsoft.com/office/drawing/2014/chart" uri="{C3380CC4-5D6E-409C-BE32-E72D297353CC}">
              <c16:uniqueId val="{00000000-BCA0-4D61-9AC6-CEBED9CC2A28}"/>
            </c:ext>
          </c:extLst>
        </c:ser>
        <c:dLbls>
          <c:showLegendKey val="0"/>
          <c:showVal val="0"/>
          <c:showCatName val="0"/>
          <c:showSerName val="0"/>
          <c:showPercent val="0"/>
          <c:showBubbleSize val="0"/>
          <c:showLeaderLines val="1"/>
        </c:dLbls>
        <c:firstSliceAng val="0"/>
      </c:pieChart>
    </c:plotArea>
    <c:legend>
      <c:legendPos val="l"/>
      <c:overlay val="0"/>
      <c:txPr>
        <a:bodyPr/>
        <a:lstStyle/>
        <a:p>
          <a:pPr rtl="0">
            <a:defRPr/>
          </a:pPr>
          <a:endParaRPr lang="en-US"/>
        </a:p>
      </c:txPr>
    </c:legend>
    <c:plotVisOnly val="1"/>
    <c:dispBlanksAs val="gap"/>
    <c:showDLblsOverMax val="0"/>
  </c:chart>
  <c:txPr>
    <a:bodyPr/>
    <a:lstStyle/>
    <a:p>
      <a:pPr>
        <a:defRPr sz="1200"/>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Sheet3!$K$6</c:f>
              <c:strCache>
                <c:ptCount val="1"/>
                <c:pt idx="0">
                  <c:v>no</c:v>
                </c:pt>
              </c:strCache>
            </c:strRef>
          </c:tx>
          <c:invertIfNegative val="0"/>
          <c:cat>
            <c:numRef>
              <c:f>Sheet3!$J$7:$J$11</c:f>
              <c:numCache>
                <c:formatCode>General</c:formatCode>
                <c:ptCount val="5"/>
                <c:pt idx="0">
                  <c:v>1</c:v>
                </c:pt>
                <c:pt idx="1">
                  <c:v>2</c:v>
                </c:pt>
                <c:pt idx="2">
                  <c:v>3</c:v>
                </c:pt>
                <c:pt idx="3">
                  <c:v>4</c:v>
                </c:pt>
                <c:pt idx="4">
                  <c:v>5</c:v>
                </c:pt>
              </c:numCache>
            </c:numRef>
          </c:cat>
          <c:val>
            <c:numRef>
              <c:f>Sheet3!$K$7:$K$11</c:f>
              <c:numCache>
                <c:formatCode>General</c:formatCode>
                <c:ptCount val="5"/>
                <c:pt idx="0">
                  <c:v>0.2970000000000001</c:v>
                </c:pt>
                <c:pt idx="1">
                  <c:v>0.35100000000000003</c:v>
                </c:pt>
                <c:pt idx="2">
                  <c:v>0.33000000000000007</c:v>
                </c:pt>
                <c:pt idx="3">
                  <c:v>1.7000000000000001E-2</c:v>
                </c:pt>
                <c:pt idx="4">
                  <c:v>3.0000000000000005E-3</c:v>
                </c:pt>
              </c:numCache>
            </c:numRef>
          </c:val>
          <c:extLst>
            <c:ext xmlns:c16="http://schemas.microsoft.com/office/drawing/2014/chart" uri="{C3380CC4-5D6E-409C-BE32-E72D297353CC}">
              <c16:uniqueId val="{00000000-DEC4-44F5-B82F-265B554F5272}"/>
            </c:ext>
          </c:extLst>
        </c:ser>
        <c:ser>
          <c:idx val="1"/>
          <c:order val="1"/>
          <c:tx>
            <c:strRef>
              <c:f>Sheet3!$L$6</c:f>
              <c:strCache>
                <c:ptCount val="1"/>
                <c:pt idx="0">
                  <c:v>yes</c:v>
                </c:pt>
              </c:strCache>
            </c:strRef>
          </c:tx>
          <c:invertIfNegative val="0"/>
          <c:cat>
            <c:numRef>
              <c:f>Sheet3!$J$7:$J$11</c:f>
              <c:numCache>
                <c:formatCode>General</c:formatCode>
                <c:ptCount val="5"/>
                <c:pt idx="0">
                  <c:v>1</c:v>
                </c:pt>
                <c:pt idx="1">
                  <c:v>2</c:v>
                </c:pt>
                <c:pt idx="2">
                  <c:v>3</c:v>
                </c:pt>
                <c:pt idx="3">
                  <c:v>4</c:v>
                </c:pt>
                <c:pt idx="4">
                  <c:v>5</c:v>
                </c:pt>
              </c:numCache>
            </c:numRef>
          </c:cat>
          <c:val>
            <c:numRef>
              <c:f>Sheet3!$L$7:$L$11</c:f>
              <c:numCache>
                <c:formatCode>General</c:formatCode>
                <c:ptCount val="5"/>
                <c:pt idx="0">
                  <c:v>8.0000000000000016E-2</c:v>
                </c:pt>
                <c:pt idx="1">
                  <c:v>0.26</c:v>
                </c:pt>
                <c:pt idx="2">
                  <c:v>0.54</c:v>
                </c:pt>
                <c:pt idx="3">
                  <c:v>8.0000000000000016E-2</c:v>
                </c:pt>
                <c:pt idx="4">
                  <c:v>4.0000000000000008E-2</c:v>
                </c:pt>
              </c:numCache>
            </c:numRef>
          </c:val>
          <c:extLst>
            <c:ext xmlns:c16="http://schemas.microsoft.com/office/drawing/2014/chart" uri="{C3380CC4-5D6E-409C-BE32-E72D297353CC}">
              <c16:uniqueId val="{00000001-DEC4-44F5-B82F-265B554F5272}"/>
            </c:ext>
          </c:extLst>
        </c:ser>
        <c:dLbls>
          <c:showLegendKey val="0"/>
          <c:showVal val="0"/>
          <c:showCatName val="0"/>
          <c:showSerName val="0"/>
          <c:showPercent val="0"/>
          <c:showBubbleSize val="0"/>
        </c:dLbls>
        <c:gapWidth val="150"/>
        <c:axId val="202932608"/>
        <c:axId val="202934528"/>
      </c:barChart>
      <c:catAx>
        <c:axId val="202932608"/>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202934528"/>
        <c:crosses val="autoZero"/>
        <c:auto val="1"/>
        <c:lblAlgn val="ctr"/>
        <c:lblOffset val="100"/>
        <c:noMultiLvlLbl val="0"/>
      </c:catAx>
      <c:valAx>
        <c:axId val="202934528"/>
        <c:scaling>
          <c:orientation val="minMax"/>
          <c:max val="0.60000000000000053"/>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202932608"/>
        <c:crosses val="autoZero"/>
        <c:crossBetween val="between"/>
        <c:majorUnit val="0.15000000000000013"/>
      </c:valAx>
    </c:plotArea>
    <c:legend>
      <c:legendPos val="t"/>
      <c:layout>
        <c:manualLayout>
          <c:xMode val="edge"/>
          <c:yMode val="edge"/>
          <c:x val="0.62974849974739122"/>
          <c:y val="2.4242424242424229E-2"/>
          <c:w val="0.20640419947506583"/>
          <c:h val="8.2842599220551913E-2"/>
        </c:manualLayout>
      </c:layout>
      <c:overlay val="0"/>
      <c:txPr>
        <a:bodyPr/>
        <a:lstStyle/>
        <a:p>
          <a:pPr>
            <a:defRPr>
              <a:latin typeface="+mn-lt"/>
            </a:defRPr>
          </a:pPr>
          <a:endParaRPr lang="en-US"/>
        </a:p>
      </c:txPr>
    </c:legend>
    <c:plotVisOnly val="1"/>
    <c:dispBlanksAs val="gap"/>
    <c:showDLblsOverMax val="0"/>
  </c:chart>
  <c:txPr>
    <a:bodyPr/>
    <a:lstStyle/>
    <a:p>
      <a:pPr>
        <a:defRPr sz="1200">
          <a:cs typeface="+mn-cs"/>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Sheet4!$K$6</c:f>
              <c:strCache>
                <c:ptCount val="1"/>
                <c:pt idx="0">
                  <c:v>no</c:v>
                </c:pt>
              </c:strCache>
            </c:strRef>
          </c:tx>
          <c:invertIfNegative val="0"/>
          <c:cat>
            <c:strRef>
              <c:f>Sheet4!$J$7:$J$9</c:f>
              <c:strCache>
                <c:ptCount val="3"/>
                <c:pt idx="0">
                  <c:v>mild</c:v>
                </c:pt>
                <c:pt idx="1">
                  <c:v>moderate</c:v>
                </c:pt>
                <c:pt idx="2">
                  <c:v>severe</c:v>
                </c:pt>
              </c:strCache>
            </c:strRef>
          </c:cat>
          <c:val>
            <c:numRef>
              <c:f>Sheet4!$K$7:$K$9</c:f>
              <c:numCache>
                <c:formatCode>General</c:formatCode>
                <c:ptCount val="3"/>
                <c:pt idx="0">
                  <c:v>0.68100000000000005</c:v>
                </c:pt>
                <c:pt idx="1">
                  <c:v>0.27</c:v>
                </c:pt>
                <c:pt idx="2">
                  <c:v>4.9000000000000002E-2</c:v>
                </c:pt>
              </c:numCache>
            </c:numRef>
          </c:val>
          <c:extLst>
            <c:ext xmlns:c16="http://schemas.microsoft.com/office/drawing/2014/chart" uri="{C3380CC4-5D6E-409C-BE32-E72D297353CC}">
              <c16:uniqueId val="{00000000-B0A6-49AA-B641-CF075238B507}"/>
            </c:ext>
          </c:extLst>
        </c:ser>
        <c:ser>
          <c:idx val="1"/>
          <c:order val="1"/>
          <c:tx>
            <c:strRef>
              <c:f>Sheet4!$L$6</c:f>
              <c:strCache>
                <c:ptCount val="1"/>
                <c:pt idx="0">
                  <c:v>yes</c:v>
                </c:pt>
              </c:strCache>
            </c:strRef>
          </c:tx>
          <c:invertIfNegative val="0"/>
          <c:cat>
            <c:strRef>
              <c:f>Sheet4!$J$7:$J$9</c:f>
              <c:strCache>
                <c:ptCount val="3"/>
                <c:pt idx="0">
                  <c:v>mild</c:v>
                </c:pt>
                <c:pt idx="1">
                  <c:v>moderate</c:v>
                </c:pt>
                <c:pt idx="2">
                  <c:v>severe</c:v>
                </c:pt>
              </c:strCache>
            </c:strRef>
          </c:cat>
          <c:val>
            <c:numRef>
              <c:f>Sheet4!$L$7:$L$9</c:f>
              <c:numCache>
                <c:formatCode>General</c:formatCode>
                <c:ptCount val="3"/>
                <c:pt idx="0">
                  <c:v>0.16</c:v>
                </c:pt>
                <c:pt idx="1">
                  <c:v>0.68</c:v>
                </c:pt>
                <c:pt idx="2">
                  <c:v>0.16</c:v>
                </c:pt>
              </c:numCache>
            </c:numRef>
          </c:val>
          <c:extLst>
            <c:ext xmlns:c16="http://schemas.microsoft.com/office/drawing/2014/chart" uri="{C3380CC4-5D6E-409C-BE32-E72D297353CC}">
              <c16:uniqueId val="{00000001-B0A6-49AA-B641-CF075238B507}"/>
            </c:ext>
          </c:extLst>
        </c:ser>
        <c:dLbls>
          <c:showLegendKey val="0"/>
          <c:showVal val="0"/>
          <c:showCatName val="0"/>
          <c:showSerName val="0"/>
          <c:showPercent val="0"/>
          <c:showBubbleSize val="0"/>
        </c:dLbls>
        <c:gapWidth val="150"/>
        <c:axId val="95595520"/>
        <c:axId val="97813632"/>
      </c:barChart>
      <c:catAx>
        <c:axId val="95595520"/>
        <c:scaling>
          <c:orientation val="minMax"/>
        </c:scaling>
        <c:delete val="0"/>
        <c:axPos val="b"/>
        <c:title>
          <c:tx>
            <c:rich>
              <a:bodyPr/>
              <a:lstStyle/>
              <a:p>
                <a:pPr>
                  <a:defRPr/>
                </a:pPr>
                <a:r>
                  <a:rPr lang="en-US"/>
                  <a:t>Disease severity</a:t>
                </a:r>
              </a:p>
            </c:rich>
          </c:tx>
          <c:overlay val="0"/>
        </c:title>
        <c:numFmt formatCode="General" sourceLinked="1"/>
        <c:majorTickMark val="none"/>
        <c:minorTickMark val="none"/>
        <c:tickLblPos val="nextTo"/>
        <c:crossAx val="97813632"/>
        <c:crosses val="autoZero"/>
        <c:auto val="1"/>
        <c:lblAlgn val="ctr"/>
        <c:lblOffset val="100"/>
        <c:noMultiLvlLbl val="0"/>
      </c:catAx>
      <c:valAx>
        <c:axId val="97813632"/>
        <c:scaling>
          <c:orientation val="minMax"/>
          <c:max val="0.8"/>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95595520"/>
        <c:crosses val="autoZero"/>
        <c:crossBetween val="between"/>
        <c:majorUnit val="0.2"/>
      </c:valAx>
    </c:plotArea>
    <c:legend>
      <c:legendPos val="t"/>
      <c:layout>
        <c:manualLayout>
          <c:xMode val="edge"/>
          <c:yMode val="edge"/>
          <c:x val="0.629748499747391"/>
          <c:y val="2.4242424242424232E-2"/>
          <c:w val="0.20640419947506572"/>
          <c:h val="8.2842599220551927E-2"/>
        </c:manualLayout>
      </c:layout>
      <c:overlay val="0"/>
      <c:txPr>
        <a:bodyPr/>
        <a:lstStyle/>
        <a:p>
          <a:pPr>
            <a:defRPr>
              <a:latin typeface="+mn-lt"/>
            </a:defRPr>
          </a:pPr>
          <a:endParaRPr lang="en-US"/>
        </a:p>
      </c:txPr>
    </c:legend>
    <c:plotVisOnly val="1"/>
    <c:dispBlanksAs val="gap"/>
    <c:showDLblsOverMax val="0"/>
  </c:chart>
  <c:txPr>
    <a:bodyPr/>
    <a:lstStyle/>
    <a:p>
      <a:pPr rtl="0">
        <a:defRPr sz="1200">
          <a:cs typeface="+mn-cs"/>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ln cap="sq">
              <a:solidFill>
                <a:schemeClr val="accent1"/>
              </a:solidFill>
            </a:ln>
          </c:spPr>
          <c:invertIfNegative val="0"/>
          <c:dPt>
            <c:idx val="0"/>
            <c:invertIfNegative val="0"/>
            <c:bubble3D val="0"/>
            <c:spPr>
              <a:solidFill>
                <a:schemeClr val="accent5"/>
              </a:solidFill>
              <a:ln cap="sq">
                <a:solidFill>
                  <a:schemeClr val="accent1"/>
                </a:solidFill>
              </a:ln>
            </c:spPr>
            <c:extLst>
              <c:ext xmlns:c16="http://schemas.microsoft.com/office/drawing/2014/chart" uri="{C3380CC4-5D6E-409C-BE32-E72D297353CC}">
                <c16:uniqueId val="{00000001-CF5F-472C-93CF-F40426758A52}"/>
              </c:ext>
            </c:extLst>
          </c:dPt>
          <c:dPt>
            <c:idx val="1"/>
            <c:invertIfNegative val="0"/>
            <c:bubble3D val="0"/>
            <c:spPr>
              <a:solidFill>
                <a:schemeClr val="accent6"/>
              </a:solidFill>
              <a:ln cap="sq">
                <a:solidFill>
                  <a:schemeClr val="accent1"/>
                </a:solidFill>
              </a:ln>
            </c:spPr>
            <c:extLst>
              <c:ext xmlns:c16="http://schemas.microsoft.com/office/drawing/2014/chart" uri="{C3380CC4-5D6E-409C-BE32-E72D297353CC}">
                <c16:uniqueId val="{00000003-CF5F-472C-93CF-F40426758A52}"/>
              </c:ext>
            </c:extLst>
          </c:dPt>
          <c:errBars>
            <c:errBarType val="plus"/>
            <c:errValType val="cust"/>
            <c:noEndCap val="0"/>
            <c:plus>
              <c:numRef>
                <c:f>גיליון5!$P$12:$P$16</c:f>
                <c:numCache>
                  <c:formatCode>General</c:formatCode>
                  <c:ptCount val="5"/>
                  <c:pt idx="0">
                    <c:v>1.25</c:v>
                  </c:pt>
                  <c:pt idx="1">
                    <c:v>1.4909324882160646</c:v>
                  </c:pt>
                  <c:pt idx="2">
                    <c:v>2.0622884522881537</c:v>
                  </c:pt>
                  <c:pt idx="3">
                    <c:v>2.7988092706244445</c:v>
                  </c:pt>
                  <c:pt idx="4">
                    <c:v>11.5</c:v>
                  </c:pt>
                </c:numCache>
              </c:numRef>
            </c:plus>
            <c:minus>
              <c:numLit>
                <c:formatCode>General</c:formatCode>
                <c:ptCount val="1"/>
                <c:pt idx="0">
                  <c:v>1</c:v>
                </c:pt>
              </c:numLit>
            </c:minus>
          </c:errBars>
          <c:cat>
            <c:strRef>
              <c:f>גיליון5!$C$23:$C$24</c:f>
              <c:strCache>
                <c:ptCount val="2"/>
                <c:pt idx="0">
                  <c:v>ASA 1-2</c:v>
                </c:pt>
                <c:pt idx="1">
                  <c:v>ASA 3-5</c:v>
                </c:pt>
              </c:strCache>
            </c:strRef>
          </c:cat>
          <c:val>
            <c:numRef>
              <c:f>גיליון5!$D$23:$D$24</c:f>
              <c:numCache>
                <c:formatCode>General</c:formatCode>
                <c:ptCount val="2"/>
                <c:pt idx="0">
                  <c:v>9.1764705882352935</c:v>
                </c:pt>
                <c:pt idx="1">
                  <c:v>14.727272727272727</c:v>
                </c:pt>
              </c:numCache>
            </c:numRef>
          </c:val>
          <c:extLst>
            <c:ext xmlns:c16="http://schemas.microsoft.com/office/drawing/2014/chart" uri="{C3380CC4-5D6E-409C-BE32-E72D297353CC}">
              <c16:uniqueId val="{00000004-CF5F-472C-93CF-F40426758A52}"/>
            </c:ext>
          </c:extLst>
        </c:ser>
        <c:dLbls>
          <c:showLegendKey val="0"/>
          <c:showVal val="0"/>
          <c:showCatName val="0"/>
          <c:showSerName val="0"/>
          <c:showPercent val="0"/>
          <c:showBubbleSize val="0"/>
        </c:dLbls>
        <c:gapWidth val="150"/>
        <c:axId val="107777408"/>
        <c:axId val="130377216"/>
      </c:barChart>
      <c:catAx>
        <c:axId val="107777408"/>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377216"/>
        <c:crosses val="autoZero"/>
        <c:auto val="1"/>
        <c:lblAlgn val="ctr"/>
        <c:lblOffset val="100"/>
        <c:noMultiLvlLbl val="0"/>
      </c:catAx>
      <c:valAx>
        <c:axId val="130377216"/>
        <c:scaling>
          <c:orientation val="minMax"/>
          <c:max val="20"/>
        </c:scaling>
        <c:delete val="0"/>
        <c:axPos val="l"/>
        <c:title>
          <c:tx>
            <c:rich>
              <a:bodyPr rot="-5400000" vert="horz"/>
              <a:lstStyle/>
              <a:p>
                <a:pPr>
                  <a:defRPr/>
                </a:pPr>
                <a:r>
                  <a:rPr lang="en-US"/>
                  <a:t>Length of stay</a:t>
                </a:r>
                <a:r>
                  <a:rPr lang="en-US" baseline="0"/>
                  <a:t> (days)</a:t>
                </a:r>
                <a:endParaRPr lang="en-US"/>
              </a:p>
            </c:rich>
          </c:tx>
          <c:overlay val="0"/>
        </c:title>
        <c:numFmt formatCode="General" sourceLinked="0"/>
        <c:majorTickMark val="none"/>
        <c:minorTickMark val="none"/>
        <c:tickLblPos val="nextTo"/>
        <c:crossAx val="107777408"/>
        <c:crosses val="autoZero"/>
        <c:crossBetween val="between"/>
        <c:majorUnit val="5"/>
      </c:valAx>
    </c:plotArea>
    <c:plotVisOnly val="1"/>
    <c:dispBlanksAs val="gap"/>
    <c:showDLblsOverMax val="0"/>
  </c:chart>
  <c:txPr>
    <a:bodyPr/>
    <a:lstStyle/>
    <a:p>
      <a:pPr>
        <a:defRPr sz="1200">
          <a:cs typeface="+mn-cs"/>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גיליון3!$O$9</c:f>
              <c:strCache>
                <c:ptCount val="1"/>
                <c:pt idx="0">
                  <c:v>ASA 1-2</c:v>
                </c:pt>
              </c:strCache>
            </c:strRef>
          </c:tx>
          <c:spPr>
            <a:solidFill>
              <a:schemeClr val="accent5"/>
            </a:solidFill>
          </c:spPr>
          <c:invertIfNegative val="0"/>
          <c:cat>
            <c:strRef>
              <c:f>גיליון3!$P$8:$Q$8</c:f>
              <c:strCache>
                <c:ptCount val="2"/>
                <c:pt idx="0">
                  <c:v>30 day</c:v>
                </c:pt>
                <c:pt idx="1">
                  <c:v>1 year</c:v>
                </c:pt>
              </c:strCache>
            </c:strRef>
          </c:cat>
          <c:val>
            <c:numRef>
              <c:f>גיליון3!$P$9:$Q$9</c:f>
              <c:numCache>
                <c:formatCode>General</c:formatCode>
                <c:ptCount val="2"/>
                <c:pt idx="0">
                  <c:v>0</c:v>
                </c:pt>
                <c:pt idx="1">
                  <c:v>0.11799999999999999</c:v>
                </c:pt>
              </c:numCache>
            </c:numRef>
          </c:val>
          <c:extLst>
            <c:ext xmlns:c16="http://schemas.microsoft.com/office/drawing/2014/chart" uri="{C3380CC4-5D6E-409C-BE32-E72D297353CC}">
              <c16:uniqueId val="{00000000-F671-435A-B0FD-A20FF16EF377}"/>
            </c:ext>
          </c:extLst>
        </c:ser>
        <c:ser>
          <c:idx val="1"/>
          <c:order val="1"/>
          <c:tx>
            <c:strRef>
              <c:f>גיליון3!$O$10</c:f>
              <c:strCache>
                <c:ptCount val="1"/>
                <c:pt idx="0">
                  <c:v>ASA 3-5</c:v>
                </c:pt>
              </c:strCache>
            </c:strRef>
          </c:tx>
          <c:spPr>
            <a:solidFill>
              <a:schemeClr val="accent6"/>
            </a:solidFill>
          </c:spPr>
          <c:invertIfNegative val="0"/>
          <c:cat>
            <c:strRef>
              <c:f>גיליון3!$P$8:$Q$8</c:f>
              <c:strCache>
                <c:ptCount val="2"/>
                <c:pt idx="0">
                  <c:v>30 day</c:v>
                </c:pt>
                <c:pt idx="1">
                  <c:v>1 year</c:v>
                </c:pt>
              </c:strCache>
            </c:strRef>
          </c:cat>
          <c:val>
            <c:numRef>
              <c:f>גיליון3!$P$10:$Q$10</c:f>
              <c:numCache>
                <c:formatCode>General</c:formatCode>
                <c:ptCount val="2"/>
                <c:pt idx="0">
                  <c:v>0.15151515151515152</c:v>
                </c:pt>
                <c:pt idx="1">
                  <c:v>0.24199999999999999</c:v>
                </c:pt>
              </c:numCache>
            </c:numRef>
          </c:val>
          <c:extLst>
            <c:ext xmlns:c16="http://schemas.microsoft.com/office/drawing/2014/chart" uri="{C3380CC4-5D6E-409C-BE32-E72D297353CC}">
              <c16:uniqueId val="{00000001-F671-435A-B0FD-A20FF16EF377}"/>
            </c:ext>
          </c:extLst>
        </c:ser>
        <c:dLbls>
          <c:showLegendKey val="0"/>
          <c:showVal val="0"/>
          <c:showCatName val="0"/>
          <c:showSerName val="0"/>
          <c:showPercent val="0"/>
          <c:showBubbleSize val="0"/>
        </c:dLbls>
        <c:gapWidth val="150"/>
        <c:axId val="130386560"/>
        <c:axId val="130388736"/>
      </c:barChart>
      <c:catAx>
        <c:axId val="130386560"/>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388736"/>
        <c:crosses val="autoZero"/>
        <c:auto val="1"/>
        <c:lblAlgn val="ctr"/>
        <c:lblOffset val="100"/>
        <c:noMultiLvlLbl val="0"/>
      </c:catAx>
      <c:valAx>
        <c:axId val="130388736"/>
        <c:scaling>
          <c:orientation val="minMax"/>
          <c:max val="0.30000000000000004"/>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386560"/>
        <c:crosses val="autoZero"/>
        <c:crossBetween val="between"/>
        <c:majorUnit val="0.1"/>
      </c:valAx>
    </c:plotArea>
    <c:legend>
      <c:legendPos val="t"/>
      <c:overlay val="0"/>
      <c:txPr>
        <a:bodyPr/>
        <a:lstStyle/>
        <a:p>
          <a:pPr>
            <a:defRPr>
              <a:latin typeface="+mn-lt"/>
            </a:defRPr>
          </a:pPr>
          <a:endParaRPr lang="en-US"/>
        </a:p>
      </c:txPr>
    </c:legend>
    <c:plotVisOnly val="1"/>
    <c:dispBlanksAs val="gap"/>
    <c:showDLblsOverMax val="0"/>
  </c:chart>
  <c:txPr>
    <a:bodyPr/>
    <a:lstStyle/>
    <a:p>
      <a:pPr>
        <a:defRPr sz="1200">
          <a:cs typeface="+mn-cs"/>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גיליון1!$J$4</c:f>
              <c:strCache>
                <c:ptCount val="1"/>
                <c:pt idx="0">
                  <c:v>no</c:v>
                </c:pt>
              </c:strCache>
            </c:strRef>
          </c:tx>
          <c:invertIfNegative val="0"/>
          <c:cat>
            <c:numRef>
              <c:f>גיליון1!$I$5:$I$9</c:f>
              <c:numCache>
                <c:formatCode>General</c:formatCode>
                <c:ptCount val="5"/>
                <c:pt idx="0">
                  <c:v>1</c:v>
                </c:pt>
                <c:pt idx="1">
                  <c:v>2</c:v>
                </c:pt>
                <c:pt idx="2">
                  <c:v>3</c:v>
                </c:pt>
                <c:pt idx="3">
                  <c:v>4</c:v>
                </c:pt>
                <c:pt idx="4">
                  <c:v>5</c:v>
                </c:pt>
              </c:numCache>
            </c:numRef>
          </c:cat>
          <c:val>
            <c:numRef>
              <c:f>גיליון1!$J$5:$J$9</c:f>
              <c:numCache>
                <c:formatCode>General</c:formatCode>
                <c:ptCount val="5"/>
                <c:pt idx="0">
                  <c:v>3.7414965986394558E-2</c:v>
                </c:pt>
                <c:pt idx="1">
                  <c:v>0.36054421768707484</c:v>
                </c:pt>
                <c:pt idx="2">
                  <c:v>0.56802721088435371</c:v>
                </c:pt>
                <c:pt idx="3">
                  <c:v>2.7210884353741496E-2</c:v>
                </c:pt>
                <c:pt idx="4">
                  <c:v>6.8027210884353739E-3</c:v>
                </c:pt>
              </c:numCache>
            </c:numRef>
          </c:val>
          <c:extLst>
            <c:ext xmlns:c16="http://schemas.microsoft.com/office/drawing/2014/chart" uri="{C3380CC4-5D6E-409C-BE32-E72D297353CC}">
              <c16:uniqueId val="{00000000-B3A3-4C76-8C4F-96EE2025FDEC}"/>
            </c:ext>
          </c:extLst>
        </c:ser>
        <c:ser>
          <c:idx val="1"/>
          <c:order val="1"/>
          <c:tx>
            <c:strRef>
              <c:f>גיליון1!$K$4</c:f>
              <c:strCache>
                <c:ptCount val="1"/>
                <c:pt idx="0">
                  <c:v>yes</c:v>
                </c:pt>
              </c:strCache>
            </c:strRef>
          </c:tx>
          <c:invertIfNegative val="0"/>
          <c:cat>
            <c:numRef>
              <c:f>גיליון1!$I$5:$I$9</c:f>
              <c:numCache>
                <c:formatCode>General</c:formatCode>
                <c:ptCount val="5"/>
                <c:pt idx="0">
                  <c:v>1</c:v>
                </c:pt>
                <c:pt idx="1">
                  <c:v>2</c:v>
                </c:pt>
                <c:pt idx="2">
                  <c:v>3</c:v>
                </c:pt>
                <c:pt idx="3">
                  <c:v>4</c:v>
                </c:pt>
                <c:pt idx="4">
                  <c:v>5</c:v>
                </c:pt>
              </c:numCache>
            </c:numRef>
          </c:cat>
          <c:val>
            <c:numRef>
              <c:f>גיליון1!$K$5:$K$9</c:f>
              <c:numCache>
                <c:formatCode>General</c:formatCode>
                <c:ptCount val="5"/>
                <c:pt idx="0">
                  <c:v>4.7619047619047616E-2</c:v>
                </c:pt>
                <c:pt idx="1">
                  <c:v>0.21428571428571427</c:v>
                </c:pt>
                <c:pt idx="2">
                  <c:v>0.59523809523809523</c:v>
                </c:pt>
                <c:pt idx="3">
                  <c:v>9.5238095238095233E-2</c:v>
                </c:pt>
                <c:pt idx="4">
                  <c:v>4.7619047619047616E-2</c:v>
                </c:pt>
              </c:numCache>
            </c:numRef>
          </c:val>
          <c:extLst>
            <c:ext xmlns:c16="http://schemas.microsoft.com/office/drawing/2014/chart" uri="{C3380CC4-5D6E-409C-BE32-E72D297353CC}">
              <c16:uniqueId val="{00000001-B3A3-4C76-8C4F-96EE2025FDEC}"/>
            </c:ext>
          </c:extLst>
        </c:ser>
        <c:dLbls>
          <c:showLegendKey val="0"/>
          <c:showVal val="0"/>
          <c:showCatName val="0"/>
          <c:showSerName val="0"/>
          <c:showPercent val="0"/>
          <c:showBubbleSize val="0"/>
        </c:dLbls>
        <c:gapWidth val="150"/>
        <c:axId val="130402560"/>
        <c:axId val="130404736"/>
      </c:barChart>
      <c:catAx>
        <c:axId val="130402560"/>
        <c:scaling>
          <c:orientation val="minMax"/>
        </c:scaling>
        <c:delete val="0"/>
        <c:axPos val="b"/>
        <c:title>
          <c:tx>
            <c:rich>
              <a:bodyPr/>
              <a:lstStyle/>
              <a:p>
                <a:pPr>
                  <a:defRPr/>
                </a:pPr>
                <a:r>
                  <a:rPr lang="en-US"/>
                  <a:t>ASA score</a:t>
                </a:r>
              </a:p>
            </c:rich>
          </c:tx>
          <c:overlay val="0"/>
        </c:title>
        <c:numFmt formatCode="General" sourceLinked="1"/>
        <c:majorTickMark val="none"/>
        <c:minorTickMark val="none"/>
        <c:tickLblPos val="nextTo"/>
        <c:crossAx val="130404736"/>
        <c:crosses val="autoZero"/>
        <c:auto val="1"/>
        <c:lblAlgn val="ctr"/>
        <c:lblOffset val="100"/>
        <c:noMultiLvlLbl val="0"/>
      </c:catAx>
      <c:valAx>
        <c:axId val="130404736"/>
        <c:scaling>
          <c:orientation val="minMax"/>
          <c:max val="0.60000000000000009"/>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402560"/>
        <c:crosses val="autoZero"/>
        <c:crossBetween val="between"/>
        <c:majorUnit val="0.15000000000000002"/>
      </c:valAx>
    </c:plotArea>
    <c:legend>
      <c:legendPos val="t"/>
      <c:layout>
        <c:manualLayout>
          <c:xMode val="edge"/>
          <c:yMode val="edge"/>
          <c:x val="0.62974849974739078"/>
          <c:y val="2.4242424242424242E-2"/>
          <c:w val="0.20640419947506561"/>
          <c:h val="8.2842599220551968E-2"/>
        </c:manualLayout>
      </c:layout>
      <c:overlay val="0"/>
      <c:txPr>
        <a:bodyPr/>
        <a:lstStyle/>
        <a:p>
          <a:pPr>
            <a:defRPr>
              <a:latin typeface="+mn-lt"/>
            </a:defRPr>
          </a:pPr>
          <a:endParaRPr lang="en-US"/>
        </a:p>
      </c:txPr>
    </c:legend>
    <c:plotVisOnly val="1"/>
    <c:dispBlanksAs val="gap"/>
    <c:showDLblsOverMax val="0"/>
  </c:chart>
  <c:txPr>
    <a:bodyPr/>
    <a:lstStyle/>
    <a:p>
      <a:pPr>
        <a:defRPr sz="1200">
          <a:cs typeface="+mn-cs"/>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גיליון4!$Q$8</c:f>
              <c:strCache>
                <c:ptCount val="1"/>
                <c:pt idx="0">
                  <c:v>no</c:v>
                </c:pt>
              </c:strCache>
            </c:strRef>
          </c:tx>
          <c:invertIfNegative val="0"/>
          <c:cat>
            <c:strRef>
              <c:f>גיליון4!$P$9:$P$11</c:f>
              <c:strCache>
                <c:ptCount val="3"/>
                <c:pt idx="0">
                  <c:v>mild</c:v>
                </c:pt>
                <c:pt idx="1">
                  <c:v>moderate</c:v>
                </c:pt>
                <c:pt idx="2">
                  <c:v>severe</c:v>
                </c:pt>
              </c:strCache>
            </c:strRef>
          </c:cat>
          <c:val>
            <c:numRef>
              <c:f>גיליון4!$Q$9:$Q$11</c:f>
              <c:numCache>
                <c:formatCode>General</c:formatCode>
                <c:ptCount val="3"/>
                <c:pt idx="0">
                  <c:v>0.58843537414965985</c:v>
                </c:pt>
                <c:pt idx="1">
                  <c:v>0.3401360544217687</c:v>
                </c:pt>
                <c:pt idx="2">
                  <c:v>7.1428571428571425E-2</c:v>
                </c:pt>
              </c:numCache>
            </c:numRef>
          </c:val>
          <c:extLst>
            <c:ext xmlns:c16="http://schemas.microsoft.com/office/drawing/2014/chart" uri="{C3380CC4-5D6E-409C-BE32-E72D297353CC}">
              <c16:uniqueId val="{00000000-D755-4B73-B6B3-66C081C7193C}"/>
            </c:ext>
          </c:extLst>
        </c:ser>
        <c:ser>
          <c:idx val="1"/>
          <c:order val="1"/>
          <c:tx>
            <c:strRef>
              <c:f>גיליון4!$R$8</c:f>
              <c:strCache>
                <c:ptCount val="1"/>
                <c:pt idx="0">
                  <c:v>yes</c:v>
                </c:pt>
              </c:strCache>
            </c:strRef>
          </c:tx>
          <c:invertIfNegative val="0"/>
          <c:cat>
            <c:strRef>
              <c:f>גיליון4!$P$9:$P$11</c:f>
              <c:strCache>
                <c:ptCount val="3"/>
                <c:pt idx="0">
                  <c:v>mild</c:v>
                </c:pt>
                <c:pt idx="1">
                  <c:v>moderate</c:v>
                </c:pt>
                <c:pt idx="2">
                  <c:v>severe</c:v>
                </c:pt>
              </c:strCache>
            </c:strRef>
          </c:cat>
          <c:val>
            <c:numRef>
              <c:f>גיליון4!$R$9:$R$11</c:f>
              <c:numCache>
                <c:formatCode>General</c:formatCode>
                <c:ptCount val="3"/>
                <c:pt idx="0">
                  <c:v>0.16666666666666663</c:v>
                </c:pt>
                <c:pt idx="1">
                  <c:v>0.66666666666666652</c:v>
                </c:pt>
                <c:pt idx="2">
                  <c:v>0.16666666666666663</c:v>
                </c:pt>
              </c:numCache>
            </c:numRef>
          </c:val>
          <c:extLst>
            <c:ext xmlns:c16="http://schemas.microsoft.com/office/drawing/2014/chart" uri="{C3380CC4-5D6E-409C-BE32-E72D297353CC}">
              <c16:uniqueId val="{00000001-D755-4B73-B6B3-66C081C7193C}"/>
            </c:ext>
          </c:extLst>
        </c:ser>
        <c:dLbls>
          <c:showLegendKey val="0"/>
          <c:showVal val="0"/>
          <c:showCatName val="0"/>
          <c:showSerName val="0"/>
          <c:showPercent val="0"/>
          <c:showBubbleSize val="0"/>
        </c:dLbls>
        <c:gapWidth val="150"/>
        <c:axId val="130484480"/>
        <c:axId val="130486656"/>
      </c:barChart>
      <c:catAx>
        <c:axId val="130484480"/>
        <c:scaling>
          <c:orientation val="minMax"/>
        </c:scaling>
        <c:delete val="0"/>
        <c:axPos val="b"/>
        <c:title>
          <c:tx>
            <c:rich>
              <a:bodyPr/>
              <a:lstStyle/>
              <a:p>
                <a:pPr>
                  <a:defRPr/>
                </a:pPr>
                <a:r>
                  <a:rPr lang="en-US"/>
                  <a:t>Disease severity</a:t>
                </a:r>
              </a:p>
            </c:rich>
          </c:tx>
          <c:overlay val="0"/>
        </c:title>
        <c:numFmt formatCode="General" sourceLinked="1"/>
        <c:majorTickMark val="none"/>
        <c:minorTickMark val="none"/>
        <c:tickLblPos val="nextTo"/>
        <c:crossAx val="130486656"/>
        <c:crosses val="autoZero"/>
        <c:auto val="1"/>
        <c:lblAlgn val="ctr"/>
        <c:lblOffset val="100"/>
        <c:noMultiLvlLbl val="0"/>
      </c:catAx>
      <c:valAx>
        <c:axId val="130486656"/>
        <c:scaling>
          <c:orientation val="minMax"/>
          <c:max val="0.8"/>
          <c:min val="0"/>
        </c:scaling>
        <c:delete val="0"/>
        <c:axPos val="l"/>
        <c:title>
          <c:tx>
            <c:rich>
              <a:bodyPr rot="-5400000" vert="horz"/>
              <a:lstStyle/>
              <a:p>
                <a:pPr>
                  <a:defRPr/>
                </a:pPr>
                <a:r>
                  <a:rPr lang="en-US"/>
                  <a:t>Incidence (%)</a:t>
                </a:r>
              </a:p>
            </c:rich>
          </c:tx>
          <c:overlay val="0"/>
        </c:title>
        <c:numFmt formatCode="0%" sourceLinked="0"/>
        <c:majorTickMark val="none"/>
        <c:minorTickMark val="none"/>
        <c:tickLblPos val="nextTo"/>
        <c:crossAx val="130484480"/>
        <c:crosses val="autoZero"/>
        <c:crossBetween val="between"/>
        <c:majorUnit val="0.2"/>
      </c:valAx>
    </c:plotArea>
    <c:legend>
      <c:legendPos val="t"/>
      <c:layout>
        <c:manualLayout>
          <c:xMode val="edge"/>
          <c:yMode val="edge"/>
          <c:x val="0.629748499747391"/>
          <c:y val="2.4242424242424232E-2"/>
          <c:w val="0.20640419947506572"/>
          <c:h val="8.2842599220551927E-2"/>
        </c:manualLayout>
      </c:layout>
      <c:overlay val="0"/>
      <c:txPr>
        <a:bodyPr/>
        <a:lstStyle/>
        <a:p>
          <a:pPr>
            <a:defRPr>
              <a:latin typeface="+mn-lt"/>
            </a:defRPr>
          </a:pPr>
          <a:endParaRPr lang="en-US"/>
        </a:p>
      </c:txPr>
    </c:legend>
    <c:plotVisOnly val="1"/>
    <c:dispBlanksAs val="gap"/>
    <c:showDLblsOverMax val="0"/>
  </c:chart>
  <c:txPr>
    <a:bodyPr/>
    <a:lstStyle/>
    <a:p>
      <a:pPr>
        <a:defRPr sz="1200">
          <a:cs typeface="+mn-cs"/>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0.19205</cdr:y>
    </cdr:from>
    <cdr:to>
      <cdr:x>0.3</cdr:x>
      <cdr:y>0.27483</cdr:y>
    </cdr:to>
    <cdr:sp macro="" textlink="">
      <cdr:nvSpPr>
        <cdr:cNvPr id="2" name="TextBox 1"/>
        <cdr:cNvSpPr txBox="1"/>
      </cdr:nvSpPr>
      <cdr:spPr>
        <a:xfrm xmlns:a="http://schemas.openxmlformats.org/drawingml/2006/main">
          <a:off x="0" y="552450"/>
          <a:ext cx="914400" cy="238125"/>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latin typeface="Arial" panose="020B0604020202020204" pitchFamily="34" charset="0"/>
              <a:cs typeface="Arial" panose="020B0604020202020204" pitchFamily="34" charset="0"/>
            </a:rPr>
            <a:t>ASA</a:t>
          </a:r>
          <a:r>
            <a:rPr lang="en-US" sz="1200" baseline="0">
              <a:latin typeface="Arial" panose="020B0604020202020204" pitchFamily="34" charset="0"/>
              <a:cs typeface="Arial" panose="020B0604020202020204" pitchFamily="34" charset="0"/>
            </a:rPr>
            <a:t> score</a:t>
          </a:r>
          <a:endParaRPr lang="he-IL" sz="120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Cholecystostomy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Cholecystostomy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0.26761</cdr:x>
      <cdr:y>0.07191</cdr:y>
    </cdr:from>
    <cdr:to>
      <cdr:x>0.42958</cdr:x>
      <cdr:y>0.15069</cdr:y>
    </cdr:to>
    <cdr:sp macro="" textlink="">
      <cdr:nvSpPr>
        <cdr:cNvPr id="3" name="TextBox 1"/>
        <cdr:cNvSpPr txBox="1"/>
      </cdr:nvSpPr>
      <cdr:spPr>
        <a:xfrm xmlns:a="http://schemas.openxmlformats.org/drawingml/2006/main">
          <a:off x="1085869" y="217121"/>
          <a:ext cx="657218" cy="23787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0.017</a:t>
          </a:r>
          <a:endParaRPr lang="he-IL" sz="1200">
            <a:cs typeface="Aria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0.24179</cdr:x>
      <cdr:y>0.16339</cdr:y>
    </cdr:from>
    <cdr:to>
      <cdr:x>0.40376</cdr:x>
      <cdr:y>0.24217</cdr:y>
    </cdr:to>
    <cdr:sp macro="" textlink="">
      <cdr:nvSpPr>
        <cdr:cNvPr id="3" name="TextBox 1"/>
        <cdr:cNvSpPr txBox="1"/>
      </cdr:nvSpPr>
      <cdr:spPr>
        <a:xfrm xmlns:a="http://schemas.openxmlformats.org/drawingml/2006/main">
          <a:off x="981094" y="493346"/>
          <a:ext cx="657218" cy="23787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NS</a:t>
          </a:r>
          <a:endParaRPr lang="he-IL" sz="1200">
            <a:cs typeface="Arial"/>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Cholecystostomy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a:t>
          </a:r>
          <a:r>
            <a:rPr lang="he-IL" sz="1200"/>
            <a:t>=</a:t>
          </a:r>
          <a:r>
            <a:rPr lang="en-US" sz="1200"/>
            <a:t>0.01</a:t>
          </a:r>
          <a:endParaRPr lang="he-IL" sz="1200">
            <a:cs typeface="Aria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0.2277</cdr:x>
      <cdr:y>0.02121</cdr:y>
    </cdr:from>
    <cdr:to>
      <cdr:x>0.6385</cdr:x>
      <cdr:y>0.1</cdr:y>
    </cdr:to>
    <cdr:sp macro="" textlink="">
      <cdr:nvSpPr>
        <cdr:cNvPr id="2" name="TextBox 1"/>
        <cdr:cNvSpPr txBox="1"/>
      </cdr:nvSpPr>
      <cdr:spPr>
        <a:xfrm xmlns:a="http://schemas.openxmlformats.org/drawingml/2006/main">
          <a:off x="923924" y="66675"/>
          <a:ext cx="1666875" cy="24765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r>
            <a:rPr lang="en-US" sz="1200">
              <a:cs typeface="+mn-cs"/>
            </a:rPr>
            <a:t>Cholecystostomy status</a:t>
          </a:r>
          <a:endParaRPr lang="he-IL" sz="1200">
            <a:cs typeface="+mn-cs"/>
          </a:endParaRPr>
        </a:p>
      </cdr:txBody>
    </cdr:sp>
  </cdr:relSizeAnchor>
  <cdr:relSizeAnchor xmlns:cdr="http://schemas.openxmlformats.org/drawingml/2006/chartDrawing">
    <cdr:from>
      <cdr:x>0.777</cdr:x>
      <cdr:y>0.1697</cdr:y>
    </cdr:from>
    <cdr:to>
      <cdr:x>0.93897</cdr:x>
      <cdr:y>0.24848</cdr:y>
    </cdr:to>
    <cdr:sp macro="" textlink="">
      <cdr:nvSpPr>
        <cdr:cNvPr id="3" name="TextBox 1"/>
        <cdr:cNvSpPr txBox="1"/>
      </cdr:nvSpPr>
      <cdr:spPr>
        <a:xfrm xmlns:a="http://schemas.openxmlformats.org/drawingml/2006/main">
          <a:off x="3152775" y="533400"/>
          <a:ext cx="657225" cy="247650"/>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t>p&lt;0.001</a:t>
          </a:r>
          <a:endParaRPr lang="he-IL" sz="1200">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1ABA-386A-4C80-A26F-DB21CDFD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2</cp:revision>
  <dcterms:created xsi:type="dcterms:W3CDTF">2017-07-22T22:30:00Z</dcterms:created>
  <dcterms:modified xsi:type="dcterms:W3CDTF">2017-07-22T22:30:00Z</dcterms:modified>
</cp:coreProperties>
</file>