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19E3" w14:textId="77777777" w:rsidR="00572130" w:rsidRPr="00B312EF" w:rsidRDefault="00572130" w:rsidP="00754F5D">
      <w:pPr>
        <w:pStyle w:val="Flietext"/>
        <w:tabs>
          <w:tab w:val="clear" w:pos="8640"/>
          <w:tab w:val="left" w:pos="8520"/>
        </w:tabs>
        <w:rPr>
          <w:lang w:val="en-GB"/>
        </w:rPr>
      </w:pPr>
    </w:p>
    <w:p w14:paraId="663457CF" w14:textId="56AA3DBD" w:rsidR="003D0203" w:rsidRPr="00B312EF" w:rsidRDefault="003D0203" w:rsidP="00754F5D">
      <w:pPr>
        <w:pStyle w:val="Flietext"/>
        <w:tabs>
          <w:tab w:val="clear" w:pos="8640"/>
          <w:tab w:val="left" w:pos="8520"/>
        </w:tabs>
        <w:rPr>
          <w:lang w:val="en-GB"/>
        </w:rPr>
      </w:pPr>
      <w:r w:rsidRPr="00B312EF">
        <w:rPr>
          <w:lang w:val="en-GB"/>
        </w:rPr>
        <w:t>Bernadette Reisinger</w:t>
      </w:r>
      <w:r w:rsidR="00593ED5" w:rsidRPr="00B312EF">
        <w:rPr>
          <w:lang w:val="en-GB"/>
        </w:rPr>
        <w:t xml:space="preserve"> and</w:t>
      </w:r>
      <w:r w:rsidRPr="00B312EF">
        <w:rPr>
          <w:lang w:val="en-GB"/>
        </w:rPr>
        <w:t xml:space="preserve"> Tom Wellmann</w:t>
      </w:r>
    </w:p>
    <w:p w14:paraId="01199B03" w14:textId="4AD4DF13" w:rsidR="003D0203" w:rsidRPr="00B312EF" w:rsidRDefault="003D0203" w:rsidP="00754F5D">
      <w:pPr>
        <w:pStyle w:val="Flietext"/>
        <w:tabs>
          <w:tab w:val="clear" w:pos="8640"/>
          <w:tab w:val="left" w:pos="8520"/>
        </w:tabs>
        <w:rPr>
          <w:lang w:val="en-GB"/>
        </w:rPr>
      </w:pPr>
      <w:r w:rsidRPr="00B312EF">
        <w:rPr>
          <w:b/>
          <w:bCs/>
          <w:sz w:val="24"/>
          <w:szCs w:val="24"/>
          <w:lang w:val="en-GB"/>
        </w:rPr>
        <w:t>Doing Philosophy as Composing Variations: A Contribution to a Theory of the History of Philosophy in Philosophy Education</w:t>
      </w:r>
    </w:p>
    <w:p w14:paraId="4E5C6A67" w14:textId="204D2274" w:rsidR="003D0203" w:rsidRPr="00B312EF" w:rsidRDefault="003D0203" w:rsidP="00754F5D">
      <w:pPr>
        <w:pStyle w:val="Flietext"/>
        <w:tabs>
          <w:tab w:val="clear" w:pos="8640"/>
          <w:tab w:val="left" w:pos="8520"/>
        </w:tabs>
        <w:rPr>
          <w:lang w:val="en-GB"/>
        </w:rPr>
      </w:pPr>
      <w:r w:rsidRPr="00B312EF">
        <w:rPr>
          <w:b/>
          <w:bCs/>
          <w:sz w:val="24"/>
          <w:szCs w:val="24"/>
          <w:lang w:val="en-GB"/>
        </w:rPr>
        <w:t>1. Introduction</w:t>
      </w:r>
    </w:p>
    <w:p w14:paraId="4A6AC09E" w14:textId="2A556A6A" w:rsidR="003D0203" w:rsidRPr="00B312EF" w:rsidRDefault="003D0203" w:rsidP="00754F5D">
      <w:pPr>
        <w:pStyle w:val="Flietext"/>
        <w:tabs>
          <w:tab w:val="clear" w:pos="8640"/>
          <w:tab w:val="left" w:pos="8520"/>
        </w:tabs>
        <w:rPr>
          <w:sz w:val="24"/>
          <w:szCs w:val="24"/>
          <w:lang w:val="en-GB"/>
        </w:rPr>
      </w:pPr>
      <w:r w:rsidRPr="00B312EF">
        <w:rPr>
          <w:sz w:val="24"/>
          <w:szCs w:val="24"/>
          <w:lang w:val="en-GB"/>
        </w:rPr>
        <w:t xml:space="preserve">This </w:t>
      </w:r>
      <w:r w:rsidR="00402C22" w:rsidRPr="00B312EF">
        <w:rPr>
          <w:sz w:val="24"/>
          <w:szCs w:val="24"/>
          <w:lang w:val="en-GB"/>
        </w:rPr>
        <w:t>article</w:t>
      </w:r>
      <w:r w:rsidRPr="00B312EF">
        <w:rPr>
          <w:sz w:val="24"/>
          <w:szCs w:val="24"/>
          <w:lang w:val="en-GB"/>
        </w:rPr>
        <w:t xml:space="preserve"> discusses the relationship between philosophy </w:t>
      </w:r>
      <w:r w:rsidR="00593ED5" w:rsidRPr="00B312EF">
        <w:rPr>
          <w:sz w:val="24"/>
          <w:szCs w:val="24"/>
          <w:lang w:val="en-GB"/>
        </w:rPr>
        <w:t>teaching</w:t>
      </w:r>
      <w:r w:rsidRPr="00B312EF">
        <w:rPr>
          <w:sz w:val="24"/>
          <w:szCs w:val="24"/>
          <w:lang w:val="en-GB"/>
        </w:rPr>
        <w:t xml:space="preserve"> (at the pre-university level) and the history of philosophy. The starting point is the </w:t>
      </w:r>
      <w:r w:rsidR="00593ED5" w:rsidRPr="00B312EF">
        <w:rPr>
          <w:sz w:val="24"/>
          <w:szCs w:val="24"/>
          <w:lang w:val="en-GB"/>
        </w:rPr>
        <w:t>education</w:t>
      </w:r>
      <w:r w:rsidRPr="00B312EF">
        <w:rPr>
          <w:sz w:val="24"/>
          <w:szCs w:val="24"/>
          <w:lang w:val="en-GB"/>
        </w:rPr>
        <w:t xml:space="preserve">al question of the grounds on which the </w:t>
      </w:r>
      <w:r w:rsidR="00593ED5" w:rsidRPr="00B312EF">
        <w:rPr>
          <w:sz w:val="24"/>
          <w:szCs w:val="24"/>
          <w:lang w:val="en-GB"/>
        </w:rPr>
        <w:t xml:space="preserve">history of </w:t>
      </w:r>
      <w:r w:rsidRPr="00B312EF">
        <w:rPr>
          <w:sz w:val="24"/>
          <w:szCs w:val="24"/>
          <w:lang w:val="en-GB"/>
        </w:rPr>
        <w:t xml:space="preserve">philosophy can or should be incorporated into the philosophy classroom. The central part of the </w:t>
      </w:r>
      <w:r w:rsidR="00402C22" w:rsidRPr="00B312EF">
        <w:rPr>
          <w:sz w:val="24"/>
          <w:szCs w:val="24"/>
          <w:lang w:val="en-GB"/>
        </w:rPr>
        <w:t>article</w:t>
      </w:r>
      <w:r w:rsidRPr="00B312EF">
        <w:rPr>
          <w:sz w:val="24"/>
          <w:szCs w:val="24"/>
          <w:lang w:val="en-GB"/>
        </w:rPr>
        <w:t xml:space="preserve"> argues for</w:t>
      </w:r>
      <w:r w:rsidR="001746FF" w:rsidRPr="00B312EF">
        <w:rPr>
          <w:sz w:val="24"/>
          <w:szCs w:val="24"/>
          <w:lang w:val="en-GB"/>
        </w:rPr>
        <w:t xml:space="preserve"> the metaphilosophical thesis that doing philosophy and the history of philosophy should be seen as two aspects of a structurally unified play of variations. On this view, the history of philosophy is not something that can be brought into the classroom on a supplementary, optional basis, as if it were something external to the subject. Rather, the pupils are drawn into this play of variations, becoming participants in the history of philosophy to the extent that they do philosophy in the classroom. The history of philosophy is consequently </w:t>
      </w:r>
      <w:r w:rsidR="00402C22" w:rsidRPr="00B312EF">
        <w:rPr>
          <w:sz w:val="24"/>
          <w:szCs w:val="24"/>
          <w:lang w:val="en-GB"/>
        </w:rPr>
        <w:t>unresolved</w:t>
      </w:r>
      <w:r w:rsidR="001746FF" w:rsidRPr="00B312EF">
        <w:rPr>
          <w:sz w:val="24"/>
          <w:szCs w:val="24"/>
          <w:lang w:val="en-GB"/>
        </w:rPr>
        <w:t xml:space="preserve"> in a double sense: Not only does it – self-evidently – never come to a chronological end or </w:t>
      </w:r>
      <w:r w:rsidR="00572130" w:rsidRPr="00B312EF">
        <w:rPr>
          <w:sz w:val="24"/>
          <w:szCs w:val="24"/>
          <w:lang w:val="en-GB"/>
        </w:rPr>
        <w:t>lead to</w:t>
      </w:r>
      <w:r w:rsidR="001746FF" w:rsidRPr="00B312EF">
        <w:rPr>
          <w:sz w:val="24"/>
          <w:szCs w:val="24"/>
          <w:lang w:val="en-GB"/>
        </w:rPr>
        <w:t xml:space="preserve"> </w:t>
      </w:r>
      <w:r w:rsidR="00593ED5" w:rsidRPr="00B312EF">
        <w:rPr>
          <w:sz w:val="24"/>
          <w:szCs w:val="24"/>
          <w:lang w:val="en-GB"/>
        </w:rPr>
        <w:t>fix</w:t>
      </w:r>
      <w:r w:rsidR="00402C22" w:rsidRPr="00B312EF">
        <w:rPr>
          <w:sz w:val="24"/>
          <w:szCs w:val="24"/>
          <w:lang w:val="en-GB"/>
        </w:rPr>
        <w:t>ed</w:t>
      </w:r>
      <w:r w:rsidR="001746FF" w:rsidRPr="00B312EF">
        <w:rPr>
          <w:sz w:val="24"/>
          <w:szCs w:val="24"/>
          <w:lang w:val="en-GB"/>
        </w:rPr>
        <w:t xml:space="preserve"> results, but it is also </w:t>
      </w:r>
      <w:r w:rsidR="00402C22" w:rsidRPr="00B312EF">
        <w:rPr>
          <w:sz w:val="24"/>
          <w:szCs w:val="24"/>
          <w:lang w:val="en-GB"/>
        </w:rPr>
        <w:t>unresolved</w:t>
      </w:r>
      <w:r w:rsidR="001746FF" w:rsidRPr="00B312EF">
        <w:rPr>
          <w:sz w:val="24"/>
          <w:szCs w:val="24"/>
          <w:lang w:val="en-GB"/>
        </w:rPr>
        <w:t xml:space="preserve"> in the sense of being </w:t>
      </w:r>
      <w:r w:rsidR="00402C22" w:rsidRPr="00B312EF">
        <w:rPr>
          <w:sz w:val="24"/>
          <w:szCs w:val="24"/>
          <w:lang w:val="en-GB"/>
        </w:rPr>
        <w:t xml:space="preserve">open, approachable, and </w:t>
      </w:r>
      <w:r w:rsidR="001746FF" w:rsidRPr="00B312EF">
        <w:rPr>
          <w:sz w:val="24"/>
          <w:szCs w:val="24"/>
          <w:lang w:val="en-GB"/>
        </w:rPr>
        <w:t>accessible</w:t>
      </w:r>
      <w:r w:rsidRPr="00B312EF">
        <w:rPr>
          <w:sz w:val="24"/>
          <w:szCs w:val="24"/>
          <w:lang w:val="en-GB"/>
        </w:rPr>
        <w:t>.</w:t>
      </w:r>
    </w:p>
    <w:p w14:paraId="7C6C5279" w14:textId="3D3EF02D" w:rsidR="003D0203" w:rsidRPr="00B312EF" w:rsidRDefault="00402C22" w:rsidP="00754F5D">
      <w:pPr>
        <w:pStyle w:val="Flietext"/>
        <w:tabs>
          <w:tab w:val="clear" w:pos="8640"/>
          <w:tab w:val="left" w:pos="8520"/>
        </w:tabs>
        <w:rPr>
          <w:sz w:val="24"/>
          <w:szCs w:val="24"/>
          <w:lang w:val="en-GB"/>
        </w:rPr>
      </w:pPr>
      <w:r w:rsidRPr="00B312EF">
        <w:rPr>
          <w:sz w:val="24"/>
          <w:szCs w:val="24"/>
          <w:lang w:val="en-GB"/>
        </w:rPr>
        <w:t xml:space="preserve">One of the goals of what follows is to explain the relationship between philosophy </w:t>
      </w:r>
      <w:r w:rsidR="00593ED5" w:rsidRPr="00B312EF">
        <w:rPr>
          <w:sz w:val="24"/>
          <w:szCs w:val="24"/>
          <w:lang w:val="en-GB"/>
        </w:rPr>
        <w:t>teaching</w:t>
      </w:r>
      <w:r w:rsidRPr="00B312EF">
        <w:rPr>
          <w:sz w:val="24"/>
          <w:szCs w:val="24"/>
          <w:lang w:val="en-GB"/>
        </w:rPr>
        <w:t xml:space="preserve"> and the history of philosophy in a way that </w:t>
      </w:r>
      <w:r w:rsidR="009B6109" w:rsidRPr="00B312EF">
        <w:rPr>
          <w:sz w:val="24"/>
          <w:szCs w:val="24"/>
          <w:lang w:val="en-GB"/>
        </w:rPr>
        <w:t xml:space="preserve">works at a more fundamental level than any possible dichotomy between doing philosophy in a “systematic” or “historical” mode. As we will attempt to show, one of the advantages of thinking in terms of variation is that it makes </w:t>
      </w:r>
      <w:r w:rsidR="006D12FD" w:rsidRPr="00B312EF">
        <w:rPr>
          <w:sz w:val="24"/>
          <w:szCs w:val="24"/>
          <w:lang w:val="en-GB"/>
        </w:rPr>
        <w:t>it possible to bring the preexisting relationship between receptivity and productivity in doing philosophy into view. With the help of this approach, in our view, seemingly opposed understandings of what it is to do philosophy can be made intelligible as s</w:t>
      </w:r>
      <w:r w:rsidR="0078385F" w:rsidRPr="00B312EF">
        <w:rPr>
          <w:sz w:val="24"/>
          <w:szCs w:val="24"/>
          <w:lang w:val="en-GB"/>
        </w:rPr>
        <w:t>econd-order</w:t>
      </w:r>
      <w:r w:rsidR="006D12FD" w:rsidRPr="00B312EF">
        <w:rPr>
          <w:sz w:val="24"/>
          <w:szCs w:val="24"/>
          <w:lang w:val="en-GB"/>
        </w:rPr>
        <w:t xml:space="preserve"> differences in emphasis</w:t>
      </w:r>
      <w:r w:rsidR="003D0203" w:rsidRPr="00B312EF">
        <w:rPr>
          <w:sz w:val="24"/>
          <w:szCs w:val="24"/>
          <w:lang w:val="en-GB"/>
        </w:rPr>
        <w:t>.</w:t>
      </w:r>
    </w:p>
    <w:p w14:paraId="62A4ED6E" w14:textId="6D74A227" w:rsidR="003D0203" w:rsidRPr="00B312EF" w:rsidRDefault="006D12FD" w:rsidP="00754F5D">
      <w:pPr>
        <w:pStyle w:val="Flietext"/>
        <w:tabs>
          <w:tab w:val="clear" w:pos="8640"/>
          <w:tab w:val="left" w:pos="8520"/>
        </w:tabs>
        <w:rPr>
          <w:sz w:val="24"/>
          <w:szCs w:val="24"/>
          <w:lang w:val="en-GB"/>
        </w:rPr>
      </w:pPr>
      <w:r w:rsidRPr="00B312EF">
        <w:rPr>
          <w:sz w:val="24"/>
          <w:szCs w:val="24"/>
          <w:lang w:val="en-GB"/>
        </w:rPr>
        <w:t xml:space="preserve">We will present our metaphilosophical thesis </w:t>
      </w:r>
      <w:r w:rsidR="0023378A">
        <w:rPr>
          <w:sz w:val="24"/>
          <w:szCs w:val="24"/>
          <w:lang w:val="en-GB"/>
        </w:rPr>
        <w:t xml:space="preserve">to begin with </w:t>
      </w:r>
      <w:r w:rsidRPr="00B312EF">
        <w:rPr>
          <w:sz w:val="24"/>
          <w:szCs w:val="24"/>
          <w:lang w:val="en-GB"/>
        </w:rPr>
        <w:t>in relation to</w:t>
      </w:r>
      <w:r w:rsidR="001B6019" w:rsidRPr="00B312EF">
        <w:rPr>
          <w:sz w:val="24"/>
          <w:szCs w:val="24"/>
          <w:lang w:val="en-GB"/>
        </w:rPr>
        <w:t xml:space="preserve"> doing philosophy in general, and our subsequent conclusions about philosophy teaching will also mostly remain at the level of </w:t>
      </w:r>
      <w:r w:rsidR="00593ED5" w:rsidRPr="00B312EF">
        <w:rPr>
          <w:sz w:val="24"/>
          <w:szCs w:val="24"/>
          <w:lang w:val="en-GB"/>
        </w:rPr>
        <w:t>basic</w:t>
      </w:r>
      <w:r w:rsidR="001B6019" w:rsidRPr="00B312EF">
        <w:rPr>
          <w:sz w:val="24"/>
          <w:szCs w:val="24"/>
          <w:lang w:val="en-GB"/>
        </w:rPr>
        <w:t xml:space="preserve"> principles. A</w:t>
      </w:r>
      <w:r w:rsidR="00593ED5" w:rsidRPr="00B312EF">
        <w:rPr>
          <w:sz w:val="24"/>
          <w:szCs w:val="24"/>
          <w:lang w:val="en-GB"/>
        </w:rPr>
        <w:t>t the same time</w:t>
      </w:r>
      <w:r w:rsidR="001B6019" w:rsidRPr="00B312EF">
        <w:rPr>
          <w:sz w:val="24"/>
          <w:szCs w:val="24"/>
          <w:lang w:val="en-GB"/>
        </w:rPr>
        <w:t xml:space="preserve">, we do offer a contribution to a “theory of philosophy education” in the strict sense insofar as 1) the theoretical gap to be filled, 2) the question to be posed as a consequence of this gap, and 3) the criteria a successful theory has to </w:t>
      </w:r>
      <w:r w:rsidR="001B6019" w:rsidRPr="00B312EF">
        <w:rPr>
          <w:sz w:val="24"/>
          <w:szCs w:val="24"/>
          <w:lang w:val="en-GB"/>
        </w:rPr>
        <w:lastRenderedPageBreak/>
        <w:t xml:space="preserve">meet all </w:t>
      </w:r>
      <w:r w:rsidR="00572130" w:rsidRPr="00B312EF">
        <w:rPr>
          <w:sz w:val="24"/>
          <w:szCs w:val="24"/>
          <w:lang w:val="en-GB"/>
        </w:rPr>
        <w:t>arise out of the scholarship of philosophy education</w:t>
      </w:r>
      <w:r w:rsidR="003D0203" w:rsidRPr="00B312EF">
        <w:rPr>
          <w:sz w:val="24"/>
          <w:szCs w:val="24"/>
          <w:lang w:val="en-GB"/>
        </w:rPr>
        <w:t>.</w:t>
      </w:r>
    </w:p>
    <w:p w14:paraId="6C35905E" w14:textId="5E97A78B" w:rsidR="003D0203" w:rsidRPr="00B312EF" w:rsidRDefault="003D0203" w:rsidP="00754F5D">
      <w:pPr>
        <w:pStyle w:val="Flietext"/>
        <w:tabs>
          <w:tab w:val="clear" w:pos="8640"/>
          <w:tab w:val="left" w:pos="8520"/>
        </w:tabs>
        <w:rPr>
          <w:b/>
          <w:bCs/>
          <w:sz w:val="24"/>
          <w:szCs w:val="24"/>
          <w:lang w:val="en-GB"/>
        </w:rPr>
      </w:pPr>
      <w:r w:rsidRPr="00B312EF">
        <w:rPr>
          <w:b/>
          <w:bCs/>
          <w:sz w:val="24"/>
          <w:szCs w:val="24"/>
          <w:lang w:val="en-GB"/>
        </w:rPr>
        <w:t>1.1. Th</w:t>
      </w:r>
      <w:r w:rsidR="00024375" w:rsidRPr="00B312EF">
        <w:rPr>
          <w:b/>
          <w:bCs/>
          <w:sz w:val="24"/>
          <w:szCs w:val="24"/>
          <w:lang w:val="en-GB"/>
        </w:rPr>
        <w:t>e Theoretical Gap to Be Filled</w:t>
      </w:r>
    </w:p>
    <w:p w14:paraId="0FFBE50C" w14:textId="465C5946" w:rsidR="007A5D1D" w:rsidRPr="00B312EF" w:rsidRDefault="00024375" w:rsidP="00B95EFA">
      <w:pPr>
        <w:pStyle w:val="Flietext"/>
        <w:tabs>
          <w:tab w:val="clear" w:pos="8640"/>
          <w:tab w:val="left" w:pos="8520"/>
        </w:tabs>
        <w:rPr>
          <w:sz w:val="24"/>
          <w:szCs w:val="24"/>
          <w:lang w:val="en-GB"/>
        </w:rPr>
      </w:pPr>
      <w:r w:rsidRPr="00B312EF">
        <w:rPr>
          <w:sz w:val="24"/>
          <w:szCs w:val="24"/>
          <w:lang w:val="en-GB"/>
        </w:rPr>
        <w:t>We suppose that the majority of specialists in philosophy education today would agree that the history of philosophy “belongs” in the philosophy classroom in some way. The old dividing line between historical and systematic philosophers, which came repeatedly to the forefront in scholarly debate and academic politics in recent decades and which, for example, continued to play an important role in German-language philosophy education in the Martens-Rehfus debate of the 1980s,</w:t>
      </w:r>
      <w:r w:rsidR="003D0203" w:rsidRPr="00B312EF">
        <w:rPr>
          <w:sz w:val="24"/>
          <w:szCs w:val="24"/>
          <w:vertAlign w:val="superscript"/>
          <w:lang w:val="en-GB"/>
        </w:rPr>
        <w:footnoteReference w:id="1"/>
      </w:r>
      <w:r w:rsidR="003D0203" w:rsidRPr="00B312EF">
        <w:rPr>
          <w:sz w:val="24"/>
          <w:szCs w:val="24"/>
          <w:lang w:val="en-GB"/>
        </w:rPr>
        <w:t xml:space="preserve"> </w:t>
      </w:r>
      <w:r w:rsidRPr="00B312EF">
        <w:rPr>
          <w:sz w:val="24"/>
          <w:szCs w:val="24"/>
          <w:lang w:val="en-GB"/>
        </w:rPr>
        <w:t xml:space="preserve">appears to have given way </w:t>
      </w:r>
      <w:r w:rsidR="0052447E" w:rsidRPr="00B312EF">
        <w:rPr>
          <w:sz w:val="24"/>
          <w:szCs w:val="24"/>
          <w:lang w:val="en-GB"/>
        </w:rPr>
        <w:t>for the most part to a pragmatic consensus in current teaching practice at schools and universities</w:t>
      </w:r>
      <w:r w:rsidR="003D0203" w:rsidRPr="00B312EF">
        <w:rPr>
          <w:sz w:val="24"/>
          <w:szCs w:val="24"/>
          <w:lang w:val="en-GB"/>
        </w:rPr>
        <w:t>.</w:t>
      </w:r>
      <w:r w:rsidR="003D0203" w:rsidRPr="00B312EF">
        <w:rPr>
          <w:sz w:val="24"/>
          <w:szCs w:val="24"/>
          <w:vertAlign w:val="superscript"/>
          <w:lang w:val="en-GB"/>
        </w:rPr>
        <w:footnoteReference w:id="2"/>
      </w:r>
      <w:r w:rsidR="003D0203" w:rsidRPr="00B312EF">
        <w:rPr>
          <w:sz w:val="24"/>
          <w:szCs w:val="24"/>
          <w:lang w:val="en-GB"/>
        </w:rPr>
        <w:t xml:space="preserve"> </w:t>
      </w:r>
      <w:r w:rsidR="005D54E5" w:rsidRPr="00B312EF">
        <w:rPr>
          <w:sz w:val="24"/>
          <w:szCs w:val="24"/>
          <w:lang w:val="en-GB"/>
        </w:rPr>
        <w:t xml:space="preserve">This consensus – to the extent that it actually exists – nevertheless lacks a theoretical and conceptual foundation. For what purpose can and should the history of philosophy be incorporated into the framework of, for example, problem-oriented philosophy instruction? Is such an incorporation merely optional, because it happens to be useful, or </w:t>
      </w:r>
      <w:r w:rsidR="00593ED5" w:rsidRPr="00B312EF">
        <w:rPr>
          <w:sz w:val="24"/>
          <w:szCs w:val="24"/>
          <w:lang w:val="en-GB"/>
        </w:rPr>
        <w:t xml:space="preserve">is it </w:t>
      </w:r>
      <w:r w:rsidR="005D54E5" w:rsidRPr="00B312EF">
        <w:rPr>
          <w:sz w:val="24"/>
          <w:szCs w:val="24"/>
          <w:lang w:val="en-GB"/>
        </w:rPr>
        <w:t xml:space="preserve">constitutive? Some implicit answers to these questions can indeed be found in the philosophy education discourse, but there has up to now been scarcely any targeted discussion on a theoretical and conceptual level, going beyond methodological suggestions. However, the 2023 establishment of a working group on “History of Philosophy and Philosophy Education” (“Philosophiegeschichte und </w:t>
      </w:r>
      <w:r w:rsidR="00754F5D" w:rsidRPr="00B312EF">
        <w:rPr>
          <w:sz w:val="24"/>
          <w:szCs w:val="24"/>
          <w:lang w:val="en-GB"/>
        </w:rPr>
        <w:t>-d</w:t>
      </w:r>
      <w:r w:rsidR="005D54E5" w:rsidRPr="00B312EF">
        <w:rPr>
          <w:sz w:val="24"/>
          <w:szCs w:val="24"/>
          <w:lang w:val="en-GB"/>
        </w:rPr>
        <w:t xml:space="preserve">idaktik”) and the organization of a conference on the same </w:t>
      </w:r>
      <w:r w:rsidR="00754F5D" w:rsidRPr="00B312EF">
        <w:rPr>
          <w:sz w:val="24"/>
          <w:szCs w:val="24"/>
          <w:lang w:val="en-GB"/>
        </w:rPr>
        <w:t>subject by the Gesellschaft für Philosophie- und Ethikdidaktik (Society for Philosophy and Ethics Education) in March 2024 show that the relevance of the topic and the existing need for research have meanwhile come to be recognized.</w:t>
      </w:r>
    </w:p>
    <w:p w14:paraId="69BA1E62" w14:textId="11A22FE6" w:rsidR="007A5D1D" w:rsidRPr="00B312EF" w:rsidRDefault="007A5D1D" w:rsidP="007A5D1D">
      <w:pPr>
        <w:pStyle w:val="Flietext"/>
        <w:tabs>
          <w:tab w:val="clear" w:pos="8640"/>
          <w:tab w:val="left" w:pos="8520"/>
        </w:tabs>
        <w:rPr>
          <w:b/>
          <w:bCs/>
          <w:sz w:val="24"/>
          <w:szCs w:val="24"/>
          <w:lang w:val="en-GB"/>
        </w:rPr>
      </w:pPr>
      <w:r w:rsidRPr="00B312EF">
        <w:rPr>
          <w:b/>
          <w:bCs/>
          <w:sz w:val="24"/>
          <w:szCs w:val="24"/>
          <w:lang w:val="en-GB"/>
        </w:rPr>
        <w:t xml:space="preserve">1.2. </w:t>
      </w:r>
      <w:r w:rsidR="00B95EFA" w:rsidRPr="00B312EF">
        <w:rPr>
          <w:b/>
          <w:bCs/>
          <w:sz w:val="24"/>
          <w:szCs w:val="24"/>
          <w:lang w:val="en-GB"/>
        </w:rPr>
        <w:t>The Question</w:t>
      </w:r>
    </w:p>
    <w:p w14:paraId="242C74EA" w14:textId="7EFC91B1" w:rsidR="007A5D1D" w:rsidRPr="00B312EF" w:rsidRDefault="00B95EFA" w:rsidP="007A5D1D">
      <w:pPr>
        <w:pStyle w:val="Flietext"/>
        <w:tabs>
          <w:tab w:val="clear" w:pos="8640"/>
          <w:tab w:val="left" w:pos="8520"/>
        </w:tabs>
        <w:rPr>
          <w:sz w:val="24"/>
          <w:szCs w:val="24"/>
          <w:lang w:val="en-GB"/>
        </w:rPr>
      </w:pPr>
      <w:r w:rsidRPr="00B312EF">
        <w:rPr>
          <w:sz w:val="24"/>
          <w:szCs w:val="24"/>
          <w:lang w:val="en-GB"/>
        </w:rPr>
        <w:t>In order to be able to characterize the relationship between philosophy teaching and the history of philosophy, we need a metaphilosophical</w:t>
      </w:r>
      <w:r w:rsidR="00DE7963">
        <w:rPr>
          <w:sz w:val="24"/>
          <w:szCs w:val="24"/>
          <w:lang w:val="en-GB"/>
        </w:rPr>
        <w:t xml:space="preserve"> reference </w:t>
      </w:r>
      <w:r w:rsidR="00B312EF" w:rsidRPr="00B312EF">
        <w:rPr>
          <w:sz w:val="24"/>
          <w:szCs w:val="24"/>
          <w:lang w:val="en-GB"/>
        </w:rPr>
        <w:t xml:space="preserve">theory, but in many cases, the scholarly debates </w:t>
      </w:r>
      <w:r w:rsidR="00DE7963">
        <w:rPr>
          <w:sz w:val="24"/>
          <w:szCs w:val="24"/>
          <w:lang w:val="en-GB"/>
        </w:rPr>
        <w:t xml:space="preserve">(and the academic politics) </w:t>
      </w:r>
      <w:r w:rsidR="00B312EF" w:rsidRPr="00B312EF">
        <w:rPr>
          <w:sz w:val="24"/>
          <w:szCs w:val="24"/>
          <w:lang w:val="en-GB"/>
        </w:rPr>
        <w:t>about the relationship between philosophy and the history of philosophy can only be adapted to our purposes to a limited extent</w:t>
      </w:r>
      <w:r w:rsidR="00B312EF">
        <w:rPr>
          <w:sz w:val="24"/>
          <w:szCs w:val="24"/>
          <w:lang w:val="en-GB"/>
        </w:rPr>
        <w:t>.</w:t>
      </w:r>
      <w:r w:rsidR="007A5D1D" w:rsidRPr="00B312EF">
        <w:rPr>
          <w:sz w:val="24"/>
          <w:szCs w:val="24"/>
          <w:vertAlign w:val="superscript"/>
          <w:lang w:val="en-GB"/>
        </w:rPr>
        <w:footnoteReference w:id="3"/>
      </w:r>
      <w:r w:rsidR="007A5D1D" w:rsidRPr="00B312EF">
        <w:rPr>
          <w:sz w:val="24"/>
          <w:szCs w:val="24"/>
          <w:lang w:val="en-GB"/>
        </w:rPr>
        <w:t xml:space="preserve"> </w:t>
      </w:r>
      <w:r w:rsidR="00B312EF">
        <w:rPr>
          <w:sz w:val="24"/>
          <w:szCs w:val="24"/>
          <w:lang w:val="en-GB"/>
        </w:rPr>
        <w:t xml:space="preserve">This is the case, for </w:t>
      </w:r>
      <w:r w:rsidR="00B312EF">
        <w:rPr>
          <w:sz w:val="24"/>
          <w:szCs w:val="24"/>
          <w:lang w:val="en-GB"/>
        </w:rPr>
        <w:lastRenderedPageBreak/>
        <w:t xml:space="preserve">example, when philosophy is understood in these debates exclusively as </w:t>
      </w:r>
      <w:r w:rsidR="0023378A">
        <w:rPr>
          <w:sz w:val="24"/>
          <w:szCs w:val="24"/>
          <w:lang w:val="en-GB"/>
        </w:rPr>
        <w:t>the</w:t>
      </w:r>
      <w:r w:rsidR="00B312EF">
        <w:rPr>
          <w:sz w:val="24"/>
          <w:szCs w:val="24"/>
          <w:lang w:val="en-GB"/>
        </w:rPr>
        <w:t xml:space="preserve"> academic, scholarly discipline.</w:t>
      </w:r>
      <w:r w:rsidR="00DB2911">
        <w:rPr>
          <w:sz w:val="24"/>
          <w:szCs w:val="24"/>
          <w:lang w:val="en-GB"/>
        </w:rPr>
        <w:t xml:space="preserve"> Moreover, philosophy education has to be very cautious about taking a position in </w:t>
      </w:r>
      <w:r w:rsidR="00AB611C">
        <w:rPr>
          <w:sz w:val="24"/>
          <w:szCs w:val="24"/>
          <w:lang w:val="en-GB"/>
        </w:rPr>
        <w:t>favour</w:t>
      </w:r>
      <w:r w:rsidR="00DB2911">
        <w:rPr>
          <w:sz w:val="24"/>
          <w:szCs w:val="24"/>
          <w:lang w:val="en-GB"/>
        </w:rPr>
        <w:t xml:space="preserve"> of one or another specific conception of philosophy, something which may be legitimate and appropriate in </w:t>
      </w:r>
      <w:r w:rsidR="00DE7963">
        <w:rPr>
          <w:sz w:val="24"/>
          <w:szCs w:val="24"/>
          <w:lang w:val="en-GB"/>
        </w:rPr>
        <w:t>scholarly</w:t>
      </w:r>
      <w:r w:rsidR="00DB2911">
        <w:rPr>
          <w:sz w:val="24"/>
          <w:szCs w:val="24"/>
          <w:lang w:val="en-GB"/>
        </w:rPr>
        <w:t xml:space="preserve"> debate. Finally, and this is the most important point, the </w:t>
      </w:r>
      <w:r w:rsidR="00DE7963">
        <w:rPr>
          <w:sz w:val="24"/>
          <w:szCs w:val="24"/>
          <w:lang w:val="en-GB"/>
        </w:rPr>
        <w:t>scholarly</w:t>
      </w:r>
      <w:r w:rsidR="00DB2911">
        <w:rPr>
          <w:sz w:val="24"/>
          <w:szCs w:val="24"/>
          <w:lang w:val="en-GB"/>
        </w:rPr>
        <w:t xml:space="preserve"> discipline’s widespread understanding of the history of philosophy as a </w:t>
      </w:r>
      <w:r w:rsidR="00DB2911">
        <w:rPr>
          <w:i/>
          <w:iCs/>
          <w:sz w:val="24"/>
          <w:szCs w:val="24"/>
          <w:lang w:val="en-GB"/>
        </w:rPr>
        <w:t>history of ideas</w:t>
      </w:r>
      <w:r w:rsidR="00DB2911">
        <w:rPr>
          <w:sz w:val="24"/>
          <w:szCs w:val="24"/>
          <w:lang w:val="en-GB"/>
        </w:rPr>
        <w:t xml:space="preserve"> is in our view not an appropriate foundation for philosophy education</w:t>
      </w:r>
      <w:r w:rsidR="007A5D1D" w:rsidRPr="00B312EF">
        <w:rPr>
          <w:sz w:val="24"/>
          <w:szCs w:val="24"/>
          <w:lang w:val="en-GB"/>
        </w:rPr>
        <w:t xml:space="preserve">. </w:t>
      </w:r>
      <w:r w:rsidR="00DB2911">
        <w:rPr>
          <w:sz w:val="24"/>
          <w:szCs w:val="24"/>
          <w:lang w:val="en-GB"/>
        </w:rPr>
        <w:t xml:space="preserve">Briefly put, a history of philosophy that is understood as a </w:t>
      </w:r>
      <w:r w:rsidR="00DB2911">
        <w:rPr>
          <w:i/>
          <w:iCs/>
          <w:sz w:val="24"/>
          <w:szCs w:val="24"/>
          <w:lang w:val="en-GB"/>
        </w:rPr>
        <w:t>static object</w:t>
      </w:r>
      <w:r w:rsidR="00DB2911">
        <w:rPr>
          <w:sz w:val="24"/>
          <w:szCs w:val="24"/>
          <w:lang w:val="en-GB"/>
        </w:rPr>
        <w:t xml:space="preserve"> will always ultimately remain a </w:t>
      </w:r>
      <w:r w:rsidR="00DE7963">
        <w:rPr>
          <w:sz w:val="24"/>
          <w:szCs w:val="24"/>
          <w:lang w:val="en-GB"/>
        </w:rPr>
        <w:t xml:space="preserve">conceptually </w:t>
      </w:r>
      <w:r w:rsidR="00DB2911">
        <w:rPr>
          <w:sz w:val="24"/>
          <w:szCs w:val="24"/>
          <w:lang w:val="en-GB"/>
        </w:rPr>
        <w:t xml:space="preserve">foreign body within the </w:t>
      </w:r>
      <w:r w:rsidR="00DB2911">
        <w:rPr>
          <w:i/>
          <w:iCs/>
          <w:sz w:val="24"/>
          <w:szCs w:val="24"/>
          <w:lang w:val="en-GB"/>
        </w:rPr>
        <w:t>dynamic event</w:t>
      </w:r>
      <w:r w:rsidR="00DB2911">
        <w:rPr>
          <w:sz w:val="24"/>
          <w:szCs w:val="24"/>
          <w:lang w:val="en-GB"/>
        </w:rPr>
        <w:t xml:space="preserve"> of philosophy teaching. For this reason, a </w:t>
      </w:r>
      <w:r w:rsidR="00DE7963">
        <w:rPr>
          <w:sz w:val="24"/>
          <w:szCs w:val="24"/>
          <w:lang w:val="en-GB"/>
        </w:rPr>
        <w:t xml:space="preserve">reference </w:t>
      </w:r>
      <w:r w:rsidR="00DB2911">
        <w:rPr>
          <w:sz w:val="24"/>
          <w:szCs w:val="24"/>
          <w:lang w:val="en-GB"/>
        </w:rPr>
        <w:t xml:space="preserve">theory </w:t>
      </w:r>
      <w:r w:rsidR="00DE7963">
        <w:rPr>
          <w:sz w:val="24"/>
          <w:szCs w:val="24"/>
          <w:lang w:val="en-GB"/>
        </w:rPr>
        <w:t>for</w:t>
      </w:r>
      <w:r w:rsidR="00DB2911">
        <w:rPr>
          <w:sz w:val="24"/>
          <w:szCs w:val="24"/>
          <w:lang w:val="en-GB"/>
        </w:rPr>
        <w:t xml:space="preserve"> philosophy education, that is, one that takes the </w:t>
      </w:r>
      <w:r w:rsidR="00AB611C">
        <w:rPr>
          <w:sz w:val="24"/>
          <w:szCs w:val="24"/>
          <w:lang w:val="en-GB"/>
        </w:rPr>
        <w:t>classroom</w:t>
      </w:r>
      <w:r w:rsidR="00DB2911">
        <w:rPr>
          <w:sz w:val="24"/>
          <w:szCs w:val="24"/>
          <w:lang w:val="en-GB"/>
        </w:rPr>
        <w:t xml:space="preserve"> as its starting point, has to be </w:t>
      </w:r>
      <w:r w:rsidR="00AB611C">
        <w:rPr>
          <w:sz w:val="24"/>
          <w:szCs w:val="24"/>
          <w:lang w:val="en-GB"/>
        </w:rPr>
        <w:t>centred</w:t>
      </w:r>
      <w:r w:rsidR="00DB2911">
        <w:rPr>
          <w:sz w:val="24"/>
          <w:szCs w:val="24"/>
          <w:lang w:val="en-GB"/>
        </w:rPr>
        <w:t xml:space="preserve"> on </w:t>
      </w:r>
      <w:r w:rsidR="00DB2911">
        <w:rPr>
          <w:i/>
          <w:iCs/>
          <w:sz w:val="24"/>
          <w:szCs w:val="24"/>
          <w:lang w:val="en-GB"/>
        </w:rPr>
        <w:t>actually doing philosophy</w:t>
      </w:r>
      <w:r w:rsidR="00DB2911">
        <w:rPr>
          <w:sz w:val="24"/>
          <w:szCs w:val="24"/>
          <w:lang w:val="en-GB"/>
        </w:rPr>
        <w:t>. As we will see, it makes a difference whet</w:t>
      </w:r>
      <w:r w:rsidR="00605B8C">
        <w:rPr>
          <w:sz w:val="24"/>
          <w:szCs w:val="24"/>
          <w:lang w:val="en-GB"/>
        </w:rPr>
        <w:t xml:space="preserve">her we consider the relationship between the history of philosophy and </w:t>
      </w:r>
      <w:r w:rsidR="00605B8C">
        <w:rPr>
          <w:i/>
          <w:iCs/>
          <w:sz w:val="24"/>
          <w:szCs w:val="24"/>
          <w:lang w:val="en-GB"/>
        </w:rPr>
        <w:t>philosophy</w:t>
      </w:r>
      <w:r w:rsidR="00605B8C">
        <w:rPr>
          <w:sz w:val="24"/>
          <w:szCs w:val="24"/>
          <w:lang w:val="en-GB"/>
        </w:rPr>
        <w:t xml:space="preserve"> as an academic and scholarly </w:t>
      </w:r>
      <w:r w:rsidR="00605B8C">
        <w:rPr>
          <w:i/>
          <w:iCs/>
          <w:sz w:val="24"/>
          <w:szCs w:val="24"/>
          <w:lang w:val="en-GB"/>
        </w:rPr>
        <w:t>discipline</w:t>
      </w:r>
      <w:r w:rsidR="00605B8C">
        <w:rPr>
          <w:sz w:val="24"/>
          <w:szCs w:val="24"/>
          <w:lang w:val="en-GB"/>
        </w:rPr>
        <w:t xml:space="preserve"> or </w:t>
      </w:r>
      <w:r w:rsidR="00605B8C">
        <w:rPr>
          <w:i/>
          <w:iCs/>
          <w:sz w:val="24"/>
          <w:szCs w:val="24"/>
          <w:lang w:val="en-GB"/>
        </w:rPr>
        <w:t>doing philosophy</w:t>
      </w:r>
      <w:r w:rsidR="00605B8C">
        <w:rPr>
          <w:sz w:val="24"/>
          <w:szCs w:val="24"/>
          <w:lang w:val="en-GB"/>
        </w:rPr>
        <w:t xml:space="preserve"> as an </w:t>
      </w:r>
      <w:r w:rsidR="00605B8C">
        <w:rPr>
          <w:i/>
          <w:iCs/>
          <w:sz w:val="24"/>
          <w:szCs w:val="24"/>
          <w:lang w:val="en-GB"/>
        </w:rPr>
        <w:t>activity</w:t>
      </w:r>
      <w:r w:rsidR="00605B8C">
        <w:rPr>
          <w:sz w:val="24"/>
          <w:szCs w:val="24"/>
          <w:lang w:val="en-GB"/>
        </w:rPr>
        <w:t xml:space="preserve">. The following reflections on the relationship </w:t>
      </w:r>
      <w:r w:rsidR="00AB611C">
        <w:rPr>
          <w:sz w:val="24"/>
          <w:szCs w:val="24"/>
          <w:lang w:val="en-GB"/>
        </w:rPr>
        <w:t>between</w:t>
      </w:r>
      <w:r w:rsidR="00605B8C">
        <w:rPr>
          <w:sz w:val="24"/>
          <w:szCs w:val="24"/>
          <w:lang w:val="en-GB"/>
        </w:rPr>
        <w:t xml:space="preserve"> doing philosophy and the history of philosophy are therefore offered from the perspective of </w:t>
      </w:r>
      <w:r w:rsidR="00605B8C">
        <w:rPr>
          <w:i/>
          <w:iCs/>
          <w:sz w:val="24"/>
          <w:szCs w:val="24"/>
          <w:lang w:val="en-GB"/>
        </w:rPr>
        <w:t>doing philosophy as praxis</w:t>
      </w:r>
      <w:r w:rsidR="007A5D1D" w:rsidRPr="00B312EF">
        <w:rPr>
          <w:sz w:val="24"/>
          <w:szCs w:val="24"/>
          <w:lang w:val="en-GB"/>
        </w:rPr>
        <w:t>.</w:t>
      </w:r>
      <w:r w:rsidR="007A5D1D" w:rsidRPr="00B312EF">
        <w:rPr>
          <w:sz w:val="24"/>
          <w:szCs w:val="24"/>
          <w:vertAlign w:val="superscript"/>
          <w:lang w:val="en-GB"/>
        </w:rPr>
        <w:footnoteReference w:id="4"/>
      </w:r>
    </w:p>
    <w:p w14:paraId="588DEA48" w14:textId="54950ED3" w:rsidR="007A5D1D" w:rsidRPr="00B312EF" w:rsidRDefault="007A5D1D" w:rsidP="007A5D1D">
      <w:pPr>
        <w:pStyle w:val="Flietext"/>
        <w:tabs>
          <w:tab w:val="clear" w:pos="8640"/>
          <w:tab w:val="left" w:pos="8520"/>
        </w:tabs>
        <w:rPr>
          <w:b/>
          <w:bCs/>
          <w:sz w:val="24"/>
          <w:szCs w:val="24"/>
          <w:lang w:val="en-GB"/>
        </w:rPr>
      </w:pPr>
      <w:r w:rsidRPr="00B312EF">
        <w:rPr>
          <w:b/>
          <w:bCs/>
          <w:sz w:val="24"/>
          <w:szCs w:val="24"/>
          <w:lang w:val="en-GB"/>
        </w:rPr>
        <w:t xml:space="preserve">1.3. </w:t>
      </w:r>
      <w:r w:rsidR="00605B8C">
        <w:rPr>
          <w:b/>
          <w:bCs/>
          <w:sz w:val="24"/>
          <w:szCs w:val="24"/>
          <w:lang w:val="en-GB"/>
        </w:rPr>
        <w:t>The Criteria</w:t>
      </w:r>
    </w:p>
    <w:p w14:paraId="5761AB9D" w14:textId="32498B72" w:rsidR="007A5D1D" w:rsidRPr="00B312EF" w:rsidRDefault="00605B8C" w:rsidP="007A5D1D">
      <w:pPr>
        <w:pStyle w:val="Flietext"/>
        <w:tabs>
          <w:tab w:val="clear" w:pos="8640"/>
          <w:tab w:val="left" w:pos="8520"/>
        </w:tabs>
        <w:rPr>
          <w:sz w:val="24"/>
          <w:szCs w:val="24"/>
          <w:lang w:val="en-GB"/>
        </w:rPr>
      </w:pPr>
      <w:r>
        <w:rPr>
          <w:sz w:val="24"/>
          <w:szCs w:val="24"/>
          <w:lang w:val="en-GB"/>
        </w:rPr>
        <w:t xml:space="preserve">A </w:t>
      </w:r>
      <w:r w:rsidR="00DE7963">
        <w:rPr>
          <w:sz w:val="24"/>
          <w:szCs w:val="24"/>
          <w:lang w:val="en-GB"/>
        </w:rPr>
        <w:t xml:space="preserve">reference </w:t>
      </w:r>
      <w:r>
        <w:rPr>
          <w:sz w:val="24"/>
          <w:szCs w:val="24"/>
          <w:lang w:val="en-GB"/>
        </w:rPr>
        <w:t>theory about the relationship between philosophy education and the history of philosophy also has to meet a number of criteria drawn from the specific theoretical needs of the discipline of education</w:t>
      </w:r>
      <w:r w:rsidR="007A5D1D" w:rsidRPr="00B312EF">
        <w:rPr>
          <w:sz w:val="24"/>
          <w:szCs w:val="24"/>
          <w:lang w:val="en-GB"/>
        </w:rPr>
        <w:t>:</w:t>
      </w:r>
    </w:p>
    <w:p w14:paraId="59018F9C" w14:textId="3B88BE08" w:rsidR="007A5D1D" w:rsidRPr="00B312EF" w:rsidRDefault="003F75C1" w:rsidP="007A5D1D">
      <w:pPr>
        <w:pStyle w:val="Flietext"/>
        <w:numPr>
          <w:ilvl w:val="0"/>
          <w:numId w:val="2"/>
        </w:numPr>
        <w:rPr>
          <w:sz w:val="24"/>
          <w:szCs w:val="24"/>
          <w:lang w:val="en-GB"/>
        </w:rPr>
      </w:pPr>
      <w:r>
        <w:rPr>
          <w:sz w:val="24"/>
          <w:szCs w:val="24"/>
          <w:lang w:val="en-GB"/>
        </w:rPr>
        <w:t>It should be based on the weakest possible philosophical prerequisites and should avoid as far as possible privileging particular philosophical currents</w:t>
      </w:r>
      <w:r w:rsidR="007A5D1D" w:rsidRPr="00B312EF">
        <w:rPr>
          <w:sz w:val="24"/>
          <w:szCs w:val="24"/>
          <w:lang w:val="en-GB"/>
        </w:rPr>
        <w:t>.</w:t>
      </w:r>
    </w:p>
    <w:p w14:paraId="2BEF2AE4" w14:textId="33BB266D" w:rsidR="007A5D1D" w:rsidRPr="00B312EF" w:rsidRDefault="003F75C1" w:rsidP="007A5D1D">
      <w:pPr>
        <w:pStyle w:val="Flietext"/>
        <w:numPr>
          <w:ilvl w:val="0"/>
          <w:numId w:val="2"/>
        </w:numPr>
        <w:rPr>
          <w:sz w:val="24"/>
          <w:szCs w:val="24"/>
          <w:lang w:val="en-GB"/>
        </w:rPr>
      </w:pPr>
      <w:r>
        <w:rPr>
          <w:sz w:val="24"/>
          <w:szCs w:val="24"/>
          <w:lang w:val="en-GB"/>
        </w:rPr>
        <w:t>Where the classroom is concerned, it should not aim at or imply an unproductive standardization of the “right” way of doing philosophy, the “right” way of incorporating the history of philosophy, or the “right” selection of texts to be read</w:t>
      </w:r>
      <w:r w:rsidR="007A5D1D" w:rsidRPr="00B312EF">
        <w:rPr>
          <w:sz w:val="24"/>
          <w:szCs w:val="24"/>
          <w:lang w:val="en-GB"/>
        </w:rPr>
        <w:t>.</w:t>
      </w:r>
    </w:p>
    <w:p w14:paraId="114D30CB" w14:textId="02D37A1F" w:rsidR="007A5D1D" w:rsidRPr="00B312EF" w:rsidRDefault="003F75C1" w:rsidP="007A5D1D">
      <w:pPr>
        <w:pStyle w:val="Flietext"/>
        <w:numPr>
          <w:ilvl w:val="0"/>
          <w:numId w:val="2"/>
        </w:numPr>
        <w:rPr>
          <w:sz w:val="24"/>
          <w:szCs w:val="24"/>
          <w:lang w:val="en-GB"/>
        </w:rPr>
      </w:pPr>
      <w:r>
        <w:rPr>
          <w:sz w:val="24"/>
          <w:szCs w:val="24"/>
          <w:lang w:val="en-GB"/>
        </w:rPr>
        <w:t xml:space="preserve">It should be practical in two senses; that is, it should both prove useful in the retrospective description of what happens in the classroom and provide a helpful </w:t>
      </w:r>
      <w:r w:rsidR="0023378A">
        <w:rPr>
          <w:sz w:val="24"/>
          <w:szCs w:val="24"/>
          <w:lang w:val="en-GB"/>
        </w:rPr>
        <w:t xml:space="preserve">reference </w:t>
      </w:r>
      <w:r>
        <w:rPr>
          <w:sz w:val="24"/>
          <w:szCs w:val="24"/>
          <w:lang w:val="en-GB"/>
        </w:rPr>
        <w:t xml:space="preserve">point </w:t>
      </w:r>
      <w:r w:rsidR="0023378A">
        <w:rPr>
          <w:sz w:val="24"/>
          <w:szCs w:val="24"/>
          <w:lang w:val="en-GB"/>
        </w:rPr>
        <w:t>for</w:t>
      </w:r>
      <w:r>
        <w:rPr>
          <w:sz w:val="24"/>
          <w:szCs w:val="24"/>
          <w:lang w:val="en-GB"/>
        </w:rPr>
        <w:t xml:space="preserve"> prospective lesson planning</w:t>
      </w:r>
      <w:r w:rsidR="007A5D1D" w:rsidRPr="00B312EF">
        <w:rPr>
          <w:sz w:val="24"/>
          <w:szCs w:val="24"/>
          <w:lang w:val="en-GB"/>
        </w:rPr>
        <w:t>.</w:t>
      </w:r>
    </w:p>
    <w:p w14:paraId="5955858E" w14:textId="085D1109" w:rsidR="007A5D1D" w:rsidRPr="00B312EF" w:rsidRDefault="007A5D1D" w:rsidP="007A5D1D">
      <w:pPr>
        <w:pStyle w:val="Flietext"/>
        <w:tabs>
          <w:tab w:val="clear" w:pos="8640"/>
          <w:tab w:val="left" w:pos="8520"/>
        </w:tabs>
        <w:rPr>
          <w:b/>
          <w:bCs/>
          <w:sz w:val="24"/>
          <w:szCs w:val="24"/>
          <w:lang w:val="en-GB"/>
        </w:rPr>
      </w:pPr>
      <w:r w:rsidRPr="00B312EF">
        <w:rPr>
          <w:b/>
          <w:bCs/>
          <w:sz w:val="24"/>
          <w:szCs w:val="24"/>
          <w:lang w:val="en-GB"/>
        </w:rPr>
        <w:t xml:space="preserve">1.4. </w:t>
      </w:r>
      <w:r w:rsidR="003F75C1">
        <w:rPr>
          <w:b/>
          <w:bCs/>
          <w:sz w:val="24"/>
          <w:szCs w:val="24"/>
          <w:lang w:val="en-GB"/>
        </w:rPr>
        <w:t>Methodology</w:t>
      </w:r>
    </w:p>
    <w:p w14:paraId="40F18010" w14:textId="1FC70AFD" w:rsidR="007A5D1D" w:rsidRPr="00B312EF" w:rsidRDefault="003F75C1" w:rsidP="007A5D1D">
      <w:pPr>
        <w:pStyle w:val="Flietext"/>
        <w:tabs>
          <w:tab w:val="clear" w:pos="8640"/>
          <w:tab w:val="left" w:pos="8520"/>
        </w:tabs>
        <w:rPr>
          <w:sz w:val="24"/>
          <w:szCs w:val="24"/>
          <w:lang w:val="en-GB"/>
        </w:rPr>
      </w:pPr>
      <w:r>
        <w:rPr>
          <w:sz w:val="24"/>
          <w:szCs w:val="24"/>
          <w:lang w:val="en-GB"/>
        </w:rPr>
        <w:lastRenderedPageBreak/>
        <w:t xml:space="preserve">First, we will </w:t>
      </w:r>
      <w:r w:rsidR="003C045C">
        <w:rPr>
          <w:sz w:val="24"/>
          <w:szCs w:val="24"/>
          <w:lang w:val="en-GB"/>
        </w:rPr>
        <w:t xml:space="preserve">formulate the problem more precisely through a brief look at Hegel’s philosophy of the history of philosophy (2). Next, we will discuss several examples of current strategies for dealing with this problem (3). Then, in the main part of the article, we will develop our metaphilosophical thesis on the foundation of Jan Assmann’s theory of “cultural memory,” from which we </w:t>
      </w:r>
      <w:r w:rsidR="0023378A">
        <w:rPr>
          <w:sz w:val="24"/>
          <w:szCs w:val="24"/>
          <w:lang w:val="en-GB"/>
        </w:rPr>
        <w:t>take</w:t>
      </w:r>
      <w:r w:rsidR="003C045C">
        <w:rPr>
          <w:sz w:val="24"/>
          <w:szCs w:val="24"/>
          <w:lang w:val="en-GB"/>
        </w:rPr>
        <w:t xml:space="preserve"> the idea of doing philosophy as composing variations (4). As the basis for a metaphilosophical </w:t>
      </w:r>
      <w:r w:rsidR="00DE7963">
        <w:rPr>
          <w:sz w:val="24"/>
          <w:szCs w:val="24"/>
          <w:lang w:val="en-GB"/>
        </w:rPr>
        <w:t xml:space="preserve">reference </w:t>
      </w:r>
      <w:r w:rsidR="003C045C">
        <w:rPr>
          <w:sz w:val="24"/>
          <w:szCs w:val="24"/>
          <w:lang w:val="en-GB"/>
        </w:rPr>
        <w:t xml:space="preserve">theory, however, this </w:t>
      </w:r>
      <w:r w:rsidR="00414971">
        <w:rPr>
          <w:sz w:val="24"/>
          <w:szCs w:val="24"/>
          <w:lang w:val="en-GB"/>
        </w:rPr>
        <w:t>is only a building block in need of supplementation</w:t>
      </w:r>
      <w:r w:rsidR="003C045C">
        <w:rPr>
          <w:sz w:val="24"/>
          <w:szCs w:val="24"/>
          <w:lang w:val="en-GB"/>
        </w:rPr>
        <w:t>, so in the subsequent section</w:t>
      </w:r>
      <w:r w:rsidR="00414971">
        <w:rPr>
          <w:sz w:val="24"/>
          <w:szCs w:val="24"/>
          <w:lang w:val="en-GB"/>
        </w:rPr>
        <w:t>, we will use Hans Blumenberg’s theory and praxis of the history of philosophy as an example of how it can not only be made more concrete and more easily visualized but also</w:t>
      </w:r>
      <w:r w:rsidR="003C045C">
        <w:rPr>
          <w:sz w:val="24"/>
          <w:szCs w:val="24"/>
          <w:lang w:val="en-GB"/>
        </w:rPr>
        <w:t xml:space="preserve"> </w:t>
      </w:r>
      <w:r w:rsidR="00414971">
        <w:rPr>
          <w:sz w:val="24"/>
          <w:szCs w:val="24"/>
          <w:lang w:val="en-GB"/>
        </w:rPr>
        <w:t>given greater substantive depth</w:t>
      </w:r>
      <w:r w:rsidR="007A5D1D" w:rsidRPr="00B312EF">
        <w:rPr>
          <w:sz w:val="24"/>
          <w:szCs w:val="24"/>
          <w:lang w:val="en-GB"/>
        </w:rPr>
        <w:t xml:space="preserve"> (5).</w:t>
      </w:r>
    </w:p>
    <w:p w14:paraId="0BCAB9BC" w14:textId="47EBD70E" w:rsidR="007A5D1D" w:rsidRPr="00B312EF" w:rsidRDefault="007A5D1D" w:rsidP="007A5D1D">
      <w:pPr>
        <w:pStyle w:val="Flietext"/>
        <w:tabs>
          <w:tab w:val="clear" w:pos="8640"/>
          <w:tab w:val="left" w:pos="8520"/>
        </w:tabs>
        <w:rPr>
          <w:sz w:val="24"/>
          <w:szCs w:val="24"/>
          <w:lang w:val="en-GB"/>
        </w:rPr>
      </w:pPr>
      <w:r w:rsidRPr="00B312EF">
        <w:rPr>
          <w:b/>
          <w:bCs/>
          <w:sz w:val="24"/>
          <w:szCs w:val="24"/>
          <w:lang w:val="en-GB"/>
        </w:rPr>
        <w:t xml:space="preserve">2. </w:t>
      </w:r>
      <w:r w:rsidR="00414971">
        <w:rPr>
          <w:b/>
          <w:bCs/>
          <w:sz w:val="24"/>
          <w:szCs w:val="24"/>
          <w:lang w:val="en-GB"/>
        </w:rPr>
        <w:t>Formulating the Problem More Precisely on the Basis of Hegel’s Theory of the History of Philosophy</w:t>
      </w:r>
    </w:p>
    <w:p w14:paraId="7B44258E" w14:textId="24A42F54" w:rsidR="007A5D1D" w:rsidRPr="00B312EF" w:rsidRDefault="00414971" w:rsidP="007A5D1D">
      <w:pPr>
        <w:pStyle w:val="Flietext"/>
        <w:tabs>
          <w:tab w:val="clear" w:pos="8640"/>
          <w:tab w:val="left" w:pos="8520"/>
        </w:tabs>
        <w:rPr>
          <w:lang w:val="en-GB"/>
        </w:rPr>
      </w:pPr>
      <w:r>
        <w:rPr>
          <w:sz w:val="24"/>
          <w:szCs w:val="24"/>
          <w:lang w:val="en-GB"/>
        </w:rPr>
        <w:t xml:space="preserve">The question about the relationship between doing philosophy and the history of philosophy, as we will now make clear, points to a more fundamental question, whether we should see the two as a </w:t>
      </w:r>
      <w:r>
        <w:rPr>
          <w:i/>
          <w:iCs/>
          <w:sz w:val="24"/>
          <w:szCs w:val="24"/>
          <w:lang w:val="en-GB"/>
        </w:rPr>
        <w:t>duality</w:t>
      </w:r>
      <w:r>
        <w:rPr>
          <w:sz w:val="24"/>
          <w:szCs w:val="24"/>
          <w:lang w:val="en-GB"/>
        </w:rPr>
        <w:t xml:space="preserve"> that has to somehow be brought together into a unified whole or as a preexisting </w:t>
      </w:r>
      <w:r>
        <w:rPr>
          <w:i/>
          <w:iCs/>
          <w:sz w:val="24"/>
          <w:szCs w:val="24"/>
          <w:lang w:val="en-GB"/>
        </w:rPr>
        <w:t>unity</w:t>
      </w:r>
      <w:r>
        <w:rPr>
          <w:sz w:val="24"/>
          <w:szCs w:val="24"/>
          <w:lang w:val="en-GB"/>
        </w:rPr>
        <w:t xml:space="preserve"> within which we simply distinguish two (always interconnected) aspects. We will illustrate this by looking at Hegel’s theory of the history of philosophy</w:t>
      </w:r>
      <w:r w:rsidR="007A5D1D" w:rsidRPr="00B312EF">
        <w:rPr>
          <w:sz w:val="24"/>
          <w:szCs w:val="24"/>
          <w:lang w:val="en-GB"/>
        </w:rPr>
        <w:t>:</w:t>
      </w:r>
      <w:r w:rsidR="007A5D1D" w:rsidRPr="00B312EF">
        <w:rPr>
          <w:sz w:val="24"/>
          <w:szCs w:val="24"/>
          <w:vertAlign w:val="superscript"/>
          <w:lang w:val="en-GB"/>
        </w:rPr>
        <w:footnoteReference w:id="5"/>
      </w:r>
      <w:r w:rsidR="007A5D1D" w:rsidRPr="00B312EF">
        <w:rPr>
          <w:sz w:val="24"/>
          <w:szCs w:val="24"/>
          <w:lang w:val="en-GB"/>
        </w:rPr>
        <w:t xml:space="preserve"> </w:t>
      </w:r>
      <w:r w:rsidR="00345827">
        <w:rPr>
          <w:sz w:val="24"/>
          <w:szCs w:val="24"/>
          <w:lang w:val="en-GB"/>
        </w:rPr>
        <w:t>On the one hand, he postulates th</w:t>
      </w:r>
      <w:r w:rsidR="00C132D0">
        <w:rPr>
          <w:sz w:val="24"/>
          <w:szCs w:val="24"/>
          <w:lang w:val="en-GB"/>
        </w:rPr>
        <w:t>at</w:t>
      </w:r>
      <w:r w:rsidR="00345827">
        <w:rPr>
          <w:sz w:val="24"/>
          <w:szCs w:val="24"/>
          <w:lang w:val="en-GB"/>
        </w:rPr>
        <w:t xml:space="preserve"> historical and systematic ways of doing philosophy</w:t>
      </w:r>
      <w:r w:rsidR="00C132D0">
        <w:rPr>
          <w:sz w:val="24"/>
          <w:szCs w:val="24"/>
          <w:lang w:val="en-GB"/>
        </w:rPr>
        <w:t xml:space="preserve"> are uni</w:t>
      </w:r>
      <w:r w:rsidR="0023378A">
        <w:rPr>
          <w:sz w:val="24"/>
          <w:szCs w:val="24"/>
          <w:lang w:val="en-GB"/>
        </w:rPr>
        <w:t>fi</w:t>
      </w:r>
      <w:r w:rsidR="00C132D0">
        <w:rPr>
          <w:sz w:val="24"/>
          <w:szCs w:val="24"/>
          <w:lang w:val="en-GB"/>
        </w:rPr>
        <w:t>ed in their results</w:t>
      </w:r>
      <w:r w:rsidR="00345827">
        <w:rPr>
          <w:sz w:val="24"/>
          <w:szCs w:val="24"/>
          <w:lang w:val="en-GB"/>
        </w:rPr>
        <w:t>. On the other</w:t>
      </w:r>
      <w:r w:rsidR="0023378A">
        <w:rPr>
          <w:sz w:val="24"/>
          <w:szCs w:val="24"/>
          <w:lang w:val="en-GB"/>
        </w:rPr>
        <w:t xml:space="preserve"> hand</w:t>
      </w:r>
      <w:r w:rsidR="00345827">
        <w:rPr>
          <w:sz w:val="24"/>
          <w:szCs w:val="24"/>
          <w:lang w:val="en-GB"/>
        </w:rPr>
        <w:t>, he draws what appears to be an almost uncrossable border between them on the philosophical map, traces of which can still be found in philosophy and philosophy education today</w:t>
      </w:r>
      <w:r w:rsidR="007A5D1D" w:rsidRPr="00B312EF">
        <w:rPr>
          <w:sz w:val="24"/>
          <w:szCs w:val="24"/>
          <w:lang w:val="en-GB"/>
        </w:rPr>
        <w:t>.</w:t>
      </w:r>
      <w:r w:rsidR="007A5D1D" w:rsidRPr="00B312EF">
        <w:rPr>
          <w:sz w:val="24"/>
          <w:szCs w:val="24"/>
          <w:vertAlign w:val="superscript"/>
          <w:lang w:val="en-GB"/>
        </w:rPr>
        <w:footnoteReference w:id="6"/>
      </w:r>
    </w:p>
    <w:p w14:paraId="0061A4A3" w14:textId="41080505" w:rsidR="007A5D1D" w:rsidRPr="00B312EF" w:rsidRDefault="00F5744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6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As is well known, Hegel sees the history of philosophy as far more than a component of the knowledge to be attained by a well-educated, cultivated person; rather, for him, engagement with this history is itself philosophy in the emphatic sense of “scholarship.” In Hegel’s words,</w:t>
      </w:r>
      <w:r w:rsidR="007A5D1D" w:rsidRPr="00B312EF">
        <w:rPr>
          <w:lang w:val="en-GB"/>
          <w14:textOutline w14:w="12700" w14:cap="flat" w14:cmpd="sng" w14:algn="ctr">
            <w14:noFill/>
            <w14:prstDash w14:val="solid"/>
            <w14:miter w14:lim="400000"/>
          </w14:textOutline>
        </w:rPr>
        <w:t xml:space="preserve"> </w:t>
      </w:r>
      <w:r>
        <w:rPr>
          <w:lang w:val="en-GB"/>
          <w14:textOutline w14:w="12700" w14:cap="flat" w14:cmpd="sng" w14:algn="ctr">
            <w14:noFill/>
            <w14:prstDash w14:val="solid"/>
            <w14:miter w14:lim="400000"/>
          </w14:textOutline>
        </w:rPr>
        <w:t>the</w:t>
      </w:r>
      <w:r w:rsidR="007A5D1D" w:rsidRPr="00B312EF">
        <w:rPr>
          <w:lang w:val="en-GB"/>
          <w14:textOutline w14:w="12700" w14:cap="flat" w14:cmpd="sng" w14:algn="ctr">
            <w14:noFill/>
            <w14:prstDash w14:val="solid"/>
            <w14:miter w14:lim="400000"/>
          </w14:textOutline>
        </w:rPr>
        <w:t xml:space="preserve"> </w:t>
      </w:r>
      <w:r w:rsidR="007A5D1D" w:rsidRPr="00457CC6">
        <w:rPr>
          <w:noProof/>
          <w:highlight w:val="green"/>
          <w14:textOutline w14:w="12700" w14:cap="flat" w14:cmpd="sng" w14:algn="ctr">
            <w14:noFill/>
            <w14:prstDash w14:val="solid"/>
            <w14:miter w14:lim="400000"/>
          </w14:textOutline>
        </w:rPr>
        <w:t>„Studium der Geschichte der Philosophie“</w:t>
      </w:r>
      <w:r w:rsidR="007A5D1D" w:rsidRPr="00B312EF">
        <w:rPr>
          <w:lang w:val="en-GB"/>
          <w14:textOutline w14:w="12700" w14:cap="flat" w14:cmpd="sng" w14:algn="ctr">
            <w14:noFill/>
            <w14:prstDash w14:val="solid"/>
            <w14:miter w14:lim="400000"/>
          </w14:textOutline>
        </w:rPr>
        <w:t xml:space="preserve"> </w:t>
      </w:r>
      <w:r>
        <w:rPr>
          <w:lang w:val="en-GB"/>
          <w14:textOutline w14:w="12700" w14:cap="flat" w14:cmpd="sng" w14:algn="ctr">
            <w14:noFill/>
            <w14:prstDash w14:val="solid"/>
            <w14:miter w14:lim="400000"/>
          </w14:textOutline>
        </w:rPr>
        <w:t>is the</w:t>
      </w:r>
      <w:r w:rsidR="007A5D1D" w:rsidRPr="00B312EF">
        <w:rPr>
          <w:lang w:val="en-GB"/>
          <w14:textOutline w14:w="12700" w14:cap="flat" w14:cmpd="sng" w14:algn="ctr">
            <w14:noFill/>
            <w14:prstDash w14:val="solid"/>
            <w14:miter w14:lim="400000"/>
          </w14:textOutline>
        </w:rPr>
        <w:t xml:space="preserve"> </w:t>
      </w:r>
      <w:r w:rsidR="007A5D1D" w:rsidRPr="00457CC6">
        <w:rPr>
          <w:noProof/>
          <w:highlight w:val="green"/>
          <w14:textOutline w14:w="12700" w14:cap="flat" w14:cmpd="sng" w14:algn="ctr">
            <w14:noFill/>
            <w14:prstDash w14:val="solid"/>
            <w14:miter w14:lim="400000"/>
          </w14:textOutline>
        </w:rPr>
        <w:t>„Studium der Philosophie selbst“</w:t>
      </w:r>
      <w:r w:rsidR="007A5D1D" w:rsidRPr="00434AA5">
        <w:rPr>
          <w:lang w:val="en-GB"/>
          <w14:textOutline w14:w="12700" w14:cap="flat" w14:cmpd="sng" w14:algn="ctr">
            <w14:noFill/>
            <w14:prstDash w14:val="solid"/>
            <w14:miter w14:lim="400000"/>
          </w14:textOutline>
        </w:rPr>
        <w:t xml:space="preserve"> (Hegel 1971: 49)</w:t>
      </w:r>
      <w:r w:rsidR="007A5D1D" w:rsidRPr="00B312EF">
        <w:rPr>
          <w:lang w:val="en-GB"/>
          <w14:textOutline w14:w="12700" w14:cap="flat" w14:cmpd="sng" w14:algn="ctr">
            <w14:noFill/>
            <w14:prstDash w14:val="solid"/>
            <w14:miter w14:lim="400000"/>
          </w14:textOutline>
        </w:rPr>
        <w:t xml:space="preserve">. </w:t>
      </w:r>
      <w:r>
        <w:rPr>
          <w:lang w:val="en-GB"/>
          <w14:textOutline w14:w="12700" w14:cap="flat" w14:cmpd="sng" w14:algn="ctr">
            <w14:noFill/>
            <w14:prstDash w14:val="solid"/>
            <w14:miter w14:lim="400000"/>
          </w14:textOutline>
        </w:rPr>
        <w:t>And again</w:t>
      </w:r>
      <w:r w:rsidR="007A5D1D" w:rsidRPr="00B312EF">
        <w:rPr>
          <w:lang w:val="en-GB"/>
          <w14:textOutline w14:w="12700" w14:cap="flat" w14:cmpd="sng" w14:algn="ctr">
            <w14:noFill/>
            <w14:prstDash w14:val="solid"/>
            <w14:miter w14:lim="400000"/>
          </w14:textOutline>
        </w:rPr>
        <w:t>:</w:t>
      </w:r>
    </w:p>
    <w:p w14:paraId="3CF5B1FE" w14:textId="77777777" w:rsidR="007A5D1D" w:rsidRPr="00457CC6"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00"/>
        <w:ind w:left="500" w:right="120"/>
        <w:jc w:val="both"/>
        <w:rPr>
          <w:sz w:val="20"/>
          <w:szCs w:val="20"/>
          <w:shd w:val="clear" w:color="auto" w:fill="F79646"/>
          <w14:textOutline w14:w="12700" w14:cap="flat" w14:cmpd="sng" w14:algn="ctr">
            <w14:noFill/>
            <w14:prstDash w14:val="solid"/>
            <w14:miter w14:lim="400000"/>
          </w14:textOutline>
        </w:rPr>
      </w:pPr>
      <w:r w:rsidRPr="00457CC6">
        <w:rPr>
          <w:shd w:val="clear" w:color="auto" w:fill="F79646"/>
          <w14:textOutline w14:w="12700" w14:cap="flat" w14:cmpd="sng" w14:algn="ctr">
            <w14:noFill/>
            <w14:prstDash w14:val="solid"/>
            <w14:miter w14:lim="400000"/>
          </w14:textOutline>
        </w:rPr>
        <w:lastRenderedPageBreak/>
        <w:t>Diese Erkenntnisse sind eben […] nicht eine Gelehrsamkeit, die Kenntnis des Verstorbenen, Begrabenen und Verwesten; die Geschichte der Philosophie hat es mit dem nicht Alternden, gegenwärtig Lebendigen zu tun. (Hegel 1971: 58)</w:t>
      </w:r>
    </w:p>
    <w:p w14:paraId="38BA40A1" w14:textId="770FAFA0"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sidRPr="00B312EF">
        <w:rPr>
          <w:lang w:val="en-GB"/>
          <w14:textOutline w14:w="12700" w14:cap="flat" w14:cmpd="sng" w14:algn="ctr">
            <w14:noFill/>
            <w14:prstDash w14:val="solid"/>
            <w14:miter w14:lim="400000"/>
          </w14:textOutline>
        </w:rPr>
        <w:t xml:space="preserve">Hegel </w:t>
      </w:r>
      <w:r w:rsidR="00F5744D">
        <w:rPr>
          <w:lang w:val="en-GB"/>
          <w14:textOutline w14:w="12700" w14:cap="flat" w14:cmpd="sng" w14:algn="ctr">
            <w14:noFill/>
            <w14:prstDash w14:val="solid"/>
            <w14:miter w14:lim="400000"/>
          </w14:textOutline>
        </w:rPr>
        <w:t>thus categorically granted a title of nobility to engagement with the history of philosophy as a genuinely philosophical activity. At the same time, on the other hand, he introduced a st</w:t>
      </w:r>
      <w:r w:rsidR="0023378A">
        <w:rPr>
          <w:lang w:val="en-GB"/>
          <w14:textOutline w14:w="12700" w14:cap="flat" w14:cmpd="sng" w14:algn="ctr">
            <w14:noFill/>
            <w14:prstDash w14:val="solid"/>
            <w14:miter w14:lim="400000"/>
          </w14:textOutline>
        </w:rPr>
        <w:t>r</w:t>
      </w:r>
      <w:r w:rsidR="00F5744D">
        <w:rPr>
          <w:lang w:val="en-GB"/>
          <w14:textOutline w14:w="12700" w14:cap="flat" w14:cmpd="sng" w14:algn="ctr">
            <w14:noFill/>
            <w14:prstDash w14:val="solid"/>
            <w14:miter w14:lim="400000"/>
          </w14:textOutline>
        </w:rPr>
        <w:t xml:space="preserve">ict </w:t>
      </w:r>
      <w:r w:rsidR="00DE7963">
        <w:rPr>
          <w:lang w:val="en-GB"/>
          <w14:textOutline w14:w="12700" w14:cap="flat" w14:cmpd="sng" w14:algn="ctr">
            <w14:noFill/>
            <w14:prstDash w14:val="solid"/>
            <w14:miter w14:lim="400000"/>
          </w14:textOutline>
        </w:rPr>
        <w:t>bifurcation</w:t>
      </w:r>
      <w:r w:rsidR="00F5744D">
        <w:rPr>
          <w:lang w:val="en-GB"/>
          <w14:textOutline w14:w="12700" w14:cap="flat" w14:cmpd="sng" w14:algn="ctr">
            <w14:noFill/>
            <w14:prstDash w14:val="solid"/>
            <w14:miter w14:lim="400000"/>
          </w14:textOutline>
        </w:rPr>
        <w:t xml:space="preserve"> between two </w:t>
      </w:r>
      <w:r w:rsidRPr="00457CC6">
        <w:rPr>
          <w:noProof/>
          <w:highlight w:val="green"/>
          <w14:textOutline w14:w="12700" w14:cap="flat" w14:cmpd="sng" w14:algn="ctr">
            <w14:noFill/>
            <w14:prstDash w14:val="solid"/>
            <w14:miter w14:lim="400000"/>
          </w14:textOutline>
        </w:rPr>
        <w:t>„Erscheinungsweisen“</w:t>
      </w:r>
      <w:r w:rsidRPr="00B312EF">
        <w:rPr>
          <w:lang w:val="en-GB"/>
          <w14:textOutline w14:w="12700" w14:cap="flat" w14:cmpd="sng" w14:algn="ctr">
            <w14:noFill/>
            <w14:prstDash w14:val="solid"/>
            <w14:miter w14:lim="400000"/>
          </w14:textOutline>
        </w:rPr>
        <w:t xml:space="preserve"> </w:t>
      </w:r>
      <w:r w:rsidR="00434AA5">
        <w:rPr>
          <w:lang w:val="en-GB"/>
          <w14:textOutline w14:w="12700" w14:cap="flat" w14:cmpd="sng" w14:algn="ctr">
            <w14:noFill/>
            <w14:prstDash w14:val="solid"/>
            <w14:miter w14:lim="400000"/>
          </w14:textOutline>
        </w:rPr>
        <w:t xml:space="preserve">of philosophy, distinguishing between philosophy’s manifestation </w:t>
      </w:r>
      <w:r w:rsidRPr="00457CC6">
        <w:rPr>
          <w:noProof/>
          <w:shd w:val="clear" w:color="auto" w:fill="F79646"/>
          <w14:textOutline w14:w="12700" w14:cap="flat" w14:cmpd="sng" w14:algn="ctr">
            <w14:noFill/>
            <w14:prstDash w14:val="solid"/>
            <w14:miter w14:lim="400000"/>
          </w14:textOutline>
        </w:rPr>
        <w:t>„als Zeitfolge der Geschichte“</w:t>
      </w:r>
      <w:r w:rsidRPr="00B312EF">
        <w:rPr>
          <w:lang w:val="en-GB"/>
          <w14:textOutline w14:w="12700" w14:cap="flat" w14:cmpd="sng" w14:algn="ctr">
            <w14:noFill/>
            <w14:prstDash w14:val="solid"/>
            <w14:miter w14:lim="400000"/>
          </w14:textOutline>
        </w:rPr>
        <w:t xml:space="preserve"> </w:t>
      </w:r>
      <w:r w:rsidR="00434AA5">
        <w:rPr>
          <w:lang w:val="en-GB"/>
          <w14:textOutline w14:w="12700" w14:cap="flat" w14:cmpd="sng" w14:algn="ctr">
            <w14:noFill/>
            <w14:prstDash w14:val="solid"/>
            <w14:miter w14:lim="400000"/>
          </w14:textOutline>
        </w:rPr>
        <w:t xml:space="preserve">and its manifestation as </w:t>
      </w:r>
      <w:r w:rsidRPr="00457CC6">
        <w:rPr>
          <w:noProof/>
          <w:shd w:val="clear" w:color="auto" w:fill="F79646"/>
          <w14:textOutline w14:w="12700" w14:cap="flat" w14:cmpd="sng" w14:algn="ctr">
            <w14:noFill/>
            <w14:prstDash w14:val="solid"/>
            <w14:miter w14:lim="400000"/>
          </w14:textOutline>
        </w:rPr>
        <w:t>„Aufeinanderfolge in der logischen Ableitung der Begriffe“</w:t>
      </w:r>
      <w:r w:rsidRPr="00B312EF">
        <w:rPr>
          <w:lang w:val="en-GB"/>
          <w14:textOutline w14:w="12700" w14:cap="flat" w14:cmpd="sng" w14:algn="ctr">
            <w14:noFill/>
            <w14:prstDash w14:val="solid"/>
            <w14:miter w14:lim="400000"/>
          </w14:textOutline>
        </w:rPr>
        <w:t xml:space="preserve"> (Hegel 1971: 49). </w:t>
      </w:r>
      <w:r w:rsidR="00434AA5">
        <w:rPr>
          <w:lang w:val="en-GB"/>
          <w14:textOutline w14:w="12700" w14:cap="flat" w14:cmpd="sng" w14:algn="ctr">
            <w14:noFill/>
            <w14:prstDash w14:val="solid"/>
            <w14:miter w14:lim="400000"/>
          </w14:textOutline>
        </w:rPr>
        <w:t xml:space="preserve">This second manifestation of philosophy, as “unhistorical,” systematic, constructive reflection of the kind Hegel himself claimed to pursue in the </w:t>
      </w:r>
      <w:r w:rsidR="00434AA5">
        <w:rPr>
          <w:i/>
          <w:iCs/>
          <w:lang w:val="en-GB"/>
          <w14:textOutline w14:w="12700" w14:cap="flat" w14:cmpd="sng" w14:algn="ctr">
            <w14:noFill/>
            <w14:prstDash w14:val="solid"/>
            <w14:miter w14:lim="400000"/>
          </w14:textOutline>
        </w:rPr>
        <w:t>Science of Logic</w:t>
      </w:r>
      <w:r w:rsidR="003C5610">
        <w:rPr>
          <w:lang w:val="en-GB"/>
          <w14:textOutline w14:w="12700" w14:cap="flat" w14:cmpd="sng" w14:algn="ctr">
            <w14:noFill/>
            <w14:prstDash w14:val="solid"/>
            <w14:miter w14:lim="400000"/>
          </w14:textOutline>
        </w:rPr>
        <w:t>,</w:t>
      </w:r>
      <w:r w:rsidR="00434AA5">
        <w:rPr>
          <w:lang w:val="en-GB"/>
          <w14:textOutline w14:w="12700" w14:cap="flat" w14:cmpd="sng" w14:algn="ctr">
            <w14:noFill/>
            <w14:prstDash w14:val="solid"/>
            <w14:miter w14:lim="400000"/>
          </w14:textOutline>
        </w:rPr>
        <w:t xml:space="preserve"> is not only substantively autonomous from the study of philosophy</w:t>
      </w:r>
      <w:r w:rsidRPr="00B312EF">
        <w:rPr>
          <w:lang w:val="en-GB"/>
          <w14:textOutline w14:w="12700" w14:cap="flat" w14:cmpd="sng" w14:algn="ctr">
            <w14:noFill/>
            <w14:prstDash w14:val="solid"/>
            <w14:miter w14:lim="400000"/>
          </w14:textOutline>
        </w:rPr>
        <w:t xml:space="preserve"> </w:t>
      </w:r>
      <w:r w:rsidRPr="00457CC6">
        <w:rPr>
          <w:noProof/>
          <w:highlight w:val="green"/>
          <w14:textOutline w14:w="12700" w14:cap="flat" w14:cmpd="sng" w14:algn="ctr">
            <w14:noFill/>
            <w14:prstDash w14:val="solid"/>
            <w14:miter w14:lim="400000"/>
          </w14:textOutline>
        </w:rPr>
        <w:t>„als Zeitfolge der Geschichte“</w:t>
      </w:r>
      <w:r w:rsidRPr="00B312EF">
        <w:rPr>
          <w:lang w:val="en-GB"/>
          <w14:textOutline w14:w="12700" w14:cap="flat" w14:cmpd="sng" w14:algn="ctr">
            <w14:noFill/>
            <w14:prstDash w14:val="solid"/>
            <w14:miter w14:lim="400000"/>
          </w14:textOutline>
        </w:rPr>
        <w:t xml:space="preserve"> (ibid.)</w:t>
      </w:r>
      <w:r w:rsidR="00434AA5">
        <w:rPr>
          <w:lang w:val="en-GB"/>
          <w14:textOutline w14:w="12700" w14:cap="flat" w14:cmpd="sng" w14:algn="ctr">
            <w14:noFill/>
            <w14:prstDash w14:val="solid"/>
            <w14:miter w14:lim="400000"/>
          </w14:textOutline>
        </w:rPr>
        <w:t xml:space="preserve"> in his view</w:t>
      </w:r>
      <w:r w:rsidRPr="00B312EF">
        <w:rPr>
          <w:lang w:val="en-GB"/>
          <w14:textOutline w14:w="12700" w14:cap="flat" w14:cmpd="sng" w14:algn="ctr">
            <w14:noFill/>
            <w14:prstDash w14:val="solid"/>
            <w14:miter w14:lim="400000"/>
          </w14:textOutline>
        </w:rPr>
        <w:t xml:space="preserve">. </w:t>
      </w:r>
      <w:r w:rsidR="00434AA5">
        <w:rPr>
          <w:lang w:val="en-GB"/>
          <w14:textOutline w14:w="12700" w14:cap="flat" w14:cmpd="sng" w14:algn="ctr">
            <w14:noFill/>
            <w14:prstDash w14:val="solid"/>
            <w14:miter w14:lim="400000"/>
          </w14:textOutline>
        </w:rPr>
        <w:t>For Hegel, systematic study is also chronologically prior to the historical study of philosophy within a po</w:t>
      </w:r>
      <w:r w:rsidR="00F0362F">
        <w:rPr>
          <w:lang w:val="en-GB"/>
          <w14:textOutline w14:w="12700" w14:cap="flat" w14:cmpd="sng" w14:algn="ctr">
            <w14:noFill/>
            <w14:prstDash w14:val="solid"/>
            <w14:miter w14:lim="400000"/>
          </w14:textOutline>
        </w:rPr>
        <w:t>ssible</w:t>
      </w:r>
      <w:r w:rsidR="00434AA5">
        <w:rPr>
          <w:lang w:val="en-GB"/>
          <w14:textOutline w14:w="12700" w14:cap="flat" w14:cmpd="sng" w14:algn="ctr">
            <w14:noFill/>
            <w14:prstDash w14:val="solid"/>
            <w14:miter w14:lim="400000"/>
          </w14:textOutline>
        </w:rPr>
        <w:t xml:space="preserve"> subjective philosophical process of cognition. Both conclusions follow from the fact that in order to study the history of philosophy, we have to </w:t>
      </w:r>
      <w:r w:rsidR="00434AA5" w:rsidRPr="00457CC6">
        <w:rPr>
          <w:noProof/>
          <w:highlight w:val="green"/>
          <w14:textOutline w14:w="12700" w14:cap="flat" w14:cmpd="sng" w14:algn="ctr">
            <w14:noFill/>
            <w14:prstDash w14:val="solid"/>
            <w14:miter w14:lim="400000"/>
          </w14:textOutline>
        </w:rPr>
        <w:t>„schon mitbringen“</w:t>
      </w:r>
      <w:r w:rsidR="00434AA5">
        <w:rPr>
          <w:lang w:val="en-GB"/>
          <w14:textOutline w14:w="12700" w14:cap="flat" w14:cmpd="sng" w14:algn="ctr">
            <w14:noFill/>
            <w14:prstDash w14:val="solid"/>
            <w14:miter w14:lim="400000"/>
          </w14:textOutline>
        </w:rPr>
        <w:t xml:space="preserve"> the</w:t>
      </w:r>
      <w:r w:rsidRPr="00B312EF">
        <w:rPr>
          <w:lang w:val="en-GB"/>
          <w14:textOutline w14:w="12700" w14:cap="flat" w14:cmpd="sng" w14:algn="ctr">
            <w14:noFill/>
            <w14:prstDash w14:val="solid"/>
            <w14:miter w14:lim="400000"/>
          </w14:textOutline>
        </w:rPr>
        <w:t xml:space="preserve"> </w:t>
      </w:r>
      <w:r w:rsidRPr="00457CC6">
        <w:rPr>
          <w:noProof/>
          <w:highlight w:val="green"/>
          <w14:textOutline w14:w="12700" w14:cap="flat" w14:cmpd="sng" w14:algn="ctr">
            <w14:noFill/>
            <w14:prstDash w14:val="solid"/>
            <w14:miter w14:lim="400000"/>
          </w14:textOutline>
        </w:rPr>
        <w:t>„Erkenntnis der Idee“,</w:t>
      </w:r>
      <w:r w:rsidRPr="00B312EF">
        <w:rPr>
          <w:lang w:val="en-GB"/>
          <w14:textOutline w14:w="12700" w14:cap="flat" w14:cmpd="sng" w14:algn="ctr">
            <w14:noFill/>
            <w14:prstDash w14:val="solid"/>
            <w14:miter w14:lim="400000"/>
          </w14:textOutline>
        </w:rPr>
        <w:t xml:space="preserve"> </w:t>
      </w:r>
      <w:r w:rsidR="00434AA5">
        <w:rPr>
          <w:lang w:val="en-GB"/>
          <w14:textOutline w14:w="12700" w14:cap="flat" w14:cmpd="sng" w14:algn="ctr">
            <w14:noFill/>
            <w14:prstDash w14:val="solid"/>
            <w14:miter w14:lim="400000"/>
          </w14:textOutline>
        </w:rPr>
        <w:t>as Hegel says</w:t>
      </w:r>
      <w:r w:rsidRPr="00B312EF">
        <w:rPr>
          <w:lang w:val="en-GB"/>
          <w14:textOutline w14:w="12700" w14:cap="flat" w14:cmpd="sng" w14:algn="ctr">
            <w14:noFill/>
            <w14:prstDash w14:val="solid"/>
            <w14:miter w14:lim="400000"/>
          </w14:textOutline>
        </w:rPr>
        <w:t xml:space="preserve"> (Hegel 1971: 49)</w:t>
      </w:r>
      <w:r w:rsidR="00533085">
        <w:rPr>
          <w:lang w:val="en-GB"/>
          <w14:textOutline w14:w="12700" w14:cap="flat" w14:cmpd="sng" w14:algn="ctr">
            <w14:noFill/>
            <w14:prstDash w14:val="solid"/>
            <w14:miter w14:lim="400000"/>
          </w14:textOutline>
        </w:rPr>
        <w:t>.</w:t>
      </w:r>
      <w:r w:rsidRPr="00B312EF">
        <w:rPr>
          <w:vertAlign w:val="superscript"/>
          <w:lang w:val="en-GB"/>
          <w14:textOutline w14:w="12700" w14:cap="flat" w14:cmpd="sng" w14:algn="ctr">
            <w14:noFill/>
            <w14:prstDash w14:val="solid"/>
            <w14:miter w14:lim="400000"/>
          </w14:textOutline>
        </w:rPr>
        <w:footnoteReference w:id="7"/>
      </w:r>
      <w:r w:rsidRPr="00B312EF">
        <w:rPr>
          <w:lang w:val="en-GB"/>
          <w14:textOutline w14:w="12700" w14:cap="flat" w14:cmpd="sng" w14:algn="ctr">
            <w14:noFill/>
            <w14:prstDash w14:val="solid"/>
            <w14:miter w14:lim="400000"/>
          </w14:textOutline>
        </w:rPr>
        <w:t xml:space="preserve"> </w:t>
      </w:r>
      <w:r w:rsidR="00533085">
        <w:rPr>
          <w:lang w:val="en-GB"/>
          <w14:textOutline w14:w="12700" w14:cap="flat" w14:cmpd="sng" w14:algn="ctr">
            <w14:noFill/>
            <w14:prstDash w14:val="solid"/>
            <w14:miter w14:lim="400000"/>
          </w14:textOutline>
        </w:rPr>
        <w:t xml:space="preserve">It is also clear, as a result, that for Hegel, the active and productive moment of doing philosophy is </w:t>
      </w:r>
      <w:r w:rsidR="00AB611C">
        <w:rPr>
          <w:lang w:val="en-GB"/>
          <w14:textOutline w14:w="12700" w14:cap="flat" w14:cmpd="sng" w14:algn="ctr">
            <w14:noFill/>
            <w14:prstDash w14:val="solid"/>
            <w14:miter w14:lim="400000"/>
          </w14:textOutline>
        </w:rPr>
        <w:t>primarily</w:t>
      </w:r>
      <w:r w:rsidR="00533085">
        <w:rPr>
          <w:lang w:val="en-GB"/>
          <w14:textOutline w14:w="12700" w14:cap="flat" w14:cmpd="sng" w14:algn="ctr">
            <w14:noFill/>
            <w14:prstDash w14:val="solid"/>
            <w14:miter w14:lim="400000"/>
          </w14:textOutline>
        </w:rPr>
        <w:t xml:space="preserve"> found on the side of philosophy as a logical discipline, while the study of the history of philosophy, even if it has the advantage for teaching of sometimes offering an attractive </w:t>
      </w:r>
      <w:r w:rsidRPr="00457CC6">
        <w:rPr>
          <w:noProof/>
          <w:highlight w:val="green"/>
          <w14:textOutline w14:w="12700" w14:cap="flat" w14:cmpd="sng" w14:algn="ctr">
            <w14:noFill/>
            <w14:prstDash w14:val="solid"/>
            <w14:miter w14:lim="400000"/>
          </w14:textOutline>
        </w:rPr>
        <w:t>„Schauspiels“</w:t>
      </w:r>
      <w:r w:rsidRPr="00B312EF">
        <w:rPr>
          <w:lang w:val="en-GB"/>
          <w14:textOutline w14:w="12700" w14:cap="flat" w14:cmpd="sng" w14:algn="ctr">
            <w14:noFill/>
            <w14:prstDash w14:val="solid"/>
            <w14:miter w14:lim="400000"/>
          </w14:textOutline>
        </w:rPr>
        <w:t xml:space="preserve"> (Hegel 1971: 48)</w:t>
      </w:r>
      <w:r w:rsidR="00533085">
        <w:rPr>
          <w:lang w:val="en-GB"/>
          <w14:textOutline w14:w="12700" w14:cap="flat" w14:cmpd="sng" w14:algn="ctr">
            <w14:noFill/>
            <w14:prstDash w14:val="solid"/>
            <w14:miter w14:lim="400000"/>
          </w14:textOutline>
        </w:rPr>
        <w:t xml:space="preserve">, is in the last analysis, from the perspective of someone who has </w:t>
      </w:r>
      <w:r w:rsidR="003C5610">
        <w:rPr>
          <w:lang w:val="en-GB"/>
          <w14:textOutline w14:w="12700" w14:cap="flat" w14:cmpd="sng" w14:algn="ctr">
            <w14:noFill/>
            <w14:prstDash w14:val="solid"/>
            <w14:miter w14:lim="400000"/>
          </w14:textOutline>
        </w:rPr>
        <w:t>gone through</w:t>
      </w:r>
      <w:r w:rsidR="00533085">
        <w:rPr>
          <w:lang w:val="en-GB"/>
          <w14:textOutline w14:w="12700" w14:cap="flat" w14:cmpd="sng" w14:algn="ctr">
            <w14:noFill/>
            <w14:prstDash w14:val="solid"/>
            <w14:miter w14:lim="400000"/>
          </w14:textOutline>
        </w:rPr>
        <w:t xml:space="preserve"> it</w:t>
      </w:r>
      <w:r w:rsidR="008E6D37">
        <w:rPr>
          <w:lang w:val="en-GB"/>
          <w14:textOutline w14:w="12700" w14:cap="flat" w14:cmpd="sng" w14:algn="ctr">
            <w14:noFill/>
            <w14:prstDash w14:val="solid"/>
            <w14:miter w14:lim="400000"/>
          </w14:textOutline>
        </w:rPr>
        <w:t xml:space="preserve">, merely something that the person doing philosophy has to </w:t>
      </w:r>
      <w:r w:rsidR="008E6D37">
        <w:rPr>
          <w:i/>
          <w:iCs/>
          <w:lang w:val="en-GB"/>
          <w14:textOutline w14:w="12700" w14:cap="flat" w14:cmpd="sng" w14:algn="ctr">
            <w14:noFill/>
            <w14:prstDash w14:val="solid"/>
            <w14:miter w14:lim="400000"/>
          </w14:textOutline>
        </w:rPr>
        <w:t>retrace</w:t>
      </w:r>
      <w:r w:rsidR="008E6D37">
        <w:rPr>
          <w:lang w:val="en-GB"/>
          <w14:textOutline w14:w="12700" w14:cap="flat" w14:cmpd="sng" w14:algn="ctr">
            <w14:noFill/>
            <w14:prstDash w14:val="solid"/>
            <w14:miter w14:lim="400000"/>
          </w14:textOutline>
        </w:rPr>
        <w:t>. A further consequence of this bifurcation is that Hegel also tends to oppose reviving and updating philosophical models from earlier ages. For example, he says about studying earlier, especially ancient philosophy for</w:t>
      </w:r>
      <w:r w:rsidRPr="00B312EF">
        <w:rPr>
          <w:lang w:val="en-GB"/>
          <w14:textOutline w14:w="12700" w14:cap="flat" w14:cmpd="sng" w14:algn="ctr">
            <w14:noFill/>
            <w14:prstDash w14:val="solid"/>
            <w14:miter w14:lim="400000"/>
          </w14:textOutline>
        </w:rPr>
        <w:t xml:space="preserve"> </w:t>
      </w:r>
      <w:r w:rsidR="008E6D37">
        <w:rPr>
          <w:lang w:val="en-GB"/>
          <w14:textOutline w14:w="12700" w14:cap="flat" w14:cmpd="sng" w14:algn="ctr">
            <w14:noFill/>
            <w14:prstDash w14:val="solid"/>
            <w14:miter w14:lim="400000"/>
          </w14:textOutline>
        </w:rPr>
        <w:t>the purpose of reviving it</w:t>
      </w:r>
      <w:r w:rsidRPr="00B312EF">
        <w:rPr>
          <w:lang w:val="en-GB"/>
          <w14:textOutline w14:w="12700" w14:cap="flat" w14:cmpd="sng" w14:algn="ctr">
            <w14:noFill/>
            <w14:prstDash w14:val="solid"/>
            <w14:miter w14:lim="400000"/>
          </w14:textOutline>
        </w:rPr>
        <w:t xml:space="preserve">: </w:t>
      </w:r>
    </w:p>
    <w:p w14:paraId="5C4E432B" w14:textId="77777777" w:rsidR="007A5D1D" w:rsidRPr="00457CC6" w:rsidRDefault="007A5D1D" w:rsidP="007A5D1D">
      <w:pPr>
        <w:pStyle w:val="GriechischesProsazitat"/>
        <w:rPr>
          <w:noProof/>
          <w:sz w:val="20"/>
          <w:szCs w:val="20"/>
          <w14:textOutline w14:w="12700" w14:cap="flat" w14:cmpd="sng" w14:algn="ctr">
            <w14:noFill/>
            <w14:prstDash w14:val="solid"/>
            <w14:miter w14:lim="400000"/>
          </w14:textOutline>
        </w:rPr>
      </w:pPr>
      <w:r w:rsidRPr="00457CC6">
        <w:rPr>
          <w:noProof/>
          <w:shd w:val="clear" w:color="auto" w:fill="F79646"/>
          <w14:textOutline w14:w="12700" w14:cap="flat" w14:cmpd="sng" w14:algn="ctr">
            <w14:noFill/>
            <w14:prstDash w14:val="solid"/>
            <w14:miter w14:lim="400000"/>
          </w14:textOutline>
        </w:rPr>
        <w:t>Es ist nur bis zu einem gewissen Grade Befriedigung darin zu finden. Man muß wissen, was man in den alten Philosophen oder in der Philosophie jeder anderen bestimmten Zeit zu suchen hat, oder wenigstens wissen, daß man in solcher Philosophie eine bestimmte Entwicklungsstufe des Denkens vor sich hat und in ihr nur diejenigen Formen und Bedürfnisse des Geistes zum Bewußtsein gebracht sind, welche innerhalb der Grenzen einer solchen Stufe liegen. In dem Geiste der neueren Zeit schlummern tiefere Ideen, die, um sich wach zu wissen, einer anderen Umgebung und Gegenwart bedürften als jene abstrakten, unklaren, grauen Gedanken der alten Zeit. (Hegel 1971: 67f.)</w:t>
      </w:r>
    </w:p>
    <w:p w14:paraId="4173AAED" w14:textId="31FDBB3F" w:rsidR="007A5D1D" w:rsidRPr="00B312EF" w:rsidRDefault="008E6D37"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lastRenderedPageBreak/>
        <w:t>Clearly, Hegel does affirm the substantive unity of the history of philosophy and systematic philosophy (and tries to demonstrate it in his lectures on the history of philosophy), but he also undertakes a thoroughgoing bifurcation in his philosophical praxis (and related theory)</w:t>
      </w:r>
      <w:r w:rsidR="007A5D1D" w:rsidRPr="00B312EF">
        <w:rPr>
          <w:lang w:val="en-GB"/>
          <w14:textOutline w14:w="12700" w14:cap="flat" w14:cmpd="sng" w14:algn="ctr">
            <w14:noFill/>
            <w14:prstDash w14:val="solid"/>
            <w14:miter w14:lim="400000"/>
          </w14:textOutline>
        </w:rPr>
        <w:t xml:space="preserve">. </w:t>
      </w:r>
    </w:p>
    <w:p w14:paraId="0D712BEE" w14:textId="23998F02" w:rsidR="007A5D1D" w:rsidRPr="00B312EF" w:rsidRDefault="00C132D0"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A theory of the philosophy of history from the perspective of philosophy education cannot adopt Hegel’s assumption that these two ways of doing philosophy, divided in practice, coincide </w:t>
      </w:r>
      <w:r>
        <w:rPr>
          <w:i/>
          <w:iCs/>
          <w:lang w:val="en-GB"/>
          <w14:textOutline w14:w="12700" w14:cap="flat" w14:cmpd="sng" w14:algn="ctr">
            <w14:noFill/>
            <w14:prstDash w14:val="solid"/>
            <w14:miter w14:lim="400000"/>
          </w14:textOutline>
        </w:rPr>
        <w:t>in their results</w:t>
      </w:r>
      <w:r>
        <w:rPr>
          <w:lang w:val="en-GB"/>
          <w14:textOutline w14:w="12700" w14:cap="flat" w14:cmpd="sng" w14:algn="ctr">
            <w14:noFill/>
            <w14:prstDash w14:val="solid"/>
            <w14:miter w14:lim="400000"/>
          </w14:textOutline>
        </w:rPr>
        <w:t xml:space="preserve"> as a consequence of the unity of reason: Not only is the </w:t>
      </w:r>
      <w:r w:rsidR="00DE7963">
        <w:rPr>
          <w:lang w:val="en-GB"/>
          <w14:textOutline w14:w="12700" w14:cap="flat" w14:cmpd="sng" w14:algn="ctr">
            <w14:noFill/>
            <w14:prstDash w14:val="solid"/>
            <w14:miter w14:lim="400000"/>
          </w14:textOutline>
        </w:rPr>
        <w:t>necessary prerequisite of a</w:t>
      </w:r>
      <w:r>
        <w:rPr>
          <w:lang w:val="en-GB"/>
          <w14:textOutline w14:w="12700" w14:cap="flat" w14:cmpd="sng" w14:algn="ctr">
            <w14:noFill/>
            <w14:prstDash w14:val="solid"/>
            <w14:miter w14:lim="400000"/>
          </w14:textOutline>
        </w:rPr>
        <w:t xml:space="preserve"> teleological </w:t>
      </w:r>
      <w:r w:rsidR="00DE7963">
        <w:rPr>
          <w:lang w:val="en-GB"/>
          <w14:textOutline w14:w="12700" w14:cap="flat" w14:cmpd="sng" w14:algn="ctr">
            <w14:noFill/>
            <w14:prstDash w14:val="solid"/>
            <w14:miter w14:lim="400000"/>
          </w14:textOutline>
        </w:rPr>
        <w:t>course</w:t>
      </w:r>
      <w:r>
        <w:rPr>
          <w:lang w:val="en-GB"/>
          <w14:textOutline w14:w="12700" w14:cap="flat" w14:cmpd="sng" w14:algn="ctr">
            <w14:noFill/>
            <w14:prstDash w14:val="solid"/>
            <w14:miter w14:lim="400000"/>
          </w14:textOutline>
        </w:rPr>
        <w:t xml:space="preserve"> of the history of philosophy too strong a metaphysical </w:t>
      </w:r>
      <w:r w:rsidR="00C96047">
        <w:rPr>
          <w:lang w:val="en-GB"/>
          <w14:textOutline w14:w="12700" w14:cap="flat" w14:cmpd="sng" w14:algn="ctr">
            <w14:noFill/>
            <w14:prstDash w14:val="solid"/>
            <w14:miter w14:lim="400000"/>
          </w14:textOutline>
        </w:rPr>
        <w:t>framework</w:t>
      </w:r>
      <w:r>
        <w:rPr>
          <w:lang w:val="en-GB"/>
          <w14:textOutline w14:w="12700" w14:cap="flat" w14:cmpd="sng" w14:algn="ctr">
            <w14:noFill/>
            <w14:prstDash w14:val="solid"/>
            <w14:miter w14:lim="400000"/>
          </w14:textOutline>
        </w:rPr>
        <w:t xml:space="preserve"> assumption. In addition, the assumption of a linear </w:t>
      </w:r>
      <w:r w:rsidR="00DE7963">
        <w:rPr>
          <w:lang w:val="en-GB"/>
          <w14:textOutline w14:w="12700" w14:cap="flat" w14:cmpd="sng" w14:algn="ctr">
            <w14:noFill/>
            <w14:prstDash w14:val="solid"/>
            <w14:miter w14:lim="400000"/>
          </w14:textOutline>
        </w:rPr>
        <w:t>course of history</w:t>
      </w:r>
      <w:r>
        <w:rPr>
          <w:lang w:val="en-GB"/>
          <w14:textOutline w14:w="12700" w14:cap="flat" w14:cmpd="sng" w14:algn="ctr">
            <w14:noFill/>
            <w14:prstDash w14:val="solid"/>
            <w14:miter w14:lim="400000"/>
          </w14:textOutline>
        </w:rPr>
        <w:t xml:space="preserve"> is likely to lead to a</w:t>
      </w:r>
      <w:r w:rsidR="000C76EB">
        <w:rPr>
          <w:lang w:val="en-GB"/>
          <w14:textOutline w14:w="12700" w14:cap="flat" w14:cmpd="sng" w14:algn="ctr">
            <w14:noFill/>
            <w14:prstDash w14:val="solid"/>
            <w14:miter w14:lim="400000"/>
          </w14:textOutline>
        </w:rPr>
        <w:t>n educationally unproductive</w:t>
      </w:r>
      <w:r>
        <w:rPr>
          <w:lang w:val="en-GB"/>
          <w14:textOutline w14:w="12700" w14:cap="flat" w14:cmpd="sng" w14:algn="ctr">
            <w14:noFill/>
            <w14:prstDash w14:val="solid"/>
            <w14:miter w14:lim="400000"/>
          </w14:textOutline>
        </w:rPr>
        <w:t xml:space="preserve"> standardization and hi</w:t>
      </w:r>
      <w:r w:rsidR="000C76EB">
        <w:rPr>
          <w:lang w:val="en-GB"/>
          <w14:textOutline w14:w="12700" w14:cap="flat" w14:cmpd="sng" w14:algn="ctr">
            <w14:noFill/>
            <w14:prstDash w14:val="solid"/>
            <w14:miter w14:lim="400000"/>
          </w14:textOutline>
        </w:rPr>
        <w:t xml:space="preserve">erarchization among the various different styles of doing philosophy. </w:t>
      </w:r>
      <w:r w:rsidR="008F47A4">
        <w:rPr>
          <w:lang w:val="en-GB"/>
          <w14:textOutline w14:w="12700" w14:cap="flat" w14:cmpd="sng" w14:algn="ctr">
            <w14:noFill/>
            <w14:prstDash w14:val="solid"/>
            <w14:miter w14:lim="400000"/>
          </w14:textOutline>
        </w:rPr>
        <w:t>Due consideration</w:t>
      </w:r>
      <w:r w:rsidR="000C76EB">
        <w:rPr>
          <w:lang w:val="en-GB"/>
          <w14:textOutline w14:w="12700" w14:cap="flat" w14:cmpd="sng" w14:algn="ctr">
            <w14:noFill/>
            <w14:prstDash w14:val="solid"/>
            <w14:miter w14:lim="400000"/>
          </w14:textOutline>
        </w:rPr>
        <w:t xml:space="preserve"> of the empirical multiplicity of voices in the history of philosophy outside of canonical “turning points in philosophical development”</w:t>
      </w:r>
      <w:r w:rsidR="007A5D1D" w:rsidRPr="00B312EF">
        <w:rPr>
          <w:vertAlign w:val="superscript"/>
          <w:lang w:val="en-GB"/>
          <w14:textOutline w14:w="12700" w14:cap="flat" w14:cmpd="sng" w14:algn="ctr">
            <w14:noFill/>
            <w14:prstDash w14:val="solid"/>
            <w14:miter w14:lim="400000"/>
          </w14:textOutline>
        </w:rPr>
        <w:footnoteReference w:id="8"/>
      </w:r>
      <w:r w:rsidR="007A5D1D" w:rsidRPr="00B312EF">
        <w:rPr>
          <w:lang w:val="en-GB"/>
          <w14:textOutline w14:w="12700" w14:cap="flat" w14:cmpd="sng" w14:algn="ctr">
            <w14:noFill/>
            <w14:prstDash w14:val="solid"/>
            <w14:miter w14:lim="400000"/>
          </w14:textOutline>
        </w:rPr>
        <w:t xml:space="preserve"> </w:t>
      </w:r>
      <w:r w:rsidR="000C76EB">
        <w:rPr>
          <w:lang w:val="en-GB"/>
          <w14:textOutline w14:w="12700" w14:cap="flat" w14:cmpd="sng" w14:algn="ctr">
            <w14:noFill/>
            <w14:prstDash w14:val="solid"/>
            <w14:miter w14:lim="400000"/>
          </w14:textOutline>
        </w:rPr>
        <w:t>will also scarcely be possible on such a basis</w:t>
      </w:r>
      <w:r w:rsidR="007A5D1D" w:rsidRPr="00B312EF">
        <w:rPr>
          <w:lang w:val="en-GB"/>
          <w14:textOutline w14:w="12700" w14:cap="flat" w14:cmpd="sng" w14:algn="ctr">
            <w14:noFill/>
            <w14:prstDash w14:val="solid"/>
            <w14:miter w14:lim="400000"/>
          </w14:textOutline>
        </w:rPr>
        <w:t>.</w:t>
      </w:r>
    </w:p>
    <w:p w14:paraId="49AEF72B" w14:textId="2D03893E" w:rsidR="007A5D1D" w:rsidRPr="00B312EF" w:rsidRDefault="000C76EB"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In this state of the problem, in which we have “inherited” from Hegel the practical bifurcation of ways of doing philosophy without being able, like Hegel, to metaphysically reconcile both sides in the end, there appear to be three options</w:t>
      </w:r>
      <w:r w:rsidR="007A5D1D" w:rsidRPr="00B312EF">
        <w:rPr>
          <w:lang w:val="en-GB"/>
          <w14:textOutline w14:w="12700" w14:cap="flat" w14:cmpd="sng" w14:algn="ctr">
            <w14:noFill/>
            <w14:prstDash w14:val="solid"/>
            <w14:miter w14:lim="400000"/>
          </w14:textOutline>
        </w:rPr>
        <w:t xml:space="preserve">: </w:t>
      </w:r>
    </w:p>
    <w:p w14:paraId="584CFED1" w14:textId="12EFF30B"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sidRPr="00B312EF">
        <w:rPr>
          <w:lang w:val="en-GB"/>
          <w14:textOutline w14:w="12700" w14:cap="flat" w14:cmpd="sng" w14:algn="ctr">
            <w14:noFill/>
            <w14:prstDash w14:val="solid"/>
            <w14:miter w14:lim="400000"/>
          </w14:textOutline>
        </w:rPr>
        <w:t xml:space="preserve">(1) </w:t>
      </w:r>
      <w:r w:rsidR="000C76EB">
        <w:rPr>
          <w:lang w:val="en-GB"/>
          <w14:textOutline w14:w="12700" w14:cap="flat" w14:cmpd="sng" w14:algn="ctr">
            <w14:noFill/>
            <w14:prstDash w14:val="solid"/>
            <w14:miter w14:lim="400000"/>
          </w14:textOutline>
        </w:rPr>
        <w:t xml:space="preserve">We give up the </w:t>
      </w:r>
      <w:r w:rsidR="000D646A">
        <w:rPr>
          <w:lang w:val="en-GB"/>
          <w14:textOutline w14:w="12700" w14:cap="flat" w14:cmpd="sng" w14:algn="ctr">
            <w14:noFill/>
            <w14:prstDash w14:val="solid"/>
            <w14:miter w14:lim="400000"/>
          </w14:textOutline>
        </w:rPr>
        <w:t xml:space="preserve">assertion of </w:t>
      </w:r>
      <w:r w:rsidR="000C76EB">
        <w:rPr>
          <w:lang w:val="en-GB"/>
          <w14:textOutline w14:w="12700" w14:cap="flat" w14:cmpd="sng" w14:algn="ctr">
            <w14:noFill/>
            <w14:prstDash w14:val="solid"/>
            <w14:miter w14:lim="400000"/>
          </w14:textOutline>
        </w:rPr>
        <w:t xml:space="preserve">the unity of philosophy that Hegel articulated (understood here as the unity of doing philosophy and engaging with the history of philosophy) </w:t>
      </w:r>
      <w:r w:rsidR="000D646A">
        <w:rPr>
          <w:lang w:val="en-GB"/>
          <w14:textOutline w14:w="12700" w14:cap="flat" w14:cmpd="sng" w14:algn="ctr">
            <w14:noFill/>
            <w14:prstDash w14:val="solid"/>
            <w14:miter w14:lim="400000"/>
          </w14:textOutline>
        </w:rPr>
        <w:t xml:space="preserve">and accept the duality of the two ways of proceeding as fundamental and </w:t>
      </w:r>
      <w:r w:rsidR="00AB611C">
        <w:rPr>
          <w:lang w:val="en-GB"/>
          <w14:textOutline w14:w="12700" w14:cap="flat" w14:cmpd="sng" w14:algn="ctr">
            <w14:noFill/>
            <w14:prstDash w14:val="solid"/>
            <w14:miter w14:lim="400000"/>
          </w14:textOutline>
        </w:rPr>
        <w:t>unbridgeable</w:t>
      </w:r>
      <w:r w:rsidRPr="00B312EF">
        <w:rPr>
          <w:lang w:val="en-GB"/>
          <w14:textOutline w14:w="12700" w14:cap="flat" w14:cmpd="sng" w14:algn="ctr">
            <w14:noFill/>
            <w14:prstDash w14:val="solid"/>
            <w14:miter w14:lim="400000"/>
          </w14:textOutline>
        </w:rPr>
        <w:t>.</w:t>
      </w:r>
    </w:p>
    <w:p w14:paraId="1CD87BBC" w14:textId="79430665"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sidRPr="00B312EF">
        <w:rPr>
          <w:lang w:val="en-GB"/>
          <w14:textOutline w14:w="12700" w14:cap="flat" w14:cmpd="sng" w14:algn="ctr">
            <w14:noFill/>
            <w14:prstDash w14:val="solid"/>
            <w14:miter w14:lim="400000"/>
          </w14:textOutline>
        </w:rPr>
        <w:t xml:space="preserve">(2) </w:t>
      </w:r>
      <w:r w:rsidR="000D646A">
        <w:rPr>
          <w:lang w:val="en-GB"/>
          <w14:textOutline w14:w="12700" w14:cap="flat" w14:cmpd="sng" w14:algn="ctr">
            <w14:noFill/>
            <w14:prstDash w14:val="solid"/>
            <w14:miter w14:lim="400000"/>
          </w14:textOutline>
        </w:rPr>
        <w:t>We maintain this assertion and th</w:t>
      </w:r>
      <w:r w:rsidR="00F0362F">
        <w:rPr>
          <w:lang w:val="en-GB"/>
          <w14:textOutline w14:w="12700" w14:cap="flat" w14:cmpd="sng" w14:algn="ctr">
            <w14:noFill/>
            <w14:prstDash w14:val="solid"/>
            <w14:miter w14:lim="400000"/>
          </w14:textOutline>
        </w:rPr>
        <w:t>is</w:t>
      </w:r>
      <w:r w:rsidR="000D646A">
        <w:rPr>
          <w:lang w:val="en-GB"/>
          <w14:textOutline w14:w="12700" w14:cap="flat" w14:cmpd="sng" w14:algn="ctr">
            <w14:noFill/>
            <w14:prstDash w14:val="solid"/>
            <w14:miter w14:lim="400000"/>
          </w14:textOutline>
        </w:rPr>
        <w:t xml:space="preserve"> thoroughgoing practical bifurcation and look for another basis on which to establish the unity of philosophy</w:t>
      </w:r>
      <w:r w:rsidRPr="00B312EF">
        <w:rPr>
          <w:lang w:val="en-GB"/>
          <w14:textOutline w14:w="12700" w14:cap="flat" w14:cmpd="sng" w14:algn="ctr">
            <w14:noFill/>
            <w14:prstDash w14:val="solid"/>
            <w14:miter w14:lim="400000"/>
          </w14:textOutline>
        </w:rPr>
        <w:t>.</w:t>
      </w:r>
    </w:p>
    <w:p w14:paraId="380F8CAD" w14:textId="1B593852"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sidRPr="00B312EF">
        <w:rPr>
          <w:lang w:val="en-GB"/>
          <w14:textOutline w14:w="12700" w14:cap="flat" w14:cmpd="sng" w14:algn="ctr">
            <w14:noFill/>
            <w14:prstDash w14:val="solid"/>
            <w14:miter w14:lim="400000"/>
          </w14:textOutline>
        </w:rPr>
        <w:t xml:space="preserve">(3) </w:t>
      </w:r>
      <w:r w:rsidR="000D646A">
        <w:rPr>
          <w:lang w:val="en-GB"/>
          <w14:textOutline w14:w="12700" w14:cap="flat" w14:cmpd="sng" w14:algn="ctr">
            <w14:noFill/>
            <w14:prstDash w14:val="solid"/>
            <w14:miter w14:lim="400000"/>
          </w14:textOutline>
        </w:rPr>
        <w:t>We maintain the assertion of the unity of philosophy and give up the conviction that the practical bifurcation of philosophy into two ways of proceeding is fund</w:t>
      </w:r>
      <w:r w:rsidR="00F0362F">
        <w:rPr>
          <w:lang w:val="en-GB"/>
          <w14:textOutline w14:w="12700" w14:cap="flat" w14:cmpd="sng" w14:algn="ctr">
            <w14:noFill/>
            <w14:prstDash w14:val="solid"/>
            <w14:miter w14:lim="400000"/>
          </w14:textOutline>
        </w:rPr>
        <w:t>a</w:t>
      </w:r>
      <w:r w:rsidR="000D646A">
        <w:rPr>
          <w:lang w:val="en-GB"/>
          <w14:textOutline w14:w="12700" w14:cap="flat" w14:cmpd="sng" w14:algn="ctr">
            <w14:noFill/>
            <w14:prstDash w14:val="solid"/>
            <w14:miter w14:lim="400000"/>
          </w14:textOutline>
        </w:rPr>
        <w:t>mental and justified</w:t>
      </w:r>
      <w:r w:rsidRPr="00B312EF">
        <w:rPr>
          <w:lang w:val="en-GB"/>
          <w14:textOutline w14:w="12700" w14:cap="flat" w14:cmpd="sng" w14:algn="ctr">
            <w14:noFill/>
            <w14:prstDash w14:val="solid"/>
            <w14:miter w14:lim="400000"/>
          </w14:textOutline>
        </w:rPr>
        <w:t>.</w:t>
      </w:r>
    </w:p>
    <w:p w14:paraId="47949739" w14:textId="76895620" w:rsidR="007A5D1D" w:rsidRPr="00B312EF" w:rsidRDefault="00F0362F"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These three options allow us</w:t>
      </w:r>
      <w:r w:rsidR="000D646A">
        <w:rPr>
          <w:lang w:val="en-GB"/>
          <w14:textOutline w14:w="12700" w14:cap="flat" w14:cmpd="sng" w14:algn="ctr">
            <w14:noFill/>
            <w14:prstDash w14:val="solid"/>
            <w14:miter w14:lim="400000"/>
          </w14:textOutline>
        </w:rPr>
        <w:t xml:space="preserve"> to classify possible answers to the question </w:t>
      </w:r>
      <w:r>
        <w:rPr>
          <w:lang w:val="en-GB"/>
          <w14:textOutline w14:w="12700" w14:cap="flat" w14:cmpd="sng" w14:algn="ctr">
            <w14:noFill/>
            <w14:prstDash w14:val="solid"/>
            <w14:miter w14:lim="400000"/>
          </w14:textOutline>
        </w:rPr>
        <w:t>about</w:t>
      </w:r>
      <w:r w:rsidR="000D646A">
        <w:rPr>
          <w:lang w:val="en-GB"/>
          <w14:textOutline w14:w="12700" w14:cap="flat" w14:cmpd="sng" w14:algn="ctr">
            <w14:noFill/>
            <w14:prstDash w14:val="solid"/>
            <w14:miter w14:lim="400000"/>
          </w14:textOutline>
        </w:rPr>
        <w:t xml:space="preserve"> the basis for incorporating the history of philosophy into the philosophy classroom from a systematic perspective. We will next consider three conceivable strategies for establishing such a basis that can be classified under options 1 and 2, after which we will argue for the choice of option 3</w:t>
      </w:r>
      <w:r w:rsidR="007A5D1D" w:rsidRPr="00B312EF">
        <w:rPr>
          <w:lang w:val="en-GB"/>
          <w14:textOutline w14:w="12700" w14:cap="flat" w14:cmpd="sng" w14:algn="ctr">
            <w14:noFill/>
            <w14:prstDash w14:val="solid"/>
            <w14:miter w14:lim="400000"/>
          </w14:textOutline>
        </w:rPr>
        <w:t>.</w:t>
      </w:r>
    </w:p>
    <w:p w14:paraId="2A7A3F66" w14:textId="2547FADC"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sidRPr="00B312EF">
        <w:rPr>
          <w:b/>
          <w:bCs/>
          <w:lang w:val="en-GB"/>
          <w14:textOutline w14:w="12700" w14:cap="flat" w14:cmpd="sng" w14:algn="ctr">
            <w14:noFill/>
            <w14:prstDash w14:val="solid"/>
            <w14:miter w14:lim="400000"/>
          </w14:textOutline>
        </w:rPr>
        <w:lastRenderedPageBreak/>
        <w:t xml:space="preserve">3. </w:t>
      </w:r>
      <w:r w:rsidR="000D646A">
        <w:rPr>
          <w:b/>
          <w:bCs/>
          <w:lang w:val="en-GB"/>
          <w14:textOutline w14:w="12700" w14:cap="flat" w14:cmpd="sng" w14:algn="ctr">
            <w14:noFill/>
            <w14:prstDash w14:val="solid"/>
            <w14:miter w14:lim="400000"/>
          </w14:textOutline>
        </w:rPr>
        <w:t>Three Possible</w:t>
      </w:r>
      <w:r w:rsidR="00D55E07">
        <w:rPr>
          <w:b/>
          <w:bCs/>
          <w:lang w:val="en-GB"/>
          <w14:textOutline w14:w="12700" w14:cap="flat" w14:cmpd="sng" w14:algn="ctr">
            <w14:noFill/>
            <w14:prstDash w14:val="solid"/>
            <w14:miter w14:lim="400000"/>
          </w14:textOutline>
        </w:rPr>
        <w:t xml:space="preserve"> Strategies from Philosophy Education</w:t>
      </w:r>
      <w:r w:rsidRPr="00B312EF">
        <w:rPr>
          <w:b/>
          <w:bCs/>
          <w:vertAlign w:val="superscript"/>
          <w:lang w:val="en-GB"/>
          <w14:textOutline w14:w="12700" w14:cap="flat" w14:cmpd="sng" w14:algn="ctr">
            <w14:noFill/>
            <w14:prstDash w14:val="solid"/>
            <w14:miter w14:lim="400000"/>
          </w14:textOutline>
        </w:rPr>
        <w:footnoteReference w:id="9"/>
      </w:r>
    </w:p>
    <w:p w14:paraId="2EDEEFCB" w14:textId="40E515E1"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sidRPr="00B312EF">
        <w:rPr>
          <w:b/>
          <w:bCs/>
          <w:lang w:val="en-GB"/>
          <w14:textOutline w14:w="12700" w14:cap="flat" w14:cmpd="sng" w14:algn="ctr">
            <w14:noFill/>
            <w14:prstDash w14:val="solid"/>
            <w14:miter w14:lim="400000"/>
          </w14:textOutline>
        </w:rPr>
        <w:t xml:space="preserve">3.1. </w:t>
      </w:r>
      <w:r w:rsidR="00D55E07">
        <w:rPr>
          <w:b/>
          <w:bCs/>
          <w:lang w:val="en-GB"/>
          <w14:textOutline w14:w="12700" w14:cap="flat" w14:cmpd="sng" w14:algn="ctr">
            <w14:noFill/>
            <w14:prstDash w14:val="solid"/>
            <w14:miter w14:lim="400000"/>
          </w14:textOutline>
        </w:rPr>
        <w:t>Secondary Goals of Philosophy Teaching</w:t>
      </w:r>
    </w:p>
    <w:p w14:paraId="39A1FA04" w14:textId="4B8F4100" w:rsidR="007A5D1D" w:rsidRPr="00B312EF" w:rsidRDefault="00D55E07"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An answer in accordance with this strategy might </w:t>
      </w:r>
      <w:r w:rsidR="00F0362F">
        <w:rPr>
          <w:lang w:val="en-GB"/>
          <w14:textOutline w14:w="12700" w14:cap="flat" w14:cmpd="sng" w14:algn="ctr">
            <w14:noFill/>
            <w14:prstDash w14:val="solid"/>
            <w14:miter w14:lim="400000"/>
          </w14:textOutline>
        </w:rPr>
        <w:t>g</w:t>
      </w:r>
      <w:r>
        <w:rPr>
          <w:lang w:val="en-GB"/>
          <w14:textOutline w14:w="12700" w14:cap="flat" w14:cmpd="sng" w14:algn="ctr">
            <w14:noFill/>
            <w14:prstDash w14:val="solid"/>
            <w14:miter w14:lim="400000"/>
          </w14:textOutline>
        </w:rPr>
        <w:t>o something like this: “It is true that know</w:t>
      </w:r>
      <w:r w:rsidR="00F0362F">
        <w:rPr>
          <w:lang w:val="en-GB"/>
          <w14:textOutline w14:w="12700" w14:cap="flat" w14:cmpd="sng" w14:algn="ctr">
            <w14:noFill/>
            <w14:prstDash w14:val="solid"/>
            <w14:miter w14:lim="400000"/>
          </w14:textOutline>
        </w:rPr>
        <w:t>ing</w:t>
      </w:r>
      <w:r>
        <w:rPr>
          <w:lang w:val="en-GB"/>
          <w14:textOutline w14:w="12700" w14:cap="flat" w14:cmpd="sng" w14:algn="ctr">
            <w14:noFill/>
            <w14:prstDash w14:val="solid"/>
            <w14:miter w14:lim="400000"/>
          </w14:textOutline>
        </w:rPr>
        <w:t xml:space="preserve"> the history of philosophy </w:t>
      </w:r>
      <w:r w:rsidR="000E3238">
        <w:rPr>
          <w:lang w:val="en-GB"/>
          <w14:textOutline w14:w="12700" w14:cap="flat" w14:cmpd="sng" w14:algn="ctr">
            <w14:noFill/>
            <w14:prstDash w14:val="solid"/>
            <w14:miter w14:lim="400000"/>
          </w14:textOutline>
        </w:rPr>
        <w:t>is not absolutely useful or required in order to do philosophy, but acquiring a philosophical education traditionally includes more than the sheer ability to do philosophy.” A look at examination practices at schools and universities and the importance that was long ascribed to know</w:t>
      </w:r>
      <w:r w:rsidR="00F0362F">
        <w:rPr>
          <w:lang w:val="en-GB"/>
          <w14:textOutline w14:w="12700" w14:cap="flat" w14:cmpd="sng" w14:algn="ctr">
            <w14:noFill/>
            <w14:prstDash w14:val="solid"/>
            <w14:miter w14:lim="400000"/>
          </w14:textOutline>
        </w:rPr>
        <w:t>ing</w:t>
      </w:r>
      <w:r w:rsidR="000E3238">
        <w:rPr>
          <w:lang w:val="en-GB"/>
          <w14:textOutline w14:w="12700" w14:cap="flat" w14:cmpd="sng" w14:algn="ctr">
            <w14:noFill/>
            <w14:prstDash w14:val="solid"/>
            <w14:miter w14:lim="400000"/>
          </w14:textOutline>
        </w:rPr>
        <w:t xml:space="preserve"> the history of philosophy in those exams suggests that such an argument, framed in terms of theories about what it means to be a well-educated person, is at least not an obviously mistaken one. In terms of the </w:t>
      </w:r>
      <w:r w:rsidR="00F0362F">
        <w:rPr>
          <w:lang w:val="en-GB"/>
          <w14:textOutline w14:w="12700" w14:cap="flat" w14:cmpd="sng" w14:algn="ctr">
            <w14:noFill/>
            <w14:prstDash w14:val="solid"/>
            <w14:miter w14:lim="400000"/>
          </w14:textOutline>
        </w:rPr>
        <w:t>classification</w:t>
      </w:r>
      <w:r w:rsidR="000E3238">
        <w:rPr>
          <w:lang w:val="en-GB"/>
          <w14:textOutline w14:w="12700" w14:cap="flat" w14:cmpd="sng" w14:algn="ctr">
            <w14:noFill/>
            <w14:prstDash w14:val="solid"/>
            <w14:miter w14:lim="400000"/>
          </w14:textOutline>
        </w:rPr>
        <w:t xml:space="preserve"> outlined above, it clearly belongs under the resigned option 1: We </w:t>
      </w:r>
      <w:r w:rsidR="00CE0EBB">
        <w:rPr>
          <w:lang w:val="en-GB"/>
          <w14:textOutline w14:w="12700" w14:cap="flat" w14:cmpd="sng" w14:algn="ctr">
            <w14:noFill/>
            <w14:prstDash w14:val="solid"/>
            <w14:miter w14:lim="400000"/>
          </w14:textOutline>
        </w:rPr>
        <w:t>make no attempt to consider</w:t>
      </w:r>
      <w:r w:rsidR="000E3238">
        <w:rPr>
          <w:lang w:val="en-GB"/>
          <w14:textOutline w14:w="12700" w14:cap="flat" w14:cmpd="sng" w14:algn="ctr">
            <w14:noFill/>
            <w14:prstDash w14:val="solid"/>
            <w14:miter w14:lim="400000"/>
          </w14:textOutline>
        </w:rPr>
        <w:t xml:space="preserve"> doing philosophy and know</w:t>
      </w:r>
      <w:r w:rsidR="00F0362F">
        <w:rPr>
          <w:lang w:val="en-GB"/>
          <w14:textOutline w14:w="12700" w14:cap="flat" w14:cmpd="sng" w14:algn="ctr">
            <w14:noFill/>
            <w14:prstDash w14:val="solid"/>
            <w14:miter w14:lim="400000"/>
          </w14:textOutline>
        </w:rPr>
        <w:t>ing</w:t>
      </w:r>
      <w:r w:rsidR="000E3238">
        <w:rPr>
          <w:lang w:val="en-GB"/>
          <w14:textOutline w14:w="12700" w14:cap="flat" w14:cmpd="sng" w14:algn="ctr">
            <w14:noFill/>
            <w14:prstDash w14:val="solid"/>
            <w14:miter w14:lim="400000"/>
          </w14:textOutline>
        </w:rPr>
        <w:t xml:space="preserve"> the history of philosophy </w:t>
      </w:r>
      <w:r w:rsidR="00CE0EBB">
        <w:rPr>
          <w:lang w:val="en-GB"/>
          <w14:textOutline w14:w="12700" w14:cap="flat" w14:cmpd="sng" w14:algn="ctr">
            <w14:noFill/>
            <w14:prstDash w14:val="solid"/>
            <w14:miter w14:lim="400000"/>
          </w14:textOutline>
        </w:rPr>
        <w:t>from a single conceptual and educational perspective, and we assign two independent goals to philosophy instruction: teaching how to do philosophy and transmitting a particular body of knowledge seen as culturally significant</w:t>
      </w:r>
      <w:r w:rsidR="007A5D1D" w:rsidRPr="00B312EF">
        <w:rPr>
          <w:lang w:val="en-GB"/>
          <w14:textOutline w14:w="12700" w14:cap="flat" w14:cmpd="sng" w14:algn="ctr">
            <w14:noFill/>
            <w14:prstDash w14:val="solid"/>
            <w14:miter w14:lim="400000"/>
          </w14:textOutline>
        </w:rPr>
        <w:t xml:space="preserve">. </w:t>
      </w:r>
      <w:r w:rsidR="00CE0EBB">
        <w:rPr>
          <w:lang w:val="en-GB"/>
          <w14:textOutline w14:w="12700" w14:cap="flat" w14:cmpd="sng" w14:algn="ctr">
            <w14:noFill/>
            <w14:prstDash w14:val="solid"/>
            <w14:miter w14:lim="400000"/>
          </w14:textOutline>
        </w:rPr>
        <w:t>The extent to which these two goals can be pursued together or only separately in practice will ultimately remain an incidental consideration under this set of assumptions</w:t>
      </w:r>
      <w:r w:rsidR="007A5D1D" w:rsidRPr="00B312EF">
        <w:rPr>
          <w:lang w:val="en-GB"/>
          <w14:textOutline w14:w="12700" w14:cap="flat" w14:cmpd="sng" w14:algn="ctr">
            <w14:noFill/>
            <w14:prstDash w14:val="solid"/>
            <w14:miter w14:lim="400000"/>
          </w14:textOutline>
        </w:rPr>
        <w:t>.</w:t>
      </w:r>
    </w:p>
    <w:p w14:paraId="160138EF" w14:textId="0AA475F9"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b/>
          <w:bCs/>
          <w:lang w:val="en-GB"/>
          <w14:textOutline w14:w="12700" w14:cap="flat" w14:cmpd="sng" w14:algn="ctr">
            <w14:noFill/>
            <w14:prstDash w14:val="solid"/>
            <w14:miter w14:lim="400000"/>
          </w14:textOutline>
        </w:rPr>
      </w:pPr>
      <w:r w:rsidRPr="00B312EF">
        <w:rPr>
          <w:b/>
          <w:bCs/>
          <w:lang w:val="en-GB"/>
          <w14:textOutline w14:w="12700" w14:cap="flat" w14:cmpd="sng" w14:algn="ctr">
            <w14:noFill/>
            <w14:prstDash w14:val="solid"/>
            <w14:miter w14:lim="400000"/>
          </w14:textOutline>
        </w:rPr>
        <w:t xml:space="preserve">3.2. </w:t>
      </w:r>
      <w:r w:rsidR="00CE0EBB">
        <w:rPr>
          <w:b/>
          <w:bCs/>
          <w:lang w:val="en-GB"/>
          <w14:textOutline w14:w="12700" w14:cap="flat" w14:cmpd="sng" w14:algn="ctr">
            <w14:noFill/>
            <w14:prstDash w14:val="solid"/>
            <w14:miter w14:lim="400000"/>
          </w14:textOutline>
        </w:rPr>
        <w:t>Usefulness Arguments</w:t>
      </w:r>
    </w:p>
    <w:p w14:paraId="47F1D542" w14:textId="7D5321BB" w:rsidR="007A5D1D" w:rsidRPr="00B312EF" w:rsidRDefault="00CE0EBB"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By nature, strategies that </w:t>
      </w:r>
      <w:r w:rsidR="00AB611C">
        <w:rPr>
          <w:lang w:val="en-GB"/>
          <w14:textOutline w14:w="12700" w14:cap="flat" w14:cmpd="sng" w14:algn="ctr">
            <w14:noFill/>
            <w14:prstDash w14:val="solid"/>
            <w14:miter w14:lim="400000"/>
          </w14:textOutline>
        </w:rPr>
        <w:t>emphasize</w:t>
      </w:r>
      <w:r>
        <w:rPr>
          <w:lang w:val="en-GB"/>
          <w14:textOutline w14:w="12700" w14:cap="flat" w14:cmpd="sng" w14:algn="ctr">
            <w14:noFill/>
            <w14:prstDash w14:val="solid"/>
            <w14:miter w14:lim="400000"/>
          </w14:textOutline>
        </w:rPr>
        <w:t xml:space="preserve"> the usefulness of know</w:t>
      </w:r>
      <w:r w:rsidR="00F0362F">
        <w:rPr>
          <w:lang w:val="en-GB"/>
          <w14:textOutline w14:w="12700" w14:cap="flat" w14:cmpd="sng" w14:algn="ctr">
            <w14:noFill/>
            <w14:prstDash w14:val="solid"/>
            <w14:miter w14:lim="400000"/>
          </w14:textOutline>
        </w:rPr>
        <w:t>ing</w:t>
      </w:r>
      <w:r>
        <w:rPr>
          <w:lang w:val="en-GB"/>
          <w14:textOutline w14:w="12700" w14:cap="flat" w14:cmpd="sng" w14:algn="ctr">
            <w14:noFill/>
            <w14:prstDash w14:val="solid"/>
            <w14:miter w14:lim="400000"/>
          </w14:textOutline>
        </w:rPr>
        <w:t xml:space="preserve"> the history of philosophy take a</w:t>
      </w:r>
      <w:r w:rsidR="00F325E1">
        <w:rPr>
          <w:lang w:val="en-GB"/>
          <w14:textOutline w14:w="12700" w14:cap="flat" w14:cmpd="sng" w14:algn="ctr">
            <w14:noFill/>
            <w14:prstDash w14:val="solid"/>
            <w14:miter w14:lim="400000"/>
          </w14:textOutline>
        </w:rPr>
        <w:t>n</w:t>
      </w:r>
      <w:r>
        <w:rPr>
          <w:lang w:val="en-GB"/>
          <w14:textOutline w14:w="12700" w14:cap="flat" w14:cmpd="sng" w14:algn="ctr">
            <w14:noFill/>
            <w14:prstDash w14:val="solid"/>
            <w14:miter w14:lim="400000"/>
          </w14:textOutline>
        </w:rPr>
        <w:t xml:space="preserve"> </w:t>
      </w:r>
      <w:r w:rsidR="00F325E1" w:rsidRPr="00F325E1">
        <w:rPr>
          <w:i/>
          <w:iCs/>
          <w:lang w:val="en-GB"/>
          <w14:textOutline w14:w="12700" w14:cap="flat" w14:cmpd="sng" w14:algn="ctr">
            <w14:noFill/>
            <w14:prstDash w14:val="solid"/>
            <w14:miter w14:lim="400000"/>
          </w14:textOutline>
        </w:rPr>
        <w:t>ac</w:t>
      </w:r>
      <w:r>
        <w:rPr>
          <w:i/>
          <w:iCs/>
          <w:lang w:val="en-GB"/>
          <w14:textOutline w14:w="12700" w14:cap="flat" w14:cmpd="sng" w14:algn="ctr">
            <w14:noFill/>
            <w14:prstDash w14:val="solid"/>
            <w14:miter w14:lim="400000"/>
          </w14:textOutline>
        </w:rPr>
        <w:t>cumulative</w:t>
      </w:r>
      <w:r>
        <w:rPr>
          <w:lang w:val="en-GB"/>
          <w14:textOutline w14:w="12700" w14:cap="flat" w14:cmpd="sng" w14:algn="ctr">
            <w14:noFill/>
            <w14:prstDash w14:val="solid"/>
            <w14:miter w14:lim="400000"/>
          </w14:textOutline>
        </w:rPr>
        <w:t xml:space="preserve"> approach: “Know</w:t>
      </w:r>
      <w:r w:rsidR="00F0362F">
        <w:rPr>
          <w:lang w:val="en-GB"/>
          <w14:textOutline w14:w="12700" w14:cap="flat" w14:cmpd="sng" w14:algn="ctr">
            <w14:noFill/>
            <w14:prstDash w14:val="solid"/>
            <w14:miter w14:lim="400000"/>
          </w14:textOutline>
        </w:rPr>
        <w:t>ing</w:t>
      </w:r>
      <w:r>
        <w:rPr>
          <w:lang w:val="en-GB"/>
          <w14:textOutline w14:w="12700" w14:cap="flat" w14:cmpd="sng" w14:algn="ctr">
            <w14:noFill/>
            <w14:prstDash w14:val="solid"/>
            <w14:miter w14:lim="400000"/>
          </w14:textOutline>
        </w:rPr>
        <w:t xml:space="preserve"> the history of philosophy can be helpful for doing philosophy in many ways. </w:t>
      </w:r>
      <w:r w:rsidR="00F325E1">
        <w:rPr>
          <w:lang w:val="en-GB"/>
          <w14:textOutline w14:w="12700" w14:cap="flat" w14:cmpd="sng" w14:algn="ctr">
            <w14:noFill/>
            <w14:prstDash w14:val="solid"/>
            <w14:miter w14:lim="400000"/>
          </w14:textOutline>
        </w:rPr>
        <w:t>We are able to better locate particular philosophical positions in their historical context and so to understand them better; we know and understand the historical background of current debates; we learn from great philosophical models how to formulate precise and exact arguments.” These and many other conceivable usefulness arguments can be reduced for simplicity’s sake to this claim: know</w:t>
      </w:r>
      <w:r w:rsidR="00F0362F">
        <w:rPr>
          <w:lang w:val="en-GB"/>
          <w14:textOutline w14:w="12700" w14:cap="flat" w14:cmpd="sng" w14:algn="ctr">
            <w14:noFill/>
            <w14:prstDash w14:val="solid"/>
            <w14:miter w14:lim="400000"/>
          </w14:textOutline>
        </w:rPr>
        <w:t>ing</w:t>
      </w:r>
      <w:r w:rsidR="00F325E1">
        <w:rPr>
          <w:lang w:val="en-GB"/>
          <w14:textOutline w14:w="12700" w14:cap="flat" w14:cmpd="sng" w14:algn="ctr">
            <w14:noFill/>
            <w14:prstDash w14:val="solid"/>
            <w14:miter w14:lim="400000"/>
          </w14:textOutline>
        </w:rPr>
        <w:t xml:space="preserve"> the history of philosophy cont</w:t>
      </w:r>
      <w:r w:rsidR="00F0362F">
        <w:rPr>
          <w:lang w:val="en-GB"/>
          <w14:textOutline w14:w="12700" w14:cap="flat" w14:cmpd="sng" w14:algn="ctr">
            <w14:noFill/>
            <w14:prstDash w14:val="solid"/>
            <w14:miter w14:lim="400000"/>
          </w14:textOutline>
        </w:rPr>
        <w:t>r</w:t>
      </w:r>
      <w:r w:rsidR="00F325E1">
        <w:rPr>
          <w:lang w:val="en-GB"/>
          <w14:textOutline w14:w="12700" w14:cap="flat" w14:cmpd="sng" w14:algn="ctr">
            <w14:noFill/>
            <w14:prstDash w14:val="solid"/>
            <w14:miter w14:lim="400000"/>
          </w14:textOutline>
        </w:rPr>
        <w:t xml:space="preserve">ibutes to </w:t>
      </w:r>
      <w:r w:rsidR="00F325E1">
        <w:rPr>
          <w:i/>
          <w:iCs/>
          <w:lang w:val="en-GB"/>
          <w14:textOutline w14:w="12700" w14:cap="flat" w14:cmpd="sng" w14:algn="ctr">
            <w14:noFill/>
            <w14:prstDash w14:val="solid"/>
            <w14:miter w14:lim="400000"/>
          </w14:textOutline>
        </w:rPr>
        <w:t>improving</w:t>
      </w:r>
      <w:r w:rsidR="00F325E1">
        <w:rPr>
          <w:lang w:val="en-GB"/>
          <w14:textOutline w14:w="12700" w14:cap="flat" w14:cmpd="sng" w14:algn="ctr">
            <w14:noFill/>
            <w14:prstDash w14:val="solid"/>
            <w14:miter w14:lim="400000"/>
          </w14:textOutline>
        </w:rPr>
        <w:t xml:space="preserve"> the ability to do philosophy. Scarcely anyone is likely to seriously dispute this claim. Nevertheless, there are reasons against basing the explanation of why the history of philosophy “belongs” with doing philosophy exclusively or even mainly on usefulness arguments</w:t>
      </w:r>
      <w:r w:rsidR="007A5D1D" w:rsidRPr="00B312EF">
        <w:rPr>
          <w:lang w:val="en-GB"/>
          <w14:textOutline w14:w="12700" w14:cap="flat" w14:cmpd="sng" w14:algn="ctr">
            <w14:noFill/>
            <w14:prstDash w14:val="solid"/>
            <w14:miter w14:lim="400000"/>
          </w14:textOutline>
        </w:rPr>
        <w:t>.</w:t>
      </w:r>
      <w:r w:rsidR="00F325E1">
        <w:rPr>
          <w:lang w:val="en-GB"/>
          <w14:textOutline w14:w="12700" w14:cap="flat" w14:cmpd="sng" w14:algn="ctr">
            <w14:noFill/>
            <w14:prstDash w14:val="solid"/>
            <w14:miter w14:lim="400000"/>
          </w14:textOutline>
        </w:rPr>
        <w:t xml:space="preserve"> In terms </w:t>
      </w:r>
      <w:r w:rsidR="00F325E1">
        <w:rPr>
          <w:lang w:val="en-GB"/>
          <w14:textOutline w14:w="12700" w14:cap="flat" w14:cmpd="sng" w14:algn="ctr">
            <w14:noFill/>
            <w14:prstDash w14:val="solid"/>
            <w14:miter w14:lim="400000"/>
          </w14:textOutline>
        </w:rPr>
        <w:lastRenderedPageBreak/>
        <w:t xml:space="preserve">of the </w:t>
      </w:r>
      <w:r w:rsidR="00F0362F">
        <w:rPr>
          <w:lang w:val="en-GB"/>
          <w14:textOutline w14:w="12700" w14:cap="flat" w14:cmpd="sng" w14:algn="ctr">
            <w14:noFill/>
            <w14:prstDash w14:val="solid"/>
            <w14:miter w14:lim="400000"/>
          </w14:textOutline>
        </w:rPr>
        <w:t>classification</w:t>
      </w:r>
      <w:r w:rsidR="00F325E1">
        <w:rPr>
          <w:lang w:val="en-GB"/>
          <w14:textOutline w14:w="12700" w14:cap="flat" w14:cmpd="sng" w14:algn="ctr">
            <w14:noFill/>
            <w14:prstDash w14:val="solid"/>
            <w14:miter w14:lim="400000"/>
          </w14:textOutline>
        </w:rPr>
        <w:t xml:space="preserve"> outlined above, this strategy falls between options 1 and 2: If know</w:t>
      </w:r>
      <w:r w:rsidR="00F0362F">
        <w:rPr>
          <w:lang w:val="en-GB"/>
          <w14:textOutline w14:w="12700" w14:cap="flat" w14:cmpd="sng" w14:algn="ctr">
            <w14:noFill/>
            <w14:prstDash w14:val="solid"/>
            <w14:miter w14:lim="400000"/>
          </w14:textOutline>
        </w:rPr>
        <w:t>ing</w:t>
      </w:r>
      <w:r w:rsidR="00F325E1">
        <w:rPr>
          <w:lang w:val="en-GB"/>
          <w14:textOutline w14:w="12700" w14:cap="flat" w14:cmpd="sng" w14:algn="ctr">
            <w14:noFill/>
            <w14:prstDash w14:val="solid"/>
            <w14:miter w14:lim="400000"/>
          </w14:textOutline>
        </w:rPr>
        <w:t xml:space="preserve"> the history of philosophy is not required</w:t>
      </w:r>
      <w:r w:rsidR="00F0362F">
        <w:rPr>
          <w:lang w:val="en-GB"/>
          <w14:textOutline w14:w="12700" w14:cap="flat" w14:cmpd="sng" w14:algn="ctr">
            <w14:noFill/>
            <w14:prstDash w14:val="solid"/>
            <w14:miter w14:lim="400000"/>
          </w14:textOutline>
        </w:rPr>
        <w:t xml:space="preserve"> for doing</w:t>
      </w:r>
      <w:r w:rsidR="00F325E1">
        <w:rPr>
          <w:lang w:val="en-GB"/>
          <w14:textOutline w14:w="12700" w14:cap="flat" w14:cmpd="sng" w14:algn="ctr">
            <w14:noFill/>
            <w14:prstDash w14:val="solid"/>
            <w14:miter w14:lim="400000"/>
          </w14:textOutline>
        </w:rPr>
        <w:t xml:space="preserve"> philosophy</w:t>
      </w:r>
      <w:r w:rsidR="00F0362F">
        <w:rPr>
          <w:lang w:val="en-GB"/>
          <w14:textOutline w14:w="12700" w14:cap="flat" w14:cmpd="sng" w14:algn="ctr">
            <w14:noFill/>
            <w14:prstDash w14:val="solid"/>
            <w14:miter w14:lim="400000"/>
          </w14:textOutline>
        </w:rPr>
        <w:t xml:space="preserve"> but merely useful</w:t>
      </w:r>
      <w:r w:rsidR="00F325E1">
        <w:rPr>
          <w:lang w:val="en-GB"/>
          <w14:textOutline w14:w="12700" w14:cap="flat" w14:cmpd="sng" w14:algn="ctr">
            <w14:noFill/>
            <w14:prstDash w14:val="solid"/>
            <w14:miter w14:lim="400000"/>
          </w14:textOutline>
        </w:rPr>
        <w:t>, the practical bifurcation of philosophy is acknowledged as a matter of principle. However, usefulness in itself, as a positive characterization of the relationship between know</w:t>
      </w:r>
      <w:r w:rsidR="00F0362F">
        <w:rPr>
          <w:lang w:val="en-GB"/>
          <w14:textOutline w14:w="12700" w14:cap="flat" w14:cmpd="sng" w14:algn="ctr">
            <w14:noFill/>
            <w14:prstDash w14:val="solid"/>
            <w14:miter w14:lim="400000"/>
          </w14:textOutline>
        </w:rPr>
        <w:t>ing</w:t>
      </w:r>
      <w:r w:rsidR="00F325E1">
        <w:rPr>
          <w:lang w:val="en-GB"/>
          <w14:textOutline w14:w="12700" w14:cap="flat" w14:cmpd="sng" w14:algn="ctr">
            <w14:noFill/>
            <w14:prstDash w14:val="solid"/>
            <w14:miter w14:lim="400000"/>
          </w14:textOutline>
        </w:rPr>
        <w:t xml:space="preserve"> the history of philosophy and</w:t>
      </w:r>
      <w:r w:rsidR="00D13177">
        <w:rPr>
          <w:lang w:val="en-GB"/>
          <w14:textOutline w14:w="12700" w14:cap="flat" w14:cmpd="sng" w14:algn="ctr">
            <w14:noFill/>
            <w14:prstDash w14:val="solid"/>
            <w14:miter w14:lim="400000"/>
          </w14:textOutline>
        </w:rPr>
        <w:t xml:space="preserve"> doing philosophy, scarcely provides a stable bridge toward solving the problem of the unity of philosophy </w:t>
      </w:r>
      <w:r w:rsidR="00E209BA">
        <w:rPr>
          <w:lang w:val="en-GB"/>
          <w14:textOutline w14:w="12700" w14:cap="flat" w14:cmpd="sng" w14:algn="ctr">
            <w14:noFill/>
            <w14:prstDash w14:val="solid"/>
            <w14:miter w14:lim="400000"/>
          </w14:textOutline>
        </w:rPr>
        <w:t>along</w:t>
      </w:r>
      <w:r w:rsidR="00DE7963">
        <w:rPr>
          <w:lang w:val="en-GB"/>
          <w14:textOutline w14:w="12700" w14:cap="flat" w14:cmpd="sng" w14:algn="ctr">
            <w14:noFill/>
            <w14:prstDash w14:val="solid"/>
            <w14:miter w14:lim="400000"/>
          </w14:textOutline>
        </w:rPr>
        <w:t xml:space="preserve"> the lines</w:t>
      </w:r>
      <w:r w:rsidR="00D13177">
        <w:rPr>
          <w:lang w:val="en-GB"/>
          <w14:textOutline w14:w="12700" w14:cap="flat" w14:cmpd="sng" w14:algn="ctr">
            <w14:noFill/>
            <w14:prstDash w14:val="solid"/>
            <w14:miter w14:lim="400000"/>
          </w14:textOutline>
        </w:rPr>
        <w:t xml:space="preserve"> of option 2. Because every conceivable usefulness argument has to consider whether the desired usefulness might be obtained in some other way, and possibly in a more targeted or efficient one,</w:t>
      </w:r>
      <w:r w:rsidR="007A5D1D" w:rsidRPr="00B312EF">
        <w:rPr>
          <w:vertAlign w:val="superscript"/>
          <w:lang w:val="en-GB"/>
          <w14:textOutline w14:w="12700" w14:cap="flat" w14:cmpd="sng" w14:algn="ctr">
            <w14:noFill/>
            <w14:prstDash w14:val="solid"/>
            <w14:miter w14:lim="400000"/>
          </w14:textOutline>
        </w:rPr>
        <w:footnoteReference w:id="10"/>
      </w:r>
      <w:r w:rsidR="007A5D1D" w:rsidRPr="00B312EF">
        <w:rPr>
          <w:lang w:val="en-GB"/>
          <w14:textOutline w14:w="12700" w14:cap="flat" w14:cmpd="sng" w14:algn="ctr">
            <w14:noFill/>
            <w14:prstDash w14:val="solid"/>
            <w14:miter w14:lim="400000"/>
          </w14:textOutline>
        </w:rPr>
        <w:t xml:space="preserve"> </w:t>
      </w:r>
      <w:r w:rsidR="00D13177">
        <w:rPr>
          <w:lang w:val="en-GB"/>
          <w14:textOutline w14:w="12700" w14:cap="flat" w14:cmpd="sng" w14:algn="ctr">
            <w14:noFill/>
            <w14:prstDash w14:val="solid"/>
            <w14:miter w14:lim="400000"/>
          </w14:textOutline>
        </w:rPr>
        <w:t>usefulness arguments always remain subject to well-founded doubts about their validity. In the worst case, a string of such arguments might even come across as a rhetorical evasive man</w:t>
      </w:r>
      <w:r w:rsidR="009412B9">
        <w:rPr>
          <w:lang w:val="en-GB"/>
          <w14:textOutline w14:w="12700" w14:cap="flat" w14:cmpd="sng" w14:algn="ctr">
            <w14:noFill/>
            <w14:prstDash w14:val="solid"/>
            <w14:miter w14:lim="400000"/>
          </w14:textOutline>
        </w:rPr>
        <w:t>oe</w:t>
      </w:r>
      <w:r w:rsidR="00D13177">
        <w:rPr>
          <w:lang w:val="en-GB"/>
          <w14:textOutline w14:w="12700" w14:cap="flat" w14:cmpd="sng" w14:algn="ctr">
            <w14:noFill/>
            <w14:prstDash w14:val="solid"/>
            <w14:miter w14:lim="400000"/>
          </w14:textOutline>
        </w:rPr>
        <w:t>uv</w:t>
      </w:r>
      <w:r w:rsidR="009412B9">
        <w:rPr>
          <w:lang w:val="en-GB"/>
          <w14:textOutline w14:w="12700" w14:cap="flat" w14:cmpd="sng" w14:algn="ctr">
            <w14:noFill/>
            <w14:prstDash w14:val="solid"/>
            <w14:miter w14:lim="400000"/>
          </w14:textOutline>
        </w:rPr>
        <w:t>re</w:t>
      </w:r>
      <w:r w:rsidR="00D13177">
        <w:rPr>
          <w:lang w:val="en-GB"/>
          <w14:textOutline w14:w="12700" w14:cap="flat" w14:cmpd="sng" w14:algn="ctr">
            <w14:noFill/>
            <w14:prstDash w14:val="solid"/>
            <w14:miter w14:lim="400000"/>
          </w14:textOutline>
        </w:rPr>
        <w:t xml:space="preserve"> aimed at covering up the lack of a sound foundation</w:t>
      </w:r>
      <w:r w:rsidR="007A5D1D" w:rsidRPr="00B312EF">
        <w:rPr>
          <w:lang w:val="en-GB"/>
          <w14:textOutline w14:w="12700" w14:cap="flat" w14:cmpd="sng" w14:algn="ctr">
            <w14:noFill/>
            <w14:prstDash w14:val="solid"/>
            <w14:miter w14:lim="400000"/>
          </w14:textOutline>
        </w:rPr>
        <w:t>.</w:t>
      </w:r>
    </w:p>
    <w:p w14:paraId="238F13CE" w14:textId="52BF1F85"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b/>
          <w:bCs/>
          <w:lang w:val="en-GB"/>
          <w14:textOutline w14:w="12700" w14:cap="flat" w14:cmpd="sng" w14:algn="ctr">
            <w14:noFill/>
            <w14:prstDash w14:val="solid"/>
            <w14:miter w14:lim="400000"/>
          </w14:textOutline>
        </w:rPr>
      </w:pPr>
      <w:r w:rsidRPr="00B312EF">
        <w:rPr>
          <w:b/>
          <w:bCs/>
          <w:lang w:val="en-GB"/>
          <w14:textOutline w14:w="12700" w14:cap="flat" w14:cmpd="sng" w14:algn="ctr">
            <w14:noFill/>
            <w14:prstDash w14:val="solid"/>
            <w14:miter w14:lim="400000"/>
          </w14:textOutline>
        </w:rPr>
        <w:t>3.3. Eternalism</w:t>
      </w:r>
    </w:p>
    <w:p w14:paraId="42F77C9C" w14:textId="3C560E00" w:rsidR="007A5D1D" w:rsidRPr="00B312EF" w:rsidRDefault="00D13177"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The </w:t>
      </w:r>
      <w:r w:rsidR="0089292A">
        <w:rPr>
          <w:lang w:val="en-GB"/>
          <w14:textOutline w14:w="12700" w14:cap="flat" w14:cmpd="sng" w14:algn="ctr">
            <w14:noFill/>
            <w14:prstDash w14:val="solid"/>
            <w14:miter w14:lim="400000"/>
          </w14:textOutline>
        </w:rPr>
        <w:t xml:space="preserve">characterization of this strategy as eternalism is </w:t>
      </w:r>
      <w:r w:rsidR="00B91A61">
        <w:rPr>
          <w:lang w:val="en-GB"/>
          <w14:textOutline w14:w="12700" w14:cap="flat" w14:cmpd="sng" w14:algn="ctr">
            <w14:noFill/>
            <w14:prstDash w14:val="solid"/>
            <w14:miter w14:lim="400000"/>
          </w14:textOutline>
        </w:rPr>
        <w:t>taken</w:t>
      </w:r>
      <w:r w:rsidR="0089292A">
        <w:rPr>
          <w:lang w:val="en-GB"/>
          <w14:textOutline w14:w="12700" w14:cap="flat" w14:cmpd="sng" w14:algn="ctr">
            <w14:noFill/>
            <w14:prstDash w14:val="solid"/>
            <w14:miter w14:lim="400000"/>
          </w14:textOutline>
        </w:rPr>
        <w:t xml:space="preserve"> from a presentation by </w:t>
      </w:r>
      <w:r w:rsidR="007A5D1D" w:rsidRPr="00B312EF">
        <w:rPr>
          <w:lang w:val="en-GB"/>
          <w14:textOutline w14:w="12700" w14:cap="flat" w14:cmpd="sng" w14:algn="ctr">
            <w14:noFill/>
            <w14:prstDash w14:val="solid"/>
            <w14:miter w14:lim="400000"/>
          </w14:textOutline>
        </w:rPr>
        <w:t>Manuel Lorenz.</w:t>
      </w:r>
      <w:r w:rsidR="007A5D1D" w:rsidRPr="00B312EF">
        <w:rPr>
          <w:vertAlign w:val="superscript"/>
          <w:lang w:val="en-GB"/>
          <w14:textOutline w14:w="12700" w14:cap="flat" w14:cmpd="sng" w14:algn="ctr">
            <w14:noFill/>
            <w14:prstDash w14:val="solid"/>
            <w14:miter w14:lim="400000"/>
          </w14:textOutline>
        </w:rPr>
        <w:footnoteReference w:id="11"/>
      </w:r>
      <w:r w:rsidR="007A5D1D" w:rsidRPr="00B312EF">
        <w:rPr>
          <w:lang w:val="en-GB"/>
          <w14:textOutline w14:w="12700" w14:cap="flat" w14:cmpd="sng" w14:algn="ctr">
            <w14:noFill/>
            <w14:prstDash w14:val="solid"/>
            <w14:miter w14:lim="400000"/>
          </w14:textOutline>
        </w:rPr>
        <w:t xml:space="preserve"> </w:t>
      </w:r>
      <w:r w:rsidR="0089292A">
        <w:rPr>
          <w:lang w:val="en-GB"/>
          <w14:textOutline w14:w="12700" w14:cap="flat" w14:cmpd="sng" w14:algn="ctr">
            <w14:noFill/>
            <w14:prstDash w14:val="solid"/>
            <w14:miter w14:lim="400000"/>
          </w14:textOutline>
        </w:rPr>
        <w:t xml:space="preserve">Briefly summarized, eternalism sees philosophy as a discipline that concerns itself with timelessly </w:t>
      </w:r>
      <w:r w:rsidR="00DE7963">
        <w:rPr>
          <w:lang w:val="en-GB"/>
          <w14:textOutline w14:w="12700" w14:cap="flat" w14:cmpd="sng" w14:algn="ctr">
            <w14:noFill/>
            <w14:prstDash w14:val="solid"/>
            <w14:miter w14:lim="400000"/>
          </w14:textOutline>
        </w:rPr>
        <w:t>relev</w:t>
      </w:r>
      <w:r w:rsidR="0089292A">
        <w:rPr>
          <w:lang w:val="en-GB"/>
          <w14:textOutline w14:w="12700" w14:cap="flat" w14:cmpd="sng" w14:algn="ctr">
            <w14:noFill/>
            <w14:prstDash w14:val="solid"/>
            <w14:miter w14:lim="400000"/>
          </w14:textOutline>
        </w:rPr>
        <w:t>ant problems arising from determinate, unchangeable, anthro</w:t>
      </w:r>
      <w:r w:rsidR="00B91A61">
        <w:rPr>
          <w:lang w:val="en-GB"/>
          <w14:textOutline w14:w="12700" w14:cap="flat" w14:cmpd="sng" w14:algn="ctr">
            <w14:noFill/>
            <w14:prstDash w14:val="solid"/>
            <w14:miter w14:lim="400000"/>
          </w14:textOutline>
        </w:rPr>
        <w:t>po</w:t>
      </w:r>
      <w:r w:rsidR="0089292A">
        <w:rPr>
          <w:lang w:val="en-GB"/>
          <w14:textOutline w14:w="12700" w14:cap="flat" w14:cmpd="sng" w14:algn="ctr">
            <w14:noFill/>
            <w14:prstDash w14:val="solid"/>
            <w14:miter w14:lim="400000"/>
          </w14:textOutline>
        </w:rPr>
        <w:t>logical basic structures</w:t>
      </w:r>
      <w:r w:rsidR="007A5D1D" w:rsidRPr="00B312EF">
        <w:rPr>
          <w:lang w:val="en-GB"/>
          <w14:textOutline w14:w="12700" w14:cap="flat" w14:cmpd="sng" w14:algn="ctr">
            <w14:noFill/>
            <w14:prstDash w14:val="solid"/>
            <w14:miter w14:lim="400000"/>
          </w14:textOutline>
        </w:rPr>
        <w:t>.</w:t>
      </w:r>
      <w:r w:rsidR="007A5D1D" w:rsidRPr="00B312EF">
        <w:rPr>
          <w:vertAlign w:val="superscript"/>
          <w:lang w:val="en-GB"/>
          <w14:textOutline w14:w="12700" w14:cap="flat" w14:cmpd="sng" w14:algn="ctr">
            <w14:noFill/>
            <w14:prstDash w14:val="solid"/>
            <w14:miter w14:lim="400000"/>
          </w14:textOutline>
        </w:rPr>
        <w:footnoteReference w:id="12"/>
      </w:r>
      <w:r w:rsidR="007A5D1D" w:rsidRPr="00B312EF">
        <w:rPr>
          <w:lang w:val="en-GB"/>
          <w14:textOutline w14:w="12700" w14:cap="flat" w14:cmpd="sng" w14:algn="ctr">
            <w14:noFill/>
            <w14:prstDash w14:val="solid"/>
            <w14:miter w14:lim="400000"/>
          </w14:textOutline>
        </w:rPr>
        <w:t xml:space="preserve"> </w:t>
      </w:r>
      <w:r w:rsidR="0089292A">
        <w:rPr>
          <w:lang w:val="en-GB"/>
          <w14:textOutline w14:w="12700" w14:cap="flat" w14:cmpd="sng" w14:algn="ctr">
            <w14:noFill/>
            <w14:prstDash w14:val="solid"/>
            <w14:miter w14:lim="400000"/>
          </w14:textOutline>
        </w:rPr>
        <w:t xml:space="preserve">In terms of the </w:t>
      </w:r>
      <w:r w:rsidR="00B91A61">
        <w:rPr>
          <w:lang w:val="en-GB"/>
          <w14:textOutline w14:w="12700" w14:cap="flat" w14:cmpd="sng" w14:algn="ctr">
            <w14:noFill/>
            <w14:prstDash w14:val="solid"/>
            <w14:miter w14:lim="400000"/>
          </w14:textOutline>
        </w:rPr>
        <w:t>classification</w:t>
      </w:r>
      <w:r w:rsidR="0089292A">
        <w:rPr>
          <w:lang w:val="en-GB"/>
          <w14:textOutline w14:w="12700" w14:cap="flat" w14:cmpd="sng" w14:algn="ctr">
            <w14:noFill/>
            <w14:prstDash w14:val="solid"/>
            <w14:miter w14:lim="400000"/>
          </w14:textOutline>
        </w:rPr>
        <w:t xml:space="preserve"> outlined above, eternalism appears to choose option 2: The practical division between doing philosophy and its relationship to the history of philosophy is acknowledged as a matter of principle, but at the same time, an explanation for the unity of philosophy is </w:t>
      </w:r>
      <w:r w:rsidR="00205538">
        <w:rPr>
          <w:lang w:val="en-GB"/>
          <w14:textOutline w14:w="12700" w14:cap="flat" w14:cmpd="sng" w14:algn="ctr">
            <w14:noFill/>
            <w14:prstDash w14:val="solid"/>
            <w14:miter w14:lim="400000"/>
          </w14:textOutline>
        </w:rPr>
        <w:t>offer</w:t>
      </w:r>
      <w:r w:rsidR="0089292A">
        <w:rPr>
          <w:lang w:val="en-GB"/>
          <w14:textOutline w14:w="12700" w14:cap="flat" w14:cmpd="sng" w14:algn="ctr">
            <w14:noFill/>
            <w14:prstDash w14:val="solid"/>
            <w14:miter w14:lim="400000"/>
          </w14:textOutline>
        </w:rPr>
        <w:t xml:space="preserve">ed: “We who do philosophy today and the philosophers of earlier times concern ourselves with </w:t>
      </w:r>
      <w:r w:rsidR="0089292A">
        <w:rPr>
          <w:i/>
          <w:iCs/>
          <w:lang w:val="en-GB"/>
          <w14:textOutline w14:w="12700" w14:cap="flat" w14:cmpd="sng" w14:algn="ctr">
            <w14:noFill/>
            <w14:prstDash w14:val="solid"/>
            <w14:miter w14:lim="400000"/>
          </w14:textOutline>
        </w:rPr>
        <w:t>the same problems</w:t>
      </w:r>
      <w:r w:rsidR="0089292A">
        <w:rPr>
          <w:lang w:val="en-GB"/>
          <w14:textOutline w14:w="12700" w14:cap="flat" w14:cmpd="sng" w14:algn="ctr">
            <w14:noFill/>
            <w14:prstDash w14:val="solid"/>
            <w14:miter w14:lim="400000"/>
          </w14:textOutline>
        </w:rPr>
        <w:t>.”</w:t>
      </w:r>
    </w:p>
    <w:p w14:paraId="2B743E0C" w14:textId="18C2DE88" w:rsidR="007A5D1D" w:rsidRPr="00B312EF" w:rsidRDefault="00205538"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For philosophy educators, eternalism appears at first to offer an attractive option for several reasons: It appears to provide an elegant conceptual bridge over the dividing line between doing philosophy and the history of philosophy. In addition, it is in perfect harmony with the educational principle of problem-oriented instruction: the arguments of earlier philosophers can be organically integrated into the instructional process as a way of “asking questions of </w:t>
      </w:r>
      <w:r>
        <w:rPr>
          <w:lang w:val="en-GB"/>
          <w14:textOutline w14:w="12700" w14:cap="flat" w14:cmpd="sng" w14:algn="ctr">
            <w14:noFill/>
            <w14:prstDash w14:val="solid"/>
            <w14:miter w14:lim="400000"/>
          </w14:textOutline>
        </w:rPr>
        <w:lastRenderedPageBreak/>
        <w:t xml:space="preserve">experts” </w:t>
      </w:r>
      <w:r w:rsidR="007A5D1D" w:rsidRPr="00B312EF">
        <w:rPr>
          <w:lang w:val="en-GB"/>
          <w14:textOutline w14:w="12700" w14:cap="flat" w14:cmpd="sng" w14:algn="ctr">
            <w14:noFill/>
            <w14:prstDash w14:val="solid"/>
            <w14:miter w14:lim="400000"/>
          </w14:textOutline>
        </w:rPr>
        <w:t>(Ekkehard Martens)</w:t>
      </w:r>
      <w:r>
        <w:rPr>
          <w:lang w:val="en-GB"/>
          <w14:textOutline w14:w="12700" w14:cap="flat" w14:cmpd="sng" w14:algn="ctr">
            <w14:noFill/>
            <w14:prstDash w14:val="solid"/>
            <w14:miter w14:lim="400000"/>
          </w14:textOutline>
        </w:rPr>
        <w:t>. Rolf Sistermann’s “bonbon model,” still frequently used in German universities and teacher-</w:t>
      </w:r>
      <w:r w:rsidR="00A86D73">
        <w:rPr>
          <w:lang w:val="en-GB"/>
          <w14:textOutline w14:w="12700" w14:cap="flat" w14:cmpd="sng" w14:algn="ctr">
            <w14:noFill/>
            <w14:prstDash w14:val="solid"/>
            <w14:miter w14:lim="400000"/>
          </w14:textOutline>
        </w:rPr>
        <w:t>prepara</w:t>
      </w:r>
      <w:r>
        <w:rPr>
          <w:lang w:val="en-GB"/>
          <w14:textOutline w14:w="12700" w14:cap="flat" w14:cmpd="sng" w14:algn="ctr">
            <w14:noFill/>
            <w14:prstDash w14:val="solid"/>
            <w14:miter w14:lim="400000"/>
          </w14:textOutline>
        </w:rPr>
        <w:t xml:space="preserve">tion programs </w:t>
      </w:r>
      <w:r w:rsidR="0094513F">
        <w:rPr>
          <w:lang w:val="en-GB"/>
          <w14:textOutline w14:w="12700" w14:cap="flat" w14:cmpd="sng" w14:algn="ctr">
            <w14:noFill/>
            <w14:prstDash w14:val="solid"/>
            <w14:miter w14:lim="400000"/>
          </w14:textOutline>
        </w:rPr>
        <w:t xml:space="preserve">even as it has </w:t>
      </w:r>
      <w:r w:rsidR="00B91A61">
        <w:rPr>
          <w:lang w:val="en-GB"/>
          <w14:textOutline w14:w="12700" w14:cap="flat" w14:cmpd="sng" w14:algn="ctr">
            <w14:noFill/>
            <w14:prstDash w14:val="solid"/>
            <w14:miter w14:lim="400000"/>
          </w14:textOutline>
        </w:rPr>
        <w:t>come under</w:t>
      </w:r>
      <w:r w:rsidR="0094513F">
        <w:rPr>
          <w:lang w:val="en-GB"/>
          <w14:textOutline w14:w="12700" w14:cap="flat" w14:cmpd="sng" w14:algn="ctr">
            <w14:noFill/>
            <w14:prstDash w14:val="solid"/>
            <w14:miter w14:lim="400000"/>
          </w14:textOutline>
        </w:rPr>
        <w:t xml:space="preserve"> </w:t>
      </w:r>
      <w:r w:rsidR="00B91A61">
        <w:rPr>
          <w:lang w:val="en-GB"/>
          <w14:textOutline w14:w="12700" w14:cap="flat" w14:cmpd="sng" w14:algn="ctr">
            <w14:noFill/>
            <w14:prstDash w14:val="solid"/>
            <w14:miter w14:lim="400000"/>
          </w14:textOutline>
        </w:rPr>
        <w:t>criticism</w:t>
      </w:r>
      <w:r w:rsidR="0094513F">
        <w:rPr>
          <w:lang w:val="en-GB"/>
          <w14:textOutline w14:w="12700" w14:cap="flat" w14:cmpd="sng" w14:algn="ctr">
            <w14:noFill/>
            <w14:prstDash w14:val="solid"/>
            <w14:miter w14:lim="400000"/>
          </w14:textOutline>
        </w:rPr>
        <w:t xml:space="preserve">, also appears to implicitly assume eternalism as its </w:t>
      </w:r>
      <w:r w:rsidR="00DE7963">
        <w:rPr>
          <w:lang w:val="en-GB"/>
          <w14:textOutline w14:w="12700" w14:cap="flat" w14:cmpd="sng" w14:algn="ctr">
            <w14:noFill/>
            <w14:prstDash w14:val="solid"/>
            <w14:miter w14:lim="400000"/>
          </w14:textOutline>
        </w:rPr>
        <w:t>reference theory</w:t>
      </w:r>
      <w:r w:rsidR="007A5D1D" w:rsidRPr="00B312EF">
        <w:rPr>
          <w:lang w:val="en-GB"/>
          <w14:textOutline w14:w="12700" w14:cap="flat" w14:cmpd="sng" w14:algn="ctr">
            <w14:noFill/>
            <w14:prstDash w14:val="solid"/>
            <w14:miter w14:lim="400000"/>
          </w14:textOutline>
        </w:rPr>
        <w:t>.</w:t>
      </w:r>
      <w:r w:rsidR="007A5D1D" w:rsidRPr="00B312EF">
        <w:rPr>
          <w:vertAlign w:val="superscript"/>
          <w:lang w:val="en-GB"/>
          <w14:textOutline w14:w="12700" w14:cap="flat" w14:cmpd="sng" w14:algn="ctr">
            <w14:noFill/>
            <w14:prstDash w14:val="solid"/>
            <w14:miter w14:lim="400000"/>
          </w14:textOutline>
        </w:rPr>
        <w:footnoteReference w:id="13"/>
      </w:r>
    </w:p>
    <w:p w14:paraId="257D0FE1" w14:textId="1F663050" w:rsidR="007A5D1D" w:rsidRPr="00B312EF" w:rsidRDefault="0094513F"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We will not discuss here whether eternalism can be philosophically justified or not. According to the criteria formulated above, however, it is unsuitable as a </w:t>
      </w:r>
      <w:r w:rsidR="00DE7963">
        <w:rPr>
          <w:lang w:val="en-GB"/>
          <w14:textOutline w14:w="12700" w14:cap="flat" w14:cmpd="sng" w14:algn="ctr">
            <w14:noFill/>
            <w14:prstDash w14:val="solid"/>
            <w14:miter w14:lim="400000"/>
          </w14:textOutline>
        </w:rPr>
        <w:t>reference theory</w:t>
      </w:r>
      <w:r>
        <w:rPr>
          <w:lang w:val="en-GB"/>
          <w14:textOutline w14:w="12700" w14:cap="flat" w14:cmpd="sng" w14:algn="ctr">
            <w14:noFill/>
            <w14:prstDash w14:val="solid"/>
            <w14:miter w14:lim="400000"/>
          </w14:textOutline>
        </w:rPr>
        <w:t xml:space="preserve"> for philosophy education. First of all, the assumption of a timeless set of problems addressed by philosophy once again requires too strong a set of philosophical framework assum</w:t>
      </w:r>
      <w:r w:rsidR="00A86D73">
        <w:rPr>
          <w:lang w:val="en-GB"/>
          <w14:textOutline w14:w="12700" w14:cap="flat" w14:cmpd="sng" w14:algn="ctr">
            <w14:noFill/>
            <w14:prstDash w14:val="solid"/>
            <w14:miter w14:lim="400000"/>
          </w14:textOutline>
        </w:rPr>
        <w:t>ptions, because even if philosophers in different eras deal with the same subject matter, this does not mean that they address the same problems</w:t>
      </w:r>
      <w:r w:rsidR="00B91A61">
        <w:rPr>
          <w:lang w:val="en-GB"/>
          <w14:textOutline w14:w="12700" w14:cap="flat" w14:cmpd="sng" w14:algn="ctr">
            <w14:noFill/>
            <w14:prstDash w14:val="solid"/>
            <w14:miter w14:lim="400000"/>
          </w14:textOutline>
        </w:rPr>
        <w:t>.</w:t>
      </w:r>
      <w:r w:rsidR="00A86D73">
        <w:rPr>
          <w:lang w:val="en-GB"/>
          <w14:textOutline w14:w="12700" w14:cap="flat" w14:cmpd="sng" w14:algn="ctr">
            <w14:noFill/>
            <w14:prstDash w14:val="solid"/>
            <w14:miter w14:lim="400000"/>
          </w14:textOutline>
        </w:rPr>
        <w:t xml:space="preserve"> In addition, the assumption of a timeless set of problems addressed by philosophy implies the assumption of a timeless “essential core” of philosophy as a discipline concerned with these problems. Like Hegel</w:t>
      </w:r>
      <w:r w:rsidR="00B91A61">
        <w:rPr>
          <w:lang w:val="en-GB"/>
          <w14:textOutline w14:w="12700" w14:cap="flat" w14:cmpd="sng" w14:algn="ctr">
            <w14:noFill/>
            <w14:prstDash w14:val="solid"/>
            <w14:miter w14:lim="400000"/>
          </w14:textOutline>
        </w:rPr>
        <w:t>’</w:t>
      </w:r>
      <w:r w:rsidR="00A86D73">
        <w:rPr>
          <w:lang w:val="en-GB"/>
          <w14:textOutline w14:w="12700" w14:cap="flat" w14:cmpd="sng" w14:algn="ctr">
            <w14:noFill/>
            <w14:prstDash w14:val="solid"/>
            <w14:miter w14:lim="400000"/>
          </w14:textOutline>
        </w:rPr>
        <w:t>s te</w:t>
      </w:r>
      <w:r w:rsidR="00B91A61">
        <w:rPr>
          <w:lang w:val="en-GB"/>
          <w14:textOutline w14:w="12700" w14:cap="flat" w14:cmpd="sng" w14:algn="ctr">
            <w14:noFill/>
            <w14:prstDash w14:val="solid"/>
            <w14:miter w14:lim="400000"/>
          </w14:textOutline>
        </w:rPr>
        <w:t>le</w:t>
      </w:r>
      <w:r w:rsidR="00A86D73">
        <w:rPr>
          <w:lang w:val="en-GB"/>
          <w14:textOutline w14:w="12700" w14:cap="flat" w14:cmpd="sng" w14:algn="ctr">
            <w14:noFill/>
            <w14:prstDash w14:val="solid"/>
            <w14:miter w14:lim="400000"/>
          </w14:textOutline>
        </w:rPr>
        <w:t>ology, therefore, eternalism is faced with the problem of lacking an adequate way to give due consideration to the empirical multiplicity of the ways in which doing philosophy is practiced. The assumption of a timeless essential core of doing philosophy further threatens, if it is spelled out, to lead to a substantively inadequate and practically unproductive standardization of doing philosophy</w:t>
      </w:r>
      <w:r w:rsidR="007A5D1D" w:rsidRPr="00B312EF">
        <w:rPr>
          <w:lang w:val="en-GB"/>
          <w14:textOutline w14:w="12700" w14:cap="flat" w14:cmpd="sng" w14:algn="ctr">
            <w14:noFill/>
            <w14:prstDash w14:val="solid"/>
            <w14:miter w14:lim="400000"/>
          </w14:textOutline>
        </w:rPr>
        <w:t>.</w:t>
      </w:r>
    </w:p>
    <w:p w14:paraId="49D6E316" w14:textId="347D133F" w:rsidR="007A5D1D" w:rsidRPr="00B312EF" w:rsidRDefault="00A86D73"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Finally, engagement with the history of philosophy also remains merely useful for eternalism, not constitutive: When we do philosophy, we can bring in positions from the history of philosophy – but we do not have to. The mentioned weaknesses of pure usefulness argument</w:t>
      </w:r>
      <w:r w:rsidR="00B91A61">
        <w:rPr>
          <w:lang w:val="en-GB"/>
          <w14:textOutline w14:w="12700" w14:cap="flat" w14:cmpd="sng" w14:algn="ctr">
            <w14:noFill/>
            <w14:prstDash w14:val="solid"/>
            <w14:miter w14:lim="400000"/>
          </w14:textOutline>
        </w:rPr>
        <w:t>s</w:t>
      </w:r>
      <w:r>
        <w:rPr>
          <w:lang w:val="en-GB"/>
          <w14:textOutline w14:w="12700" w14:cap="flat" w14:cmpd="sng" w14:algn="ctr">
            <w14:noFill/>
            <w14:prstDash w14:val="solid"/>
            <w14:miter w14:lim="400000"/>
          </w14:textOutline>
        </w:rPr>
        <w:t xml:space="preserve"> consequently also apply to eternalism: It may enable a better explanation of why engagement with the history of philosophy could be useful for doing philosophy, but</w:t>
      </w:r>
      <w:r w:rsidR="00F7675A">
        <w:rPr>
          <w:lang w:val="en-GB"/>
          <w14:textOutline w14:w="12700" w14:cap="flat" w14:cmpd="sng" w14:algn="ctr">
            <w14:noFill/>
            <w14:prstDash w14:val="solid"/>
            <w14:miter w14:lim="400000"/>
          </w14:textOutline>
        </w:rPr>
        <w:t xml:space="preserve"> the conceptual dividing line between the two ways of proceeding in doing philosophy nevertheless remains in place in this </w:t>
      </w:r>
      <w:r w:rsidR="009412B9">
        <w:rPr>
          <w:lang w:val="en-GB"/>
          <w14:textOutline w14:w="12700" w14:cap="flat" w14:cmpd="sng" w14:algn="ctr">
            <w14:noFill/>
            <w14:prstDash w14:val="solid"/>
            <w14:miter w14:lim="400000"/>
          </w14:textOutline>
        </w:rPr>
        <w:t>strategy</w:t>
      </w:r>
      <w:r w:rsidR="00F7675A">
        <w:rPr>
          <w:lang w:val="en-GB"/>
          <w14:textOutline w14:w="12700" w14:cap="flat" w14:cmpd="sng" w14:algn="ctr">
            <w14:noFill/>
            <w14:prstDash w14:val="solid"/>
            <w14:miter w14:lim="400000"/>
          </w14:textOutline>
        </w:rPr>
        <w:t xml:space="preserve"> as well</w:t>
      </w:r>
      <w:r w:rsidR="007A5D1D" w:rsidRPr="00B312EF">
        <w:rPr>
          <w:lang w:val="en-GB"/>
          <w14:textOutline w14:w="12700" w14:cap="flat" w14:cmpd="sng" w14:algn="ctr">
            <w14:noFill/>
            <w14:prstDash w14:val="solid"/>
            <w14:miter w14:lim="400000"/>
          </w14:textOutline>
        </w:rPr>
        <w:t>.</w:t>
      </w:r>
    </w:p>
    <w:p w14:paraId="53D28D3F" w14:textId="09DA2001"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sidRPr="00B312EF">
        <w:rPr>
          <w:b/>
          <w:bCs/>
          <w:lang w:val="en-GB"/>
          <w14:textOutline w14:w="12700" w14:cap="flat" w14:cmpd="sng" w14:algn="ctr">
            <w14:noFill/>
            <w14:prstDash w14:val="solid"/>
            <w14:miter w14:lim="400000"/>
          </w14:textOutline>
        </w:rPr>
        <w:t xml:space="preserve">4. </w:t>
      </w:r>
      <w:r w:rsidR="00F7675A">
        <w:rPr>
          <w:b/>
          <w:bCs/>
          <w:lang w:val="en-GB"/>
          <w14:textOutline w14:w="12700" w14:cap="flat" w14:cmpd="sng" w14:algn="ctr">
            <w14:noFill/>
            <w14:prstDash w14:val="solid"/>
            <w14:miter w14:lim="400000"/>
          </w14:textOutline>
        </w:rPr>
        <w:t>Doing Philosophy as Composing Variations</w:t>
      </w:r>
      <w:r w:rsidRPr="00B312EF">
        <w:rPr>
          <w:b/>
          <w:bCs/>
          <w:lang w:val="en-GB"/>
          <w14:textOutline w14:w="12700" w14:cap="flat" w14:cmpd="sng" w14:algn="ctr">
            <w14:noFill/>
            <w14:prstDash w14:val="solid"/>
            <w14:miter w14:lim="400000"/>
          </w14:textOutline>
        </w:rPr>
        <w:t>: Jan Assmann</w:t>
      </w:r>
      <w:r w:rsidR="00F7675A">
        <w:rPr>
          <w:b/>
          <w:bCs/>
          <w:lang w:val="en-GB"/>
          <w14:textOutline w14:w="12700" w14:cap="flat" w14:cmpd="sng" w14:algn="ctr">
            <w14:noFill/>
            <w14:prstDash w14:val="solid"/>
            <w14:miter w14:lim="400000"/>
          </w14:textOutline>
        </w:rPr>
        <w:t>’</w:t>
      </w:r>
      <w:r w:rsidRPr="00B312EF">
        <w:rPr>
          <w:b/>
          <w:bCs/>
          <w:lang w:val="en-GB"/>
          <w14:textOutline w14:w="12700" w14:cap="flat" w14:cmpd="sng" w14:algn="ctr">
            <w14:noFill/>
            <w14:prstDash w14:val="solid"/>
            <w14:miter w14:lim="400000"/>
          </w14:textOutline>
        </w:rPr>
        <w:t>s Theor</w:t>
      </w:r>
      <w:r w:rsidR="00F7675A">
        <w:rPr>
          <w:b/>
          <w:bCs/>
          <w:lang w:val="en-GB"/>
          <w14:textOutline w14:w="12700" w14:cap="flat" w14:cmpd="sng" w14:algn="ctr">
            <w14:noFill/>
            <w14:prstDash w14:val="solid"/>
            <w14:miter w14:lim="400000"/>
          </w14:textOutline>
        </w:rPr>
        <w:t>y of Cultural Memory and the Philosophy Classroom</w:t>
      </w:r>
      <w:r w:rsidRPr="00B312EF">
        <w:rPr>
          <w:b/>
          <w:bCs/>
          <w:vertAlign w:val="superscript"/>
          <w:lang w:val="en-GB"/>
          <w14:textOutline w14:w="12700" w14:cap="flat" w14:cmpd="sng" w14:algn="ctr">
            <w14:noFill/>
            <w14:prstDash w14:val="solid"/>
            <w14:miter w14:lim="400000"/>
          </w14:textOutline>
        </w:rPr>
        <w:footnoteReference w:id="14"/>
      </w:r>
    </w:p>
    <w:p w14:paraId="4F8183F3" w14:textId="1796BA9B"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sidRPr="00B312EF">
        <w:rPr>
          <w:b/>
          <w:bCs/>
          <w:lang w:val="en-GB"/>
          <w14:textOutline w14:w="12700" w14:cap="flat" w14:cmpd="sng" w14:algn="ctr">
            <w14:noFill/>
            <w14:prstDash w14:val="solid"/>
            <w14:miter w14:lim="400000"/>
          </w14:textOutline>
        </w:rPr>
        <w:t>4.1. Var</w:t>
      </w:r>
      <w:r w:rsidR="00B91A61">
        <w:rPr>
          <w:b/>
          <w:bCs/>
          <w:lang w:val="en-GB"/>
          <w14:textOutline w14:w="12700" w14:cap="flat" w14:cmpd="sng" w14:algn="ctr">
            <w14:noFill/>
            <w14:prstDash w14:val="solid"/>
            <w14:miter w14:lim="400000"/>
          </w14:textOutline>
        </w:rPr>
        <w:t>iational Reference to the Past</w:t>
      </w:r>
      <w:r w:rsidR="00B87AE4">
        <w:rPr>
          <w:b/>
          <w:bCs/>
          <w:lang w:val="en-GB"/>
          <w14:textOutline w14:w="12700" w14:cap="flat" w14:cmpd="sng" w14:algn="ctr">
            <w14:noFill/>
            <w14:prstDash w14:val="solid"/>
            <w14:miter w14:lim="400000"/>
          </w14:textOutline>
        </w:rPr>
        <w:t xml:space="preserve"> and the History of Philosophy in</w:t>
      </w:r>
      <w:r w:rsidRPr="00B312EF">
        <w:rPr>
          <w:b/>
          <w:bCs/>
          <w:lang w:val="en-GB"/>
          <w14:textOutline w14:w="12700" w14:cap="flat" w14:cmpd="sng" w14:algn="ctr">
            <w14:noFill/>
            <w14:prstDash w14:val="solid"/>
            <w14:miter w14:lim="400000"/>
          </w14:textOutline>
        </w:rPr>
        <w:t xml:space="preserve"> Assmann</w:t>
      </w:r>
    </w:p>
    <w:p w14:paraId="36AFE7DB" w14:textId="008264C0" w:rsidR="007A5D1D" w:rsidRPr="00B312EF" w:rsidRDefault="00B87AE4"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We would now like to present a strategy that chooses option 3, that is, one that maintains the </w:t>
      </w:r>
      <w:r>
        <w:rPr>
          <w:lang w:val="en-GB"/>
          <w14:textOutline w14:w="12700" w14:cap="flat" w14:cmpd="sng" w14:algn="ctr">
            <w14:noFill/>
            <w14:prstDash w14:val="solid"/>
            <w14:miter w14:lim="400000"/>
          </w14:textOutline>
        </w:rPr>
        <w:lastRenderedPageBreak/>
        <w:t xml:space="preserve">assertion of the unity of philosophy but also, unlike the approaches just discussed, seeks to </w:t>
      </w:r>
      <w:r w:rsidR="00DE7963">
        <w:rPr>
          <w:lang w:val="en-GB"/>
          <w14:textOutline w14:w="12700" w14:cap="flat" w14:cmpd="sng" w14:algn="ctr">
            <w14:noFill/>
            <w14:prstDash w14:val="solid"/>
            <w14:miter w14:lim="400000"/>
          </w14:textOutline>
        </w:rPr>
        <w:t>unpack</w:t>
      </w:r>
      <w:r>
        <w:rPr>
          <w:lang w:val="en-GB"/>
          <w14:textOutline w14:w="12700" w14:cap="flat" w14:cmpd="sng" w14:algn="ctr">
            <w14:noFill/>
            <w14:prstDash w14:val="solid"/>
            <w14:miter w14:lim="400000"/>
          </w14:textOutline>
        </w:rPr>
        <w:t xml:space="preserve"> this assertion by giving up the practical dividing line that Hegel drew between </w:t>
      </w:r>
      <w:r w:rsidR="00B91A61">
        <w:rPr>
          <w:lang w:val="en-GB"/>
          <w14:textOutline w14:w="12700" w14:cap="flat" w14:cmpd="sng" w14:algn="ctr">
            <w14:noFill/>
            <w14:prstDash w14:val="solid"/>
            <w14:miter w14:lim="400000"/>
          </w14:textOutline>
        </w:rPr>
        <w:t xml:space="preserve">the </w:t>
      </w:r>
      <w:r>
        <w:rPr>
          <w:lang w:val="en-GB"/>
          <w14:textOutline w14:w="12700" w14:cap="flat" w14:cmpd="sng" w14:algn="ctr">
            <w14:noFill/>
            <w14:prstDash w14:val="solid"/>
            <w14:miter w14:lim="400000"/>
          </w14:textOutline>
        </w:rPr>
        <w:t xml:space="preserve">systematic doing </w:t>
      </w:r>
      <w:r w:rsidR="00B91A61">
        <w:rPr>
          <w:lang w:val="en-GB"/>
          <w14:textOutline w14:w="12700" w14:cap="flat" w14:cmpd="sng" w14:algn="ctr">
            <w14:noFill/>
            <w14:prstDash w14:val="solid"/>
            <w14:miter w14:lim="400000"/>
          </w14:textOutline>
        </w:rPr>
        <w:t xml:space="preserve">of </w:t>
      </w:r>
      <w:r>
        <w:rPr>
          <w:lang w:val="en-GB"/>
          <w14:textOutline w14:w="12700" w14:cap="flat" w14:cmpd="sng" w14:algn="ctr">
            <w14:noFill/>
            <w14:prstDash w14:val="solid"/>
            <w14:miter w14:lim="400000"/>
          </w14:textOutline>
        </w:rPr>
        <w:t xml:space="preserve">philosophy and engagement with the history of philosophy and instead taking the </w:t>
      </w:r>
      <w:r>
        <w:rPr>
          <w:i/>
          <w:iCs/>
          <w:lang w:val="en-GB"/>
          <w14:textOutline w14:w="12700" w14:cap="flat" w14:cmpd="sng" w14:algn="ctr">
            <w14:noFill/>
            <w14:prstDash w14:val="solid"/>
            <w14:miter w14:lim="400000"/>
          </w14:textOutline>
        </w:rPr>
        <w:t>unity of the two in the practice of doing philosophy</w:t>
      </w:r>
      <w:r>
        <w:rPr>
          <w:lang w:val="en-GB"/>
          <w14:textOutline w14:w="12700" w14:cap="flat" w14:cmpd="sng" w14:algn="ctr">
            <w14:noFill/>
            <w14:prstDash w14:val="solid"/>
            <w14:miter w14:lim="400000"/>
          </w14:textOutline>
        </w:rPr>
        <w:t xml:space="preserve"> as its starting point. </w:t>
      </w:r>
      <w:r w:rsidR="00B91A61">
        <w:rPr>
          <w:lang w:val="en-GB"/>
          <w14:textOutline w14:w="12700" w14:cap="flat" w14:cmpd="sng" w14:algn="ctr">
            <w14:noFill/>
            <w14:prstDash w14:val="solid"/>
            <w14:miter w14:lim="400000"/>
          </w14:textOutline>
        </w:rPr>
        <w:t>Our</w:t>
      </w:r>
      <w:r>
        <w:rPr>
          <w:lang w:val="en-GB"/>
          <w14:textOutline w14:w="12700" w14:cap="flat" w14:cmpd="sng" w14:algn="ctr">
            <w14:noFill/>
            <w14:prstDash w14:val="solid"/>
            <w14:miter w14:lim="400000"/>
          </w14:textOutline>
        </w:rPr>
        <w:t xml:space="preserve"> thesis is this: doing philosophy (or teaching philosophy) and the history of philosophy are to be seen as two aspects of a unified play of variations. As previously mentioned, we </w:t>
      </w:r>
      <w:r w:rsidR="00B91A61">
        <w:rPr>
          <w:lang w:val="en-GB"/>
          <w14:textOutline w14:w="12700" w14:cap="flat" w14:cmpd="sng" w14:algn="ctr">
            <w14:noFill/>
            <w14:prstDash w14:val="solid"/>
            <w14:miter w14:lim="400000"/>
          </w14:textOutline>
        </w:rPr>
        <w:t>take</w:t>
      </w:r>
      <w:r>
        <w:rPr>
          <w:lang w:val="en-GB"/>
          <w14:textOutline w14:w="12700" w14:cap="flat" w14:cmpd="sng" w14:algn="ctr">
            <w14:noFill/>
            <w14:prstDash w14:val="solid"/>
            <w14:miter w14:lim="400000"/>
          </w14:textOutline>
        </w:rPr>
        <w:t xml:space="preserve"> the concept of variation from Jan Assmann’s theory of cultural memory.</w:t>
      </w:r>
    </w:p>
    <w:p w14:paraId="155E8996" w14:textId="339C2273" w:rsidR="007A5D1D" w:rsidRPr="00B312EF" w:rsidRDefault="00B87AE4"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In his book </w:t>
      </w:r>
      <w:r>
        <w:rPr>
          <w:i/>
          <w:iCs/>
          <w:lang w:val="en-GB"/>
          <w14:textOutline w14:w="12700" w14:cap="flat" w14:cmpd="sng" w14:algn="ctr">
            <w14:noFill/>
            <w14:prstDash w14:val="solid"/>
            <w14:miter w14:lim="400000"/>
          </w14:textOutline>
        </w:rPr>
        <w:t>Cultural Memory and Early Civilization</w:t>
      </w:r>
      <w:r>
        <w:rPr>
          <w:lang w:val="en-GB"/>
          <w14:textOutline w14:w="12700" w14:cap="flat" w14:cmpd="sng" w14:algn="ctr">
            <w14:noFill/>
            <w14:prstDash w14:val="solid"/>
            <w14:miter w14:lim="400000"/>
          </w14:textOutline>
        </w:rPr>
        <w:t xml:space="preserve">, which first appeared in German in 1992, </w:t>
      </w:r>
      <w:r w:rsidR="007A5D1D" w:rsidRPr="00B312EF">
        <w:rPr>
          <w:lang w:val="en-GB"/>
          <w14:textOutline w14:w="12700" w14:cap="flat" w14:cmpd="sng" w14:algn="ctr">
            <w14:noFill/>
            <w14:prstDash w14:val="solid"/>
            <w14:miter w14:lim="400000"/>
          </w14:textOutline>
        </w:rPr>
        <w:t xml:space="preserve">Assmann </w:t>
      </w:r>
      <w:r>
        <w:rPr>
          <w:lang w:val="en-GB"/>
          <w14:textOutline w14:w="12700" w14:cap="flat" w14:cmpd="sng" w14:algn="ctr">
            <w14:noFill/>
            <w14:prstDash w14:val="solid"/>
            <w14:miter w14:lim="400000"/>
          </w14:textOutline>
        </w:rPr>
        <w:t>studies “writing, remembrance</w:t>
      </w:r>
      <w:r w:rsidR="00D73014">
        <w:rPr>
          <w:lang w:val="en-GB"/>
          <w14:textOutline w14:w="12700" w14:cap="flat" w14:cmpd="sng" w14:algn="ctr">
            <w14:noFill/>
            <w14:prstDash w14:val="solid"/>
            <w14:miter w14:lim="400000"/>
          </w14:textOutline>
        </w:rPr>
        <w:t>, and political imagination” (in the words of the subtitle) in early societies. In the final chapter, “Greece and Disciplined Thinking,” he puts forward the thesis that in Greece between the sixth and fourth centuries BCE, a way of engaging with earlier texts developed that was significantly different from forms of reference to the past that can be found in other early civilizations. As this new type of reference became increasingly established, it was what first led to the emergence of philosophy as a discipline, according to Assmann, and has remained a fundamental structure of the history of philosophy ever since</w:t>
      </w:r>
      <w:r w:rsidR="007A5D1D" w:rsidRPr="00B312EF">
        <w:rPr>
          <w:lang w:val="en-GB"/>
          <w14:textOutline w14:w="12700" w14:cap="flat" w14:cmpd="sng" w14:algn="ctr">
            <w14:noFill/>
            <w14:prstDash w14:val="solid"/>
            <w14:miter w14:lim="400000"/>
          </w14:textOutline>
        </w:rPr>
        <w:t>.</w:t>
      </w:r>
      <w:r w:rsidR="007A5D1D" w:rsidRPr="00B312EF">
        <w:rPr>
          <w:vertAlign w:val="superscript"/>
          <w:lang w:val="en-GB"/>
          <w14:textOutline w14:w="12700" w14:cap="flat" w14:cmpd="sng" w14:algn="ctr">
            <w14:noFill/>
            <w14:prstDash w14:val="solid"/>
            <w14:miter w14:lim="400000"/>
          </w14:textOutline>
        </w:rPr>
        <w:footnoteReference w:id="15"/>
      </w:r>
      <w:r w:rsidR="007A5D1D" w:rsidRPr="00B312EF">
        <w:rPr>
          <w:lang w:val="en-GB"/>
          <w14:textOutline w14:w="12700" w14:cap="flat" w14:cmpd="sng" w14:algn="ctr">
            <w14:noFill/>
            <w14:prstDash w14:val="solid"/>
            <w14:miter w14:lim="400000"/>
          </w14:textOutline>
        </w:rPr>
        <w:t xml:space="preserve"> </w:t>
      </w:r>
      <w:r w:rsidR="00FD7BC0">
        <w:rPr>
          <w:lang w:val="en-GB"/>
          <w14:textOutline w14:w="12700" w14:cap="flat" w14:cmpd="sng" w14:algn="ctr">
            <w14:noFill/>
            <w14:prstDash w14:val="solid"/>
            <w14:miter w14:lim="400000"/>
          </w14:textOutline>
        </w:rPr>
        <w:t>The starting poin</w:t>
      </w:r>
      <w:r w:rsidR="009412B9">
        <w:rPr>
          <w:lang w:val="en-GB"/>
          <w14:textOutline w14:w="12700" w14:cap="flat" w14:cmpd="sng" w14:algn="ctr">
            <w14:noFill/>
            <w14:prstDash w14:val="solid"/>
            <w14:miter w14:lim="400000"/>
          </w14:textOutline>
        </w:rPr>
        <w:t>t</w:t>
      </w:r>
      <w:r w:rsidR="00FD7BC0">
        <w:rPr>
          <w:lang w:val="en-GB"/>
          <w14:textOutline w14:w="12700" w14:cap="flat" w14:cmpd="sng" w14:algn="ctr">
            <w14:noFill/>
            <w14:prstDash w14:val="solid"/>
            <w14:miter w14:lim="400000"/>
          </w14:textOutline>
        </w:rPr>
        <w:t xml:space="preserve"> for Assmann’s argument is the thesis, first articulated by E. A. Havelock in his 1963 </w:t>
      </w:r>
      <w:r w:rsidR="007A5D1D" w:rsidRPr="00B312EF">
        <w:rPr>
          <w:i/>
          <w:iCs/>
          <w:lang w:val="en-GB"/>
          <w14:textOutline w14:w="12700" w14:cap="flat" w14:cmpd="sng" w14:algn="ctr">
            <w14:noFill/>
            <w14:prstDash w14:val="solid"/>
            <w14:miter w14:lim="400000"/>
          </w14:textOutline>
        </w:rPr>
        <w:t>Preface to Plato</w:t>
      </w:r>
      <w:r w:rsidR="00FD7BC0">
        <w:rPr>
          <w:lang w:val="en-GB"/>
          <w14:textOutline w14:w="12700" w14:cap="flat" w14:cmpd="sng" w14:algn="ctr">
            <w14:noFill/>
            <w14:prstDash w14:val="solid"/>
            <w14:miter w14:lim="400000"/>
          </w14:textOutline>
        </w:rPr>
        <w:t xml:space="preserve"> and most familiar in Germany in its adaptation by </w:t>
      </w:r>
      <w:r w:rsidR="007A5D1D" w:rsidRPr="00B312EF">
        <w:rPr>
          <w:lang w:val="en-GB"/>
          <w14:textOutline w14:w="12700" w14:cap="flat" w14:cmpd="sng" w14:algn="ctr">
            <w14:noFill/>
            <w14:prstDash w14:val="solid"/>
            <w14:miter w14:lim="400000"/>
          </w14:textOutline>
        </w:rPr>
        <w:t>Niklas Luhmann</w:t>
      </w:r>
      <w:r w:rsidR="00FD7BC0">
        <w:rPr>
          <w:lang w:val="en-GB"/>
          <w14:textOutline w14:w="12700" w14:cap="flat" w14:cmpd="sng" w14:algn="ctr">
            <w14:noFill/>
            <w14:prstDash w14:val="solid"/>
            <w14:miter w14:lim="400000"/>
          </w14:textOutline>
        </w:rPr>
        <w:t>, according to which the truly explosive development of Greek culture between the sixth and the fourth centuries, including the emergence of philosophy along with it, can be traced to the particular characteristics of the medium of Greek alphabet</w:t>
      </w:r>
      <w:r w:rsidR="00DE7963">
        <w:rPr>
          <w:lang w:val="en-GB"/>
          <w14:textOutline w14:w="12700" w14:cap="flat" w14:cmpd="sng" w14:algn="ctr">
            <w14:noFill/>
            <w14:prstDash w14:val="solid"/>
            <w14:miter w14:lim="400000"/>
          </w14:textOutline>
        </w:rPr>
        <w:t>ic writing</w:t>
      </w:r>
      <w:r w:rsidR="007A5D1D" w:rsidRPr="00B312EF">
        <w:rPr>
          <w:lang w:val="en-GB"/>
          <w14:textOutline w14:w="12700" w14:cap="flat" w14:cmpd="sng" w14:algn="ctr">
            <w14:noFill/>
            <w14:prstDash w14:val="solid"/>
            <w14:miter w14:lim="400000"/>
          </w14:textOutline>
        </w:rPr>
        <w:t>.</w:t>
      </w:r>
      <w:r w:rsidR="007A5D1D" w:rsidRPr="00B312EF">
        <w:rPr>
          <w:vertAlign w:val="superscript"/>
          <w:lang w:val="en-GB"/>
          <w14:textOutline w14:w="12700" w14:cap="flat" w14:cmpd="sng" w14:algn="ctr">
            <w14:noFill/>
            <w14:prstDash w14:val="solid"/>
            <w14:miter w14:lim="400000"/>
          </w14:textOutline>
        </w:rPr>
        <w:footnoteReference w:id="16"/>
      </w:r>
      <w:r w:rsidR="007A5D1D" w:rsidRPr="00B312EF">
        <w:rPr>
          <w:lang w:val="en-GB"/>
          <w14:textOutline w14:w="12700" w14:cap="flat" w14:cmpd="sng" w14:algn="ctr">
            <w14:noFill/>
            <w14:prstDash w14:val="solid"/>
            <w14:miter w14:lim="400000"/>
          </w14:textOutline>
        </w:rPr>
        <w:t xml:space="preserve"> </w:t>
      </w:r>
      <w:r w:rsidR="00FD7BC0">
        <w:rPr>
          <w:lang w:val="en-GB"/>
          <w14:textOutline w14:w="12700" w14:cap="flat" w14:cmpd="sng" w14:algn="ctr">
            <w14:noFill/>
            <w14:prstDash w14:val="solid"/>
            <w14:miter w14:lim="400000"/>
          </w14:textOutline>
        </w:rPr>
        <w:t>Assmann modifie</w:t>
      </w:r>
      <w:r w:rsidR="00DE7963">
        <w:rPr>
          <w:lang w:val="en-GB"/>
          <w14:textOutline w14:w="12700" w14:cap="flat" w14:cmpd="sng" w14:algn="ctr">
            <w14:noFill/>
            <w14:prstDash w14:val="solid"/>
            <w14:miter w14:lim="400000"/>
          </w14:textOutline>
        </w:rPr>
        <w:t>s</w:t>
      </w:r>
      <w:r w:rsidR="00FD7BC0">
        <w:rPr>
          <w:lang w:val="en-GB"/>
          <w14:textOutline w14:w="12700" w14:cap="flat" w14:cmpd="sng" w14:algn="ctr">
            <w14:noFill/>
            <w14:prstDash w14:val="solid"/>
            <w14:miter w14:lim="400000"/>
          </w14:textOutline>
        </w:rPr>
        <w:t xml:space="preserve"> </w:t>
      </w:r>
      <w:r w:rsidR="00C829A3">
        <w:rPr>
          <w:lang w:val="en-GB"/>
          <w14:textOutline w14:w="12700" w14:cap="flat" w14:cmpd="sng" w14:algn="ctr">
            <w14:noFill/>
            <w14:prstDash w14:val="solid"/>
            <w14:miter w14:lim="400000"/>
          </w14:textOutline>
        </w:rPr>
        <w:t xml:space="preserve">this thesis in a central point: what was decisive in his view was not the medium of </w:t>
      </w:r>
      <w:r w:rsidR="00DE7963">
        <w:rPr>
          <w:lang w:val="en-GB"/>
          <w14:textOutline w14:w="12700" w14:cap="flat" w14:cmpd="sng" w14:algn="ctr">
            <w14:noFill/>
            <w14:prstDash w14:val="solid"/>
            <w14:miter w14:lim="400000"/>
          </w14:textOutline>
        </w:rPr>
        <w:t>alphabetic writing</w:t>
      </w:r>
      <w:r w:rsidR="00C829A3">
        <w:rPr>
          <w:lang w:val="en-GB"/>
          <w14:textOutline w14:w="12700" w14:cap="flat" w14:cmpd="sng" w14:algn="ctr">
            <w14:noFill/>
            <w14:prstDash w14:val="solid"/>
            <w14:miter w14:lim="400000"/>
          </w14:textOutline>
        </w:rPr>
        <w:t xml:space="preserve"> as such, which was only one of several prerequisites, but its cultural embedding, that is, the </w:t>
      </w:r>
      <w:r w:rsidR="00C829A3">
        <w:rPr>
          <w:i/>
          <w:iCs/>
          <w:lang w:val="en-GB"/>
          <w14:textOutline w14:w="12700" w14:cap="flat" w14:cmpd="sng" w14:algn="ctr">
            <w14:noFill/>
            <w14:prstDash w14:val="solid"/>
            <w14:miter w14:lim="400000"/>
          </w14:textOutline>
        </w:rPr>
        <w:t>use</w:t>
      </w:r>
      <w:r w:rsidR="00C829A3">
        <w:rPr>
          <w:lang w:val="en-GB"/>
          <w14:textOutline w14:w="12700" w14:cap="flat" w14:cmpd="sng" w14:algn="ctr">
            <w14:noFill/>
            <w14:prstDash w14:val="solid"/>
            <w14:miter w14:lim="400000"/>
          </w14:textOutline>
        </w:rPr>
        <w:t xml:space="preserve"> made of this medium in Greek culture</w:t>
      </w:r>
      <w:r w:rsidR="007A5D1D" w:rsidRPr="00B312EF">
        <w:rPr>
          <w:lang w:val="en-GB"/>
          <w14:textOutline w14:w="12700" w14:cap="flat" w14:cmpd="sng" w14:algn="ctr">
            <w14:noFill/>
            <w14:prstDash w14:val="solid"/>
            <w14:miter w14:lim="400000"/>
          </w14:textOutline>
        </w:rPr>
        <w:t>.</w:t>
      </w:r>
      <w:r w:rsidR="007A5D1D" w:rsidRPr="00B312EF">
        <w:rPr>
          <w:vertAlign w:val="superscript"/>
          <w:lang w:val="en-GB"/>
          <w14:textOutline w14:w="12700" w14:cap="flat" w14:cmpd="sng" w14:algn="ctr">
            <w14:noFill/>
            <w14:prstDash w14:val="solid"/>
            <w14:miter w14:lim="400000"/>
          </w14:textOutline>
        </w:rPr>
        <w:footnoteReference w:id="17"/>
      </w:r>
      <w:r w:rsidR="007A5D1D" w:rsidRPr="00B312EF">
        <w:rPr>
          <w:lang w:val="en-GB"/>
          <w14:textOutline w14:w="12700" w14:cap="flat" w14:cmpd="sng" w14:algn="ctr">
            <w14:noFill/>
            <w14:prstDash w14:val="solid"/>
            <w14:miter w14:lim="400000"/>
          </w14:textOutline>
        </w:rPr>
        <w:t xml:space="preserve"> </w:t>
      </w:r>
      <w:r w:rsidR="00C829A3">
        <w:rPr>
          <w:lang w:val="en-GB"/>
          <w14:textOutline w14:w="12700" w14:cap="flat" w14:cmpd="sng" w14:algn="ctr">
            <w14:noFill/>
            <w14:prstDash w14:val="solid"/>
            <w14:miter w14:lim="400000"/>
          </w14:textOutline>
        </w:rPr>
        <w:t xml:space="preserve">In order to </w:t>
      </w:r>
      <w:r w:rsidR="00B91A61">
        <w:rPr>
          <w:lang w:val="en-GB"/>
          <w14:textOutline w14:w="12700" w14:cap="flat" w14:cmpd="sng" w14:algn="ctr">
            <w14:noFill/>
            <w14:prstDash w14:val="solid"/>
            <w14:miter w14:lim="400000"/>
          </w14:textOutline>
        </w:rPr>
        <w:t xml:space="preserve">more precisely characterize </w:t>
      </w:r>
      <w:r w:rsidR="00C829A3">
        <w:rPr>
          <w:lang w:val="en-GB"/>
          <w14:textOutline w14:w="12700" w14:cap="flat" w14:cmpd="sng" w14:algn="ctr">
            <w14:noFill/>
            <w14:prstDash w14:val="solid"/>
            <w14:miter w14:lim="400000"/>
          </w14:textOutline>
        </w:rPr>
        <w:t xml:space="preserve">specifically </w:t>
      </w:r>
      <w:r w:rsidR="00C829A3">
        <w:rPr>
          <w:lang w:val="en-GB"/>
          <w14:textOutline w14:w="12700" w14:cap="flat" w14:cmpd="sng" w14:algn="ctr">
            <w14:noFill/>
            <w14:prstDash w14:val="solid"/>
            <w14:miter w14:lim="400000"/>
          </w14:textOutline>
        </w:rPr>
        <w:lastRenderedPageBreak/>
        <w:t>philosophical engagement with earlier texts, which he believes gradually led to “disciplined thinking,” Assmann first distinguishes it from two other forms of reference to the past that he has previously identified as characteristic of other early civilizations, reference to texts as “canonical” and as “classical”</w:t>
      </w:r>
      <w:r w:rsidR="007A5D1D" w:rsidRPr="00B312EF">
        <w:rPr>
          <w:lang w:val="en-GB"/>
          <w14:textOutline w14:w="12700" w14:cap="flat" w14:cmpd="sng" w14:algn="ctr">
            <w14:noFill/>
            <w14:prstDash w14:val="solid"/>
            <w14:miter w14:lim="400000"/>
          </w14:textOutline>
        </w:rPr>
        <w:t>:</w:t>
      </w:r>
    </w:p>
    <w:p w14:paraId="66D10ED7" w14:textId="77777777" w:rsidR="007A5D1D" w:rsidRPr="00B312EF" w:rsidRDefault="007A5D1D" w:rsidP="007A5D1D">
      <w:pPr>
        <w:pStyle w:val="GriechischesProsazitat"/>
        <w:rPr>
          <w:lang w:val="en-GB"/>
        </w:rPr>
      </w:pPr>
      <w:r w:rsidRPr="00457CC6">
        <w:rPr>
          <w:noProof/>
          <w:shd w:val="clear" w:color="auto" w:fill="F9B074"/>
        </w:rPr>
        <w:t xml:space="preserve">Wer Platon und Aristoteles ‚Klassiker‘ nennt, betont ihre unerreichbare Vorbildlichkeit. Ihre Schriften haben die Maßstäbe dafür gesetzt, was Philosophieren bedeutet […]. Wer diese Schriften ‚kanonisch‘ nennt, betont ihre absolute Autorität. […] Daß beide Formen des Rückbezugs dem Wesen des philosophischen Umgangs mit Texten nicht ganz gerecht zu werden vermögen, liegt auf der Hand. Hier handelt es sich um eine dritte Form des Rückbezugs, die man von Klassik und Kanon scharf unterscheiden muß, auch wenn sich Querverbindungen herstellen lassen. </w:t>
      </w:r>
      <w:r w:rsidRPr="00B312EF">
        <w:rPr>
          <w:lang w:val="en-GB"/>
        </w:rPr>
        <w:t>(Assmann 2018: 285).</w:t>
      </w:r>
    </w:p>
    <w:p w14:paraId="7D3335A7" w14:textId="639875B0" w:rsidR="007A5D1D" w:rsidRPr="00B312EF" w:rsidRDefault="008F3E6B"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Assmann calls his own attempt at characterizing this </w:t>
      </w:r>
      <w:r w:rsidR="007A5D1D" w:rsidRPr="00457CC6">
        <w:rPr>
          <w:noProof/>
          <w:highlight w:val="green"/>
          <w14:textOutline w14:w="12700" w14:cap="flat" w14:cmpd="sng" w14:algn="ctr">
            <w14:noFill/>
            <w14:prstDash w14:val="solid"/>
            <w14:miter w14:lim="400000"/>
          </w14:textOutline>
        </w:rPr>
        <w:t>„dritten Form des Rückbezugs“</w:t>
      </w:r>
      <w:r w:rsidRPr="00457CC6">
        <w:rPr>
          <w:noProof/>
          <w14:textOutline w14:w="12700" w14:cap="flat" w14:cmpd="sng" w14:algn="ctr">
            <w14:noFill/>
            <w14:prstDash w14:val="solid"/>
            <w14:miter w14:lim="400000"/>
          </w14:textOutline>
        </w:rPr>
        <w:t xml:space="preserve"> </w:t>
      </w:r>
      <w:r w:rsidR="007A5D1D" w:rsidRPr="00457CC6">
        <w:rPr>
          <w:noProof/>
          <w:highlight w:val="green"/>
          <w14:textOutline w14:w="12700" w14:cap="flat" w14:cmpd="sng" w14:algn="ctr">
            <w14:noFill/>
            <w14:prstDash w14:val="solid"/>
            <w14:miter w14:lim="400000"/>
          </w14:textOutline>
        </w:rPr>
        <w:t>„Hypolepse“</w:t>
      </w:r>
      <w:r w:rsidR="007A5D1D" w:rsidRPr="00B312EF">
        <w:rPr>
          <w:lang w:val="en-GB"/>
          <w14:textOutline w14:w="12700" w14:cap="flat" w14:cmpd="sng" w14:algn="ctr">
            <w14:noFill/>
            <w14:prstDash w14:val="solid"/>
            <w14:miter w14:lim="400000"/>
          </w14:textOutline>
        </w:rPr>
        <w:t xml:space="preserve"> (Assmann 2018: 281). </w:t>
      </w:r>
      <w:r>
        <w:rPr>
          <w:lang w:val="en-GB"/>
          <w14:textOutline w14:w="12700" w14:cap="flat" w14:cmpd="sng" w14:algn="ctr">
            <w14:noFill/>
            <w14:prstDash w14:val="solid"/>
            <w14:miter w14:lim="400000"/>
          </w14:textOutline>
        </w:rPr>
        <w:t xml:space="preserve">What he understands by this is </w:t>
      </w:r>
      <w:r w:rsidR="003673D8">
        <w:rPr>
          <w:lang w:val="en-GB"/>
          <w14:textOutline w14:w="12700" w14:cap="flat" w14:cmpd="sng" w14:algn="ctr">
            <w14:noFill/>
            <w14:prstDash w14:val="solid"/>
            <w14:miter w14:lim="400000"/>
          </w14:textOutline>
        </w:rPr>
        <w:t>linking up with</w:t>
      </w:r>
      <w:r>
        <w:rPr>
          <w:lang w:val="en-GB"/>
          <w14:textOutline w14:w="12700" w14:cap="flat" w14:cmpd="sng" w14:algn="ctr">
            <w14:noFill/>
            <w14:prstDash w14:val="solid"/>
            <w14:miter w14:lim="400000"/>
          </w14:textOutline>
        </w:rPr>
        <w:t xml:space="preserve"> something said in a text as if it were something said by a previous speaker, not just by repeating what was previously said but through </w:t>
      </w:r>
      <w:r w:rsidR="007A5D1D" w:rsidRPr="00457CC6">
        <w:rPr>
          <w:noProof/>
          <w:highlight w:val="green"/>
          <w14:textOutline w14:w="12700" w14:cap="flat" w14:cmpd="sng" w14:algn="ctr">
            <w14:noFill/>
            <w14:prstDash w14:val="solid"/>
            <w14:miter w14:lim="400000"/>
          </w14:textOutline>
        </w:rPr>
        <w:t>„progressiver Variation“</w:t>
      </w:r>
      <w:r w:rsidR="007A5D1D" w:rsidRPr="00B312EF">
        <w:rPr>
          <w:lang w:val="en-GB"/>
          <w14:textOutline w14:w="12700" w14:cap="flat" w14:cmpd="sng" w14:algn="ctr">
            <w14:noFill/>
            <w14:prstDash w14:val="solid"/>
            <w14:miter w14:lim="400000"/>
          </w14:textOutline>
        </w:rPr>
        <w:t xml:space="preserve"> (Assmann 2018: 281f.).</w:t>
      </w:r>
    </w:p>
    <w:p w14:paraId="309E48EC" w14:textId="0EF96B79" w:rsidR="007A5D1D" w:rsidRPr="00B312EF" w:rsidRDefault="008F3E6B"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sz w:val="20"/>
          <w:szCs w:val="20"/>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This kind of variational </w:t>
      </w:r>
      <w:r w:rsidR="0047299F">
        <w:rPr>
          <w:lang w:val="en-GB"/>
          <w14:textOutline w14:w="12700" w14:cap="flat" w14:cmpd="sng" w14:algn="ctr">
            <w14:noFill/>
            <w14:prstDash w14:val="solid"/>
            <w14:miter w14:lim="400000"/>
          </w14:textOutline>
        </w:rPr>
        <w:t>linkage</w:t>
      </w:r>
      <w:r>
        <w:rPr>
          <w:lang w:val="en-GB"/>
          <w14:textOutline w14:w="12700" w14:cap="flat" w14:cmpd="sng" w14:algn="ctr">
            <w14:noFill/>
            <w14:prstDash w14:val="solid"/>
            <w14:miter w14:lim="400000"/>
          </w14:textOutline>
        </w:rPr>
        <w:t xml:space="preserve"> to something written as if it were something said by a previous speaks rests on (at least) three prerequisites, according to Assmann: first, the medium of </w:t>
      </w:r>
      <w:r>
        <w:rPr>
          <w:i/>
          <w:iCs/>
          <w:lang w:val="en-GB"/>
          <w14:textOutline w14:w="12700" w14:cap="flat" w14:cmpd="sng" w14:algn="ctr">
            <w14:noFill/>
            <w14:prstDash w14:val="solid"/>
            <w14:miter w14:lim="400000"/>
          </w14:textOutline>
        </w:rPr>
        <w:t>writing</w:t>
      </w:r>
      <w:r>
        <w:rPr>
          <w:lang w:val="en-GB"/>
          <w14:textOutline w14:w="12700" w14:cap="flat" w14:cmpd="sng" w14:algn="ctr">
            <w14:noFill/>
            <w14:prstDash w14:val="solid"/>
            <w14:miter w14:lim="400000"/>
          </w14:textOutline>
        </w:rPr>
        <w:t xml:space="preserve">, without which it would simply not be possible to make reference to something previously said as a position open to criticism (for which reason it would be impossible for a discipline of “philosophy” to emerge in primarily oral cultures); second, the possibility of </w:t>
      </w:r>
      <w:r w:rsidR="00C15827">
        <w:rPr>
          <w:lang w:val="en-GB"/>
          <w14:textOutline w14:w="12700" w14:cap="flat" w14:cmpd="sng" w14:algn="ctr">
            <w14:noFill/>
            <w14:prstDash w14:val="solid"/>
            <w14:miter w14:lim="400000"/>
          </w14:textOutline>
        </w:rPr>
        <w:t xml:space="preserve">a </w:t>
      </w:r>
      <w:r w:rsidR="00AB2BCB">
        <w:rPr>
          <w:i/>
          <w:iCs/>
          <w:lang w:val="en-GB"/>
          <w14:textOutline w14:w="12700" w14:cap="flat" w14:cmpd="sng" w14:algn="ctr">
            <w14:noFill/>
            <w14:prstDash w14:val="solid"/>
            <w14:miter w14:lim="400000"/>
          </w14:textOutline>
        </w:rPr>
        <w:t xml:space="preserve">reference to </w:t>
      </w:r>
      <w:r w:rsidR="00C15827">
        <w:rPr>
          <w:i/>
          <w:iCs/>
          <w:lang w:val="en-GB"/>
          <w14:textOutline w14:w="12700" w14:cap="flat" w14:cmpd="sng" w14:algn="ctr">
            <w14:noFill/>
            <w14:prstDash w14:val="solid"/>
            <w14:miter w14:lim="400000"/>
          </w14:textOutline>
        </w:rPr>
        <w:t xml:space="preserve">truth </w:t>
      </w:r>
      <w:r w:rsidR="00AB2BCB">
        <w:rPr>
          <w:i/>
          <w:iCs/>
          <w:lang w:val="en-GB"/>
          <w14:textOutline w14:w="12700" w14:cap="flat" w14:cmpd="sng" w14:algn="ctr">
            <w14:noFill/>
            <w14:prstDash w14:val="solid"/>
            <w14:miter w14:lim="400000"/>
          </w14:textOutline>
        </w:rPr>
        <w:t xml:space="preserve">or </w:t>
      </w:r>
      <w:r w:rsidR="0047299F">
        <w:rPr>
          <w:i/>
          <w:iCs/>
          <w:lang w:val="en-GB"/>
          <w14:textOutline w14:w="12700" w14:cap="flat" w14:cmpd="sng" w14:algn="ctr">
            <w14:noFill/>
            <w14:prstDash w14:val="solid"/>
            <w14:miter w14:lim="400000"/>
          </w14:textOutline>
        </w:rPr>
        <w:t>to the subject matter</w:t>
      </w:r>
      <w:r w:rsidR="00C15827">
        <w:rPr>
          <w:lang w:val="en-GB"/>
          <w14:textOutline w14:w="12700" w14:cap="flat" w14:cmpd="sng" w14:algn="ctr">
            <w14:noFill/>
            <w14:prstDash w14:val="solid"/>
            <w14:miter w14:lim="400000"/>
          </w14:textOutline>
        </w:rPr>
        <w:t xml:space="preserve">; and third, a </w:t>
      </w:r>
      <w:r w:rsidR="00C96047">
        <w:rPr>
          <w:i/>
          <w:iCs/>
          <w:lang w:val="en-GB"/>
          <w14:textOutline w14:w="12700" w14:cap="flat" w14:cmpd="sng" w14:algn="ctr">
            <w14:noFill/>
            <w14:prstDash w14:val="solid"/>
            <w14:miter w14:lim="400000"/>
          </w14:textOutline>
        </w:rPr>
        <w:t>framework</w:t>
      </w:r>
      <w:r w:rsidR="00C15827">
        <w:rPr>
          <w:lang w:val="en-GB"/>
          <w14:textOutline w14:w="12700" w14:cap="flat" w14:cmpd="sng" w14:algn="ctr">
            <w14:noFill/>
            <w14:prstDash w14:val="solid"/>
            <w14:miter w14:lim="400000"/>
          </w14:textOutline>
        </w:rPr>
        <w:t xml:space="preserve"> that manages possible forms of reference and provides criteria for deciding questions of truth</w:t>
      </w:r>
      <w:r w:rsidR="007A5D1D" w:rsidRPr="00B312EF">
        <w:rPr>
          <w:lang w:val="en-GB"/>
          <w14:textOutline w14:w="12700" w14:cap="flat" w14:cmpd="sng" w14:algn="ctr">
            <w14:noFill/>
            <w14:prstDash w14:val="solid"/>
            <w14:miter w14:lim="400000"/>
          </w14:textOutline>
        </w:rPr>
        <w:t>.</w:t>
      </w:r>
      <w:r w:rsidR="00C15827">
        <w:rPr>
          <w:lang w:val="en-GB"/>
          <w14:textOutline w14:w="12700" w14:cap="flat" w14:cmpd="sng" w14:algn="ctr">
            <w14:noFill/>
            <w14:prstDash w14:val="solid"/>
            <w14:miter w14:lim="400000"/>
          </w14:textOutline>
        </w:rPr>
        <w:t xml:space="preserve"> Where the </w:t>
      </w:r>
      <w:r w:rsidR="00AB2BCB">
        <w:rPr>
          <w:lang w:val="en-GB"/>
          <w14:textOutline w14:w="12700" w14:cap="flat" w14:cmpd="sng" w14:algn="ctr">
            <w14:noFill/>
            <w14:prstDash w14:val="solid"/>
            <w14:miter w14:lim="400000"/>
          </w14:textOutline>
        </w:rPr>
        <w:t xml:space="preserve">reference to truth or </w:t>
      </w:r>
      <w:r w:rsidR="0047299F">
        <w:rPr>
          <w:lang w:val="en-GB"/>
          <w14:textOutline w14:w="12700" w14:cap="flat" w14:cmpd="sng" w14:algn="ctr">
            <w14:noFill/>
            <w14:prstDash w14:val="solid"/>
            <w14:miter w14:lim="400000"/>
          </w14:textOutline>
        </w:rPr>
        <w:t>to the subject matter</w:t>
      </w:r>
      <w:r w:rsidR="00C15827">
        <w:rPr>
          <w:lang w:val="en-GB"/>
          <w14:textOutline w14:w="12700" w14:cap="flat" w14:cmpd="sng" w14:algn="ctr">
            <w14:noFill/>
            <w14:prstDash w14:val="solid"/>
            <w14:miter w14:lim="400000"/>
          </w14:textOutline>
        </w:rPr>
        <w:t xml:space="preserve"> is concerned, Assmann argues that its appearance in the train of “disciplined thinking” in ancient Gree</w:t>
      </w:r>
      <w:r w:rsidR="003C7939">
        <w:rPr>
          <w:lang w:val="en-GB"/>
          <w14:textOutline w14:w="12700" w14:cap="flat" w14:cmpd="sng" w14:algn="ctr">
            <w14:noFill/>
            <w14:prstDash w14:val="solid"/>
            <w14:miter w14:lim="400000"/>
          </w14:textOutline>
        </w:rPr>
        <w:t>ce</w:t>
      </w:r>
      <w:r w:rsidR="00C15827">
        <w:rPr>
          <w:lang w:val="en-GB"/>
          <w14:textOutline w14:w="12700" w14:cap="flat" w14:cmpd="sng" w14:algn="ctr">
            <w14:noFill/>
            <w14:prstDash w14:val="solid"/>
            <w14:miter w14:lim="400000"/>
          </w14:textOutline>
        </w:rPr>
        <w:t xml:space="preserve"> was also linked to specific historical and cultural prerequisites. On the one hand, there was the “experience of difference” provoked by the use of the medium of writing, which first brought about a separation between </w:t>
      </w:r>
      <w:r w:rsidR="00C15827">
        <w:rPr>
          <w:i/>
          <w:iCs/>
          <w:lang w:val="en-GB"/>
          <w14:textOutline w14:w="12700" w14:cap="flat" w14:cmpd="sng" w14:algn="ctr">
            <w14:noFill/>
            <w14:prstDash w14:val="solid"/>
            <w14:miter w14:lim="400000"/>
          </w14:textOutline>
        </w:rPr>
        <w:t>information</w:t>
      </w:r>
      <w:r w:rsidR="00C15827">
        <w:rPr>
          <w:lang w:val="en-GB"/>
          <w14:textOutline w14:w="12700" w14:cap="flat" w14:cmpd="sng" w14:algn="ctr">
            <w14:noFill/>
            <w14:prstDash w14:val="solid"/>
            <w14:miter w14:lim="400000"/>
          </w14:textOutline>
        </w:rPr>
        <w:t xml:space="preserve"> (the truth of which is not subject to question) and </w:t>
      </w:r>
      <w:r w:rsidR="00C15827">
        <w:rPr>
          <w:i/>
          <w:iCs/>
          <w:lang w:val="en-GB"/>
          <w14:textOutline w14:w="12700" w14:cap="flat" w14:cmpd="sng" w14:algn="ctr">
            <w14:noFill/>
            <w14:prstDash w14:val="solid"/>
            <w14:miter w14:lim="400000"/>
          </w14:textOutline>
        </w:rPr>
        <w:t>communication</w:t>
      </w:r>
      <w:r w:rsidR="00C15827">
        <w:rPr>
          <w:lang w:val="en-GB"/>
          <w14:textOutline w14:w="12700" w14:cap="flat" w14:cmpd="sng" w14:algn="ctr">
            <w14:noFill/>
            <w14:prstDash w14:val="solid"/>
            <w14:miter w14:lim="400000"/>
          </w14:textOutline>
        </w:rPr>
        <w:t xml:space="preserve"> (the truth of which must first be investigated). On the other hand, </w:t>
      </w:r>
      <w:r w:rsidR="00AB2BCB">
        <w:rPr>
          <w:lang w:val="en-GB"/>
          <w14:textOutline w14:w="12700" w14:cap="flat" w14:cmpd="sng" w14:algn="ctr">
            <w14:noFill/>
            <w14:prstDash w14:val="solid"/>
            <w14:miter w14:lim="400000"/>
          </w14:textOutline>
        </w:rPr>
        <w:t xml:space="preserve">reference to truth or </w:t>
      </w:r>
      <w:r w:rsidR="0047299F">
        <w:rPr>
          <w:lang w:val="en-GB"/>
          <w14:textOutline w14:w="12700" w14:cap="flat" w14:cmpd="sng" w14:algn="ctr">
            <w14:noFill/>
            <w14:prstDash w14:val="solid"/>
            <w14:miter w14:lim="400000"/>
          </w14:textOutline>
        </w:rPr>
        <w:t>to the subject matter</w:t>
      </w:r>
      <w:r w:rsidR="00C15827">
        <w:rPr>
          <w:lang w:val="en-GB"/>
          <w14:textOutline w14:w="12700" w14:cap="flat" w14:cmpd="sng" w14:algn="ctr">
            <w14:noFill/>
            <w14:prstDash w14:val="solid"/>
            <w14:miter w14:lim="400000"/>
          </w14:textOutline>
        </w:rPr>
        <w:t xml:space="preserve"> also presuppose</w:t>
      </w:r>
      <w:r w:rsidR="00DE7963">
        <w:rPr>
          <w:lang w:val="en-GB"/>
          <w14:textOutline w14:w="12700" w14:cap="flat" w14:cmpd="sng" w14:algn="ctr">
            <w14:noFill/>
            <w14:prstDash w14:val="solid"/>
            <w14:miter w14:lim="400000"/>
          </w14:textOutline>
        </w:rPr>
        <w:t>s</w:t>
      </w:r>
      <w:r w:rsidR="00C15827">
        <w:rPr>
          <w:lang w:val="en-GB"/>
          <w14:textOutline w14:w="12700" w14:cap="flat" w14:cmpd="sng" w14:algn="ctr">
            <w14:noFill/>
            <w14:prstDash w14:val="solid"/>
            <w14:miter w14:lim="400000"/>
          </w14:textOutline>
        </w:rPr>
        <w:t xml:space="preserve"> the absence of (secular or religious) authorities </w:t>
      </w:r>
      <w:r w:rsidR="00B91A61">
        <w:rPr>
          <w:lang w:val="en-GB"/>
          <w14:textOutline w14:w="12700" w14:cap="flat" w14:cmpd="sng" w14:algn="ctr">
            <w14:noFill/>
            <w14:prstDash w14:val="solid"/>
            <w14:miter w14:lim="400000"/>
          </w14:textOutline>
        </w:rPr>
        <w:t>who</w:t>
      </w:r>
      <w:r w:rsidR="00C15827">
        <w:rPr>
          <w:lang w:val="en-GB"/>
          <w14:textOutline w14:w="12700" w14:cap="flat" w14:cmpd="sng" w14:algn="ctr">
            <w14:noFill/>
            <w14:prstDash w14:val="solid"/>
            <w14:miter w14:lim="400000"/>
          </w14:textOutline>
        </w:rPr>
        <w:t xml:space="preserve"> establish particular texts as ultimate sources of truth. This can be described in positive terms as a certain </w:t>
      </w:r>
      <w:r w:rsidR="00C15827">
        <w:rPr>
          <w:i/>
          <w:iCs/>
          <w:lang w:val="en-GB"/>
          <w14:textOutline w14:w="12700" w14:cap="flat" w14:cmpd="sng" w14:algn="ctr">
            <w14:noFill/>
            <w14:prstDash w14:val="solid"/>
            <w14:miter w14:lim="400000"/>
          </w14:textOutline>
        </w:rPr>
        <w:t>openness</w:t>
      </w:r>
      <w:r w:rsidR="00C15827">
        <w:rPr>
          <w:lang w:val="en-GB"/>
          <w14:textOutline w14:w="12700" w14:cap="flat" w14:cmpd="sng" w14:algn="ctr">
            <w14:noFill/>
            <w14:prstDash w14:val="solid"/>
            <w14:miter w14:lim="400000"/>
          </w14:textOutline>
        </w:rPr>
        <w:t xml:space="preserve"> of the discursive space, present in Greek culture to a higher degree</w:t>
      </w:r>
      <w:r w:rsidR="00053CE8">
        <w:rPr>
          <w:lang w:val="en-GB"/>
          <w14:textOutline w14:w="12700" w14:cap="flat" w14:cmpd="sng" w14:algn="ctr">
            <w14:noFill/>
            <w14:prstDash w14:val="solid"/>
            <w14:miter w14:lim="400000"/>
          </w14:textOutline>
        </w:rPr>
        <w:t xml:space="preserve"> than in cultures that were, for example, marked by the influence of revealed religious texts defined as canonical. Finally, Assmann </w:t>
      </w:r>
      <w:r w:rsidR="00053CE8">
        <w:rPr>
          <w:lang w:val="en-GB"/>
          <w14:textOutline w14:w="12700" w14:cap="flat" w14:cmpd="sng" w14:algn="ctr">
            <w14:noFill/>
            <w14:prstDash w14:val="solid"/>
            <w14:miter w14:lim="400000"/>
          </w14:textOutline>
        </w:rPr>
        <w:lastRenderedPageBreak/>
        <w:t>draws attention with his prerequisite of</w:t>
      </w:r>
      <w:r w:rsidR="00C96047">
        <w:rPr>
          <w:lang w:val="en-GB"/>
          <w14:textOutline w14:w="12700" w14:cap="flat" w14:cmpd="sng" w14:algn="ctr">
            <w14:noFill/>
            <w14:prstDash w14:val="solid"/>
            <w14:miter w14:lim="400000"/>
          </w14:textOutline>
        </w:rPr>
        <w:t xml:space="preserve"> a</w:t>
      </w:r>
      <w:r w:rsidR="00053CE8">
        <w:rPr>
          <w:lang w:val="en-GB"/>
          <w14:textOutline w14:w="12700" w14:cap="flat" w14:cmpd="sng" w14:algn="ctr">
            <w14:noFill/>
            <w14:prstDash w14:val="solid"/>
            <w14:miter w14:lim="400000"/>
          </w14:textOutline>
        </w:rPr>
        <w:t xml:space="preserve"> </w:t>
      </w:r>
      <w:r w:rsidR="00C96047">
        <w:rPr>
          <w:i/>
          <w:iCs/>
          <w:lang w:val="en-GB"/>
          <w14:textOutline w14:w="12700" w14:cap="flat" w14:cmpd="sng" w14:algn="ctr">
            <w14:noFill/>
            <w14:prstDash w14:val="solid"/>
            <w14:miter w14:lim="400000"/>
          </w14:textOutline>
        </w:rPr>
        <w:t>framework</w:t>
      </w:r>
      <w:r w:rsidR="00053CE8">
        <w:rPr>
          <w:lang w:val="en-GB"/>
          <w14:textOutline w14:w="12700" w14:cap="flat" w14:cmpd="sng" w14:algn="ctr">
            <w14:noFill/>
            <w14:prstDash w14:val="solid"/>
            <w14:miter w14:lim="400000"/>
          </w14:textOutline>
        </w:rPr>
        <w:t xml:space="preserve"> to the fact that </w:t>
      </w:r>
      <w:r w:rsidR="003673D8">
        <w:rPr>
          <w:lang w:val="en-GB"/>
          <w14:textOutline w14:w="12700" w14:cap="flat" w14:cmpd="sng" w14:algn="ctr">
            <w14:noFill/>
            <w14:prstDash w14:val="solid"/>
            <w14:miter w14:lim="400000"/>
          </w14:textOutline>
        </w:rPr>
        <w:t>linking up with</w:t>
      </w:r>
      <w:r w:rsidR="00053CE8">
        <w:rPr>
          <w:lang w:val="en-GB"/>
          <w14:textOutline w14:w="12700" w14:cap="flat" w14:cmpd="sng" w14:algn="ctr">
            <w14:noFill/>
            <w14:prstDash w14:val="solid"/>
            <w14:miter w14:lim="400000"/>
          </w14:textOutline>
        </w:rPr>
        <w:t xml:space="preserve"> something said in a text as if it were something said by a previous speaker is based on a complex performance of discourse organisation. An earlier author thought and wrote </w:t>
      </w:r>
      <w:r w:rsidR="00053CE8">
        <w:rPr>
          <w:i/>
          <w:iCs/>
          <w:lang w:val="en-GB"/>
          <w14:textOutline w14:w="12700" w14:cap="flat" w14:cmpd="sng" w14:algn="ctr">
            <w14:noFill/>
            <w14:prstDash w14:val="solid"/>
            <w14:miter w14:lim="400000"/>
          </w14:textOutline>
        </w:rPr>
        <w:t>in</w:t>
      </w:r>
      <w:r w:rsidR="00053CE8">
        <w:rPr>
          <w:lang w:val="en-GB"/>
          <w14:textOutline w14:w="12700" w14:cap="flat" w14:cmpd="sng" w14:algn="ctr">
            <w14:noFill/>
            <w14:prstDash w14:val="solid"/>
            <w14:miter w14:lim="400000"/>
          </w14:textOutline>
        </w:rPr>
        <w:t xml:space="preserve"> their situation and </w:t>
      </w:r>
      <w:r w:rsidR="00053CE8">
        <w:rPr>
          <w:i/>
          <w:iCs/>
          <w:lang w:val="en-GB"/>
          <w14:textOutline w14:w="12700" w14:cap="flat" w14:cmpd="sng" w14:algn="ctr">
            <w14:noFill/>
            <w14:prstDash w14:val="solid"/>
            <w14:miter w14:lim="400000"/>
          </w14:textOutline>
        </w:rPr>
        <w:t>for</w:t>
      </w:r>
      <w:r w:rsidR="00053CE8">
        <w:rPr>
          <w:lang w:val="en-GB"/>
          <w14:textOutline w14:w="12700" w14:cap="flat" w14:cmpd="sng" w14:algn="ctr">
            <w14:noFill/>
            <w14:prstDash w14:val="solid"/>
            <w14:miter w14:lim="400000"/>
          </w14:textOutline>
        </w:rPr>
        <w:t xml:space="preserve"> their situation. If I am now going to make critical reference to what they said in relation to questions of truth, what they said has to be</w:t>
      </w:r>
      <w:r w:rsidR="007A5D1D" w:rsidRPr="00B312EF">
        <w:rPr>
          <w:lang w:val="en-GB"/>
          <w14:textOutline w14:w="12700" w14:cap="flat" w14:cmpd="sng" w14:algn="ctr">
            <w14:noFill/>
            <w14:prstDash w14:val="solid"/>
            <w14:miter w14:lim="400000"/>
          </w14:textOutline>
        </w:rPr>
        <w:t xml:space="preserve"> </w:t>
      </w:r>
    </w:p>
    <w:p w14:paraId="436045F3" w14:textId="77777777" w:rsidR="007A5D1D" w:rsidRPr="00B312EF" w:rsidRDefault="007A5D1D" w:rsidP="007A5D1D">
      <w:pPr>
        <w:pStyle w:val="GriechischesProsazitat"/>
        <w:rPr>
          <w:lang w:val="en-GB"/>
        </w:rPr>
      </w:pPr>
      <w:r w:rsidRPr="00457CC6">
        <w:rPr>
          <w:noProof/>
          <w:shd w:val="clear" w:color="auto" w:fill="F79646"/>
        </w:rPr>
        <w:t>als die sprachliche Komponente eines komplexen Interaktionsgeschehens aus seinem konkreten situativen Rahmen ausgebettet und als Text verselbständigt werden […], um die Interaktionssituation überdauern und späteren Wiederaufnahmen zugänglich werden zu können. Mit solcher Ausbettung würde aber der Sinn des Gesagten verlorengehen, würde nicht zugleich auch die Situation als solche „gedehnt“, d.h. ein neuer situativer Rahmen geschaffen werden, der sowohl die Akte der Überlieferung des Gesagten als auch die Akte der hypoleptischen Anknüpfung ans Gesagte steuert und organisiert. Der ausgebettete, „situationsabstrakt“ gewordene und sozusagen schutzlos jedem Mißverständnis und jeder Ablehnung ausgelieferte Text bedarf eines neuen Rahmens, der diesen Verlust an situativer Determination kompensiert.“</w:t>
      </w:r>
      <w:r w:rsidRPr="00B312EF">
        <w:rPr>
          <w:lang w:val="en-GB"/>
        </w:rPr>
        <w:t xml:space="preserve"> (Assmann 2018: 284).</w:t>
      </w:r>
    </w:p>
    <w:p w14:paraId="5F68484D" w14:textId="2F3D8D35" w:rsidR="007A5D1D" w:rsidRPr="00B312EF" w:rsidRDefault="0057071F"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In the contemporary context, philosophy teaching</w:t>
      </w:r>
      <w:r w:rsidR="00545159">
        <w:rPr>
          <w:lang w:val="en-GB"/>
          <w14:textOutline w14:w="12700" w14:cap="flat" w14:cmpd="sng" w14:algn="ctr">
            <w14:noFill/>
            <w14:prstDash w14:val="solid"/>
            <w14:miter w14:lim="400000"/>
          </w14:textOutline>
        </w:rPr>
        <w:t xml:space="preserve"> at both the pre-university and university levels, along with scholarly journals, conferences, and the like, can be ascribed the function of a </w:t>
      </w:r>
      <w:r w:rsidR="00C96047">
        <w:rPr>
          <w:lang w:val="en-GB"/>
          <w14:textOutline w14:w="12700" w14:cap="flat" w14:cmpd="sng" w14:algn="ctr">
            <w14:noFill/>
            <w14:prstDash w14:val="solid"/>
            <w14:miter w14:lim="400000"/>
          </w14:textOutline>
        </w:rPr>
        <w:t>framework</w:t>
      </w:r>
      <w:r w:rsidR="00545159">
        <w:rPr>
          <w:lang w:val="en-GB"/>
          <w14:textOutline w14:w="12700" w14:cap="flat" w14:cmpd="sng" w14:algn="ctr">
            <w14:noFill/>
            <w14:prstDash w14:val="solid"/>
            <w14:miter w14:lim="400000"/>
          </w14:textOutline>
        </w:rPr>
        <w:t xml:space="preserve"> of this kind, one that makes the texts that have been handed down readable and interpretable in a particular way in the first place, by “extending” the communicative situation in such a way that what was said by the previous speaker may have been said more than two thousand years ago, and by providing criteria, that is, rules of discourse governing both possible forms of reference to the past and “truth testing.”</w:t>
      </w:r>
      <w:r w:rsidR="007A5D1D" w:rsidRPr="00B312EF">
        <w:rPr>
          <w:vertAlign w:val="superscript"/>
          <w:lang w:val="en-GB"/>
          <w14:textOutline w14:w="12700" w14:cap="flat" w14:cmpd="sng" w14:algn="ctr">
            <w14:noFill/>
            <w14:prstDash w14:val="solid"/>
            <w14:miter w14:lim="400000"/>
          </w14:textOutline>
        </w:rPr>
        <w:footnoteReference w:id="18"/>
      </w:r>
      <w:r w:rsidR="007A5D1D" w:rsidRPr="00B312EF">
        <w:rPr>
          <w:lang w:val="en-GB"/>
          <w14:textOutline w14:w="12700" w14:cap="flat" w14:cmpd="sng" w14:algn="ctr">
            <w14:noFill/>
            <w14:prstDash w14:val="solid"/>
            <w14:miter w14:lim="400000"/>
          </w14:textOutline>
        </w:rPr>
        <w:t xml:space="preserve"> </w:t>
      </w:r>
      <w:r w:rsidR="008A1CAC">
        <w:rPr>
          <w:lang w:val="en-GB"/>
          <w14:textOutline w14:w="12700" w14:cap="flat" w14:cmpd="sng" w14:algn="ctr">
            <w14:noFill/>
            <w14:prstDash w14:val="solid"/>
            <w14:miter w14:lim="400000"/>
          </w14:textOutline>
        </w:rPr>
        <w:t xml:space="preserve">Assmann does not reduce the hypoleptic reference enabled by such a </w:t>
      </w:r>
      <w:r w:rsidR="00C96047">
        <w:rPr>
          <w:lang w:val="en-GB"/>
          <w14:textOutline w14:w="12700" w14:cap="flat" w14:cmpd="sng" w14:algn="ctr">
            <w14:noFill/>
            <w14:prstDash w14:val="solid"/>
            <w14:miter w14:lim="400000"/>
          </w14:textOutline>
        </w:rPr>
        <w:t>framework</w:t>
      </w:r>
      <w:r w:rsidR="008A1CAC">
        <w:rPr>
          <w:lang w:val="en-GB"/>
          <w14:textOutline w14:w="12700" w14:cap="flat" w14:cmpd="sng" w14:algn="ctr">
            <w14:noFill/>
            <w14:prstDash w14:val="solid"/>
            <w14:miter w14:lim="400000"/>
          </w14:textOutline>
        </w:rPr>
        <w:t xml:space="preserve"> to (literary) intertextuality or absolutize it along the lines of a one-sided fixation on the receptive reworking of earlier texts. Rather, in his view, every philosophical praxis that on occasion finds expression in the production of texts exists</w:t>
      </w:r>
      <w:r w:rsidR="007A5D1D" w:rsidRPr="00B312EF">
        <w:rPr>
          <w:lang w:val="en-GB"/>
          <w14:textOutline w14:w="12700" w14:cap="flat" w14:cmpd="sng" w14:algn="ctr">
            <w14:noFill/>
            <w14:prstDash w14:val="solid"/>
            <w14:miter w14:lim="400000"/>
          </w14:textOutline>
        </w:rPr>
        <w:t xml:space="preserve"> </w:t>
      </w:r>
    </w:p>
    <w:p w14:paraId="3EAAA7AF" w14:textId="77777777" w:rsidR="007A5D1D" w:rsidRPr="00457CC6" w:rsidRDefault="007A5D1D" w:rsidP="007A5D1D">
      <w:pPr>
        <w:pStyle w:val="GriechischesProsazitat"/>
        <w:rPr>
          <w:noProof/>
          <w:sz w:val="20"/>
          <w:szCs w:val="20"/>
          <w14:textOutline w14:w="12700" w14:cap="flat" w14:cmpd="sng" w14:algn="ctr">
            <w14:noFill/>
            <w14:prstDash w14:val="solid"/>
            <w14:miter w14:lim="400000"/>
          </w14:textOutline>
        </w:rPr>
      </w:pPr>
      <w:r w:rsidRPr="00457CC6">
        <w:rPr>
          <w:noProof/>
          <w:shd w:val="clear" w:color="auto" w:fill="F79646"/>
          <w14:textOutline w14:w="12700" w14:cap="flat" w14:cmpd="sng" w14:algn="ctr">
            <w14:noFill/>
            <w14:prstDash w14:val="solid"/>
            <w14:miter w14:lim="400000"/>
          </w14:textOutline>
        </w:rPr>
        <w:t>in einem dreifachen Bezug: 1. in bezug auf frühere Texte, 2. in bezug auf die Sache, und 3. in bezug auf Kriterien, anhand deren sich der Wahrheitsanspruch des Textes und die Differenz zwischen Mitteilung und Information kontrollieren lässt. (Assmann 2018: 287)</w:t>
      </w:r>
    </w:p>
    <w:p w14:paraId="33EFCC20" w14:textId="482B4FAC" w:rsidR="007A5D1D" w:rsidRPr="00B312EF" w:rsidRDefault="007A5D1D"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lang w:val="en-GB"/>
        </w:rPr>
      </w:pPr>
      <w:r w:rsidRPr="00B312EF">
        <w:rPr>
          <w:lang w:val="en-GB"/>
          <w14:textOutline w14:w="12700" w14:cap="flat" w14:cmpd="sng" w14:algn="ctr">
            <w14:noFill/>
            <w14:prstDash w14:val="solid"/>
            <w14:miter w14:lim="400000"/>
          </w14:textOutline>
        </w:rPr>
        <w:t>Assmann</w:t>
      </w:r>
      <w:r w:rsidR="008A1CAC">
        <w:rPr>
          <w:lang w:val="en-GB"/>
          <w14:textOutline w14:w="12700" w14:cap="flat" w14:cmpd="sng" w14:algn="ctr">
            <w14:noFill/>
            <w14:prstDash w14:val="solid"/>
            <w14:miter w14:lim="400000"/>
          </w14:textOutline>
        </w:rPr>
        <w:t xml:space="preserve"> thus argues that the exploitation of the possibility of making reference to earlier texts was constitutively important for the historical emergence of philosophy in ancient Greece. At </w:t>
      </w:r>
      <w:r w:rsidR="008A1CAC">
        <w:rPr>
          <w:lang w:val="en-GB"/>
          <w14:textOutline w14:w="12700" w14:cap="flat" w14:cmpd="sng" w14:algn="ctr">
            <w14:noFill/>
            <w14:prstDash w14:val="solid"/>
            <w14:miter w14:lim="400000"/>
          </w14:textOutline>
        </w:rPr>
        <w:lastRenderedPageBreak/>
        <w:t xml:space="preserve">the same time, however, he also considers this form of reference to be a fundamental structure of the history of philosophy that </w:t>
      </w:r>
      <w:r w:rsidR="00AB611C">
        <w:rPr>
          <w:lang w:val="en-GB"/>
          <w14:textOutline w14:w="12700" w14:cap="flat" w14:cmpd="sng" w14:algn="ctr">
            <w14:noFill/>
            <w14:prstDash w14:val="solid"/>
            <w14:miter w14:lim="400000"/>
          </w14:textOutline>
        </w:rPr>
        <w:t>pers</w:t>
      </w:r>
      <w:r w:rsidR="008A1CAC">
        <w:rPr>
          <w:lang w:val="en-GB"/>
          <w14:textOutline w14:w="12700" w14:cap="flat" w14:cmpd="sng" w14:algn="ctr">
            <w14:noFill/>
            <w14:prstDash w14:val="solid"/>
            <w14:miter w14:lim="400000"/>
          </w14:textOutline>
        </w:rPr>
        <w:t xml:space="preserve">ists unchanged, even if its realisation depends on complex prerequisites. In the next section, we will show that the concept of variation can in fact be used to formulate an understanding of the history of philosophy that avoids a bifurcation of </w:t>
      </w:r>
      <w:r w:rsidR="00A3244F">
        <w:rPr>
          <w:lang w:val="en-GB"/>
          <w14:textOutline w14:w="12700" w14:cap="flat" w14:cmpd="sng" w14:algn="ctr">
            <w14:noFill/>
            <w14:prstDash w14:val="solid"/>
            <w14:miter w14:lim="400000"/>
          </w14:textOutline>
        </w:rPr>
        <w:t>what it is to do philosophy</w:t>
      </w:r>
      <w:r w:rsidRPr="00B312EF">
        <w:rPr>
          <w:lang w:val="en-GB"/>
          <w14:textOutline w14:w="12700" w14:cap="flat" w14:cmpd="sng" w14:algn="ctr">
            <w14:noFill/>
            <w14:prstDash w14:val="solid"/>
            <w14:miter w14:lim="400000"/>
          </w14:textOutline>
        </w:rPr>
        <w:t>.</w:t>
      </w:r>
    </w:p>
    <w:p w14:paraId="1176C284" w14:textId="4D69D058" w:rsidR="007A5D1D" w:rsidRPr="00B312EF" w:rsidRDefault="007A5D1D" w:rsidP="007A5D1D">
      <w:pPr>
        <w:pStyle w:val="Flietext"/>
        <w:tabs>
          <w:tab w:val="clear" w:pos="8640"/>
          <w:tab w:val="left" w:pos="8520"/>
        </w:tabs>
        <w:rPr>
          <w:sz w:val="24"/>
          <w:szCs w:val="24"/>
          <w:lang w:val="en-GB"/>
        </w:rPr>
      </w:pPr>
      <w:r w:rsidRPr="00B312EF">
        <w:rPr>
          <w:b/>
          <w:bCs/>
          <w:lang w:val="en-GB"/>
        </w:rPr>
        <w:t xml:space="preserve">4.2. </w:t>
      </w:r>
      <w:r w:rsidR="00A3244F">
        <w:rPr>
          <w:b/>
          <w:bCs/>
          <w:lang w:val="en-GB"/>
        </w:rPr>
        <w:t>History of Philosophy and Doing Philosophy as a Unified Play of Variations</w:t>
      </w:r>
    </w:p>
    <w:p w14:paraId="14110218" w14:textId="0ECF6B1C" w:rsidR="007A5D1D" w:rsidRPr="00B312EF" w:rsidRDefault="007A5D1D" w:rsidP="007A5D1D">
      <w:pPr>
        <w:pStyle w:val="Flietext"/>
        <w:tabs>
          <w:tab w:val="clear" w:pos="8640"/>
          <w:tab w:val="left" w:pos="8520"/>
        </w:tabs>
        <w:rPr>
          <w:sz w:val="24"/>
          <w:szCs w:val="24"/>
          <w:lang w:val="en-GB"/>
        </w:rPr>
      </w:pPr>
      <w:r w:rsidRPr="00B312EF">
        <w:rPr>
          <w:sz w:val="24"/>
          <w:szCs w:val="24"/>
          <w:lang w:val="en-GB"/>
        </w:rPr>
        <w:t>V</w:t>
      </w:r>
      <w:r w:rsidR="00A3244F">
        <w:rPr>
          <w:sz w:val="24"/>
          <w:szCs w:val="24"/>
          <w:lang w:val="en-GB"/>
        </w:rPr>
        <w:t xml:space="preserve">ariations are, like repetitions, actions. If we talk about the history of philosophy as a history of variations, then, it is less a matter of a history of ideas and thoughts than of a history of actions </w:t>
      </w:r>
      <w:r w:rsidRPr="00B312EF">
        <w:rPr>
          <w:sz w:val="24"/>
          <w:szCs w:val="24"/>
          <w:lang w:val="en-GB"/>
        </w:rPr>
        <w:t xml:space="preserve">(Hegel 1971: 38: </w:t>
      </w:r>
      <w:r w:rsidRPr="00457CC6">
        <w:rPr>
          <w:noProof/>
          <w:sz w:val="24"/>
          <w:szCs w:val="24"/>
          <w:highlight w:val="green"/>
        </w:rPr>
        <w:t>„Taten der Geschichte der Philosophie“</w:t>
      </w:r>
      <w:r w:rsidRPr="00B312EF">
        <w:rPr>
          <w:sz w:val="24"/>
          <w:szCs w:val="24"/>
          <w:lang w:val="en-GB"/>
        </w:rPr>
        <w:t xml:space="preserve">). </w:t>
      </w:r>
      <w:r w:rsidR="00A3244F">
        <w:rPr>
          <w:sz w:val="24"/>
          <w:szCs w:val="24"/>
          <w:lang w:val="en-GB"/>
        </w:rPr>
        <w:t>An understanding of doing philosophy as composing variations thus not only takes into account the primacy of the praxis of doing philosophy but also considers the history of philosophy as a play of variations from the perspective of praxis</w:t>
      </w:r>
      <w:r w:rsidRPr="00B312EF">
        <w:rPr>
          <w:sz w:val="24"/>
          <w:szCs w:val="24"/>
          <w:lang w:val="en-GB"/>
        </w:rPr>
        <w:t>.</w:t>
      </w:r>
    </w:p>
    <w:p w14:paraId="6B8A18C6" w14:textId="107503F5" w:rsidR="007A5D1D" w:rsidRPr="00B312EF" w:rsidRDefault="00A3244F" w:rsidP="007A5D1D">
      <w:pPr>
        <w:pStyle w:val="Flietext"/>
        <w:tabs>
          <w:tab w:val="clear" w:pos="8640"/>
          <w:tab w:val="left" w:pos="8520"/>
        </w:tabs>
        <w:rPr>
          <w:sz w:val="24"/>
          <w:szCs w:val="24"/>
          <w:lang w:val="en-GB"/>
        </w:rPr>
      </w:pPr>
      <w:r>
        <w:rPr>
          <w:sz w:val="24"/>
          <w:szCs w:val="24"/>
          <w:lang w:val="en-GB"/>
        </w:rPr>
        <w:t xml:space="preserve">More precisely, ‘variation’ can refer either to an action or to the result of this action. This act-object ambiguity makes the concept of variation also suitable for the classification of textual productions. Nevertheless, it is clear from what </w:t>
      </w:r>
      <w:r w:rsidR="007B75B1">
        <w:rPr>
          <w:sz w:val="24"/>
          <w:szCs w:val="24"/>
          <w:lang w:val="en-GB"/>
        </w:rPr>
        <w:t>we have</w:t>
      </w:r>
      <w:r>
        <w:rPr>
          <w:sz w:val="24"/>
          <w:szCs w:val="24"/>
          <w:lang w:val="en-GB"/>
        </w:rPr>
        <w:t xml:space="preserve"> said that primacy has to be given to the production aspect: Every philosophical text is the expression of a philosophical praxis, and every text is intended to be received </w:t>
      </w:r>
      <w:r w:rsidR="00DE7963">
        <w:rPr>
          <w:sz w:val="24"/>
          <w:szCs w:val="24"/>
          <w:lang w:val="en-GB"/>
        </w:rPr>
        <w:t>in the course of this</w:t>
      </w:r>
      <w:r w:rsidR="00205DFE">
        <w:rPr>
          <w:sz w:val="24"/>
          <w:szCs w:val="24"/>
          <w:lang w:val="en-GB"/>
        </w:rPr>
        <w:t xml:space="preserve"> praxis. The concept of variation therefore makes it possible to undertake a description of philosophy that makes reference both to doing philosophy as a praxis and to philosophical texts as fixed results and permanent points of reference for such a praxis</w:t>
      </w:r>
      <w:r w:rsidR="007A5D1D" w:rsidRPr="00B312EF">
        <w:rPr>
          <w:sz w:val="24"/>
          <w:szCs w:val="24"/>
          <w:lang w:val="en-GB"/>
        </w:rPr>
        <w:t>.</w:t>
      </w:r>
    </w:p>
    <w:p w14:paraId="2BE55DC4" w14:textId="69E2BE36" w:rsidR="007A5D1D" w:rsidRPr="00B312EF" w:rsidRDefault="00205DFE" w:rsidP="007A5D1D">
      <w:pPr>
        <w:pStyle w:val="Flietext"/>
        <w:tabs>
          <w:tab w:val="clear" w:pos="8640"/>
          <w:tab w:val="left" w:pos="8520"/>
        </w:tabs>
        <w:rPr>
          <w:sz w:val="24"/>
          <w:szCs w:val="24"/>
          <w:lang w:val="en-GB"/>
        </w:rPr>
      </w:pPr>
      <w:r>
        <w:rPr>
          <w:sz w:val="24"/>
          <w:szCs w:val="24"/>
          <w:lang w:val="en-GB"/>
        </w:rPr>
        <w:t xml:space="preserve">In terms of content, variations are characterized by the fact that, unlike repetitions, they include elements of continuity and change. In this regard as well, it appears that the broad spectrum of ways that philosophical activity </w:t>
      </w:r>
      <w:r w:rsidR="003673D8">
        <w:rPr>
          <w:sz w:val="24"/>
          <w:szCs w:val="24"/>
          <w:lang w:val="en-GB"/>
        </w:rPr>
        <w:t>links up with</w:t>
      </w:r>
      <w:r>
        <w:rPr>
          <w:sz w:val="24"/>
          <w:szCs w:val="24"/>
          <w:lang w:val="en-GB"/>
        </w:rPr>
        <w:t xml:space="preserve"> what has come before (for example, continuing, reformulating, building on, critiquing, rejecting, overcoming, deconstructing . . .) can be described in general terms and in its basic structure using the concept of variation</w:t>
      </w:r>
      <w:r w:rsidR="007A5D1D" w:rsidRPr="00B312EF">
        <w:rPr>
          <w:sz w:val="24"/>
          <w:szCs w:val="24"/>
          <w:lang w:val="en-GB"/>
        </w:rPr>
        <w:t>:</w:t>
      </w:r>
    </w:p>
    <w:p w14:paraId="194AE92B" w14:textId="7841803F" w:rsidR="007A5D1D" w:rsidRPr="00B312EF" w:rsidRDefault="00205DFE" w:rsidP="007A5D1D">
      <w:pPr>
        <w:pStyle w:val="GriechischesProsazitat"/>
        <w:rPr>
          <w:sz w:val="24"/>
          <w:szCs w:val="24"/>
          <w:lang w:val="en-GB"/>
        </w:rPr>
      </w:pPr>
      <w:r>
        <w:rPr>
          <w:sz w:val="24"/>
          <w:szCs w:val="24"/>
          <w:lang w:val="en-GB"/>
        </w:rPr>
        <w:t xml:space="preserve">At the core of the historicity of philosophy is the reciprocal interplay between change and continuity. On the one hand, </w:t>
      </w:r>
      <w:r w:rsidR="003673D8">
        <w:rPr>
          <w:sz w:val="24"/>
          <w:szCs w:val="24"/>
          <w:lang w:val="en-GB"/>
        </w:rPr>
        <w:t xml:space="preserve">a </w:t>
      </w:r>
      <w:r>
        <w:rPr>
          <w:sz w:val="24"/>
          <w:szCs w:val="24"/>
          <w:lang w:val="en-GB"/>
        </w:rPr>
        <w:t xml:space="preserve">hermeneutical </w:t>
      </w:r>
      <w:r w:rsidR="003673D8">
        <w:rPr>
          <w:sz w:val="24"/>
          <w:szCs w:val="24"/>
          <w:lang w:val="en-GB"/>
        </w:rPr>
        <w:t>linkage</w:t>
      </w:r>
      <w:r>
        <w:rPr>
          <w:sz w:val="24"/>
          <w:szCs w:val="24"/>
          <w:lang w:val="en-GB"/>
        </w:rPr>
        <w:t xml:space="preserve"> to the tradition includes changes</w:t>
      </w:r>
      <w:r w:rsidR="007E76C7">
        <w:rPr>
          <w:sz w:val="24"/>
          <w:szCs w:val="24"/>
          <w:lang w:val="en-GB"/>
        </w:rPr>
        <w:t>, solutions, and redescriptions; on the other</w:t>
      </w:r>
      <w:r w:rsidR="00DE7963">
        <w:rPr>
          <w:sz w:val="24"/>
          <w:szCs w:val="24"/>
          <w:lang w:val="en-GB"/>
        </w:rPr>
        <w:t xml:space="preserve"> hand</w:t>
      </w:r>
      <w:r w:rsidR="007E76C7">
        <w:rPr>
          <w:sz w:val="24"/>
          <w:szCs w:val="24"/>
          <w:lang w:val="en-GB"/>
        </w:rPr>
        <w:t>, new interpretations and reformulations also take their place in a continuity that is singularly distinctive of philosophical discourse</w:t>
      </w:r>
      <w:r w:rsidR="007A5D1D" w:rsidRPr="00B312EF">
        <w:rPr>
          <w:sz w:val="24"/>
          <w:szCs w:val="24"/>
          <w:lang w:val="en-GB"/>
        </w:rPr>
        <w:t>. (Angehrn 1999: 1140)</w:t>
      </w:r>
    </w:p>
    <w:p w14:paraId="69DFDC9A" w14:textId="7235EF9F" w:rsidR="007A5D1D" w:rsidRPr="00B312EF" w:rsidRDefault="007E76C7" w:rsidP="007A5D1D">
      <w:pPr>
        <w:pStyle w:val="Flietext"/>
        <w:tabs>
          <w:tab w:val="clear" w:pos="8640"/>
          <w:tab w:val="left" w:pos="8520"/>
        </w:tabs>
        <w:rPr>
          <w:sz w:val="24"/>
          <w:szCs w:val="24"/>
          <w:lang w:val="en-GB"/>
        </w:rPr>
      </w:pPr>
      <w:r>
        <w:rPr>
          <w:sz w:val="24"/>
          <w:szCs w:val="24"/>
          <w:lang w:val="en-GB"/>
        </w:rPr>
        <w:t xml:space="preserve">The concept of variation may therefore make it possible to overcome the conceptual dividing </w:t>
      </w:r>
      <w:r>
        <w:rPr>
          <w:sz w:val="24"/>
          <w:szCs w:val="24"/>
          <w:lang w:val="en-GB"/>
        </w:rPr>
        <w:lastRenderedPageBreak/>
        <w:t xml:space="preserve">line that Hegel’s philosophy drew between the history of philosophy and the contemporary doing of philosophy: If we describe philosophy as a structurally unified play of variations, then the texts to which we make reference in the course of composing variations appear themselves as variations, that is, (interim) results of a philosophical praxis that makes reference to texts and proceeds by composing variations. Every act of variational </w:t>
      </w:r>
      <w:r w:rsidR="003673D8">
        <w:rPr>
          <w:sz w:val="24"/>
          <w:szCs w:val="24"/>
          <w:lang w:val="en-GB"/>
        </w:rPr>
        <w:t>linkage</w:t>
      </w:r>
      <w:r>
        <w:rPr>
          <w:sz w:val="24"/>
          <w:szCs w:val="24"/>
          <w:lang w:val="en-GB"/>
        </w:rPr>
        <w:t xml:space="preserve"> is additionally aimed at future acts of variational </w:t>
      </w:r>
      <w:r w:rsidR="003673D8">
        <w:rPr>
          <w:sz w:val="24"/>
          <w:szCs w:val="24"/>
          <w:lang w:val="en-GB"/>
        </w:rPr>
        <w:t>linkage</w:t>
      </w:r>
      <w:r>
        <w:rPr>
          <w:sz w:val="24"/>
          <w:szCs w:val="24"/>
          <w:lang w:val="en-GB"/>
        </w:rPr>
        <w:t xml:space="preserve"> – the monograph just as much as the oral contribution to a discussion. Whether a philosophical praxis of variation </w:t>
      </w:r>
      <w:r w:rsidR="00F337B3">
        <w:rPr>
          <w:sz w:val="24"/>
          <w:szCs w:val="24"/>
          <w:lang w:val="en-GB"/>
        </w:rPr>
        <w:t xml:space="preserve">itself </w:t>
      </w:r>
      <w:r>
        <w:rPr>
          <w:sz w:val="24"/>
          <w:szCs w:val="24"/>
          <w:lang w:val="en-GB"/>
        </w:rPr>
        <w:t>aims at the transsituational permanence of its results or leaves this possibility open consequently matters very little</w:t>
      </w:r>
      <w:r w:rsidR="00760E0A">
        <w:rPr>
          <w:sz w:val="24"/>
          <w:szCs w:val="24"/>
          <w:lang w:val="en-GB"/>
        </w:rPr>
        <w:t xml:space="preserve"> for the question of whether it participates in this play of variations at the fundamental level. From this perspective, then, the history of philosophy no longer appears as an external object of knowledge or a kind of </w:t>
      </w:r>
      <w:r w:rsidR="00DE7963">
        <w:rPr>
          <w:sz w:val="24"/>
          <w:szCs w:val="24"/>
          <w:lang w:val="en-GB"/>
        </w:rPr>
        <w:t>shuttered</w:t>
      </w:r>
      <w:r w:rsidR="00760E0A">
        <w:rPr>
          <w:sz w:val="24"/>
          <w:szCs w:val="24"/>
          <w:lang w:val="en-GB"/>
        </w:rPr>
        <w:t xml:space="preserve"> t</w:t>
      </w:r>
      <w:r w:rsidR="00DE7963">
        <w:rPr>
          <w:sz w:val="24"/>
          <w:szCs w:val="24"/>
          <w:lang w:val="en-GB"/>
        </w:rPr>
        <w:t>reasury on</w:t>
      </w:r>
      <w:r w:rsidR="00760E0A">
        <w:rPr>
          <w:sz w:val="24"/>
          <w:szCs w:val="24"/>
          <w:lang w:val="en-GB"/>
        </w:rPr>
        <w:t xml:space="preserve"> which one can </w:t>
      </w:r>
      <w:r w:rsidR="00DE7963">
        <w:rPr>
          <w:sz w:val="24"/>
          <w:szCs w:val="24"/>
          <w:lang w:val="en-GB"/>
        </w:rPr>
        <w:t>draw</w:t>
      </w:r>
      <w:r w:rsidR="00760E0A">
        <w:rPr>
          <w:sz w:val="24"/>
          <w:szCs w:val="24"/>
          <w:lang w:val="en-GB"/>
        </w:rPr>
        <w:t xml:space="preserve"> </w:t>
      </w:r>
      <w:r w:rsidR="00DE7963">
        <w:rPr>
          <w:sz w:val="24"/>
          <w:szCs w:val="24"/>
          <w:lang w:val="en-GB"/>
        </w:rPr>
        <w:t>when</w:t>
      </w:r>
      <w:r w:rsidR="00760E0A">
        <w:rPr>
          <w:sz w:val="24"/>
          <w:szCs w:val="24"/>
          <w:lang w:val="en-GB"/>
        </w:rPr>
        <w:t xml:space="preserve"> occasion demands. The corpus of theories found in the library is only part of the history of philosophy, understood as a play of variation</w:t>
      </w:r>
      <w:r w:rsidR="007B75B1">
        <w:rPr>
          <w:sz w:val="24"/>
          <w:szCs w:val="24"/>
          <w:lang w:val="en-GB"/>
        </w:rPr>
        <w:t>s</w:t>
      </w:r>
      <w:r w:rsidR="00760E0A">
        <w:rPr>
          <w:sz w:val="24"/>
          <w:szCs w:val="24"/>
          <w:lang w:val="en-GB"/>
        </w:rPr>
        <w:t xml:space="preserve">, to the extent that </w:t>
      </w:r>
      <w:r w:rsidR="003673D8">
        <w:rPr>
          <w:sz w:val="24"/>
          <w:szCs w:val="24"/>
          <w:lang w:val="en-GB"/>
        </w:rPr>
        <w:t>links</w:t>
      </w:r>
      <w:r w:rsidR="00760E0A">
        <w:rPr>
          <w:sz w:val="24"/>
          <w:szCs w:val="24"/>
          <w:lang w:val="en-GB"/>
        </w:rPr>
        <w:t xml:space="preserve"> are made to it and variations built on it. Any transsituational fixation </w:t>
      </w:r>
      <w:r w:rsidR="007B75B1">
        <w:rPr>
          <w:sz w:val="24"/>
          <w:szCs w:val="24"/>
          <w:lang w:val="en-GB"/>
        </w:rPr>
        <w:t xml:space="preserve">in a given medium </w:t>
      </w:r>
      <w:r w:rsidR="00760E0A">
        <w:rPr>
          <w:sz w:val="24"/>
          <w:szCs w:val="24"/>
          <w:lang w:val="en-GB"/>
        </w:rPr>
        <w:t xml:space="preserve">also remains historically internal and finite, reliant on the conservation, reproduction, and transfer of the medium in question, its cataloguing, systematizing, and </w:t>
      </w:r>
      <w:r w:rsidR="009412B9">
        <w:rPr>
          <w:sz w:val="24"/>
          <w:szCs w:val="24"/>
          <w:lang w:val="en-GB"/>
        </w:rPr>
        <w:t>accessibility</w:t>
      </w:r>
      <w:r w:rsidR="00760E0A">
        <w:rPr>
          <w:sz w:val="24"/>
          <w:szCs w:val="24"/>
          <w:lang w:val="en-GB"/>
        </w:rPr>
        <w:t>, or in brief, on the active promotion of its transmission and on “</w:t>
      </w:r>
      <w:r w:rsidR="00C96047">
        <w:rPr>
          <w:sz w:val="24"/>
          <w:szCs w:val="24"/>
          <w:lang w:val="en-GB"/>
        </w:rPr>
        <w:t>fram</w:t>
      </w:r>
      <w:r w:rsidR="00760E0A">
        <w:rPr>
          <w:sz w:val="24"/>
          <w:szCs w:val="24"/>
          <w:lang w:val="en-GB"/>
        </w:rPr>
        <w:t xml:space="preserve">ing” institutions. The texts that we consider to belong to the history of philosophy hence do not form a firm pedestal on which we can build. What is foundational is far more the cultural, which is to say also the philosophical, </w:t>
      </w:r>
      <w:r w:rsidR="00760E0A">
        <w:rPr>
          <w:i/>
          <w:iCs/>
          <w:sz w:val="24"/>
          <w:szCs w:val="24"/>
          <w:lang w:val="en-GB"/>
        </w:rPr>
        <w:t>use</w:t>
      </w:r>
      <w:r w:rsidR="00760E0A">
        <w:rPr>
          <w:sz w:val="24"/>
          <w:szCs w:val="24"/>
          <w:lang w:val="en-GB"/>
        </w:rPr>
        <w:t xml:space="preserve"> that is made (or could be made) of these texts</w:t>
      </w:r>
      <w:r w:rsidR="009E0FBE">
        <w:rPr>
          <w:sz w:val="24"/>
          <w:szCs w:val="24"/>
          <w:lang w:val="en-GB"/>
        </w:rPr>
        <w:t xml:space="preserve"> and out of which the need for fixation and transmission arises in the first place</w:t>
      </w:r>
      <w:r w:rsidR="007A5D1D" w:rsidRPr="00B312EF">
        <w:rPr>
          <w:sz w:val="24"/>
          <w:szCs w:val="24"/>
          <w:lang w:val="en-GB"/>
        </w:rPr>
        <w:t>.</w:t>
      </w:r>
    </w:p>
    <w:p w14:paraId="4C1EF2CF" w14:textId="5B87D281" w:rsidR="007A5D1D" w:rsidRPr="00B312EF" w:rsidRDefault="007A5D1D" w:rsidP="007A5D1D">
      <w:pPr>
        <w:pStyle w:val="Flietext"/>
        <w:tabs>
          <w:tab w:val="clear" w:pos="8640"/>
          <w:tab w:val="left" w:pos="8520"/>
        </w:tabs>
        <w:rPr>
          <w:b/>
          <w:bCs/>
          <w:sz w:val="24"/>
          <w:szCs w:val="24"/>
          <w:lang w:val="en-GB"/>
        </w:rPr>
      </w:pPr>
      <w:r w:rsidRPr="00B312EF">
        <w:rPr>
          <w:b/>
          <w:bCs/>
          <w:sz w:val="24"/>
          <w:szCs w:val="24"/>
          <w:lang w:val="en-GB"/>
        </w:rPr>
        <w:t xml:space="preserve">4.3. </w:t>
      </w:r>
      <w:r w:rsidR="009E0FBE">
        <w:rPr>
          <w:b/>
          <w:bCs/>
          <w:sz w:val="24"/>
          <w:szCs w:val="24"/>
          <w:lang w:val="en-GB"/>
        </w:rPr>
        <w:t>History of Philosophy and Philosophy Teaching</w:t>
      </w:r>
    </w:p>
    <w:p w14:paraId="5A55DA7F" w14:textId="56B1A3A5" w:rsidR="007A5D1D" w:rsidRPr="00B312EF" w:rsidRDefault="007F1251" w:rsidP="007A5D1D">
      <w:pPr>
        <w:pStyle w:val="Flietext"/>
        <w:tabs>
          <w:tab w:val="clear" w:pos="8640"/>
          <w:tab w:val="left" w:pos="8520"/>
        </w:tabs>
        <w:rPr>
          <w:sz w:val="24"/>
          <w:szCs w:val="24"/>
          <w:lang w:val="en-GB"/>
        </w:rPr>
      </w:pPr>
      <w:r>
        <w:rPr>
          <w:sz w:val="24"/>
          <w:szCs w:val="24"/>
          <w:lang w:val="en-GB"/>
        </w:rPr>
        <w:t xml:space="preserve">Having established this foundation, we are now able to show that even the pre-university philosophy classroom has a constitutive relationship to texts from the history of philosophy. If we refrain from assuming a timeless essential core of doing philosophy (unlike eternalism, for example), we must also see the forms of praxis </w:t>
      </w:r>
      <w:r w:rsidR="002E2CA8">
        <w:rPr>
          <w:sz w:val="24"/>
          <w:szCs w:val="24"/>
          <w:lang w:val="en-GB"/>
        </w:rPr>
        <w:t>through</w:t>
      </w:r>
      <w:r>
        <w:rPr>
          <w:sz w:val="24"/>
          <w:szCs w:val="24"/>
          <w:lang w:val="en-GB"/>
        </w:rPr>
        <w:t xml:space="preserve"> which philosophy teaching takes place as variations of existing forms of praxis of doing philosophy. This means that we are dealing with variations not only when in the course of doing philosophy we </w:t>
      </w:r>
      <w:r w:rsidR="003673D8">
        <w:rPr>
          <w:sz w:val="24"/>
          <w:szCs w:val="24"/>
          <w:lang w:val="en-GB"/>
        </w:rPr>
        <w:t>link up</w:t>
      </w:r>
      <w:r w:rsidR="00A0437E">
        <w:rPr>
          <w:sz w:val="24"/>
          <w:szCs w:val="24"/>
          <w:lang w:val="en-GB"/>
        </w:rPr>
        <w:t xml:space="preserve"> with</w:t>
      </w:r>
      <w:r>
        <w:rPr>
          <w:sz w:val="24"/>
          <w:szCs w:val="24"/>
          <w:lang w:val="en-GB"/>
        </w:rPr>
        <w:t xml:space="preserve"> a particular statement, thesis, position, argument, or theory, but also when the act of doing philosophy is accompanied and shaped by a specific understanding of what it means to do philosophy. To say, for example, that “a philosopher is not someone who stands in a particular line of transmission but someone who poses particular substantive questions” </w:t>
      </w:r>
      <w:r w:rsidR="007A5D1D" w:rsidRPr="00B312EF">
        <w:rPr>
          <w:sz w:val="24"/>
          <w:szCs w:val="24"/>
          <w:lang w:val="en-GB"/>
        </w:rPr>
        <w:t>(Tugendhat 2006: 166)</w:t>
      </w:r>
      <w:r>
        <w:rPr>
          <w:sz w:val="24"/>
          <w:szCs w:val="24"/>
          <w:lang w:val="en-GB"/>
        </w:rPr>
        <w:t xml:space="preserve"> </w:t>
      </w:r>
      <w:r>
        <w:rPr>
          <w:sz w:val="24"/>
          <w:szCs w:val="24"/>
          <w:lang w:val="en-GB"/>
        </w:rPr>
        <w:lastRenderedPageBreak/>
        <w:t xml:space="preserve">is </w:t>
      </w:r>
      <w:r w:rsidR="00F337B3">
        <w:rPr>
          <w:sz w:val="24"/>
          <w:szCs w:val="24"/>
          <w:lang w:val="en-GB"/>
        </w:rPr>
        <w:t xml:space="preserve">to </w:t>
      </w:r>
      <w:r w:rsidR="003673D8">
        <w:rPr>
          <w:sz w:val="24"/>
          <w:szCs w:val="24"/>
          <w:lang w:val="en-GB"/>
        </w:rPr>
        <w:t>link up</w:t>
      </w:r>
      <w:r>
        <w:rPr>
          <w:sz w:val="24"/>
          <w:szCs w:val="24"/>
          <w:lang w:val="en-GB"/>
        </w:rPr>
        <w:t xml:space="preserve"> </w:t>
      </w:r>
      <w:r w:rsidR="00A0437E">
        <w:rPr>
          <w:sz w:val="24"/>
          <w:szCs w:val="24"/>
          <w:lang w:val="en-GB"/>
        </w:rPr>
        <w:t>with</w:t>
      </w:r>
      <w:r>
        <w:rPr>
          <w:sz w:val="24"/>
          <w:szCs w:val="24"/>
          <w:lang w:val="en-GB"/>
        </w:rPr>
        <w:t xml:space="preserve"> a specific way, one that has been handed down, of understanding and pursuing philosophy as the posing of substantive questions. In fact, doing philosophy does not mean </w:t>
      </w:r>
      <w:r>
        <w:rPr>
          <w:i/>
          <w:iCs/>
          <w:sz w:val="24"/>
          <w:szCs w:val="24"/>
          <w:lang w:val="en-GB"/>
        </w:rPr>
        <w:t>standing</w:t>
      </w:r>
      <w:r>
        <w:rPr>
          <w:sz w:val="24"/>
          <w:szCs w:val="24"/>
          <w:lang w:val="en-GB"/>
        </w:rPr>
        <w:t xml:space="preserve"> in a particular line of transmission, but it does mean</w:t>
      </w:r>
      <w:r w:rsidR="00F60FF5">
        <w:rPr>
          <w:sz w:val="24"/>
          <w:szCs w:val="24"/>
          <w:lang w:val="en-GB"/>
        </w:rPr>
        <w:t xml:space="preserve"> </w:t>
      </w:r>
      <w:r w:rsidR="003673D8">
        <w:rPr>
          <w:i/>
          <w:iCs/>
          <w:sz w:val="24"/>
          <w:szCs w:val="24"/>
          <w:lang w:val="en-GB"/>
        </w:rPr>
        <w:t>linking up</w:t>
      </w:r>
      <w:r w:rsidR="00F60FF5">
        <w:rPr>
          <w:sz w:val="24"/>
          <w:szCs w:val="24"/>
          <w:lang w:val="en-GB"/>
        </w:rPr>
        <w:t xml:space="preserve"> </w:t>
      </w:r>
      <w:r w:rsidR="00A0437E">
        <w:rPr>
          <w:sz w:val="24"/>
          <w:szCs w:val="24"/>
          <w:lang w:val="en-GB"/>
        </w:rPr>
        <w:t xml:space="preserve">with </w:t>
      </w:r>
      <w:r w:rsidR="00F60FF5">
        <w:rPr>
          <w:sz w:val="24"/>
          <w:szCs w:val="24"/>
          <w:lang w:val="en-GB"/>
        </w:rPr>
        <w:t xml:space="preserve">a particular line of transmission while composing variations, thereby actively </w:t>
      </w:r>
      <w:r w:rsidR="00F60FF5">
        <w:rPr>
          <w:i/>
          <w:iCs/>
          <w:sz w:val="24"/>
          <w:szCs w:val="24"/>
          <w:lang w:val="en-GB"/>
        </w:rPr>
        <w:t>positioning</w:t>
      </w:r>
      <w:r w:rsidR="00F60FF5">
        <w:rPr>
          <w:sz w:val="24"/>
          <w:szCs w:val="24"/>
          <w:lang w:val="en-GB"/>
        </w:rPr>
        <w:t xml:space="preserve"> oneself within the history of philosophy. It needs to be kept firmly in mind, therefore, that not only does variation take place </w:t>
      </w:r>
      <w:r w:rsidR="00F60FF5">
        <w:rPr>
          <w:i/>
          <w:iCs/>
          <w:sz w:val="24"/>
          <w:szCs w:val="24"/>
          <w:lang w:val="en-GB"/>
        </w:rPr>
        <w:t>within</w:t>
      </w:r>
      <w:r w:rsidR="00F60FF5">
        <w:rPr>
          <w:sz w:val="24"/>
          <w:szCs w:val="24"/>
          <w:lang w:val="en-GB"/>
        </w:rPr>
        <w:t xml:space="preserve"> a </w:t>
      </w:r>
      <w:r w:rsidR="00C96047">
        <w:rPr>
          <w:sz w:val="24"/>
          <w:szCs w:val="24"/>
          <w:lang w:val="en-GB"/>
        </w:rPr>
        <w:t>framework</w:t>
      </w:r>
      <w:r w:rsidR="00F60FF5">
        <w:rPr>
          <w:sz w:val="24"/>
          <w:szCs w:val="24"/>
          <w:lang w:val="en-GB"/>
        </w:rPr>
        <w:t xml:space="preserve"> that governs the forms of discursive reference and the discovery of truth, but also </w:t>
      </w:r>
      <w:r w:rsidR="00F60FF5">
        <w:rPr>
          <w:i/>
          <w:iCs/>
          <w:sz w:val="24"/>
          <w:szCs w:val="24"/>
          <w:lang w:val="en-GB"/>
        </w:rPr>
        <w:t xml:space="preserve">the shaping of the </w:t>
      </w:r>
      <w:r w:rsidR="00C96047">
        <w:rPr>
          <w:i/>
          <w:iCs/>
          <w:sz w:val="24"/>
          <w:szCs w:val="24"/>
          <w:lang w:val="en-GB"/>
        </w:rPr>
        <w:t>framework</w:t>
      </w:r>
      <w:r w:rsidR="007B75B1" w:rsidRPr="007B75B1">
        <w:rPr>
          <w:i/>
          <w:iCs/>
          <w:sz w:val="24"/>
          <w:szCs w:val="24"/>
          <w:lang w:val="en-GB"/>
        </w:rPr>
        <w:t xml:space="preserve"> </w:t>
      </w:r>
      <w:r w:rsidR="007B75B1">
        <w:rPr>
          <w:i/>
          <w:iCs/>
          <w:sz w:val="24"/>
          <w:szCs w:val="24"/>
          <w:lang w:val="en-GB"/>
        </w:rPr>
        <w:t>itself</w:t>
      </w:r>
      <w:r w:rsidR="00F60FF5">
        <w:rPr>
          <w:sz w:val="24"/>
          <w:szCs w:val="24"/>
          <w:lang w:val="en-GB"/>
        </w:rPr>
        <w:t xml:space="preserve">, insofar as it is not a matter of unavoidable environmental conditions, </w:t>
      </w:r>
      <w:r w:rsidR="00F60FF5">
        <w:rPr>
          <w:i/>
          <w:iCs/>
          <w:sz w:val="24"/>
          <w:szCs w:val="24"/>
          <w:lang w:val="en-GB"/>
        </w:rPr>
        <w:t>is a variation</w:t>
      </w:r>
      <w:r w:rsidR="00F60FF5">
        <w:rPr>
          <w:sz w:val="24"/>
          <w:szCs w:val="24"/>
          <w:lang w:val="en-GB"/>
        </w:rPr>
        <w:t xml:space="preserve"> from the perspective of a particular understanding of doing philosophy.</w:t>
      </w:r>
    </w:p>
    <w:p w14:paraId="2AAC182C" w14:textId="79CE2CF4" w:rsidR="007A5D1D" w:rsidRPr="00B312EF" w:rsidRDefault="00517282" w:rsidP="007A5D1D">
      <w:pPr>
        <w:pStyle w:val="Flietext"/>
        <w:tabs>
          <w:tab w:val="clear" w:pos="8640"/>
          <w:tab w:val="left" w:pos="8520"/>
        </w:tabs>
        <w:rPr>
          <w:sz w:val="24"/>
          <w:szCs w:val="24"/>
          <w:lang w:val="en-GB"/>
        </w:rPr>
      </w:pPr>
      <w:r>
        <w:rPr>
          <w:sz w:val="24"/>
          <w:szCs w:val="24"/>
          <w:lang w:val="en-GB"/>
        </w:rPr>
        <w:t>In the context of philosophy education, o</w:t>
      </w:r>
      <w:r w:rsidR="00F60FF5">
        <w:rPr>
          <w:sz w:val="24"/>
          <w:szCs w:val="24"/>
          <w:lang w:val="en-GB"/>
        </w:rPr>
        <w:t>n</w:t>
      </w:r>
      <w:r>
        <w:rPr>
          <w:sz w:val="24"/>
          <w:szCs w:val="24"/>
          <w:lang w:val="en-GB"/>
        </w:rPr>
        <w:t>e</w:t>
      </w:r>
      <w:r w:rsidR="00F60FF5">
        <w:rPr>
          <w:sz w:val="24"/>
          <w:szCs w:val="24"/>
          <w:lang w:val="en-GB"/>
        </w:rPr>
        <w:t xml:space="preserve"> example of this type of variation, not in the content of doing philosophy but in its form of praxis, is the “educational transformation” of philosophical</w:t>
      </w:r>
      <w:r>
        <w:rPr>
          <w:sz w:val="24"/>
          <w:szCs w:val="24"/>
          <w:lang w:val="en-GB"/>
        </w:rPr>
        <w:t xml:space="preserve"> “lines of thought” into methods of doing philosophy called for by Johannes Rohbeck </w:t>
      </w:r>
      <w:r w:rsidR="007A5D1D" w:rsidRPr="00B312EF">
        <w:rPr>
          <w:sz w:val="24"/>
          <w:szCs w:val="24"/>
          <w:lang w:val="en-GB"/>
        </w:rPr>
        <w:t xml:space="preserve">(Rohbeck 2016). </w:t>
      </w:r>
      <w:r>
        <w:rPr>
          <w:sz w:val="24"/>
          <w:szCs w:val="24"/>
          <w:lang w:val="en-GB"/>
        </w:rPr>
        <w:t>What Rohbeck urges teachers to pursue is nothing other than the conscious production of variations of given philosophical forms of pra</w:t>
      </w:r>
      <w:r w:rsidR="001F738E">
        <w:rPr>
          <w:sz w:val="24"/>
          <w:szCs w:val="24"/>
          <w:lang w:val="en-GB"/>
        </w:rPr>
        <w:t>xis</w:t>
      </w:r>
      <w:r>
        <w:rPr>
          <w:sz w:val="24"/>
          <w:szCs w:val="24"/>
          <w:lang w:val="en-GB"/>
        </w:rPr>
        <w:t>. Ultimately, however, this kind of “methodological” variation also takes place where it is not consciously pursued. In order to be able to speak of such a variation, it is enough, as we have said, that the act of doing philosophy is accompanied and shaped by a specific understanding of what it means to do philosophy. In order to be able to speak about doing philosophy as composing variations, therefore, it is not necessary that the variational character of their own act of doing philosophy is transparent to the persons doing philosophy themselves</w:t>
      </w:r>
      <w:r w:rsidR="007A5D1D" w:rsidRPr="00B312EF">
        <w:rPr>
          <w:sz w:val="24"/>
          <w:szCs w:val="24"/>
          <w:lang w:val="en-GB"/>
        </w:rPr>
        <w:t>.</w:t>
      </w:r>
    </w:p>
    <w:p w14:paraId="27282840" w14:textId="5889D68D" w:rsidR="007A5D1D" w:rsidRPr="00B312EF" w:rsidRDefault="00517282" w:rsidP="007A5D1D">
      <w:pPr>
        <w:pStyle w:val="Flietext"/>
        <w:tabs>
          <w:tab w:val="clear" w:pos="8640"/>
          <w:tab w:val="left" w:pos="8520"/>
        </w:tabs>
        <w:rPr>
          <w:sz w:val="24"/>
          <w:szCs w:val="24"/>
          <w:lang w:val="en-GB"/>
        </w:rPr>
      </w:pPr>
      <w:r>
        <w:rPr>
          <w:sz w:val="24"/>
          <w:szCs w:val="24"/>
          <w:lang w:val="en-GB"/>
        </w:rPr>
        <w:t xml:space="preserve">This also makes it clear that in considering the importance of the history of philosophy in the philosophy classroom, we cannot limit ourselves to what is explicitly characterized or made </w:t>
      </w:r>
      <w:r w:rsidR="009412B9">
        <w:rPr>
          <w:sz w:val="24"/>
          <w:szCs w:val="24"/>
          <w:lang w:val="en-GB"/>
        </w:rPr>
        <w:t>visible</w:t>
      </w:r>
      <w:r>
        <w:rPr>
          <w:sz w:val="24"/>
          <w:szCs w:val="24"/>
          <w:lang w:val="en-GB"/>
        </w:rPr>
        <w:t xml:space="preserve"> for pupils and observers as a reference to the past or </w:t>
      </w:r>
      <w:r w:rsidR="007B75B1">
        <w:rPr>
          <w:sz w:val="24"/>
          <w:szCs w:val="24"/>
          <w:lang w:val="en-GB"/>
        </w:rPr>
        <w:t>individuall</w:t>
      </w:r>
      <w:r>
        <w:rPr>
          <w:sz w:val="24"/>
          <w:szCs w:val="24"/>
          <w:lang w:val="en-GB"/>
        </w:rPr>
        <w:t xml:space="preserve">y </w:t>
      </w:r>
      <w:r w:rsidR="009412B9">
        <w:rPr>
          <w:sz w:val="24"/>
          <w:szCs w:val="24"/>
          <w:lang w:val="en-GB"/>
        </w:rPr>
        <w:t>engaged</w:t>
      </w:r>
      <w:r>
        <w:rPr>
          <w:sz w:val="24"/>
          <w:szCs w:val="24"/>
          <w:lang w:val="en-GB"/>
        </w:rPr>
        <w:t xml:space="preserve"> in as such through the reading of texts. </w:t>
      </w:r>
      <w:r w:rsidR="000D5F6C">
        <w:rPr>
          <w:sz w:val="24"/>
          <w:szCs w:val="24"/>
          <w:lang w:val="en-GB"/>
        </w:rPr>
        <w:t xml:space="preserve">It is precisely variational </w:t>
      </w:r>
      <w:r w:rsidR="003673D8">
        <w:rPr>
          <w:sz w:val="24"/>
          <w:szCs w:val="24"/>
          <w:lang w:val="en-GB"/>
        </w:rPr>
        <w:t>linkage</w:t>
      </w:r>
      <w:r w:rsidR="000D5F6C">
        <w:rPr>
          <w:sz w:val="24"/>
          <w:szCs w:val="24"/>
          <w:lang w:val="en-GB"/>
        </w:rPr>
        <w:t xml:space="preserve"> not only to given philosophical positions but also to forms of praxis that is in view here. It is to a certain extent provided by the “</w:t>
      </w:r>
      <w:r w:rsidR="00C96047">
        <w:rPr>
          <w:sz w:val="24"/>
          <w:szCs w:val="24"/>
          <w:lang w:val="en-GB"/>
        </w:rPr>
        <w:t>framework</w:t>
      </w:r>
      <w:r w:rsidR="000D5F6C">
        <w:rPr>
          <w:sz w:val="24"/>
          <w:szCs w:val="24"/>
          <w:lang w:val="en-GB"/>
        </w:rPr>
        <w:t xml:space="preserve">,” especially as this </w:t>
      </w:r>
      <w:r w:rsidR="00C96047">
        <w:rPr>
          <w:sz w:val="24"/>
          <w:szCs w:val="24"/>
          <w:lang w:val="en-GB"/>
        </w:rPr>
        <w:t>framework</w:t>
      </w:r>
      <w:r w:rsidR="000D5F6C">
        <w:rPr>
          <w:sz w:val="24"/>
          <w:szCs w:val="24"/>
          <w:lang w:val="en-GB"/>
        </w:rPr>
        <w:t xml:space="preserve"> is prescribed by preexisting institutional factors (curricula, government regulations, textbooks, examination requirements, educational traditions, etc.). In the end, </w:t>
      </w:r>
      <w:r w:rsidR="009412B9">
        <w:rPr>
          <w:sz w:val="24"/>
          <w:szCs w:val="24"/>
          <w:lang w:val="en-GB"/>
        </w:rPr>
        <w:t>however</w:t>
      </w:r>
      <w:r w:rsidR="000D5F6C">
        <w:rPr>
          <w:sz w:val="24"/>
          <w:szCs w:val="24"/>
          <w:lang w:val="en-GB"/>
        </w:rPr>
        <w:t xml:space="preserve">, the decisive factor is the teacher, who has to actualize this </w:t>
      </w:r>
      <w:r w:rsidR="00C96047">
        <w:rPr>
          <w:sz w:val="24"/>
          <w:szCs w:val="24"/>
          <w:lang w:val="en-GB"/>
        </w:rPr>
        <w:t>framework</w:t>
      </w:r>
      <w:r w:rsidR="000D5F6C">
        <w:rPr>
          <w:sz w:val="24"/>
          <w:szCs w:val="24"/>
          <w:lang w:val="en-GB"/>
        </w:rPr>
        <w:t xml:space="preserve"> in the classroom, make it concrete, and fill it with life. Mediated by the teacher’s lesson planning</w:t>
      </w:r>
      <w:r w:rsidR="007A5D1D" w:rsidRPr="00B312EF">
        <w:rPr>
          <w:sz w:val="24"/>
          <w:szCs w:val="24"/>
          <w:vertAlign w:val="superscript"/>
          <w:lang w:val="en-GB"/>
        </w:rPr>
        <w:footnoteReference w:id="19"/>
      </w:r>
      <w:r w:rsidR="007A5D1D" w:rsidRPr="00B312EF">
        <w:rPr>
          <w:sz w:val="24"/>
          <w:szCs w:val="24"/>
          <w:lang w:val="en-GB"/>
        </w:rPr>
        <w:t xml:space="preserve"> </w:t>
      </w:r>
      <w:r w:rsidR="000D5F6C">
        <w:rPr>
          <w:sz w:val="24"/>
          <w:szCs w:val="24"/>
          <w:lang w:val="en-GB"/>
        </w:rPr>
        <w:t>and by the way in which the teacher –</w:t>
      </w:r>
      <w:r w:rsidR="003673D8">
        <w:rPr>
          <w:sz w:val="24"/>
          <w:szCs w:val="24"/>
          <w:lang w:val="en-GB"/>
        </w:rPr>
        <w:t xml:space="preserve"> </w:t>
      </w:r>
      <w:r w:rsidR="000D5F6C">
        <w:rPr>
          <w:sz w:val="24"/>
          <w:szCs w:val="24"/>
          <w:lang w:val="en-GB"/>
        </w:rPr>
        <w:t>variational</w:t>
      </w:r>
      <w:r w:rsidR="003673D8">
        <w:rPr>
          <w:sz w:val="24"/>
          <w:szCs w:val="24"/>
          <w:lang w:val="en-GB"/>
        </w:rPr>
        <w:t>ly linking up</w:t>
      </w:r>
      <w:r w:rsidR="000D5F6C">
        <w:rPr>
          <w:sz w:val="24"/>
          <w:szCs w:val="24"/>
          <w:lang w:val="en-GB"/>
        </w:rPr>
        <w:t xml:space="preserve"> </w:t>
      </w:r>
      <w:r w:rsidR="00A0437E">
        <w:rPr>
          <w:sz w:val="24"/>
          <w:szCs w:val="24"/>
          <w:lang w:val="en-GB"/>
        </w:rPr>
        <w:t>with</w:t>
      </w:r>
      <w:r w:rsidR="000D5F6C">
        <w:rPr>
          <w:sz w:val="24"/>
          <w:szCs w:val="24"/>
          <w:lang w:val="en-GB"/>
        </w:rPr>
        <w:t xml:space="preserve"> given </w:t>
      </w:r>
      <w:r w:rsidR="000D5F6C">
        <w:rPr>
          <w:sz w:val="24"/>
          <w:szCs w:val="24"/>
          <w:lang w:val="en-GB"/>
        </w:rPr>
        <w:lastRenderedPageBreak/>
        <w:t xml:space="preserve">philosophical forms of praxis – </w:t>
      </w:r>
      <w:r w:rsidR="00101C1D">
        <w:rPr>
          <w:sz w:val="24"/>
          <w:szCs w:val="24"/>
          <w:lang w:val="en-GB"/>
        </w:rPr>
        <w:t xml:space="preserve">conducts the lesson, the history of philosophy thereby enters into </w:t>
      </w:r>
      <w:r w:rsidR="00101C1D">
        <w:rPr>
          <w:i/>
          <w:iCs/>
          <w:sz w:val="24"/>
          <w:szCs w:val="24"/>
          <w:lang w:val="en-GB"/>
        </w:rPr>
        <w:t>every classroom situation</w:t>
      </w:r>
      <w:r w:rsidR="00101C1D">
        <w:rPr>
          <w:sz w:val="24"/>
          <w:szCs w:val="24"/>
          <w:lang w:val="en-GB"/>
        </w:rPr>
        <w:t xml:space="preserve"> – even when it is entirely invisible to the pupils doing philosophy</w:t>
      </w:r>
      <w:r w:rsidR="007A5D1D" w:rsidRPr="00B312EF">
        <w:rPr>
          <w:sz w:val="24"/>
          <w:szCs w:val="24"/>
          <w:lang w:val="en-GB"/>
        </w:rPr>
        <w:t>.</w:t>
      </w:r>
      <w:r w:rsidR="007A5D1D" w:rsidRPr="00B312EF">
        <w:rPr>
          <w:sz w:val="24"/>
          <w:szCs w:val="24"/>
          <w:vertAlign w:val="superscript"/>
          <w:lang w:val="en-GB"/>
        </w:rPr>
        <w:footnoteReference w:id="20"/>
      </w:r>
      <w:r w:rsidR="007A5D1D" w:rsidRPr="00B312EF">
        <w:rPr>
          <w:sz w:val="24"/>
          <w:szCs w:val="24"/>
          <w:lang w:val="en-GB"/>
        </w:rPr>
        <w:t xml:space="preserve"> </w:t>
      </w:r>
      <w:r w:rsidR="00101C1D">
        <w:rPr>
          <w:sz w:val="24"/>
          <w:szCs w:val="24"/>
          <w:lang w:val="en-GB"/>
        </w:rPr>
        <w:t xml:space="preserve">If we claim that philosophy should happen in the philosophy classroom, then as a consequence of what we have just said, reference to earlier acts of doing philosophy is an essential part of that, to put it briefly. It also follows from what we have said, however, that philosophy teaching and the history of philosophy are not just two </w:t>
      </w:r>
      <w:r w:rsidR="009412B9">
        <w:rPr>
          <w:sz w:val="24"/>
          <w:szCs w:val="24"/>
          <w:lang w:val="en-GB"/>
        </w:rPr>
        <w:t>structurally</w:t>
      </w:r>
      <w:r w:rsidR="00101C1D">
        <w:rPr>
          <w:sz w:val="24"/>
          <w:szCs w:val="24"/>
          <w:lang w:val="en-GB"/>
        </w:rPr>
        <w:t xml:space="preserve"> analogous plays of variation but </w:t>
      </w:r>
      <w:r w:rsidR="00101C1D">
        <w:rPr>
          <w:i/>
          <w:iCs/>
          <w:sz w:val="24"/>
          <w:szCs w:val="24"/>
          <w:lang w:val="en-GB"/>
        </w:rPr>
        <w:t>one and the same</w:t>
      </w:r>
      <w:r w:rsidR="00101C1D">
        <w:rPr>
          <w:sz w:val="24"/>
          <w:szCs w:val="24"/>
          <w:lang w:val="en-GB"/>
        </w:rPr>
        <w:t>.</w:t>
      </w:r>
    </w:p>
    <w:p w14:paraId="4A9CF80A" w14:textId="41512194" w:rsidR="007A5D1D" w:rsidRPr="00B312EF" w:rsidRDefault="007A5D1D" w:rsidP="007A5D1D">
      <w:pPr>
        <w:pStyle w:val="Flietext"/>
        <w:tabs>
          <w:tab w:val="clear" w:pos="8640"/>
          <w:tab w:val="left" w:pos="8520"/>
        </w:tabs>
        <w:rPr>
          <w:b/>
          <w:bCs/>
          <w:i/>
          <w:iCs/>
          <w:sz w:val="24"/>
          <w:szCs w:val="24"/>
          <w:lang w:val="en-GB"/>
        </w:rPr>
      </w:pPr>
      <w:r w:rsidRPr="00B312EF">
        <w:rPr>
          <w:b/>
          <w:bCs/>
          <w:sz w:val="24"/>
          <w:szCs w:val="24"/>
          <w:lang w:val="en-GB"/>
        </w:rPr>
        <w:t>4.4. O</w:t>
      </w:r>
      <w:r w:rsidR="00073F84">
        <w:rPr>
          <w:b/>
          <w:bCs/>
          <w:sz w:val="24"/>
          <w:szCs w:val="24"/>
          <w:lang w:val="en-GB"/>
        </w:rPr>
        <w:t>pen Questions</w:t>
      </w:r>
    </w:p>
    <w:p w14:paraId="02E47AD8" w14:textId="280460AA" w:rsidR="007A5D1D" w:rsidRPr="00B312EF" w:rsidRDefault="00073F84"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Another reason that </w:t>
      </w:r>
      <w:r w:rsidR="007A5D1D" w:rsidRPr="00B312EF">
        <w:rPr>
          <w:lang w:val="en-GB"/>
          <w14:textOutline w14:w="12700" w14:cap="flat" w14:cmpd="sng" w14:algn="ctr">
            <w14:noFill/>
            <w14:prstDash w14:val="solid"/>
            <w14:miter w14:lim="400000"/>
          </w14:textOutline>
        </w:rPr>
        <w:t>Assmann</w:t>
      </w:r>
      <w:r>
        <w:rPr>
          <w:lang w:val="en-GB"/>
          <w14:textOutline w14:w="12700" w14:cap="flat" w14:cmpd="sng" w14:algn="ctr">
            <w14:noFill/>
            <w14:prstDash w14:val="solid"/>
            <w14:miter w14:lim="400000"/>
          </w14:textOutline>
        </w:rPr>
        <w:t>’</w:t>
      </w:r>
      <w:r w:rsidR="007A5D1D" w:rsidRPr="00B312EF">
        <w:rPr>
          <w:lang w:val="en-GB"/>
          <w14:textOutline w14:w="12700" w14:cap="flat" w14:cmpd="sng" w14:algn="ctr">
            <w14:noFill/>
            <w14:prstDash w14:val="solid"/>
            <w14:miter w14:lim="400000"/>
          </w14:textOutline>
        </w:rPr>
        <w:t>s</w:t>
      </w:r>
      <w:r>
        <w:rPr>
          <w:lang w:val="en-GB"/>
          <w14:textOutline w14:w="12700" w14:cap="flat" w14:cmpd="sng" w14:algn="ctr">
            <w14:noFill/>
            <w14:prstDash w14:val="solid"/>
            <w14:miter w14:lim="400000"/>
          </w14:textOutline>
        </w:rPr>
        <w:t xml:space="preserve"> theory is of interest for philosophy education is that it does not claim to offer an independent philosophical proposal within the discourse f</w:t>
      </w:r>
      <w:r w:rsidR="00F337B3">
        <w:rPr>
          <w:lang w:val="en-GB"/>
          <w14:textOutline w14:w="12700" w14:cap="flat" w14:cmpd="sng" w14:algn="ctr">
            <w14:noFill/>
            <w14:prstDash w14:val="solid"/>
            <w14:miter w14:lim="400000"/>
          </w14:textOutline>
        </w:rPr>
        <w:t>ie</w:t>
      </w:r>
      <w:r>
        <w:rPr>
          <w:lang w:val="en-GB"/>
          <w14:textOutline w14:w="12700" w14:cap="flat" w14:cmpd="sng" w14:algn="ctr">
            <w14:noFill/>
            <w14:prstDash w14:val="solid"/>
            <w14:miter w14:lim="400000"/>
          </w14:textOutline>
        </w:rPr>
        <w:t xml:space="preserve">ld of the philosophy of the history of philosophy and is also not primarily interested in philosophical content and ideas but is instead dedicated, as a descriptive and reconstructive theory in the field of cultural studies, to philosophy as a historically developed cultural </w:t>
      </w:r>
      <w:r>
        <w:rPr>
          <w:i/>
          <w:iCs/>
          <w:lang w:val="en-GB"/>
          <w14:textOutline w14:w="12700" w14:cap="flat" w14:cmpd="sng" w14:algn="ctr">
            <w14:noFill/>
            <w14:prstDash w14:val="solid"/>
            <w14:miter w14:lim="400000"/>
          </w14:textOutline>
        </w:rPr>
        <w:t>form of praxis</w:t>
      </w:r>
      <w:r>
        <w:rPr>
          <w:lang w:val="en-GB"/>
          <w14:textOutline w14:w="12700" w14:cap="flat" w14:cmpd="sng" w14:algn="ctr">
            <w14:noFill/>
            <w14:prstDash w14:val="solid"/>
            <w14:miter w14:lim="400000"/>
          </w14:textOutline>
        </w:rPr>
        <w:t xml:space="preserve">. It consequently has the advantage, compared to genuinely philosophical theoretical approaches, that it operates with weaker philosophical </w:t>
      </w:r>
      <w:r w:rsidR="00C96047">
        <w:rPr>
          <w:lang w:val="en-GB"/>
          <w14:textOutline w14:w="12700" w14:cap="flat" w14:cmpd="sng" w14:algn="ctr">
            <w14:noFill/>
            <w14:prstDash w14:val="solid"/>
            <w14:miter w14:lim="400000"/>
          </w14:textOutline>
        </w:rPr>
        <w:t>framework</w:t>
      </w:r>
      <w:r>
        <w:rPr>
          <w:lang w:val="en-GB"/>
          <w14:textOutline w14:w="12700" w14:cap="flat" w14:cmpd="sng" w14:algn="ctr">
            <w14:noFill/>
            <w14:prstDash w14:val="solid"/>
            <w14:miter w14:lim="400000"/>
          </w14:textOutline>
        </w:rPr>
        <w:t xml:space="preserve"> assumptions than, for example, Hegel or eternalism do</w:t>
      </w:r>
      <w:r w:rsidR="007A5D1D" w:rsidRPr="00B312EF">
        <w:rPr>
          <w:lang w:val="en-GB"/>
          <w14:textOutline w14:w="12700" w14:cap="flat" w14:cmpd="sng" w14:algn="ctr">
            <w14:noFill/>
            <w14:prstDash w14:val="solid"/>
            <w14:miter w14:lim="400000"/>
          </w14:textOutline>
        </w:rPr>
        <w:t>.</w:t>
      </w:r>
    </w:p>
    <w:p w14:paraId="12495077" w14:textId="60681DE9" w:rsidR="007A5D1D" w:rsidRPr="00B312EF" w:rsidRDefault="00073F84"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lang w:val="en-GB"/>
          <w14:textOutline w14:w="12700" w14:cap="flat" w14:cmpd="sng" w14:algn="ctr">
            <w14:noFill/>
            <w14:prstDash w14:val="solid"/>
            <w14:miter w14:lim="400000"/>
          </w14:textOutline>
        </w:rPr>
      </w:pPr>
      <w:r>
        <w:rPr>
          <w:lang w:val="en-GB"/>
          <w14:textOutline w14:w="12700" w14:cap="flat" w14:cmpd="sng" w14:algn="ctr">
            <w14:noFill/>
            <w14:prstDash w14:val="solid"/>
            <w14:miter w14:lim="400000"/>
          </w14:textOutline>
        </w:rPr>
        <w:t xml:space="preserve">The price for this, however, is that what doing philosophy consists of is still underdetermined by the concept of variation, and it remains so even if, like Assmann, we take the </w:t>
      </w:r>
      <w:r w:rsidR="004C2447">
        <w:rPr>
          <w:lang w:val="en-GB"/>
          <w14:textOutline w14:w="12700" w14:cap="flat" w14:cmpd="sng" w14:algn="ctr">
            <w14:noFill/>
            <w14:prstDash w14:val="solid"/>
            <w14:miter w14:lim="400000"/>
          </w14:textOutline>
        </w:rPr>
        <w:t xml:space="preserve">reference to truth or </w:t>
      </w:r>
      <w:r w:rsidR="0047299F">
        <w:rPr>
          <w:lang w:val="en-GB"/>
          <w14:textOutline w14:w="12700" w14:cap="flat" w14:cmpd="sng" w14:algn="ctr">
            <w14:noFill/>
            <w14:prstDash w14:val="solid"/>
            <w14:miter w14:lim="400000"/>
          </w14:textOutline>
        </w:rPr>
        <w:t>to the subject matter</w:t>
      </w:r>
      <w:r w:rsidR="004C2447">
        <w:rPr>
          <w:lang w:val="en-GB"/>
          <w14:textOutline w14:w="12700" w14:cap="flat" w14:cmpd="sng" w14:algn="ctr">
            <w14:noFill/>
            <w14:prstDash w14:val="solid"/>
            <w14:miter w14:lim="400000"/>
          </w14:textOutline>
        </w:rPr>
        <w:t xml:space="preserve"> as constitutive of philosophy, along with the reference to a previous speaker. On a closer look, it also appears that with his concept of progressive variation, which he explains as an advance toward a truth that is </w:t>
      </w:r>
      <w:r w:rsidR="007A5D1D" w:rsidRPr="00457CC6">
        <w:rPr>
          <w:noProof/>
          <w:highlight w:val="green"/>
          <w14:textOutline w14:w="12700" w14:cap="flat" w14:cmpd="sng" w14:algn="ctr">
            <w14:noFill/>
            <w14:prstDash w14:val="solid"/>
            <w14:miter w14:lim="400000"/>
          </w14:textOutline>
        </w:rPr>
        <w:t>„immer nur annäherungsweise“</w:t>
      </w:r>
      <w:r w:rsidR="007A5D1D" w:rsidRPr="00B312EF">
        <w:rPr>
          <w:lang w:val="en-GB"/>
          <w14:textOutline w14:w="12700" w14:cap="flat" w14:cmpd="sng" w14:algn="ctr">
            <w14:noFill/>
            <w14:prstDash w14:val="solid"/>
            <w14:miter w14:lim="400000"/>
          </w14:textOutline>
        </w:rPr>
        <w:t xml:space="preserve"> </w:t>
      </w:r>
      <w:r w:rsidR="00F337B3">
        <w:rPr>
          <w:lang w:val="en-GB"/>
          <w14:textOutline w14:w="12700" w14:cap="flat" w14:cmpd="sng" w14:algn="ctr">
            <w14:noFill/>
            <w14:prstDash w14:val="solid"/>
            <w14:miter w14:lim="400000"/>
          </w14:textOutline>
        </w:rPr>
        <w:t>attainable</w:t>
      </w:r>
      <w:r w:rsidR="004C2447">
        <w:rPr>
          <w:lang w:val="en-GB"/>
          <w14:textOutline w14:w="12700" w14:cap="flat" w14:cmpd="sng" w14:algn="ctr">
            <w14:noFill/>
            <w14:prstDash w14:val="solid"/>
            <w14:miter w14:lim="400000"/>
          </w14:textOutline>
        </w:rPr>
        <w:t>, Assmann implicitly continues to uphold the paradigm of continuous forward movement toward a transcendental and superhistorical ultimate goal, even if that goal is as such unknowable</w:t>
      </w:r>
      <w:r w:rsidR="007A5D1D" w:rsidRPr="00B312EF">
        <w:rPr>
          <w:lang w:val="en-GB"/>
          <w14:textOutline w14:w="12700" w14:cap="flat" w14:cmpd="sng" w14:algn="ctr">
            <w14:noFill/>
            <w14:prstDash w14:val="solid"/>
            <w14:miter w14:lim="400000"/>
          </w14:textOutline>
        </w:rPr>
        <w:t>.</w:t>
      </w:r>
      <w:r w:rsidR="007A5D1D" w:rsidRPr="00B312EF">
        <w:rPr>
          <w:vertAlign w:val="superscript"/>
          <w:lang w:val="en-GB"/>
          <w14:textOutline w14:w="12700" w14:cap="flat" w14:cmpd="sng" w14:algn="ctr">
            <w14:noFill/>
            <w14:prstDash w14:val="solid"/>
            <w14:miter w14:lim="400000"/>
          </w14:textOutline>
        </w:rPr>
        <w:footnoteReference w:id="21"/>
      </w:r>
      <w:r w:rsidR="007A5D1D" w:rsidRPr="00B312EF">
        <w:rPr>
          <w:lang w:val="en-GB"/>
          <w14:textOutline w14:w="12700" w14:cap="flat" w14:cmpd="sng" w14:algn="ctr">
            <w14:noFill/>
            <w14:prstDash w14:val="solid"/>
            <w14:miter w14:lim="400000"/>
          </w14:textOutline>
        </w:rPr>
        <w:t xml:space="preserve"> </w:t>
      </w:r>
      <w:r w:rsidR="004C2447">
        <w:rPr>
          <w:lang w:val="en-GB"/>
          <w14:textOutline w14:w="12700" w14:cap="flat" w14:cmpd="sng" w14:algn="ctr">
            <w14:noFill/>
            <w14:prstDash w14:val="solid"/>
            <w14:miter w14:lim="400000"/>
          </w14:textOutline>
        </w:rPr>
        <w:t xml:space="preserve">An understanding of doing philosophy as composing </w:t>
      </w:r>
      <w:r w:rsidR="004C2447">
        <w:rPr>
          <w:lang w:val="en-GB"/>
          <w14:textOutline w14:w="12700" w14:cap="flat" w14:cmpd="sng" w14:algn="ctr">
            <w14:noFill/>
            <w14:prstDash w14:val="solid"/>
            <w14:miter w14:lim="400000"/>
          </w14:textOutline>
        </w:rPr>
        <w:lastRenderedPageBreak/>
        <w:t xml:space="preserve">variations should indeed be capable of </w:t>
      </w:r>
      <w:r w:rsidR="004C2447" w:rsidRPr="00594137">
        <w:rPr>
          <w:i/>
          <w:iCs/>
          <w:lang w:val="en-GB"/>
          <w14:textOutline w14:w="12700" w14:cap="flat" w14:cmpd="sng" w14:algn="ctr">
            <w14:noFill/>
            <w14:prstDash w14:val="solid"/>
            <w14:miter w14:lim="400000"/>
          </w14:textOutline>
        </w:rPr>
        <w:t xml:space="preserve">being made </w:t>
      </w:r>
      <w:r w:rsidR="004C2447">
        <w:rPr>
          <w:i/>
          <w:iCs/>
          <w:lang w:val="en-GB"/>
          <w14:textOutline w14:w="12700" w14:cap="flat" w14:cmpd="sng" w14:algn="ctr">
            <w14:noFill/>
            <w14:prstDash w14:val="solid"/>
            <w14:miter w14:lim="400000"/>
          </w14:textOutline>
        </w:rPr>
        <w:t>concrete</w:t>
      </w:r>
      <w:r w:rsidR="004C2447">
        <w:rPr>
          <w:lang w:val="en-GB"/>
          <w14:textOutline w14:w="12700" w14:cap="flat" w14:cmpd="sng" w14:algn="ctr">
            <w14:noFill/>
            <w14:prstDash w14:val="solid"/>
            <w14:miter w14:lim="400000"/>
          </w14:textOutline>
        </w:rPr>
        <w:t xml:space="preserve"> in the form of a teleological conception of the history of philosophy, but</w:t>
      </w:r>
      <w:r w:rsidR="00AA3BC1">
        <w:rPr>
          <w:lang w:val="en-GB"/>
          <w14:textOutline w14:w="12700" w14:cap="flat" w14:cmpd="sng" w14:algn="ctr">
            <w14:noFill/>
            <w14:prstDash w14:val="solid"/>
            <w14:miter w14:lim="400000"/>
          </w14:textOutline>
        </w:rPr>
        <w:t xml:space="preserve"> it should not itself presuppose such a conception</w:t>
      </w:r>
      <w:r w:rsidR="007A5D1D" w:rsidRPr="00B312EF">
        <w:rPr>
          <w:lang w:val="en-GB"/>
        </w:rPr>
        <w:t>.</w:t>
      </w:r>
    </w:p>
    <w:p w14:paraId="21A0AE37" w14:textId="0513FDFD" w:rsidR="007A5D1D" w:rsidRPr="00B312EF" w:rsidRDefault="00AA3BC1" w:rsidP="007A5D1D">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uppressAutoHyphens/>
        <w:spacing w:after="120" w:line="360" w:lineRule="auto"/>
        <w:jc w:val="both"/>
        <w:rPr>
          <w:lang w:val="en-GB"/>
        </w:rPr>
      </w:pPr>
      <w:r>
        <w:rPr>
          <w:lang w:val="en-GB"/>
          <w14:textOutline w14:w="12700" w14:cap="flat" w14:cmpd="sng" w14:algn="ctr">
            <w14:noFill/>
            <w14:prstDash w14:val="solid"/>
            <w14:miter w14:lim="400000"/>
          </w14:textOutline>
        </w:rPr>
        <w:t>In order to address this underdetermination, we will now turn to Hans Blumenberg’s philosophy of history, which offers a concrete example (as one possibility among others) of what Assmann as a cultural historian diagnoses in general term</w:t>
      </w:r>
      <w:r w:rsidR="00D26A9A">
        <w:rPr>
          <w:lang w:val="en-GB"/>
          <w14:textOutline w14:w="12700" w14:cap="flat" w14:cmpd="sng" w14:algn="ctr">
            <w14:noFill/>
            <w14:prstDash w14:val="solid"/>
            <w14:miter w14:lim="400000"/>
          </w14:textOutline>
        </w:rPr>
        <w:t>s</w:t>
      </w:r>
      <w:r>
        <w:rPr>
          <w:lang w:val="en-GB"/>
          <w14:textOutline w14:w="12700" w14:cap="flat" w14:cmpd="sng" w14:algn="ctr">
            <w14:noFill/>
            <w14:prstDash w14:val="solid"/>
            <w14:miter w14:lim="400000"/>
          </w14:textOutline>
        </w:rPr>
        <w:t>. Our aim is not, we wish to emphasize, to recommend Blumenberg’s philosop</w:t>
      </w:r>
      <w:r w:rsidR="00594137">
        <w:rPr>
          <w:lang w:val="en-GB"/>
          <w14:textOutline w14:w="12700" w14:cap="flat" w14:cmpd="sng" w14:algn="ctr">
            <w14:noFill/>
            <w14:prstDash w14:val="solid"/>
            <w14:miter w14:lim="400000"/>
          </w14:textOutline>
        </w:rPr>
        <w:t>h</w:t>
      </w:r>
      <w:r>
        <w:rPr>
          <w:lang w:val="en-GB"/>
          <w14:textOutline w14:w="12700" w14:cap="flat" w14:cmpd="sng" w14:algn="ctr">
            <w14:noFill/>
            <w14:prstDash w14:val="solid"/>
            <w14:miter w14:lim="400000"/>
          </w14:textOutline>
        </w:rPr>
        <w:t xml:space="preserve">y of history as </w:t>
      </w:r>
      <w:r>
        <w:rPr>
          <w:i/>
          <w:iCs/>
          <w:lang w:val="en-GB"/>
          <w14:textOutline w14:w="12700" w14:cap="flat" w14:cmpd="sng" w14:algn="ctr">
            <w14:noFill/>
            <w14:prstDash w14:val="solid"/>
            <w14:miter w14:lim="400000"/>
          </w14:textOutline>
        </w:rPr>
        <w:t>the</w:t>
      </w:r>
      <w:r>
        <w:rPr>
          <w:lang w:val="en-GB"/>
          <w14:textOutline w14:w="12700" w14:cap="flat" w14:cmpd="sng" w14:algn="ctr">
            <w14:noFill/>
            <w14:prstDash w14:val="solid"/>
            <w14:miter w14:lim="400000"/>
          </w14:textOutline>
        </w:rPr>
        <w:t xml:space="preserve"> reference theory for philosophy education. All the same, Blum</w:t>
      </w:r>
      <w:r w:rsidR="00594137">
        <w:rPr>
          <w:lang w:val="en-GB"/>
          <w14:textOutline w14:w="12700" w14:cap="flat" w14:cmpd="sng" w14:algn="ctr">
            <w14:noFill/>
            <w14:prstDash w14:val="solid"/>
            <w14:miter w14:lim="400000"/>
          </w14:textOutline>
        </w:rPr>
        <w:t>en</w:t>
      </w:r>
      <w:r>
        <w:rPr>
          <w:lang w:val="en-GB"/>
          <w14:textOutline w14:w="12700" w14:cap="flat" w14:cmpd="sng" w14:algn="ctr">
            <w14:noFill/>
            <w14:prstDash w14:val="solid"/>
            <w14:miter w14:lim="400000"/>
          </w14:textOutline>
        </w:rPr>
        <w:t xml:space="preserve">berg’s reflections on the history of philosophy and his own way of doing philosophy are an especially suitable reference for our purposes for three reasons. </w:t>
      </w:r>
      <w:r>
        <w:rPr>
          <w:i/>
          <w:iCs/>
          <w:lang w:val="en-GB"/>
          <w14:textOutline w14:w="12700" w14:cap="flat" w14:cmpd="sng" w14:algn="ctr">
            <w14:noFill/>
            <w14:prstDash w14:val="solid"/>
            <w14:miter w14:lim="400000"/>
          </w14:textOutline>
        </w:rPr>
        <w:t>First</w:t>
      </w:r>
      <w:r>
        <w:rPr>
          <w:lang w:val="en-GB"/>
          <w14:textOutline w14:w="12700" w14:cap="flat" w14:cmpd="sng" w14:algn="ctr">
            <w14:noFill/>
            <w14:prstDash w14:val="solid"/>
            <w14:miter w14:lim="400000"/>
          </w14:textOutline>
        </w:rPr>
        <w:t xml:space="preserve">, a Blumenberg-inspired model of variation enables us to avoid falling back into a model of history as continual progress, without becoming trapped on the other hand in a relativistic view of history (or the history of philosophy) as an endless series of entirely arbitrary variations </w:t>
      </w:r>
      <w:r w:rsidR="00F84283">
        <w:rPr>
          <w:lang w:val="en-GB"/>
          <w14:textOutline w14:w="12700" w14:cap="flat" w14:cmpd="sng" w14:algn="ctr">
            <w14:noFill/>
            <w14:prstDash w14:val="solid"/>
            <w14:miter w14:lim="400000"/>
          </w14:textOutline>
        </w:rPr>
        <w:t xml:space="preserve">that lack foundation, goal, and any truly philosophical </w:t>
      </w:r>
      <w:r w:rsidR="007B75B1">
        <w:rPr>
          <w:lang w:val="en-GB"/>
          <w14:textOutline w14:w="12700" w14:cap="flat" w14:cmpd="sng" w14:algn="ctr">
            <w14:noFill/>
            <w14:prstDash w14:val="solid"/>
            <w14:miter w14:lim="400000"/>
          </w14:textOutline>
        </w:rPr>
        <w:t>standard</w:t>
      </w:r>
      <w:r w:rsidR="00F84283">
        <w:rPr>
          <w:lang w:val="en-GB"/>
          <w14:textOutline w14:w="12700" w14:cap="flat" w14:cmpd="sng" w14:algn="ctr">
            <w14:noFill/>
            <w14:prstDash w14:val="solid"/>
            <w14:miter w14:lim="400000"/>
          </w14:textOutline>
        </w:rPr>
        <w:t xml:space="preserve"> of quality. </w:t>
      </w:r>
      <w:r w:rsidR="00F84283">
        <w:rPr>
          <w:i/>
          <w:iCs/>
          <w:lang w:val="en-GB"/>
          <w14:textOutline w14:w="12700" w14:cap="flat" w14:cmpd="sng" w14:algn="ctr">
            <w14:noFill/>
            <w14:prstDash w14:val="solid"/>
            <w14:miter w14:lim="400000"/>
          </w14:textOutline>
        </w:rPr>
        <w:t>Second</w:t>
      </w:r>
      <w:r w:rsidR="00F84283">
        <w:rPr>
          <w:lang w:val="en-GB"/>
          <w14:textOutline w14:w="12700" w14:cap="flat" w14:cmpd="sng" w14:algn="ctr">
            <w14:noFill/>
            <w14:prstDash w14:val="solid"/>
            <w14:miter w14:lim="400000"/>
          </w14:textOutline>
        </w:rPr>
        <w:t>, Blumenberg engages in metaphilosophical reflection on the variational structure of the history of philosophy and develops it in his research in a way that makes a</w:t>
      </w:r>
      <w:r w:rsidR="007B75B1">
        <w:rPr>
          <w:lang w:val="en-GB"/>
          <w14:textOutline w14:w="12700" w14:cap="flat" w14:cmpd="sng" w14:algn="ctr">
            <w14:noFill/>
            <w14:prstDash w14:val="solid"/>
            <w14:miter w14:lim="400000"/>
          </w14:textOutline>
        </w:rPr>
        <w:t xml:space="preserve"> striking</w:t>
      </w:r>
      <w:r w:rsidR="00F84283">
        <w:rPr>
          <w:lang w:val="en-GB"/>
          <w14:textOutline w14:w="12700" w14:cap="flat" w14:cmpd="sng" w14:algn="ctr">
            <w14:noFill/>
            <w14:prstDash w14:val="solid"/>
            <w14:miter w14:lim="400000"/>
          </w14:textOutline>
        </w:rPr>
        <w:t xml:space="preserve"> impression on the reader. </w:t>
      </w:r>
      <w:r w:rsidR="00F84283">
        <w:rPr>
          <w:i/>
          <w:iCs/>
          <w:lang w:val="en-GB"/>
          <w14:textOutline w14:w="12700" w14:cap="flat" w14:cmpd="sng" w14:algn="ctr">
            <w14:noFill/>
            <w14:prstDash w14:val="solid"/>
            <w14:miter w14:lim="400000"/>
          </w14:textOutline>
        </w:rPr>
        <w:t>Third</w:t>
      </w:r>
      <w:r w:rsidR="00F84283">
        <w:rPr>
          <w:lang w:val="en-GB"/>
          <w14:textOutline w14:w="12700" w14:cap="flat" w14:cmpd="sng" w14:algn="ctr">
            <w14:noFill/>
            <w14:prstDash w14:val="solid"/>
            <w14:miter w14:lim="400000"/>
          </w14:textOutline>
        </w:rPr>
        <w:t xml:space="preserve">, and not least, his own activity of doing philosophy can therefore serve as an especially suggestive example of the unity of doing philosophy and the </w:t>
      </w:r>
      <w:r w:rsidR="00FE37A2">
        <w:rPr>
          <w:lang w:val="en-GB"/>
          <w14:textOutline w14:w="12700" w14:cap="flat" w14:cmpd="sng" w14:algn="ctr">
            <w14:noFill/>
            <w14:prstDash w14:val="solid"/>
            <w14:miter w14:lim="400000"/>
          </w14:textOutline>
        </w:rPr>
        <w:t xml:space="preserve">history of </w:t>
      </w:r>
      <w:r w:rsidR="00F84283">
        <w:rPr>
          <w:lang w:val="en-GB"/>
          <w14:textOutline w14:w="12700" w14:cap="flat" w14:cmpd="sng" w14:algn="ctr">
            <w14:noFill/>
            <w14:prstDash w14:val="solid"/>
            <w14:miter w14:lim="400000"/>
          </w14:textOutline>
        </w:rPr>
        <w:t>philosophy.</w:t>
      </w:r>
    </w:p>
    <w:p w14:paraId="2C483B50" w14:textId="2A775EE7" w:rsidR="007A5D1D" w:rsidRPr="00B312EF" w:rsidRDefault="007A5D1D" w:rsidP="007A5D1D">
      <w:pPr>
        <w:pStyle w:val="Flietext"/>
        <w:tabs>
          <w:tab w:val="clear" w:pos="8640"/>
          <w:tab w:val="left" w:pos="8520"/>
        </w:tabs>
        <w:rPr>
          <w:lang w:val="en-GB"/>
        </w:rPr>
      </w:pPr>
      <w:r w:rsidRPr="00B312EF">
        <w:rPr>
          <w:b/>
          <w:bCs/>
          <w:i/>
          <w:iCs/>
          <w:sz w:val="24"/>
          <w:szCs w:val="24"/>
          <w:lang w:val="en-GB"/>
        </w:rPr>
        <w:t>5</w:t>
      </w:r>
      <w:r w:rsidRPr="00B312EF">
        <w:rPr>
          <w:b/>
          <w:bCs/>
          <w:sz w:val="24"/>
          <w:szCs w:val="24"/>
          <w:lang w:val="en-GB"/>
        </w:rPr>
        <w:t xml:space="preserve">. </w:t>
      </w:r>
      <w:r w:rsidR="00F253DB">
        <w:rPr>
          <w:b/>
          <w:bCs/>
          <w:sz w:val="24"/>
          <w:szCs w:val="24"/>
          <w:lang w:val="en-GB"/>
        </w:rPr>
        <w:t>Doing Philosophy as Composing Variations in</w:t>
      </w:r>
      <w:r w:rsidRPr="00B312EF">
        <w:rPr>
          <w:b/>
          <w:bCs/>
          <w:sz w:val="24"/>
          <w:szCs w:val="24"/>
          <w:lang w:val="en-GB"/>
        </w:rPr>
        <w:t xml:space="preserve"> Blumenberg</w:t>
      </w:r>
    </w:p>
    <w:p w14:paraId="6A1842E7" w14:textId="5ACBC6A2" w:rsidR="007A5D1D" w:rsidRPr="00B312E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b/>
          <w:bCs/>
          <w:lang w:val="en-GB"/>
        </w:rPr>
      </w:pPr>
      <w:r w:rsidRPr="00B312EF">
        <w:rPr>
          <w:rFonts w:ascii="Times New Roman" w:hAnsi="Times New Roman"/>
          <w:b/>
          <w:bCs/>
          <w:lang w:val="en-GB"/>
        </w:rPr>
        <w:t xml:space="preserve">5. 1. </w:t>
      </w:r>
      <w:r w:rsidR="00F253DB">
        <w:rPr>
          <w:rFonts w:ascii="Times New Roman" w:hAnsi="Times New Roman"/>
          <w:b/>
          <w:bCs/>
          <w:lang w:val="en-GB"/>
        </w:rPr>
        <w:t>Blumenberg’s Critique of an Idealist Model of History and His Own Approach</w:t>
      </w:r>
    </w:p>
    <w:p w14:paraId="3FCB85C3" w14:textId="463C24DD" w:rsidR="007A5D1D" w:rsidRPr="00B312E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sidRPr="00B312EF">
        <w:rPr>
          <w:rFonts w:ascii="Times New Roman" w:hAnsi="Times New Roman"/>
          <w:lang w:val="en-GB"/>
        </w:rPr>
        <w:t>Blumenberg</w:t>
      </w:r>
      <w:r w:rsidR="00F253DB">
        <w:rPr>
          <w:rFonts w:ascii="Times New Roman" w:hAnsi="Times New Roman"/>
          <w:lang w:val="en-GB"/>
        </w:rPr>
        <w:t xml:space="preserve">’s own approach is developed in critical </w:t>
      </w:r>
      <w:r w:rsidR="009412B9">
        <w:rPr>
          <w:rFonts w:ascii="Times New Roman" w:hAnsi="Times New Roman"/>
          <w:lang w:val="en-GB"/>
        </w:rPr>
        <w:t>engagement</w:t>
      </w:r>
      <w:r w:rsidR="00F253DB">
        <w:rPr>
          <w:rFonts w:ascii="Times New Roman" w:hAnsi="Times New Roman"/>
          <w:lang w:val="en-GB"/>
        </w:rPr>
        <w:t xml:space="preserve"> with </w:t>
      </w:r>
      <w:r w:rsidRPr="00B312EF">
        <w:rPr>
          <w:rFonts w:ascii="Times New Roman" w:hAnsi="Times New Roman"/>
          <w:lang w:val="en-GB"/>
        </w:rPr>
        <w:t>Edmund Husserl</w:t>
      </w:r>
      <w:r w:rsidR="00F253DB">
        <w:rPr>
          <w:rFonts w:ascii="Times New Roman" w:hAnsi="Times New Roman"/>
          <w:lang w:val="en-GB"/>
        </w:rPr>
        <w:t>’</w:t>
      </w:r>
      <w:r w:rsidRPr="00B312EF">
        <w:rPr>
          <w:rFonts w:ascii="Times New Roman" w:hAnsi="Times New Roman"/>
          <w:lang w:val="en-GB"/>
        </w:rPr>
        <w:t xml:space="preserve">s </w:t>
      </w:r>
      <w:r w:rsidR="00F253DB">
        <w:rPr>
          <w:rFonts w:ascii="Times New Roman" w:hAnsi="Times New Roman"/>
          <w:lang w:val="en-GB"/>
        </w:rPr>
        <w:t xml:space="preserve">philosophy of history. </w:t>
      </w:r>
      <w:r w:rsidR="00594137">
        <w:rPr>
          <w:rFonts w:ascii="Times New Roman" w:hAnsi="Times New Roman"/>
          <w:lang w:val="en-GB"/>
        </w:rPr>
        <w:t>W</w:t>
      </w:r>
      <w:r w:rsidR="00594137">
        <w:rPr>
          <w:rFonts w:ascii="Times New Roman" w:hAnsi="Times New Roman"/>
          <w:lang w:val="en-GB"/>
        </w:rPr>
        <w:t>ith an Enlightenment style and an idealist model of history not dissimilar to Hegel’s</w:t>
      </w:r>
      <w:r w:rsidR="00594137">
        <w:rPr>
          <w:rFonts w:ascii="Times New Roman" w:hAnsi="Times New Roman"/>
          <w:lang w:val="en-GB"/>
        </w:rPr>
        <w:t xml:space="preserve">, </w:t>
      </w:r>
      <w:r w:rsidR="00F253DB">
        <w:rPr>
          <w:rFonts w:ascii="Times New Roman" w:hAnsi="Times New Roman"/>
          <w:lang w:val="en-GB"/>
        </w:rPr>
        <w:t>Husserl respond</w:t>
      </w:r>
      <w:r w:rsidR="00594137">
        <w:rPr>
          <w:rFonts w:ascii="Times New Roman" w:hAnsi="Times New Roman"/>
          <w:lang w:val="en-GB"/>
        </w:rPr>
        <w:t>ed</w:t>
      </w:r>
      <w:r w:rsidR="00F253DB">
        <w:rPr>
          <w:rFonts w:ascii="Times New Roman" w:hAnsi="Times New Roman"/>
          <w:lang w:val="en-GB"/>
        </w:rPr>
        <w:t xml:space="preserve"> to the modern age’s increasingly pressing recognition of the contingency of history and its own historicity by emphatic resort to a timelessly valid meaning prescribed by reason, as well as by resort to the caprices of individual philosophers, </w:t>
      </w:r>
      <w:r w:rsidR="00F253DB">
        <w:rPr>
          <w:rFonts w:ascii="Times New Roman" w:hAnsi="Times New Roman"/>
          <w:lang w:val="en-GB"/>
        </w:rPr>
        <w:lastRenderedPageBreak/>
        <w:t>whose task it is to realize this primordially preexisting unified meaning of reason</w:t>
      </w:r>
      <w:r w:rsidRPr="00B312EF">
        <w:rPr>
          <w:rFonts w:ascii="Times New Roman" w:hAnsi="Times New Roman"/>
          <w:lang w:val="en-GB"/>
        </w:rPr>
        <w:t>.</w:t>
      </w:r>
      <w:r w:rsidRPr="00B312EF">
        <w:rPr>
          <w:rFonts w:ascii="Times New Roman" w:eastAsia="Times New Roman" w:hAnsi="Times New Roman" w:cs="Times New Roman"/>
          <w:vertAlign w:val="superscript"/>
          <w:lang w:val="en-GB"/>
        </w:rPr>
        <w:footnoteReference w:id="22"/>
      </w:r>
      <w:r w:rsidRPr="00B312EF">
        <w:rPr>
          <w:rFonts w:ascii="Times New Roman" w:hAnsi="Times New Roman"/>
          <w:lang w:val="en-GB"/>
        </w:rPr>
        <w:t xml:space="preserve"> Blumenberg</w:t>
      </w:r>
      <w:r w:rsidR="00F253DB">
        <w:rPr>
          <w:rFonts w:ascii="Times New Roman" w:hAnsi="Times New Roman"/>
          <w:lang w:val="en-GB"/>
        </w:rPr>
        <w:t xml:space="preserve">’s concern in his phenomenology of history, on the other hand, is first of all to understand the </w:t>
      </w:r>
      <w:r w:rsidR="00F253DB">
        <w:rPr>
          <w:rFonts w:ascii="Times New Roman" w:hAnsi="Times New Roman"/>
          <w:i/>
          <w:iCs/>
          <w:lang w:val="en-GB"/>
        </w:rPr>
        <w:t>historicity of history</w:t>
      </w:r>
      <w:r w:rsidR="00F253DB">
        <w:rPr>
          <w:rFonts w:ascii="Times New Roman" w:hAnsi="Times New Roman"/>
          <w:lang w:val="en-GB"/>
        </w:rPr>
        <w:t xml:space="preserve"> – that is, to understand how the historical comes to appear in the first place, how it can be made</w:t>
      </w:r>
      <w:r w:rsidR="00860A13">
        <w:rPr>
          <w:rFonts w:ascii="Times New Roman" w:hAnsi="Times New Roman"/>
          <w:lang w:val="en-GB"/>
        </w:rPr>
        <w:t xml:space="preserve"> perceptible and understan</w:t>
      </w:r>
      <w:r w:rsidR="00A6468C">
        <w:rPr>
          <w:rFonts w:ascii="Times New Roman" w:hAnsi="Times New Roman"/>
          <w:lang w:val="en-GB"/>
        </w:rPr>
        <w:t>d</w:t>
      </w:r>
      <w:r w:rsidR="00860A13">
        <w:rPr>
          <w:rFonts w:ascii="Times New Roman" w:hAnsi="Times New Roman"/>
          <w:lang w:val="en-GB"/>
        </w:rPr>
        <w:t>able as historical</w:t>
      </w:r>
      <w:r w:rsidRPr="00B312EF">
        <w:rPr>
          <w:rFonts w:ascii="Times New Roman" w:hAnsi="Times New Roman"/>
          <w:lang w:val="en-GB"/>
        </w:rPr>
        <w:t>.</w:t>
      </w:r>
      <w:r w:rsidRPr="00B312EF">
        <w:rPr>
          <w:rFonts w:ascii="Times New Roman" w:eastAsia="Times New Roman" w:hAnsi="Times New Roman" w:cs="Times New Roman"/>
          <w:vertAlign w:val="superscript"/>
          <w:lang w:val="en-GB"/>
        </w:rPr>
        <w:footnoteReference w:id="23"/>
      </w:r>
      <w:r w:rsidRPr="00B312EF">
        <w:rPr>
          <w:rFonts w:ascii="Times New Roman" w:hAnsi="Times New Roman"/>
          <w:lang w:val="en-GB"/>
        </w:rPr>
        <w:t xml:space="preserve"> </w:t>
      </w:r>
      <w:r w:rsidR="00860A13">
        <w:rPr>
          <w:rFonts w:ascii="Times New Roman" w:hAnsi="Times New Roman"/>
          <w:lang w:val="en-GB"/>
        </w:rPr>
        <w:t xml:space="preserve">Consequently, he also tries to uncover the more general structures that characterize the historicity of history through </w:t>
      </w:r>
      <w:r w:rsidR="00594137">
        <w:rPr>
          <w:rFonts w:ascii="Times New Roman" w:hAnsi="Times New Roman"/>
          <w:lang w:val="en-GB"/>
        </w:rPr>
        <w:t xml:space="preserve">the </w:t>
      </w:r>
      <w:r w:rsidR="00860A13">
        <w:rPr>
          <w:rFonts w:ascii="Times New Roman" w:hAnsi="Times New Roman"/>
          <w:lang w:val="en-GB"/>
        </w:rPr>
        <w:t xml:space="preserve">description and intensive study of material details </w:t>
      </w:r>
      <w:r w:rsidR="007B75B1">
        <w:rPr>
          <w:rFonts w:ascii="Times New Roman" w:hAnsi="Times New Roman"/>
          <w:lang w:val="en-GB"/>
        </w:rPr>
        <w:t>from</w:t>
      </w:r>
      <w:r w:rsidR="00860A13">
        <w:rPr>
          <w:rFonts w:ascii="Times New Roman" w:hAnsi="Times New Roman"/>
          <w:lang w:val="en-GB"/>
        </w:rPr>
        <w:t xml:space="preserve"> the history of philosophy. Blumenberg does not ascribe to the history of philosophy </w:t>
      </w:r>
      <w:r w:rsidR="00860A13">
        <w:rPr>
          <w:rFonts w:ascii="Times New Roman" w:hAnsi="Times New Roman"/>
          <w:lang w:val="en-GB"/>
        </w:rPr>
        <w:t xml:space="preserve">a timeless meaning </w:t>
      </w:r>
      <w:r w:rsidR="00860A13">
        <w:rPr>
          <w:rFonts w:ascii="Times New Roman" w:hAnsi="Times New Roman"/>
          <w:lang w:val="en-GB"/>
        </w:rPr>
        <w:t xml:space="preserve">in the idealist mode, one that – as in Hegel – necessarily determines or – as in Husserl – should </w:t>
      </w:r>
      <w:r w:rsidR="002E2CA8">
        <w:rPr>
          <w:rFonts w:ascii="Times New Roman" w:hAnsi="Times New Roman"/>
          <w:lang w:val="en-GB"/>
        </w:rPr>
        <w:t xml:space="preserve">intentionally </w:t>
      </w:r>
      <w:r w:rsidR="00860A13">
        <w:rPr>
          <w:rFonts w:ascii="Times New Roman" w:hAnsi="Times New Roman"/>
          <w:lang w:val="en-GB"/>
        </w:rPr>
        <w:t xml:space="preserve">determine its </w:t>
      </w:r>
      <w:r w:rsidR="002E2CA8">
        <w:rPr>
          <w:rFonts w:ascii="Times New Roman" w:hAnsi="Times New Roman"/>
          <w:lang w:val="en-GB"/>
        </w:rPr>
        <w:t xml:space="preserve">empirical </w:t>
      </w:r>
      <w:r w:rsidR="00860A13">
        <w:rPr>
          <w:rFonts w:ascii="Times New Roman" w:hAnsi="Times New Roman"/>
          <w:lang w:val="en-GB"/>
        </w:rPr>
        <w:t xml:space="preserve">course, but instead directs his attention to the complex relationship between </w:t>
      </w:r>
      <w:r w:rsidR="00860A13">
        <w:rPr>
          <w:rFonts w:ascii="Times New Roman" w:hAnsi="Times New Roman"/>
          <w:i/>
          <w:iCs/>
          <w:lang w:val="en-GB"/>
        </w:rPr>
        <w:t>continuity and change</w:t>
      </w:r>
      <w:r w:rsidR="00860A13">
        <w:rPr>
          <w:rFonts w:ascii="Times New Roman" w:hAnsi="Times New Roman"/>
          <w:lang w:val="en-GB"/>
        </w:rPr>
        <w:t xml:space="preserve"> that characterizes the material course of history on closer examination</w:t>
      </w:r>
      <w:r w:rsidRPr="00B312EF">
        <w:rPr>
          <w:rFonts w:ascii="Times New Roman" w:hAnsi="Times New Roman"/>
          <w:lang w:val="en-GB"/>
        </w:rPr>
        <w:t>.</w:t>
      </w:r>
    </w:p>
    <w:p w14:paraId="37D2C858" w14:textId="4892B1F8" w:rsidR="0004702E" w:rsidRDefault="00A6468C"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hAnsi="Times New Roman"/>
          <w:lang w:val="en-GB"/>
        </w:rPr>
      </w:pPr>
      <w:r>
        <w:rPr>
          <w:rFonts w:ascii="Times New Roman" w:hAnsi="Times New Roman"/>
          <w:lang w:val="en-GB"/>
        </w:rPr>
        <w:t>One of</w:t>
      </w:r>
      <w:r w:rsidR="007A5D1D" w:rsidRPr="00B312EF">
        <w:rPr>
          <w:rFonts w:ascii="Times New Roman" w:hAnsi="Times New Roman"/>
          <w:lang w:val="en-GB"/>
        </w:rPr>
        <w:t xml:space="preserve"> Blumenberg</w:t>
      </w:r>
      <w:r>
        <w:rPr>
          <w:rFonts w:ascii="Times New Roman" w:hAnsi="Times New Roman"/>
          <w:lang w:val="en-GB"/>
        </w:rPr>
        <w:t>’s suggestion</w:t>
      </w:r>
      <w:r w:rsidR="007A5D1D" w:rsidRPr="00B312EF">
        <w:rPr>
          <w:rFonts w:ascii="Times New Roman" w:hAnsi="Times New Roman"/>
          <w:lang w:val="en-GB"/>
        </w:rPr>
        <w:t>s</w:t>
      </w:r>
      <w:r>
        <w:rPr>
          <w:rFonts w:ascii="Times New Roman" w:hAnsi="Times New Roman"/>
          <w:lang w:val="en-GB"/>
        </w:rPr>
        <w:t xml:space="preserve"> for conceptualizing the course of the history of philosophy and its changes across time is to think of it in terms of a </w:t>
      </w:r>
      <w:r>
        <w:rPr>
          <w:rFonts w:ascii="Times New Roman" w:hAnsi="Times New Roman"/>
          <w:i/>
          <w:iCs/>
          <w:lang w:val="en-GB"/>
        </w:rPr>
        <w:t>question-and-answer scheme</w:t>
      </w:r>
      <w:r w:rsidR="007A5D1D" w:rsidRPr="00B312EF">
        <w:rPr>
          <w:rFonts w:ascii="Times New Roman" w:hAnsi="Times New Roman"/>
          <w:lang w:val="en-GB"/>
        </w:rPr>
        <w:t>.</w:t>
      </w:r>
      <w:r w:rsidR="007A5D1D" w:rsidRPr="00B312EF">
        <w:rPr>
          <w:rFonts w:ascii="Times New Roman" w:eastAsia="Times New Roman" w:hAnsi="Times New Roman" w:cs="Times New Roman"/>
          <w:vertAlign w:val="superscript"/>
          <w:lang w:val="en-GB"/>
        </w:rPr>
        <w:footnoteReference w:id="24"/>
      </w:r>
      <w:r w:rsidR="007A5D1D" w:rsidRPr="00B312EF">
        <w:rPr>
          <w:rFonts w:ascii="Times New Roman" w:hAnsi="Times New Roman"/>
          <w:lang w:val="en-GB"/>
        </w:rPr>
        <w:t xml:space="preserve"> </w:t>
      </w:r>
      <w:r>
        <w:rPr>
          <w:rFonts w:ascii="Times New Roman" w:hAnsi="Times New Roman"/>
          <w:lang w:val="en-GB"/>
        </w:rPr>
        <w:t>He starts from the assumption that the historical textual documents produced by the history of philosophy contain possible answers to more fundamental questions and problems</w:t>
      </w:r>
      <w:r w:rsidR="007A5D1D" w:rsidRPr="00B312EF">
        <w:rPr>
          <w:rFonts w:ascii="Times New Roman" w:hAnsi="Times New Roman"/>
          <w:lang w:val="en-GB"/>
        </w:rPr>
        <w:t>.</w:t>
      </w:r>
      <w:r w:rsidR="007A5D1D" w:rsidRPr="00B312EF">
        <w:rPr>
          <w:rFonts w:ascii="Times New Roman" w:eastAsia="Times New Roman" w:hAnsi="Times New Roman" w:cs="Times New Roman"/>
          <w:vertAlign w:val="superscript"/>
          <w:lang w:val="en-GB"/>
        </w:rPr>
        <w:footnoteReference w:id="25"/>
      </w:r>
      <w:r w:rsidR="007A5D1D" w:rsidRPr="00B312EF">
        <w:rPr>
          <w:rFonts w:ascii="Times New Roman" w:hAnsi="Times New Roman"/>
          <w:lang w:val="en-GB"/>
        </w:rPr>
        <w:t xml:space="preserve"> </w:t>
      </w:r>
      <w:r w:rsidR="0074316C">
        <w:rPr>
          <w:rFonts w:ascii="Times New Roman" w:hAnsi="Times New Roman"/>
          <w:lang w:val="en-GB"/>
        </w:rPr>
        <w:t>The underlying questions, it is true, are not always explicitly formulated as such in the textual witnesses; instead, the historian of philosophy must often be the one to pose the problem of which question a particular textual witness is answering</w:t>
      </w:r>
      <w:r w:rsidR="007B75B1">
        <w:rPr>
          <w:rFonts w:ascii="Times New Roman" w:hAnsi="Times New Roman"/>
          <w:lang w:val="en-GB"/>
        </w:rPr>
        <w:t xml:space="preserve"> in the first place</w:t>
      </w:r>
      <w:r w:rsidR="0074316C">
        <w:rPr>
          <w:rFonts w:ascii="Times New Roman" w:hAnsi="Times New Roman"/>
          <w:lang w:val="en-GB"/>
        </w:rPr>
        <w:t xml:space="preserve">, what exactly it is or was that should really have been understood </w:t>
      </w:r>
      <w:r w:rsidR="007B75B1">
        <w:rPr>
          <w:rFonts w:ascii="Times New Roman" w:hAnsi="Times New Roman"/>
          <w:lang w:val="en-GB"/>
        </w:rPr>
        <w:t>at the time</w:t>
      </w:r>
      <w:r w:rsidR="0074316C">
        <w:rPr>
          <w:rFonts w:ascii="Times New Roman" w:hAnsi="Times New Roman"/>
          <w:lang w:val="en-GB"/>
        </w:rPr>
        <w:t xml:space="preserve">. It is also characteristic of these fundamental questions that they are not in </w:t>
      </w:r>
      <w:r w:rsidR="009412B9">
        <w:rPr>
          <w:rFonts w:ascii="Times New Roman" w:hAnsi="Times New Roman"/>
          <w:lang w:val="en-GB"/>
        </w:rPr>
        <w:t>themselves</w:t>
      </w:r>
      <w:r w:rsidR="0074316C">
        <w:rPr>
          <w:rFonts w:ascii="Times New Roman" w:hAnsi="Times New Roman"/>
          <w:lang w:val="en-GB"/>
        </w:rPr>
        <w:t xml:space="preserve"> necessarily specific to a particular age. They do not have to persist across historical eras, but they may do so, passed down from earlier </w:t>
      </w:r>
      <w:r w:rsidR="0074316C">
        <w:rPr>
          <w:rFonts w:ascii="Times New Roman" w:hAnsi="Times New Roman"/>
          <w:lang w:val="en-GB"/>
        </w:rPr>
        <w:lastRenderedPageBreak/>
        <w:t xml:space="preserve">ages to subsequent ones, and they may also be relatively constant questions that have occupied human beings almost from the beginning and that </w:t>
      </w:r>
      <w:r w:rsidR="007B75B1">
        <w:rPr>
          <w:rFonts w:ascii="Times New Roman" w:hAnsi="Times New Roman"/>
          <w:lang w:val="en-GB"/>
        </w:rPr>
        <w:t>need</w:t>
      </w:r>
      <w:r w:rsidR="0074316C">
        <w:rPr>
          <w:rFonts w:ascii="Times New Roman" w:hAnsi="Times New Roman"/>
          <w:lang w:val="en-GB"/>
        </w:rPr>
        <w:t xml:space="preserve"> to be posed o</w:t>
      </w:r>
      <w:r w:rsidR="007B75B1">
        <w:rPr>
          <w:rFonts w:ascii="Times New Roman" w:hAnsi="Times New Roman"/>
          <w:lang w:val="en-GB"/>
        </w:rPr>
        <w:t>ver and over</w:t>
      </w:r>
      <w:r w:rsidR="0074316C">
        <w:rPr>
          <w:rFonts w:ascii="Times New Roman" w:hAnsi="Times New Roman"/>
          <w:lang w:val="en-GB"/>
        </w:rPr>
        <w:t xml:space="preserve"> in similar terms</w:t>
      </w:r>
      <w:r w:rsidR="007A5D1D" w:rsidRPr="00B312EF">
        <w:rPr>
          <w:rFonts w:ascii="Times New Roman" w:hAnsi="Times New Roman"/>
          <w:lang w:val="en-GB"/>
        </w:rPr>
        <w:t>.</w:t>
      </w:r>
      <w:r w:rsidR="007A5D1D" w:rsidRPr="00B312EF">
        <w:rPr>
          <w:rFonts w:ascii="Times New Roman" w:eastAsia="Times New Roman" w:hAnsi="Times New Roman" w:cs="Times New Roman"/>
          <w:vertAlign w:val="superscript"/>
          <w:lang w:val="en-GB"/>
        </w:rPr>
        <w:footnoteReference w:id="26"/>
      </w:r>
      <w:r w:rsidR="007A5D1D" w:rsidRPr="00B312EF">
        <w:rPr>
          <w:rFonts w:ascii="Times New Roman" w:hAnsi="Times New Roman"/>
          <w:lang w:val="en-GB"/>
        </w:rPr>
        <w:t xml:space="preserve"> </w:t>
      </w:r>
      <w:r w:rsidR="0074316C">
        <w:rPr>
          <w:rFonts w:ascii="Times New Roman" w:hAnsi="Times New Roman"/>
          <w:lang w:val="en-GB"/>
        </w:rPr>
        <w:t xml:space="preserve">What changes across time, according to Blumenberg’s work, is therefore not necessarily the questions and problems that we pose </w:t>
      </w:r>
      <w:r w:rsidR="007B75B1">
        <w:rPr>
          <w:rFonts w:ascii="Times New Roman" w:hAnsi="Times New Roman"/>
          <w:lang w:val="en-GB"/>
        </w:rPr>
        <w:t>to</w:t>
      </w:r>
      <w:r w:rsidR="0074316C">
        <w:rPr>
          <w:rFonts w:ascii="Times New Roman" w:hAnsi="Times New Roman"/>
          <w:lang w:val="en-GB"/>
        </w:rPr>
        <w:t xml:space="preserve"> ourselves</w:t>
      </w:r>
      <w:r w:rsidR="0004702E">
        <w:rPr>
          <w:rFonts w:ascii="Times New Roman" w:hAnsi="Times New Roman"/>
          <w:lang w:val="en-GB"/>
        </w:rPr>
        <w:t xml:space="preserve"> – although these are also essentially historical. Rather, what fundamentally changes from one historical period to another is the “background,” that i</w:t>
      </w:r>
      <w:r w:rsidR="002E466C">
        <w:rPr>
          <w:rFonts w:ascii="Times New Roman" w:hAnsi="Times New Roman"/>
          <w:lang w:val="en-GB"/>
        </w:rPr>
        <w:t>s</w:t>
      </w:r>
      <w:r w:rsidR="0004702E">
        <w:rPr>
          <w:rFonts w:ascii="Times New Roman" w:hAnsi="Times New Roman"/>
          <w:lang w:val="en-GB"/>
        </w:rPr>
        <w:t>, the fram</w:t>
      </w:r>
      <w:r w:rsidR="002E466C">
        <w:rPr>
          <w:rFonts w:ascii="Times New Roman" w:hAnsi="Times New Roman"/>
          <w:lang w:val="en-GB"/>
        </w:rPr>
        <w:t>e</w:t>
      </w:r>
      <w:r w:rsidR="0004702E">
        <w:rPr>
          <w:rFonts w:ascii="Times New Roman" w:hAnsi="Times New Roman"/>
          <w:lang w:val="en-GB"/>
        </w:rPr>
        <w:t xml:space="preserve"> of reference or the horizon of meaning </w:t>
      </w:r>
      <w:r w:rsidR="007B75B1">
        <w:rPr>
          <w:rFonts w:ascii="Times New Roman" w:hAnsi="Times New Roman"/>
          <w:lang w:val="en-GB"/>
        </w:rPr>
        <w:t>against</w:t>
      </w:r>
      <w:r w:rsidR="0004702E">
        <w:rPr>
          <w:rFonts w:ascii="Times New Roman" w:hAnsi="Times New Roman"/>
          <w:lang w:val="en-GB"/>
        </w:rPr>
        <w:t xml:space="preserve"> which these questions are posed. As in Assmann, then, we find ourselves confronted in Blumenberg with his emphasis on the importance of the </w:t>
      </w:r>
      <w:r w:rsidR="002E466C">
        <w:rPr>
          <w:rFonts w:ascii="Times New Roman" w:hAnsi="Times New Roman"/>
          <w:lang w:val="en-GB"/>
        </w:rPr>
        <w:t>framework</w:t>
      </w:r>
      <w:r w:rsidR="0004702E">
        <w:rPr>
          <w:rFonts w:ascii="Times New Roman" w:hAnsi="Times New Roman"/>
          <w:lang w:val="en-GB"/>
        </w:rPr>
        <w:t xml:space="preserve"> within which every act of doing philosophy takes place and that – itself a historical phenomenon – contributes to deciding what can be thought and what not, what is considered meaningful or true and what not. In a particular time, in view of a particular frame of reference, particular answers appear possible, meaningful, and functional, while other, earlier answers appear not (any longer) suitable, in need of correction, or even absurd, making it necessary to generate new answers</w:t>
      </w:r>
      <w:r w:rsidR="007A5D1D" w:rsidRPr="00B312EF">
        <w:rPr>
          <w:rFonts w:ascii="Times New Roman" w:hAnsi="Times New Roman"/>
          <w:lang w:val="en-GB"/>
        </w:rPr>
        <w:t>.</w:t>
      </w:r>
      <w:r w:rsidR="007A5D1D" w:rsidRPr="00B312EF">
        <w:rPr>
          <w:rFonts w:ascii="Times New Roman" w:eastAsia="Times New Roman" w:hAnsi="Times New Roman" w:cs="Times New Roman"/>
          <w:vertAlign w:val="superscript"/>
          <w:lang w:val="en-GB"/>
        </w:rPr>
        <w:footnoteReference w:id="27"/>
      </w:r>
    </w:p>
    <w:p w14:paraId="7DD76E9D" w14:textId="34542F94" w:rsidR="007A5D1D" w:rsidRPr="00B312EF" w:rsidRDefault="005F5040"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The question now is how this process of change in the history of ideas, in the course of which particular answers (and sometimes also particular questions) become obsolete and new ones arise, can be described in precise terms, and what form it concretely takes in the history of philosophy and its individual productions, or in other words, how it is manifested and can be demonstrated. Blumenberg himself introduces the term “re</w:t>
      </w:r>
      <w:r w:rsidR="00347676">
        <w:rPr>
          <w:rFonts w:ascii="Times New Roman" w:hAnsi="Times New Roman"/>
          <w:lang w:val="en-GB"/>
        </w:rPr>
        <w:t>occupation</w:t>
      </w:r>
      <w:r>
        <w:rPr>
          <w:rFonts w:ascii="Times New Roman" w:hAnsi="Times New Roman"/>
          <w:lang w:val="en-GB"/>
        </w:rPr>
        <w:t>”</w:t>
      </w:r>
      <w:r w:rsidR="007A5D1D" w:rsidRPr="00B312EF">
        <w:rPr>
          <w:rFonts w:ascii="Times New Roman" w:hAnsi="Times New Roman"/>
          <w:lang w:val="en-GB"/>
        </w:rPr>
        <w:t xml:space="preserve"> </w:t>
      </w:r>
      <w:r>
        <w:rPr>
          <w:rFonts w:ascii="Times New Roman" w:hAnsi="Times New Roman"/>
          <w:lang w:val="en-GB"/>
        </w:rPr>
        <w:t xml:space="preserve">in order to describe this </w:t>
      </w:r>
      <w:r>
        <w:rPr>
          <w:rFonts w:ascii="Times New Roman" w:hAnsi="Times New Roman"/>
          <w:lang w:val="en-GB"/>
        </w:rPr>
        <w:lastRenderedPageBreak/>
        <w:t xml:space="preserve">process </w:t>
      </w:r>
      <w:r w:rsidR="007B75B1">
        <w:rPr>
          <w:rFonts w:ascii="Times New Roman" w:hAnsi="Times New Roman"/>
          <w:lang w:val="en-GB"/>
        </w:rPr>
        <w:t>more precisely</w:t>
      </w:r>
      <w:r w:rsidR="007A5D1D" w:rsidRPr="00B312EF">
        <w:rPr>
          <w:rFonts w:ascii="Times New Roman" w:hAnsi="Times New Roman"/>
          <w:lang w:val="en-GB"/>
        </w:rPr>
        <w:t>:</w:t>
      </w:r>
      <w:r w:rsidR="007A5D1D" w:rsidRPr="00B312EF">
        <w:rPr>
          <w:rFonts w:ascii="Times New Roman" w:eastAsia="Times New Roman" w:hAnsi="Times New Roman" w:cs="Times New Roman"/>
          <w:vertAlign w:val="superscript"/>
          <w:lang w:val="en-GB"/>
        </w:rPr>
        <w:footnoteReference w:id="28"/>
      </w:r>
    </w:p>
    <w:p w14:paraId="4CBB8900" w14:textId="77777777" w:rsidR="007A5D1D" w:rsidRPr="00B312EF" w:rsidRDefault="007A5D1D" w:rsidP="007A5D1D">
      <w:pPr>
        <w:pStyle w:val="GriechischesProsazitat"/>
        <w:rPr>
          <w:lang w:val="en-GB"/>
        </w:rPr>
      </w:pPr>
      <w:r w:rsidRPr="00457CC6">
        <w:rPr>
          <w:noProof/>
          <w:shd w:val="clear" w:color="auto" w:fill="F79646"/>
        </w:rPr>
        <w:t>&gt;Umbesetzung&lt; [bedeutet], daß differente Aussagen als Antworten auf identische Fragen verstanden werden können.</w:t>
      </w:r>
      <w:r w:rsidRPr="00B312EF">
        <w:rPr>
          <w:rFonts w:eastAsia="Times New Roman" w:cs="Times New Roman"/>
          <w:vertAlign w:val="superscript"/>
          <w:lang w:val="en-GB"/>
        </w:rPr>
        <w:footnoteReference w:id="29"/>
      </w:r>
    </w:p>
    <w:p w14:paraId="5183AA87" w14:textId="6F492EF5" w:rsidR="007A5D1D" w:rsidRPr="00B312EF" w:rsidRDefault="00E7399B"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The concept of re</w:t>
      </w:r>
      <w:r w:rsidR="00347676">
        <w:rPr>
          <w:rFonts w:ascii="Times New Roman" w:hAnsi="Times New Roman"/>
          <w:lang w:val="en-GB"/>
        </w:rPr>
        <w:t>occupation</w:t>
      </w:r>
      <w:r>
        <w:rPr>
          <w:rFonts w:ascii="Times New Roman" w:hAnsi="Times New Roman"/>
          <w:lang w:val="en-GB"/>
        </w:rPr>
        <w:t xml:space="preserve"> points in two directions, as this brief formulation already suggests. On the one hand, it points to possibly identical questions that may form a line of continuity in history. On this, we quote Blumenberg once again</w:t>
      </w:r>
      <w:r w:rsidR="007A5D1D" w:rsidRPr="00B312EF">
        <w:rPr>
          <w:rFonts w:ascii="Times New Roman" w:hAnsi="Times New Roman"/>
          <w:lang w:val="en-GB"/>
        </w:rPr>
        <w:t xml:space="preserve">: </w:t>
      </w:r>
    </w:p>
    <w:p w14:paraId="4331DB9A" w14:textId="37E62F23" w:rsidR="007A5D1D" w:rsidRPr="00B312EF" w:rsidRDefault="007A5D1D" w:rsidP="005F5040">
      <w:pPr>
        <w:pStyle w:val="GriechischesProsazitat"/>
        <w:ind w:left="504" w:right="504"/>
        <w:rPr>
          <w:lang w:val="en-GB"/>
        </w:rPr>
      </w:pPr>
      <w:r w:rsidRPr="00457CC6">
        <w:rPr>
          <w:noProof/>
          <w:shd w:val="clear" w:color="auto" w:fill="F79646"/>
        </w:rPr>
        <w:t>Der Begriff der &gt;Umbesetzung&lt; bezeichnet implikativ das Minimum an Identität, das noch in der bewegtesten Bewegung der Geschichte muß aufgefunden oder zumindest vorausgesetzt und gesucht werden können.</w:t>
      </w:r>
      <w:r w:rsidRPr="00B312EF">
        <w:rPr>
          <w:vertAlign w:val="superscript"/>
          <w:lang w:val="en-GB"/>
        </w:rPr>
        <w:footnoteReference w:id="30"/>
      </w:r>
      <w:r w:rsidRPr="00B312EF">
        <w:rPr>
          <w:lang w:val="en-GB"/>
        </w:rPr>
        <w:t xml:space="preserve"> </w:t>
      </w:r>
    </w:p>
    <w:p w14:paraId="6AC285A0" w14:textId="75AA2D6A" w:rsidR="007A5D1D" w:rsidRPr="00B312EF" w:rsidRDefault="00E7399B"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On the other hand, however, and this is important, the term “re</w:t>
      </w:r>
      <w:r w:rsidR="00347676">
        <w:rPr>
          <w:rFonts w:ascii="Times New Roman" w:hAnsi="Times New Roman"/>
          <w:lang w:val="en-GB"/>
        </w:rPr>
        <w:t>occupation</w:t>
      </w:r>
      <w:r>
        <w:rPr>
          <w:rFonts w:ascii="Times New Roman" w:hAnsi="Times New Roman"/>
          <w:lang w:val="en-GB"/>
        </w:rPr>
        <w:t xml:space="preserve">” also points to the places left empty in a particular conceptual constellation or repertoire of motifs, places </w:t>
      </w:r>
      <w:r w:rsidR="008B643F">
        <w:rPr>
          <w:rFonts w:ascii="Times New Roman" w:hAnsi="Times New Roman"/>
          <w:lang w:val="en-GB"/>
        </w:rPr>
        <w:t>that</w:t>
      </w:r>
      <w:r>
        <w:rPr>
          <w:rFonts w:ascii="Times New Roman" w:hAnsi="Times New Roman"/>
          <w:lang w:val="en-GB"/>
        </w:rPr>
        <w:t xml:space="preserve"> have to be </w:t>
      </w:r>
      <w:r w:rsidR="00C91162">
        <w:rPr>
          <w:rFonts w:ascii="Times New Roman" w:hAnsi="Times New Roman"/>
          <w:lang w:val="en-GB"/>
        </w:rPr>
        <w:t>re</w:t>
      </w:r>
      <w:r>
        <w:rPr>
          <w:rFonts w:ascii="Times New Roman" w:hAnsi="Times New Roman"/>
          <w:lang w:val="en-GB"/>
        </w:rPr>
        <w:t>filled in view of historically changing knowledge, needs, and expectations. As Blumenberg shows in his detailed textual studies, quite concrete, textually demonstrable expansions, deletions</w:t>
      </w:r>
      <w:r w:rsidR="00C91162">
        <w:rPr>
          <w:rFonts w:ascii="Times New Roman" w:hAnsi="Times New Roman"/>
          <w:lang w:val="en-GB"/>
        </w:rPr>
        <w:t>,</w:t>
      </w:r>
      <w:r>
        <w:rPr>
          <w:rFonts w:ascii="Times New Roman" w:hAnsi="Times New Roman"/>
          <w:lang w:val="en-GB"/>
        </w:rPr>
        <w:t xml:space="preserve"> and new contextuali</w:t>
      </w:r>
      <w:r w:rsidR="009412B9">
        <w:rPr>
          <w:rFonts w:ascii="Times New Roman" w:hAnsi="Times New Roman"/>
          <w:lang w:val="en-GB"/>
        </w:rPr>
        <w:t>s</w:t>
      </w:r>
      <w:r>
        <w:rPr>
          <w:rFonts w:ascii="Times New Roman" w:hAnsi="Times New Roman"/>
          <w:lang w:val="en-GB"/>
        </w:rPr>
        <w:t xml:space="preserve">ations of the </w:t>
      </w:r>
      <w:r w:rsidR="00C91162">
        <w:rPr>
          <w:rFonts w:ascii="Times New Roman" w:hAnsi="Times New Roman"/>
          <w:lang w:val="en-GB"/>
        </w:rPr>
        <w:t>historically available material</w:t>
      </w:r>
      <w:r>
        <w:rPr>
          <w:rFonts w:ascii="Times New Roman" w:hAnsi="Times New Roman"/>
          <w:lang w:val="en-GB"/>
        </w:rPr>
        <w:t xml:space="preserve"> take place </w:t>
      </w:r>
      <w:r w:rsidR="002E466C">
        <w:rPr>
          <w:rFonts w:ascii="Times New Roman" w:hAnsi="Times New Roman"/>
          <w:lang w:val="en-GB"/>
        </w:rPr>
        <w:t>within the framework</w:t>
      </w:r>
      <w:r w:rsidR="0035777C">
        <w:rPr>
          <w:rFonts w:ascii="Times New Roman" w:hAnsi="Times New Roman"/>
          <w:lang w:val="en-GB"/>
        </w:rPr>
        <w:t xml:space="preserve"> of </w:t>
      </w:r>
      <w:r w:rsidR="002E466C">
        <w:rPr>
          <w:rFonts w:ascii="Times New Roman" w:hAnsi="Times New Roman"/>
          <w:lang w:val="en-GB"/>
        </w:rPr>
        <w:t xml:space="preserve">each </w:t>
      </w:r>
      <w:r w:rsidR="0035777C">
        <w:rPr>
          <w:rFonts w:ascii="Times New Roman" w:hAnsi="Times New Roman"/>
          <w:lang w:val="en-GB"/>
        </w:rPr>
        <w:t>such process</w:t>
      </w:r>
      <w:r w:rsidR="007A5D1D" w:rsidRPr="00B312EF">
        <w:rPr>
          <w:rFonts w:ascii="Times New Roman" w:hAnsi="Times New Roman"/>
          <w:lang w:val="en-GB"/>
        </w:rPr>
        <w:t>.</w:t>
      </w:r>
      <w:r w:rsidR="007A5D1D" w:rsidRPr="00B312EF">
        <w:rPr>
          <w:rFonts w:ascii="Times New Roman" w:eastAsia="Times New Roman" w:hAnsi="Times New Roman" w:cs="Times New Roman"/>
          <w:vertAlign w:val="superscript"/>
          <w:lang w:val="en-GB"/>
        </w:rPr>
        <w:footnoteReference w:id="31"/>
      </w:r>
      <w:r w:rsidR="007A5D1D" w:rsidRPr="00B312EF">
        <w:rPr>
          <w:rFonts w:ascii="Times New Roman" w:hAnsi="Times New Roman"/>
          <w:lang w:val="en-GB"/>
        </w:rPr>
        <w:t xml:space="preserve"> </w:t>
      </w:r>
      <w:r w:rsidR="0035777C">
        <w:rPr>
          <w:rFonts w:ascii="Times New Roman" w:hAnsi="Times New Roman"/>
          <w:lang w:val="en-GB"/>
        </w:rPr>
        <w:t xml:space="preserve">Against the background of changed horizons of understanding and need, particular motifs, concepts, metaphors, myths, and anecdotes from the history of philosophy are taken up, overwritten, altered, and newly reworked. Or, in other words, </w:t>
      </w:r>
      <w:r w:rsidR="00C63ABF">
        <w:rPr>
          <w:rFonts w:ascii="Times New Roman" w:hAnsi="Times New Roman"/>
          <w:lang w:val="en-GB"/>
        </w:rPr>
        <w:t>re</w:t>
      </w:r>
      <w:r w:rsidR="00347676">
        <w:rPr>
          <w:rFonts w:ascii="Times New Roman" w:hAnsi="Times New Roman"/>
          <w:lang w:val="en-GB"/>
        </w:rPr>
        <w:t>occupation</w:t>
      </w:r>
      <w:r w:rsidR="00C63ABF">
        <w:rPr>
          <w:rFonts w:ascii="Times New Roman" w:hAnsi="Times New Roman"/>
          <w:lang w:val="en-GB"/>
        </w:rPr>
        <w:t xml:space="preserve"> turns out to be a play of variation</w:t>
      </w:r>
      <w:r w:rsidR="00C91162">
        <w:rPr>
          <w:rFonts w:ascii="Times New Roman" w:hAnsi="Times New Roman"/>
          <w:lang w:val="en-GB"/>
        </w:rPr>
        <w:t>s</w:t>
      </w:r>
      <w:r w:rsidR="00C63ABF">
        <w:rPr>
          <w:rFonts w:ascii="Times New Roman" w:hAnsi="Times New Roman"/>
          <w:lang w:val="en-GB"/>
        </w:rPr>
        <w:t xml:space="preserve">, as it was generally characterized above with reference to Assmann. As we will see still more clearly </w:t>
      </w:r>
      <w:r w:rsidR="009412B9">
        <w:rPr>
          <w:rFonts w:ascii="Times New Roman" w:hAnsi="Times New Roman"/>
          <w:lang w:val="en-GB"/>
        </w:rPr>
        <w:t xml:space="preserve">in an example </w:t>
      </w:r>
      <w:r w:rsidR="00C63ABF">
        <w:rPr>
          <w:rFonts w:ascii="Times New Roman" w:hAnsi="Times New Roman"/>
          <w:lang w:val="en-GB"/>
        </w:rPr>
        <w:t>below, not only can re</w:t>
      </w:r>
      <w:r w:rsidR="00347676">
        <w:rPr>
          <w:rFonts w:ascii="Times New Roman" w:hAnsi="Times New Roman"/>
          <w:lang w:val="en-GB"/>
        </w:rPr>
        <w:t>occupation</w:t>
      </w:r>
      <w:r w:rsidR="00C63ABF">
        <w:rPr>
          <w:rFonts w:ascii="Times New Roman" w:hAnsi="Times New Roman"/>
          <w:lang w:val="en-GB"/>
        </w:rPr>
        <w:t xml:space="preserve"> be identified as a play of variation</w:t>
      </w:r>
      <w:r w:rsidR="00C91162">
        <w:rPr>
          <w:rFonts w:ascii="Times New Roman" w:hAnsi="Times New Roman"/>
          <w:lang w:val="en-GB"/>
        </w:rPr>
        <w:t>s</w:t>
      </w:r>
      <w:r w:rsidR="00C63ABF">
        <w:rPr>
          <w:rFonts w:ascii="Times New Roman" w:hAnsi="Times New Roman"/>
          <w:lang w:val="en-GB"/>
        </w:rPr>
        <w:t>, but the textual witnesses produced by this play of variation</w:t>
      </w:r>
      <w:r w:rsidR="00C91162">
        <w:rPr>
          <w:rFonts w:ascii="Times New Roman" w:hAnsi="Times New Roman"/>
          <w:lang w:val="en-GB"/>
        </w:rPr>
        <w:t>s</w:t>
      </w:r>
      <w:r w:rsidR="00C63ABF">
        <w:rPr>
          <w:rFonts w:ascii="Times New Roman" w:hAnsi="Times New Roman"/>
          <w:lang w:val="en-GB"/>
        </w:rPr>
        <w:t>, to the extent that they make reference to preexisting material, can also be described as variations of prior variations</w:t>
      </w:r>
      <w:r w:rsidR="007A5D1D" w:rsidRPr="00B312EF">
        <w:rPr>
          <w:rFonts w:ascii="Times New Roman" w:hAnsi="Times New Roman"/>
          <w:lang w:val="en-GB"/>
        </w:rPr>
        <w:t>.</w:t>
      </w:r>
    </w:p>
    <w:p w14:paraId="438D2D6E" w14:textId="4A2D5484" w:rsidR="007A5D1D" w:rsidRPr="00B312E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b/>
          <w:bCs/>
          <w:lang w:val="en-GB"/>
        </w:rPr>
      </w:pPr>
      <w:r w:rsidRPr="00B312EF">
        <w:rPr>
          <w:rFonts w:ascii="Times New Roman" w:hAnsi="Times New Roman"/>
          <w:b/>
          <w:bCs/>
          <w:lang w:val="en-GB"/>
        </w:rPr>
        <w:t>5.</w:t>
      </w:r>
      <w:r w:rsidR="002E2CA8">
        <w:rPr>
          <w:rFonts w:ascii="Times New Roman" w:hAnsi="Times New Roman"/>
          <w:b/>
          <w:bCs/>
          <w:lang w:val="en-GB"/>
        </w:rPr>
        <w:t>2</w:t>
      </w:r>
      <w:r w:rsidRPr="00B312EF">
        <w:rPr>
          <w:rFonts w:ascii="Times New Roman" w:hAnsi="Times New Roman"/>
          <w:b/>
          <w:bCs/>
          <w:lang w:val="en-GB"/>
        </w:rPr>
        <w:t xml:space="preserve">. </w:t>
      </w:r>
      <w:r w:rsidR="00C63ABF">
        <w:rPr>
          <w:rFonts w:ascii="Times New Roman" w:hAnsi="Times New Roman"/>
          <w:b/>
          <w:bCs/>
          <w:lang w:val="en-GB"/>
        </w:rPr>
        <w:t>Hermeneutical Implications of Blumenberg’s Philosophy of the Historicity of History</w:t>
      </w:r>
    </w:p>
    <w:p w14:paraId="6248D916" w14:textId="5D5E1C34" w:rsidR="00C63AB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hAnsi="Times New Roman"/>
          <w:lang w:val="en-GB"/>
        </w:rPr>
      </w:pPr>
      <w:r w:rsidRPr="00B312EF">
        <w:rPr>
          <w:rFonts w:ascii="Times New Roman" w:hAnsi="Times New Roman"/>
          <w:lang w:val="en-GB"/>
        </w:rPr>
        <w:t>Blumenberg</w:t>
      </w:r>
      <w:r w:rsidR="00C63ABF">
        <w:rPr>
          <w:rFonts w:ascii="Times New Roman" w:hAnsi="Times New Roman"/>
          <w:lang w:val="en-GB"/>
        </w:rPr>
        <w:t xml:space="preserve">’s approach to the </w:t>
      </w:r>
      <w:r w:rsidR="007B75B1">
        <w:rPr>
          <w:rFonts w:ascii="Times New Roman" w:hAnsi="Times New Roman"/>
          <w:lang w:val="en-GB"/>
        </w:rPr>
        <w:t xml:space="preserve">philosophy of </w:t>
      </w:r>
      <w:r w:rsidR="00C63ABF">
        <w:rPr>
          <w:rFonts w:ascii="Times New Roman" w:hAnsi="Times New Roman"/>
          <w:lang w:val="en-GB"/>
        </w:rPr>
        <w:t xml:space="preserve">history, just sketched, has significant </w:t>
      </w:r>
      <w:r w:rsidR="00C63ABF">
        <w:rPr>
          <w:rFonts w:ascii="Times New Roman" w:hAnsi="Times New Roman"/>
          <w:lang w:val="en-GB"/>
        </w:rPr>
        <w:lastRenderedPageBreak/>
        <w:t>hermeneutical implications that are of interest in our context. We will draw explicit attention to four of them here</w:t>
      </w:r>
      <w:r w:rsidRPr="00B312EF">
        <w:rPr>
          <w:rFonts w:ascii="Times New Roman" w:hAnsi="Times New Roman"/>
          <w:lang w:val="en-GB"/>
        </w:rPr>
        <w:t>.</w:t>
      </w:r>
    </w:p>
    <w:p w14:paraId="322D33C0" w14:textId="51E44445" w:rsidR="00C63AB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hAnsi="Times New Roman"/>
          <w:lang w:val="en-GB"/>
        </w:rPr>
      </w:pPr>
      <w:r w:rsidRPr="00B312EF">
        <w:rPr>
          <w:rFonts w:ascii="Times New Roman" w:hAnsi="Times New Roman"/>
          <w:lang w:val="en-GB"/>
        </w:rPr>
        <w:t>1. Blumenberg</w:t>
      </w:r>
      <w:r w:rsidR="00C63ABF">
        <w:rPr>
          <w:rFonts w:ascii="Times New Roman" w:hAnsi="Times New Roman"/>
          <w:lang w:val="en-GB"/>
        </w:rPr>
        <w:t>’s radicalization of the historical understanding of philosophy, which also historicizes the meaning and the evaluative standards that can be applied to the history of philosophy, leads to a pluralistic understanding of philosophy. This forbids us from interpreting the past, for example, only</w:t>
      </w:r>
      <w:r w:rsidR="005E0BDD">
        <w:rPr>
          <w:rFonts w:ascii="Times New Roman" w:hAnsi="Times New Roman"/>
          <w:lang w:val="en-GB"/>
        </w:rPr>
        <w:t xml:space="preserve"> from the perspective of a presumed timeless meaning or of today’s questions. The history of philosophy as a whole and the particular horizons of meaning within which we move exceed our grasp. As a play of variations continually open to further re</w:t>
      </w:r>
      <w:r w:rsidR="00347676">
        <w:rPr>
          <w:rFonts w:ascii="Times New Roman" w:hAnsi="Times New Roman"/>
          <w:lang w:val="en-GB"/>
        </w:rPr>
        <w:t>occupation</w:t>
      </w:r>
      <w:r w:rsidR="005E0BDD">
        <w:rPr>
          <w:rFonts w:ascii="Times New Roman" w:hAnsi="Times New Roman"/>
          <w:lang w:val="en-GB"/>
        </w:rPr>
        <w:t xml:space="preserve">s, philosophy </w:t>
      </w:r>
      <w:r w:rsidR="00347676">
        <w:rPr>
          <w:rFonts w:ascii="Times New Roman" w:hAnsi="Times New Roman"/>
          <w:lang w:val="en-GB"/>
        </w:rPr>
        <w:t>i</w:t>
      </w:r>
      <w:r w:rsidR="005E0BDD">
        <w:rPr>
          <w:rFonts w:ascii="Times New Roman" w:hAnsi="Times New Roman"/>
          <w:lang w:val="en-GB"/>
        </w:rPr>
        <w:t>s just as pluralistic as the multiplicity of approaches and variations it has produced or (still) could produce</w:t>
      </w:r>
      <w:r w:rsidRPr="00B312EF">
        <w:rPr>
          <w:rFonts w:ascii="Times New Roman" w:hAnsi="Times New Roman"/>
          <w:lang w:val="en-GB"/>
        </w:rPr>
        <w:t>.</w:t>
      </w:r>
      <w:r w:rsidRPr="00B312EF">
        <w:rPr>
          <w:rFonts w:ascii="Times New Roman" w:eastAsia="Times New Roman" w:hAnsi="Times New Roman" w:cs="Times New Roman"/>
          <w:vertAlign w:val="superscript"/>
          <w:lang w:val="en-GB"/>
        </w:rPr>
        <w:footnoteReference w:id="32"/>
      </w:r>
    </w:p>
    <w:p w14:paraId="4741C8DD" w14:textId="091990F3" w:rsidR="00C63AB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hAnsi="Times New Roman"/>
          <w:lang w:val="en-GB"/>
        </w:rPr>
      </w:pPr>
      <w:r w:rsidRPr="00B312EF">
        <w:rPr>
          <w:rFonts w:ascii="Times New Roman" w:hAnsi="Times New Roman"/>
          <w:lang w:val="en-GB"/>
        </w:rPr>
        <w:t xml:space="preserve">2. </w:t>
      </w:r>
      <w:r w:rsidR="005E0BDD">
        <w:rPr>
          <w:rFonts w:ascii="Times New Roman" w:hAnsi="Times New Roman"/>
          <w:lang w:val="en-GB"/>
        </w:rPr>
        <w:t xml:space="preserve">Against this background, textual witnesses from the history of philosophy are not read merely as documents of a </w:t>
      </w:r>
      <w:r w:rsidR="00584717">
        <w:rPr>
          <w:rFonts w:ascii="Times New Roman" w:hAnsi="Times New Roman"/>
          <w:lang w:val="en-GB"/>
        </w:rPr>
        <w:t xml:space="preserve">history (of development) that extends beyond them, in which they may represent from today’s perspective interim results that have since been surpassed. Rather, the history of philosophy is nothing other than the </w:t>
      </w:r>
      <w:r w:rsidR="007B75B1">
        <w:rPr>
          <w:rFonts w:ascii="Times New Roman" w:hAnsi="Times New Roman"/>
          <w:lang w:val="en-GB"/>
        </w:rPr>
        <w:t xml:space="preserve">expression of </w:t>
      </w:r>
      <w:r w:rsidR="00584717">
        <w:rPr>
          <w:rFonts w:ascii="Times New Roman" w:hAnsi="Times New Roman"/>
          <w:lang w:val="en-GB"/>
        </w:rPr>
        <w:t>the play of variation</w:t>
      </w:r>
      <w:r w:rsidR="00C91162">
        <w:rPr>
          <w:rFonts w:ascii="Times New Roman" w:hAnsi="Times New Roman"/>
          <w:lang w:val="en-GB"/>
        </w:rPr>
        <w:t>s</w:t>
      </w:r>
      <w:r w:rsidR="00584717">
        <w:rPr>
          <w:rFonts w:ascii="Times New Roman" w:hAnsi="Times New Roman"/>
          <w:lang w:val="en-GB"/>
        </w:rPr>
        <w:t xml:space="preserve"> that has historically </w:t>
      </w:r>
      <w:r w:rsidR="009412B9">
        <w:rPr>
          <w:rFonts w:ascii="Times New Roman" w:hAnsi="Times New Roman"/>
          <w:lang w:val="en-GB"/>
        </w:rPr>
        <w:t>occurred</w:t>
      </w:r>
      <w:r w:rsidRPr="00B312EF">
        <w:rPr>
          <w:rFonts w:ascii="Times New Roman" w:hAnsi="Times New Roman"/>
          <w:lang w:val="en-GB"/>
        </w:rPr>
        <w:t>.</w:t>
      </w:r>
    </w:p>
    <w:p w14:paraId="130C443D" w14:textId="54B8D45B" w:rsidR="00C63AB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hAnsi="Times New Roman"/>
          <w:lang w:val="en-GB"/>
        </w:rPr>
      </w:pPr>
      <w:r w:rsidRPr="00B312EF">
        <w:rPr>
          <w:rFonts w:ascii="Times New Roman" w:hAnsi="Times New Roman"/>
          <w:lang w:val="en-GB"/>
        </w:rPr>
        <w:t xml:space="preserve">3. </w:t>
      </w:r>
      <w:r w:rsidR="00584717">
        <w:rPr>
          <w:rFonts w:ascii="Times New Roman" w:hAnsi="Times New Roman"/>
          <w:lang w:val="en-GB"/>
        </w:rPr>
        <w:t xml:space="preserve">In the service of understanding history, Blumenberg is ultimately concerned, also and above all, with uncovering an era’s horizon of meaning, that is, the available </w:t>
      </w:r>
      <w:r w:rsidR="00584717">
        <w:rPr>
          <w:rFonts w:ascii="Times New Roman" w:hAnsi="Times New Roman"/>
          <w:i/>
          <w:iCs/>
          <w:lang w:val="en-GB"/>
        </w:rPr>
        <w:t>latitude for thought</w:t>
      </w:r>
      <w:r w:rsidR="00584717">
        <w:rPr>
          <w:rFonts w:ascii="Times New Roman" w:hAnsi="Times New Roman"/>
          <w:lang w:val="en-GB"/>
        </w:rPr>
        <w:t xml:space="preserve">, which conditions the possibility, the significance, and also the </w:t>
      </w:r>
      <w:r w:rsidR="002E2CA8">
        <w:rPr>
          <w:rFonts w:ascii="Times New Roman" w:hAnsi="Times New Roman"/>
          <w:lang w:val="en-GB"/>
        </w:rPr>
        <w:t>empirical</w:t>
      </w:r>
      <w:r w:rsidR="00584717">
        <w:rPr>
          <w:rFonts w:ascii="Times New Roman" w:hAnsi="Times New Roman"/>
          <w:lang w:val="en-GB"/>
        </w:rPr>
        <w:t xml:space="preserve"> influence of the tex</w:t>
      </w:r>
      <w:r w:rsidRPr="00B312EF">
        <w:rPr>
          <w:rFonts w:ascii="Times New Roman" w:hAnsi="Times New Roman"/>
          <w:lang w:val="en-GB"/>
        </w:rPr>
        <w:t>t</w:t>
      </w:r>
      <w:r w:rsidR="00584717">
        <w:rPr>
          <w:rFonts w:ascii="Times New Roman" w:hAnsi="Times New Roman"/>
          <w:lang w:val="en-GB"/>
        </w:rPr>
        <w:t>s</w:t>
      </w:r>
      <w:r w:rsidRPr="00B312EF">
        <w:rPr>
          <w:rFonts w:ascii="Times New Roman" w:hAnsi="Times New Roman"/>
          <w:lang w:val="en-GB"/>
        </w:rPr>
        <w:t>.</w:t>
      </w:r>
      <w:r w:rsidRPr="00B312EF">
        <w:rPr>
          <w:rFonts w:ascii="Times New Roman" w:eastAsia="Times New Roman" w:hAnsi="Times New Roman" w:cs="Times New Roman"/>
          <w:vertAlign w:val="superscript"/>
          <w:lang w:val="en-GB"/>
        </w:rPr>
        <w:footnoteReference w:id="33"/>
      </w:r>
      <w:r w:rsidRPr="00B312EF">
        <w:rPr>
          <w:rFonts w:ascii="Times New Roman" w:hAnsi="Times New Roman"/>
          <w:lang w:val="en-GB"/>
        </w:rPr>
        <w:t xml:space="preserve"> </w:t>
      </w:r>
    </w:p>
    <w:p w14:paraId="1A14BACB" w14:textId="0BDEC477" w:rsidR="007A5D1D" w:rsidRPr="00B312E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sidRPr="00B312EF">
        <w:rPr>
          <w:rFonts w:ascii="Times New Roman" w:hAnsi="Times New Roman"/>
          <w:lang w:val="en-GB"/>
        </w:rPr>
        <w:t xml:space="preserve">4. </w:t>
      </w:r>
      <w:r w:rsidR="00584717">
        <w:rPr>
          <w:rFonts w:ascii="Times New Roman" w:hAnsi="Times New Roman"/>
          <w:lang w:val="en-GB"/>
        </w:rPr>
        <w:t xml:space="preserve">This uncovering of the texts’ historical background, which cannot be articulated by the texts’ contemporaries because </w:t>
      </w:r>
      <w:r w:rsidR="007D6F72">
        <w:rPr>
          <w:rFonts w:ascii="Times New Roman" w:hAnsi="Times New Roman"/>
          <w:lang w:val="en-GB"/>
        </w:rPr>
        <w:t xml:space="preserve">it is self-evident, demands from the historian of philosophy not only historical knowledge and analytical precision but also, it must be noted, speculative abilities. In order to uncover the various possible interpretations of a historical textual witness, “cautious </w:t>
      </w:r>
      <w:r w:rsidR="007D6F72">
        <w:rPr>
          <w:rFonts w:ascii="Times New Roman" w:hAnsi="Times New Roman"/>
          <w:lang w:val="en-GB"/>
        </w:rPr>
        <w:lastRenderedPageBreak/>
        <w:t>variation,” as</w:t>
      </w:r>
      <w:r w:rsidRPr="00B312EF">
        <w:rPr>
          <w:rFonts w:ascii="Times New Roman" w:hAnsi="Times New Roman"/>
          <w:lang w:val="en-GB"/>
        </w:rPr>
        <w:t xml:space="preserve"> Jürgen Goldstein </w:t>
      </w:r>
      <w:r w:rsidR="007D6F72">
        <w:rPr>
          <w:rFonts w:ascii="Times New Roman" w:hAnsi="Times New Roman"/>
          <w:lang w:val="en-GB"/>
        </w:rPr>
        <w:t>says, is needed in order to exhaust the range of possibilities</w:t>
      </w:r>
      <w:r w:rsidRPr="00B312EF">
        <w:rPr>
          <w:rFonts w:ascii="Times New Roman" w:hAnsi="Times New Roman"/>
          <w:lang w:val="en-GB"/>
        </w:rPr>
        <w:t>.</w:t>
      </w:r>
      <w:r w:rsidRPr="00B312EF">
        <w:rPr>
          <w:rFonts w:ascii="Times New Roman" w:eastAsia="Times New Roman" w:hAnsi="Times New Roman" w:cs="Times New Roman"/>
          <w:vertAlign w:val="superscript"/>
          <w:lang w:val="en-GB"/>
        </w:rPr>
        <w:footnoteReference w:id="34"/>
      </w:r>
      <w:r w:rsidRPr="00B312EF">
        <w:rPr>
          <w:rFonts w:ascii="Times New Roman" w:hAnsi="Times New Roman"/>
          <w:lang w:val="en-GB"/>
        </w:rPr>
        <w:t xml:space="preserve"> </w:t>
      </w:r>
    </w:p>
    <w:p w14:paraId="284EAB74" w14:textId="5F1EE848" w:rsidR="007A5D1D" w:rsidRPr="00B312E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sidRPr="00B312EF">
        <w:rPr>
          <w:rFonts w:ascii="Times New Roman" w:hAnsi="Times New Roman"/>
          <w:lang w:val="en-GB"/>
        </w:rPr>
        <w:t xml:space="preserve">5. </w:t>
      </w:r>
      <w:r w:rsidR="007D6F72">
        <w:rPr>
          <w:rFonts w:ascii="Times New Roman" w:hAnsi="Times New Roman"/>
          <w:lang w:val="en-GB"/>
        </w:rPr>
        <w:t>The activities that a produ</w:t>
      </w:r>
      <w:r w:rsidR="00C91162">
        <w:rPr>
          <w:rFonts w:ascii="Times New Roman" w:hAnsi="Times New Roman"/>
          <w:lang w:val="en-GB"/>
        </w:rPr>
        <w:t>c</w:t>
      </w:r>
      <w:r w:rsidR="007D6F72">
        <w:rPr>
          <w:rFonts w:ascii="Times New Roman" w:hAnsi="Times New Roman"/>
          <w:lang w:val="en-GB"/>
        </w:rPr>
        <w:t>tive engagement with the philosophy of history requires make clear that a hermeneutics of this kind does not stop at a purely historical and philological engagement with past writings but rather demands an active, living, engaged way of dealing with what is said in the texts, one that is itself doing philosophy. It is ultimately the recipient who rediscovers or (re-)formulates the implicit philosophical problems that the historical texts answer and who works out the arrangement of the historically given answers and further possi</w:t>
      </w:r>
      <w:r w:rsidR="00CD60BB">
        <w:rPr>
          <w:rFonts w:ascii="Times New Roman" w:hAnsi="Times New Roman"/>
          <w:lang w:val="en-GB"/>
        </w:rPr>
        <w:t xml:space="preserve">ble answers. As we will see still more emphatically in the example of praxis to which we turn in the next section, the historian of philosophy enters into the historical philosophical process through </w:t>
      </w:r>
      <w:r w:rsidR="004476DF">
        <w:rPr>
          <w:rFonts w:ascii="Times New Roman" w:hAnsi="Times New Roman"/>
          <w:lang w:val="en-GB"/>
        </w:rPr>
        <w:t>their</w:t>
      </w:r>
      <w:r w:rsidR="00CD60BB">
        <w:rPr>
          <w:rFonts w:ascii="Times New Roman" w:hAnsi="Times New Roman"/>
          <w:lang w:val="en-GB"/>
        </w:rPr>
        <w:t xml:space="preserve"> activities and, stimulated by and in interaction with the history of philosophy, becomes a person doing philosophy</w:t>
      </w:r>
      <w:r w:rsidRPr="00B312EF">
        <w:rPr>
          <w:rFonts w:ascii="Times New Roman" w:hAnsi="Times New Roman"/>
          <w:lang w:val="en-GB"/>
        </w:rPr>
        <w:t>.</w:t>
      </w:r>
    </w:p>
    <w:p w14:paraId="6D145356" w14:textId="53876EFE" w:rsidR="007A5D1D" w:rsidRPr="00B312EF" w:rsidRDefault="007A5D1D"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b/>
          <w:bCs/>
          <w:lang w:val="en-GB"/>
        </w:rPr>
      </w:pPr>
      <w:r w:rsidRPr="00B312EF">
        <w:rPr>
          <w:rFonts w:ascii="Times New Roman" w:hAnsi="Times New Roman"/>
          <w:b/>
          <w:bCs/>
          <w:lang w:val="en-GB"/>
        </w:rPr>
        <w:t xml:space="preserve">5.3. </w:t>
      </w:r>
      <w:r w:rsidR="00CD60BB">
        <w:rPr>
          <w:rFonts w:ascii="Times New Roman" w:hAnsi="Times New Roman"/>
          <w:b/>
          <w:bCs/>
          <w:lang w:val="en-GB"/>
        </w:rPr>
        <w:t>Example</w:t>
      </w:r>
      <w:r w:rsidRPr="00B312EF">
        <w:rPr>
          <w:rFonts w:ascii="Times New Roman" w:hAnsi="Times New Roman"/>
          <w:b/>
          <w:bCs/>
          <w:lang w:val="en-GB"/>
        </w:rPr>
        <w:t xml:space="preserve">: </w:t>
      </w:r>
      <w:r w:rsidR="00CD60BB">
        <w:rPr>
          <w:rFonts w:ascii="Times New Roman" w:hAnsi="Times New Roman"/>
          <w:b/>
          <w:bCs/>
          <w:lang w:val="en-GB"/>
        </w:rPr>
        <w:t>A Socrates Note</w:t>
      </w:r>
      <w:r w:rsidR="006C0594">
        <w:rPr>
          <w:rFonts w:ascii="Times New Roman" w:hAnsi="Times New Roman"/>
          <w:b/>
          <w:bCs/>
          <w:lang w:val="en-GB"/>
        </w:rPr>
        <w:t>card</w:t>
      </w:r>
    </w:p>
    <w:p w14:paraId="3FCDEE0C" w14:textId="34DA764C" w:rsidR="007A5D1D" w:rsidRPr="00B312EF" w:rsidRDefault="005A1F39"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M</w:t>
      </w:r>
      <w:r w:rsidR="006C0594">
        <w:rPr>
          <w:rFonts w:ascii="Times New Roman" w:hAnsi="Times New Roman"/>
          <w:lang w:val="en-GB"/>
        </w:rPr>
        <w:t xml:space="preserve">any of </w:t>
      </w:r>
      <w:r>
        <w:rPr>
          <w:rFonts w:ascii="Times New Roman" w:hAnsi="Times New Roman"/>
          <w:lang w:val="en-GB"/>
        </w:rPr>
        <w:t>Blumenberg’s</w:t>
      </w:r>
      <w:r w:rsidR="006C0594">
        <w:rPr>
          <w:rFonts w:ascii="Times New Roman" w:hAnsi="Times New Roman"/>
          <w:lang w:val="en-GB"/>
        </w:rPr>
        <w:t xml:space="preserve"> longer and shorter works, in which he </w:t>
      </w:r>
      <w:r>
        <w:rPr>
          <w:rFonts w:ascii="Times New Roman" w:hAnsi="Times New Roman"/>
          <w:lang w:val="en-GB"/>
        </w:rPr>
        <w:t>sets out a historical re</w:t>
      </w:r>
      <w:r w:rsidR="00347676">
        <w:rPr>
          <w:rFonts w:ascii="Times New Roman" w:hAnsi="Times New Roman"/>
          <w:lang w:val="en-GB"/>
        </w:rPr>
        <w:t>occupation</w:t>
      </w:r>
      <w:r>
        <w:rPr>
          <w:rFonts w:ascii="Times New Roman" w:hAnsi="Times New Roman"/>
          <w:lang w:val="en-GB"/>
        </w:rPr>
        <w:t xml:space="preserve"> or variation and at the same time himself implements the process of philosophical variation, could be used to illustrate his concrete procedure</w:t>
      </w:r>
      <w:r w:rsidR="007A5D1D" w:rsidRPr="00B312EF">
        <w:rPr>
          <w:rFonts w:ascii="Times New Roman" w:hAnsi="Times New Roman"/>
          <w:lang w:val="en-GB"/>
        </w:rPr>
        <w:t>.</w:t>
      </w:r>
      <w:r w:rsidR="007A5D1D" w:rsidRPr="00B312EF">
        <w:rPr>
          <w:rFonts w:ascii="Times New Roman" w:eastAsia="Times New Roman" w:hAnsi="Times New Roman" w:cs="Times New Roman"/>
          <w:vertAlign w:val="superscript"/>
          <w:lang w:val="en-GB"/>
        </w:rPr>
        <w:footnoteReference w:id="35"/>
      </w:r>
      <w:r w:rsidR="007A5D1D" w:rsidRPr="00B312EF">
        <w:rPr>
          <w:rFonts w:ascii="Times New Roman" w:hAnsi="Times New Roman"/>
          <w:lang w:val="en-GB"/>
        </w:rPr>
        <w:t xml:space="preserve"> </w:t>
      </w:r>
      <w:r>
        <w:rPr>
          <w:rFonts w:ascii="Times New Roman" w:hAnsi="Times New Roman"/>
          <w:lang w:val="en-GB"/>
        </w:rPr>
        <w:t xml:space="preserve">Here, however, we will consider one of Blumenberg’s notecards, found in card index no. 24, along with other notecards on Socrates, in the </w:t>
      </w:r>
      <w:r w:rsidR="007A5D1D" w:rsidRPr="00B312EF">
        <w:rPr>
          <w:rFonts w:ascii="Times New Roman" w:hAnsi="Times New Roman"/>
          <w:lang w:val="en-GB"/>
        </w:rPr>
        <w:t>Deutsche</w:t>
      </w:r>
      <w:r>
        <w:rPr>
          <w:rFonts w:ascii="Times New Roman" w:hAnsi="Times New Roman"/>
          <w:lang w:val="en-GB"/>
        </w:rPr>
        <w:t>s</w:t>
      </w:r>
      <w:r w:rsidR="007A5D1D" w:rsidRPr="00B312EF">
        <w:rPr>
          <w:rFonts w:ascii="Times New Roman" w:hAnsi="Times New Roman"/>
          <w:lang w:val="en-GB"/>
        </w:rPr>
        <w:t xml:space="preserve"> Literaturarchiv Marburg (DLA). </w:t>
      </w:r>
      <w:r>
        <w:rPr>
          <w:rFonts w:ascii="Times New Roman" w:hAnsi="Times New Roman"/>
          <w:lang w:val="en-GB"/>
        </w:rPr>
        <w:t>The notecard contains variants from the history of philosophy of the formula put in Socrates’s mouth</w:t>
      </w:r>
      <w:r w:rsidR="00C91162">
        <w:rPr>
          <w:rFonts w:ascii="Times New Roman" w:hAnsi="Times New Roman"/>
          <w:lang w:val="en-GB"/>
        </w:rPr>
        <w:t>,</w:t>
      </w:r>
      <w:r>
        <w:rPr>
          <w:rFonts w:ascii="Times New Roman" w:hAnsi="Times New Roman"/>
          <w:lang w:val="en-GB"/>
        </w:rPr>
        <w:t xml:space="preserve"> “I know that I know nothing.”</w:t>
      </w:r>
      <w:r w:rsidR="007A5D1D" w:rsidRPr="00B312EF">
        <w:rPr>
          <w:rFonts w:ascii="Times New Roman" w:eastAsia="Times New Roman" w:hAnsi="Times New Roman" w:cs="Times New Roman"/>
          <w:vertAlign w:val="superscript"/>
          <w:lang w:val="en-GB"/>
        </w:rPr>
        <w:footnoteReference w:id="36"/>
      </w:r>
      <w:r w:rsidR="007A5D1D" w:rsidRPr="00B312EF">
        <w:rPr>
          <w:rFonts w:ascii="Times New Roman" w:hAnsi="Times New Roman"/>
          <w:lang w:val="en-GB"/>
        </w:rPr>
        <w:t xml:space="preserve"> </w:t>
      </w:r>
    </w:p>
    <w:p w14:paraId="22F9AB0B" w14:textId="4219625C" w:rsidR="007D6F72" w:rsidRDefault="007A5D1D" w:rsidP="007A5D1D">
      <w:pPr>
        <w:pStyle w:val="GriechischesProsazitat"/>
        <w:ind w:left="1940"/>
        <w:rPr>
          <w:lang w:val="en-GB"/>
        </w:rPr>
      </w:pPr>
      <w:r w:rsidRPr="00B312EF">
        <w:rPr>
          <w:lang w:val="en-GB"/>
        </w:rPr>
        <w:t>So</w:t>
      </w:r>
      <w:r w:rsidR="005A1F39">
        <w:rPr>
          <w:lang w:val="en-GB"/>
        </w:rPr>
        <w:t>crates – variants of his formula</w:t>
      </w:r>
      <w:r w:rsidRPr="00B312EF">
        <w:rPr>
          <w:lang w:val="en-GB"/>
        </w:rPr>
        <w:t>.</w:t>
      </w:r>
    </w:p>
    <w:p w14:paraId="37005A36" w14:textId="36FC90AC" w:rsidR="007D6F72" w:rsidRDefault="007A5D1D" w:rsidP="007A5D1D">
      <w:pPr>
        <w:pStyle w:val="GriechischesProsazitat"/>
        <w:ind w:left="1940"/>
        <w:rPr>
          <w:lang w:val="en-GB"/>
        </w:rPr>
      </w:pPr>
      <w:r w:rsidRPr="00B312EF">
        <w:rPr>
          <w:lang w:val="en-GB"/>
        </w:rPr>
        <w:t>So</w:t>
      </w:r>
      <w:r w:rsidR="005A1F39">
        <w:rPr>
          <w:lang w:val="en-GB"/>
        </w:rPr>
        <w:t>c</w:t>
      </w:r>
      <w:r w:rsidRPr="00B312EF">
        <w:rPr>
          <w:lang w:val="en-GB"/>
        </w:rPr>
        <w:t xml:space="preserve">rates: </w:t>
      </w:r>
      <w:r w:rsidR="005A1F39">
        <w:rPr>
          <w:lang w:val="en-GB"/>
        </w:rPr>
        <w:t>I know that I know nothing</w:t>
      </w:r>
      <w:r w:rsidRPr="00B312EF">
        <w:rPr>
          <w:lang w:val="en-GB"/>
        </w:rPr>
        <w:t xml:space="preserve">. </w:t>
      </w:r>
    </w:p>
    <w:p w14:paraId="3A3B77DD" w14:textId="45DDC57F" w:rsidR="007D6F72" w:rsidRDefault="007A5D1D" w:rsidP="007A5D1D">
      <w:pPr>
        <w:pStyle w:val="GriechischesProsazitat"/>
        <w:ind w:left="1940"/>
        <w:rPr>
          <w:lang w:val="en-GB"/>
        </w:rPr>
      </w:pPr>
      <w:r w:rsidRPr="00B312EF">
        <w:rPr>
          <w:lang w:val="en-GB"/>
        </w:rPr>
        <w:t>Ni</w:t>
      </w:r>
      <w:r w:rsidR="005A1F39">
        <w:rPr>
          <w:lang w:val="en-GB"/>
        </w:rPr>
        <w:t>cholas of Cusa</w:t>
      </w:r>
      <w:r w:rsidR="00364944">
        <w:rPr>
          <w:lang w:val="en-GB"/>
        </w:rPr>
        <w:t xml:space="preserve">: I know by this that I know nothing (by the fact that I </w:t>
      </w:r>
      <w:r w:rsidR="00C91162">
        <w:rPr>
          <w:lang w:val="en-GB"/>
        </w:rPr>
        <w:t>k</w:t>
      </w:r>
      <w:r w:rsidR="00364944">
        <w:rPr>
          <w:lang w:val="en-GB"/>
        </w:rPr>
        <w:t>now why I cannot know anything</w:t>
      </w:r>
      <w:r w:rsidRPr="00B312EF">
        <w:rPr>
          <w:lang w:val="en-GB"/>
        </w:rPr>
        <w:t xml:space="preserve">). </w:t>
      </w:r>
    </w:p>
    <w:p w14:paraId="10940E33" w14:textId="1B45A771" w:rsidR="007D6F72" w:rsidRDefault="007A5D1D" w:rsidP="007A5D1D">
      <w:pPr>
        <w:pStyle w:val="GriechischesProsazitat"/>
        <w:ind w:left="1940"/>
        <w:rPr>
          <w:lang w:val="en-GB"/>
        </w:rPr>
      </w:pPr>
      <w:r w:rsidRPr="00B312EF">
        <w:rPr>
          <w:lang w:val="en-GB"/>
        </w:rPr>
        <w:t>Freud: I</w:t>
      </w:r>
      <w:r w:rsidR="00364944">
        <w:rPr>
          <w:lang w:val="en-GB"/>
        </w:rPr>
        <w:t xml:space="preserve"> do not know that I know (e.g., Introductory Lectures on Psycho-Analysis, </w:t>
      </w:r>
      <w:r w:rsidRPr="00B312EF">
        <w:rPr>
          <w:lang w:val="en-GB"/>
        </w:rPr>
        <w:t xml:space="preserve">81). </w:t>
      </w:r>
    </w:p>
    <w:p w14:paraId="06014453" w14:textId="582E7DCD" w:rsidR="007D6F72" w:rsidRDefault="007A5D1D" w:rsidP="007A5D1D">
      <w:pPr>
        <w:pStyle w:val="GriechischesProsazitat"/>
        <w:ind w:left="1940"/>
        <w:rPr>
          <w:lang w:val="en-GB"/>
        </w:rPr>
      </w:pPr>
      <w:r w:rsidRPr="00B312EF">
        <w:rPr>
          <w:lang w:val="en-GB"/>
        </w:rPr>
        <w:lastRenderedPageBreak/>
        <w:t xml:space="preserve">Ideal </w:t>
      </w:r>
      <w:r w:rsidR="00364944">
        <w:rPr>
          <w:lang w:val="en-GB"/>
        </w:rPr>
        <w:t>of epistemological theory: I know that I know, because I know how I know</w:t>
      </w:r>
      <w:r w:rsidRPr="00B312EF">
        <w:rPr>
          <w:lang w:val="en-GB"/>
        </w:rPr>
        <w:t xml:space="preserve">. </w:t>
      </w:r>
    </w:p>
    <w:p w14:paraId="0E36ECDB" w14:textId="0B05ED10" w:rsidR="007D6F72" w:rsidRDefault="007A5D1D" w:rsidP="007A5D1D">
      <w:pPr>
        <w:pStyle w:val="GriechischesProsazitat"/>
        <w:ind w:left="1940"/>
        <w:rPr>
          <w:lang w:val="en-GB"/>
        </w:rPr>
      </w:pPr>
      <w:r w:rsidRPr="00B312EF">
        <w:rPr>
          <w:lang w:val="en-GB"/>
        </w:rPr>
        <w:t>Dogmati</w:t>
      </w:r>
      <w:r w:rsidR="00364944">
        <w:rPr>
          <w:lang w:val="en-GB"/>
        </w:rPr>
        <w:t>c scepticism: I know that I cannot know anything</w:t>
      </w:r>
      <w:r w:rsidRPr="00B312EF">
        <w:rPr>
          <w:lang w:val="en-GB"/>
        </w:rPr>
        <w:t xml:space="preserve">. </w:t>
      </w:r>
    </w:p>
    <w:p w14:paraId="5B87F4AF" w14:textId="5D9DA483" w:rsidR="007D6F72" w:rsidRDefault="007A5D1D" w:rsidP="007A5D1D">
      <w:pPr>
        <w:pStyle w:val="GriechischesProsazitat"/>
        <w:ind w:left="1940"/>
        <w:rPr>
          <w:lang w:val="en-GB"/>
        </w:rPr>
      </w:pPr>
      <w:r w:rsidRPr="00B312EF">
        <w:rPr>
          <w:lang w:val="en-GB"/>
        </w:rPr>
        <w:t>Pyrrhon</w:t>
      </w:r>
      <w:r w:rsidR="00364944">
        <w:rPr>
          <w:lang w:val="en-GB"/>
        </w:rPr>
        <w:t>ian scepticism: I do not even know whether I can know</w:t>
      </w:r>
      <w:r w:rsidRPr="00B312EF">
        <w:rPr>
          <w:lang w:val="en-GB"/>
        </w:rPr>
        <w:t xml:space="preserve">. </w:t>
      </w:r>
    </w:p>
    <w:p w14:paraId="04CB7DBF" w14:textId="5348720F" w:rsidR="007D6F72" w:rsidRDefault="007A5D1D" w:rsidP="007A5D1D">
      <w:pPr>
        <w:pStyle w:val="GriechischesProsazitat"/>
        <w:ind w:left="1940"/>
        <w:rPr>
          <w:lang w:val="en-GB"/>
        </w:rPr>
      </w:pPr>
      <w:r w:rsidRPr="00B312EF">
        <w:rPr>
          <w:lang w:val="en-GB"/>
        </w:rPr>
        <w:t>Kant:</w:t>
      </w:r>
      <w:r w:rsidR="00364944">
        <w:rPr>
          <w:lang w:val="en-GB"/>
        </w:rPr>
        <w:t xml:space="preserve"> I know what I </w:t>
      </w:r>
      <w:r w:rsidR="00364944">
        <w:rPr>
          <w:u w:val="single"/>
          <w:lang w:val="en-GB"/>
        </w:rPr>
        <w:t>cannot</w:t>
      </w:r>
      <w:r w:rsidR="00364944">
        <w:rPr>
          <w:lang w:val="en-GB"/>
        </w:rPr>
        <w:t xml:space="preserve"> know, because for what I can know, I know </w:t>
      </w:r>
      <w:r w:rsidR="00364944">
        <w:rPr>
          <w:u w:val="single"/>
          <w:lang w:val="en-GB"/>
        </w:rPr>
        <w:t>how</w:t>
      </w:r>
      <w:r w:rsidR="00364944">
        <w:rPr>
          <w:lang w:val="en-GB"/>
        </w:rPr>
        <w:t xml:space="preserve"> I can know it</w:t>
      </w:r>
      <w:r w:rsidRPr="00B312EF">
        <w:rPr>
          <w:lang w:val="en-GB"/>
        </w:rPr>
        <w:t xml:space="preserve">. </w:t>
      </w:r>
    </w:p>
    <w:p w14:paraId="5A321A19" w14:textId="0BE51818" w:rsidR="007A5D1D" w:rsidRPr="00B312EF" w:rsidRDefault="007A5D1D" w:rsidP="007A5D1D">
      <w:pPr>
        <w:pStyle w:val="GriechischesProsazitat"/>
        <w:ind w:left="1940"/>
        <w:rPr>
          <w:lang w:val="en-GB"/>
        </w:rPr>
      </w:pPr>
      <w:r w:rsidRPr="00B312EF">
        <w:rPr>
          <w:lang w:val="en-GB"/>
        </w:rPr>
        <w:t>Go</w:t>
      </w:r>
      <w:r w:rsidR="00364944">
        <w:rPr>
          <w:lang w:val="en-GB"/>
        </w:rPr>
        <w:t>d</w:t>
      </w:r>
      <w:r w:rsidRPr="00B312EF">
        <w:rPr>
          <w:lang w:val="en-GB"/>
        </w:rPr>
        <w:t>:</w:t>
      </w:r>
      <w:r w:rsidR="00364944">
        <w:rPr>
          <w:lang w:val="en-GB"/>
        </w:rPr>
        <w:t xml:space="preserve"> I know that I know everything, but I do not know that I know</w:t>
      </w:r>
      <w:r w:rsidR="007B75B1">
        <w:rPr>
          <w:lang w:val="en-GB"/>
        </w:rPr>
        <w:t xml:space="preserve"> this</w:t>
      </w:r>
      <w:r w:rsidRPr="00B312EF">
        <w:rPr>
          <w:lang w:val="en-GB"/>
        </w:rPr>
        <w:t>.</w:t>
      </w:r>
      <w:r w:rsidRPr="00B312EF">
        <w:rPr>
          <w:vertAlign w:val="superscript"/>
          <w:lang w:val="en-GB"/>
        </w:rPr>
        <w:footnoteReference w:id="37"/>
      </w:r>
      <w:r w:rsidRPr="00B312EF">
        <w:rPr>
          <w:lang w:val="en-GB"/>
        </w:rPr>
        <w:t xml:space="preserve"> </w:t>
      </w:r>
    </w:p>
    <w:p w14:paraId="4F2025D2" w14:textId="5BC84808" w:rsidR="007A5D1D" w:rsidRPr="00B312EF" w:rsidRDefault="005D4234"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 xml:space="preserve">An analysis of Blumenberg’s variation of the Socratic formula, presented here as an example, including the way of proceeding that underlies it, </w:t>
      </w:r>
      <w:r w:rsidR="008F47A4">
        <w:rPr>
          <w:rFonts w:ascii="Times New Roman" w:hAnsi="Times New Roman"/>
          <w:lang w:val="en-GB"/>
        </w:rPr>
        <w:t xml:space="preserve">allows </w:t>
      </w:r>
      <w:r w:rsidR="007B75B1">
        <w:rPr>
          <w:rFonts w:ascii="Times New Roman" w:hAnsi="Times New Roman"/>
          <w:lang w:val="en-GB"/>
        </w:rPr>
        <w:t>us</w:t>
      </w:r>
      <w:r>
        <w:rPr>
          <w:rFonts w:ascii="Times New Roman" w:hAnsi="Times New Roman"/>
          <w:lang w:val="en-GB"/>
        </w:rPr>
        <w:t xml:space="preserve"> to identify several distinguishing features that could also be considered </w:t>
      </w:r>
      <w:r w:rsidR="008F47A4">
        <w:rPr>
          <w:rFonts w:ascii="Times New Roman" w:hAnsi="Times New Roman"/>
          <w:lang w:val="en-GB"/>
        </w:rPr>
        <w:t xml:space="preserve">as </w:t>
      </w:r>
      <w:r>
        <w:rPr>
          <w:rFonts w:ascii="Times New Roman" w:hAnsi="Times New Roman"/>
          <w:lang w:val="en-GB"/>
        </w:rPr>
        <w:t xml:space="preserve">ideal-typical characteristics of doing philosophy as composing variations </w:t>
      </w:r>
      <w:r w:rsidR="008F47A4">
        <w:rPr>
          <w:rFonts w:ascii="Times New Roman" w:hAnsi="Times New Roman"/>
          <w:lang w:val="en-GB"/>
        </w:rPr>
        <w:t>hence</w:t>
      </w:r>
      <w:r>
        <w:rPr>
          <w:rFonts w:ascii="Times New Roman" w:hAnsi="Times New Roman"/>
          <w:lang w:val="en-GB"/>
        </w:rPr>
        <w:t>forward</w:t>
      </w:r>
      <w:r w:rsidR="007A5D1D" w:rsidRPr="00B312EF">
        <w:rPr>
          <w:rFonts w:ascii="Times New Roman" w:hAnsi="Times New Roman"/>
          <w:lang w:val="en-GB"/>
        </w:rPr>
        <w:t xml:space="preserve">: </w:t>
      </w:r>
    </w:p>
    <w:p w14:paraId="1F57C2FB" w14:textId="1AB8C960" w:rsidR="007A5D1D" w:rsidRPr="00B312EF" w:rsidRDefault="005D4234" w:rsidP="007A5D1D">
      <w:pPr>
        <w:pStyle w:val="Standard"/>
        <w:widowControl w:val="0"/>
        <w:numPr>
          <w:ilvl w:val="0"/>
          <w:numId w:val="4"/>
        </w:numPr>
        <w:spacing w:before="0" w:after="120" w:line="360" w:lineRule="auto"/>
        <w:jc w:val="both"/>
        <w:rPr>
          <w:rFonts w:ascii="Times New Roman" w:hAnsi="Times New Roman"/>
          <w:lang w:val="en-GB"/>
          <w14:textOutline w14:w="0" w14:cap="flat" w14:cmpd="sng" w14:algn="ctr">
            <w14:noFill/>
            <w14:prstDash w14:val="solid"/>
            <w14:bevel/>
          </w14:textOutline>
        </w:rPr>
      </w:pPr>
      <w:r>
        <w:rPr>
          <w:rFonts w:ascii="Times New Roman" w:hAnsi="Times New Roman"/>
          <w:lang w:val="en-GB"/>
          <w14:textOutline w14:w="0" w14:cap="flat" w14:cmpd="sng" w14:algn="ctr">
            <w14:noFill/>
            <w14:prstDash w14:val="solid"/>
            <w14:bevel/>
          </w14:textOutline>
        </w:rPr>
        <w:t>Blumenberg’s collection and refinement of different variations of the Socratic formula from the history of philosophy is not simply a list of positions and developments from the history of ideas, motivated by purely historical interest</w:t>
      </w:r>
      <w:r w:rsidR="008F47A4">
        <w:rPr>
          <w:rFonts w:ascii="Times New Roman" w:hAnsi="Times New Roman"/>
          <w:lang w:val="en-GB"/>
          <w14:textOutline w14:w="0" w14:cap="flat" w14:cmpd="sng" w14:algn="ctr">
            <w14:noFill/>
            <w14:prstDash w14:val="solid"/>
            <w14:bevel/>
          </w14:textOutline>
        </w:rPr>
        <w:t>s</w:t>
      </w:r>
      <w:r>
        <w:rPr>
          <w:rFonts w:ascii="Times New Roman" w:hAnsi="Times New Roman"/>
          <w:lang w:val="en-GB"/>
          <w14:textOutline w14:w="0" w14:cap="flat" w14:cmpd="sng" w14:algn="ctr">
            <w14:noFill/>
            <w14:prstDash w14:val="solid"/>
            <w14:bevel/>
          </w14:textOutline>
        </w:rPr>
        <w:t>, but proves to also be at its core a constructive engagement with various historically produced possible answers to a philosophical question, in this case the question “What do I know?” It is this question that invites, if not requires, a variational approach to the historical material. Thus, for example, Immanuel Kant in his appearance as a pr</w:t>
      </w:r>
      <w:r w:rsidR="007B75B1">
        <w:rPr>
          <w:rFonts w:ascii="Times New Roman" w:hAnsi="Times New Roman"/>
          <w:lang w:val="en-GB"/>
          <w14:textOutline w14:w="0" w14:cap="flat" w14:cmpd="sng" w14:algn="ctr">
            <w14:noFill/>
            <w14:prstDash w14:val="solid"/>
            <w14:bevel/>
          </w14:textOutline>
        </w:rPr>
        <w:t>evious</w:t>
      </w:r>
      <w:r>
        <w:rPr>
          <w:rFonts w:ascii="Times New Roman" w:hAnsi="Times New Roman"/>
          <w:lang w:val="en-GB"/>
          <w14:textOutline w14:w="0" w14:cap="flat" w14:cmpd="sng" w14:algn="ctr">
            <w14:noFill/>
            <w14:prstDash w14:val="solid"/>
            <w14:bevel/>
          </w14:textOutline>
        </w:rPr>
        <w:t xml:space="preserve"> speaker does not answer exactly the question that he himself posed in his own time, “What can I know?,” but </w:t>
      </w:r>
      <w:r w:rsidR="00EC0B9F">
        <w:rPr>
          <w:rFonts w:ascii="Times New Roman" w:hAnsi="Times New Roman"/>
          <w:lang w:val="en-GB"/>
          <w14:textOutline w14:w="0" w14:cap="flat" w14:cmpd="sng" w14:algn="ctr">
            <w14:noFill/>
            <w14:prstDash w14:val="solid"/>
            <w14:bevel/>
          </w14:textOutline>
        </w:rPr>
        <w:t>instead the author</w:t>
      </w:r>
      <w:r w:rsidR="008F47A4">
        <w:rPr>
          <w:rFonts w:ascii="Times New Roman" w:hAnsi="Times New Roman"/>
          <w:lang w:val="en-GB"/>
          <w14:textOutline w14:w="0" w14:cap="flat" w14:cmpd="sng" w14:algn="ctr">
            <w14:noFill/>
            <w14:prstDash w14:val="solid"/>
            <w14:bevel/>
          </w14:textOutline>
        </w:rPr>
        <w:t>ial</w:t>
      </w:r>
      <w:r w:rsidR="00EC0B9F">
        <w:rPr>
          <w:rFonts w:ascii="Times New Roman" w:hAnsi="Times New Roman"/>
          <w:lang w:val="en-GB"/>
          <w14:textOutline w14:w="0" w14:cap="flat" w14:cmpd="sng" w14:algn="ctr">
            <w14:noFill/>
            <w14:prstDash w14:val="solid"/>
            <w14:bevel/>
          </w14:textOutline>
        </w:rPr>
        <w:t xml:space="preserve"> question that implicitly underlies the list, “What do I know?” At this point, the historian of philosophy Blumenberg, who is concerned to shed light on the past’s own problems, gives way to the philosopher Blumenberg, who as a composer of variations practices a creative engagement with the history of philosophy, one that is also fully motivated by his own questions</w:t>
      </w:r>
      <w:r w:rsidR="007A5D1D" w:rsidRPr="00B312EF">
        <w:rPr>
          <w:rFonts w:ascii="Times New Roman" w:hAnsi="Times New Roman"/>
          <w:lang w:val="en-GB"/>
          <w14:textOutline w14:w="0" w14:cap="flat" w14:cmpd="sng" w14:algn="ctr">
            <w14:noFill/>
            <w14:prstDash w14:val="solid"/>
            <w14:bevel/>
          </w14:textOutline>
        </w:rPr>
        <w:t xml:space="preserve">. </w:t>
      </w:r>
    </w:p>
    <w:p w14:paraId="04DFDAEC" w14:textId="008374C0" w:rsidR="007A5D1D" w:rsidRPr="00B312EF" w:rsidRDefault="00EC0B9F" w:rsidP="007A5D1D">
      <w:pPr>
        <w:pStyle w:val="Standard"/>
        <w:widowControl w:val="0"/>
        <w:numPr>
          <w:ilvl w:val="0"/>
          <w:numId w:val="4"/>
        </w:numPr>
        <w:spacing w:before="0" w:after="120" w:line="360" w:lineRule="auto"/>
        <w:jc w:val="both"/>
        <w:rPr>
          <w:rFonts w:ascii="Times New Roman" w:hAnsi="Times New Roman"/>
          <w:lang w:val="en-GB"/>
          <w14:textOutline w14:w="0" w14:cap="flat" w14:cmpd="sng" w14:algn="ctr">
            <w14:noFill/>
            <w14:prstDash w14:val="solid"/>
            <w14:bevel/>
          </w14:textOutline>
        </w:rPr>
      </w:pPr>
      <w:r>
        <w:rPr>
          <w:rFonts w:ascii="Times New Roman" w:hAnsi="Times New Roman"/>
          <w:lang w:val="en-GB"/>
          <w14:textOutline w14:w="0" w14:cap="flat" w14:cmpd="sng" w14:algn="ctr">
            <w14:noFill/>
            <w14:prstDash w14:val="solid"/>
            <w14:bevel/>
          </w14:textOutline>
        </w:rPr>
        <w:t xml:space="preserve">The initial appearance of Blumenberg’s series of illustrious male philosophers notwithstanding, this list of possible answers from history is not a necessary or complete one, not a </w:t>
      </w:r>
      <w:r>
        <w:rPr>
          <w:rFonts w:ascii="Times New Roman" w:hAnsi="Times New Roman"/>
          <w:i/>
          <w:iCs/>
          <w:lang w:val="en-GB"/>
          <w14:textOutline w14:w="0" w14:cap="flat" w14:cmpd="sng" w14:algn="ctr">
            <w14:noFill/>
            <w14:prstDash w14:val="solid"/>
            <w14:bevel/>
          </w14:textOutline>
        </w:rPr>
        <w:t>canonical</w:t>
      </w:r>
      <w:r>
        <w:rPr>
          <w:rFonts w:ascii="Times New Roman" w:hAnsi="Times New Roman"/>
          <w:lang w:val="en-GB"/>
          <w14:textOutline w14:w="0" w14:cap="flat" w14:cmpd="sng" w14:algn="ctr">
            <w14:noFill/>
            <w14:prstDash w14:val="solid"/>
            <w14:bevel/>
          </w14:textOutline>
        </w:rPr>
        <w:t xml:space="preserve"> one, but rather one that its variational composer put together provisionally and as the occasion required. It would be easy, it seems, to add further possible answers or delete some. In this particular example, the composer even goes so far in his (ironic</w:t>
      </w:r>
      <w:r w:rsidR="008F47A4">
        <w:rPr>
          <w:rFonts w:ascii="Times New Roman" w:hAnsi="Times New Roman"/>
          <w:lang w:val="en-GB"/>
          <w14:textOutline w14:w="0" w14:cap="flat" w14:cmpd="sng" w14:algn="ctr">
            <w14:noFill/>
            <w14:prstDash w14:val="solid"/>
            <w14:bevel/>
          </w14:textOutline>
        </w:rPr>
        <w:t>?</w:t>
      </w:r>
      <w:r>
        <w:rPr>
          <w:rFonts w:ascii="Times New Roman" w:hAnsi="Times New Roman"/>
          <w:lang w:val="en-GB"/>
          <w14:textOutline w14:w="0" w14:cap="flat" w14:cmpd="sng" w14:algn="ctr">
            <w14:noFill/>
            <w14:prstDash w14:val="solid"/>
            <w14:bevel/>
          </w14:textOutline>
        </w:rPr>
        <w:t xml:space="preserve">) highhandedness as to expand the hypoleptic horizon as far as God – a </w:t>
      </w:r>
      <w:r w:rsidR="0078431F">
        <w:rPr>
          <w:rFonts w:ascii="Times New Roman" w:hAnsi="Times New Roman"/>
          <w:lang w:val="en-GB"/>
          <w14:textOutline w14:w="0" w14:cap="flat" w14:cmpd="sng" w14:algn="ctr">
            <w14:noFill/>
            <w14:prstDash w14:val="solid"/>
            <w14:bevel/>
          </w14:textOutline>
        </w:rPr>
        <w:t xml:space="preserve">fiction that </w:t>
      </w:r>
      <w:r w:rsidR="0078431F">
        <w:rPr>
          <w:rFonts w:ascii="Times New Roman" w:hAnsi="Times New Roman"/>
          <w:lang w:val="en-GB"/>
          <w14:textOutline w14:w="0" w14:cap="flat" w14:cmpd="sng" w14:algn="ctr">
            <w14:noFill/>
            <w14:prstDash w14:val="solid"/>
            <w14:bevel/>
          </w14:textOutline>
        </w:rPr>
        <w:lastRenderedPageBreak/>
        <w:t>suddenly pops up here as a “previous speaker” in the philosophical discourse. This kind of maximal openness with regard to who is a suitable previous speaker is evidently contrary to canonical prescriptions and enables in any event a creative, constructive, even experimental handling of other (past) ways of thought</w:t>
      </w:r>
      <w:r w:rsidR="007A5D1D" w:rsidRPr="00B312EF">
        <w:rPr>
          <w:rFonts w:ascii="Times New Roman" w:hAnsi="Times New Roman"/>
          <w:lang w:val="en-GB"/>
          <w14:textOutline w14:w="0" w14:cap="flat" w14:cmpd="sng" w14:algn="ctr">
            <w14:noFill/>
            <w14:prstDash w14:val="solid"/>
            <w14:bevel/>
          </w14:textOutline>
        </w:rPr>
        <w:t xml:space="preserve">. </w:t>
      </w:r>
    </w:p>
    <w:p w14:paraId="1ADE4B01" w14:textId="2965345A" w:rsidR="007A5D1D" w:rsidRPr="00B312EF" w:rsidRDefault="0078431F" w:rsidP="007A5D1D">
      <w:pPr>
        <w:pStyle w:val="Standard"/>
        <w:widowControl w:val="0"/>
        <w:numPr>
          <w:ilvl w:val="0"/>
          <w:numId w:val="4"/>
        </w:numPr>
        <w:spacing w:before="0" w:after="120" w:line="360" w:lineRule="auto"/>
        <w:jc w:val="both"/>
        <w:rPr>
          <w:rFonts w:ascii="Times New Roman" w:hAnsi="Times New Roman"/>
          <w:lang w:val="en-GB"/>
          <w14:textOutline w14:w="0" w14:cap="flat" w14:cmpd="sng" w14:algn="ctr">
            <w14:noFill/>
            <w14:prstDash w14:val="solid"/>
            <w14:bevel/>
          </w14:textOutline>
        </w:rPr>
      </w:pPr>
      <w:r>
        <w:rPr>
          <w:rFonts w:ascii="Times New Roman" w:hAnsi="Times New Roman"/>
          <w:lang w:val="en-GB"/>
          <w14:textOutline w14:w="0" w14:cap="flat" w14:cmpd="sng" w14:algn="ctr">
            <w14:noFill/>
            <w14:prstDash w14:val="solid"/>
            <w14:bevel/>
          </w14:textOutline>
        </w:rPr>
        <w:t xml:space="preserve">Finally, the example makes clear what the significance of (knowledge of) the history of philosophy for doing philosophy is. In particular, we can note three aspects here: a) Individual answers acquire their specific substantive profile through comparison with and differences from other variants and become transparent in their own significance as one possibility among others. The more </w:t>
      </w:r>
      <w:r w:rsidR="00FD3A1D">
        <w:rPr>
          <w:rFonts w:ascii="Times New Roman" w:hAnsi="Times New Roman"/>
          <w:lang w:val="en-GB"/>
          <w14:textOutline w14:w="0" w14:cap="flat" w14:cmpd="sng" w14:algn="ctr">
            <w14:noFill/>
            <w14:prstDash w14:val="solid"/>
            <w14:bevel/>
          </w14:textOutline>
        </w:rPr>
        <w:t xml:space="preserve">one knows about the history of philosophy, the wider and freer becomes one’s space for variation or </w:t>
      </w:r>
      <w:r w:rsidR="002E2CA8">
        <w:rPr>
          <w:rFonts w:ascii="Times New Roman" w:hAnsi="Times New Roman"/>
          <w:lang w:val="en-GB"/>
          <w14:textOutline w14:w="0" w14:cap="flat" w14:cmpd="sng" w14:algn="ctr">
            <w14:noFill/>
            <w14:prstDash w14:val="solid"/>
            <w14:bevel/>
          </w14:textOutline>
        </w:rPr>
        <w:t>latitude</w:t>
      </w:r>
      <w:r w:rsidR="00FD3A1D">
        <w:rPr>
          <w:rFonts w:ascii="Times New Roman" w:hAnsi="Times New Roman"/>
          <w:lang w:val="en-GB"/>
          <w14:textOutline w14:w="0" w14:cap="flat" w14:cmpd="sng" w14:algn="ctr">
            <w14:noFill/>
            <w14:prstDash w14:val="solid"/>
            <w14:bevel/>
          </w14:textOutline>
        </w:rPr>
        <w:t xml:space="preserve"> for th</w:t>
      </w:r>
      <w:r w:rsidR="007B75B1">
        <w:rPr>
          <w:rFonts w:ascii="Times New Roman" w:hAnsi="Times New Roman"/>
          <w:lang w:val="en-GB"/>
          <w14:textOutline w14:w="0" w14:cap="flat" w14:cmpd="sng" w14:algn="ctr">
            <w14:noFill/>
            <w14:prstDash w14:val="solid"/>
            <w14:bevel/>
          </w14:textOutline>
        </w:rPr>
        <w:t>ought</w:t>
      </w:r>
      <w:r w:rsidR="00FD3A1D">
        <w:rPr>
          <w:rFonts w:ascii="Times New Roman" w:hAnsi="Times New Roman"/>
          <w:lang w:val="en-GB"/>
          <w14:textOutline w14:w="0" w14:cap="flat" w14:cmpd="sng" w14:algn="ctr">
            <w14:noFill/>
            <w14:prstDash w14:val="solid"/>
            <w14:bevel/>
          </w14:textOutline>
        </w:rPr>
        <w:t xml:space="preserve"> in one’s own activity of doing philosophy. b) Variational recourse to the history of philosophy gives due consideration </w:t>
      </w:r>
      <w:r w:rsidR="008F47A4">
        <w:rPr>
          <w:rFonts w:ascii="Times New Roman" w:hAnsi="Times New Roman"/>
          <w:lang w:val="en-GB"/>
          <w14:textOutline w14:w="0" w14:cap="flat" w14:cmpd="sng" w14:algn="ctr">
            <w14:noFill/>
            <w14:prstDash w14:val="solid"/>
            <w14:bevel/>
          </w14:textOutline>
        </w:rPr>
        <w:t xml:space="preserve">to </w:t>
      </w:r>
      <w:r w:rsidR="00FD3A1D">
        <w:rPr>
          <w:rFonts w:ascii="Times New Roman" w:hAnsi="Times New Roman"/>
          <w:lang w:val="en-GB"/>
          <w14:textOutline w14:w="0" w14:cap="flat" w14:cmpd="sng" w14:algn="ctr">
            <w14:noFill/>
            <w14:prstDash w14:val="solid"/>
            <w14:bevel/>
          </w14:textOutline>
        </w:rPr>
        <w:t>textual witnesses from the history of philosophy through a differentiated engagement with them as they have value in themselves. At the same time, however, it is critical and creative, to the extent that it recognizes that they are products of their time and constantly susceptible to revision and correction</w:t>
      </w:r>
      <w:r>
        <w:rPr>
          <w:rFonts w:ascii="Times New Roman" w:hAnsi="Times New Roman"/>
          <w:lang w:val="en-GB"/>
          <w14:textOutline w14:w="0" w14:cap="flat" w14:cmpd="sng" w14:algn="ctr">
            <w14:noFill/>
            <w14:prstDash w14:val="solid"/>
            <w14:bevel/>
          </w14:textOutline>
        </w:rPr>
        <w:t xml:space="preserve"> </w:t>
      </w:r>
      <w:r w:rsidR="00FD3A1D">
        <w:rPr>
          <w:rFonts w:ascii="Times New Roman" w:hAnsi="Times New Roman"/>
          <w:lang w:val="en-GB"/>
          <w14:textOutline w14:w="0" w14:cap="flat" w14:cmpd="sng" w14:algn="ctr">
            <w14:noFill/>
            <w14:prstDash w14:val="solid"/>
            <w14:bevel/>
          </w14:textOutline>
        </w:rPr>
        <w:t xml:space="preserve">and to the extent that it is ultimately able to bring other, new possible answers into consideration or even to produce them itself. </w:t>
      </w:r>
      <w:r w:rsidR="008F47A4">
        <w:rPr>
          <w:rFonts w:ascii="Times New Roman" w:hAnsi="Times New Roman"/>
          <w:lang w:val="en-GB"/>
          <w14:textOutline w14:w="0" w14:cap="flat" w14:cmpd="sng" w14:algn="ctr">
            <w14:noFill/>
            <w14:prstDash w14:val="solid"/>
            <w14:bevel/>
          </w14:textOutline>
        </w:rPr>
        <w:t>Finally</w:t>
      </w:r>
      <w:r w:rsidR="00FD3A1D">
        <w:rPr>
          <w:rFonts w:ascii="Times New Roman" w:hAnsi="Times New Roman"/>
          <w:lang w:val="en-GB"/>
          <w14:textOutline w14:w="0" w14:cap="flat" w14:cmpd="sng" w14:algn="ctr">
            <w14:noFill/>
            <w14:prstDash w14:val="solid"/>
            <w14:bevel/>
          </w14:textOutline>
        </w:rPr>
        <w:t xml:space="preserve">, c) </w:t>
      </w:r>
      <w:r w:rsidR="00B841E1">
        <w:rPr>
          <w:rFonts w:ascii="Times New Roman" w:hAnsi="Times New Roman"/>
          <w:lang w:val="en-GB"/>
          <w14:textOutline w14:w="0" w14:cap="flat" w14:cmpd="sng" w14:algn="ctr">
            <w14:noFill/>
            <w14:prstDash w14:val="solid"/>
            <w14:bevel/>
          </w14:textOutline>
        </w:rPr>
        <w:t>within the framework of a hermeneutics of this kind</w:t>
      </w:r>
      <w:r w:rsidR="00B841E1">
        <w:rPr>
          <w:rFonts w:ascii="Times New Roman" w:hAnsi="Times New Roman"/>
          <w:lang w:val="en-GB"/>
          <w14:textOutline w14:w="0" w14:cap="flat" w14:cmpd="sng" w14:algn="ctr">
            <w14:noFill/>
            <w14:prstDash w14:val="solid"/>
            <w14:bevel/>
          </w14:textOutline>
        </w:rPr>
        <w:t xml:space="preserve">, </w:t>
      </w:r>
      <w:r w:rsidR="00FD3A1D">
        <w:rPr>
          <w:rFonts w:ascii="Times New Roman" w:hAnsi="Times New Roman"/>
          <w:lang w:val="en-GB"/>
          <w14:textOutline w14:w="0" w14:cap="flat" w14:cmpd="sng" w14:algn="ctr">
            <w14:noFill/>
            <w14:prstDash w14:val="solid"/>
            <w14:bevel/>
          </w14:textOutline>
        </w:rPr>
        <w:t xml:space="preserve">the person who engages with the history of philosophy is not someone who </w:t>
      </w:r>
      <w:r w:rsidR="00B841E1">
        <w:rPr>
          <w:rFonts w:ascii="Times New Roman" w:hAnsi="Times New Roman"/>
          <w:lang w:val="en-GB"/>
          <w14:textOutline w14:w="0" w14:cap="flat" w14:cmpd="sng" w14:algn="ctr">
            <w14:noFill/>
            <w14:prstDash w14:val="solid"/>
            <w14:bevel/>
          </w14:textOutline>
        </w:rPr>
        <w:t>tell</w:t>
      </w:r>
      <w:r w:rsidR="00FD3A1D">
        <w:rPr>
          <w:rFonts w:ascii="Times New Roman" w:hAnsi="Times New Roman"/>
          <w:lang w:val="en-GB"/>
          <w14:textOutline w14:w="0" w14:cap="flat" w14:cmpd="sng" w14:algn="ctr">
            <w14:noFill/>
            <w14:prstDash w14:val="solid"/>
            <w14:bevel/>
          </w14:textOutline>
        </w:rPr>
        <w:t>s a story of the past from outside</w:t>
      </w:r>
      <w:r w:rsidR="002E466C">
        <w:rPr>
          <w:rFonts w:ascii="Times New Roman" w:hAnsi="Times New Roman"/>
          <w:lang w:val="en-GB"/>
          <w14:textOutline w14:w="0" w14:cap="flat" w14:cmpd="sng" w14:algn="ctr">
            <w14:noFill/>
            <w14:prstDash w14:val="solid"/>
            <w14:bevel/>
          </w14:textOutline>
        </w:rPr>
        <w:t>,</w:t>
      </w:r>
      <w:r w:rsidR="00FD3A1D">
        <w:rPr>
          <w:rFonts w:ascii="Times New Roman" w:hAnsi="Times New Roman"/>
          <w:lang w:val="en-GB"/>
          <w14:textOutline w14:w="0" w14:cap="flat" w14:cmpd="sng" w14:algn="ctr">
            <w14:noFill/>
            <w14:prstDash w14:val="solid"/>
            <w14:bevel/>
          </w14:textOutline>
        </w:rPr>
        <w:t xml:space="preserve"> </w:t>
      </w:r>
      <w:r w:rsidR="001F0D56">
        <w:rPr>
          <w:rFonts w:ascii="Times New Roman" w:hAnsi="Times New Roman"/>
          <w:lang w:val="en-GB"/>
          <w14:textOutline w14:w="0" w14:cap="flat" w14:cmpd="sng" w14:algn="ctr">
            <w14:noFill/>
            <w14:prstDash w14:val="solid"/>
            <w14:bevel/>
          </w14:textOutline>
        </w:rPr>
        <w:t xml:space="preserve">evaluating it after the fact on the basis of the teller’s present-day standards, but rather someone who through the variational adoption of past ideas constructively participates in continuing to write the history of philosophy as a history of variation and in producing its continuity. The philosophical play of variations is hence also a praxis that is carried out by a free, active subject driven by </w:t>
      </w:r>
      <w:r w:rsidR="004476DF">
        <w:rPr>
          <w:rFonts w:ascii="Times New Roman" w:hAnsi="Times New Roman"/>
          <w:lang w:val="en-GB"/>
          <w14:textOutline w14:w="0" w14:cap="flat" w14:cmpd="sng" w14:algn="ctr">
            <w14:noFill/>
            <w14:prstDash w14:val="solid"/>
            <w14:bevel/>
          </w14:textOutline>
        </w:rPr>
        <w:t>their</w:t>
      </w:r>
      <w:r w:rsidR="001F0D56">
        <w:rPr>
          <w:rFonts w:ascii="Times New Roman" w:hAnsi="Times New Roman"/>
          <w:lang w:val="en-GB"/>
          <w14:textOutline w14:w="0" w14:cap="flat" w14:cmpd="sng" w14:algn="ctr">
            <w14:noFill/>
            <w14:prstDash w14:val="solid"/>
            <w14:bevel/>
          </w14:textOutline>
        </w:rPr>
        <w:t xml:space="preserve"> own philosophical motives. The relationship between (the history of) philosophy and the person doing philosophy is neither that between an authority and its passive reception nor conversely that between a subject and a history subordinate to that subject; instead, the history of philosophy and a subject’s or community’s praxis of doing philosophy are the results of a single philosophical process of variation</w:t>
      </w:r>
      <w:r w:rsidR="007A5D1D" w:rsidRPr="00B312EF">
        <w:rPr>
          <w:rFonts w:ascii="Times New Roman" w:hAnsi="Times New Roman"/>
          <w:lang w:val="en-GB"/>
          <w14:textOutline w14:w="0" w14:cap="flat" w14:cmpd="sng" w14:algn="ctr">
            <w14:noFill/>
            <w14:prstDash w14:val="solid"/>
            <w14:bevel/>
          </w14:textOutline>
        </w:rPr>
        <w:t>.</w:t>
      </w:r>
    </w:p>
    <w:p w14:paraId="5CF032D6" w14:textId="304FA5CD" w:rsidR="007A5D1D" w:rsidRPr="00B312EF" w:rsidRDefault="00227D99"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120" w:line="360" w:lineRule="auto"/>
        <w:jc w:val="both"/>
        <w:rPr>
          <w:rFonts w:ascii="Times New Roman" w:eastAsia="Times New Roman" w:hAnsi="Times New Roman" w:cs="Times New Roman"/>
          <w:lang w:val="en-GB"/>
          <w14:textOutline w14:w="0" w14:cap="flat" w14:cmpd="sng" w14:algn="ctr">
            <w14:noFill/>
            <w14:prstDash w14:val="solid"/>
            <w14:bevel/>
          </w14:textOutline>
        </w:rPr>
      </w:pPr>
      <w:r>
        <w:rPr>
          <w:rFonts w:ascii="Times New Roman" w:hAnsi="Times New Roman"/>
          <w:lang w:val="en-GB"/>
          <w14:textOutline w14:w="0" w14:cap="flat" w14:cmpd="sng" w14:algn="ctr">
            <w14:noFill/>
            <w14:prstDash w14:val="solid"/>
            <w14:bevel/>
          </w14:textOutline>
        </w:rPr>
        <w:t>In summary</w:t>
      </w:r>
      <w:r w:rsidR="00AC5A34">
        <w:rPr>
          <w:rFonts w:ascii="Times New Roman" w:hAnsi="Times New Roman"/>
          <w:lang w:val="en-GB"/>
          <w14:textOutline w14:w="0" w14:cap="flat" w14:cmpd="sng" w14:algn="ctr">
            <w14:noFill/>
            <w14:prstDash w14:val="solid"/>
            <w14:bevel/>
          </w14:textOutline>
        </w:rPr>
        <w:t xml:space="preserve">, we find variation in Blumenberg in three senses, in view of his conception of the philosophy of history and his hermeneutical approach to historical documents in the fields of cultural </w:t>
      </w:r>
      <w:r w:rsidR="007B75B1">
        <w:rPr>
          <w:rFonts w:ascii="Times New Roman" w:hAnsi="Times New Roman"/>
          <w:lang w:val="en-GB"/>
          <w14:textOutline w14:w="0" w14:cap="flat" w14:cmpd="sng" w14:algn="ctr">
            <w14:noFill/>
            <w14:prstDash w14:val="solid"/>
            <w14:bevel/>
          </w14:textOutline>
        </w:rPr>
        <w:t xml:space="preserve">and intellectual </w:t>
      </w:r>
      <w:r w:rsidR="00AC5A34">
        <w:rPr>
          <w:rFonts w:ascii="Times New Roman" w:hAnsi="Times New Roman"/>
          <w:lang w:val="en-GB"/>
          <w14:textOutline w14:w="0" w14:cap="flat" w14:cmpd="sng" w14:algn="ctr">
            <w14:noFill/>
            <w14:prstDash w14:val="solid"/>
            <w14:bevel/>
          </w14:textOutline>
        </w:rPr>
        <w:t>history: 1. Variation may refer to the form that re</w:t>
      </w:r>
      <w:r w:rsidR="00347676">
        <w:rPr>
          <w:rFonts w:ascii="Times New Roman" w:hAnsi="Times New Roman"/>
          <w:lang w:val="en-GB"/>
          <w14:textOutline w14:w="0" w14:cap="flat" w14:cmpd="sng" w14:algn="ctr">
            <w14:noFill/>
            <w14:prstDash w14:val="solid"/>
            <w14:bevel/>
          </w14:textOutline>
        </w:rPr>
        <w:t>occupation</w:t>
      </w:r>
      <w:r w:rsidR="00AC5A34">
        <w:rPr>
          <w:rFonts w:ascii="Times New Roman" w:hAnsi="Times New Roman"/>
          <w:lang w:val="en-GB"/>
          <w14:textOutline w14:w="0" w14:cap="flat" w14:cmpd="sng" w14:algn="ctr">
            <w14:noFill/>
            <w14:prstDash w14:val="solid"/>
            <w14:bevel/>
          </w14:textOutline>
        </w:rPr>
        <w:t xml:space="preserve"> takes from one era to another. 2. Variation is also the appropriate label for the products or results of these </w:t>
      </w:r>
      <w:r w:rsidR="00AC5A34">
        <w:rPr>
          <w:rFonts w:ascii="Times New Roman" w:hAnsi="Times New Roman"/>
          <w:lang w:val="en-GB"/>
          <w14:textOutline w14:w="0" w14:cap="flat" w14:cmpd="sng" w14:algn="ctr">
            <w14:noFill/>
            <w14:prstDash w14:val="solid"/>
            <w14:bevel/>
          </w14:textOutline>
        </w:rPr>
        <w:lastRenderedPageBreak/>
        <w:t>re</w:t>
      </w:r>
      <w:r w:rsidR="00347676">
        <w:rPr>
          <w:rFonts w:ascii="Times New Roman" w:hAnsi="Times New Roman"/>
          <w:lang w:val="en-GB"/>
          <w14:textOutline w14:w="0" w14:cap="flat" w14:cmpd="sng" w14:algn="ctr">
            <w14:noFill/>
            <w14:prstDash w14:val="solid"/>
            <w14:bevel/>
          </w14:textOutline>
        </w:rPr>
        <w:t>occupation</w:t>
      </w:r>
      <w:r w:rsidR="00AC5A34">
        <w:rPr>
          <w:rFonts w:ascii="Times New Roman" w:hAnsi="Times New Roman"/>
          <w:lang w:val="en-GB"/>
          <w14:textOutline w14:w="0" w14:cap="flat" w14:cmpd="sng" w14:algn="ctr">
            <w14:noFill/>
            <w14:prstDash w14:val="solid"/>
            <w14:bevel/>
          </w14:textOutline>
        </w:rPr>
        <w:t xml:space="preserve">s as expressed in historical textual documents, in which </w:t>
      </w:r>
      <w:r w:rsidR="007B75B1">
        <w:rPr>
          <w:rFonts w:ascii="Times New Roman" w:hAnsi="Times New Roman"/>
          <w:lang w:val="en-GB"/>
          <w14:textOutline w14:w="0" w14:cap="flat" w14:cmpd="sng" w14:algn="ctr">
            <w14:noFill/>
            <w14:prstDash w14:val="solid"/>
            <w14:bevel/>
          </w14:textOutline>
        </w:rPr>
        <w:t>concretely determined</w:t>
      </w:r>
      <w:r w:rsidR="00AC5A34">
        <w:rPr>
          <w:rFonts w:ascii="Times New Roman" w:hAnsi="Times New Roman"/>
          <w:lang w:val="en-GB"/>
          <w14:textOutline w14:w="0" w14:cap="flat" w14:cmpd="sng" w14:algn="ctr">
            <w14:noFill/>
            <w14:prstDash w14:val="solid"/>
            <w14:bevel/>
          </w14:textOutline>
        </w:rPr>
        <w:t xml:space="preserve"> themes, concepts, motifs, and metaphors make </w:t>
      </w:r>
      <w:r w:rsidR="007B75B1">
        <w:rPr>
          <w:rFonts w:ascii="Times New Roman" w:hAnsi="Times New Roman"/>
          <w:lang w:val="en-GB"/>
          <w14:textOutline w14:w="0" w14:cap="flat" w14:cmpd="sng" w14:algn="ctr">
            <w14:noFill/>
            <w14:prstDash w14:val="solid"/>
            <w14:bevel/>
          </w14:textOutline>
        </w:rPr>
        <w:t>their</w:t>
      </w:r>
      <w:r w:rsidR="00AC5A34">
        <w:rPr>
          <w:rFonts w:ascii="Times New Roman" w:hAnsi="Times New Roman"/>
          <w:lang w:val="en-GB"/>
          <w14:textOutline w14:w="0" w14:cap="flat" w14:cmpd="sng" w14:algn="ctr">
            <w14:noFill/>
            <w14:prstDash w14:val="solid"/>
            <w14:bevel/>
          </w14:textOutline>
        </w:rPr>
        <w:t xml:space="preserve"> appearance as having undergone variation. 3. Finally, variation also describes the way of proceeding of a historian of philosophy or a person doing philosophy and their way of making reference to past variations</w:t>
      </w:r>
      <w:r w:rsidR="007A5D1D" w:rsidRPr="00B312EF">
        <w:rPr>
          <w:rFonts w:ascii="Times New Roman" w:hAnsi="Times New Roman"/>
          <w:lang w:val="en-GB"/>
          <w14:textOutline w14:w="0" w14:cap="flat" w14:cmpd="sng" w14:algn="ctr">
            <w14:noFill/>
            <w14:prstDash w14:val="solid"/>
            <w14:bevel/>
          </w14:textOutline>
        </w:rPr>
        <w:t>.</w:t>
      </w:r>
    </w:p>
    <w:p w14:paraId="02A5D5BD" w14:textId="378D519E" w:rsidR="00567B29" w:rsidRDefault="00AC5A34" w:rsidP="00567B29">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hAnsi="Times New Roman"/>
          <w:lang w:val="en-GB"/>
        </w:rPr>
      </w:pPr>
      <w:r>
        <w:rPr>
          <w:rFonts w:ascii="Times New Roman" w:hAnsi="Times New Roman"/>
          <w:lang w:val="en-GB"/>
        </w:rPr>
        <w:t xml:space="preserve">For Blumenberg, as should </w:t>
      </w:r>
      <w:r w:rsidR="008F47A4">
        <w:rPr>
          <w:rFonts w:ascii="Times New Roman" w:hAnsi="Times New Roman"/>
          <w:lang w:val="en-GB"/>
        </w:rPr>
        <w:t>be</w:t>
      </w:r>
      <w:r>
        <w:rPr>
          <w:rFonts w:ascii="Times New Roman" w:hAnsi="Times New Roman"/>
          <w:lang w:val="en-GB"/>
        </w:rPr>
        <w:t xml:space="preserve"> clear by now, there is no standard of measurement external to history (or the history of variation) or applicable to the past after the fact</w:t>
      </w:r>
      <w:r w:rsidR="008F47A4">
        <w:rPr>
          <w:rFonts w:ascii="Times New Roman" w:hAnsi="Times New Roman"/>
          <w:lang w:val="en-GB"/>
        </w:rPr>
        <w:t>, such that we could</w:t>
      </w:r>
      <w:r>
        <w:rPr>
          <w:rFonts w:ascii="Times New Roman" w:hAnsi="Times New Roman"/>
          <w:lang w:val="en-GB"/>
        </w:rPr>
        <w:t xml:space="preserve"> make a final judgment about history as a whole and </w:t>
      </w:r>
      <w:r w:rsidR="007B75B1">
        <w:rPr>
          <w:rFonts w:ascii="Times New Roman" w:hAnsi="Times New Roman"/>
          <w:lang w:val="en-GB"/>
        </w:rPr>
        <w:t xml:space="preserve">its individual </w:t>
      </w:r>
      <w:r w:rsidR="00D335FB">
        <w:rPr>
          <w:rFonts w:ascii="Times New Roman" w:hAnsi="Times New Roman"/>
          <w:lang w:val="en-GB"/>
        </w:rPr>
        <w:t>production</w:t>
      </w:r>
      <w:r w:rsidR="007B75B1">
        <w:rPr>
          <w:rFonts w:ascii="Times New Roman" w:hAnsi="Times New Roman"/>
          <w:lang w:val="en-GB"/>
        </w:rPr>
        <w:t>s</w:t>
      </w:r>
      <w:r>
        <w:rPr>
          <w:rFonts w:ascii="Times New Roman" w:hAnsi="Times New Roman"/>
          <w:lang w:val="en-GB"/>
        </w:rPr>
        <w:t>. Because there is nothing outside history, it seems that</w:t>
      </w:r>
      <w:r w:rsidR="00567B29">
        <w:rPr>
          <w:rFonts w:ascii="Times New Roman" w:hAnsi="Times New Roman"/>
          <w:lang w:val="en-GB"/>
        </w:rPr>
        <w:t xml:space="preserve"> it</w:t>
      </w:r>
      <w:r>
        <w:rPr>
          <w:rFonts w:ascii="Times New Roman" w:hAnsi="Times New Roman"/>
          <w:lang w:val="en-GB"/>
        </w:rPr>
        <w:t xml:space="preserve"> is ultimately no one other than history </w:t>
      </w:r>
      <w:r w:rsidR="008F47A4">
        <w:rPr>
          <w:rFonts w:ascii="Times New Roman" w:hAnsi="Times New Roman"/>
          <w:lang w:val="en-GB"/>
        </w:rPr>
        <w:t>itse</w:t>
      </w:r>
      <w:r>
        <w:rPr>
          <w:rFonts w:ascii="Times New Roman" w:hAnsi="Times New Roman"/>
          <w:lang w:val="en-GB"/>
        </w:rPr>
        <w:t xml:space="preserve">lf </w:t>
      </w:r>
      <w:r w:rsidR="00567B29">
        <w:rPr>
          <w:rFonts w:ascii="Times New Roman" w:hAnsi="Times New Roman"/>
          <w:lang w:val="en-GB"/>
        </w:rPr>
        <w:t>who judges the</w:t>
      </w:r>
      <w:r>
        <w:rPr>
          <w:rFonts w:ascii="Times New Roman" w:hAnsi="Times New Roman"/>
          <w:lang w:val="en-GB"/>
        </w:rPr>
        <w:t xml:space="preserve"> </w:t>
      </w:r>
      <w:r w:rsidR="00567B29">
        <w:rPr>
          <w:rFonts w:ascii="Times New Roman" w:hAnsi="Times New Roman"/>
          <w:lang w:val="en-GB"/>
        </w:rPr>
        <w:t xml:space="preserve">importance of </w:t>
      </w:r>
      <w:r w:rsidR="00D335FB">
        <w:rPr>
          <w:rFonts w:ascii="Times New Roman" w:hAnsi="Times New Roman"/>
          <w:lang w:val="en-GB"/>
        </w:rPr>
        <w:t>its productions</w:t>
      </w:r>
      <w:r w:rsidR="00567B29">
        <w:rPr>
          <w:rFonts w:ascii="Times New Roman" w:hAnsi="Times New Roman"/>
          <w:lang w:val="en-GB"/>
        </w:rPr>
        <w:t>. Whether a particular philosophical variation is considered “good” or “successful” can therefore only emerge out of the discursive play of variations itself (and may perhaps change in the process of the ongoing doing of philosophy and receptive composing of variations). It is the criteria immanent to the play of variations or the aspirations that arise out of the variations themselves according to which individual variations can be measured</w:t>
      </w:r>
      <w:r w:rsidR="007A5D1D" w:rsidRPr="00B312EF">
        <w:rPr>
          <w:rFonts w:ascii="Times New Roman" w:hAnsi="Times New Roman"/>
          <w:lang w:val="en-GB"/>
        </w:rPr>
        <w:t xml:space="preserve">. </w:t>
      </w:r>
      <w:r w:rsidR="00567B29">
        <w:rPr>
          <w:rFonts w:ascii="Times New Roman" w:hAnsi="Times New Roman"/>
          <w:lang w:val="en-GB"/>
        </w:rPr>
        <w:t xml:space="preserve">Finally, it is also a matter of the extent to which the variations prove to be intersubjectively “satisfactory” and functional for the discourse participants, that is, the extent to which they satisfy particular historically and situationally conditioned expectations and needs. The question here is whether the variations say something to us, whether they </w:t>
      </w:r>
      <w:r w:rsidR="00FF1BE1">
        <w:rPr>
          <w:rFonts w:ascii="Times New Roman" w:hAnsi="Times New Roman"/>
          <w:lang w:val="en-GB"/>
        </w:rPr>
        <w:t>give us a better view of and make it easier for us to understand something</w:t>
      </w:r>
      <w:r w:rsidR="00567B29">
        <w:rPr>
          <w:rFonts w:ascii="Times New Roman" w:hAnsi="Times New Roman"/>
          <w:lang w:val="en-GB"/>
        </w:rPr>
        <w:t xml:space="preserve"> that appears to us (still) questionable or in need of explanation</w:t>
      </w:r>
      <w:r w:rsidR="00FF1BE1">
        <w:rPr>
          <w:rFonts w:ascii="Times New Roman" w:hAnsi="Times New Roman"/>
          <w:lang w:val="en-GB"/>
        </w:rPr>
        <w:t>, or not</w:t>
      </w:r>
      <w:r w:rsidR="007A5D1D" w:rsidRPr="00B312EF">
        <w:rPr>
          <w:rFonts w:ascii="Times New Roman" w:hAnsi="Times New Roman"/>
          <w:lang w:val="en-GB"/>
        </w:rPr>
        <w:t>.</w:t>
      </w:r>
    </w:p>
    <w:p w14:paraId="05DB34E8" w14:textId="572DEA27" w:rsidR="007A5D1D" w:rsidRPr="00567B29" w:rsidRDefault="007A5D1D" w:rsidP="00567B29">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hAnsi="Times New Roman"/>
          <w:lang w:val="en-GB"/>
        </w:rPr>
      </w:pPr>
      <w:r w:rsidRPr="00B312EF">
        <w:rPr>
          <w:rFonts w:ascii="Times New Roman" w:hAnsi="Times New Roman"/>
          <w:b/>
          <w:bCs/>
          <w:lang w:val="en-GB"/>
        </w:rPr>
        <w:t xml:space="preserve">6. </w:t>
      </w:r>
      <w:r w:rsidR="00FF1BE1">
        <w:rPr>
          <w:rFonts w:ascii="Times New Roman" w:hAnsi="Times New Roman"/>
          <w:b/>
          <w:bCs/>
          <w:lang w:val="en-GB"/>
        </w:rPr>
        <w:t>Prospects</w:t>
      </w:r>
    </w:p>
    <w:p w14:paraId="458950BE" w14:textId="15E9D242" w:rsidR="007A5D1D" w:rsidRPr="00B312EF" w:rsidRDefault="00FF1BE1"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In conclusion, we would like to once again make clear the purpose of our article by taking up two critical questions it may provoke</w:t>
      </w:r>
      <w:r w:rsidR="007A5D1D" w:rsidRPr="00B312EF">
        <w:rPr>
          <w:rFonts w:ascii="Times New Roman" w:hAnsi="Times New Roman"/>
          <w:lang w:val="en-GB"/>
        </w:rPr>
        <w:t>.</w:t>
      </w:r>
    </w:p>
    <w:p w14:paraId="3FEB6629" w14:textId="02372F47" w:rsidR="007A5D1D" w:rsidRPr="00B312EF" w:rsidRDefault="00FF1BE1"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 xml:space="preserve">Our aim in what we have said has been to give grounds for the thesis that philosophy teaching and the history of philosophy should be seen as two aspects of a unified play of variations. This is not least a matter of overcoming the dividing line that Hegel drew between two ways of doing philosophy, the systematic on one side of the line and the historical on the other. In order to make our thesis more concrete, illustrate it, and </w:t>
      </w:r>
      <w:r w:rsidR="004476DF">
        <w:rPr>
          <w:rFonts w:ascii="Times New Roman" w:hAnsi="Times New Roman"/>
          <w:lang w:val="en-GB"/>
        </w:rPr>
        <w:t>give it greater depth</w:t>
      </w:r>
      <w:r>
        <w:rPr>
          <w:rFonts w:ascii="Times New Roman" w:hAnsi="Times New Roman"/>
          <w:lang w:val="en-GB"/>
        </w:rPr>
        <w:t xml:space="preserve">, we turned in the last section to Hans Blumenberg’s theory of the history of philosophy and his praxis of writing that history. </w:t>
      </w:r>
      <w:r w:rsidR="00737BB4">
        <w:rPr>
          <w:rFonts w:ascii="Times New Roman" w:hAnsi="Times New Roman"/>
          <w:lang w:val="en-GB"/>
        </w:rPr>
        <w:t>Now</w:t>
      </w:r>
      <w:r>
        <w:rPr>
          <w:rFonts w:ascii="Times New Roman" w:hAnsi="Times New Roman"/>
          <w:lang w:val="en-GB"/>
        </w:rPr>
        <w:t xml:space="preserve">, Blumenberg could </w:t>
      </w:r>
      <w:r w:rsidR="00737BB4">
        <w:rPr>
          <w:rFonts w:ascii="Times New Roman" w:hAnsi="Times New Roman"/>
          <w:lang w:val="en-GB"/>
        </w:rPr>
        <w:t xml:space="preserve">in fact </w:t>
      </w:r>
      <w:r>
        <w:rPr>
          <w:rFonts w:ascii="Times New Roman" w:hAnsi="Times New Roman"/>
          <w:lang w:val="en-GB"/>
        </w:rPr>
        <w:t xml:space="preserve">with some justice be </w:t>
      </w:r>
      <w:r w:rsidR="00737BB4">
        <w:rPr>
          <w:rFonts w:ascii="Times New Roman" w:hAnsi="Times New Roman"/>
          <w:lang w:val="en-GB"/>
        </w:rPr>
        <w:t>cit</w:t>
      </w:r>
      <w:r>
        <w:rPr>
          <w:rFonts w:ascii="Times New Roman" w:hAnsi="Times New Roman"/>
          <w:lang w:val="en-GB"/>
        </w:rPr>
        <w:t xml:space="preserve">ed as an example of a philosopher </w:t>
      </w:r>
      <w:r w:rsidR="00737BB4">
        <w:rPr>
          <w:rFonts w:ascii="Times New Roman" w:hAnsi="Times New Roman"/>
          <w:lang w:val="en-GB"/>
        </w:rPr>
        <w:t xml:space="preserve">with an especially receptive way of working. Philosophers who describe their own work as systematic or analytical, in particular, might therefore ask us whether with our </w:t>
      </w:r>
      <w:r w:rsidR="00737BB4">
        <w:rPr>
          <w:rFonts w:ascii="Times New Roman" w:hAnsi="Times New Roman"/>
          <w:lang w:val="en-GB"/>
        </w:rPr>
        <w:lastRenderedPageBreak/>
        <w:t xml:space="preserve">understanding of doing philosophy as composing variations and our choice of Blumenberg to illustrate it we have not taken a one-sided position in </w:t>
      </w:r>
      <w:r w:rsidR="009412B9">
        <w:rPr>
          <w:rFonts w:ascii="Times New Roman" w:hAnsi="Times New Roman"/>
          <w:lang w:val="en-GB"/>
        </w:rPr>
        <w:t>favour</w:t>
      </w:r>
      <w:r w:rsidR="00737BB4">
        <w:rPr>
          <w:rFonts w:ascii="Times New Roman" w:hAnsi="Times New Roman"/>
          <w:lang w:val="en-GB"/>
        </w:rPr>
        <w:t xml:space="preserve"> of the hermeneutical tradition</w:t>
      </w:r>
      <w:r w:rsidR="007A5D1D" w:rsidRPr="00B312EF">
        <w:rPr>
          <w:rFonts w:ascii="Times New Roman" w:hAnsi="Times New Roman"/>
          <w:lang w:val="en-GB"/>
        </w:rPr>
        <w:t>.</w:t>
      </w:r>
    </w:p>
    <w:p w14:paraId="44BB0444" w14:textId="1C0EA53E" w:rsidR="007A5D1D" w:rsidRPr="00C82E90" w:rsidRDefault="00737BB4" w:rsidP="00C82E90">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hAnsi="Times New Roman"/>
          <w:lang w:val="en-GB"/>
        </w:rPr>
      </w:pPr>
      <w:r>
        <w:rPr>
          <w:rFonts w:ascii="Times New Roman" w:hAnsi="Times New Roman"/>
          <w:lang w:val="en-GB"/>
        </w:rPr>
        <w:t xml:space="preserve">However, the assertion that a philosophy that understands itself as, for example, aprioristic also proceeds by composing variations, in that it </w:t>
      </w:r>
      <w:r w:rsidR="00A0437E">
        <w:rPr>
          <w:rFonts w:ascii="Times New Roman" w:hAnsi="Times New Roman"/>
          <w:lang w:val="en-GB"/>
        </w:rPr>
        <w:t>links up</w:t>
      </w:r>
      <w:r>
        <w:rPr>
          <w:rFonts w:ascii="Times New Roman" w:hAnsi="Times New Roman"/>
          <w:lang w:val="en-GB"/>
        </w:rPr>
        <w:t xml:space="preserve"> </w:t>
      </w:r>
      <w:r w:rsidR="00A0437E">
        <w:rPr>
          <w:rFonts w:ascii="Times New Roman" w:hAnsi="Times New Roman"/>
          <w:lang w:val="en-GB"/>
        </w:rPr>
        <w:t>with</w:t>
      </w:r>
      <w:r>
        <w:rPr>
          <w:rFonts w:ascii="Times New Roman" w:hAnsi="Times New Roman"/>
          <w:lang w:val="en-GB"/>
        </w:rPr>
        <w:t xml:space="preserve"> earlier positions (agreeing with them, rejecting them, or whatever the case may be), but also </w:t>
      </w:r>
      <w:r w:rsidR="004476DF">
        <w:rPr>
          <w:rFonts w:ascii="Times New Roman" w:hAnsi="Times New Roman"/>
          <w:lang w:val="en-GB"/>
        </w:rPr>
        <w:t>with</w:t>
      </w:r>
      <w:r>
        <w:rPr>
          <w:rFonts w:ascii="Times New Roman" w:hAnsi="Times New Roman"/>
          <w:lang w:val="en-GB"/>
        </w:rPr>
        <w:t xml:space="preserve"> particular philosophical forms of praxis, and that these </w:t>
      </w:r>
      <w:r w:rsidR="00A0437E">
        <w:rPr>
          <w:rFonts w:ascii="Times New Roman" w:hAnsi="Times New Roman"/>
          <w:lang w:val="en-GB"/>
        </w:rPr>
        <w:t>links</w:t>
      </w:r>
      <w:r>
        <w:rPr>
          <w:rFonts w:ascii="Times New Roman" w:hAnsi="Times New Roman"/>
          <w:lang w:val="en-GB"/>
        </w:rPr>
        <w:t xml:space="preserve"> presuppose a (cultural and institutional) </w:t>
      </w:r>
      <w:r w:rsidR="002E466C">
        <w:rPr>
          <w:rFonts w:ascii="Times New Roman" w:hAnsi="Times New Roman"/>
          <w:lang w:val="en-GB"/>
        </w:rPr>
        <w:t>framework</w:t>
      </w:r>
      <w:r>
        <w:rPr>
          <w:rFonts w:ascii="Times New Roman" w:hAnsi="Times New Roman"/>
          <w:lang w:val="en-GB"/>
        </w:rPr>
        <w:t xml:space="preserve">, does not yet say anything about whether this philosophy’s internal claim to validity is justified or not. In addition, the assertion that every philosophical variation is aimed at future acts of variational </w:t>
      </w:r>
      <w:r w:rsidR="00A0437E">
        <w:rPr>
          <w:rFonts w:ascii="Times New Roman" w:hAnsi="Times New Roman"/>
          <w:lang w:val="en-GB"/>
        </w:rPr>
        <w:t>linkage</w:t>
      </w:r>
      <w:r>
        <w:rPr>
          <w:rFonts w:ascii="Times New Roman" w:hAnsi="Times New Roman"/>
          <w:lang w:val="en-GB"/>
        </w:rPr>
        <w:t xml:space="preserve"> is not yet relativism about truth. We can readily take Descartes’s </w:t>
      </w:r>
      <w:r>
        <w:rPr>
          <w:rFonts w:ascii="Times New Roman" w:hAnsi="Times New Roman"/>
          <w:i/>
          <w:iCs/>
          <w:lang w:val="en-GB"/>
        </w:rPr>
        <w:t>Meditations</w:t>
      </w:r>
      <w:r>
        <w:rPr>
          <w:rFonts w:ascii="Times New Roman" w:hAnsi="Times New Roman"/>
          <w:lang w:val="en-GB"/>
        </w:rPr>
        <w:t xml:space="preserve"> seriously in their systematic claim to be First Philosophy while at the same time rejecting Descartes’s claim to have</w:t>
      </w:r>
      <w:r w:rsidR="00C82E90">
        <w:rPr>
          <w:rFonts w:ascii="Times New Roman" w:hAnsi="Times New Roman"/>
          <w:lang w:val="en-GB"/>
        </w:rPr>
        <w:t xml:space="preserve"> historically restarted philosophy from scratch. The possibility of a priori knowledge is hence not excluded by an understanding of doing philosophy as composing variations. Rather, the self-understanding of philosophers who work </w:t>
      </w:r>
      <w:r w:rsidR="00D335FB">
        <w:rPr>
          <w:rFonts w:ascii="Times New Roman" w:hAnsi="Times New Roman"/>
          <w:lang w:val="en-GB"/>
        </w:rPr>
        <w:t>systematically</w:t>
      </w:r>
      <w:r w:rsidR="00C82E90">
        <w:rPr>
          <w:rFonts w:ascii="Times New Roman" w:hAnsi="Times New Roman"/>
          <w:lang w:val="en-GB"/>
        </w:rPr>
        <w:t xml:space="preserve"> is only in need of correction when it is accompanied by the supposition that philosophical praxis takes place in a vacuum, that is, when the constitutive relationship of the philosopher’s own praxis </w:t>
      </w:r>
      <w:r w:rsidR="00D335FB">
        <w:rPr>
          <w:rFonts w:ascii="Times New Roman" w:hAnsi="Times New Roman"/>
          <w:lang w:val="en-GB"/>
        </w:rPr>
        <w:t>to</w:t>
      </w:r>
      <w:r w:rsidR="00C82E90">
        <w:rPr>
          <w:rFonts w:ascii="Times New Roman" w:hAnsi="Times New Roman"/>
          <w:lang w:val="en-GB"/>
        </w:rPr>
        <w:t xml:space="preserve"> the history of philosophy is not acknowledged. The specific historicity of philosophy manifests itself according to our thesis – unlike in Gadamer’s herme</w:t>
      </w:r>
      <w:r w:rsidR="009412B9">
        <w:rPr>
          <w:rFonts w:ascii="Times New Roman" w:hAnsi="Times New Roman"/>
          <w:lang w:val="en-GB"/>
        </w:rPr>
        <w:t>ne</w:t>
      </w:r>
      <w:r w:rsidR="00C82E90">
        <w:rPr>
          <w:rFonts w:ascii="Times New Roman" w:hAnsi="Times New Roman"/>
          <w:lang w:val="en-GB"/>
        </w:rPr>
        <w:t xml:space="preserve">utics, for example – not in the fact that philosophers stand from the beginning in a tradition that determines (and limits) their ways of thinking, but rather in the fact that in the course of doing philosophy, they actively </w:t>
      </w:r>
      <w:r w:rsidR="00A0437E">
        <w:rPr>
          <w:rFonts w:ascii="Times New Roman" w:hAnsi="Times New Roman"/>
          <w:lang w:val="en-GB"/>
        </w:rPr>
        <w:t>link up with</w:t>
      </w:r>
      <w:r w:rsidR="00C82E90">
        <w:rPr>
          <w:rFonts w:ascii="Times New Roman" w:hAnsi="Times New Roman"/>
          <w:lang w:val="en-GB"/>
        </w:rPr>
        <w:t xml:space="preserve"> the history of philosophy and in this way “enter into” it.</w:t>
      </w:r>
    </w:p>
    <w:p w14:paraId="559F8895" w14:textId="4793ED66" w:rsidR="007A5D1D" w:rsidRPr="00B312EF" w:rsidRDefault="00C82E90"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 xml:space="preserve">Now for the second question: if our thesis is accepted, then the consequence for philosophy education is above all a shifting of coordinates in the way </w:t>
      </w:r>
      <w:r w:rsidR="00BF75DC">
        <w:rPr>
          <w:rFonts w:ascii="Times New Roman" w:hAnsi="Times New Roman"/>
          <w:lang w:val="en-GB"/>
        </w:rPr>
        <w:t xml:space="preserve">that we think and talk about the relationship between philosophy teaching and the history of philosophy. It is not that the history of philosophy is </w:t>
      </w:r>
      <w:r w:rsidR="00D335FB">
        <w:rPr>
          <w:rFonts w:ascii="Times New Roman" w:hAnsi="Times New Roman"/>
          <w:lang w:val="en-GB"/>
        </w:rPr>
        <w:t>brought</w:t>
      </w:r>
      <w:r w:rsidR="00BF75DC">
        <w:rPr>
          <w:rFonts w:ascii="Times New Roman" w:hAnsi="Times New Roman"/>
          <w:lang w:val="en-GB"/>
        </w:rPr>
        <w:t xml:space="preserve"> into the classroom but that the pupils become participants in the history of philosophy. But isn’t it an exaggeration to talk about pupils as participants in the history of philosophy when they are coming into contact with philosophy in the classroom </w:t>
      </w:r>
      <w:r w:rsidR="00D335FB">
        <w:rPr>
          <w:rFonts w:ascii="Times New Roman" w:hAnsi="Times New Roman"/>
          <w:lang w:val="en-GB"/>
        </w:rPr>
        <w:t>for</w:t>
      </w:r>
      <w:r w:rsidR="00BF75DC">
        <w:rPr>
          <w:rFonts w:ascii="Times New Roman" w:hAnsi="Times New Roman"/>
          <w:lang w:val="en-GB"/>
        </w:rPr>
        <w:t xml:space="preserve"> the first time, often have no new or original, let alone “historic,” ideas to contribute, and are presumably for the most part also not participating in public philosophical debates through publications? Isn’t this idea based on an idealized vision of the philosophy classroom and pupils doing philosophy?</w:t>
      </w:r>
      <w:r w:rsidR="007A5D1D" w:rsidRPr="00B312EF">
        <w:rPr>
          <w:rFonts w:ascii="Times New Roman" w:hAnsi="Times New Roman"/>
          <w:lang w:val="en-GB"/>
        </w:rPr>
        <w:t xml:space="preserve"> </w:t>
      </w:r>
    </w:p>
    <w:p w14:paraId="64479AD6" w14:textId="47356C34" w:rsidR="007A5D1D" w:rsidRPr="00B312EF" w:rsidRDefault="00BF75DC"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 xml:space="preserve">In view of the realities of academia, it may indeed be easy to assume that particular </w:t>
      </w:r>
      <w:r>
        <w:rPr>
          <w:rFonts w:ascii="Times New Roman" w:hAnsi="Times New Roman"/>
          <w:lang w:val="en-GB"/>
        </w:rPr>
        <w:lastRenderedPageBreak/>
        <w:t xml:space="preserve">prerequisites must be met for someone to participate in the history of philosophy and that it is </w:t>
      </w:r>
      <w:r w:rsidR="00D335FB">
        <w:rPr>
          <w:rFonts w:ascii="Times New Roman" w:hAnsi="Times New Roman"/>
          <w:lang w:val="en-GB"/>
        </w:rPr>
        <w:t xml:space="preserve">really </w:t>
      </w:r>
      <w:r>
        <w:rPr>
          <w:rFonts w:ascii="Times New Roman" w:hAnsi="Times New Roman"/>
          <w:lang w:val="en-GB"/>
        </w:rPr>
        <w:t xml:space="preserve">only possible to speak of such participation </w:t>
      </w:r>
      <w:r w:rsidR="00D335FB">
        <w:rPr>
          <w:rFonts w:ascii="Times New Roman" w:hAnsi="Times New Roman"/>
          <w:lang w:val="en-GB"/>
        </w:rPr>
        <w:t>once</w:t>
      </w:r>
      <w:r>
        <w:rPr>
          <w:rFonts w:ascii="Times New Roman" w:hAnsi="Times New Roman"/>
          <w:lang w:val="en-GB"/>
        </w:rPr>
        <w:t xml:space="preserve"> a philosophical contribution has been judged “historic” by those who come after. However, this </w:t>
      </w:r>
      <w:r w:rsidR="009412B9">
        <w:rPr>
          <w:rFonts w:ascii="Times New Roman" w:hAnsi="Times New Roman"/>
          <w:lang w:val="en-GB"/>
        </w:rPr>
        <w:t>assumption</w:t>
      </w:r>
      <w:r>
        <w:rPr>
          <w:rFonts w:ascii="Times New Roman" w:hAnsi="Times New Roman"/>
          <w:lang w:val="en-GB"/>
        </w:rPr>
        <w:t xml:space="preserve"> is (especially from the perspective of philosophy education) unjustified. Unlike in the Catholic Church, for example, in philosophy there </w:t>
      </w:r>
      <w:r w:rsidR="001B3159">
        <w:rPr>
          <w:rFonts w:ascii="Times New Roman" w:hAnsi="Times New Roman"/>
          <w:lang w:val="en-GB"/>
        </w:rPr>
        <w:t xml:space="preserve">absolutely cannot be an exclusive order of “ordained priests” with special privileges compared to the group of the “laity.” For this reason, one of the goals of our argument was to describe the history of philosophy as structurally </w:t>
      </w:r>
      <w:r w:rsidR="004476DF">
        <w:rPr>
          <w:rFonts w:ascii="Times New Roman" w:hAnsi="Times New Roman"/>
          <w:lang w:val="en-GB"/>
        </w:rPr>
        <w:t>unresolved</w:t>
      </w:r>
      <w:r w:rsidR="001B3159">
        <w:rPr>
          <w:rFonts w:ascii="Times New Roman" w:hAnsi="Times New Roman"/>
          <w:lang w:val="en-GB"/>
        </w:rPr>
        <w:t xml:space="preserve"> and accessible. Whether philosophical praxis becomes effective through participation in the public philosophical discourse or by influencing the practitioner’s own life – if only by the fact that they do philosophy in the first place – is irrelevant to the question of whether the</w:t>
      </w:r>
      <w:r w:rsidR="004476DF">
        <w:rPr>
          <w:rFonts w:ascii="Times New Roman" w:hAnsi="Times New Roman"/>
          <w:lang w:val="en-GB"/>
        </w:rPr>
        <w:t>y</w:t>
      </w:r>
      <w:r w:rsidR="001B3159">
        <w:rPr>
          <w:rFonts w:ascii="Times New Roman" w:hAnsi="Times New Roman"/>
          <w:lang w:val="en-GB"/>
        </w:rPr>
        <w:t xml:space="preserve"> participate in the history of philosophy understood as a play of variations</w:t>
      </w:r>
      <w:r w:rsidR="007A5D1D" w:rsidRPr="00B312EF">
        <w:rPr>
          <w:rFonts w:ascii="Times New Roman" w:hAnsi="Times New Roman"/>
          <w:lang w:val="en-GB"/>
        </w:rPr>
        <w:t>.</w:t>
      </w:r>
    </w:p>
    <w:p w14:paraId="2A0BF45C" w14:textId="7782ED46" w:rsidR="007A5D1D" w:rsidRPr="00B312EF" w:rsidRDefault="001B3159"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lang w:val="en-GB"/>
        </w:rPr>
      </w:pPr>
      <w:r>
        <w:rPr>
          <w:rFonts w:ascii="Times New Roman" w:hAnsi="Times New Roman"/>
          <w:lang w:val="en-GB"/>
        </w:rPr>
        <w:t xml:space="preserve">Now, it is indeed the case that pupils in the classroom should first of all </w:t>
      </w:r>
      <w:r>
        <w:rPr>
          <w:rFonts w:ascii="Times New Roman" w:hAnsi="Times New Roman"/>
          <w:i/>
          <w:iCs/>
          <w:lang w:val="en-GB"/>
        </w:rPr>
        <w:t>learn</w:t>
      </w:r>
      <w:r>
        <w:rPr>
          <w:rFonts w:ascii="Times New Roman" w:hAnsi="Times New Roman"/>
          <w:lang w:val="en-GB"/>
        </w:rPr>
        <w:t xml:space="preserve"> to do philosophy. At what point, however, have they learned enough to be qualified to participate in the history of philosophy? It does not </w:t>
      </w:r>
      <w:r w:rsidR="00D335FB">
        <w:rPr>
          <w:rFonts w:ascii="Times New Roman" w:hAnsi="Times New Roman"/>
          <w:lang w:val="en-GB"/>
        </w:rPr>
        <w:t>seem reasonable</w:t>
      </w:r>
      <w:r>
        <w:rPr>
          <w:rFonts w:ascii="Times New Roman" w:hAnsi="Times New Roman"/>
          <w:lang w:val="en-GB"/>
        </w:rPr>
        <w:t xml:space="preserve"> to try to establish a particular </w:t>
      </w:r>
      <w:r w:rsidR="009412B9">
        <w:rPr>
          <w:rFonts w:ascii="Times New Roman" w:hAnsi="Times New Roman"/>
          <w:lang w:val="en-GB"/>
        </w:rPr>
        <w:t>threshold</w:t>
      </w:r>
      <w:r>
        <w:rPr>
          <w:rFonts w:ascii="Times New Roman" w:hAnsi="Times New Roman"/>
          <w:lang w:val="en-GB"/>
        </w:rPr>
        <w:t>. O</w:t>
      </w:r>
      <w:r w:rsidR="004476DF">
        <w:rPr>
          <w:rFonts w:ascii="Times New Roman" w:hAnsi="Times New Roman"/>
          <w:lang w:val="en-GB"/>
        </w:rPr>
        <w:t>u</w:t>
      </w:r>
      <w:r>
        <w:rPr>
          <w:rFonts w:ascii="Times New Roman" w:hAnsi="Times New Roman"/>
          <w:lang w:val="en-GB"/>
        </w:rPr>
        <w:t xml:space="preserve">r suggestion is therefore to understand the learning process itself as a process of </w:t>
      </w:r>
      <w:r>
        <w:rPr>
          <w:rFonts w:ascii="Times New Roman" w:hAnsi="Times New Roman"/>
          <w:i/>
          <w:iCs/>
          <w:lang w:val="en-GB"/>
        </w:rPr>
        <w:t>becoming involved in the philosophical play of variations</w:t>
      </w:r>
      <w:r>
        <w:rPr>
          <w:rFonts w:ascii="Times New Roman" w:hAnsi="Times New Roman"/>
          <w:lang w:val="en-GB"/>
        </w:rPr>
        <w:t xml:space="preserve">. Where classroom practice is concerned, this might lead to an argument, for example, that becoming involved in a praxis of variational </w:t>
      </w:r>
      <w:r w:rsidR="00A0437E">
        <w:rPr>
          <w:rFonts w:ascii="Times New Roman" w:hAnsi="Times New Roman"/>
          <w:lang w:val="en-GB"/>
        </w:rPr>
        <w:t>linkage with</w:t>
      </w:r>
      <w:r>
        <w:rPr>
          <w:rFonts w:ascii="Times New Roman" w:hAnsi="Times New Roman"/>
          <w:lang w:val="en-GB"/>
        </w:rPr>
        <w:t xml:space="preserve"> a previous speaker </w:t>
      </w:r>
      <w:r w:rsidR="003D34DF">
        <w:rPr>
          <w:rFonts w:ascii="Times New Roman" w:hAnsi="Times New Roman"/>
          <w:lang w:val="en-GB"/>
        </w:rPr>
        <w:t xml:space="preserve">should also have a media component that takes into consideration the </w:t>
      </w:r>
      <w:r w:rsidR="002E2CA8">
        <w:rPr>
          <w:rFonts w:ascii="Times New Roman" w:hAnsi="Times New Roman"/>
          <w:lang w:val="en-GB"/>
        </w:rPr>
        <w:t>empirica</w:t>
      </w:r>
      <w:r w:rsidR="003D34DF">
        <w:rPr>
          <w:rFonts w:ascii="Times New Roman" w:hAnsi="Times New Roman"/>
          <w:lang w:val="en-GB"/>
        </w:rPr>
        <w:t xml:space="preserve">l significance of texts within the philosophical play of variations. We might </w:t>
      </w:r>
      <w:r w:rsidR="00D335FB">
        <w:rPr>
          <w:rFonts w:ascii="Times New Roman" w:hAnsi="Times New Roman"/>
          <w:lang w:val="en-GB"/>
        </w:rPr>
        <w:t>further</w:t>
      </w:r>
      <w:r w:rsidR="003D34DF">
        <w:rPr>
          <w:rFonts w:ascii="Times New Roman" w:hAnsi="Times New Roman"/>
          <w:lang w:val="en-GB"/>
        </w:rPr>
        <w:t xml:space="preserve"> conclude that this process should be accompanied by an “expansion of the hypoleptic horizon” (Assmann) that increasingly makes the philosophical play of variations transparent and in the literal sense of the </w:t>
      </w:r>
      <w:r w:rsidR="00D335FB">
        <w:rPr>
          <w:rFonts w:ascii="Times New Roman" w:hAnsi="Times New Roman"/>
          <w:lang w:val="en-GB"/>
        </w:rPr>
        <w:t>word</w:t>
      </w:r>
      <w:r w:rsidR="003D34DF">
        <w:rPr>
          <w:rFonts w:ascii="Times New Roman" w:hAnsi="Times New Roman"/>
          <w:lang w:val="en-GB"/>
        </w:rPr>
        <w:t xml:space="preserve"> </w:t>
      </w:r>
      <w:r w:rsidR="003D34DF">
        <w:rPr>
          <w:rFonts w:ascii="Times New Roman" w:hAnsi="Times New Roman"/>
          <w:i/>
          <w:iCs/>
          <w:lang w:val="en-GB"/>
        </w:rPr>
        <w:t>accessible</w:t>
      </w:r>
      <w:r w:rsidR="003D34DF">
        <w:rPr>
          <w:rFonts w:ascii="Times New Roman" w:hAnsi="Times New Roman"/>
          <w:lang w:val="en-GB"/>
        </w:rPr>
        <w:t xml:space="preserve"> as an ongoing process over thousands of years</w:t>
      </w:r>
      <w:r w:rsidR="007A5D1D" w:rsidRPr="00B312EF">
        <w:rPr>
          <w:rFonts w:ascii="Times New Roman" w:hAnsi="Times New Roman"/>
          <w:lang w:val="en-GB"/>
        </w:rPr>
        <w:t>.</w:t>
      </w:r>
    </w:p>
    <w:p w14:paraId="27AA477D" w14:textId="775ECA3B" w:rsidR="007A5D1D" w:rsidRPr="00B312EF" w:rsidRDefault="00BC1D3C" w:rsidP="007A5D1D">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spacing w:before="0" w:after="120" w:line="360" w:lineRule="auto"/>
        <w:jc w:val="both"/>
        <w:rPr>
          <w:rFonts w:ascii="Times New Roman" w:eastAsia="Times New Roman" w:hAnsi="Times New Roman" w:cs="Times New Roman"/>
          <w:lang w:val="en-GB"/>
        </w:rPr>
      </w:pPr>
      <w:r>
        <w:rPr>
          <w:rFonts w:ascii="Times New Roman" w:hAnsi="Times New Roman"/>
          <w:lang w:val="en-GB"/>
        </w:rPr>
        <w:t>To u</w:t>
      </w:r>
      <w:r w:rsidR="003D34DF">
        <w:rPr>
          <w:rFonts w:ascii="Times New Roman" w:hAnsi="Times New Roman"/>
          <w:lang w:val="en-GB"/>
        </w:rPr>
        <w:t>nderstand</w:t>
      </w:r>
      <w:r>
        <w:rPr>
          <w:rFonts w:ascii="Times New Roman" w:hAnsi="Times New Roman"/>
          <w:lang w:val="en-GB"/>
        </w:rPr>
        <w:t xml:space="preserve"> </w:t>
      </w:r>
      <w:r w:rsidR="003D34DF">
        <w:rPr>
          <w:rFonts w:ascii="Times New Roman" w:hAnsi="Times New Roman"/>
          <w:lang w:val="en-GB"/>
        </w:rPr>
        <w:t xml:space="preserve">doing philosophy as composing variations naturally does not </w:t>
      </w:r>
      <w:r w:rsidR="00D335FB">
        <w:rPr>
          <w:rFonts w:ascii="Times New Roman" w:hAnsi="Times New Roman"/>
          <w:lang w:val="en-GB"/>
        </w:rPr>
        <w:t xml:space="preserve">yet </w:t>
      </w:r>
      <w:r w:rsidR="003D34DF">
        <w:rPr>
          <w:rFonts w:ascii="Times New Roman" w:hAnsi="Times New Roman"/>
          <w:lang w:val="en-GB"/>
        </w:rPr>
        <w:t>imply a</w:t>
      </w:r>
      <w:r w:rsidR="00D335FB">
        <w:rPr>
          <w:rFonts w:ascii="Times New Roman" w:hAnsi="Times New Roman"/>
          <w:lang w:val="en-GB"/>
        </w:rPr>
        <w:t xml:space="preserve"> judgment</w:t>
      </w:r>
      <w:r w:rsidR="003D34DF">
        <w:rPr>
          <w:rFonts w:ascii="Times New Roman" w:hAnsi="Times New Roman"/>
          <w:lang w:val="en-GB"/>
        </w:rPr>
        <w:t xml:space="preserve"> about where the instructional emphasis should fall – to what extent, for example, the receptive aspect of doing philosophy should be brough</w:t>
      </w:r>
      <w:r w:rsidR="007B18FD">
        <w:rPr>
          <w:rFonts w:ascii="Times New Roman" w:hAnsi="Times New Roman"/>
          <w:lang w:val="en-GB"/>
        </w:rPr>
        <w:t>t</w:t>
      </w:r>
      <w:r w:rsidR="003D34DF">
        <w:rPr>
          <w:rFonts w:ascii="Times New Roman" w:hAnsi="Times New Roman"/>
          <w:lang w:val="en-GB"/>
        </w:rPr>
        <w:t xml:space="preserve"> out, and to what extent this requires the reading of (primary) texts. Nevertheless, we hope to have shown that the history of philosophy is not just another external object in comparison to pupils’ activity of doing philosophy, something to which reference may be made in the classroom from time to time – or not. </w:t>
      </w:r>
      <w:r w:rsidR="004476DF">
        <w:rPr>
          <w:rFonts w:ascii="Times New Roman" w:hAnsi="Times New Roman"/>
          <w:lang w:val="en-GB"/>
        </w:rPr>
        <w:t>Understand</w:t>
      </w:r>
      <w:r>
        <w:rPr>
          <w:rFonts w:ascii="Times New Roman" w:hAnsi="Times New Roman"/>
          <w:lang w:val="en-GB"/>
        </w:rPr>
        <w:t xml:space="preserve">ing pupils as participating in the history of philosophy in the classroom offers a suitable point of departure, we believe, from which to rethink the concrete educational </w:t>
      </w:r>
      <w:r>
        <w:rPr>
          <w:rFonts w:ascii="Times New Roman" w:hAnsi="Times New Roman"/>
          <w:lang w:val="en-GB"/>
        </w:rPr>
        <w:lastRenderedPageBreak/>
        <w:t>questions of whether, why, and how the history of philosophy should be “integrated” into philosophy teaching</w:t>
      </w:r>
      <w:r w:rsidR="007A5D1D" w:rsidRPr="00B312EF">
        <w:rPr>
          <w:rFonts w:ascii="Times New Roman" w:hAnsi="Times New Roman"/>
          <w:lang w:val="en-GB"/>
        </w:rPr>
        <w:t>.</w:t>
      </w:r>
    </w:p>
    <w:p w14:paraId="4A8546A0" w14:textId="77777777" w:rsidR="007A5D1D" w:rsidRPr="00E769CD" w:rsidRDefault="007A5D1D" w:rsidP="007A5D1D">
      <w:pPr>
        <w:pStyle w:val="Flietext"/>
        <w:tabs>
          <w:tab w:val="clear" w:pos="8640"/>
          <w:tab w:val="left" w:pos="8520"/>
        </w:tabs>
        <w:rPr>
          <w:b/>
          <w:bCs/>
          <w:noProof/>
          <w:sz w:val="24"/>
          <w:szCs w:val="24"/>
          <w:shd w:val="clear" w:color="auto" w:fill="F79646"/>
        </w:rPr>
      </w:pPr>
      <w:r w:rsidRPr="00E769CD">
        <w:rPr>
          <w:b/>
          <w:bCs/>
          <w:noProof/>
          <w:sz w:val="24"/>
          <w:szCs w:val="24"/>
          <w:shd w:val="clear" w:color="auto" w:fill="F79646"/>
        </w:rPr>
        <w:t>7. Literatur</w:t>
      </w:r>
    </w:p>
    <w:p w14:paraId="75F33526"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Angehrn, Emil (1999), „Philosophiegeschichte und Geschichtsphilosophie</w:t>
      </w:r>
      <w:r w:rsidRPr="00E769CD">
        <w:rPr>
          <w:noProof/>
          <w:shd w:val="clear" w:color="auto" w:fill="F79646"/>
          <w:rtl/>
          <w:lang w:bidi="ar-SA"/>
        </w:rPr>
        <w:t>“</w:t>
      </w:r>
      <w:r w:rsidRPr="00E769CD">
        <w:rPr>
          <w:rFonts w:ascii="Times Roman" w:hAnsi="Times Roman"/>
          <w:noProof/>
          <w:shd w:val="clear" w:color="auto" w:fill="F79646"/>
        </w:rPr>
        <w:t>.,</w:t>
      </w:r>
      <w:r w:rsidRPr="00E769CD">
        <w:rPr>
          <w:rFonts w:ascii="Times Roman" w:hAnsi="Times Roman"/>
          <w:i/>
          <w:iCs/>
          <w:noProof/>
          <w:shd w:val="clear" w:color="auto" w:fill="F79646"/>
        </w:rPr>
        <w:t>Die Zukunft des Wissens: XVIII. Deutscher Kongress für Philosophie,</w:t>
      </w:r>
      <w:r w:rsidRPr="00E769CD">
        <w:rPr>
          <w:rFonts w:ascii="Times Roman" w:hAnsi="Times Roman"/>
          <w:noProof/>
          <w:shd w:val="clear" w:color="auto" w:fill="F79646"/>
        </w:rPr>
        <w:t xml:space="preserve"> Berlin [Seitenzahl]</w:t>
      </w:r>
    </w:p>
    <w:p w14:paraId="0E4AE885"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Angehrn, Emil (2003), „Denken in der Zeit: Philosophiegeschichte und Geschichtsphilosophie“, in: Johannes Rohbeck, Herta Nagl-Docekal (Eds.), </w:t>
      </w:r>
      <w:r w:rsidRPr="00E769CD">
        <w:rPr>
          <w:rFonts w:ascii="Times Roman" w:hAnsi="Times Roman"/>
          <w:i/>
          <w:iCs/>
          <w:noProof/>
          <w:shd w:val="clear" w:color="auto" w:fill="F79646"/>
        </w:rPr>
        <w:t>Geschichtsphilosophie und Kulturkritik: historische und systematische Studien</w:t>
      </w:r>
      <w:r w:rsidRPr="00E769CD">
        <w:rPr>
          <w:rFonts w:ascii="Times Roman" w:hAnsi="Times Roman"/>
          <w:noProof/>
          <w:shd w:val="clear" w:color="auto" w:fill="F79646"/>
        </w:rPr>
        <w:t>, Darmstadt: Wissenschaftliche Buchgesellschaft, 184-201.</w:t>
      </w:r>
    </w:p>
    <w:p w14:paraId="6AC6F794"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Angehrn, Emil (2014), „Das Denken der Geschichte. Hegels Theorie des Geistes zwischen Geschichtsphilosophie und Philosophiegeschichte“, </w:t>
      </w:r>
      <w:r w:rsidRPr="00E769CD">
        <w:rPr>
          <w:rFonts w:ascii="Times Roman" w:hAnsi="Times Roman"/>
          <w:i/>
          <w:iCs/>
          <w:noProof/>
          <w:shd w:val="clear" w:color="auto" w:fill="F79646"/>
        </w:rPr>
        <w:t xml:space="preserve">Internationales Jahrbuch des Deutschen Idealismus </w:t>
      </w:r>
      <w:r w:rsidRPr="00E769CD">
        <w:rPr>
          <w:rFonts w:ascii="Times Roman" w:hAnsi="Times Roman"/>
          <w:noProof/>
          <w:shd w:val="clear" w:color="auto" w:fill="F79646"/>
        </w:rPr>
        <w:t>10, 198–215.</w:t>
      </w:r>
    </w:p>
    <w:p w14:paraId="6E14CA9F"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Assmann, Jan (2018), </w:t>
      </w:r>
      <w:r w:rsidRPr="00E769CD">
        <w:rPr>
          <w:rFonts w:ascii="Times Roman" w:hAnsi="Times Roman"/>
          <w:i/>
          <w:iCs/>
          <w:noProof/>
          <w:shd w:val="clear" w:color="auto" w:fill="F79646"/>
        </w:rPr>
        <w:t>Das kulturelle Gedächtnis. Schrift, Erinnerung und politische Identität in frühen Hochkulturen</w:t>
      </w:r>
      <w:r w:rsidRPr="00E769CD">
        <w:rPr>
          <w:rFonts w:ascii="Times Roman" w:hAnsi="Times Roman"/>
          <w:noProof/>
          <w:shd w:val="clear" w:color="auto" w:fill="F79646"/>
        </w:rPr>
        <w:t xml:space="preserve">, 7. Auflage, München: Beck. </w:t>
      </w:r>
    </w:p>
    <w:p w14:paraId="2EAE184B"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Bauer, Christoph Johannes (2001), </w:t>
      </w:r>
      <w:r w:rsidRPr="00E769CD">
        <w:rPr>
          <w:rFonts w:ascii="Times Roman" w:hAnsi="Times Roman"/>
          <w:i/>
          <w:iCs/>
          <w:noProof/>
          <w:shd w:val="clear" w:color="auto" w:fill="F79646"/>
        </w:rPr>
        <w:t>„Das Geheimnis aller Bewegung ist ihr Zweck.“ Geschichtsphilosophie bei Hegel und Droysen</w:t>
      </w:r>
      <w:r w:rsidRPr="00E769CD">
        <w:rPr>
          <w:rFonts w:ascii="Times Roman" w:hAnsi="Times Roman"/>
          <w:noProof/>
          <w:shd w:val="clear" w:color="auto" w:fill="F79646"/>
        </w:rPr>
        <w:t>, Hamburg: Meiner.</w:t>
      </w:r>
    </w:p>
    <w:p w14:paraId="67E6C9B0"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Bertold, Jürg (2011), </w:t>
      </w:r>
      <w:r w:rsidRPr="00E769CD">
        <w:rPr>
          <w:rFonts w:ascii="Times Roman" w:hAnsi="Times Roman"/>
          <w:i/>
          <w:iCs/>
          <w:noProof/>
          <w:shd w:val="clear" w:color="auto" w:fill="F79646"/>
        </w:rPr>
        <w:t>Kampfplatz endloser Streitigkeiten. Studien zur Geschichtlichkeit der Philosophie</w:t>
      </w:r>
      <w:r w:rsidRPr="00E769CD">
        <w:rPr>
          <w:rFonts w:ascii="Times Roman" w:hAnsi="Times Roman"/>
          <w:noProof/>
          <w:shd w:val="clear" w:color="auto" w:fill="F79646"/>
        </w:rPr>
        <w:t>, Basel: Schwabe.</w:t>
      </w:r>
    </w:p>
    <w:p w14:paraId="1BD459FA"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Blumenberg, Hans (1961), „Die Vorbereitung der Neuzeit“, in: </w:t>
      </w:r>
      <w:r w:rsidRPr="00E769CD">
        <w:rPr>
          <w:rFonts w:ascii="Times Roman" w:hAnsi="Times Roman"/>
          <w:i/>
          <w:iCs/>
          <w:noProof/>
          <w:shd w:val="clear" w:color="auto" w:fill="F79646"/>
        </w:rPr>
        <w:t>Philosophische Rundschau</w:t>
      </w:r>
      <w:r w:rsidRPr="00E769CD">
        <w:rPr>
          <w:rFonts w:ascii="Times Roman" w:hAnsi="Times Roman"/>
          <w:noProof/>
          <w:shd w:val="clear" w:color="auto" w:fill="F79646"/>
        </w:rPr>
        <w:t xml:space="preserve"> 9, 1961, 2/3, 81-133. </w:t>
      </w:r>
    </w:p>
    <w:p w14:paraId="3C8C9B05"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Blumenberg, Hans (2011), </w:t>
      </w:r>
      <w:r w:rsidRPr="00E769CD">
        <w:rPr>
          <w:rFonts w:ascii="Times Roman" w:hAnsi="Times Roman"/>
          <w:i/>
          <w:iCs/>
          <w:noProof/>
          <w:shd w:val="clear" w:color="auto" w:fill="F79646"/>
        </w:rPr>
        <w:t>Die Vollzähligkeit der Sterne</w:t>
      </w:r>
      <w:r w:rsidRPr="00E769CD">
        <w:rPr>
          <w:rFonts w:ascii="Times Roman" w:hAnsi="Times Roman"/>
          <w:noProof/>
          <w:shd w:val="clear" w:color="auto" w:fill="F79646"/>
        </w:rPr>
        <w:t xml:space="preserve">. Frankfurt. a.M.: Suhrkamp. </w:t>
      </w:r>
    </w:p>
    <w:p w14:paraId="7923E86D" w14:textId="4AFD14F3"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Blumenberg, Hans (2020), </w:t>
      </w:r>
      <w:r w:rsidRPr="00E769CD">
        <w:rPr>
          <w:rFonts w:ascii="Times Roman" w:hAnsi="Times Roman"/>
          <w:i/>
          <w:iCs/>
          <w:noProof/>
          <w:shd w:val="clear" w:color="auto" w:fill="F79646"/>
        </w:rPr>
        <w:t xml:space="preserve">Die Legitimität der Neuzeit, </w:t>
      </w:r>
      <w:r w:rsidRPr="00E769CD">
        <w:rPr>
          <w:rFonts w:ascii="Times Roman" w:hAnsi="Times Roman"/>
          <w:noProof/>
          <w:shd w:val="clear" w:color="auto" w:fill="F79646"/>
        </w:rPr>
        <w:t xml:space="preserve">9. Auflage, Frankfurt a.M.: Suhrkamp. </w:t>
      </w:r>
    </w:p>
    <w:p w14:paraId="7198A717" w14:textId="7361D7B8"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Blumenberg, Hans (2021), </w:t>
      </w:r>
      <w:r w:rsidRPr="00E769CD">
        <w:rPr>
          <w:rFonts w:ascii="Times Roman" w:hAnsi="Times Roman"/>
          <w:i/>
          <w:iCs/>
          <w:noProof/>
          <w:shd w:val="clear" w:color="auto" w:fill="F79646"/>
        </w:rPr>
        <w:t>Typologie der frühen Wirkungen. Der Stillstand des Himmels und der Fortgang der Zeit</w:t>
      </w:r>
      <w:r w:rsidRPr="00E769CD">
        <w:rPr>
          <w:rFonts w:ascii="Times Roman" w:hAnsi="Times Roman"/>
          <w:noProof/>
          <w:shd w:val="clear" w:color="auto" w:fill="F79646"/>
        </w:rPr>
        <w:t>, 8. Auflage. Frankfurt.a.M.: Suhrkamp.</w:t>
      </w:r>
    </w:p>
    <w:p w14:paraId="084F0330"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Blumenberg, Hans (2022), </w:t>
      </w:r>
      <w:r w:rsidRPr="00E769CD">
        <w:rPr>
          <w:rFonts w:ascii="Times Roman" w:hAnsi="Times Roman"/>
          <w:i/>
          <w:iCs/>
          <w:noProof/>
          <w:shd w:val="clear" w:color="auto" w:fill="F79646"/>
        </w:rPr>
        <w:t>Die ontologische Distanz.</w:t>
      </w:r>
      <w:r w:rsidRPr="00E769CD">
        <w:rPr>
          <w:rFonts w:ascii="Times Roman" w:hAnsi="Times Roman"/>
          <w:noProof/>
          <w:shd w:val="clear" w:color="auto" w:fill="F79646"/>
        </w:rPr>
        <w:t xml:space="preserve"> Berlin: Suhrkamp. </w:t>
      </w:r>
    </w:p>
    <w:p w14:paraId="5A39F638"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Boss, Gilbert (ed.) (1994), </w:t>
      </w:r>
      <w:r w:rsidRPr="00E769CD">
        <w:rPr>
          <w:rFonts w:ascii="Times Roman" w:hAnsi="Times Roman"/>
          <w:i/>
          <w:iCs/>
          <w:noProof/>
          <w:shd w:val="clear" w:color="auto" w:fill="F79646"/>
        </w:rPr>
        <w:t xml:space="preserve">La philosophie et son histoire. </w:t>
      </w:r>
      <w:r w:rsidRPr="00E769CD">
        <w:rPr>
          <w:rFonts w:ascii="Times Roman" w:hAnsi="Times Roman"/>
          <w:noProof/>
          <w:shd w:val="clear" w:color="auto" w:fill="F79646"/>
        </w:rPr>
        <w:t>Zürich: GMB Éditions du Grand Midi.</w:t>
      </w:r>
    </w:p>
    <w:p w14:paraId="7CA79B81"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Brázda, Radim (2020), „Variationen als Methode der Philosophiegeschichte – Marquard und Blumenberg“, in: </w:t>
      </w:r>
      <w:r w:rsidRPr="00E769CD">
        <w:rPr>
          <w:rFonts w:ascii="Times Roman" w:hAnsi="Times Roman"/>
          <w:i/>
          <w:iCs/>
          <w:noProof/>
          <w:shd w:val="clear" w:color="auto" w:fill="F79646"/>
        </w:rPr>
        <w:t xml:space="preserve">Pro-Fil </w:t>
      </w:r>
      <w:r w:rsidRPr="00E769CD">
        <w:rPr>
          <w:rFonts w:ascii="Times Roman" w:hAnsi="Times Roman"/>
          <w:noProof/>
          <w:shd w:val="clear" w:color="auto" w:fill="F79646"/>
        </w:rPr>
        <w:t xml:space="preserve">(Special Issue), 2020, 57-68. </w:t>
      </w:r>
      <w:hyperlink r:id="rId7" w:history="1">
        <w:r w:rsidRPr="00E769CD">
          <w:rPr>
            <w:rStyle w:val="Hyperlink0"/>
            <w:rFonts w:ascii="Times Roman" w:hAnsi="Times Roman"/>
            <w:noProof/>
            <w:shd w:val="clear" w:color="auto" w:fill="F79646"/>
          </w:rPr>
          <w:t>https://doi.org/10.5817/pf20-3-2098</w:t>
        </w:r>
      </w:hyperlink>
      <w:r w:rsidRPr="00E769CD">
        <w:rPr>
          <w:rFonts w:ascii="Times Roman" w:hAnsi="Times Roman"/>
          <w:noProof/>
          <w:shd w:val="clear" w:color="auto" w:fill="F79646"/>
        </w:rPr>
        <w:t xml:space="preserve"> </w:t>
      </w:r>
    </w:p>
    <w:p w14:paraId="4505A9E9"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Johann Gustav (1958), </w:t>
      </w:r>
      <w:r w:rsidRPr="00E769CD">
        <w:rPr>
          <w:rFonts w:ascii="Times Roman" w:hAnsi="Times Roman"/>
          <w:i/>
          <w:iCs/>
          <w:noProof/>
          <w:shd w:val="clear" w:color="auto" w:fill="F79646"/>
        </w:rPr>
        <w:t>Historik. Vorlesungen über Enzyklopädie und Methodologie der Geschichte. Herausgegeben von Rudolf Hübner</w:t>
      </w:r>
      <w:r w:rsidRPr="00E769CD">
        <w:rPr>
          <w:rFonts w:ascii="Times Roman" w:hAnsi="Times Roman"/>
          <w:noProof/>
          <w:shd w:val="clear" w:color="auto" w:fill="F79646"/>
        </w:rPr>
        <w:t>, 3. Auflage, München: Oldenbourg.</w:t>
      </w:r>
    </w:p>
    <w:p w14:paraId="055427D7"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Fulda, Hans Friedrich (2007), „Hegels These, dass die Aufeinanderfolge von philosophischen Systemen dieselbe sei wie die von Stufen logischer Gedankenentwicklung“, in: Dietmar H. Heidemann, Christian Krijnen (eds.), </w:t>
      </w:r>
      <w:r w:rsidRPr="00E769CD">
        <w:rPr>
          <w:rFonts w:ascii="Times Roman" w:hAnsi="Times Roman"/>
          <w:i/>
          <w:iCs/>
          <w:noProof/>
          <w:shd w:val="clear" w:color="auto" w:fill="F79646"/>
        </w:rPr>
        <w:t>Hegel und die Geschichte der Philosophie</w:t>
      </w:r>
      <w:r w:rsidRPr="00E769CD">
        <w:rPr>
          <w:rFonts w:ascii="Times Roman" w:hAnsi="Times Roman"/>
          <w:noProof/>
          <w:shd w:val="clear" w:color="auto" w:fill="F79646"/>
        </w:rPr>
        <w:t>, Darmstadt: WBG, 4–14.</w:t>
      </w:r>
    </w:p>
    <w:p w14:paraId="08890E91"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Geldsetzer, Lutz (1968), </w:t>
      </w:r>
      <w:r w:rsidRPr="00E769CD">
        <w:rPr>
          <w:rFonts w:ascii="Times Roman" w:hAnsi="Times Roman"/>
          <w:i/>
          <w:iCs/>
          <w:noProof/>
          <w:shd w:val="clear" w:color="auto" w:fill="F79646"/>
        </w:rPr>
        <w:t>Die Philosophie der Philosophiegeschichte im 19. Jahrhundert</w:t>
      </w:r>
      <w:r w:rsidRPr="00E769CD">
        <w:rPr>
          <w:rFonts w:ascii="Times Roman" w:hAnsi="Times Roman"/>
          <w:noProof/>
          <w:shd w:val="clear" w:color="auto" w:fill="F79646"/>
        </w:rPr>
        <w:t>, Meisenheim am Glan: Anton Hein.</w:t>
      </w:r>
    </w:p>
    <w:p w14:paraId="0D0091A4"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Goldstein, Jürgen (2004), „Zwischen Texttreue und Spekulation. Hans Blumenbergs Hermeneutik des geschichtlichen Hintergrunds am Beispiel des Spätmittelalters</w:t>
      </w:r>
      <w:r w:rsidRPr="00E769CD">
        <w:rPr>
          <w:rFonts w:ascii="Times Roman" w:hAnsi="Times Roman"/>
          <w:noProof/>
          <w:shd w:val="clear" w:color="auto" w:fill="F79646"/>
          <w:rtl/>
          <w:lang w:bidi="ar-SA"/>
        </w:rPr>
        <w:t>“</w:t>
      </w:r>
      <w:r w:rsidRPr="00E769CD">
        <w:rPr>
          <w:rFonts w:ascii="Times Roman" w:hAnsi="Times Roman"/>
          <w:noProof/>
          <w:shd w:val="clear" w:color="auto" w:fill="F79646"/>
        </w:rPr>
        <w:t xml:space="preserve">, in: Apersten, Jan A., Martin Pickavé (eds.), </w:t>
      </w:r>
      <w:r w:rsidRPr="00E769CD">
        <w:rPr>
          <w:rFonts w:ascii="Times Roman" w:hAnsi="Times Roman"/>
          <w:i/>
          <w:iCs/>
          <w:noProof/>
          <w:shd w:val="clear" w:color="auto" w:fill="F79646"/>
        </w:rPr>
        <w:t>Herbst des Mittelalters</w:t>
      </w:r>
      <w:r w:rsidRPr="00E769CD">
        <w:rPr>
          <w:rFonts w:ascii="Times Roman" w:hAnsi="Times Roman"/>
          <w:i/>
          <w:iCs/>
          <w:noProof/>
          <w:shd w:val="clear" w:color="auto" w:fill="F79646"/>
          <w:rtl/>
          <w:lang w:bidi="ar-SA"/>
        </w:rPr>
        <w:t>“</w:t>
      </w:r>
      <w:r w:rsidRPr="00E769CD">
        <w:rPr>
          <w:rFonts w:ascii="Times Roman" w:hAnsi="Times Roman"/>
          <w:i/>
          <w:iCs/>
          <w:noProof/>
          <w:shd w:val="clear" w:color="auto" w:fill="F79646"/>
        </w:rPr>
        <w:t>? Fragen zur Bewertung des 14. und 15. Jahrhunderts</w:t>
      </w:r>
      <w:r w:rsidRPr="00E769CD">
        <w:rPr>
          <w:rFonts w:ascii="Times Roman" w:hAnsi="Times Roman"/>
          <w:noProof/>
          <w:shd w:val="clear" w:color="auto" w:fill="F79646"/>
        </w:rPr>
        <w:t>,</w:t>
      </w:r>
      <w:r w:rsidRPr="00E769CD">
        <w:rPr>
          <w:rFonts w:ascii="Times Roman" w:hAnsi="Times Roman"/>
          <w:i/>
          <w:iCs/>
          <w:noProof/>
          <w:shd w:val="clear" w:color="auto" w:fill="F79646"/>
        </w:rPr>
        <w:t xml:space="preserve"> </w:t>
      </w:r>
      <w:r w:rsidRPr="00E769CD">
        <w:rPr>
          <w:rFonts w:ascii="Times Roman" w:hAnsi="Times Roman"/>
          <w:noProof/>
          <w:shd w:val="clear" w:color="auto" w:fill="F79646"/>
        </w:rPr>
        <w:t xml:space="preserve">Berlin, New York: Walter de Gruyter. </w:t>
      </w:r>
    </w:p>
    <w:p w14:paraId="69E0068F"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Hackel, Christiane (2019), </w:t>
      </w:r>
      <w:r w:rsidRPr="00E769CD">
        <w:rPr>
          <w:rFonts w:ascii="Times Roman" w:hAnsi="Times Roman"/>
          <w:i/>
          <w:iCs/>
          <w:noProof/>
          <w:shd w:val="clear" w:color="auto" w:fill="F79646"/>
        </w:rPr>
        <w:t>Aristoteles-Rezeption in der Geschichtstheorie Johann Gustav Droysens</w:t>
      </w:r>
      <w:r w:rsidRPr="00E769CD">
        <w:rPr>
          <w:rFonts w:ascii="Times Roman" w:hAnsi="Times Roman"/>
          <w:noProof/>
          <w:shd w:val="clear" w:color="auto" w:fill="F79646"/>
        </w:rPr>
        <w:t>, Berlin: De Gruyter.</w:t>
      </w:r>
    </w:p>
    <w:p w14:paraId="52688ED0"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lastRenderedPageBreak/>
        <w:t xml:space="preserve">Hare, Peter (ed.) (1988), </w:t>
      </w:r>
      <w:r w:rsidRPr="00E769CD">
        <w:rPr>
          <w:rFonts w:ascii="Times Roman" w:hAnsi="Times Roman"/>
          <w:i/>
          <w:iCs/>
          <w:noProof/>
          <w:shd w:val="clear" w:color="auto" w:fill="F79646"/>
        </w:rPr>
        <w:t>Doing Philosophy Historically,</w:t>
      </w:r>
      <w:r w:rsidRPr="00E769CD">
        <w:rPr>
          <w:rFonts w:ascii="Times Roman" w:hAnsi="Times Roman"/>
          <w:noProof/>
          <w:shd w:val="clear" w:color="auto" w:fill="F79646"/>
        </w:rPr>
        <w:t xml:space="preserve"> Buffalo: Prometheus.</w:t>
      </w:r>
    </w:p>
    <w:p w14:paraId="103BACDD"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Havelock, Eric A. (1963), </w:t>
      </w:r>
      <w:r w:rsidRPr="00E769CD">
        <w:rPr>
          <w:rFonts w:ascii="Times Roman" w:hAnsi="Times Roman"/>
          <w:i/>
          <w:iCs/>
          <w:noProof/>
          <w:shd w:val="clear" w:color="auto" w:fill="F79646"/>
        </w:rPr>
        <w:t>Preface to Plato</w:t>
      </w:r>
      <w:r w:rsidRPr="00E769CD">
        <w:rPr>
          <w:rFonts w:ascii="Times Roman" w:hAnsi="Times Roman"/>
          <w:noProof/>
          <w:shd w:val="clear" w:color="auto" w:fill="F79646"/>
        </w:rPr>
        <w:t>. Oxford: Blackwell.</w:t>
      </w:r>
    </w:p>
    <w:p w14:paraId="5C6351F5"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Havelock, Erik A. (2007), </w:t>
      </w:r>
      <w:r w:rsidRPr="00E769CD">
        <w:rPr>
          <w:rFonts w:ascii="Times Roman" w:hAnsi="Times Roman"/>
          <w:i/>
          <w:iCs/>
          <w:noProof/>
          <w:shd w:val="clear" w:color="auto" w:fill="F79646"/>
        </w:rPr>
        <w:t>Als die Muse schreiben lernte. Eine Medientheorie</w:t>
      </w:r>
      <w:r w:rsidRPr="00E769CD">
        <w:rPr>
          <w:rFonts w:ascii="Times Roman" w:hAnsi="Times Roman"/>
          <w:noProof/>
          <w:shd w:val="clear" w:color="auto" w:fill="F79646"/>
        </w:rPr>
        <w:t>, Frankfurt a. M.: Hain.</w:t>
      </w:r>
    </w:p>
    <w:p w14:paraId="694BFC44" w14:textId="77777777" w:rsidR="007A5D1D" w:rsidRPr="00E769CD" w:rsidRDefault="007A5D1D" w:rsidP="007A5D1D">
      <w:pPr>
        <w:pStyle w:val="Standard"/>
        <w:numPr>
          <w:ilvl w:val="0"/>
          <w:numId w:val="6"/>
        </w:numPr>
        <w:spacing w:before="0" w:line="240" w:lineRule="auto"/>
        <w:rPr>
          <w:rFonts w:ascii="Times Roman" w:hAnsi="Times Roman"/>
          <w:noProof/>
          <w:color w:val="C0504D"/>
          <w:shd w:val="clear" w:color="auto" w:fill="F79646"/>
        </w:rPr>
      </w:pPr>
      <w:r w:rsidRPr="00E769CD">
        <w:rPr>
          <w:rFonts w:ascii="Times Roman" w:hAnsi="Times Roman"/>
          <w:noProof/>
          <w:color w:val="C0504D"/>
          <w:u w:color="C0504D"/>
          <w:shd w:val="clear" w:color="auto" w:fill="F79646"/>
        </w:rPr>
        <w:t xml:space="preserve">Hegel, Georg Wilhelm Friedrich (1971), </w:t>
      </w:r>
      <w:r w:rsidRPr="00E769CD">
        <w:rPr>
          <w:rFonts w:ascii="Times Roman" w:hAnsi="Times Roman"/>
          <w:i/>
          <w:iCs/>
          <w:noProof/>
          <w:color w:val="C0504D"/>
          <w:u w:color="C0504D"/>
          <w:shd w:val="clear" w:color="auto" w:fill="F79646"/>
        </w:rPr>
        <w:t>Vorlesungen über die Geschichte der Philosophie I</w:t>
      </w:r>
      <w:r w:rsidRPr="00E769CD">
        <w:rPr>
          <w:rFonts w:ascii="Times Roman" w:hAnsi="Times Roman"/>
          <w:noProof/>
          <w:color w:val="C0504D"/>
          <w:u w:color="C0504D"/>
          <w:shd w:val="clear" w:color="auto" w:fill="F79646"/>
        </w:rPr>
        <w:t>, Frankfurt a. M.: Suhrkamp</w:t>
      </w:r>
    </w:p>
    <w:p w14:paraId="2319BBDC" w14:textId="0B9DA2A9"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Husserl, Edmund (1954), </w:t>
      </w:r>
      <w:r w:rsidRPr="00E769CD">
        <w:rPr>
          <w:rFonts w:ascii="Times Roman" w:hAnsi="Times Roman"/>
          <w:i/>
          <w:iCs/>
          <w:noProof/>
          <w:shd w:val="clear" w:color="auto" w:fill="F79646"/>
        </w:rPr>
        <w:t xml:space="preserve">Die Krisis der europäischen Wissenschaften und die transzendentale Phänomenologie. Eine Einleitung in die phänomenologische Philosophie, </w:t>
      </w:r>
      <w:r w:rsidRPr="00E769CD">
        <w:rPr>
          <w:rFonts w:ascii="Times Roman" w:hAnsi="Times Roman"/>
          <w:noProof/>
          <w:shd w:val="clear" w:color="auto" w:fill="F79646"/>
        </w:rPr>
        <w:t xml:space="preserve">Husserliana, Bd. VI., Hg.v. Walter Biemel, Haag: Martinus Nijhoff. </w:t>
      </w:r>
    </w:p>
    <w:p w14:paraId="2D48A3C4"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Jäger, Ludwig (2004), „Der Schriftmythos. Zu den Grenzen der Literalitätshypothese“, in: Ludwig Jäger, Erika Linz (eds.), </w:t>
      </w:r>
      <w:r w:rsidRPr="00E769CD">
        <w:rPr>
          <w:rFonts w:ascii="Times Roman" w:hAnsi="Times Roman"/>
          <w:i/>
          <w:iCs/>
          <w:noProof/>
          <w:shd w:val="clear" w:color="auto" w:fill="F79646"/>
        </w:rPr>
        <w:t>Medialität und Mentalität: Theoretische und empirische Studien zum Verhältnis von Sprache, Subjektivität und Kognition</w:t>
      </w:r>
      <w:r w:rsidRPr="00E769CD">
        <w:rPr>
          <w:rFonts w:ascii="Times Roman" w:hAnsi="Times Roman"/>
          <w:noProof/>
          <w:shd w:val="clear" w:color="auto" w:fill="F79646"/>
        </w:rPr>
        <w:t>, München: Fink, 327–45.</w:t>
      </w:r>
    </w:p>
    <w:p w14:paraId="56BF5C8F"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Kant, Immanuel (2014), </w:t>
      </w:r>
      <w:r w:rsidRPr="00E769CD">
        <w:rPr>
          <w:rFonts w:ascii="Times Roman" w:hAnsi="Times Roman"/>
          <w:i/>
          <w:iCs/>
          <w:noProof/>
          <w:shd w:val="clear" w:color="auto" w:fill="F79646"/>
        </w:rPr>
        <w:t>Kritik der reinen Vernunft</w:t>
      </w:r>
      <w:r w:rsidRPr="00E769CD">
        <w:rPr>
          <w:rFonts w:ascii="Times Roman" w:hAnsi="Times Roman"/>
          <w:noProof/>
          <w:shd w:val="clear" w:color="auto" w:fill="F79646"/>
        </w:rPr>
        <w:t xml:space="preserve">. </w:t>
      </w:r>
      <w:r w:rsidRPr="00E769CD">
        <w:rPr>
          <w:rFonts w:ascii="Times Roman" w:hAnsi="Times Roman"/>
          <w:i/>
          <w:iCs/>
          <w:noProof/>
          <w:shd w:val="clear" w:color="auto" w:fill="F79646"/>
        </w:rPr>
        <w:t>Herausgegeben von Wilhelm Weischedel</w:t>
      </w:r>
      <w:r w:rsidRPr="00E769CD">
        <w:rPr>
          <w:rFonts w:ascii="Times Roman" w:hAnsi="Times Roman"/>
          <w:noProof/>
          <w:shd w:val="clear" w:color="auto" w:fill="F79646"/>
        </w:rPr>
        <w:t xml:space="preserve">, 8. Auflage, Frankfurt a. M.: Suhrkamp. </w:t>
      </w:r>
    </w:p>
    <w:p w14:paraId="064EC94C" w14:textId="77777777" w:rsidR="007A5D1D" w:rsidRPr="00E769CD" w:rsidRDefault="007A5D1D" w:rsidP="007A5D1D">
      <w:pPr>
        <w:pStyle w:val="Standard"/>
        <w:numPr>
          <w:ilvl w:val="0"/>
          <w:numId w:val="6"/>
        </w:numPr>
        <w:spacing w:before="0" w:line="240" w:lineRule="auto"/>
        <w:rPr>
          <w:rFonts w:ascii="Times New Roman" w:hAnsi="Times New Roman"/>
          <w:noProof/>
          <w:shd w:val="clear" w:color="auto" w:fill="F79646"/>
        </w:rPr>
      </w:pPr>
      <w:r w:rsidRPr="00E769CD">
        <w:rPr>
          <w:rFonts w:ascii="Times New Roman" w:hAnsi="Times New Roman"/>
          <w:noProof/>
          <w:shd w:val="clear" w:color="auto" w:fill="F79646"/>
        </w:rPr>
        <w:t xml:space="preserve">Kopp-Oberstebrink: &gt;Umbesetzung&lt;, in: Buch, Robert, Daniel Weidner (eds), </w:t>
      </w:r>
      <w:r w:rsidRPr="00E769CD">
        <w:rPr>
          <w:rFonts w:ascii="Times New Roman" w:hAnsi="Times New Roman"/>
          <w:i/>
          <w:iCs/>
          <w:noProof/>
          <w:shd w:val="clear" w:color="auto" w:fill="F79646"/>
        </w:rPr>
        <w:t xml:space="preserve">Blumenberg lesen. Ein Glossar. </w:t>
      </w:r>
      <w:r w:rsidRPr="00E769CD">
        <w:rPr>
          <w:rFonts w:ascii="Times New Roman" w:hAnsi="Times New Roman"/>
          <w:noProof/>
          <w:shd w:val="clear" w:color="auto" w:fill="F79646"/>
        </w:rPr>
        <w:t>Berlin: Suhrkamp, 350-363.</w:t>
      </w:r>
    </w:p>
    <w:p w14:paraId="178D18F1"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Laks, André (2018), </w:t>
      </w:r>
      <w:r w:rsidRPr="00E769CD">
        <w:rPr>
          <w:rFonts w:ascii="Times Roman" w:hAnsi="Times Roman"/>
          <w:i/>
          <w:iCs/>
          <w:noProof/>
          <w:shd w:val="clear" w:color="auto" w:fill="F79646"/>
        </w:rPr>
        <w:t>The Concept of Presocratic Philosophy: Its Origin, Development, and Significance</w:t>
      </w:r>
      <w:r w:rsidRPr="00E769CD">
        <w:rPr>
          <w:rFonts w:ascii="Times Roman" w:hAnsi="Times Roman"/>
          <w:noProof/>
          <w:shd w:val="clear" w:color="auto" w:fill="F79646"/>
        </w:rPr>
        <w:t>, Princeton: Princeton University Press.</w:t>
      </w:r>
    </w:p>
    <w:p w14:paraId="1B028F19"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New Roman" w:hAnsi="Times New Roman"/>
          <w:noProof/>
          <w:shd w:val="clear" w:color="auto" w:fill="F79646"/>
        </w:rPr>
        <w:t xml:space="preserve">Paret, Christoph (2022), „Lückenbüßer-Philosophie. Hans Blumenberg zwischen &gt;Umbesetzung&lt; und Besetzungsverzögerung.“, in: Bajohr, Hannes, Eva Geulen (eds.), </w:t>
      </w:r>
      <w:r w:rsidRPr="00E769CD">
        <w:rPr>
          <w:rFonts w:ascii="Times New Roman" w:hAnsi="Times New Roman"/>
          <w:i/>
          <w:iCs/>
          <w:noProof/>
          <w:shd w:val="clear" w:color="auto" w:fill="F79646"/>
        </w:rPr>
        <w:t xml:space="preserve">Blumenbergs Verfahren. Neue Zugänge zum Werk. </w:t>
      </w:r>
      <w:r w:rsidRPr="00E769CD">
        <w:rPr>
          <w:rFonts w:ascii="Times New Roman" w:hAnsi="Times New Roman"/>
          <w:noProof/>
          <w:shd w:val="clear" w:color="auto" w:fill="F79646"/>
        </w:rPr>
        <w:t>Göttingen: Wallstein, 269 - 288.</w:t>
      </w:r>
    </w:p>
    <w:p w14:paraId="4C3878BD"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Rée, Jonathan, Ayers, Michael, Westonby, Adam (eds.). 1978: </w:t>
      </w:r>
      <w:r w:rsidRPr="00E769CD">
        <w:rPr>
          <w:rFonts w:ascii="Times Roman" w:hAnsi="Times Roman"/>
          <w:i/>
          <w:iCs/>
          <w:noProof/>
          <w:shd w:val="clear" w:color="auto" w:fill="F79646"/>
        </w:rPr>
        <w:t>Philosophy an Its Past,</w:t>
      </w:r>
      <w:r w:rsidRPr="00E769CD">
        <w:rPr>
          <w:rFonts w:ascii="Times Roman" w:hAnsi="Times Roman"/>
          <w:noProof/>
          <w:shd w:val="clear" w:color="auto" w:fill="F79646"/>
        </w:rPr>
        <w:t xml:space="preserve"> Hassocks: Harvester.</w:t>
      </w:r>
    </w:p>
    <w:p w14:paraId="2D7CCF84"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Rohbeck, Johannes (2016), </w:t>
      </w:r>
      <w:r w:rsidRPr="00E769CD">
        <w:rPr>
          <w:rFonts w:ascii="Times Roman" w:hAnsi="Times Roman"/>
          <w:i/>
          <w:iCs/>
          <w:noProof/>
          <w:shd w:val="clear" w:color="auto" w:fill="F79646"/>
        </w:rPr>
        <w:t>Didaktik der Philosophie und Ethik</w:t>
      </w:r>
      <w:r w:rsidRPr="00E769CD">
        <w:rPr>
          <w:rFonts w:ascii="Times Roman" w:hAnsi="Times Roman"/>
          <w:noProof/>
          <w:shd w:val="clear" w:color="auto" w:fill="F79646"/>
        </w:rPr>
        <w:t xml:space="preserve">, 4., erweiterte Auflage, Dresden: Thelem. </w:t>
      </w:r>
    </w:p>
    <w:p w14:paraId="2831C12A"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Rohbeck, Johannes (2022), „Rückblick auf 50 Jahre Didaktik der Philosophie. Erinnerungen eines Fachdidaktikers“, </w:t>
      </w:r>
      <w:r w:rsidRPr="00E769CD">
        <w:rPr>
          <w:rFonts w:ascii="Times Roman" w:hAnsi="Times Roman"/>
          <w:i/>
          <w:iCs/>
          <w:noProof/>
          <w:shd w:val="clear" w:color="auto" w:fill="F79646"/>
        </w:rPr>
        <w:t>Information Philosophie</w:t>
      </w:r>
      <w:r w:rsidRPr="00E769CD">
        <w:rPr>
          <w:rFonts w:ascii="Times Roman" w:hAnsi="Times Roman"/>
          <w:noProof/>
          <w:shd w:val="clear" w:color="auto" w:fill="F79646"/>
        </w:rPr>
        <w:t xml:space="preserve"> 3/4, 113–117.</w:t>
      </w:r>
    </w:p>
    <w:p w14:paraId="17CC234E"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Paret, Christoph (2023), „Hier ist das Problem, her mit der Lösung! Das „Bonbonmodell“ und die Austreibung der Philosophie aus den Schulen“, in: Bettina Bussmann (ed.), </w:t>
      </w:r>
      <w:r w:rsidRPr="00E769CD">
        <w:rPr>
          <w:rFonts w:ascii="Times Roman" w:hAnsi="Times Roman"/>
          <w:i/>
          <w:iCs/>
          <w:noProof/>
          <w:shd w:val="clear" w:color="auto" w:fill="F79646"/>
        </w:rPr>
        <w:t>Philosophiedidaktik und Bildungsphilosophie. Kontroversen und neue Aufgaben</w:t>
      </w:r>
      <w:r w:rsidRPr="00E769CD">
        <w:rPr>
          <w:rFonts w:ascii="Times Roman" w:hAnsi="Times Roman"/>
          <w:noProof/>
          <w:shd w:val="clear" w:color="auto" w:fill="F79646"/>
        </w:rPr>
        <w:t>, Berlin: J. B. Metzler, 209–222.</w:t>
      </w:r>
    </w:p>
    <w:p w14:paraId="0D731FE9"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Richter, Philipp (2016), „Unterrichtsmethoden in der didaktische und fachdidaktischen Literatur. Bedeutung und Missverständnisse“, in: Philipp Richter (ed.), </w:t>
      </w:r>
      <w:r w:rsidRPr="00E769CD">
        <w:rPr>
          <w:rFonts w:ascii="Times Roman" w:hAnsi="Times Roman"/>
          <w:i/>
          <w:iCs/>
          <w:noProof/>
          <w:shd w:val="clear" w:color="auto" w:fill="F79646"/>
        </w:rPr>
        <w:t>Professionell Ethik und Philosophie unterrichten. Ein Arbeitsbuch,</w:t>
      </w:r>
      <w:r w:rsidRPr="00E769CD">
        <w:rPr>
          <w:rFonts w:ascii="Times Roman" w:hAnsi="Times Roman"/>
          <w:noProof/>
          <w:shd w:val="clear" w:color="auto" w:fill="F79646"/>
        </w:rPr>
        <w:t xml:space="preserve"> Stuttgart: Kohlhammer, 51–62.</w:t>
      </w:r>
    </w:p>
    <w:p w14:paraId="149BE671"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Rorty, Richard, Schneewind, Jerome B., Skinner, Quentin (eds.) (1984), </w:t>
      </w:r>
      <w:r w:rsidRPr="00E769CD">
        <w:rPr>
          <w:rFonts w:ascii="Times Roman" w:hAnsi="Times Roman"/>
          <w:i/>
          <w:iCs/>
          <w:noProof/>
          <w:shd w:val="clear" w:color="auto" w:fill="F79646"/>
        </w:rPr>
        <w:t>Philosophy in History</w:t>
      </w:r>
      <w:r w:rsidRPr="00E769CD">
        <w:rPr>
          <w:rFonts w:ascii="Times Roman" w:hAnsi="Times Roman"/>
          <w:noProof/>
          <w:shd w:val="clear" w:color="auto" w:fill="F79646"/>
        </w:rPr>
        <w:t xml:space="preserve">, Cambridge: Cambridge University Press. </w:t>
      </w:r>
    </w:p>
    <w:p w14:paraId="3BE44AC1"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t xml:space="preserve">Sauer, Hanno (2022), „The End of History“, </w:t>
      </w:r>
      <w:r w:rsidRPr="00E769CD">
        <w:rPr>
          <w:rFonts w:ascii="Times Roman" w:hAnsi="Times Roman"/>
          <w:i/>
          <w:iCs/>
          <w:noProof/>
          <w:shd w:val="clear" w:color="auto" w:fill="F79646"/>
        </w:rPr>
        <w:t>Inquiry</w:t>
      </w:r>
      <w:r w:rsidRPr="00E769CD">
        <w:rPr>
          <w:rFonts w:ascii="Times Roman" w:hAnsi="Times Roman"/>
          <w:noProof/>
          <w:shd w:val="clear" w:color="auto" w:fill="F79646"/>
        </w:rPr>
        <w:t xml:space="preserve">, 19. September 2022, 1–25, </w:t>
      </w:r>
      <w:hyperlink r:id="rId8" w:history="1">
        <w:r w:rsidRPr="00E769CD">
          <w:rPr>
            <w:rStyle w:val="Hyperlink1"/>
            <w:rFonts w:ascii="Times Roman" w:hAnsi="Times Roman"/>
            <w:noProof/>
            <w:shd w:val="clear" w:color="auto" w:fill="F79646"/>
          </w:rPr>
          <w:t>https://doi.org/10.1080/0020174X.2022.2124542</w:t>
        </w:r>
      </w:hyperlink>
      <w:r w:rsidRPr="00E769CD">
        <w:rPr>
          <w:rFonts w:ascii="Times Roman" w:hAnsi="Times Roman"/>
          <w:noProof/>
          <w:shd w:val="clear" w:color="auto" w:fill="F79646"/>
        </w:rPr>
        <w:t>.</w:t>
      </w:r>
    </w:p>
    <w:p w14:paraId="40148F73"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Style w:val="Ohne"/>
          <w:rFonts w:ascii="Times Roman" w:hAnsi="Times Roman"/>
          <w:noProof/>
          <w:shd w:val="clear" w:color="auto" w:fill="F79646"/>
        </w:rPr>
        <w:t>Schna</w:t>
      </w:r>
      <w:r w:rsidRPr="00E769CD">
        <w:rPr>
          <w:rFonts w:ascii="Times Roman" w:hAnsi="Times Roman"/>
          <w:noProof/>
          <w:shd w:val="clear" w:color="auto" w:fill="F79646"/>
        </w:rPr>
        <w:t>̈</w:t>
      </w:r>
      <w:r w:rsidRPr="00E769CD">
        <w:rPr>
          <w:rStyle w:val="Ohne"/>
          <w:rFonts w:ascii="Times Roman" w:hAnsi="Times Roman"/>
          <w:noProof/>
          <w:shd w:val="clear" w:color="auto" w:fill="F79646"/>
        </w:rPr>
        <w:t xml:space="preserve">delbach, Herbert (1974), </w:t>
      </w:r>
      <w:r w:rsidRPr="00E769CD">
        <w:rPr>
          <w:rStyle w:val="Ohne"/>
          <w:rFonts w:ascii="Times Roman" w:hAnsi="Times Roman"/>
          <w:i/>
          <w:iCs/>
          <w:noProof/>
          <w:shd w:val="clear" w:color="auto" w:fill="F79646"/>
        </w:rPr>
        <w:t>Geschichtsphilosophie nach Hegel: die Probleme des Historismu</w:t>
      </w:r>
      <w:r w:rsidRPr="00E769CD">
        <w:rPr>
          <w:rStyle w:val="Ohne"/>
          <w:rFonts w:ascii="Times Roman" w:hAnsi="Times Roman"/>
          <w:noProof/>
          <w:shd w:val="clear" w:color="auto" w:fill="F79646"/>
        </w:rPr>
        <w:t>s, Freiburg, Mu</w:t>
      </w:r>
      <w:r w:rsidRPr="00E769CD">
        <w:rPr>
          <w:rFonts w:ascii="Times Roman" w:hAnsi="Times Roman"/>
          <w:noProof/>
          <w:shd w:val="clear" w:color="auto" w:fill="F79646"/>
        </w:rPr>
        <w:t>̈</w:t>
      </w:r>
      <w:r w:rsidRPr="00E769CD">
        <w:rPr>
          <w:rStyle w:val="Ohne"/>
          <w:rFonts w:ascii="Times Roman" w:hAnsi="Times Roman"/>
          <w:noProof/>
          <w:shd w:val="clear" w:color="auto" w:fill="F79646"/>
        </w:rPr>
        <w:t>nchen: Alber.</w:t>
      </w:r>
    </w:p>
    <w:p w14:paraId="6FD01799"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Style w:val="Ohne"/>
          <w:rFonts w:ascii="Times Roman" w:hAnsi="Times Roman"/>
          <w:noProof/>
          <w:shd w:val="clear" w:color="auto" w:fill="F79646"/>
        </w:rPr>
        <w:t xml:space="preserve">Schneider, Helmut (2007), „System und Geschichte der Philosophie bei Hegel. Die Rezeption der Identitätsthese im 19. Jahrhundert“, in: Dietmar H. Heidemann, Christian Krijnen (eds.), </w:t>
      </w:r>
      <w:r w:rsidRPr="00E769CD">
        <w:rPr>
          <w:rStyle w:val="Ohne"/>
          <w:rFonts w:ascii="Times Roman" w:hAnsi="Times Roman"/>
          <w:i/>
          <w:iCs/>
          <w:noProof/>
          <w:shd w:val="clear" w:color="auto" w:fill="F79646"/>
        </w:rPr>
        <w:t>Hegel und die Geschichte der Philosophie</w:t>
      </w:r>
      <w:r w:rsidRPr="00E769CD">
        <w:rPr>
          <w:rStyle w:val="Ohne"/>
          <w:rFonts w:ascii="Times Roman" w:hAnsi="Times Roman"/>
          <w:noProof/>
          <w:shd w:val="clear" w:color="auto" w:fill="F79646"/>
        </w:rPr>
        <w:t>, Darmstadt: WBG. 15–44.</w:t>
      </w:r>
    </w:p>
    <w:p w14:paraId="1D264D35"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Style w:val="Ohne"/>
          <w:rFonts w:ascii="Times Roman" w:hAnsi="Times Roman"/>
          <w:noProof/>
          <w:shd w:val="clear" w:color="auto" w:fill="F79646"/>
        </w:rPr>
        <w:t xml:space="preserve">Sistermann, Rolf (2016), „Problemorientierung, Lernphasen, Arbeitsaufgaben“, in: Jonas Pfister, Peter Zimmermann (eds.), </w:t>
      </w:r>
      <w:r w:rsidRPr="00E769CD">
        <w:rPr>
          <w:rStyle w:val="Ohne"/>
          <w:rFonts w:ascii="Times Roman" w:hAnsi="Times Roman"/>
          <w:i/>
          <w:iCs/>
          <w:noProof/>
          <w:shd w:val="clear" w:color="auto" w:fill="F79646"/>
        </w:rPr>
        <w:t>Neues Handbuch des Philosophieunterrichts</w:t>
      </w:r>
      <w:r w:rsidRPr="00E769CD">
        <w:rPr>
          <w:rStyle w:val="Ohne"/>
          <w:rFonts w:ascii="Times Roman" w:hAnsi="Times Roman"/>
          <w:noProof/>
          <w:shd w:val="clear" w:color="auto" w:fill="F79646"/>
        </w:rPr>
        <w:t>, Bern: Haupt, 203–223.</w:t>
      </w:r>
    </w:p>
    <w:p w14:paraId="616CB136"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Fonts w:ascii="Times Roman" w:hAnsi="Times Roman"/>
          <w:noProof/>
          <w:shd w:val="clear" w:color="auto" w:fill="F79646"/>
        </w:rPr>
        <w:lastRenderedPageBreak/>
        <w:t xml:space="preserve">Sorell, Tom, Rogers, Graham A. J. (eds.) (2005), </w:t>
      </w:r>
      <w:r w:rsidRPr="00E769CD">
        <w:rPr>
          <w:rStyle w:val="Ohne"/>
          <w:rFonts w:ascii="Times Roman" w:hAnsi="Times Roman"/>
          <w:i/>
          <w:iCs/>
          <w:noProof/>
          <w:shd w:val="clear" w:color="auto" w:fill="F79646"/>
        </w:rPr>
        <w:t>Analytic Philosophy and History of Philosophy</w:t>
      </w:r>
      <w:r w:rsidRPr="00E769CD">
        <w:rPr>
          <w:rFonts w:ascii="Times Roman" w:hAnsi="Times Roman"/>
          <w:noProof/>
          <w:shd w:val="clear" w:color="auto" w:fill="F79646"/>
        </w:rPr>
        <w:t>, Oxford: Clarendon Press.</w:t>
      </w:r>
    </w:p>
    <w:p w14:paraId="21D73EFC"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Style w:val="Ohne"/>
          <w:rFonts w:ascii="Times Roman" w:hAnsi="Times Roman"/>
          <w:noProof/>
          <w:shd w:val="clear" w:color="auto" w:fill="F79646"/>
        </w:rPr>
        <w:t xml:space="preserve">Stekeler-Weithofer, Pirmin (2006), </w:t>
      </w:r>
      <w:r w:rsidRPr="00E769CD">
        <w:rPr>
          <w:rStyle w:val="Ohne"/>
          <w:rFonts w:ascii="Times Roman" w:hAnsi="Times Roman"/>
          <w:i/>
          <w:iCs/>
          <w:noProof/>
          <w:shd w:val="clear" w:color="auto" w:fill="F79646"/>
        </w:rPr>
        <w:t>Philosophiegeschichte</w:t>
      </w:r>
      <w:r w:rsidRPr="00E769CD">
        <w:rPr>
          <w:rStyle w:val="Ohne"/>
          <w:rFonts w:ascii="Times Roman" w:hAnsi="Times Roman"/>
          <w:noProof/>
          <w:shd w:val="clear" w:color="auto" w:fill="F79646"/>
        </w:rPr>
        <w:t>, Berlin, New York: de Gruyter.</w:t>
      </w:r>
    </w:p>
    <w:p w14:paraId="5997FF45"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Style w:val="Ohne"/>
          <w:rFonts w:ascii="Times Roman" w:hAnsi="Times Roman"/>
          <w:noProof/>
          <w:shd w:val="clear" w:color="auto" w:fill="F79646"/>
        </w:rPr>
        <w:t xml:space="preserve">Wellmann, Tom (2023), „Philosophieunterricht als hypoleptisches Geschehen“, in: Bettina Bussmann (ed.), </w:t>
      </w:r>
      <w:r w:rsidRPr="00E769CD">
        <w:rPr>
          <w:rStyle w:val="Ohne"/>
          <w:rFonts w:ascii="Times Roman" w:hAnsi="Times Roman"/>
          <w:i/>
          <w:iCs/>
          <w:noProof/>
          <w:shd w:val="clear" w:color="auto" w:fill="F79646"/>
        </w:rPr>
        <w:t>Philosophiedidaktik und Bildungsphilosophie. Kontroversen und neue Aufgaben</w:t>
      </w:r>
      <w:r w:rsidRPr="00E769CD">
        <w:rPr>
          <w:rStyle w:val="Ohne"/>
          <w:rFonts w:ascii="Times Roman" w:hAnsi="Times Roman"/>
          <w:noProof/>
          <w:shd w:val="clear" w:color="auto" w:fill="F79646"/>
        </w:rPr>
        <w:t>, Berlin: J. B. Metzler, 21–35.</w:t>
      </w:r>
    </w:p>
    <w:p w14:paraId="3728DCF9" w14:textId="77777777" w:rsidR="007A5D1D" w:rsidRPr="00E769CD" w:rsidRDefault="007A5D1D" w:rsidP="007A5D1D">
      <w:pPr>
        <w:pStyle w:val="Standard"/>
        <w:numPr>
          <w:ilvl w:val="0"/>
          <w:numId w:val="6"/>
        </w:numPr>
        <w:spacing w:before="0" w:line="240" w:lineRule="auto"/>
        <w:rPr>
          <w:rFonts w:ascii="Times Roman" w:hAnsi="Times Roman"/>
          <w:noProof/>
          <w:shd w:val="clear" w:color="auto" w:fill="F79646"/>
        </w:rPr>
      </w:pPr>
      <w:r w:rsidRPr="00E769CD">
        <w:rPr>
          <w:rStyle w:val="Ohne"/>
          <w:rFonts w:ascii="Times Roman" w:hAnsi="Times Roman"/>
          <w:noProof/>
          <w:shd w:val="clear" w:color="auto" w:fill="F79646"/>
        </w:rPr>
        <w:t xml:space="preserve">Weidner, Daniel (2022), „Was heißt eine Welt beschreiben? Hans Blumenbergs vielfache Horizonte“, in: Geulen, Eva / Claude Haas (eds), </w:t>
      </w:r>
      <w:r w:rsidRPr="00E769CD">
        <w:rPr>
          <w:rStyle w:val="Ohne"/>
          <w:rFonts w:ascii="Times New Roman" w:hAnsi="Times New Roman"/>
          <w:i/>
          <w:iCs/>
          <w:noProof/>
          <w:shd w:val="clear" w:color="auto" w:fill="F79646"/>
        </w:rPr>
        <w:t xml:space="preserve">Formen des Ganzen. </w:t>
      </w:r>
      <w:r w:rsidRPr="00E769CD">
        <w:rPr>
          <w:rStyle w:val="Ohne"/>
          <w:rFonts w:ascii="Times Roman" w:hAnsi="Times Roman"/>
          <w:noProof/>
          <w:shd w:val="clear" w:color="auto" w:fill="F79646"/>
        </w:rPr>
        <w:t>Göttingen: Wallenstein, 408-409.</w:t>
      </w:r>
    </w:p>
    <w:p w14:paraId="76DACB22" w14:textId="77777777" w:rsidR="007A5D1D" w:rsidRPr="00B312EF" w:rsidRDefault="007A5D1D" w:rsidP="00754F5D">
      <w:pPr>
        <w:pStyle w:val="Flietext"/>
        <w:tabs>
          <w:tab w:val="clear" w:pos="8640"/>
          <w:tab w:val="left" w:pos="8520"/>
        </w:tabs>
        <w:rPr>
          <w:sz w:val="24"/>
          <w:szCs w:val="24"/>
          <w:lang w:val="en-GB"/>
        </w:rPr>
      </w:pPr>
    </w:p>
    <w:sectPr w:rsidR="007A5D1D" w:rsidRPr="00B312EF" w:rsidSect="0078385F">
      <w:footerReference w:type="even" r:id="rId9"/>
      <w:footerReference w:type="default" r:id="rId10"/>
      <w:pgSz w:w="11900" w:h="16840"/>
      <w:pgMar w:top="1800" w:right="1440" w:bottom="180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AEF7" w14:textId="77777777" w:rsidR="007E084F" w:rsidRDefault="007E084F" w:rsidP="003D0203">
      <w:r>
        <w:separator/>
      </w:r>
    </w:p>
  </w:endnote>
  <w:endnote w:type="continuationSeparator" w:id="0">
    <w:p w14:paraId="33CD61BB" w14:textId="77777777" w:rsidR="007E084F" w:rsidRDefault="007E084F" w:rsidP="003D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panose1 w:val="00000500000000020000"/>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48702631"/>
      <w:docPartObj>
        <w:docPartGallery w:val="Page Numbers (Bottom of Page)"/>
        <w:docPartUnique/>
      </w:docPartObj>
    </w:sdtPr>
    <w:sdtContent>
      <w:p w14:paraId="59A4E2B9" w14:textId="3A3B138A" w:rsidR="00593ED5" w:rsidRDefault="00593ED5" w:rsidP="001E650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15993F" w14:textId="77777777" w:rsidR="00593ED5" w:rsidRDefault="00593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1817528"/>
      <w:docPartObj>
        <w:docPartGallery w:val="Page Numbers (Bottom of Page)"/>
        <w:docPartUnique/>
      </w:docPartObj>
    </w:sdtPr>
    <w:sdtContent>
      <w:p w14:paraId="09B22076" w14:textId="0FF3FBA2" w:rsidR="00593ED5" w:rsidRDefault="00593ED5" w:rsidP="001E6505">
        <w:pPr>
          <w:pStyle w:val="Footer"/>
          <w:framePr w:wrap="none" w:vAnchor="text" w:hAnchor="margin" w:xAlign="center" w:y="1"/>
          <w:rPr>
            <w:rStyle w:val="PageNumber"/>
          </w:rPr>
        </w:pPr>
        <w:r w:rsidRPr="00593ED5">
          <w:rPr>
            <w:rStyle w:val="PageNumber"/>
            <w:rFonts w:asciiTheme="majorBidi" w:hAnsiTheme="majorBidi" w:cstheme="majorBidi"/>
          </w:rPr>
          <w:fldChar w:fldCharType="begin"/>
        </w:r>
        <w:r w:rsidRPr="00593ED5">
          <w:rPr>
            <w:rStyle w:val="PageNumber"/>
            <w:rFonts w:asciiTheme="majorBidi" w:hAnsiTheme="majorBidi" w:cstheme="majorBidi"/>
          </w:rPr>
          <w:instrText xml:space="preserve"> PAGE </w:instrText>
        </w:r>
        <w:r w:rsidRPr="00593ED5">
          <w:rPr>
            <w:rStyle w:val="PageNumber"/>
            <w:rFonts w:asciiTheme="majorBidi" w:hAnsiTheme="majorBidi" w:cstheme="majorBidi"/>
          </w:rPr>
          <w:fldChar w:fldCharType="separate"/>
        </w:r>
        <w:r w:rsidRPr="00593ED5">
          <w:rPr>
            <w:rStyle w:val="PageNumber"/>
            <w:rFonts w:asciiTheme="majorBidi" w:hAnsiTheme="majorBidi" w:cstheme="majorBidi"/>
            <w:noProof/>
          </w:rPr>
          <w:t>- 2 -</w:t>
        </w:r>
        <w:r w:rsidRPr="00593ED5">
          <w:rPr>
            <w:rStyle w:val="PageNumber"/>
            <w:rFonts w:asciiTheme="majorBidi" w:hAnsiTheme="majorBidi" w:cstheme="majorBidi"/>
          </w:rPr>
          <w:fldChar w:fldCharType="end"/>
        </w:r>
      </w:p>
    </w:sdtContent>
  </w:sdt>
  <w:p w14:paraId="7ACC8F80" w14:textId="77777777" w:rsidR="00572130" w:rsidRDefault="005721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CA6D" w14:textId="77777777" w:rsidR="007E084F" w:rsidRDefault="007E084F" w:rsidP="003D0203">
      <w:r>
        <w:separator/>
      </w:r>
    </w:p>
  </w:footnote>
  <w:footnote w:type="continuationSeparator" w:id="0">
    <w:p w14:paraId="5069275C" w14:textId="77777777" w:rsidR="007E084F" w:rsidRDefault="007E084F" w:rsidP="003D0203">
      <w:r>
        <w:continuationSeparator/>
      </w:r>
    </w:p>
  </w:footnote>
  <w:footnote w:id="1">
    <w:p w14:paraId="65C233FF" w14:textId="7F531B7B" w:rsidR="003D0203" w:rsidRPr="00B312EF" w:rsidRDefault="003D0203"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024375" w:rsidRPr="00B312EF">
        <w:rPr>
          <w:rFonts w:eastAsia="Arial Unicode MS" w:cs="Arial Unicode MS"/>
          <w:lang w:val="en-GB"/>
        </w:rPr>
        <w:t xml:space="preserve">Cf. for </w:t>
      </w:r>
      <w:r w:rsidR="0078385F" w:rsidRPr="00B312EF">
        <w:rPr>
          <w:rFonts w:eastAsia="Arial Unicode MS" w:cs="Arial Unicode MS"/>
          <w:lang w:val="en-GB"/>
        </w:rPr>
        <w:t>an</w:t>
      </w:r>
      <w:r w:rsidR="00024375" w:rsidRPr="00B312EF">
        <w:rPr>
          <w:rFonts w:eastAsia="Arial Unicode MS" w:cs="Arial Unicode MS"/>
          <w:lang w:val="en-GB"/>
        </w:rPr>
        <w:t xml:space="preserve"> </w:t>
      </w:r>
      <w:r w:rsidR="0052447E" w:rsidRPr="00B312EF">
        <w:rPr>
          <w:rFonts w:eastAsia="Arial Unicode MS" w:cs="Arial Unicode MS"/>
          <w:lang w:val="en-GB"/>
        </w:rPr>
        <w:t>overview</w:t>
      </w:r>
      <w:r w:rsidR="00024375" w:rsidRPr="00B312EF">
        <w:rPr>
          <w:rFonts w:eastAsia="Arial Unicode MS" w:cs="Arial Unicode MS"/>
          <w:lang w:val="en-GB"/>
        </w:rPr>
        <w:t xml:space="preserve"> of this debate</w:t>
      </w:r>
      <w:r w:rsidRPr="00B312EF">
        <w:rPr>
          <w:rFonts w:eastAsia="Arial Unicode MS" w:cs="Arial Unicode MS"/>
          <w:lang w:val="en-GB"/>
        </w:rPr>
        <w:t xml:space="preserve"> Rohbeck 2022, 115.</w:t>
      </w:r>
    </w:p>
  </w:footnote>
  <w:footnote w:id="2">
    <w:p w14:paraId="6651A82F" w14:textId="5940110F" w:rsidR="003D0203" w:rsidRPr="00B312EF" w:rsidRDefault="003D0203"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52447E" w:rsidRPr="00B312EF">
        <w:rPr>
          <w:rFonts w:eastAsia="Arial Unicode MS" w:cs="Arial Unicode MS"/>
          <w:lang w:val="en-GB"/>
        </w:rPr>
        <w:t>Along these lines,</w:t>
      </w:r>
      <w:r w:rsidRPr="00B312EF">
        <w:rPr>
          <w:rFonts w:eastAsia="Arial Unicode MS" w:cs="Arial Unicode MS"/>
          <w:lang w:val="en-GB"/>
        </w:rPr>
        <w:t xml:space="preserve"> Rohbeck (2016, 41) </w:t>
      </w:r>
      <w:r w:rsidR="0052447E" w:rsidRPr="00B312EF">
        <w:rPr>
          <w:rFonts w:eastAsia="Arial Unicode MS" w:cs="Arial Unicode MS"/>
          <w:lang w:val="en-GB"/>
        </w:rPr>
        <w:t xml:space="preserve">summarizes the situation as follows: “No one wishes any longer to dispense with the elements of the other side. Just as really understanding a text presupposes an independent formulation of the problem, so also every classroom conversation, if it is not to remain at the level of vague generalities, has to </w:t>
      </w:r>
      <w:r w:rsidR="00393278" w:rsidRPr="00B312EF">
        <w:rPr>
          <w:rFonts w:eastAsia="Arial Unicode MS" w:cs="Arial Unicode MS"/>
          <w:lang w:val="en-GB"/>
        </w:rPr>
        <w:t>bring in</w:t>
      </w:r>
      <w:r w:rsidR="005D54E5" w:rsidRPr="00B312EF">
        <w:rPr>
          <w:rFonts w:eastAsia="Arial Unicode MS" w:cs="Arial Unicode MS"/>
          <w:lang w:val="en-GB"/>
        </w:rPr>
        <w:t xml:space="preserve"> philosophical texts.”</w:t>
      </w:r>
    </w:p>
  </w:footnote>
  <w:footnote w:id="3">
    <w:p w14:paraId="66D087AA" w14:textId="15AB0DAA"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B312EF" w:rsidRPr="00B312EF">
        <w:rPr>
          <w:rFonts w:eastAsia="Arial Unicode MS" w:cs="Arial Unicode MS"/>
          <w:lang w:val="en-GB"/>
        </w:rPr>
        <w:t>For an overview of the scholarly controversy, see the following relevant collective volumes</w:t>
      </w:r>
      <w:r w:rsidRPr="00B312EF">
        <w:rPr>
          <w:rFonts w:eastAsia="Arial Unicode MS" w:cs="Arial Unicode MS"/>
          <w:lang w:val="en-GB"/>
        </w:rPr>
        <w:t>: Rée et al. (1978); Rorty et. al. (1984); Hare (1988); Boss (1994); Sorell / Rogers (2005); Cesalli et al. (2017) (Studia philosophica 76). Bertold</w:t>
      </w:r>
      <w:r w:rsidR="00B312EF">
        <w:rPr>
          <w:rFonts w:eastAsia="Arial Unicode MS" w:cs="Arial Unicode MS"/>
          <w:lang w:val="en-GB"/>
        </w:rPr>
        <w:t>’s</w:t>
      </w:r>
      <w:r w:rsidRPr="00B312EF">
        <w:rPr>
          <w:rFonts w:eastAsia="Arial Unicode MS" w:cs="Arial Unicode MS"/>
          <w:lang w:val="en-GB"/>
        </w:rPr>
        <w:t xml:space="preserve"> (2011) </w:t>
      </w:r>
      <w:r w:rsidR="00B312EF">
        <w:rPr>
          <w:rFonts w:eastAsia="Arial Unicode MS" w:cs="Arial Unicode MS"/>
          <w:lang w:val="en-GB"/>
        </w:rPr>
        <w:t xml:space="preserve">study also summarizes the debates in the German-speaking area up to that </w:t>
      </w:r>
      <w:r w:rsidR="0003464B">
        <w:rPr>
          <w:rFonts w:eastAsia="Arial Unicode MS" w:cs="Arial Unicode MS"/>
          <w:lang w:val="en-GB"/>
        </w:rPr>
        <w:t>time</w:t>
      </w:r>
      <w:r w:rsidRPr="00B312EF">
        <w:rPr>
          <w:rFonts w:eastAsia="Arial Unicode MS" w:cs="Arial Unicode MS"/>
          <w:lang w:val="en-GB"/>
        </w:rPr>
        <w:t>.</w:t>
      </w:r>
    </w:p>
  </w:footnote>
  <w:footnote w:id="4">
    <w:p w14:paraId="68F172C0" w14:textId="508ED70C"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605B8C">
        <w:rPr>
          <w:rFonts w:eastAsia="Arial Unicode MS" w:cs="Arial Unicode MS"/>
          <w:lang w:val="en-GB"/>
        </w:rPr>
        <w:t>We use</w:t>
      </w:r>
      <w:r w:rsidR="00605B8C" w:rsidRPr="00605B8C">
        <w:rPr>
          <w:rFonts w:eastAsia="Arial Unicode MS" w:cs="Arial Unicode MS"/>
          <w:lang w:val="en-GB"/>
        </w:rPr>
        <w:t xml:space="preserve"> </w:t>
      </w:r>
      <w:r w:rsidR="00605B8C">
        <w:rPr>
          <w:rFonts w:eastAsia="Arial Unicode MS" w:cs="Arial Unicode MS"/>
          <w:lang w:val="en-GB"/>
        </w:rPr>
        <w:t>‘</w:t>
      </w:r>
      <w:r w:rsidR="00605B8C" w:rsidRPr="00605B8C">
        <w:rPr>
          <w:rFonts w:eastAsia="Arial Unicode MS" w:cs="Arial Unicode MS"/>
          <w:lang w:val="en-GB"/>
        </w:rPr>
        <w:t>praxis</w:t>
      </w:r>
      <w:r w:rsidR="00605B8C">
        <w:rPr>
          <w:rFonts w:eastAsia="Arial Unicode MS" w:cs="Arial Unicode MS"/>
          <w:lang w:val="en-GB"/>
        </w:rPr>
        <w:t>’</w:t>
      </w:r>
      <w:r w:rsidR="00605B8C" w:rsidRPr="00605B8C">
        <w:rPr>
          <w:rFonts w:eastAsia="Arial Unicode MS" w:cs="Arial Unicode MS"/>
          <w:lang w:val="en-GB"/>
        </w:rPr>
        <w:t xml:space="preserve"> </w:t>
      </w:r>
      <w:r w:rsidR="00605B8C">
        <w:rPr>
          <w:rFonts w:eastAsia="Arial Unicode MS" w:cs="Arial Unicode MS"/>
          <w:lang w:val="en-GB"/>
        </w:rPr>
        <w:t xml:space="preserve">here in a broad sense to characterize doing philosophy as an activity, without thereby intending to identify it </w:t>
      </w:r>
      <w:r w:rsidR="0023378A">
        <w:rPr>
          <w:rFonts w:eastAsia="Arial Unicode MS" w:cs="Arial Unicode MS"/>
          <w:lang w:val="en-GB"/>
        </w:rPr>
        <w:t xml:space="preserve">as </w:t>
      </w:r>
      <w:r w:rsidR="00605B8C">
        <w:rPr>
          <w:rFonts w:eastAsia="Arial Unicode MS" w:cs="Arial Unicode MS"/>
          <w:lang w:val="en-GB"/>
        </w:rPr>
        <w:t xml:space="preserve">a praxis in the strict sense in which </w:t>
      </w:r>
      <w:r w:rsidR="00605B8C">
        <w:rPr>
          <w:rFonts w:eastAsia="Arial Unicode MS" w:cs="Arial Unicode MS"/>
          <w:i/>
          <w:iCs/>
          <w:lang w:val="en-GB"/>
        </w:rPr>
        <w:t>praxis</w:t>
      </w:r>
      <w:r w:rsidR="00605B8C">
        <w:rPr>
          <w:rFonts w:eastAsia="Arial Unicode MS" w:cs="Arial Unicode MS"/>
          <w:lang w:val="en-GB"/>
        </w:rPr>
        <w:t xml:space="preserve"> is opposed to </w:t>
      </w:r>
      <w:r w:rsidR="00605B8C">
        <w:rPr>
          <w:rFonts w:eastAsia="Arial Unicode MS" w:cs="Arial Unicode MS"/>
          <w:i/>
          <w:iCs/>
          <w:lang w:val="en-GB"/>
        </w:rPr>
        <w:t>poiesis</w:t>
      </w:r>
      <w:r w:rsidRPr="00B312EF">
        <w:rPr>
          <w:rFonts w:eastAsia="Arial Unicode MS" w:cs="Arial Unicode MS"/>
          <w:lang w:val="en-GB"/>
        </w:rPr>
        <w:t>.</w:t>
      </w:r>
    </w:p>
  </w:footnote>
  <w:footnote w:id="5">
    <w:p w14:paraId="11CC2278" w14:textId="18EED5B3" w:rsidR="007A5D1D" w:rsidRPr="00B312EF" w:rsidRDefault="007A5D1D" w:rsidP="00212C1C">
      <w:pPr>
        <w:pStyle w:val="Anmerkung"/>
        <w:rPr>
          <w:lang w:val="en-GB"/>
        </w:rPr>
      </w:pPr>
      <w:r w:rsidRPr="00B312EF">
        <w:rPr>
          <w:sz w:val="24"/>
          <w:szCs w:val="24"/>
          <w:vertAlign w:val="superscript"/>
          <w:lang w:val="en-GB"/>
        </w:rPr>
        <w:footnoteRef/>
      </w:r>
      <w:r w:rsidRPr="00B312EF">
        <w:rPr>
          <w:rFonts w:eastAsia="Arial Unicode MS" w:cs="Arial Unicode MS"/>
          <w:lang w:val="en-GB"/>
        </w:rPr>
        <w:t xml:space="preserve"> </w:t>
      </w:r>
      <w:r w:rsidR="00345827">
        <w:rPr>
          <w:rFonts w:eastAsia="Arial Unicode MS" w:cs="Arial Unicode MS"/>
          <w:lang w:val="en-GB"/>
        </w:rPr>
        <w:t>There is broad agreement that even if Hegel did not found the philosophy of the history of philosophy, he elevated it to a previously unattained level of reflection, so that subsequent theoretical approaches, not only nineteenth-century ones, take his conception as their starting point</w:t>
      </w:r>
      <w:r w:rsidRPr="00B312EF">
        <w:rPr>
          <w:rFonts w:eastAsia="Arial Unicode MS" w:cs="Arial Unicode MS"/>
          <w:lang w:val="en-GB"/>
        </w:rPr>
        <w:t xml:space="preserve"> (</w:t>
      </w:r>
      <w:r w:rsidR="00345827">
        <w:rPr>
          <w:rFonts w:eastAsia="Arial Unicode MS" w:cs="Arial Unicode MS"/>
          <w:lang w:val="en-GB"/>
        </w:rPr>
        <w:t>cf. on this, e.g.,</w:t>
      </w:r>
      <w:r w:rsidRPr="00B312EF">
        <w:rPr>
          <w:rFonts w:eastAsia="Arial Unicode MS" w:cs="Arial Unicode MS"/>
          <w:lang w:val="en-GB"/>
        </w:rPr>
        <w:t xml:space="preserve"> Geldsetzer 1968, Schneider 2007, </w:t>
      </w:r>
      <w:r w:rsidR="00345827">
        <w:rPr>
          <w:rFonts w:eastAsia="Arial Unicode MS" w:cs="Arial Unicode MS"/>
          <w:lang w:val="en-GB"/>
        </w:rPr>
        <w:t xml:space="preserve">and on the philosophy of history in general </w:t>
      </w:r>
      <w:r w:rsidRPr="00B312EF">
        <w:rPr>
          <w:rFonts w:eastAsia="Arial Unicode MS" w:cs="Arial Unicode MS"/>
          <w:lang w:val="en-GB"/>
        </w:rPr>
        <w:t xml:space="preserve">Schnädelbach 1974; </w:t>
      </w:r>
      <w:r w:rsidR="00345827">
        <w:rPr>
          <w:rFonts w:eastAsia="Arial Unicode MS" w:cs="Arial Unicode MS"/>
          <w:lang w:val="en-GB"/>
        </w:rPr>
        <w:t xml:space="preserve">for twentieth-century developments </w:t>
      </w:r>
      <w:r w:rsidRPr="00B312EF">
        <w:rPr>
          <w:rFonts w:eastAsia="Arial Unicode MS" w:cs="Arial Unicode MS"/>
          <w:lang w:val="en-GB"/>
        </w:rPr>
        <w:t xml:space="preserve">Bertold 2011). </w:t>
      </w:r>
      <w:r w:rsidR="00345827">
        <w:rPr>
          <w:rFonts w:eastAsia="Arial Unicode MS" w:cs="Arial Unicode MS"/>
          <w:lang w:val="en-GB"/>
        </w:rPr>
        <w:t xml:space="preserve">Engagement with Hegel remains central even in systematic studies of the topic in this century </w:t>
      </w:r>
      <w:r w:rsidRPr="00B312EF">
        <w:rPr>
          <w:rFonts w:eastAsia="Arial Unicode MS" w:cs="Arial Unicode MS"/>
          <w:lang w:val="en-GB"/>
        </w:rPr>
        <w:t>(</w:t>
      </w:r>
      <w:r w:rsidR="00345827">
        <w:rPr>
          <w:rFonts w:eastAsia="Arial Unicode MS" w:cs="Arial Unicode MS"/>
          <w:lang w:val="en-GB"/>
        </w:rPr>
        <w:t>e.g.,</w:t>
      </w:r>
      <w:r w:rsidRPr="00B312EF">
        <w:rPr>
          <w:rFonts w:eastAsia="Arial Unicode MS" w:cs="Arial Unicode MS"/>
          <w:lang w:val="en-GB"/>
        </w:rPr>
        <w:t xml:space="preserve"> Angehrn 2003; Stekeler-Weithofer 2006).</w:t>
      </w:r>
    </w:p>
  </w:footnote>
  <w:footnote w:id="6">
    <w:p w14:paraId="5F530C97" w14:textId="0B14E097" w:rsidR="007A5D1D" w:rsidRPr="00B312EF" w:rsidRDefault="007A5D1D" w:rsidP="00212C1C">
      <w:pPr>
        <w:pStyle w:val="Anmerkung"/>
        <w:rPr>
          <w:lang w:val="en-GB"/>
        </w:rPr>
      </w:pPr>
      <w:r w:rsidRPr="00B312EF">
        <w:rPr>
          <w:sz w:val="24"/>
          <w:szCs w:val="24"/>
          <w:vertAlign w:val="superscript"/>
          <w:lang w:val="en-GB"/>
        </w:rPr>
        <w:footnoteRef/>
      </w:r>
      <w:r w:rsidRPr="00B312EF">
        <w:rPr>
          <w:rFonts w:eastAsia="Arial Unicode MS" w:cs="Arial Unicode MS"/>
          <w:lang w:val="en-GB"/>
        </w:rPr>
        <w:t xml:space="preserve"> </w:t>
      </w:r>
      <w:r w:rsidR="00345827">
        <w:rPr>
          <w:rFonts w:eastAsia="Arial Unicode MS" w:cs="Arial Unicode MS"/>
          <w:lang w:val="en-GB"/>
        </w:rPr>
        <w:t xml:space="preserve">For a concise overview of the set of issues we sketch below, see </w:t>
      </w:r>
      <w:r w:rsidRPr="00B312EF">
        <w:rPr>
          <w:rFonts w:eastAsia="Arial Unicode MS" w:cs="Arial Unicode MS"/>
          <w:lang w:val="en-GB"/>
        </w:rPr>
        <w:t>Angehrn 2014, 206–214.</w:t>
      </w:r>
    </w:p>
  </w:footnote>
  <w:footnote w:id="7">
    <w:p w14:paraId="1016E323" w14:textId="77777777"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Pr="00457CC6">
        <w:rPr>
          <w:rFonts w:eastAsia="Arial Unicode MS" w:cs="Arial Unicode MS"/>
          <w:noProof/>
          <w:shd w:val="clear" w:color="auto" w:fill="F79646"/>
          <w:lang w:val="de-DE"/>
        </w:rPr>
        <w:t>„Aber um in der empirischen Gestalt und Erscheinung, in der die Philosophie geschichtlich auftritt, ihren Fortgang als Entwicklung der Idee zu erkennen, muß man freilich die Erkenntnis der Idee schon mitbringen, so gut als man zur Beurteilung der menschlichen Handlungen die Begriffe von dem, was recht und gehörig ist, mitbringen muß. Sonst, wie wir dies in so vielen Geschichten der Philosophie sehen, bietet sich dem ideenlosen Auge freilich nur ein unordentlicher Haufen von Meinungen dar.“</w:t>
      </w:r>
    </w:p>
  </w:footnote>
  <w:footnote w:id="8">
    <w:p w14:paraId="591466DE" w14:textId="77777777"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Fulda (2007, 9).</w:t>
      </w:r>
    </w:p>
  </w:footnote>
  <w:footnote w:id="9">
    <w:p w14:paraId="7EBB327A" w14:textId="2BE3D5E8" w:rsidR="007A5D1D" w:rsidRPr="00B312EF" w:rsidRDefault="007A5D1D" w:rsidP="00212C1C">
      <w:pPr>
        <w:pStyle w:val="Anmerkung"/>
        <w:rPr>
          <w:lang w:val="en-GB"/>
        </w:rPr>
      </w:pPr>
      <w:r w:rsidRPr="00D55E07">
        <w:rPr>
          <w:sz w:val="24"/>
          <w:szCs w:val="24"/>
          <w:vertAlign w:val="superscript"/>
          <w:lang w:val="en-GB"/>
          <w14:textOutline w14:w="12700" w14:cap="flat" w14:cmpd="sng" w14:algn="ctr">
            <w14:noFill/>
            <w14:prstDash w14:val="solid"/>
            <w14:miter w14:lim="400000"/>
          </w14:textOutline>
        </w:rPr>
        <w:footnoteRef/>
      </w:r>
      <w:r w:rsidRPr="00D55E07">
        <w:rPr>
          <w:rFonts w:eastAsia="Arial Unicode MS" w:cs="Arial Unicode MS"/>
          <w:lang w:val="en-GB"/>
        </w:rPr>
        <w:t xml:space="preserve"> </w:t>
      </w:r>
      <w:r w:rsidR="00D55E07">
        <w:rPr>
          <w:rFonts w:eastAsia="Arial Unicode MS" w:cs="Arial Unicode MS"/>
          <w:lang w:val="en-GB"/>
        </w:rPr>
        <w:t xml:space="preserve">The following reflections serve to show that three initially plausible and attractive strategies are not conducive to the purpose from a systematic perspective. We present the three strategies alongside one another in schematic form and do not claim that they represent the views of particular philosophy educators or groups. For this reason, we refrain in this section from documenting the </w:t>
      </w:r>
      <w:r w:rsidR="00DE7963">
        <w:rPr>
          <w:rFonts w:eastAsia="Arial Unicode MS" w:cs="Arial Unicode MS"/>
          <w:lang w:val="en-GB"/>
        </w:rPr>
        <w:t>relevan</w:t>
      </w:r>
      <w:r w:rsidR="00D55E07">
        <w:rPr>
          <w:rFonts w:eastAsia="Arial Unicode MS" w:cs="Arial Unicode MS"/>
          <w:lang w:val="en-GB"/>
        </w:rPr>
        <w:t>ce of each view by corresponding literature citations</w:t>
      </w:r>
      <w:r w:rsidRPr="00B312EF">
        <w:rPr>
          <w:rFonts w:eastAsia="Arial Unicode MS" w:cs="Arial Unicode MS"/>
          <w:lang w:val="en-GB"/>
        </w:rPr>
        <w:t>.</w:t>
      </w:r>
    </w:p>
  </w:footnote>
  <w:footnote w:id="10">
    <w:p w14:paraId="6E8C7EBC" w14:textId="3DF48E08"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89292A">
        <w:rPr>
          <w:rFonts w:eastAsia="Arial Unicode MS" w:cs="Arial Unicode MS"/>
          <w:lang w:val="en-GB"/>
        </w:rPr>
        <w:t xml:space="preserve">An argument against the assumption that engagement with the history of philosophy is especially useful for doing philosophy is found in </w:t>
      </w:r>
      <w:r w:rsidRPr="00B312EF">
        <w:rPr>
          <w:rFonts w:eastAsia="Arial Unicode MS" w:cs="Arial Unicode MS"/>
          <w:lang w:val="en-GB"/>
        </w:rPr>
        <w:t>Sauer 2022.</w:t>
      </w:r>
    </w:p>
  </w:footnote>
  <w:footnote w:id="11">
    <w:p w14:paraId="1EE6DB6C" w14:textId="12CAEBE4" w:rsidR="007A5D1D" w:rsidRPr="00B312EF" w:rsidRDefault="007A5D1D" w:rsidP="00212C1C">
      <w:pPr>
        <w:pStyle w:val="Anmerkung"/>
        <w:rPr>
          <w:lang w:val="en-GB"/>
        </w:rPr>
      </w:pPr>
      <w:r w:rsidRPr="00B312EF">
        <w:rPr>
          <w:sz w:val="24"/>
          <w:szCs w:val="24"/>
          <w:vertAlign w:val="superscript"/>
          <w:lang w:val="en-GB"/>
          <w14:textOutline w14:w="12700" w14:cap="flat" w14:cmpd="sng" w14:algn="ctr">
            <w14:noFill/>
            <w14:prstDash w14:val="solid"/>
            <w14:miter w14:lim="400000"/>
          </w14:textOutline>
        </w:rPr>
        <w:footnoteRef/>
      </w:r>
      <w:r w:rsidRPr="00B312EF">
        <w:rPr>
          <w:rFonts w:eastAsia="Arial Unicode MS" w:cs="Arial Unicode MS"/>
          <w:lang w:val="en-GB"/>
        </w:rPr>
        <w:t xml:space="preserve"> </w:t>
      </w:r>
      <w:r w:rsidR="0089292A">
        <w:rPr>
          <w:rFonts w:eastAsia="Arial Unicode MS" w:cs="Arial Unicode MS"/>
          <w:lang w:val="en-GB"/>
        </w:rPr>
        <w:t>Presentation on this</w:t>
      </w:r>
      <w:r w:rsidRPr="00B312EF">
        <w:rPr>
          <w:rFonts w:eastAsia="Arial Unicode MS" w:cs="Arial Unicode MS"/>
          <w:lang w:val="en-GB"/>
        </w:rPr>
        <w:t xml:space="preserve"> </w:t>
      </w:r>
      <w:r w:rsidR="0089292A">
        <w:rPr>
          <w:rFonts w:eastAsia="Arial Unicode MS" w:cs="Arial Unicode MS"/>
          <w:lang w:val="en-GB"/>
        </w:rPr>
        <w:t>topic at the 2023 annual conference of the Gesellschaft für Philosophie- und Ethikdidaktik</w:t>
      </w:r>
      <w:r w:rsidRPr="00B312EF">
        <w:rPr>
          <w:rFonts w:eastAsia="Arial Unicode MS" w:cs="Arial Unicode MS"/>
          <w:lang w:val="en-GB"/>
        </w:rPr>
        <w:t>.</w:t>
      </w:r>
    </w:p>
  </w:footnote>
  <w:footnote w:id="12">
    <w:p w14:paraId="197C9215" w14:textId="7402BB9F" w:rsidR="007A5D1D" w:rsidRPr="00B312EF" w:rsidRDefault="007A5D1D" w:rsidP="00212C1C">
      <w:pPr>
        <w:pStyle w:val="Anmerkung"/>
        <w:rPr>
          <w:lang w:val="en-GB"/>
        </w:rPr>
      </w:pPr>
      <w:r w:rsidRPr="00B312EF">
        <w:rPr>
          <w:sz w:val="24"/>
          <w:szCs w:val="24"/>
          <w:vertAlign w:val="superscript"/>
          <w:lang w:val="en-GB"/>
          <w14:textOutline w14:w="12700" w14:cap="flat" w14:cmpd="sng" w14:algn="ctr">
            <w14:noFill/>
            <w14:prstDash w14:val="solid"/>
            <w14:miter w14:lim="400000"/>
          </w14:textOutline>
        </w:rPr>
        <w:footnoteRef/>
      </w:r>
      <w:r w:rsidRPr="00B312EF">
        <w:rPr>
          <w:rFonts w:eastAsia="Arial Unicode MS" w:cs="Arial Unicode MS"/>
          <w:lang w:val="en-GB"/>
        </w:rPr>
        <w:t xml:space="preserve"> </w:t>
      </w:r>
      <w:r w:rsidR="0089292A">
        <w:rPr>
          <w:rFonts w:eastAsia="Arial Unicode MS" w:cs="Arial Unicode MS"/>
          <w:lang w:val="en-GB"/>
        </w:rPr>
        <w:t xml:space="preserve">The first sentence of the preface to the first edition of Kant’s </w:t>
      </w:r>
      <w:r w:rsidR="0089292A">
        <w:rPr>
          <w:rFonts w:eastAsia="Arial Unicode MS" w:cs="Arial Unicode MS"/>
          <w:i/>
          <w:iCs/>
          <w:lang w:val="en-GB"/>
        </w:rPr>
        <w:t>Critique of Pure Reason</w:t>
      </w:r>
      <w:r w:rsidR="0089292A">
        <w:rPr>
          <w:rFonts w:eastAsia="Arial Unicode MS" w:cs="Arial Unicode MS"/>
          <w:lang w:val="en-GB"/>
        </w:rPr>
        <w:t xml:space="preserve"> can be </w:t>
      </w:r>
      <w:r w:rsidR="00B91A61">
        <w:rPr>
          <w:rFonts w:eastAsia="Arial Unicode MS" w:cs="Arial Unicode MS"/>
          <w:lang w:val="en-GB"/>
        </w:rPr>
        <w:t>rea</w:t>
      </w:r>
      <w:r w:rsidR="0089292A">
        <w:rPr>
          <w:rFonts w:eastAsia="Arial Unicode MS" w:cs="Arial Unicode MS"/>
          <w:lang w:val="en-GB"/>
        </w:rPr>
        <w:t>d as a paradigmatic formulation of eternalism in this sense</w:t>
      </w:r>
      <w:r w:rsidRPr="00B312EF">
        <w:rPr>
          <w:rFonts w:eastAsia="Arial Unicode MS" w:cs="Arial Unicode MS"/>
          <w:lang w:val="en-GB"/>
        </w:rPr>
        <w:t xml:space="preserve"> (Kant 2014: 11): </w:t>
      </w:r>
      <w:r w:rsidRPr="00457CC6">
        <w:rPr>
          <w:rFonts w:eastAsia="Arial Unicode MS" w:cs="Arial Unicode MS"/>
          <w:noProof/>
          <w:shd w:val="clear" w:color="auto" w:fill="F79646"/>
          <w:lang w:val="de-DE"/>
        </w:rPr>
        <w:t>„Die menschliche Vernunft hat das besondere Schicksal in einer Gattung ihrer Erkenntnisse: daß sie durch Fragen belästigt wird, die sie nicht abweisen kann, denn sie sind ihr durch die Natur der Vernunft selbst aufgegeben, die sie aber auch nicht beantworten kann, denn sie übersteigen alles Vermögen der menschlichen Vernunft.“</w:t>
      </w:r>
    </w:p>
  </w:footnote>
  <w:footnote w:id="13">
    <w:p w14:paraId="5AFCECEB" w14:textId="0995403F" w:rsidR="007A5D1D" w:rsidRPr="00B312EF" w:rsidRDefault="007A5D1D" w:rsidP="00212C1C">
      <w:pPr>
        <w:pStyle w:val="Anmerkung"/>
        <w:rPr>
          <w:lang w:val="en-GB"/>
        </w:rPr>
      </w:pPr>
      <w:r w:rsidRPr="00B312EF">
        <w:rPr>
          <w:sz w:val="24"/>
          <w:szCs w:val="24"/>
          <w:vertAlign w:val="superscript"/>
          <w:lang w:val="en-GB"/>
          <w14:textOutline w14:w="12700" w14:cap="flat" w14:cmpd="sng" w14:algn="ctr">
            <w14:noFill/>
            <w14:prstDash w14:val="solid"/>
            <w14:miter w14:lim="400000"/>
          </w14:textOutline>
        </w:rPr>
        <w:footnoteRef/>
      </w:r>
      <w:r w:rsidRPr="00B312EF">
        <w:rPr>
          <w:rFonts w:eastAsia="Arial Unicode MS" w:cs="Arial Unicode MS"/>
          <w:lang w:val="en-GB"/>
        </w:rPr>
        <w:t xml:space="preserve"> </w:t>
      </w:r>
      <w:r w:rsidR="0094513F">
        <w:rPr>
          <w:rFonts w:eastAsia="Arial Unicode MS" w:cs="Arial Unicode MS"/>
          <w:lang w:val="en-GB"/>
        </w:rPr>
        <w:t xml:space="preserve">In this model, the phases of discovering the problem, refining the problem, and solving it independently are followed by a fourth phase of “engaging with the solutions of past and present thinkers” </w:t>
      </w:r>
      <w:r w:rsidRPr="00B312EF">
        <w:rPr>
          <w:rFonts w:eastAsia="Arial Unicode MS" w:cs="Arial Unicode MS"/>
          <w:lang w:val="en-GB"/>
        </w:rPr>
        <w:t xml:space="preserve">(Sistermann 2016: 213); </w:t>
      </w:r>
      <w:r w:rsidR="0094513F">
        <w:rPr>
          <w:rFonts w:eastAsia="Arial Unicode MS" w:cs="Arial Unicode MS"/>
          <w:lang w:val="en-GB"/>
        </w:rPr>
        <w:t xml:space="preserve">for a critique of the bonbon model’s understanding of philosophy, cf. </w:t>
      </w:r>
      <w:r w:rsidRPr="00B312EF">
        <w:rPr>
          <w:rFonts w:eastAsia="Arial Unicode MS" w:cs="Arial Unicode MS"/>
          <w:lang w:val="en-GB"/>
        </w:rPr>
        <w:t>Paret 2023.</w:t>
      </w:r>
    </w:p>
  </w:footnote>
  <w:footnote w:id="14">
    <w:p w14:paraId="3419E38A" w14:textId="45A383B4" w:rsidR="007A5D1D" w:rsidRPr="00B312EF" w:rsidRDefault="007A5D1D" w:rsidP="00212C1C">
      <w:pPr>
        <w:pStyle w:val="Anmerkung"/>
        <w:rPr>
          <w:lang w:val="en-GB"/>
        </w:rPr>
      </w:pPr>
      <w:r w:rsidRPr="00F7675A">
        <w:rPr>
          <w:sz w:val="24"/>
          <w:szCs w:val="24"/>
          <w:vertAlign w:val="superscript"/>
          <w:lang w:val="en-GB"/>
          <w14:textOutline w14:w="12700" w14:cap="flat" w14:cmpd="sng" w14:algn="ctr">
            <w14:noFill/>
            <w14:prstDash w14:val="solid"/>
            <w14:miter w14:lim="400000"/>
          </w14:textOutline>
        </w:rPr>
        <w:footnoteRef/>
      </w:r>
      <w:r w:rsidRPr="00F7675A">
        <w:rPr>
          <w:rFonts w:eastAsia="Arial Unicode MS" w:cs="Arial Unicode MS"/>
          <w:lang w:val="en-GB"/>
        </w:rPr>
        <w:t xml:space="preserve"> </w:t>
      </w:r>
      <w:r w:rsidR="00F7675A">
        <w:rPr>
          <w:rFonts w:eastAsia="Arial Unicode MS" w:cs="Arial Unicode MS"/>
          <w:lang w:val="en-GB"/>
        </w:rPr>
        <w:t xml:space="preserve">The following section builds on and expands the </w:t>
      </w:r>
      <w:r w:rsidR="00F7675A">
        <w:rPr>
          <w:rFonts w:eastAsia="Arial Unicode MS" w:cs="Arial Unicode MS"/>
          <w:u w:color="C0504D"/>
          <w:lang w:val="en-GB"/>
        </w:rPr>
        <w:t>reflections found</w:t>
      </w:r>
      <w:r w:rsidRPr="00B312EF">
        <w:rPr>
          <w:rFonts w:eastAsia="Arial Unicode MS" w:cs="Arial Unicode MS"/>
          <w:u w:color="C0504D"/>
          <w:lang w:val="en-GB"/>
        </w:rPr>
        <w:t xml:space="preserve"> in Wellmann 2023, </w:t>
      </w:r>
      <w:r w:rsidR="00F7675A">
        <w:rPr>
          <w:rFonts w:eastAsia="Arial Unicode MS" w:cs="Arial Unicode MS"/>
          <w:u w:color="C0504D"/>
          <w:lang w:val="en-GB"/>
        </w:rPr>
        <w:t>a first attempt to make the theory of cultural memory fruitful for philosophy education</w:t>
      </w:r>
      <w:r w:rsidRPr="00B312EF">
        <w:rPr>
          <w:rFonts w:eastAsia="Arial Unicode MS" w:cs="Arial Unicode MS"/>
          <w:u w:color="C0504D"/>
          <w:lang w:val="en-GB"/>
        </w:rPr>
        <w:t>.</w:t>
      </w:r>
    </w:p>
  </w:footnote>
  <w:footnote w:id="15">
    <w:p w14:paraId="603AFBC0" w14:textId="24893A82" w:rsidR="007A5D1D" w:rsidRPr="00B312EF" w:rsidRDefault="007A5D1D" w:rsidP="00212C1C">
      <w:pPr>
        <w:pStyle w:val="Anmerkung"/>
        <w:rPr>
          <w:lang w:val="en-GB"/>
        </w:rPr>
      </w:pPr>
      <w:r w:rsidRPr="00B312EF">
        <w:rPr>
          <w:sz w:val="24"/>
          <w:szCs w:val="24"/>
          <w:vertAlign w:val="superscript"/>
          <w:lang w:val="en-GB"/>
          <w14:textOutline w14:w="12700" w14:cap="flat" w14:cmpd="sng" w14:algn="ctr">
            <w14:noFill/>
            <w14:prstDash w14:val="solid"/>
            <w14:miter w14:lim="400000"/>
          </w14:textOutline>
        </w:rPr>
        <w:footnoteRef/>
      </w:r>
      <w:r w:rsidRPr="00B312EF">
        <w:rPr>
          <w:rFonts w:eastAsia="Arial Unicode MS" w:cs="Arial Unicode MS"/>
          <w:lang w:val="en-GB"/>
        </w:rPr>
        <w:t xml:space="preserve"> </w:t>
      </w:r>
      <w:r w:rsidR="00D73014">
        <w:rPr>
          <w:rFonts w:eastAsia="Arial Unicode MS" w:cs="Arial Unicode MS"/>
          <w:lang w:val="en-GB"/>
        </w:rPr>
        <w:t xml:space="preserve">The extent to which Assmann’s theory gives or is even intended to give a plausible answer to the much-debated question of the reason or reasons for the emergence of philosophy is not relevant here. Assmann’s </w:t>
      </w:r>
      <w:r w:rsidR="00FD7BC0">
        <w:rPr>
          <w:rFonts w:eastAsia="Arial Unicode MS" w:cs="Arial Unicode MS"/>
          <w:lang w:val="en-GB"/>
        </w:rPr>
        <w:t>explanation nevertheless agrees with the current scholarly consensus insofar as he neither traces the emergence of philosophy to one or more single causes or to outstanding founders (such as Thales, Parmenides, or Socrates) or a supposed Greek genius but instead considers it as a gradual intersubjective process conditioned by the interplay of a variety of factors</w:t>
      </w:r>
      <w:r w:rsidRPr="00B312EF">
        <w:rPr>
          <w:rFonts w:eastAsia="Arial Unicode MS" w:cs="Arial Unicode MS"/>
          <w:lang w:val="en-GB"/>
        </w:rPr>
        <w:t xml:space="preserve"> (</w:t>
      </w:r>
      <w:r w:rsidR="00FD7BC0">
        <w:rPr>
          <w:rFonts w:eastAsia="Arial Unicode MS" w:cs="Arial Unicode MS"/>
          <w:lang w:val="en-GB"/>
        </w:rPr>
        <w:t>cf. on this</w:t>
      </w:r>
      <w:r w:rsidRPr="00B312EF">
        <w:rPr>
          <w:rFonts w:eastAsia="Arial Unicode MS" w:cs="Arial Unicode MS"/>
          <w:lang w:val="en-GB"/>
        </w:rPr>
        <w:t xml:space="preserve"> Laks 2018).</w:t>
      </w:r>
    </w:p>
  </w:footnote>
  <w:footnote w:id="16">
    <w:p w14:paraId="51D8CDB0" w14:textId="2E411985" w:rsidR="007A5D1D" w:rsidRPr="00B312EF" w:rsidRDefault="007A5D1D" w:rsidP="00212C1C">
      <w:pPr>
        <w:pStyle w:val="Anmerkung"/>
        <w:rPr>
          <w:lang w:val="en-GB"/>
        </w:rPr>
      </w:pPr>
      <w:r w:rsidRPr="00B312EF">
        <w:rPr>
          <w:sz w:val="24"/>
          <w:szCs w:val="24"/>
          <w:vertAlign w:val="superscript"/>
          <w:lang w:val="en-GB"/>
          <w14:textOutline w14:w="12700" w14:cap="flat" w14:cmpd="sng" w14:algn="ctr">
            <w14:noFill/>
            <w14:prstDash w14:val="solid"/>
            <w14:miter w14:lim="400000"/>
          </w14:textOutline>
        </w:rPr>
        <w:footnoteRef/>
      </w:r>
      <w:r w:rsidRPr="00B312EF">
        <w:rPr>
          <w:rFonts w:eastAsia="Arial Unicode MS" w:cs="Arial Unicode MS"/>
          <w:lang w:val="en-GB"/>
        </w:rPr>
        <w:t xml:space="preserve"> Havelock 1963; </w:t>
      </w:r>
      <w:r w:rsidR="00FD7BC0">
        <w:rPr>
          <w:rFonts w:eastAsia="Arial Unicode MS" w:cs="Arial Unicode MS"/>
          <w:lang w:val="en-GB"/>
        </w:rPr>
        <w:t>a concise synopsis of the theoretical approach is found in</w:t>
      </w:r>
      <w:r w:rsidRPr="00B312EF">
        <w:rPr>
          <w:rFonts w:eastAsia="Arial Unicode MS" w:cs="Arial Unicode MS"/>
          <w:lang w:val="en-GB"/>
        </w:rPr>
        <w:t xml:space="preserve"> Havelock 2017; </w:t>
      </w:r>
      <w:r w:rsidR="00FD7BC0">
        <w:rPr>
          <w:rFonts w:eastAsia="Arial Unicode MS" w:cs="Arial Unicode MS"/>
          <w:lang w:val="en-GB"/>
        </w:rPr>
        <w:t>on its reception by</w:t>
      </w:r>
      <w:r w:rsidRPr="00B312EF">
        <w:rPr>
          <w:rFonts w:eastAsia="Arial Unicode MS" w:cs="Arial Unicode MS"/>
          <w:lang w:val="en-GB"/>
        </w:rPr>
        <w:t xml:space="preserve"> Luhmann</w:t>
      </w:r>
      <w:r w:rsidR="00FD7BC0">
        <w:rPr>
          <w:rFonts w:eastAsia="Arial Unicode MS" w:cs="Arial Unicode MS"/>
          <w:lang w:val="en-GB"/>
        </w:rPr>
        <w:t>,</w:t>
      </w:r>
      <w:r w:rsidRPr="00B312EF">
        <w:rPr>
          <w:rFonts w:eastAsia="Arial Unicode MS" w:cs="Arial Unicode MS"/>
          <w:lang w:val="en-GB"/>
        </w:rPr>
        <w:t xml:space="preserve"> s</w:t>
      </w:r>
      <w:r w:rsidR="00FD7BC0">
        <w:rPr>
          <w:rFonts w:eastAsia="Arial Unicode MS" w:cs="Arial Unicode MS"/>
          <w:lang w:val="en-GB"/>
        </w:rPr>
        <w:t>ee</w:t>
      </w:r>
      <w:r w:rsidRPr="00B312EF">
        <w:rPr>
          <w:rFonts w:eastAsia="Arial Unicode MS" w:cs="Arial Unicode MS"/>
          <w:lang w:val="en-GB"/>
        </w:rPr>
        <w:t xml:space="preserve"> Assmann 2018, 284 </w:t>
      </w:r>
      <w:r w:rsidR="00FD7BC0">
        <w:rPr>
          <w:rFonts w:eastAsia="Arial Unicode MS" w:cs="Arial Unicode MS"/>
          <w:lang w:val="en-GB"/>
        </w:rPr>
        <w:t>note</w:t>
      </w:r>
      <w:r w:rsidRPr="00B312EF">
        <w:rPr>
          <w:rFonts w:eastAsia="Arial Unicode MS" w:cs="Arial Unicode MS"/>
          <w:lang w:val="en-GB"/>
        </w:rPr>
        <w:t xml:space="preserve"> 45.</w:t>
      </w:r>
    </w:p>
  </w:footnote>
  <w:footnote w:id="17">
    <w:p w14:paraId="0557CA15" w14:textId="22B379CC" w:rsidR="007A5D1D" w:rsidRPr="00B312EF" w:rsidRDefault="007A5D1D" w:rsidP="00212C1C">
      <w:pPr>
        <w:pStyle w:val="Anmerkung"/>
        <w:rPr>
          <w:lang w:val="en-GB"/>
        </w:rPr>
      </w:pPr>
      <w:r w:rsidRPr="00B312EF">
        <w:rPr>
          <w:sz w:val="24"/>
          <w:szCs w:val="24"/>
          <w:vertAlign w:val="superscript"/>
          <w:lang w:val="en-GB"/>
          <w14:textOutline w14:w="12700" w14:cap="flat" w14:cmpd="sng" w14:algn="ctr">
            <w14:noFill/>
            <w14:prstDash w14:val="solid"/>
            <w14:miter w14:lim="400000"/>
          </w14:textOutline>
        </w:rPr>
        <w:footnoteRef/>
      </w:r>
      <w:r w:rsidRPr="00B312EF">
        <w:rPr>
          <w:rFonts w:eastAsia="Arial Unicode MS" w:cs="Arial Unicode MS"/>
          <w:lang w:val="en-GB"/>
        </w:rPr>
        <w:t xml:space="preserve"> Assmann</w:t>
      </w:r>
      <w:r w:rsidR="00C829A3">
        <w:rPr>
          <w:rFonts w:eastAsia="Arial Unicode MS" w:cs="Arial Unicode MS"/>
          <w:lang w:val="en-GB"/>
        </w:rPr>
        <w:t>’</w:t>
      </w:r>
      <w:r w:rsidRPr="00B312EF">
        <w:rPr>
          <w:rFonts w:eastAsia="Arial Unicode MS" w:cs="Arial Unicode MS"/>
          <w:lang w:val="en-GB"/>
        </w:rPr>
        <w:t>s</w:t>
      </w:r>
      <w:r w:rsidR="00C829A3">
        <w:rPr>
          <w:rFonts w:eastAsia="Arial Unicode MS" w:cs="Arial Unicode MS"/>
          <w:lang w:val="en-GB"/>
        </w:rPr>
        <w:t xml:space="preserve"> theory is thus very much part of the same line of thinking as critics of the “myth of writing</w:t>
      </w:r>
      <w:r w:rsidR="00B91A61">
        <w:rPr>
          <w:rFonts w:eastAsia="Arial Unicode MS" w:cs="Arial Unicode MS"/>
          <w:lang w:val="en-GB"/>
        </w:rPr>
        <w:t>,</w:t>
      </w:r>
      <w:r w:rsidR="00C829A3">
        <w:rPr>
          <w:rFonts w:eastAsia="Arial Unicode MS" w:cs="Arial Unicode MS"/>
          <w:lang w:val="en-GB"/>
        </w:rPr>
        <w:t xml:space="preserve">” like </w:t>
      </w:r>
      <w:r w:rsidRPr="00B312EF">
        <w:rPr>
          <w:rFonts w:eastAsia="Arial Unicode MS" w:cs="Arial Unicode MS"/>
          <w:lang w:val="en-GB"/>
        </w:rPr>
        <w:t>Jäger (2004)</w:t>
      </w:r>
      <w:r w:rsidR="00C829A3">
        <w:rPr>
          <w:rFonts w:eastAsia="Arial Unicode MS" w:cs="Arial Unicode MS"/>
          <w:lang w:val="en-GB"/>
        </w:rPr>
        <w:t>, who argue against a monocausal ascription of particular cultural phenomena to the distinctive characteristics of Greek alphabet</w:t>
      </w:r>
      <w:r w:rsidR="00DE7963">
        <w:rPr>
          <w:rFonts w:eastAsia="Arial Unicode MS" w:cs="Arial Unicode MS"/>
          <w:lang w:val="en-GB"/>
        </w:rPr>
        <w:t>ic writing</w:t>
      </w:r>
      <w:r w:rsidR="00B91A61">
        <w:rPr>
          <w:rFonts w:eastAsia="Arial Unicode MS" w:cs="Arial Unicode MS"/>
          <w:lang w:val="en-GB"/>
        </w:rPr>
        <w:t>.</w:t>
      </w:r>
    </w:p>
  </w:footnote>
  <w:footnote w:id="18">
    <w:p w14:paraId="13F045BF" w14:textId="3ED3CDFF" w:rsidR="007A5D1D" w:rsidRPr="00B312EF" w:rsidRDefault="007A5D1D" w:rsidP="00212C1C">
      <w:pPr>
        <w:pStyle w:val="Anmerkung"/>
        <w:rPr>
          <w:lang w:val="en-GB"/>
        </w:rPr>
      </w:pPr>
      <w:r w:rsidRPr="00B312EF">
        <w:rPr>
          <w:sz w:val="24"/>
          <w:szCs w:val="24"/>
          <w:vertAlign w:val="superscript"/>
          <w:lang w:val="en-GB"/>
          <w14:textOutline w14:w="12700" w14:cap="flat" w14:cmpd="sng" w14:algn="ctr">
            <w14:noFill/>
            <w14:prstDash w14:val="solid"/>
            <w14:miter w14:lim="400000"/>
          </w14:textOutline>
        </w:rPr>
        <w:footnoteRef/>
      </w:r>
      <w:r w:rsidRPr="00B312EF">
        <w:rPr>
          <w:rFonts w:eastAsia="Arial Unicode MS" w:cs="Arial Unicode MS"/>
          <w:lang w:val="en-GB"/>
        </w:rPr>
        <w:t xml:space="preserve"> </w:t>
      </w:r>
      <w:r w:rsidR="00545159">
        <w:rPr>
          <w:rFonts w:eastAsia="Arial Unicode MS" w:cs="Arial Unicode MS"/>
          <w:lang w:val="en-GB"/>
        </w:rPr>
        <w:t xml:space="preserve">A criticism of eternalism might be that it fails to recognize the significance of </w:t>
      </w:r>
      <w:r w:rsidR="00570EF9">
        <w:rPr>
          <w:rFonts w:eastAsia="Arial Unicode MS" w:cs="Arial Unicode MS"/>
          <w:lang w:val="en-GB"/>
        </w:rPr>
        <w:t xml:space="preserve">such </w:t>
      </w:r>
      <w:r w:rsidR="002E466C">
        <w:rPr>
          <w:rFonts w:eastAsia="Arial Unicode MS" w:cs="Arial Unicode MS"/>
          <w:lang w:val="en-GB"/>
        </w:rPr>
        <w:t>a</w:t>
      </w:r>
      <w:r w:rsidR="008A1CAC">
        <w:rPr>
          <w:rFonts w:eastAsia="Arial Unicode MS" w:cs="Arial Unicode MS"/>
          <w:lang w:val="en-GB"/>
        </w:rPr>
        <w:t xml:space="preserve"> </w:t>
      </w:r>
      <w:r w:rsidR="002E466C">
        <w:rPr>
          <w:rFonts w:eastAsia="Arial Unicode MS" w:cs="Arial Unicode MS"/>
          <w:lang w:val="en-GB"/>
        </w:rPr>
        <w:t>framework</w:t>
      </w:r>
      <w:r w:rsidR="00570EF9">
        <w:rPr>
          <w:rFonts w:eastAsia="Arial Unicode MS" w:cs="Arial Unicode MS"/>
          <w:lang w:val="en-GB"/>
        </w:rPr>
        <w:t xml:space="preserve"> or to provide one</w:t>
      </w:r>
      <w:r w:rsidR="00545159">
        <w:rPr>
          <w:rFonts w:eastAsia="Arial Unicode MS" w:cs="Arial Unicode MS"/>
          <w:lang w:val="en-GB"/>
        </w:rPr>
        <w:t>, because it assumes in advance the identity and permanence (at least in philosophical</w:t>
      </w:r>
      <w:r w:rsidR="008A1CAC">
        <w:rPr>
          <w:rFonts w:eastAsia="Arial Unicode MS" w:cs="Arial Unicode MS"/>
          <w:lang w:val="en-GB"/>
        </w:rPr>
        <w:t>ly</w:t>
      </w:r>
      <w:r w:rsidR="00545159">
        <w:rPr>
          <w:rFonts w:eastAsia="Arial Unicode MS" w:cs="Arial Unicode MS"/>
          <w:lang w:val="en-GB"/>
        </w:rPr>
        <w:t xml:space="preserve"> relevant aspects) of the philosophical communicative situation</w:t>
      </w:r>
      <w:r w:rsidRPr="00B312EF">
        <w:rPr>
          <w:rFonts w:eastAsia="Arial Unicode MS" w:cs="Arial Unicode MS"/>
          <w:lang w:val="en-GB"/>
        </w:rPr>
        <w:t xml:space="preserve">. </w:t>
      </w:r>
      <w:r w:rsidR="008A1CAC">
        <w:rPr>
          <w:rFonts w:eastAsia="Arial Unicode MS" w:cs="Arial Unicode MS"/>
          <w:lang w:val="en-GB"/>
        </w:rPr>
        <w:t>Cf</w:t>
      </w:r>
      <w:r w:rsidRPr="00B312EF">
        <w:rPr>
          <w:rFonts w:eastAsia="Arial Unicode MS" w:cs="Arial Unicode MS"/>
          <w:lang w:val="en-GB"/>
        </w:rPr>
        <w:t xml:space="preserve">. Assmann 2018: 287f.: </w:t>
      </w:r>
      <w:r w:rsidRPr="00457CC6">
        <w:rPr>
          <w:rFonts w:eastAsia="Arial Unicode MS" w:cs="Arial Unicode MS"/>
          <w:noProof/>
          <w:shd w:val="clear" w:color="auto" w:fill="F79646"/>
          <w:lang w:val="de-DE"/>
        </w:rPr>
        <w:t>„Die Sache gehört […] ganz und gar in den Horizont der ‚zerdehnten</w:t>
      </w:r>
      <w:r w:rsidRPr="00457CC6">
        <w:rPr>
          <w:rFonts w:ascii="Arial Unicode MS" w:hAnsi="Arial Unicode MS"/>
          <w:noProof/>
          <w:shd w:val="clear" w:color="auto" w:fill="F79646"/>
          <w:rtl/>
          <w:lang w:val="de-DE"/>
        </w:rPr>
        <w:t xml:space="preserve">‘ </w:t>
      </w:r>
      <w:r w:rsidRPr="00457CC6">
        <w:rPr>
          <w:rFonts w:eastAsia="Arial Unicode MS" w:cs="Arial Unicode MS"/>
          <w:noProof/>
          <w:shd w:val="clear" w:color="auto" w:fill="F79646"/>
          <w:lang w:val="de-DE"/>
        </w:rPr>
        <w:t>Situation. Man könnte ebensowenig nach Hunderten von Jahren auf diese Sache Bezug nehmen wie auf das, was der Vorredner gesagt hat, wenn nicht auch hier spezielle Vorkehrungen zur Institutionalisierung von Permanenz getroffen würden, die diese Sache im Bewußtsein späterer Geschlechter präsent halten. Worauf es ankommt, ist eine transsituative Fixierung von Relevanz.</w:t>
      </w:r>
      <w:r w:rsidRPr="00457CC6">
        <w:rPr>
          <w:rFonts w:ascii="Arial Unicode MS" w:hAnsi="Arial Unicode MS"/>
          <w:noProof/>
          <w:shd w:val="clear" w:color="auto" w:fill="F79646"/>
          <w:rtl/>
          <w:lang w:val="de-DE" w:bidi="ar-SA"/>
        </w:rPr>
        <w:t>“</w:t>
      </w:r>
    </w:p>
  </w:footnote>
  <w:footnote w:id="19">
    <w:p w14:paraId="03B07A1F" w14:textId="0F4D7683"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101C1D">
        <w:rPr>
          <w:rFonts w:eastAsia="Arial Unicode MS" w:cs="Arial Unicode MS"/>
          <w:lang w:val="en-GB"/>
        </w:rPr>
        <w:t>Even if a teacher without any knowledge of the history of philosophy merely relies on methods acquired by practical intuition, we must still speak of a variational reference to the history of philosophy (albeit a mediated and to this extent likely nontransparent one)</w:t>
      </w:r>
      <w:r w:rsidRPr="00B312EF">
        <w:rPr>
          <w:rFonts w:eastAsia="Arial Unicode MS" w:cs="Arial Unicode MS"/>
          <w:lang w:val="en-GB"/>
        </w:rPr>
        <w:t>.</w:t>
      </w:r>
    </w:p>
  </w:footnote>
  <w:footnote w:id="20">
    <w:p w14:paraId="2449A08D" w14:textId="74061640" w:rsidR="007A5D1D" w:rsidRPr="00B312EF" w:rsidRDefault="007A5D1D" w:rsidP="00212C1C">
      <w:pPr>
        <w:pStyle w:val="Anmerkung"/>
        <w:rPr>
          <w:lang w:val="en-GB"/>
        </w:rPr>
      </w:pPr>
      <w:r w:rsidRPr="00B312EF">
        <w:rPr>
          <w:sz w:val="24"/>
          <w:szCs w:val="24"/>
          <w:vertAlign w:val="superscript"/>
          <w:lang w:val="en-GB"/>
        </w:rPr>
        <w:footnoteRef/>
      </w:r>
      <w:r w:rsidRPr="00B312EF">
        <w:rPr>
          <w:rFonts w:eastAsia="Arial Unicode MS" w:cs="Arial Unicode MS"/>
          <w:lang w:val="en-GB"/>
        </w:rPr>
        <w:t xml:space="preserve"> </w:t>
      </w:r>
      <w:r w:rsidR="00101C1D">
        <w:rPr>
          <w:rFonts w:eastAsia="Arial Unicode MS" w:cs="Arial Unicode MS"/>
          <w:lang w:val="en-GB"/>
        </w:rPr>
        <w:t>Cf. along these lines also</w:t>
      </w:r>
      <w:r w:rsidRPr="00B312EF">
        <w:rPr>
          <w:rFonts w:eastAsia="Arial Unicode MS" w:cs="Arial Unicode MS"/>
          <w:lang w:val="en-GB"/>
        </w:rPr>
        <w:t xml:space="preserve"> Richter 2016: 62:</w:t>
      </w:r>
      <w:r w:rsidR="00101C1D">
        <w:rPr>
          <w:rFonts w:eastAsia="Arial Unicode MS" w:cs="Arial Unicode MS"/>
          <w:lang w:val="en-GB"/>
        </w:rPr>
        <w:t xml:space="preserve"> </w:t>
      </w:r>
      <w:r w:rsidR="00A15768">
        <w:rPr>
          <w:rFonts w:eastAsia="Arial Unicode MS" w:cs="Arial Unicode MS"/>
          <w:lang w:val="en-GB"/>
        </w:rPr>
        <w:t>“In order to be able to meaningfully take up Rohbeck’s suggestion of a transfer of methods [. . .] from a philosophical and educational perspective in the first place, detailed subject knowledge and competent handling of the positions found in the history of philosophy and the scholarly literature [. . .] is a prerequisite. Philosophy/ethics and instruction in teaching methods cannot be seen as two separate areas. There is no sensible way to separate what to teach from how to teach it.”</w:t>
      </w:r>
    </w:p>
  </w:footnote>
  <w:footnote w:id="21">
    <w:p w14:paraId="37A0F7EC" w14:textId="20B55252"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Assmann </w:t>
      </w:r>
      <w:r w:rsidR="00F84283">
        <w:rPr>
          <w:rFonts w:eastAsia="Arial Unicode MS" w:cs="Arial Unicode MS"/>
          <w:lang w:val="en-GB"/>
        </w:rPr>
        <w:t xml:space="preserve">explains what he means by “progress” with reference to the historian </w:t>
      </w:r>
      <w:r w:rsidRPr="00B312EF">
        <w:rPr>
          <w:rFonts w:eastAsia="Arial Unicode MS" w:cs="Arial Unicode MS"/>
          <w:lang w:val="en-GB"/>
        </w:rPr>
        <w:t>Johann Gustav Droysen</w:t>
      </w:r>
      <w:r w:rsidR="00F84283">
        <w:rPr>
          <w:rFonts w:eastAsia="Arial Unicode MS" w:cs="Arial Unicode MS"/>
          <w:lang w:val="en-GB"/>
        </w:rPr>
        <w:t xml:space="preserve"> and the latter’s adoption of the Aristotelian formula</w:t>
      </w:r>
      <w:r w:rsidRPr="00B312EF">
        <w:rPr>
          <w:rFonts w:eastAsia="Arial Unicode MS" w:cs="Arial Unicode MS"/>
          <w:lang w:val="en-GB"/>
        </w:rPr>
        <w:t xml:space="preserve"> </w:t>
      </w:r>
      <w:r w:rsidRPr="00B312EF">
        <w:rPr>
          <w:rFonts w:eastAsia="Arial Unicode MS" w:cs="Arial Unicode MS"/>
          <w:i/>
          <w:iCs/>
          <w:lang w:val="en-GB"/>
        </w:rPr>
        <w:t>epídosis</w:t>
      </w:r>
      <w:r w:rsidRPr="00B312EF">
        <w:rPr>
          <w:rFonts w:eastAsia="Arial Unicode MS" w:cs="Arial Unicode MS"/>
          <w:lang w:val="en-GB"/>
        </w:rPr>
        <w:t xml:space="preserve"> </w:t>
      </w:r>
      <w:r w:rsidRPr="00B312EF">
        <w:rPr>
          <w:rFonts w:eastAsia="Arial Unicode MS" w:cs="Arial Unicode MS"/>
          <w:i/>
          <w:iCs/>
          <w:lang w:val="en-GB"/>
        </w:rPr>
        <w:t>eis</w:t>
      </w:r>
      <w:r w:rsidRPr="00B312EF">
        <w:rPr>
          <w:rFonts w:eastAsia="Arial Unicode MS" w:cs="Arial Unicode MS"/>
          <w:lang w:val="en-GB"/>
        </w:rPr>
        <w:t xml:space="preserve"> </w:t>
      </w:r>
      <w:r w:rsidRPr="00B312EF">
        <w:rPr>
          <w:rFonts w:eastAsia="Arial Unicode MS" w:cs="Arial Unicode MS"/>
          <w:i/>
          <w:iCs/>
          <w:lang w:val="en-GB"/>
        </w:rPr>
        <w:t>hautó</w:t>
      </w:r>
      <w:r w:rsidRPr="00B312EF">
        <w:rPr>
          <w:rFonts w:eastAsia="Arial Unicode MS" w:cs="Arial Unicode MS"/>
          <w:lang w:val="en-GB"/>
        </w:rPr>
        <w:t xml:space="preserve">, </w:t>
      </w:r>
      <w:r w:rsidR="00F84283">
        <w:rPr>
          <w:rFonts w:eastAsia="Arial Unicode MS" w:cs="Arial Unicode MS"/>
          <w:lang w:val="en-GB"/>
        </w:rPr>
        <w:t>which</w:t>
      </w:r>
      <w:r w:rsidRPr="00B312EF">
        <w:rPr>
          <w:rFonts w:eastAsia="Arial Unicode MS" w:cs="Arial Unicode MS"/>
          <w:lang w:val="en-GB"/>
        </w:rPr>
        <w:t xml:space="preserve"> Assmann </w:t>
      </w:r>
      <w:r w:rsidR="00F84283">
        <w:rPr>
          <w:rFonts w:eastAsia="Arial Unicode MS" w:cs="Arial Unicode MS"/>
          <w:lang w:val="en-GB"/>
        </w:rPr>
        <w:t>translates as</w:t>
      </w:r>
      <w:r w:rsidRPr="00B312EF">
        <w:rPr>
          <w:rFonts w:eastAsia="Arial Unicode MS" w:cs="Arial Unicode MS"/>
          <w:lang w:val="en-GB"/>
        </w:rPr>
        <w:t xml:space="preserve"> </w:t>
      </w:r>
      <w:r w:rsidRPr="00457CC6">
        <w:rPr>
          <w:rFonts w:eastAsia="Arial Unicode MS" w:cs="Arial Unicode MS"/>
          <w:noProof/>
          <w:highlight w:val="green"/>
          <w:lang w:val="de-DE"/>
        </w:rPr>
        <w:t>„Hinzufügung zu sich selbst“</w:t>
      </w:r>
      <w:r w:rsidRPr="00B312EF">
        <w:rPr>
          <w:rFonts w:eastAsia="Arial Unicode MS" w:cs="Arial Unicode MS"/>
          <w:lang w:val="en-GB"/>
        </w:rPr>
        <w:t>. Droysen</w:t>
      </w:r>
      <w:r w:rsidR="005E43D0">
        <w:rPr>
          <w:rFonts w:eastAsia="Arial Unicode MS" w:cs="Arial Unicode MS"/>
          <w:lang w:val="en-GB"/>
        </w:rPr>
        <w:t xml:space="preserve"> turned</w:t>
      </w:r>
      <w:r w:rsidR="00F84283">
        <w:rPr>
          <w:rFonts w:eastAsia="Arial Unicode MS" w:cs="Arial Unicode MS"/>
          <w:lang w:val="en-GB"/>
        </w:rPr>
        <w:t xml:space="preserve"> the phrase</w:t>
      </w:r>
      <w:r w:rsidRPr="00B312EF">
        <w:rPr>
          <w:rFonts w:eastAsia="Arial Unicode MS" w:cs="Arial Unicode MS"/>
          <w:lang w:val="en-GB"/>
        </w:rPr>
        <w:t xml:space="preserve"> (</w:t>
      </w:r>
      <w:r w:rsidR="00F84283">
        <w:rPr>
          <w:rFonts w:eastAsia="Arial Unicode MS" w:cs="Arial Unicode MS"/>
          <w:lang w:val="en-GB"/>
        </w:rPr>
        <w:t>which occurs only once in Aristotle, in a parenthetical remark at</w:t>
      </w:r>
      <w:r w:rsidRPr="00B312EF">
        <w:rPr>
          <w:rFonts w:eastAsia="Arial Unicode MS" w:cs="Arial Unicode MS"/>
          <w:lang w:val="en-GB"/>
        </w:rPr>
        <w:t xml:space="preserve"> </w:t>
      </w:r>
      <w:r w:rsidRPr="00B312EF">
        <w:rPr>
          <w:rFonts w:eastAsia="Arial Unicode MS" w:cs="Arial Unicode MS"/>
          <w:i/>
          <w:iCs/>
          <w:lang w:val="en-GB"/>
        </w:rPr>
        <w:t xml:space="preserve">De </w:t>
      </w:r>
      <w:r w:rsidR="007B75B1">
        <w:rPr>
          <w:rFonts w:eastAsia="Arial Unicode MS" w:cs="Arial Unicode MS"/>
          <w:i/>
          <w:iCs/>
          <w:lang w:val="en-GB"/>
        </w:rPr>
        <w:t>a</w:t>
      </w:r>
      <w:r w:rsidRPr="00B312EF">
        <w:rPr>
          <w:rFonts w:eastAsia="Arial Unicode MS" w:cs="Arial Unicode MS"/>
          <w:i/>
          <w:iCs/>
          <w:lang w:val="en-GB"/>
        </w:rPr>
        <w:t xml:space="preserve">nima </w:t>
      </w:r>
      <w:r w:rsidRPr="00B312EF">
        <w:rPr>
          <w:rFonts w:eastAsia="Arial Unicode MS" w:cs="Arial Unicode MS"/>
          <w:lang w:val="en-GB"/>
        </w:rPr>
        <w:t xml:space="preserve">II, 5, 417b6–7) </w:t>
      </w:r>
      <w:r w:rsidR="005E43D0">
        <w:rPr>
          <w:rFonts w:eastAsia="Arial Unicode MS" w:cs="Arial Unicode MS"/>
          <w:lang w:val="en-GB"/>
        </w:rPr>
        <w:t xml:space="preserve">into </w:t>
      </w:r>
      <w:r w:rsidR="00F84283">
        <w:rPr>
          <w:rFonts w:eastAsia="Arial Unicode MS" w:cs="Arial Unicode MS"/>
          <w:lang w:val="en-GB"/>
        </w:rPr>
        <w:t xml:space="preserve">a key term in his own theory of history, </w:t>
      </w:r>
      <w:r w:rsidR="005E43D0">
        <w:rPr>
          <w:rFonts w:eastAsia="Arial Unicode MS" w:cs="Arial Unicode MS"/>
          <w:lang w:val="en-GB"/>
        </w:rPr>
        <w:t>making humanity’s continuous “self-</w:t>
      </w:r>
      <w:r w:rsidR="00EE44F7">
        <w:rPr>
          <w:rFonts w:eastAsia="Arial Unicode MS" w:cs="Arial Unicode MS"/>
          <w:lang w:val="en-GB"/>
        </w:rPr>
        <w:t>supplementa</w:t>
      </w:r>
      <w:r w:rsidR="005E43D0">
        <w:rPr>
          <w:rFonts w:eastAsia="Arial Unicode MS" w:cs="Arial Unicode MS"/>
          <w:lang w:val="en-GB"/>
        </w:rPr>
        <w:t xml:space="preserve">tion” </w:t>
      </w:r>
      <w:r w:rsidRPr="00B312EF">
        <w:rPr>
          <w:rFonts w:eastAsia="Arial Unicode MS" w:cs="Arial Unicode MS"/>
          <w:lang w:val="en-GB"/>
        </w:rPr>
        <w:t>(</w:t>
      </w:r>
      <w:r w:rsidRPr="00B312EF">
        <w:rPr>
          <w:rFonts w:eastAsia="Arial Unicode MS" w:cs="Arial Unicode MS"/>
          <w:i/>
          <w:iCs/>
          <w:lang w:val="en-GB"/>
        </w:rPr>
        <w:t>epídosis</w:t>
      </w:r>
      <w:r w:rsidRPr="00B312EF">
        <w:rPr>
          <w:rFonts w:eastAsia="Arial Unicode MS" w:cs="Arial Unicode MS"/>
          <w:lang w:val="en-GB"/>
        </w:rPr>
        <w:t xml:space="preserve"> </w:t>
      </w:r>
      <w:r w:rsidRPr="00B312EF">
        <w:rPr>
          <w:rFonts w:eastAsia="Arial Unicode MS" w:cs="Arial Unicode MS"/>
          <w:i/>
          <w:iCs/>
          <w:lang w:val="en-GB"/>
        </w:rPr>
        <w:t>eis</w:t>
      </w:r>
      <w:r w:rsidRPr="00B312EF">
        <w:rPr>
          <w:rFonts w:eastAsia="Arial Unicode MS" w:cs="Arial Unicode MS"/>
          <w:lang w:val="en-GB"/>
        </w:rPr>
        <w:t xml:space="preserve"> </w:t>
      </w:r>
      <w:r w:rsidRPr="00B312EF">
        <w:rPr>
          <w:rFonts w:eastAsia="Arial Unicode MS" w:cs="Arial Unicode MS"/>
          <w:i/>
          <w:iCs/>
          <w:lang w:val="en-GB"/>
        </w:rPr>
        <w:t>hautó</w:t>
      </w:r>
      <w:r w:rsidRPr="00B312EF">
        <w:rPr>
          <w:rFonts w:eastAsia="Arial Unicode MS" w:cs="Arial Unicode MS"/>
          <w:lang w:val="en-GB"/>
        </w:rPr>
        <w:t xml:space="preserve">) </w:t>
      </w:r>
      <w:r w:rsidR="005E43D0">
        <w:rPr>
          <w:rFonts w:eastAsia="Arial Unicode MS" w:cs="Arial Unicode MS"/>
          <w:lang w:val="en-GB"/>
        </w:rPr>
        <w:t xml:space="preserve">a fundamental principle of history itself </w:t>
      </w:r>
      <w:r w:rsidRPr="00B312EF">
        <w:rPr>
          <w:rFonts w:eastAsia="Arial Unicode MS" w:cs="Arial Unicode MS"/>
          <w:lang w:val="en-GB"/>
        </w:rPr>
        <w:t>(</w:t>
      </w:r>
      <w:r w:rsidR="005E43D0">
        <w:rPr>
          <w:rFonts w:eastAsia="Arial Unicode MS" w:cs="Arial Unicode MS"/>
          <w:lang w:val="en-GB"/>
        </w:rPr>
        <w:t xml:space="preserve">this theory is most clearly laid out in the introductory chapter of </w:t>
      </w:r>
      <w:r w:rsidRPr="00B312EF">
        <w:rPr>
          <w:rFonts w:eastAsia="Arial Unicode MS" w:cs="Arial Unicode MS"/>
          <w:lang w:val="en-GB"/>
        </w:rPr>
        <w:t>Droysen</w:t>
      </w:r>
      <w:r w:rsidR="005E43D0">
        <w:rPr>
          <w:rFonts w:eastAsia="Arial Unicode MS" w:cs="Arial Unicode MS"/>
          <w:lang w:val="en-GB"/>
        </w:rPr>
        <w:t>’</w:t>
      </w:r>
      <w:r w:rsidRPr="00B312EF">
        <w:rPr>
          <w:rFonts w:eastAsia="Arial Unicode MS" w:cs="Arial Unicode MS"/>
          <w:lang w:val="en-GB"/>
        </w:rPr>
        <w:t xml:space="preserve">s </w:t>
      </w:r>
      <w:r w:rsidRPr="00B312EF">
        <w:rPr>
          <w:rFonts w:eastAsia="Arial Unicode MS" w:cs="Arial Unicode MS"/>
          <w:i/>
          <w:iCs/>
          <w:lang w:val="en-GB"/>
        </w:rPr>
        <w:t>Historik</w:t>
      </w:r>
      <w:r w:rsidRPr="00B312EF">
        <w:rPr>
          <w:rFonts w:eastAsia="Arial Unicode MS" w:cs="Arial Unicode MS"/>
          <w:lang w:val="en-GB"/>
        </w:rPr>
        <w:t xml:space="preserve"> 1958: 9–20; </w:t>
      </w:r>
      <w:r w:rsidR="005E43D0">
        <w:rPr>
          <w:rFonts w:eastAsia="Arial Unicode MS" w:cs="Arial Unicode MS"/>
          <w:lang w:val="en-GB"/>
        </w:rPr>
        <w:t>on</w:t>
      </w:r>
      <w:r w:rsidRPr="00B312EF">
        <w:rPr>
          <w:rFonts w:eastAsia="Arial Unicode MS" w:cs="Arial Unicode MS"/>
          <w:lang w:val="en-GB"/>
        </w:rPr>
        <w:t xml:space="preserve"> Droysen</w:t>
      </w:r>
      <w:r w:rsidR="005E43D0">
        <w:rPr>
          <w:rFonts w:eastAsia="Arial Unicode MS" w:cs="Arial Unicode MS"/>
          <w:lang w:val="en-GB"/>
        </w:rPr>
        <w:t>’s reception of Aristotle cf.</w:t>
      </w:r>
      <w:r w:rsidRPr="00B312EF">
        <w:rPr>
          <w:rFonts w:eastAsia="Arial Unicode MS" w:cs="Arial Unicode MS"/>
          <w:lang w:val="en-GB"/>
        </w:rPr>
        <w:t xml:space="preserve"> Hackel 2019). </w:t>
      </w:r>
      <w:r w:rsidR="005E43D0">
        <w:rPr>
          <w:rFonts w:eastAsia="Arial Unicode MS" w:cs="Arial Unicode MS"/>
          <w:lang w:val="en-GB"/>
        </w:rPr>
        <w:t>However, the idea of progress, as expressed in the concept of</w:t>
      </w:r>
      <w:r w:rsidRPr="00B312EF">
        <w:rPr>
          <w:rFonts w:eastAsia="Arial Unicode MS" w:cs="Arial Unicode MS"/>
          <w:lang w:val="en-GB"/>
        </w:rPr>
        <w:t xml:space="preserve"> </w:t>
      </w:r>
      <w:r w:rsidRPr="00B312EF">
        <w:rPr>
          <w:rFonts w:eastAsia="Arial Unicode MS" w:cs="Arial Unicode MS"/>
          <w:i/>
          <w:iCs/>
          <w:lang w:val="en-GB"/>
        </w:rPr>
        <w:t>epídosis</w:t>
      </w:r>
      <w:r w:rsidRPr="00B312EF">
        <w:rPr>
          <w:rFonts w:eastAsia="Arial Unicode MS" w:cs="Arial Unicode MS"/>
          <w:lang w:val="en-GB"/>
        </w:rPr>
        <w:t xml:space="preserve"> </w:t>
      </w:r>
      <w:r w:rsidR="005E43D0">
        <w:rPr>
          <w:rFonts w:eastAsia="Arial Unicode MS" w:cs="Arial Unicode MS"/>
          <w:lang w:val="en-GB"/>
        </w:rPr>
        <w:t xml:space="preserve">or </w:t>
      </w:r>
      <w:r w:rsidR="00EE44F7">
        <w:rPr>
          <w:rFonts w:eastAsia="Arial Unicode MS" w:cs="Arial Unicode MS"/>
          <w:lang w:val="en-GB"/>
        </w:rPr>
        <w:t>supplement</w:t>
      </w:r>
      <w:r w:rsidR="005E43D0">
        <w:rPr>
          <w:rFonts w:eastAsia="Arial Unicode MS" w:cs="Arial Unicode MS"/>
          <w:lang w:val="en-GB"/>
        </w:rPr>
        <w:t xml:space="preserve">ation, is inseparably linked in Droysen with the assumption of a superordinate and rational goal of human history as a whole. In his interpretation of history as a history of progress, Droysen, who attended Hegel’s lectures on the philosophy of history as a student, adopts </w:t>
      </w:r>
      <w:r w:rsidR="00C70344">
        <w:rPr>
          <w:rFonts w:eastAsia="Arial Unicode MS" w:cs="Arial Unicode MS"/>
          <w:lang w:val="en-GB"/>
        </w:rPr>
        <w:t xml:space="preserve">most of the </w:t>
      </w:r>
      <w:r w:rsidR="005E43D0">
        <w:rPr>
          <w:rFonts w:eastAsia="Arial Unicode MS" w:cs="Arial Unicode MS"/>
          <w:lang w:val="en-GB"/>
        </w:rPr>
        <w:t>central assumptions of Hegel’s philosophy of history</w:t>
      </w:r>
      <w:r w:rsidR="00C70344">
        <w:rPr>
          <w:rFonts w:eastAsia="Arial Unicode MS" w:cs="Arial Unicode MS"/>
          <w:lang w:val="en-GB"/>
        </w:rPr>
        <w:t>, rejecting only Hegel’s assumption that history’s ultimate goal is knowable</w:t>
      </w:r>
      <w:r w:rsidRPr="00B312EF">
        <w:rPr>
          <w:rFonts w:eastAsia="Arial Unicode MS" w:cs="Arial Unicode MS"/>
          <w:lang w:val="en-GB"/>
        </w:rPr>
        <w:t xml:space="preserve"> (</w:t>
      </w:r>
      <w:r w:rsidR="00C70344">
        <w:rPr>
          <w:rFonts w:eastAsia="Arial Unicode MS" w:cs="Arial Unicode MS"/>
          <w:lang w:val="en-GB"/>
        </w:rPr>
        <w:t>for more on this, see</w:t>
      </w:r>
      <w:r w:rsidRPr="00B312EF">
        <w:rPr>
          <w:rFonts w:eastAsia="Arial Unicode MS" w:cs="Arial Unicode MS"/>
          <w:lang w:val="en-GB"/>
        </w:rPr>
        <w:t xml:space="preserve"> Bauer 2001).</w:t>
      </w:r>
    </w:p>
  </w:footnote>
  <w:footnote w:id="22">
    <w:p w14:paraId="3553E324" w14:textId="33BF9DAA"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D203F4">
        <w:rPr>
          <w:rFonts w:eastAsia="Arial Unicode MS" w:cs="Arial Unicode MS"/>
          <w:lang w:val="en-GB"/>
        </w:rPr>
        <w:t xml:space="preserve">Edmund </w:t>
      </w:r>
      <w:r w:rsidRPr="00B312EF">
        <w:rPr>
          <w:rFonts w:eastAsia="Arial Unicode MS" w:cs="Arial Unicode MS"/>
          <w:lang w:val="en-GB"/>
        </w:rPr>
        <w:t xml:space="preserve">Husserl, </w:t>
      </w:r>
      <w:r w:rsidRPr="003172E7">
        <w:rPr>
          <w:rFonts w:eastAsia="Arial Unicode MS" w:cs="Arial Unicode MS"/>
          <w:i/>
          <w:iCs/>
          <w:lang w:val="en-GB"/>
        </w:rPr>
        <w:t>Die Krisis der europäischen Wissenschaften und die transzendentale Phänomenologie</w:t>
      </w:r>
      <w:r w:rsidR="00D203F4" w:rsidRPr="003172E7">
        <w:rPr>
          <w:rFonts w:eastAsia="Arial Unicode MS" w:cs="Arial Unicode MS"/>
          <w:i/>
          <w:iCs/>
          <w:lang w:val="en-GB"/>
        </w:rPr>
        <w:t>:</w:t>
      </w:r>
      <w:r w:rsidRPr="003172E7">
        <w:rPr>
          <w:rFonts w:eastAsia="Arial Unicode MS" w:cs="Arial Unicode MS"/>
          <w:i/>
          <w:iCs/>
          <w:lang w:val="en-GB"/>
        </w:rPr>
        <w:t xml:space="preserve"> Eine Einleitung in die phänomenologische Philosophie</w:t>
      </w:r>
      <w:r w:rsidR="00D203F4">
        <w:rPr>
          <w:rFonts w:eastAsia="Arial Unicode MS" w:cs="Arial Unicode MS"/>
          <w:lang w:val="en-GB"/>
        </w:rPr>
        <w:t>,</w:t>
      </w:r>
      <w:r w:rsidRPr="00B312EF">
        <w:rPr>
          <w:rFonts w:eastAsia="Arial Unicode MS" w:cs="Arial Unicode MS"/>
          <w:lang w:val="en-GB"/>
        </w:rPr>
        <w:t xml:space="preserve"> Husserliana, </w:t>
      </w:r>
      <w:r w:rsidR="00D203F4">
        <w:rPr>
          <w:rFonts w:eastAsia="Arial Unicode MS" w:cs="Arial Unicode MS"/>
          <w:lang w:val="en-GB"/>
        </w:rPr>
        <w:t>vol</w:t>
      </w:r>
      <w:r w:rsidRPr="00B312EF">
        <w:rPr>
          <w:rFonts w:eastAsia="Arial Unicode MS" w:cs="Arial Unicode MS"/>
          <w:lang w:val="en-GB"/>
        </w:rPr>
        <w:t xml:space="preserve">. VI, </w:t>
      </w:r>
      <w:r w:rsidR="00D203F4">
        <w:rPr>
          <w:rFonts w:eastAsia="Arial Unicode MS" w:cs="Arial Unicode MS"/>
          <w:lang w:val="en-GB"/>
        </w:rPr>
        <w:t>ed</w:t>
      </w:r>
      <w:r w:rsidRPr="00B312EF">
        <w:rPr>
          <w:rFonts w:eastAsia="Arial Unicode MS" w:cs="Arial Unicode MS"/>
          <w:lang w:val="en-GB"/>
        </w:rPr>
        <w:t>. Walter Biemel</w:t>
      </w:r>
      <w:r w:rsidR="00D203F4">
        <w:rPr>
          <w:rFonts w:eastAsia="Arial Unicode MS" w:cs="Arial Unicode MS"/>
          <w:lang w:val="en-GB"/>
        </w:rPr>
        <w:t xml:space="preserve"> (The Hague</w:t>
      </w:r>
      <w:r w:rsidRPr="00B312EF">
        <w:rPr>
          <w:rFonts w:eastAsia="Arial Unicode MS" w:cs="Arial Unicode MS"/>
          <w:lang w:val="en-GB"/>
        </w:rPr>
        <w:t>: Martinus Nijhoff, 1954</w:t>
      </w:r>
      <w:r w:rsidR="00D203F4">
        <w:rPr>
          <w:rFonts w:eastAsia="Arial Unicode MS" w:cs="Arial Unicode MS"/>
          <w:lang w:val="en-GB"/>
        </w:rPr>
        <w:t>)</w:t>
      </w:r>
      <w:r w:rsidRPr="00B312EF">
        <w:rPr>
          <w:rFonts w:eastAsia="Arial Unicode MS" w:cs="Arial Unicode MS"/>
          <w:lang w:val="en-GB"/>
        </w:rPr>
        <w:t>, 15</w:t>
      </w:r>
      <w:r w:rsidR="003172E7">
        <w:rPr>
          <w:rFonts w:eastAsia="Arial Unicode MS" w:cs="Arial Unicode MS"/>
          <w:lang w:val="en-GB"/>
        </w:rPr>
        <w:t>–</w:t>
      </w:r>
      <w:r w:rsidRPr="00B312EF">
        <w:rPr>
          <w:rFonts w:eastAsia="Arial Unicode MS" w:cs="Arial Unicode MS"/>
          <w:lang w:val="en-GB"/>
        </w:rPr>
        <w:t xml:space="preserve">17. </w:t>
      </w:r>
    </w:p>
  </w:footnote>
  <w:footnote w:id="23">
    <w:p w14:paraId="6E3D9DB6" w14:textId="6116EB9E"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In </w:t>
      </w:r>
      <w:r w:rsidR="00860A13">
        <w:rPr>
          <w:rFonts w:eastAsia="Arial Unicode MS" w:cs="Arial Unicode MS"/>
          <w:lang w:val="en-GB"/>
        </w:rPr>
        <w:t>the introduction to</w:t>
      </w:r>
      <w:r w:rsidRPr="00B312EF">
        <w:rPr>
          <w:rFonts w:eastAsia="Arial Unicode MS" w:cs="Arial Unicode MS"/>
          <w:lang w:val="en-GB"/>
        </w:rPr>
        <w:t xml:space="preserve"> </w:t>
      </w:r>
      <w:r w:rsidR="00860A13">
        <w:rPr>
          <w:rFonts w:eastAsia="Arial Unicode MS" w:cs="Arial Unicode MS"/>
          <w:i/>
          <w:iCs/>
          <w:lang w:val="en-GB"/>
        </w:rPr>
        <w:t>Die o</w:t>
      </w:r>
      <w:r w:rsidRPr="00B312EF">
        <w:rPr>
          <w:rFonts w:eastAsia="Arial Unicode MS" w:cs="Arial Unicode MS"/>
          <w:i/>
          <w:iCs/>
          <w:lang w:val="en-GB"/>
        </w:rPr>
        <w:t xml:space="preserve">ntologische Distanz </w:t>
      </w:r>
      <w:r w:rsidRPr="00B312EF">
        <w:rPr>
          <w:rFonts w:eastAsia="Arial Unicode MS" w:cs="Arial Unicode MS"/>
          <w:lang w:val="en-GB"/>
        </w:rPr>
        <w:t>Blumenberg</w:t>
      </w:r>
      <w:r w:rsidR="00860A13">
        <w:rPr>
          <w:rFonts w:eastAsia="Arial Unicode MS" w:cs="Arial Unicode MS"/>
          <w:lang w:val="en-GB"/>
        </w:rPr>
        <w:t xml:space="preserve"> </w:t>
      </w:r>
      <w:r w:rsidR="00A6468C">
        <w:rPr>
          <w:rFonts w:eastAsia="Arial Unicode MS" w:cs="Arial Unicode MS"/>
          <w:lang w:val="en-GB"/>
        </w:rPr>
        <w:t xml:space="preserve">calls “the historicity of the ‘history’ of philosophy” the “most obscure” and “perhaps </w:t>
      </w:r>
      <w:r w:rsidR="007B75B1">
        <w:rPr>
          <w:rFonts w:eastAsia="Arial Unicode MS" w:cs="Arial Unicode MS"/>
          <w:lang w:val="en-GB"/>
        </w:rPr>
        <w:t>ultimate</w:t>
      </w:r>
      <w:r w:rsidR="00A6468C">
        <w:rPr>
          <w:rFonts w:eastAsia="Arial Unicode MS" w:cs="Arial Unicode MS"/>
          <w:lang w:val="en-GB"/>
        </w:rPr>
        <w:t xml:space="preserve"> topic of philosophy.” Cf.</w:t>
      </w:r>
      <w:r w:rsidRPr="00B312EF">
        <w:rPr>
          <w:rFonts w:eastAsia="Arial Unicode MS" w:cs="Arial Unicode MS"/>
          <w:lang w:val="en-GB"/>
        </w:rPr>
        <w:t xml:space="preserve"> Blumenberg, </w:t>
      </w:r>
      <w:r w:rsidRPr="00B312EF">
        <w:rPr>
          <w:rFonts w:eastAsia="Arial Unicode MS" w:cs="Arial Unicode MS"/>
          <w:i/>
          <w:iCs/>
          <w:lang w:val="en-GB"/>
        </w:rPr>
        <w:t>Ontologische Distanz</w:t>
      </w:r>
      <w:r w:rsidRPr="00B312EF">
        <w:rPr>
          <w:rFonts w:eastAsia="Arial Unicode MS" w:cs="Arial Unicode MS"/>
          <w:lang w:val="en-GB"/>
        </w:rPr>
        <w:t xml:space="preserve">, 9. </w:t>
      </w:r>
    </w:p>
  </w:footnote>
  <w:footnote w:id="24">
    <w:p w14:paraId="4CD853D1" w14:textId="156957F0"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A6468C">
        <w:rPr>
          <w:rFonts w:eastAsia="Arial Unicode MS" w:cs="Arial Unicode MS"/>
          <w:lang w:val="en-GB"/>
        </w:rPr>
        <w:t>On the question-and-answer scheme: This is a scheme or principle for describing the dynamics of intellectual history that Blumenberg introduces in several places in his writings, potentially for heuristic use in further research</w:t>
      </w:r>
      <w:r w:rsidRPr="00B312EF">
        <w:rPr>
          <w:rFonts w:eastAsia="Arial Unicode MS" w:cs="Arial Unicode MS"/>
          <w:lang w:val="en-GB"/>
        </w:rPr>
        <w:t>. (</w:t>
      </w:r>
      <w:r w:rsidR="00A6468C">
        <w:rPr>
          <w:rFonts w:eastAsia="Arial Unicode MS" w:cs="Arial Unicode MS"/>
          <w:lang w:val="en-GB"/>
        </w:rPr>
        <w:t>Cf. its first appearance</w:t>
      </w:r>
      <w:r w:rsidRPr="00B312EF">
        <w:rPr>
          <w:rFonts w:eastAsia="Arial Unicode MS" w:cs="Arial Unicode MS"/>
          <w:lang w:val="en-GB"/>
        </w:rPr>
        <w:t xml:space="preserve"> in Blumenberg</w:t>
      </w:r>
      <w:r w:rsidR="00D203F4">
        <w:rPr>
          <w:rFonts w:eastAsia="Arial Unicode MS" w:cs="Arial Unicode MS"/>
          <w:lang w:val="en-GB"/>
        </w:rPr>
        <w:t>, “</w:t>
      </w:r>
      <w:r w:rsidRPr="00B312EF">
        <w:rPr>
          <w:rFonts w:eastAsia="Arial Unicode MS" w:cs="Arial Unicode MS"/>
          <w:lang w:val="en-GB"/>
        </w:rPr>
        <w:t>Die Vorbereitung der Neuzeit</w:t>
      </w:r>
      <w:r w:rsidR="00D203F4">
        <w:rPr>
          <w:rFonts w:eastAsia="Arial Unicode MS" w:cs="Arial Unicode MS"/>
          <w:lang w:val="en-GB"/>
        </w:rPr>
        <w:t>,”</w:t>
      </w:r>
      <w:r w:rsidRPr="00B312EF">
        <w:rPr>
          <w:rFonts w:eastAsia="Arial Unicode MS" w:cs="Arial Unicode MS"/>
          <w:lang w:val="en-GB"/>
        </w:rPr>
        <w:t xml:space="preserve"> </w:t>
      </w:r>
      <w:r w:rsidRPr="00D203F4">
        <w:rPr>
          <w:rFonts w:eastAsia="Arial Unicode MS" w:cs="Arial Unicode MS"/>
          <w:i/>
          <w:iCs/>
          <w:lang w:val="en-GB"/>
        </w:rPr>
        <w:t>Philosophische Rundschau</w:t>
      </w:r>
      <w:r w:rsidRPr="00B312EF">
        <w:rPr>
          <w:rFonts w:eastAsia="Arial Unicode MS" w:cs="Arial Unicode MS"/>
          <w:lang w:val="en-GB"/>
        </w:rPr>
        <w:t xml:space="preserve"> 9 (1961) 2/3, 81</w:t>
      </w:r>
      <w:r w:rsidR="00BC307F">
        <w:rPr>
          <w:rFonts w:eastAsia="Arial Unicode MS" w:cs="Arial Unicode MS"/>
          <w:lang w:val="en-GB"/>
        </w:rPr>
        <w:t>–</w:t>
      </w:r>
      <w:r w:rsidRPr="00B312EF">
        <w:rPr>
          <w:rFonts w:eastAsia="Arial Unicode MS" w:cs="Arial Unicode MS"/>
          <w:lang w:val="en-GB"/>
        </w:rPr>
        <w:t xml:space="preserve">133, 85 ff.; </w:t>
      </w:r>
      <w:r w:rsidR="00A6468C">
        <w:rPr>
          <w:rFonts w:eastAsia="Arial Unicode MS" w:cs="Arial Unicode MS"/>
          <w:lang w:val="en-GB"/>
        </w:rPr>
        <w:t>cf</w:t>
      </w:r>
      <w:r w:rsidRPr="00B312EF">
        <w:rPr>
          <w:rFonts w:eastAsia="Arial Unicode MS" w:cs="Arial Unicode MS"/>
          <w:lang w:val="en-GB"/>
        </w:rPr>
        <w:t xml:space="preserve">. </w:t>
      </w:r>
      <w:r w:rsidRPr="00B312EF">
        <w:rPr>
          <w:rFonts w:eastAsia="Arial Unicode MS" w:cs="Arial Unicode MS"/>
          <w:i/>
          <w:iCs/>
          <w:lang w:val="en-GB"/>
        </w:rPr>
        <w:t>Legitimität der Neuzeit</w:t>
      </w:r>
      <w:r w:rsidRPr="00B312EF">
        <w:rPr>
          <w:rFonts w:eastAsia="Arial Unicode MS" w:cs="Arial Unicode MS"/>
          <w:lang w:val="en-GB"/>
        </w:rPr>
        <w:t xml:space="preserve">, 73 ff.; 542 ff.) </w:t>
      </w:r>
      <w:r w:rsidR="00A6468C">
        <w:rPr>
          <w:rFonts w:eastAsia="Arial Unicode MS" w:cs="Arial Unicode MS"/>
          <w:lang w:val="en-GB"/>
        </w:rPr>
        <w:t xml:space="preserve">It is not intended </w:t>
      </w:r>
      <w:r w:rsidR="00594137">
        <w:rPr>
          <w:rFonts w:eastAsia="Arial Unicode MS" w:cs="Arial Unicode MS"/>
          <w:lang w:val="en-GB"/>
        </w:rPr>
        <w:t>to stipulate</w:t>
      </w:r>
      <w:r w:rsidR="008719C4">
        <w:rPr>
          <w:rFonts w:eastAsia="Arial Unicode MS" w:cs="Arial Unicode MS"/>
          <w:lang w:val="en-GB"/>
        </w:rPr>
        <w:t xml:space="preserve"> an unconditionally valid transcendental, a priori</w:t>
      </w:r>
      <w:r w:rsidR="008B643F">
        <w:rPr>
          <w:rFonts w:eastAsia="Arial Unicode MS" w:cs="Arial Unicode MS"/>
          <w:lang w:val="en-GB"/>
        </w:rPr>
        <w:t>,</w:t>
      </w:r>
      <w:r w:rsidR="008719C4">
        <w:rPr>
          <w:rFonts w:eastAsia="Arial Unicode MS" w:cs="Arial Unicode MS"/>
          <w:lang w:val="en-GB"/>
        </w:rPr>
        <w:t xml:space="preserve"> essential relationship that would necessarily determine the course of intellectual history. Blumenberg’s approach takes a critical attitude toward the substantializing of problems, the historicity of which tends to be ignored in doxographically oriented histories of ideas, which is not to say that his own model does not also include the (critical) history of problems in its methodology</w:t>
      </w:r>
      <w:r w:rsidRPr="00B312EF">
        <w:rPr>
          <w:rFonts w:eastAsia="Arial Unicode MS" w:cs="Arial Unicode MS"/>
          <w:lang w:val="en-GB"/>
        </w:rPr>
        <w:t xml:space="preserve">. </w:t>
      </w:r>
    </w:p>
  </w:footnote>
  <w:footnote w:id="25">
    <w:p w14:paraId="221446C7" w14:textId="72228442" w:rsidR="007A5D1D" w:rsidRPr="00B312EF" w:rsidRDefault="007A5D1D" w:rsidP="00212C1C">
      <w:pPr>
        <w:pStyle w:val="Standard"/>
        <w:widowControl w:val="0"/>
        <w:tabs>
          <w:tab w:val="left" w:pos="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00" w:line="240" w:lineRule="auto"/>
        <w:jc w:val="both"/>
        <w:rPr>
          <w:lang w:val="en-GB"/>
        </w:rPr>
      </w:pPr>
      <w:r w:rsidRPr="00B312EF">
        <w:rPr>
          <w:rFonts w:ascii="Times New Roman" w:eastAsia="Times New Roman" w:hAnsi="Times New Roman" w:cs="Times New Roman"/>
          <w:vertAlign w:val="superscript"/>
          <w:lang w:val="en-GB"/>
        </w:rPr>
        <w:footnoteRef/>
      </w:r>
      <w:r w:rsidRPr="00B312EF">
        <w:rPr>
          <w:rFonts w:ascii="Times New Roman" w:hAnsi="Times New Roman"/>
          <w:sz w:val="20"/>
          <w:szCs w:val="20"/>
          <w:lang w:val="en-GB"/>
        </w:rPr>
        <w:t xml:space="preserve"> </w:t>
      </w:r>
      <w:r w:rsidR="00A6468C">
        <w:rPr>
          <w:rFonts w:ascii="Times New Roman" w:hAnsi="Times New Roman"/>
          <w:sz w:val="20"/>
          <w:szCs w:val="20"/>
          <w:lang w:val="en-GB"/>
        </w:rPr>
        <w:t>Cf</w:t>
      </w:r>
      <w:r w:rsidRPr="00B312EF">
        <w:rPr>
          <w:rFonts w:ascii="Times New Roman" w:hAnsi="Times New Roman"/>
          <w:sz w:val="20"/>
          <w:szCs w:val="20"/>
          <w:lang w:val="en-GB"/>
        </w:rPr>
        <w:t xml:space="preserve">. </w:t>
      </w:r>
      <w:r w:rsidRPr="00457CC6">
        <w:rPr>
          <w:rFonts w:ascii="Times New Roman" w:hAnsi="Times New Roman"/>
          <w:noProof/>
          <w:sz w:val="20"/>
          <w:szCs w:val="20"/>
          <w:shd w:val="clear" w:color="auto" w:fill="F79646"/>
        </w:rPr>
        <w:t xml:space="preserve">Blumenberg, </w:t>
      </w:r>
      <w:r w:rsidRPr="00457CC6">
        <w:rPr>
          <w:rFonts w:ascii="Times New Roman" w:hAnsi="Times New Roman"/>
          <w:i/>
          <w:iCs/>
          <w:noProof/>
          <w:sz w:val="20"/>
          <w:szCs w:val="20"/>
          <w:shd w:val="clear" w:color="auto" w:fill="F79646"/>
        </w:rPr>
        <w:t>Legitimität der Neuzeit</w:t>
      </w:r>
      <w:r w:rsidRPr="00457CC6">
        <w:rPr>
          <w:rFonts w:ascii="Times New Roman" w:hAnsi="Times New Roman"/>
          <w:noProof/>
          <w:sz w:val="20"/>
          <w:szCs w:val="20"/>
          <w:shd w:val="clear" w:color="auto" w:fill="F79646"/>
        </w:rPr>
        <w:t>, 558: „Sie [die hermeneutische Aufgabe, Anm.v.m.] besteht hier wie sonst darin, Aussagen, Doktrinen und Dogmen, Spekulationen und Postulate als Antworten auf Fragen zu beziehen, deren Projektion auf den Hintergrund des Dokumentierten, unser Verstehen ausmacht.“</w:t>
      </w:r>
      <w:r w:rsidRPr="00B312EF">
        <w:rPr>
          <w:rFonts w:ascii="Times New Roman" w:hAnsi="Times New Roman"/>
          <w:sz w:val="20"/>
          <w:szCs w:val="20"/>
          <w:shd w:val="clear" w:color="auto" w:fill="F79646"/>
          <w:lang w:val="en-GB"/>
        </w:rPr>
        <w:t xml:space="preserve"> </w:t>
      </w:r>
    </w:p>
  </w:footnote>
  <w:footnote w:id="26">
    <w:p w14:paraId="7EEC0F90" w14:textId="7FB72B2A" w:rsidR="007A5D1D" w:rsidRPr="00B312EF" w:rsidRDefault="007A5D1D" w:rsidP="00212C1C">
      <w:pPr>
        <w:pStyle w:val="Fu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r w:rsidRPr="00B312EF">
        <w:rPr>
          <w:rFonts w:ascii="Times New Roman" w:eastAsia="Times New Roman" w:hAnsi="Times New Roman" w:cs="Times New Roman"/>
          <w:vertAlign w:val="superscript"/>
          <w:lang w:val="en-GB"/>
        </w:rPr>
        <w:footnoteRef/>
      </w:r>
      <w:r w:rsidRPr="00B312EF">
        <w:rPr>
          <w:rFonts w:ascii="Times New Roman" w:hAnsi="Times New Roman"/>
          <w:sz w:val="20"/>
          <w:szCs w:val="20"/>
          <w:lang w:val="en-GB"/>
        </w:rPr>
        <w:t xml:space="preserve"> </w:t>
      </w:r>
      <w:r w:rsidR="0004702E">
        <w:rPr>
          <w:rFonts w:ascii="Times New Roman" w:hAnsi="Times New Roman"/>
          <w:sz w:val="20"/>
          <w:szCs w:val="20"/>
          <w:lang w:val="en-GB"/>
        </w:rPr>
        <w:t>Cf</w:t>
      </w:r>
      <w:r w:rsidRPr="00B312EF">
        <w:rPr>
          <w:rFonts w:ascii="Times New Roman" w:hAnsi="Times New Roman"/>
          <w:sz w:val="20"/>
          <w:szCs w:val="20"/>
          <w:lang w:val="en-GB"/>
        </w:rPr>
        <w:t xml:space="preserve">. </w:t>
      </w:r>
      <w:r w:rsidRPr="00457CC6">
        <w:rPr>
          <w:rFonts w:ascii="Times New Roman" w:hAnsi="Times New Roman"/>
          <w:noProof/>
          <w:sz w:val="20"/>
          <w:szCs w:val="20"/>
          <w:shd w:val="clear" w:color="auto" w:fill="F79646"/>
          <w:lang w:val="de-DE"/>
        </w:rPr>
        <w:t xml:space="preserve">Blumenberg, </w:t>
      </w:r>
      <w:r w:rsidRPr="00457CC6">
        <w:rPr>
          <w:rFonts w:ascii="Times New Roman" w:hAnsi="Times New Roman"/>
          <w:i/>
          <w:iCs/>
          <w:noProof/>
          <w:sz w:val="20"/>
          <w:szCs w:val="20"/>
          <w:shd w:val="clear" w:color="auto" w:fill="F79646"/>
          <w:lang w:val="de-DE"/>
        </w:rPr>
        <w:t>Legitimität der Neuzeit</w:t>
      </w:r>
      <w:r w:rsidRPr="00457CC6">
        <w:rPr>
          <w:rFonts w:ascii="Times New Roman" w:hAnsi="Times New Roman"/>
          <w:noProof/>
          <w:sz w:val="20"/>
          <w:szCs w:val="20"/>
          <w:shd w:val="clear" w:color="auto" w:fill="F79646"/>
          <w:lang w:val="de-DE"/>
        </w:rPr>
        <w:t>, 542: „Es genügt, daß die Rahmenbedingungen bewußtseinsträger sind als die ihnen zugeordneten Inhalte, die Fragen im Vergleich zu den Antworten also relativ konstant.“ Dennoch sind die Fragen selbst auch geschichtlich: „Bestimmte Fragen werden im neuen Umbruch nicht mehr gestellt, die einst auf sie gegebenen Antworten erscheinen als schiere Dogmatik, phantastische Redundanz.“ (ebd.) Als Beispiel führt Blumenberg hier die Frage nach der Unsterblichkeit an, nach der nicht zu jeder Zeit gefragt würde. Nicht jedes Problem beschäftige alle zu jeder Zeit gleichermaßen. Blumenberg: Wir „werden uns von der Vorstellung frei machen müssen, es gebe einen festen Kanon der &gt;großen Fragen&lt;, die durch die Geschichte in konstanter Dringlichkeit die menschliche Wissbegierde beschäftigen und den Anspruch auf Welt- und Selbstdeutung motivieren“ (ebd., 75).</w:t>
      </w:r>
      <w:r w:rsidRPr="00B312EF">
        <w:rPr>
          <w:rFonts w:ascii="Times New Roman" w:hAnsi="Times New Roman"/>
          <w:sz w:val="20"/>
          <w:szCs w:val="20"/>
          <w:shd w:val="clear" w:color="auto" w:fill="F79646"/>
          <w:lang w:val="en-GB"/>
        </w:rPr>
        <w:t xml:space="preserve"> </w:t>
      </w:r>
    </w:p>
  </w:footnote>
  <w:footnote w:id="27">
    <w:p w14:paraId="411E0E42" w14:textId="549A9D60"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04702E">
        <w:rPr>
          <w:rFonts w:eastAsia="Arial Unicode MS" w:cs="Arial Unicode MS"/>
          <w:lang w:val="en-GB"/>
        </w:rPr>
        <w:t>As</w:t>
      </w:r>
      <w:r w:rsidRPr="00B312EF">
        <w:rPr>
          <w:rFonts w:eastAsia="Arial Unicode MS" w:cs="Arial Unicode MS"/>
          <w:lang w:val="en-GB"/>
        </w:rPr>
        <w:t xml:space="preserve"> Blumenberg </w:t>
      </w:r>
      <w:r w:rsidR="0004702E">
        <w:rPr>
          <w:rFonts w:eastAsia="Arial Unicode MS" w:cs="Arial Unicode MS"/>
          <w:lang w:val="en-GB"/>
        </w:rPr>
        <w:t>shows in his works</w:t>
      </w:r>
      <w:r w:rsidRPr="00B312EF">
        <w:rPr>
          <w:rFonts w:eastAsia="Arial Unicode MS" w:cs="Arial Unicode MS"/>
          <w:lang w:val="en-GB"/>
        </w:rPr>
        <w:t xml:space="preserve"> </w:t>
      </w:r>
      <w:r w:rsidRPr="00B312EF">
        <w:rPr>
          <w:rFonts w:eastAsia="Arial Unicode MS" w:cs="Arial Unicode MS"/>
          <w:i/>
          <w:iCs/>
          <w:lang w:val="en-GB"/>
        </w:rPr>
        <w:t>Die</w:t>
      </w:r>
      <w:r w:rsidRPr="00B312EF">
        <w:rPr>
          <w:rFonts w:eastAsia="Arial Unicode MS" w:cs="Arial Unicode MS"/>
          <w:lang w:val="en-GB"/>
        </w:rPr>
        <w:t xml:space="preserve"> </w:t>
      </w:r>
      <w:r w:rsidRPr="00B312EF">
        <w:rPr>
          <w:rFonts w:eastAsia="Arial Unicode MS" w:cs="Arial Unicode MS"/>
          <w:i/>
          <w:iCs/>
          <w:lang w:val="en-GB"/>
        </w:rPr>
        <w:t>Legitimität der Neuzeit</w:t>
      </w:r>
      <w:r w:rsidRPr="00B312EF">
        <w:rPr>
          <w:rFonts w:eastAsia="Arial Unicode MS" w:cs="Arial Unicode MS"/>
          <w:lang w:val="en-GB"/>
        </w:rPr>
        <w:t xml:space="preserve"> </w:t>
      </w:r>
      <w:r w:rsidR="0004702E">
        <w:rPr>
          <w:rFonts w:eastAsia="Arial Unicode MS" w:cs="Arial Unicode MS"/>
          <w:lang w:val="en-GB"/>
        </w:rPr>
        <w:t>and</w:t>
      </w:r>
      <w:r w:rsidRPr="00B312EF">
        <w:rPr>
          <w:rFonts w:eastAsia="Arial Unicode MS" w:cs="Arial Unicode MS"/>
          <w:lang w:val="en-GB"/>
        </w:rPr>
        <w:t xml:space="preserve"> </w:t>
      </w:r>
      <w:r w:rsidRPr="00B312EF">
        <w:rPr>
          <w:rFonts w:eastAsia="Arial Unicode MS" w:cs="Arial Unicode MS"/>
          <w:i/>
          <w:iCs/>
          <w:lang w:val="en-GB"/>
        </w:rPr>
        <w:t>Die Genesis der kopernikanischen Welt</w:t>
      </w:r>
      <w:r w:rsidR="00A25A00">
        <w:rPr>
          <w:rFonts w:eastAsia="Arial Unicode MS" w:cs="Arial Unicode MS"/>
          <w:lang w:val="en-GB"/>
        </w:rPr>
        <w:t>, t</w:t>
      </w:r>
      <w:r w:rsidR="00594137">
        <w:rPr>
          <w:rFonts w:eastAsia="Arial Unicode MS" w:cs="Arial Unicode MS"/>
          <w:lang w:val="en-GB"/>
        </w:rPr>
        <w:t>hreshold period</w:t>
      </w:r>
      <w:r w:rsidR="00A25A00">
        <w:rPr>
          <w:rFonts w:eastAsia="Arial Unicode MS" w:cs="Arial Unicode MS"/>
          <w:lang w:val="en-GB"/>
        </w:rPr>
        <w:t xml:space="preserve">s between historical eras are especially prominent </w:t>
      </w:r>
      <w:r w:rsidR="00594137">
        <w:rPr>
          <w:rFonts w:eastAsia="Arial Unicode MS" w:cs="Arial Unicode MS"/>
          <w:lang w:val="en-GB"/>
        </w:rPr>
        <w:t>as times</w:t>
      </w:r>
      <w:r w:rsidR="00A25A00">
        <w:rPr>
          <w:rFonts w:eastAsia="Arial Unicode MS" w:cs="Arial Unicode MS"/>
          <w:lang w:val="en-GB"/>
        </w:rPr>
        <w:t xml:space="preserve"> </w:t>
      </w:r>
      <w:r w:rsidR="00594137">
        <w:rPr>
          <w:rFonts w:eastAsia="Arial Unicode MS" w:cs="Arial Unicode MS"/>
          <w:lang w:val="en-GB"/>
        </w:rPr>
        <w:t>when</w:t>
      </w:r>
      <w:r w:rsidR="00A25A00">
        <w:rPr>
          <w:rFonts w:eastAsia="Arial Unicode MS" w:cs="Arial Unicode MS"/>
          <w:lang w:val="en-GB"/>
        </w:rPr>
        <w:t xml:space="preserve"> breaks or radical changes in such horizons of meaning become perceptible. It is thus also especially noticeable during </w:t>
      </w:r>
      <w:r w:rsidR="00594137">
        <w:rPr>
          <w:rFonts w:eastAsia="Arial Unicode MS" w:cs="Arial Unicode MS"/>
          <w:lang w:val="en-GB"/>
        </w:rPr>
        <w:t>threshold periods</w:t>
      </w:r>
      <w:r w:rsidR="00A25A00">
        <w:rPr>
          <w:rFonts w:eastAsia="Arial Unicode MS" w:cs="Arial Unicode MS"/>
          <w:lang w:val="en-GB"/>
        </w:rPr>
        <w:t xml:space="preserve"> how particular answers given by one </w:t>
      </w:r>
      <w:r w:rsidR="00594137">
        <w:rPr>
          <w:rFonts w:eastAsia="Arial Unicode MS" w:cs="Arial Unicode MS"/>
          <w:lang w:val="en-GB"/>
        </w:rPr>
        <w:t>era</w:t>
      </w:r>
      <w:r w:rsidR="00A25A00">
        <w:rPr>
          <w:rFonts w:eastAsia="Arial Unicode MS" w:cs="Arial Unicode MS"/>
          <w:lang w:val="en-GB"/>
        </w:rPr>
        <w:t xml:space="preserve"> may increasingly turn out to be inadequate for the next one and make variations on prior answers necessary. T</w:t>
      </w:r>
      <w:r w:rsidR="00594137">
        <w:rPr>
          <w:rFonts w:eastAsia="Arial Unicode MS" w:cs="Arial Unicode MS"/>
          <w:lang w:val="en-GB"/>
        </w:rPr>
        <w:t>hreshold</w:t>
      </w:r>
      <w:r w:rsidR="00A25A00">
        <w:rPr>
          <w:rFonts w:eastAsia="Arial Unicode MS" w:cs="Arial Unicode MS"/>
          <w:lang w:val="en-GB"/>
        </w:rPr>
        <w:t xml:space="preserve"> periods</w:t>
      </w:r>
      <w:r w:rsidR="00594137">
        <w:rPr>
          <w:rFonts w:eastAsia="Arial Unicode MS" w:cs="Arial Unicode MS"/>
          <w:lang w:val="en-GB"/>
        </w:rPr>
        <w:t>,</w:t>
      </w:r>
      <w:r w:rsidR="00A25A00">
        <w:rPr>
          <w:rFonts w:eastAsia="Arial Unicode MS" w:cs="Arial Unicode MS"/>
          <w:lang w:val="en-GB"/>
        </w:rPr>
        <w:t xml:space="preserve"> a</w:t>
      </w:r>
      <w:r w:rsidR="00594137">
        <w:rPr>
          <w:rFonts w:eastAsia="Arial Unicode MS" w:cs="Arial Unicode MS"/>
          <w:lang w:val="en-GB"/>
        </w:rPr>
        <w:t>s</w:t>
      </w:r>
      <w:r w:rsidR="00A25A00">
        <w:rPr>
          <w:rFonts w:eastAsia="Arial Unicode MS" w:cs="Arial Unicode MS"/>
          <w:lang w:val="en-GB"/>
        </w:rPr>
        <w:t xml:space="preserve"> </w:t>
      </w:r>
      <w:r w:rsidR="00AB611C">
        <w:rPr>
          <w:rFonts w:eastAsia="Arial Unicode MS" w:cs="Arial Unicode MS"/>
          <w:lang w:val="en-GB"/>
        </w:rPr>
        <w:t>thresholds</w:t>
      </w:r>
      <w:r w:rsidR="00594137">
        <w:rPr>
          <w:rFonts w:eastAsia="Arial Unicode MS" w:cs="Arial Unicode MS"/>
          <w:lang w:val="en-GB"/>
        </w:rPr>
        <w:t>,</w:t>
      </w:r>
      <w:r w:rsidR="00A25A00">
        <w:rPr>
          <w:rFonts w:eastAsia="Arial Unicode MS" w:cs="Arial Unicode MS"/>
          <w:lang w:val="en-GB"/>
        </w:rPr>
        <w:t xml:space="preserve"> </w:t>
      </w:r>
      <w:r w:rsidR="008B643F">
        <w:rPr>
          <w:rFonts w:eastAsia="Arial Unicode MS" w:cs="Arial Unicode MS"/>
          <w:lang w:val="en-GB"/>
        </w:rPr>
        <w:t>allow us</w:t>
      </w:r>
      <w:r w:rsidR="00A25A00">
        <w:rPr>
          <w:rFonts w:eastAsia="Arial Unicode MS" w:cs="Arial Unicode MS"/>
          <w:lang w:val="en-GB"/>
        </w:rPr>
        <w:t xml:space="preserve"> to look in both directions, so that the temporal incompatibility between the horizons of meanings that characterize different eras comes into view especially clearly. Direct overlaps between various theoretical positions, as well as differences in the sense of competition or mutual reception, </w:t>
      </w:r>
      <w:r w:rsidR="00BC2CBF">
        <w:rPr>
          <w:rFonts w:eastAsia="Arial Unicode MS" w:cs="Arial Unicode MS"/>
          <w:lang w:val="en-GB"/>
        </w:rPr>
        <w:t>the kind</w:t>
      </w:r>
      <w:r w:rsidR="00A25A00">
        <w:rPr>
          <w:rFonts w:eastAsia="Arial Unicode MS" w:cs="Arial Unicode MS"/>
          <w:lang w:val="en-GB"/>
        </w:rPr>
        <w:t xml:space="preserve"> that occur during t</w:t>
      </w:r>
      <w:r w:rsidR="00594137">
        <w:rPr>
          <w:rFonts w:eastAsia="Arial Unicode MS" w:cs="Arial Unicode MS"/>
          <w:lang w:val="en-GB"/>
        </w:rPr>
        <w:t>hreshold</w:t>
      </w:r>
      <w:r w:rsidR="00A25A00">
        <w:rPr>
          <w:rFonts w:eastAsia="Arial Unicode MS" w:cs="Arial Unicode MS"/>
          <w:lang w:val="en-GB"/>
        </w:rPr>
        <w:t xml:space="preserve"> periods,</w:t>
      </w:r>
      <w:r w:rsidR="00BC2CBF">
        <w:rPr>
          <w:rFonts w:eastAsia="Arial Unicode MS" w:cs="Arial Unicode MS"/>
          <w:lang w:val="en-GB"/>
        </w:rPr>
        <w:t xml:space="preserve"> make the differences between historical eras </w:t>
      </w:r>
      <w:r w:rsidR="00BC2CBF">
        <w:rPr>
          <w:rFonts w:eastAsia="Arial Unicode MS" w:cs="Arial Unicode MS"/>
          <w:i/>
          <w:iCs/>
          <w:lang w:val="en-GB"/>
        </w:rPr>
        <w:t>perceptible</w:t>
      </w:r>
      <w:r w:rsidR="00BC2CBF">
        <w:rPr>
          <w:rFonts w:eastAsia="Arial Unicode MS" w:cs="Arial Unicode MS"/>
          <w:lang w:val="en-GB"/>
        </w:rPr>
        <w:t xml:space="preserve"> for a phenomenology of history. For example, Nicholas of Cusa and Giordano Bruno may have said the same thing </w:t>
      </w:r>
      <w:r w:rsidR="00594137">
        <w:rPr>
          <w:rFonts w:eastAsia="Arial Unicode MS" w:cs="Arial Unicode MS"/>
          <w:lang w:val="en-GB"/>
        </w:rPr>
        <w:t>on the threshold</w:t>
      </w:r>
      <w:r w:rsidR="00BC2CBF">
        <w:rPr>
          <w:rFonts w:eastAsia="Arial Unicode MS" w:cs="Arial Unicode MS"/>
          <w:lang w:val="en-GB"/>
        </w:rPr>
        <w:t xml:space="preserve"> between the Middle Ages and modernity, but the implications and consequences of what they literally said were different. Cf. also on this </w:t>
      </w:r>
      <w:r w:rsidRPr="00B312EF">
        <w:rPr>
          <w:rFonts w:eastAsia="Arial Unicode MS" w:cs="Arial Unicode MS"/>
          <w:lang w:val="en-GB"/>
        </w:rPr>
        <w:t>Daniel</w:t>
      </w:r>
      <w:r w:rsidR="00D203F4" w:rsidRPr="00D203F4">
        <w:rPr>
          <w:rFonts w:eastAsia="Arial Unicode MS" w:cs="Arial Unicode MS"/>
          <w:lang w:val="en-GB"/>
        </w:rPr>
        <w:t xml:space="preserve"> </w:t>
      </w:r>
      <w:r w:rsidR="00D203F4" w:rsidRPr="00B312EF">
        <w:rPr>
          <w:rFonts w:eastAsia="Arial Unicode MS" w:cs="Arial Unicode MS"/>
          <w:lang w:val="en-GB"/>
        </w:rPr>
        <w:t>Weidner,</w:t>
      </w:r>
      <w:r w:rsidRPr="00B312EF">
        <w:rPr>
          <w:rFonts w:eastAsia="Arial Unicode MS" w:cs="Arial Unicode MS"/>
          <w:lang w:val="en-GB"/>
        </w:rPr>
        <w:t xml:space="preserve"> </w:t>
      </w:r>
      <w:r w:rsidR="00D203F4">
        <w:rPr>
          <w:rFonts w:eastAsia="Arial Unicode MS" w:cs="Arial Unicode MS"/>
          <w:lang w:val="en-GB"/>
        </w:rPr>
        <w:t>“</w:t>
      </w:r>
      <w:r w:rsidRPr="00B312EF">
        <w:rPr>
          <w:rFonts w:eastAsia="Arial Unicode MS" w:cs="Arial Unicode MS"/>
          <w:lang w:val="en-GB"/>
        </w:rPr>
        <w:t>Was heißt eine Welt beschreiben? Hans Blumenbergs vielfache Horizonte</w:t>
      </w:r>
      <w:r w:rsidR="00D203F4">
        <w:rPr>
          <w:rFonts w:eastAsia="Arial Unicode MS" w:cs="Arial Unicode MS"/>
          <w:lang w:val="en-GB"/>
        </w:rPr>
        <w:t>,” in Eva</w:t>
      </w:r>
      <w:r w:rsidRPr="00B312EF">
        <w:rPr>
          <w:rFonts w:eastAsia="Arial Unicode MS" w:cs="Arial Unicode MS"/>
          <w:lang w:val="en-GB"/>
        </w:rPr>
        <w:t xml:space="preserve"> Geulen</w:t>
      </w:r>
      <w:r w:rsidR="00D203F4">
        <w:rPr>
          <w:rFonts w:eastAsia="Arial Unicode MS" w:cs="Arial Unicode MS"/>
          <w:lang w:val="en-GB"/>
        </w:rPr>
        <w:t xml:space="preserve"> and</w:t>
      </w:r>
      <w:r w:rsidRPr="00B312EF">
        <w:rPr>
          <w:rFonts w:eastAsia="Arial Unicode MS" w:cs="Arial Unicode MS"/>
          <w:lang w:val="en-GB"/>
        </w:rPr>
        <w:t xml:space="preserve"> Claude Haas</w:t>
      </w:r>
      <w:r w:rsidR="00D203F4">
        <w:rPr>
          <w:rFonts w:eastAsia="Arial Unicode MS" w:cs="Arial Unicode MS"/>
          <w:lang w:val="en-GB"/>
        </w:rPr>
        <w:t>,</w:t>
      </w:r>
      <w:r w:rsidRPr="00B312EF">
        <w:rPr>
          <w:rFonts w:eastAsia="Arial Unicode MS" w:cs="Arial Unicode MS"/>
          <w:lang w:val="en-GB"/>
        </w:rPr>
        <w:t xml:space="preserve"> </w:t>
      </w:r>
      <w:r w:rsidRPr="00B312EF">
        <w:rPr>
          <w:rFonts w:eastAsia="Arial Unicode MS" w:cs="Arial Unicode MS"/>
          <w:i/>
          <w:iCs/>
          <w:lang w:val="en-GB"/>
        </w:rPr>
        <w:t xml:space="preserve">Formen des Ganzen </w:t>
      </w:r>
      <w:r w:rsidR="00D203F4">
        <w:rPr>
          <w:rFonts w:eastAsia="Arial Unicode MS" w:cs="Arial Unicode MS"/>
          <w:lang w:val="en-GB"/>
        </w:rPr>
        <w:t>(</w:t>
      </w:r>
      <w:r w:rsidRPr="00B312EF">
        <w:rPr>
          <w:rFonts w:eastAsia="Arial Unicode MS" w:cs="Arial Unicode MS"/>
          <w:lang w:val="en-GB"/>
        </w:rPr>
        <w:t>Göttingen: Wallenstein, 2022</w:t>
      </w:r>
      <w:r w:rsidR="00D203F4">
        <w:rPr>
          <w:rFonts w:eastAsia="Arial Unicode MS" w:cs="Arial Unicode MS"/>
          <w:lang w:val="en-GB"/>
        </w:rPr>
        <w:t>)</w:t>
      </w:r>
      <w:r w:rsidRPr="00B312EF">
        <w:rPr>
          <w:rFonts w:eastAsia="Arial Unicode MS" w:cs="Arial Unicode MS"/>
          <w:lang w:val="en-GB"/>
        </w:rPr>
        <w:t>, 408-409.</w:t>
      </w:r>
    </w:p>
  </w:footnote>
  <w:footnote w:id="28">
    <w:p w14:paraId="3915D910" w14:textId="1C9D22B0" w:rsidR="007A5D1D" w:rsidRPr="00B312EF" w:rsidRDefault="007A5D1D" w:rsidP="00212C1C">
      <w:pPr>
        <w:pStyle w:val="Fu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r w:rsidRPr="00B312EF">
        <w:rPr>
          <w:rFonts w:ascii="Times New Roman" w:eastAsia="Times New Roman" w:hAnsi="Times New Roman" w:cs="Times New Roman"/>
          <w:vertAlign w:val="superscript"/>
          <w:lang w:val="en-GB"/>
        </w:rPr>
        <w:footnoteRef/>
      </w:r>
      <w:r w:rsidRPr="00B312EF">
        <w:rPr>
          <w:rFonts w:ascii="Times New Roman" w:hAnsi="Times New Roman"/>
          <w:lang w:val="en-GB"/>
        </w:rPr>
        <w:t xml:space="preserve"> </w:t>
      </w:r>
      <w:r w:rsidR="005F5040">
        <w:rPr>
          <w:rFonts w:ascii="Times New Roman" w:hAnsi="Times New Roman"/>
          <w:sz w:val="20"/>
          <w:szCs w:val="20"/>
          <w:lang w:val="en-GB"/>
        </w:rPr>
        <w:t xml:space="preserve">On the term </w:t>
      </w:r>
      <w:r w:rsidR="00C91162">
        <w:rPr>
          <w:rFonts w:ascii="Times New Roman" w:hAnsi="Times New Roman"/>
          <w:sz w:val="20"/>
          <w:szCs w:val="20"/>
          <w:lang w:val="en-GB"/>
        </w:rPr>
        <w:t>“</w:t>
      </w:r>
      <w:r w:rsidR="005F5040">
        <w:rPr>
          <w:rFonts w:ascii="Times New Roman" w:hAnsi="Times New Roman"/>
          <w:sz w:val="20"/>
          <w:szCs w:val="20"/>
          <w:lang w:val="en-GB"/>
        </w:rPr>
        <w:t>re</w:t>
      </w:r>
      <w:r w:rsidR="00347676">
        <w:rPr>
          <w:rFonts w:ascii="Times New Roman" w:hAnsi="Times New Roman"/>
          <w:sz w:val="20"/>
          <w:szCs w:val="20"/>
          <w:lang w:val="en-GB"/>
        </w:rPr>
        <w:t>occupation</w:t>
      </w:r>
      <w:r w:rsidR="008B643F">
        <w:rPr>
          <w:rFonts w:ascii="Times New Roman" w:hAnsi="Times New Roman"/>
          <w:sz w:val="20"/>
          <w:szCs w:val="20"/>
          <w:lang w:val="en-GB"/>
        </w:rPr>
        <w:t>,</w:t>
      </w:r>
      <w:r w:rsidR="00C91162">
        <w:rPr>
          <w:rFonts w:ascii="Times New Roman" w:hAnsi="Times New Roman"/>
          <w:sz w:val="20"/>
          <w:szCs w:val="20"/>
          <w:lang w:val="en-GB"/>
        </w:rPr>
        <w:t>”</w:t>
      </w:r>
      <w:r w:rsidR="005F5040">
        <w:rPr>
          <w:rFonts w:ascii="Times New Roman" w:hAnsi="Times New Roman"/>
          <w:sz w:val="20"/>
          <w:szCs w:val="20"/>
          <w:lang w:val="en-GB"/>
        </w:rPr>
        <w:t xml:space="preserve"> cf. also</w:t>
      </w:r>
      <w:r w:rsidRPr="00B312EF">
        <w:rPr>
          <w:rFonts w:ascii="Times New Roman" w:hAnsi="Times New Roman"/>
          <w:sz w:val="20"/>
          <w:szCs w:val="20"/>
          <w:lang w:val="en-GB"/>
        </w:rPr>
        <w:t xml:space="preserve"> Kopp-Oberstebrink</w:t>
      </w:r>
      <w:r w:rsidR="00D203F4">
        <w:rPr>
          <w:rFonts w:ascii="Times New Roman" w:hAnsi="Times New Roman"/>
          <w:sz w:val="20"/>
          <w:szCs w:val="20"/>
          <w:lang w:val="en-GB"/>
        </w:rPr>
        <w:t>, “</w:t>
      </w:r>
      <w:r w:rsidRPr="00B312EF">
        <w:rPr>
          <w:rFonts w:ascii="Times New Roman" w:hAnsi="Times New Roman"/>
          <w:sz w:val="20"/>
          <w:szCs w:val="20"/>
          <w:lang w:val="en-GB"/>
        </w:rPr>
        <w:t>Umbesetzung</w:t>
      </w:r>
      <w:r w:rsidR="00D203F4">
        <w:rPr>
          <w:rFonts w:ascii="Times New Roman" w:hAnsi="Times New Roman"/>
          <w:sz w:val="20"/>
          <w:szCs w:val="20"/>
          <w:lang w:val="en-GB"/>
        </w:rPr>
        <w:t xml:space="preserve">,” in Robert </w:t>
      </w:r>
      <w:r w:rsidRPr="00B312EF">
        <w:rPr>
          <w:rFonts w:ascii="Times New Roman" w:hAnsi="Times New Roman"/>
          <w:sz w:val="20"/>
          <w:szCs w:val="20"/>
          <w:lang w:val="en-GB"/>
        </w:rPr>
        <w:t>Buch</w:t>
      </w:r>
      <w:r w:rsidR="00D203F4">
        <w:rPr>
          <w:rFonts w:ascii="Times New Roman" w:hAnsi="Times New Roman"/>
          <w:sz w:val="20"/>
          <w:szCs w:val="20"/>
          <w:lang w:val="en-GB"/>
        </w:rPr>
        <w:t xml:space="preserve"> and</w:t>
      </w:r>
      <w:r w:rsidRPr="00B312EF">
        <w:rPr>
          <w:rFonts w:ascii="Times New Roman" w:hAnsi="Times New Roman"/>
          <w:sz w:val="20"/>
          <w:szCs w:val="20"/>
          <w:lang w:val="en-GB"/>
        </w:rPr>
        <w:t xml:space="preserve"> Daniel Weidner</w:t>
      </w:r>
      <w:r w:rsidR="00D203F4">
        <w:rPr>
          <w:rFonts w:ascii="Times New Roman" w:hAnsi="Times New Roman"/>
          <w:sz w:val="20"/>
          <w:szCs w:val="20"/>
          <w:lang w:val="en-GB"/>
        </w:rPr>
        <w:t>,</w:t>
      </w:r>
      <w:r w:rsidRPr="00B312EF">
        <w:rPr>
          <w:rFonts w:ascii="Times New Roman" w:hAnsi="Times New Roman"/>
          <w:sz w:val="20"/>
          <w:szCs w:val="20"/>
          <w:lang w:val="en-GB"/>
        </w:rPr>
        <w:t xml:space="preserve"> </w:t>
      </w:r>
      <w:r w:rsidR="00D203F4">
        <w:rPr>
          <w:rFonts w:ascii="Times New Roman" w:hAnsi="Times New Roman"/>
          <w:sz w:val="20"/>
          <w:szCs w:val="20"/>
          <w:lang w:val="en-GB"/>
        </w:rPr>
        <w:t xml:space="preserve">eds., </w:t>
      </w:r>
      <w:r w:rsidRPr="00B312EF">
        <w:rPr>
          <w:rFonts w:ascii="Times New Roman" w:hAnsi="Times New Roman"/>
          <w:i/>
          <w:iCs/>
          <w:sz w:val="20"/>
          <w:szCs w:val="20"/>
          <w:lang w:val="en-GB"/>
        </w:rPr>
        <w:t>Blumenberg lesen</w:t>
      </w:r>
      <w:r w:rsidR="00D203F4">
        <w:rPr>
          <w:rFonts w:ascii="Times New Roman" w:hAnsi="Times New Roman"/>
          <w:i/>
          <w:iCs/>
          <w:sz w:val="20"/>
          <w:szCs w:val="20"/>
          <w:lang w:val="en-GB"/>
        </w:rPr>
        <w:t>:</w:t>
      </w:r>
      <w:r w:rsidRPr="00B312EF">
        <w:rPr>
          <w:rFonts w:ascii="Times New Roman" w:hAnsi="Times New Roman"/>
          <w:i/>
          <w:iCs/>
          <w:sz w:val="20"/>
          <w:szCs w:val="20"/>
          <w:lang w:val="en-GB"/>
        </w:rPr>
        <w:t xml:space="preserve"> Ein Glossar</w:t>
      </w:r>
      <w:r w:rsidR="00D203F4">
        <w:rPr>
          <w:rFonts w:ascii="Times New Roman" w:hAnsi="Times New Roman"/>
          <w:sz w:val="20"/>
          <w:szCs w:val="20"/>
          <w:lang w:val="en-GB"/>
        </w:rPr>
        <w:t xml:space="preserve"> (</w:t>
      </w:r>
      <w:r w:rsidRPr="00B312EF">
        <w:rPr>
          <w:rFonts w:ascii="Times New Roman" w:hAnsi="Times New Roman"/>
          <w:sz w:val="20"/>
          <w:szCs w:val="20"/>
          <w:lang w:val="en-GB"/>
        </w:rPr>
        <w:t>Berlin: Suhrkamp, 2014</w:t>
      </w:r>
      <w:r w:rsidR="00D203F4">
        <w:rPr>
          <w:rFonts w:ascii="Times New Roman" w:hAnsi="Times New Roman"/>
          <w:sz w:val="20"/>
          <w:szCs w:val="20"/>
          <w:lang w:val="en-GB"/>
        </w:rPr>
        <w:t>)</w:t>
      </w:r>
      <w:r w:rsidRPr="00B312EF">
        <w:rPr>
          <w:rFonts w:ascii="Times New Roman" w:hAnsi="Times New Roman"/>
          <w:sz w:val="20"/>
          <w:szCs w:val="20"/>
          <w:lang w:val="en-GB"/>
        </w:rPr>
        <w:t>, 350</w:t>
      </w:r>
      <w:r w:rsidR="00BC307F">
        <w:rPr>
          <w:rFonts w:ascii="Times New Roman" w:hAnsi="Times New Roman"/>
          <w:sz w:val="20"/>
          <w:szCs w:val="20"/>
          <w:lang w:val="en-GB"/>
        </w:rPr>
        <w:t>–</w:t>
      </w:r>
      <w:r w:rsidRPr="00B312EF">
        <w:rPr>
          <w:rFonts w:ascii="Times New Roman" w:hAnsi="Times New Roman"/>
          <w:sz w:val="20"/>
          <w:szCs w:val="20"/>
          <w:lang w:val="en-GB"/>
        </w:rPr>
        <w:t xml:space="preserve">363. </w:t>
      </w:r>
      <w:r w:rsidR="005F5040">
        <w:rPr>
          <w:rFonts w:ascii="Times New Roman" w:hAnsi="Times New Roman"/>
          <w:sz w:val="20"/>
          <w:szCs w:val="20"/>
          <w:lang w:val="en-GB"/>
        </w:rPr>
        <w:t>Cf. in greater depth</w:t>
      </w:r>
      <w:r w:rsidRPr="00B312EF">
        <w:rPr>
          <w:rFonts w:ascii="Times New Roman" w:hAnsi="Times New Roman"/>
          <w:sz w:val="20"/>
          <w:szCs w:val="20"/>
          <w:lang w:val="en-GB"/>
        </w:rPr>
        <w:t xml:space="preserve"> </w:t>
      </w:r>
      <w:r w:rsidR="00D203F4">
        <w:rPr>
          <w:rFonts w:ascii="Times New Roman" w:hAnsi="Times New Roman"/>
          <w:sz w:val="20"/>
          <w:szCs w:val="20"/>
          <w:lang w:val="en-GB"/>
        </w:rPr>
        <w:t xml:space="preserve">Christoph </w:t>
      </w:r>
      <w:r w:rsidRPr="00B312EF">
        <w:rPr>
          <w:rFonts w:ascii="Times New Roman" w:hAnsi="Times New Roman"/>
          <w:sz w:val="20"/>
          <w:szCs w:val="20"/>
          <w:lang w:val="en-GB"/>
        </w:rPr>
        <w:t xml:space="preserve">Paret, </w:t>
      </w:r>
      <w:r w:rsidR="00D203F4">
        <w:rPr>
          <w:rFonts w:ascii="Times New Roman" w:hAnsi="Times New Roman"/>
          <w:sz w:val="20"/>
          <w:szCs w:val="20"/>
          <w:lang w:val="en-GB"/>
        </w:rPr>
        <w:t>“</w:t>
      </w:r>
      <w:r w:rsidRPr="00B312EF">
        <w:rPr>
          <w:rFonts w:ascii="Times New Roman" w:hAnsi="Times New Roman"/>
          <w:sz w:val="20"/>
          <w:szCs w:val="20"/>
          <w:lang w:val="en-GB"/>
        </w:rPr>
        <w:t>Lückenbüßer-Philosophie</w:t>
      </w:r>
      <w:r w:rsidR="00D203F4">
        <w:rPr>
          <w:rFonts w:ascii="Times New Roman" w:hAnsi="Times New Roman"/>
          <w:sz w:val="20"/>
          <w:szCs w:val="20"/>
          <w:lang w:val="en-GB"/>
        </w:rPr>
        <w:t>:</w:t>
      </w:r>
      <w:r w:rsidRPr="00B312EF">
        <w:rPr>
          <w:rFonts w:ascii="Times New Roman" w:hAnsi="Times New Roman"/>
          <w:sz w:val="20"/>
          <w:szCs w:val="20"/>
          <w:lang w:val="en-GB"/>
        </w:rPr>
        <w:t xml:space="preserve"> Hans Blumenberg zwischen </w:t>
      </w:r>
      <w:r w:rsidR="00D203F4">
        <w:rPr>
          <w:rFonts w:ascii="Times New Roman" w:hAnsi="Times New Roman"/>
          <w:sz w:val="20"/>
          <w:szCs w:val="20"/>
          <w:lang w:val="en-GB"/>
        </w:rPr>
        <w:t>‘</w:t>
      </w:r>
      <w:r w:rsidRPr="00B312EF">
        <w:rPr>
          <w:rFonts w:ascii="Times New Roman" w:hAnsi="Times New Roman"/>
          <w:sz w:val="20"/>
          <w:szCs w:val="20"/>
          <w:lang w:val="en-GB"/>
        </w:rPr>
        <w:t>Umbesetzung</w:t>
      </w:r>
      <w:r w:rsidR="00D203F4">
        <w:rPr>
          <w:rFonts w:ascii="Times New Roman" w:hAnsi="Times New Roman"/>
          <w:sz w:val="20"/>
          <w:szCs w:val="20"/>
          <w:lang w:val="en-GB"/>
        </w:rPr>
        <w:t>’</w:t>
      </w:r>
      <w:r w:rsidRPr="00B312EF">
        <w:rPr>
          <w:rFonts w:ascii="Times New Roman" w:hAnsi="Times New Roman"/>
          <w:sz w:val="20"/>
          <w:szCs w:val="20"/>
          <w:lang w:val="en-GB"/>
        </w:rPr>
        <w:t xml:space="preserve"> und Besetzungsverzögerung</w:t>
      </w:r>
      <w:r w:rsidR="00D203F4">
        <w:rPr>
          <w:rFonts w:ascii="Times New Roman" w:hAnsi="Times New Roman"/>
          <w:sz w:val="20"/>
          <w:szCs w:val="20"/>
          <w:lang w:val="en-GB"/>
        </w:rPr>
        <w:t>,”</w:t>
      </w:r>
      <w:r w:rsidRPr="00B312EF">
        <w:rPr>
          <w:rFonts w:ascii="Times New Roman" w:hAnsi="Times New Roman"/>
          <w:sz w:val="20"/>
          <w:szCs w:val="20"/>
          <w:lang w:val="en-GB"/>
        </w:rPr>
        <w:t xml:space="preserve"> in</w:t>
      </w:r>
      <w:r w:rsidR="00D203F4">
        <w:rPr>
          <w:rFonts w:ascii="Times New Roman" w:hAnsi="Times New Roman"/>
          <w:sz w:val="20"/>
          <w:szCs w:val="20"/>
          <w:lang w:val="en-GB"/>
        </w:rPr>
        <w:t xml:space="preserve"> Hannes</w:t>
      </w:r>
      <w:r w:rsidRPr="00B312EF">
        <w:rPr>
          <w:rFonts w:ascii="Times New Roman" w:hAnsi="Times New Roman"/>
          <w:sz w:val="20"/>
          <w:szCs w:val="20"/>
          <w:lang w:val="en-GB"/>
        </w:rPr>
        <w:t xml:space="preserve"> Bajohr</w:t>
      </w:r>
      <w:r w:rsidR="00D203F4">
        <w:rPr>
          <w:rFonts w:ascii="Times New Roman" w:hAnsi="Times New Roman"/>
          <w:sz w:val="20"/>
          <w:szCs w:val="20"/>
          <w:lang w:val="en-GB"/>
        </w:rPr>
        <w:t xml:space="preserve"> and </w:t>
      </w:r>
      <w:r w:rsidRPr="00B312EF">
        <w:rPr>
          <w:rFonts w:ascii="Times New Roman" w:hAnsi="Times New Roman"/>
          <w:sz w:val="20"/>
          <w:szCs w:val="20"/>
          <w:lang w:val="en-GB"/>
        </w:rPr>
        <w:t>Eva Geulen</w:t>
      </w:r>
      <w:r w:rsidR="00D203F4">
        <w:rPr>
          <w:rFonts w:ascii="Times New Roman" w:hAnsi="Times New Roman"/>
          <w:sz w:val="20"/>
          <w:szCs w:val="20"/>
          <w:lang w:val="en-GB"/>
        </w:rPr>
        <w:t>, eds.,</w:t>
      </w:r>
      <w:r w:rsidRPr="00B312EF">
        <w:rPr>
          <w:rFonts w:ascii="Times New Roman" w:hAnsi="Times New Roman"/>
          <w:sz w:val="20"/>
          <w:szCs w:val="20"/>
          <w:lang w:val="en-GB"/>
        </w:rPr>
        <w:t xml:space="preserve"> </w:t>
      </w:r>
      <w:r w:rsidRPr="00B312EF">
        <w:rPr>
          <w:rFonts w:ascii="Times New Roman" w:hAnsi="Times New Roman"/>
          <w:i/>
          <w:iCs/>
          <w:sz w:val="20"/>
          <w:szCs w:val="20"/>
          <w:lang w:val="en-GB"/>
        </w:rPr>
        <w:t>Blumenbergs Verfahren</w:t>
      </w:r>
      <w:r w:rsidR="00D203F4">
        <w:rPr>
          <w:rFonts w:ascii="Times New Roman" w:hAnsi="Times New Roman"/>
          <w:i/>
          <w:iCs/>
          <w:sz w:val="20"/>
          <w:szCs w:val="20"/>
          <w:lang w:val="en-GB"/>
        </w:rPr>
        <w:t>:</w:t>
      </w:r>
      <w:r w:rsidRPr="00B312EF">
        <w:rPr>
          <w:rFonts w:ascii="Times New Roman" w:hAnsi="Times New Roman"/>
          <w:i/>
          <w:iCs/>
          <w:sz w:val="20"/>
          <w:szCs w:val="20"/>
          <w:lang w:val="en-GB"/>
        </w:rPr>
        <w:t xml:space="preserve"> Neue Zugänge zum Werk</w:t>
      </w:r>
      <w:r w:rsidRPr="00D203F4">
        <w:rPr>
          <w:rFonts w:ascii="Times New Roman" w:hAnsi="Times New Roman"/>
          <w:sz w:val="20"/>
          <w:szCs w:val="20"/>
          <w:lang w:val="en-GB"/>
        </w:rPr>
        <w:t xml:space="preserve"> </w:t>
      </w:r>
      <w:r w:rsidR="00D203F4">
        <w:rPr>
          <w:rFonts w:ascii="Times New Roman" w:hAnsi="Times New Roman"/>
          <w:sz w:val="20"/>
          <w:szCs w:val="20"/>
          <w:lang w:val="en-GB"/>
        </w:rPr>
        <w:t>(</w:t>
      </w:r>
      <w:r w:rsidRPr="00B312EF">
        <w:rPr>
          <w:rFonts w:ascii="Times New Roman" w:hAnsi="Times New Roman"/>
          <w:sz w:val="20"/>
          <w:szCs w:val="20"/>
          <w:lang w:val="en-GB"/>
        </w:rPr>
        <w:t>Göttingen: Wallstein, 2022</w:t>
      </w:r>
      <w:r w:rsidR="00D203F4">
        <w:rPr>
          <w:rFonts w:ascii="Times New Roman" w:hAnsi="Times New Roman"/>
          <w:sz w:val="20"/>
          <w:szCs w:val="20"/>
          <w:lang w:val="en-GB"/>
        </w:rPr>
        <w:t>)</w:t>
      </w:r>
      <w:r w:rsidRPr="00B312EF">
        <w:rPr>
          <w:rFonts w:ascii="Times New Roman" w:hAnsi="Times New Roman"/>
          <w:sz w:val="20"/>
          <w:szCs w:val="20"/>
          <w:lang w:val="en-GB"/>
        </w:rPr>
        <w:t>, 269</w:t>
      </w:r>
      <w:r w:rsidR="00BC307F">
        <w:rPr>
          <w:rFonts w:ascii="Times New Roman" w:hAnsi="Times New Roman"/>
          <w:sz w:val="20"/>
          <w:szCs w:val="20"/>
          <w:lang w:val="en-GB"/>
        </w:rPr>
        <w:t>–</w:t>
      </w:r>
      <w:r w:rsidRPr="00B312EF">
        <w:rPr>
          <w:rFonts w:ascii="Times New Roman" w:hAnsi="Times New Roman"/>
          <w:sz w:val="20"/>
          <w:szCs w:val="20"/>
          <w:lang w:val="en-GB"/>
        </w:rPr>
        <w:t xml:space="preserve">288. </w:t>
      </w:r>
    </w:p>
  </w:footnote>
  <w:footnote w:id="29">
    <w:p w14:paraId="1635018C" w14:textId="0327907D"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Blumenberg, </w:t>
      </w:r>
      <w:r w:rsidRPr="00B312EF">
        <w:rPr>
          <w:rFonts w:eastAsia="Arial Unicode MS" w:cs="Arial Unicode MS"/>
          <w:i/>
          <w:iCs/>
          <w:lang w:val="en-GB"/>
        </w:rPr>
        <w:t>Legitimität der Neuzeit</w:t>
      </w:r>
      <w:r w:rsidRPr="00B312EF">
        <w:rPr>
          <w:rFonts w:eastAsia="Arial Unicode MS" w:cs="Arial Unicode MS"/>
          <w:lang w:val="en-GB"/>
        </w:rPr>
        <w:t>, 541</w:t>
      </w:r>
      <w:r w:rsidR="00212C1C">
        <w:rPr>
          <w:rFonts w:eastAsia="Arial Unicode MS" w:cs="Arial Unicode MS"/>
          <w:lang w:val="en-GB"/>
        </w:rPr>
        <w:t>.</w:t>
      </w:r>
    </w:p>
  </w:footnote>
  <w:footnote w:id="30">
    <w:p w14:paraId="0A891D52" w14:textId="77777777"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Blumenberg, </w:t>
      </w:r>
      <w:r w:rsidRPr="00B312EF">
        <w:rPr>
          <w:rFonts w:eastAsia="Arial Unicode MS" w:cs="Arial Unicode MS"/>
          <w:i/>
          <w:iCs/>
          <w:lang w:val="en-GB"/>
        </w:rPr>
        <w:t>Legitimität der Neuzeit</w:t>
      </w:r>
      <w:r w:rsidRPr="00B312EF">
        <w:rPr>
          <w:rFonts w:eastAsia="Arial Unicode MS" w:cs="Arial Unicode MS"/>
          <w:lang w:val="en-GB"/>
        </w:rPr>
        <w:t xml:space="preserve">, 541. </w:t>
      </w:r>
    </w:p>
  </w:footnote>
  <w:footnote w:id="31">
    <w:p w14:paraId="493694E0" w14:textId="0C88F4FE"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C91162">
        <w:rPr>
          <w:rFonts w:eastAsia="Arial Unicode MS" w:cs="Arial Unicode MS"/>
          <w:lang w:val="en-GB"/>
        </w:rPr>
        <w:t>We can trace this process of reoccupation</w:t>
      </w:r>
      <w:r w:rsidR="0035777C">
        <w:rPr>
          <w:rFonts w:eastAsia="Arial Unicode MS" w:cs="Arial Unicode MS"/>
          <w:lang w:val="en-GB"/>
        </w:rPr>
        <w:t xml:space="preserve"> along with Blumenberg </w:t>
      </w:r>
      <w:r w:rsidR="00C91162">
        <w:rPr>
          <w:rFonts w:eastAsia="Arial Unicode MS" w:cs="Arial Unicode MS"/>
          <w:lang w:val="en-GB"/>
        </w:rPr>
        <w:t xml:space="preserve">in an especially striking way </w:t>
      </w:r>
      <w:r w:rsidR="0035777C">
        <w:rPr>
          <w:rFonts w:eastAsia="Arial Unicode MS" w:cs="Arial Unicode MS"/>
          <w:lang w:val="en-GB"/>
        </w:rPr>
        <w:t>when we follow the different variants or reworkings of the same story (e.g., the Thales anecdote) or the same motif (e.g., the exit from Plato’s cave) or the changing meanings and contexts of the same metaphor (e.g., the ‘naked’ truth) across time</w:t>
      </w:r>
      <w:r w:rsidRPr="00B312EF">
        <w:rPr>
          <w:rFonts w:eastAsia="Arial Unicode MS" w:cs="Arial Unicode MS"/>
          <w:lang w:val="en-GB"/>
        </w:rPr>
        <w:t xml:space="preserve">. </w:t>
      </w:r>
    </w:p>
  </w:footnote>
  <w:footnote w:id="32">
    <w:p w14:paraId="4DFA3728" w14:textId="6B452573"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5E0BDD">
        <w:rPr>
          <w:rFonts w:eastAsia="Arial Unicode MS" w:cs="Arial Unicode MS"/>
          <w:lang w:val="en-GB"/>
        </w:rPr>
        <w:t xml:space="preserve">This point is also directed against a developmental historical approach, for which what is significant is only what </w:t>
      </w:r>
      <w:r w:rsidR="00C91162">
        <w:rPr>
          <w:rFonts w:eastAsia="Arial Unicode MS" w:cs="Arial Unicode MS"/>
          <w:lang w:val="en-GB"/>
        </w:rPr>
        <w:t>get</w:t>
      </w:r>
      <w:r w:rsidR="005E0BDD">
        <w:rPr>
          <w:rFonts w:eastAsia="Arial Unicode MS" w:cs="Arial Unicode MS"/>
          <w:lang w:val="en-GB"/>
        </w:rPr>
        <w:t xml:space="preserve">s </w:t>
      </w:r>
      <w:r w:rsidR="00C91162">
        <w:rPr>
          <w:rFonts w:eastAsia="Arial Unicode MS" w:cs="Arial Unicode MS"/>
          <w:lang w:val="en-GB"/>
        </w:rPr>
        <w:t xml:space="preserve">(linearly) </w:t>
      </w:r>
      <w:r w:rsidR="005E0BDD">
        <w:rPr>
          <w:rFonts w:eastAsia="Arial Unicode MS" w:cs="Arial Unicode MS"/>
          <w:lang w:val="en-GB"/>
        </w:rPr>
        <w:t xml:space="preserve">developed. That is, dead ends, detours, mere possibilities, approaches that are not further pursued, motifs that can </w:t>
      </w:r>
      <w:r w:rsidR="00C91162">
        <w:rPr>
          <w:rFonts w:eastAsia="Arial Unicode MS" w:cs="Arial Unicode MS"/>
          <w:lang w:val="en-GB"/>
        </w:rPr>
        <w:t xml:space="preserve">now </w:t>
      </w:r>
      <w:r w:rsidR="005E0BDD">
        <w:rPr>
          <w:rFonts w:eastAsia="Arial Unicode MS" w:cs="Arial Unicode MS"/>
          <w:lang w:val="en-GB"/>
        </w:rPr>
        <w:t>only be understood from a historical perspective, and the like are irrelevant for developmental historical models. Blumenberg, in contrast, is interested in exactly these things</w:t>
      </w:r>
      <w:r w:rsidRPr="00B312EF">
        <w:rPr>
          <w:rFonts w:eastAsia="Arial Unicode MS" w:cs="Arial Unicode MS"/>
          <w:lang w:val="en-GB"/>
        </w:rPr>
        <w:t>.</w:t>
      </w:r>
    </w:p>
  </w:footnote>
  <w:footnote w:id="33">
    <w:p w14:paraId="1322D4F2" w14:textId="48FA1638" w:rsidR="007A5D1D" w:rsidRPr="00B312EF" w:rsidRDefault="007A5D1D" w:rsidP="00212C1C">
      <w:pPr>
        <w:pStyle w:val="Standard"/>
        <w:widowControl w:val="0"/>
        <w:tabs>
          <w:tab w:val="left" w:pos="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00" w:line="240" w:lineRule="auto"/>
        <w:jc w:val="both"/>
        <w:rPr>
          <w:lang w:val="en-GB"/>
        </w:rPr>
      </w:pPr>
      <w:r w:rsidRPr="00B312EF">
        <w:rPr>
          <w:rFonts w:ascii="Times New Roman" w:eastAsia="Times New Roman" w:hAnsi="Times New Roman" w:cs="Times New Roman"/>
          <w:vertAlign w:val="superscript"/>
          <w:lang w:val="en-GB"/>
        </w:rPr>
        <w:footnoteRef/>
      </w:r>
      <w:r w:rsidRPr="00B312EF">
        <w:rPr>
          <w:rFonts w:ascii="Times New Roman" w:hAnsi="Times New Roman"/>
          <w:sz w:val="20"/>
          <w:szCs w:val="20"/>
          <w:lang w:val="en-GB"/>
        </w:rPr>
        <w:t xml:space="preserve"> </w:t>
      </w:r>
      <w:r w:rsidR="005E0BDD">
        <w:rPr>
          <w:rFonts w:ascii="Times New Roman" w:hAnsi="Times New Roman"/>
          <w:sz w:val="20"/>
          <w:szCs w:val="20"/>
          <w:lang w:val="en-GB"/>
        </w:rPr>
        <w:t>Cf. on the term “background”</w:t>
      </w:r>
      <w:r w:rsidRPr="00B312EF">
        <w:rPr>
          <w:rFonts w:ascii="Times New Roman" w:hAnsi="Times New Roman"/>
          <w:sz w:val="20"/>
          <w:szCs w:val="20"/>
          <w:lang w:val="en-GB"/>
        </w:rPr>
        <w:t xml:space="preserve"> </w:t>
      </w:r>
      <w:r w:rsidRPr="00E769CD">
        <w:rPr>
          <w:rFonts w:ascii="Times New Roman" w:hAnsi="Times New Roman"/>
          <w:noProof/>
          <w:sz w:val="20"/>
          <w:szCs w:val="20"/>
          <w:shd w:val="clear" w:color="auto" w:fill="F79646"/>
        </w:rPr>
        <w:t xml:space="preserve">Blumenberg, </w:t>
      </w:r>
      <w:r w:rsidRPr="00E769CD">
        <w:rPr>
          <w:rFonts w:ascii="Times New Roman" w:hAnsi="Times New Roman"/>
          <w:i/>
          <w:iCs/>
          <w:noProof/>
          <w:sz w:val="20"/>
          <w:szCs w:val="20"/>
          <w:shd w:val="clear" w:color="auto" w:fill="F79646"/>
        </w:rPr>
        <w:t xml:space="preserve">Kopernikanische Wende, </w:t>
      </w:r>
      <w:r w:rsidRPr="00E769CD">
        <w:rPr>
          <w:rFonts w:ascii="Times New Roman" w:hAnsi="Times New Roman"/>
          <w:noProof/>
          <w:sz w:val="20"/>
          <w:szCs w:val="20"/>
          <w:shd w:val="clear" w:color="auto" w:fill="F79646"/>
        </w:rPr>
        <w:t>7: „Hintergrund ist das, was einen bestimmten Spielraum möglicher Veränderungen eröffnet, was bestimmte Schritte zuläßt und andere ausschließt. Hintergrund setzt Enge oder Weite, Beschränkung oder Freizügigkeit, den Horizont, in dem nach neuen Möglichkeiten gesucht werden kann, oder die einschließende Wand, auf der sich die altvertrauten Bilder und die Schatten des Bestehenden wiederholen.“</w:t>
      </w:r>
      <w:r w:rsidRPr="00B312EF">
        <w:rPr>
          <w:rFonts w:ascii="Times New Roman" w:hAnsi="Times New Roman"/>
          <w:sz w:val="20"/>
          <w:szCs w:val="20"/>
          <w:shd w:val="clear" w:color="auto" w:fill="F79646"/>
          <w:lang w:val="en-GB"/>
        </w:rPr>
        <w:t xml:space="preserve"> </w:t>
      </w:r>
    </w:p>
  </w:footnote>
  <w:footnote w:id="34">
    <w:p w14:paraId="3A501278" w14:textId="77777777"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Goldstein, </w:t>
      </w:r>
      <w:r w:rsidRPr="00B312EF">
        <w:rPr>
          <w:rFonts w:eastAsia="Arial Unicode MS" w:cs="Arial Unicode MS"/>
          <w:i/>
          <w:iCs/>
          <w:lang w:val="en-GB"/>
        </w:rPr>
        <w:t>Zwischen Texttreue und Spekulation</w:t>
      </w:r>
      <w:r w:rsidRPr="00B312EF">
        <w:rPr>
          <w:rFonts w:eastAsia="Arial Unicode MS" w:cs="Arial Unicode MS"/>
          <w:lang w:val="en-GB"/>
        </w:rPr>
        <w:t>, 35.</w:t>
      </w:r>
    </w:p>
  </w:footnote>
  <w:footnote w:id="35">
    <w:p w14:paraId="2CE1552B" w14:textId="0B06DFFC" w:rsidR="007A5D1D" w:rsidRPr="00B312EF" w:rsidRDefault="007A5D1D" w:rsidP="00212C1C">
      <w:pPr>
        <w:pStyle w:val="Standard"/>
        <w:widowControl w:val="0"/>
        <w:tabs>
          <w:tab w:val="left" w:pos="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100" w:line="240" w:lineRule="auto"/>
        <w:jc w:val="both"/>
        <w:rPr>
          <w:lang w:val="en-GB"/>
        </w:rPr>
      </w:pPr>
      <w:r w:rsidRPr="00B312EF">
        <w:rPr>
          <w:rFonts w:ascii="Times New Roman" w:eastAsia="Times New Roman" w:hAnsi="Times New Roman" w:cs="Times New Roman"/>
          <w:vertAlign w:val="superscript"/>
          <w:lang w:val="en-GB"/>
        </w:rPr>
        <w:footnoteRef/>
      </w:r>
      <w:r w:rsidRPr="00B312EF">
        <w:rPr>
          <w:rFonts w:ascii="Times New Roman" w:hAnsi="Times New Roman"/>
          <w:sz w:val="20"/>
          <w:szCs w:val="20"/>
          <w:lang w:val="en-GB"/>
        </w:rPr>
        <w:t xml:space="preserve"> </w:t>
      </w:r>
      <w:r w:rsidR="00CD60BB">
        <w:rPr>
          <w:rFonts w:ascii="Times New Roman" w:hAnsi="Times New Roman"/>
          <w:sz w:val="20"/>
          <w:szCs w:val="20"/>
          <w:lang w:val="en-GB"/>
        </w:rPr>
        <w:t>In</w:t>
      </w:r>
      <w:r w:rsidRPr="00B312EF">
        <w:rPr>
          <w:rFonts w:ascii="Times New Roman" w:hAnsi="Times New Roman"/>
          <w:sz w:val="20"/>
          <w:szCs w:val="20"/>
          <w:lang w:val="en-GB"/>
        </w:rPr>
        <w:t xml:space="preserve"> </w:t>
      </w:r>
      <w:r w:rsidRPr="00B312EF">
        <w:rPr>
          <w:rFonts w:ascii="Times New Roman" w:hAnsi="Times New Roman"/>
          <w:i/>
          <w:iCs/>
          <w:sz w:val="20"/>
          <w:szCs w:val="20"/>
          <w:lang w:val="en-GB"/>
        </w:rPr>
        <w:t>Das Lachen der Thrakerin</w:t>
      </w:r>
      <w:r w:rsidR="00CD60BB">
        <w:rPr>
          <w:rFonts w:ascii="Times New Roman" w:hAnsi="Times New Roman"/>
          <w:sz w:val="20"/>
          <w:szCs w:val="20"/>
          <w:lang w:val="en-GB"/>
        </w:rPr>
        <w:t>, he subjects different variants of the Thales anecdote from antiquity to the present to a philosophical analysis, and in</w:t>
      </w:r>
      <w:r w:rsidRPr="00B312EF">
        <w:rPr>
          <w:rFonts w:ascii="Times New Roman" w:hAnsi="Times New Roman"/>
          <w:sz w:val="20"/>
          <w:szCs w:val="20"/>
          <w:lang w:val="en-GB"/>
        </w:rPr>
        <w:t xml:space="preserve"> </w:t>
      </w:r>
      <w:r w:rsidRPr="00B312EF">
        <w:rPr>
          <w:rFonts w:ascii="Times New Roman" w:hAnsi="Times New Roman"/>
          <w:i/>
          <w:iCs/>
          <w:sz w:val="20"/>
          <w:szCs w:val="20"/>
          <w:lang w:val="en-GB"/>
        </w:rPr>
        <w:t>Höhlenausgänge</w:t>
      </w:r>
      <w:r w:rsidR="00351E91">
        <w:rPr>
          <w:rFonts w:ascii="Times New Roman" w:hAnsi="Times New Roman"/>
          <w:sz w:val="20"/>
          <w:szCs w:val="20"/>
          <w:lang w:val="en-GB"/>
        </w:rPr>
        <w:t>,</w:t>
      </w:r>
      <w:r w:rsidR="00CD60BB">
        <w:rPr>
          <w:rFonts w:ascii="Times New Roman" w:hAnsi="Times New Roman"/>
          <w:sz w:val="20"/>
          <w:szCs w:val="20"/>
          <w:lang w:val="en-GB"/>
        </w:rPr>
        <w:t xml:space="preserve"> he discusses the motif of the exit from the cave as a central</w:t>
      </w:r>
      <w:r w:rsidR="00351E91">
        <w:rPr>
          <w:rFonts w:ascii="Times New Roman" w:hAnsi="Times New Roman"/>
          <w:sz w:val="20"/>
          <w:szCs w:val="20"/>
          <w:lang w:val="en-GB"/>
        </w:rPr>
        <w:t xml:space="preserve"> metaphor of processes in the history of education on the basis of historical variations of Plato’s allegory of the cave. In the “case studies” (</w:t>
      </w:r>
      <w:r w:rsidR="00351E91">
        <w:rPr>
          <w:rFonts w:ascii="Times New Roman" w:hAnsi="Times New Roman"/>
          <w:i/>
          <w:iCs/>
          <w:sz w:val="20"/>
          <w:szCs w:val="20"/>
          <w:lang w:val="en-GB"/>
        </w:rPr>
        <w:t>Fallstudien</w:t>
      </w:r>
      <w:r w:rsidR="00351E91">
        <w:rPr>
          <w:rFonts w:ascii="Times New Roman" w:hAnsi="Times New Roman"/>
          <w:sz w:val="20"/>
          <w:szCs w:val="20"/>
          <w:lang w:val="en-GB"/>
        </w:rPr>
        <w:t xml:space="preserve">) in </w:t>
      </w:r>
      <w:r w:rsidR="00351E91">
        <w:rPr>
          <w:rFonts w:ascii="Times New Roman" w:hAnsi="Times New Roman"/>
          <w:i/>
          <w:iCs/>
          <w:sz w:val="20"/>
          <w:szCs w:val="20"/>
          <w:lang w:val="en-GB"/>
        </w:rPr>
        <w:t>Die</w:t>
      </w:r>
      <w:r w:rsidRPr="00B312EF">
        <w:rPr>
          <w:rFonts w:ascii="Times New Roman" w:hAnsi="Times New Roman"/>
          <w:sz w:val="20"/>
          <w:szCs w:val="20"/>
          <w:lang w:val="en-GB"/>
        </w:rPr>
        <w:t xml:space="preserve"> </w:t>
      </w:r>
      <w:r w:rsidRPr="00B312EF">
        <w:rPr>
          <w:rFonts w:ascii="Times New Roman" w:hAnsi="Times New Roman"/>
          <w:i/>
          <w:iCs/>
          <w:sz w:val="20"/>
          <w:szCs w:val="20"/>
          <w:lang w:val="en-GB"/>
        </w:rPr>
        <w:t>Vollzähligkeit der Sterne</w:t>
      </w:r>
      <w:r w:rsidR="00C91162">
        <w:rPr>
          <w:rFonts w:ascii="Times New Roman" w:hAnsi="Times New Roman"/>
          <w:sz w:val="20"/>
          <w:szCs w:val="20"/>
          <w:lang w:val="en-GB"/>
        </w:rPr>
        <w:t>,</w:t>
      </w:r>
      <w:r w:rsidRPr="00B312EF">
        <w:rPr>
          <w:rFonts w:ascii="Times New Roman" w:hAnsi="Times New Roman"/>
          <w:sz w:val="20"/>
          <w:szCs w:val="20"/>
          <w:lang w:val="en-GB"/>
        </w:rPr>
        <w:t xml:space="preserve"> </w:t>
      </w:r>
      <w:r w:rsidR="00351E91">
        <w:rPr>
          <w:rFonts w:ascii="Times New Roman" w:hAnsi="Times New Roman"/>
          <w:sz w:val="20"/>
          <w:szCs w:val="20"/>
          <w:lang w:val="en-GB"/>
        </w:rPr>
        <w:t>he traces the metaphor of the “fall” of Adam and Eve u</w:t>
      </w:r>
      <w:r w:rsidR="00C91162">
        <w:rPr>
          <w:rFonts w:ascii="Times New Roman" w:hAnsi="Times New Roman"/>
          <w:sz w:val="20"/>
          <w:szCs w:val="20"/>
          <w:lang w:val="en-GB"/>
        </w:rPr>
        <w:t>p to the present</w:t>
      </w:r>
      <w:r w:rsidR="00351E91">
        <w:rPr>
          <w:rFonts w:ascii="Times New Roman" w:hAnsi="Times New Roman"/>
          <w:sz w:val="20"/>
          <w:szCs w:val="20"/>
          <w:lang w:val="en-GB"/>
        </w:rPr>
        <w:t xml:space="preserve"> and </w:t>
      </w:r>
      <w:r w:rsidR="00AB611C">
        <w:rPr>
          <w:rFonts w:ascii="Times New Roman" w:hAnsi="Times New Roman"/>
          <w:sz w:val="20"/>
          <w:szCs w:val="20"/>
          <w:lang w:val="en-GB"/>
        </w:rPr>
        <w:t>analyses</w:t>
      </w:r>
      <w:r w:rsidR="00351E91">
        <w:rPr>
          <w:rFonts w:ascii="Times New Roman" w:hAnsi="Times New Roman"/>
          <w:sz w:val="20"/>
          <w:szCs w:val="20"/>
          <w:lang w:val="en-GB"/>
        </w:rPr>
        <w:t xml:space="preserve"> it in its relationship to and difference from other variants. A number of other titles could also be cited</w:t>
      </w:r>
      <w:r w:rsidRPr="00B312EF">
        <w:rPr>
          <w:rFonts w:ascii="Times New Roman" w:hAnsi="Times New Roman"/>
          <w:sz w:val="20"/>
          <w:szCs w:val="20"/>
          <w:lang w:val="en-GB"/>
        </w:rPr>
        <w:t>.</w:t>
      </w:r>
    </w:p>
  </w:footnote>
  <w:footnote w:id="36">
    <w:p w14:paraId="5B8D28B6" w14:textId="5FDF0D39" w:rsidR="007A5D1D" w:rsidRPr="00B312EF" w:rsidRDefault="007A5D1D" w:rsidP="00212C1C">
      <w:pPr>
        <w:pStyle w:val="Anmerkung"/>
        <w:rPr>
          <w:lang w:val="en-GB"/>
        </w:rPr>
      </w:pPr>
      <w:r w:rsidRPr="00B312EF">
        <w:rPr>
          <w:vertAlign w:val="superscript"/>
          <w:lang w:val="en-GB"/>
        </w:rPr>
        <w:footnoteRef/>
      </w:r>
      <w:r w:rsidRPr="00B312EF">
        <w:rPr>
          <w:rFonts w:eastAsia="Arial Unicode MS" w:cs="Arial Unicode MS"/>
          <w:lang w:val="en-GB"/>
        </w:rPr>
        <w:t xml:space="preserve"> </w:t>
      </w:r>
      <w:r w:rsidR="00C91162">
        <w:rPr>
          <w:rFonts w:eastAsia="Arial Unicode MS" w:cs="Arial Unicode MS"/>
          <w:lang w:val="en-GB"/>
        </w:rPr>
        <w:t>As is well known, t</w:t>
      </w:r>
      <w:r w:rsidR="006C0594">
        <w:rPr>
          <w:rFonts w:eastAsia="Arial Unicode MS" w:cs="Arial Unicode MS"/>
          <w:lang w:val="en-GB"/>
        </w:rPr>
        <w:t xml:space="preserve">his proverbial formulation is itself already a variant of the words that Plato puts in Socrates’s mouth in the </w:t>
      </w:r>
      <w:r w:rsidRPr="00B312EF">
        <w:rPr>
          <w:rFonts w:eastAsia="Arial Unicode MS" w:cs="Arial Unicode MS"/>
          <w:i/>
          <w:iCs/>
          <w:lang w:val="en-GB"/>
        </w:rPr>
        <w:t>Apolog</w:t>
      </w:r>
      <w:r w:rsidR="006C0594">
        <w:rPr>
          <w:rFonts w:eastAsia="Arial Unicode MS" w:cs="Arial Unicode MS"/>
          <w:i/>
          <w:iCs/>
          <w:lang w:val="en-GB"/>
        </w:rPr>
        <w:t>y</w:t>
      </w:r>
      <w:r w:rsidRPr="00B312EF">
        <w:rPr>
          <w:rFonts w:eastAsia="Arial Unicode MS" w:cs="Arial Unicode MS"/>
          <w:i/>
          <w:iCs/>
          <w:lang w:val="en-GB"/>
        </w:rPr>
        <w:t xml:space="preserve"> </w:t>
      </w:r>
      <w:r w:rsidRPr="00B312EF">
        <w:rPr>
          <w:rFonts w:eastAsia="Arial Unicode MS" w:cs="Arial Unicode MS"/>
          <w:lang w:val="en-GB"/>
        </w:rPr>
        <w:t>(21d).</w:t>
      </w:r>
    </w:p>
  </w:footnote>
  <w:footnote w:id="37">
    <w:p w14:paraId="515FC301" w14:textId="16CB9913" w:rsidR="007A5D1D" w:rsidRPr="00B312EF" w:rsidRDefault="007A5D1D" w:rsidP="00212C1C">
      <w:pPr>
        <w:pStyle w:val="Fun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r w:rsidRPr="00B312EF">
        <w:rPr>
          <w:rFonts w:ascii="Times New Roman" w:eastAsia="Times New Roman" w:hAnsi="Times New Roman" w:cs="Times New Roman"/>
          <w:vertAlign w:val="superscript"/>
          <w:lang w:val="en-GB"/>
        </w:rPr>
        <w:footnoteRef/>
      </w:r>
      <w:r w:rsidRPr="00B312EF">
        <w:rPr>
          <w:rFonts w:ascii="Times New Roman" w:hAnsi="Times New Roman"/>
          <w:sz w:val="20"/>
          <w:szCs w:val="20"/>
          <w:lang w:val="en-GB"/>
        </w:rPr>
        <w:t xml:space="preserve"> Blumenberg</w:t>
      </w:r>
      <w:r w:rsidR="00364944">
        <w:rPr>
          <w:rFonts w:ascii="Times New Roman" w:hAnsi="Times New Roman"/>
          <w:sz w:val="20"/>
          <w:szCs w:val="20"/>
          <w:lang w:val="en-GB"/>
        </w:rPr>
        <w:t xml:space="preserve"> Papers</w:t>
      </w:r>
      <w:r w:rsidRPr="00B312EF">
        <w:rPr>
          <w:rFonts w:ascii="Times New Roman" w:hAnsi="Times New Roman"/>
          <w:sz w:val="20"/>
          <w:szCs w:val="20"/>
          <w:lang w:val="en-GB"/>
        </w:rPr>
        <w:t xml:space="preserve">, DLA, </w:t>
      </w:r>
      <w:r w:rsidR="00364944">
        <w:rPr>
          <w:rFonts w:ascii="Times New Roman" w:hAnsi="Times New Roman"/>
          <w:sz w:val="20"/>
          <w:szCs w:val="20"/>
          <w:lang w:val="en-GB"/>
        </w:rPr>
        <w:t>Box</w:t>
      </w:r>
      <w:r w:rsidRPr="00B312EF">
        <w:rPr>
          <w:rFonts w:ascii="Times New Roman" w:hAnsi="Times New Roman"/>
          <w:sz w:val="20"/>
          <w:szCs w:val="20"/>
          <w:lang w:val="en-GB"/>
        </w:rPr>
        <w:t xml:space="preserve"> 24, So</w:t>
      </w:r>
      <w:r w:rsidR="00364944">
        <w:rPr>
          <w:rFonts w:ascii="Times New Roman" w:hAnsi="Times New Roman"/>
          <w:sz w:val="20"/>
          <w:szCs w:val="20"/>
          <w:lang w:val="en-GB"/>
        </w:rPr>
        <w:t>c</w:t>
      </w:r>
      <w:r w:rsidRPr="00B312EF">
        <w:rPr>
          <w:rFonts w:ascii="Times New Roman" w:hAnsi="Times New Roman"/>
          <w:sz w:val="20"/>
          <w:szCs w:val="20"/>
          <w:lang w:val="en-GB"/>
        </w:rPr>
        <w:t>rates</w:t>
      </w:r>
      <w:r w:rsidR="00364944">
        <w:rPr>
          <w:rFonts w:ascii="Times New Roman" w:hAnsi="Times New Roman"/>
          <w:sz w:val="20"/>
          <w:szCs w:val="20"/>
          <w:lang w:val="en-GB"/>
        </w:rPr>
        <w:t xml:space="preserve"> Section</w:t>
      </w:r>
      <w:r w:rsidRPr="00B312EF">
        <w:rPr>
          <w:rFonts w:ascii="Times New Roman" w:hAnsi="Times New Roman"/>
          <w:sz w:val="20"/>
          <w:szCs w:val="20"/>
          <w:lang w:val="en-GB"/>
        </w:rPr>
        <w:t xml:space="preserve">, </w:t>
      </w:r>
      <w:r w:rsidR="00364944">
        <w:rPr>
          <w:rFonts w:ascii="Times New Roman" w:hAnsi="Times New Roman"/>
          <w:sz w:val="20"/>
          <w:szCs w:val="20"/>
          <w:lang w:val="en-GB"/>
        </w:rPr>
        <w:t>quoted here from</w:t>
      </w:r>
      <w:r w:rsidRPr="00B312EF">
        <w:rPr>
          <w:rFonts w:ascii="Times New Roman" w:hAnsi="Times New Roman"/>
          <w:sz w:val="20"/>
          <w:szCs w:val="20"/>
          <w:lang w:val="en-GB"/>
        </w:rPr>
        <w:t xml:space="preserve"> Brázda, </w:t>
      </w:r>
      <w:r w:rsidRPr="00B312EF">
        <w:rPr>
          <w:rFonts w:ascii="Times New Roman" w:hAnsi="Times New Roman"/>
          <w:i/>
          <w:iCs/>
          <w:sz w:val="20"/>
          <w:szCs w:val="20"/>
          <w:lang w:val="en-GB"/>
        </w:rPr>
        <w:t>Variationen als Methode der Philosophiegeschichte</w:t>
      </w:r>
      <w:r w:rsidRPr="00B312EF">
        <w:rPr>
          <w:rFonts w:ascii="Times New Roman" w:hAnsi="Times New Roman"/>
          <w:sz w:val="20"/>
          <w:szCs w:val="20"/>
          <w:lang w:val="en-GB"/>
        </w:rPr>
        <w:t>, 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63A0"/>
    <w:multiLevelType w:val="hybridMultilevel"/>
    <w:tmpl w:val="65BAF228"/>
    <w:styleLink w:val="Punkte"/>
    <w:lvl w:ilvl="0" w:tplc="8844195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A1B40E1C">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520"/>
        </w:tabs>
        <w:ind w:left="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9112D9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88F6DAA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ACF00C5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5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F3FCCD8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1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71EE512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7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2B8E7558">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520"/>
        </w:tabs>
        <w:ind w:left="43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4BB23ED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989" w:hanging="189"/>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9A0006"/>
    <w:multiLevelType w:val="hybridMultilevel"/>
    <w:tmpl w:val="43F0B25E"/>
    <w:numStyleLink w:val="Alphabetisch"/>
  </w:abstractNum>
  <w:abstractNum w:abstractNumId="2" w15:restartNumberingAfterBreak="0">
    <w:nsid w:val="1CC84AD9"/>
    <w:multiLevelType w:val="hybridMultilevel"/>
    <w:tmpl w:val="65BAF228"/>
    <w:numStyleLink w:val="Punkte"/>
  </w:abstractNum>
  <w:abstractNum w:abstractNumId="3" w15:restartNumberingAfterBreak="0">
    <w:nsid w:val="3B8644B3"/>
    <w:multiLevelType w:val="hybridMultilevel"/>
    <w:tmpl w:val="F18E56D8"/>
    <w:numStyleLink w:val="Nummeriert"/>
  </w:abstractNum>
  <w:abstractNum w:abstractNumId="4" w15:restartNumberingAfterBreak="0">
    <w:nsid w:val="50E64D9B"/>
    <w:multiLevelType w:val="hybridMultilevel"/>
    <w:tmpl w:val="F18E56D8"/>
    <w:styleLink w:val="Nummeriert"/>
    <w:lvl w:ilvl="0" w:tplc="113693CC">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D523858">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107CD590">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D28CF36">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6402F5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E7CAF6DE">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3F0CC9C">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2909C1C">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49B2C3FA">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7AD4740"/>
    <w:multiLevelType w:val="hybridMultilevel"/>
    <w:tmpl w:val="43F0B25E"/>
    <w:styleLink w:val="Alphabetisch"/>
    <w:lvl w:ilvl="0" w:tplc="45842E74">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0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A1525A62">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FF417AE">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F6619AC">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4FCF232">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24564758">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7BAE4A8E">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7D06F0B0">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520"/>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92A274E">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28159060">
    <w:abstractNumId w:val="5"/>
  </w:num>
  <w:num w:numId="2" w16cid:durableId="1304195097">
    <w:abstractNumId w:val="1"/>
  </w:num>
  <w:num w:numId="3" w16cid:durableId="315764689">
    <w:abstractNumId w:val="4"/>
  </w:num>
  <w:num w:numId="4" w16cid:durableId="975063282">
    <w:abstractNumId w:val="3"/>
  </w:num>
  <w:num w:numId="5" w16cid:durableId="2055426500">
    <w:abstractNumId w:val="0"/>
  </w:num>
  <w:num w:numId="6" w16cid:durableId="1203126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03"/>
    <w:rsid w:val="0002291B"/>
    <w:rsid w:val="00024375"/>
    <w:rsid w:val="0003464B"/>
    <w:rsid w:val="0004702E"/>
    <w:rsid w:val="00053CE8"/>
    <w:rsid w:val="00073F84"/>
    <w:rsid w:val="000C76EB"/>
    <w:rsid w:val="000D5F6C"/>
    <w:rsid w:val="000D646A"/>
    <w:rsid w:val="000E3238"/>
    <w:rsid w:val="00101C1D"/>
    <w:rsid w:val="00156FB6"/>
    <w:rsid w:val="00170A9C"/>
    <w:rsid w:val="001746FF"/>
    <w:rsid w:val="001B3159"/>
    <w:rsid w:val="001B6019"/>
    <w:rsid w:val="001F0D56"/>
    <w:rsid w:val="001F738E"/>
    <w:rsid w:val="00205538"/>
    <w:rsid w:val="00205DFE"/>
    <w:rsid w:val="00212C1C"/>
    <w:rsid w:val="00227D99"/>
    <w:rsid w:val="00232D3E"/>
    <w:rsid w:val="0023378A"/>
    <w:rsid w:val="0027626A"/>
    <w:rsid w:val="002E2CA8"/>
    <w:rsid w:val="002E466C"/>
    <w:rsid w:val="003172E7"/>
    <w:rsid w:val="00345827"/>
    <w:rsid w:val="00347676"/>
    <w:rsid w:val="00351E91"/>
    <w:rsid w:val="0035777C"/>
    <w:rsid w:val="00364944"/>
    <w:rsid w:val="003673D8"/>
    <w:rsid w:val="00393278"/>
    <w:rsid w:val="003C045C"/>
    <w:rsid w:val="003C5610"/>
    <w:rsid w:val="003C7939"/>
    <w:rsid w:val="003D0203"/>
    <w:rsid w:val="003D34DF"/>
    <w:rsid w:val="003E3147"/>
    <w:rsid w:val="003E4AAF"/>
    <w:rsid w:val="003F75C1"/>
    <w:rsid w:val="00402C22"/>
    <w:rsid w:val="00414971"/>
    <w:rsid w:val="00434AA5"/>
    <w:rsid w:val="00442417"/>
    <w:rsid w:val="004476DF"/>
    <w:rsid w:val="00457CC6"/>
    <w:rsid w:val="0047299F"/>
    <w:rsid w:val="004C2447"/>
    <w:rsid w:val="004C4848"/>
    <w:rsid w:val="004D75D4"/>
    <w:rsid w:val="00517282"/>
    <w:rsid w:val="0052447E"/>
    <w:rsid w:val="00533085"/>
    <w:rsid w:val="00534F22"/>
    <w:rsid w:val="00545159"/>
    <w:rsid w:val="00567B29"/>
    <w:rsid w:val="0057071F"/>
    <w:rsid w:val="00570EF9"/>
    <w:rsid w:val="00572130"/>
    <w:rsid w:val="00584717"/>
    <w:rsid w:val="00593ED5"/>
    <w:rsid w:val="00594137"/>
    <w:rsid w:val="005A1F39"/>
    <w:rsid w:val="005D4234"/>
    <w:rsid w:val="005D54E5"/>
    <w:rsid w:val="005D6A00"/>
    <w:rsid w:val="005E0BDD"/>
    <w:rsid w:val="005E43D0"/>
    <w:rsid w:val="005F5040"/>
    <w:rsid w:val="00605B8C"/>
    <w:rsid w:val="006C0594"/>
    <w:rsid w:val="006C5474"/>
    <w:rsid w:val="006C631A"/>
    <w:rsid w:val="006D12FD"/>
    <w:rsid w:val="00737BB4"/>
    <w:rsid w:val="0074316C"/>
    <w:rsid w:val="00754F5D"/>
    <w:rsid w:val="00760E0A"/>
    <w:rsid w:val="0078385F"/>
    <w:rsid w:val="0078431F"/>
    <w:rsid w:val="007A5D1D"/>
    <w:rsid w:val="007A64A7"/>
    <w:rsid w:val="007B18FD"/>
    <w:rsid w:val="007B75B1"/>
    <w:rsid w:val="007D6F72"/>
    <w:rsid w:val="007E084F"/>
    <w:rsid w:val="007E76C7"/>
    <w:rsid w:val="007F1251"/>
    <w:rsid w:val="00860A13"/>
    <w:rsid w:val="008719C4"/>
    <w:rsid w:val="00880501"/>
    <w:rsid w:val="00882472"/>
    <w:rsid w:val="0089292A"/>
    <w:rsid w:val="008A1CAC"/>
    <w:rsid w:val="008B643F"/>
    <w:rsid w:val="008C5236"/>
    <w:rsid w:val="008E372A"/>
    <w:rsid w:val="008E6D37"/>
    <w:rsid w:val="008F3E6B"/>
    <w:rsid w:val="008F47A4"/>
    <w:rsid w:val="009412B9"/>
    <w:rsid w:val="0094513F"/>
    <w:rsid w:val="0096566D"/>
    <w:rsid w:val="009B6109"/>
    <w:rsid w:val="009E0FBE"/>
    <w:rsid w:val="00A0437E"/>
    <w:rsid w:val="00A15768"/>
    <w:rsid w:val="00A25A00"/>
    <w:rsid w:val="00A3244F"/>
    <w:rsid w:val="00A6468C"/>
    <w:rsid w:val="00A86D73"/>
    <w:rsid w:val="00AA3BC1"/>
    <w:rsid w:val="00AB2BCB"/>
    <w:rsid w:val="00AB611C"/>
    <w:rsid w:val="00AC5A34"/>
    <w:rsid w:val="00B312EF"/>
    <w:rsid w:val="00B3193A"/>
    <w:rsid w:val="00B841E1"/>
    <w:rsid w:val="00B87AE4"/>
    <w:rsid w:val="00B91A61"/>
    <w:rsid w:val="00B95EFA"/>
    <w:rsid w:val="00BC1D3C"/>
    <w:rsid w:val="00BC2CBF"/>
    <w:rsid w:val="00BC307F"/>
    <w:rsid w:val="00BF75DC"/>
    <w:rsid w:val="00C132D0"/>
    <w:rsid w:val="00C15827"/>
    <w:rsid w:val="00C63ABF"/>
    <w:rsid w:val="00C70344"/>
    <w:rsid w:val="00C829A3"/>
    <w:rsid w:val="00C82E90"/>
    <w:rsid w:val="00C85D29"/>
    <w:rsid w:val="00C91162"/>
    <w:rsid w:val="00C96047"/>
    <w:rsid w:val="00CD60BB"/>
    <w:rsid w:val="00CE0EBB"/>
    <w:rsid w:val="00D13177"/>
    <w:rsid w:val="00D203F4"/>
    <w:rsid w:val="00D26A9A"/>
    <w:rsid w:val="00D335FB"/>
    <w:rsid w:val="00D55E07"/>
    <w:rsid w:val="00D73014"/>
    <w:rsid w:val="00DB2911"/>
    <w:rsid w:val="00DE7963"/>
    <w:rsid w:val="00E209BA"/>
    <w:rsid w:val="00E7399B"/>
    <w:rsid w:val="00E769CD"/>
    <w:rsid w:val="00EC0B9F"/>
    <w:rsid w:val="00EE44F7"/>
    <w:rsid w:val="00F0362F"/>
    <w:rsid w:val="00F253DB"/>
    <w:rsid w:val="00F325E1"/>
    <w:rsid w:val="00F337B3"/>
    <w:rsid w:val="00F353F4"/>
    <w:rsid w:val="00F5744D"/>
    <w:rsid w:val="00F60FF5"/>
    <w:rsid w:val="00F7675A"/>
    <w:rsid w:val="00F84283"/>
    <w:rsid w:val="00FD3A1D"/>
    <w:rsid w:val="00FD7BC0"/>
    <w:rsid w:val="00FE37A2"/>
    <w:rsid w:val="00FF1BE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1CAEF8DC"/>
  <w15:chartTrackingRefBased/>
  <w15:docId w15:val="{B03BB278-64D2-D045-86E5-C7E02330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02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02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02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02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02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02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02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02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02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2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02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02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02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02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02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02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02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0203"/>
    <w:rPr>
      <w:rFonts w:eastAsiaTheme="majorEastAsia" w:cstheme="majorBidi"/>
      <w:color w:val="272727" w:themeColor="text1" w:themeTint="D8"/>
    </w:rPr>
  </w:style>
  <w:style w:type="paragraph" w:styleId="Title">
    <w:name w:val="Title"/>
    <w:basedOn w:val="Normal"/>
    <w:next w:val="Normal"/>
    <w:link w:val="TitleChar"/>
    <w:uiPriority w:val="10"/>
    <w:qFormat/>
    <w:rsid w:val="003D02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0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02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02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02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0203"/>
    <w:rPr>
      <w:i/>
      <w:iCs/>
      <w:color w:val="404040" w:themeColor="text1" w:themeTint="BF"/>
    </w:rPr>
  </w:style>
  <w:style w:type="paragraph" w:styleId="ListParagraph">
    <w:name w:val="List Paragraph"/>
    <w:basedOn w:val="Normal"/>
    <w:uiPriority w:val="34"/>
    <w:qFormat/>
    <w:rsid w:val="003D0203"/>
    <w:pPr>
      <w:ind w:left="720"/>
      <w:contextualSpacing/>
    </w:pPr>
  </w:style>
  <w:style w:type="character" w:styleId="IntenseEmphasis">
    <w:name w:val="Intense Emphasis"/>
    <w:basedOn w:val="DefaultParagraphFont"/>
    <w:uiPriority w:val="21"/>
    <w:qFormat/>
    <w:rsid w:val="003D0203"/>
    <w:rPr>
      <w:i/>
      <w:iCs/>
      <w:color w:val="0F4761" w:themeColor="accent1" w:themeShade="BF"/>
    </w:rPr>
  </w:style>
  <w:style w:type="paragraph" w:styleId="IntenseQuote">
    <w:name w:val="Intense Quote"/>
    <w:basedOn w:val="Normal"/>
    <w:next w:val="Normal"/>
    <w:link w:val="IntenseQuoteChar"/>
    <w:uiPriority w:val="30"/>
    <w:qFormat/>
    <w:rsid w:val="003D02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0203"/>
    <w:rPr>
      <w:i/>
      <w:iCs/>
      <w:color w:val="0F4761" w:themeColor="accent1" w:themeShade="BF"/>
    </w:rPr>
  </w:style>
  <w:style w:type="character" w:styleId="IntenseReference">
    <w:name w:val="Intense Reference"/>
    <w:basedOn w:val="DefaultParagraphFont"/>
    <w:uiPriority w:val="32"/>
    <w:qFormat/>
    <w:rsid w:val="003D0203"/>
    <w:rPr>
      <w:b/>
      <w:bCs/>
      <w:smallCaps/>
      <w:color w:val="0F4761" w:themeColor="accent1" w:themeShade="BF"/>
      <w:spacing w:val="5"/>
    </w:rPr>
  </w:style>
  <w:style w:type="paragraph" w:customStyle="1" w:styleId="Flietext">
    <w:name w:val="Fließtext"/>
    <w:rsid w:val="003D0203"/>
    <w:pPr>
      <w:widowControl w:val="0"/>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360" w:lineRule="auto"/>
      <w:jc w:val="both"/>
    </w:pPr>
    <w:rPr>
      <w:rFonts w:ascii="Times New Roman" w:eastAsia="Times New Roman" w:hAnsi="Times New Roman" w:cs="Times New Roman"/>
      <w:color w:val="000000"/>
      <w:kern w:val="0"/>
      <w:sz w:val="23"/>
      <w:szCs w:val="23"/>
      <w:u w:color="000000"/>
      <w:bdr w:val="nil"/>
      <w:lang w:val="de-DE" w:bidi="he-IL"/>
      <w14:ligatures w14:val="none"/>
    </w:rPr>
  </w:style>
  <w:style w:type="paragraph" w:customStyle="1" w:styleId="Anmerkung">
    <w:name w:val="Anmerkung"/>
    <w:rsid w:val="003D0203"/>
    <w:pPr>
      <w:widowControl w:val="0"/>
      <w:pBdr>
        <w:top w:val="nil"/>
        <w:left w:val="nil"/>
        <w:bottom w:val="nil"/>
        <w:right w:val="nil"/>
        <w:between w:val="nil"/>
        <w:bar w:val="nil"/>
      </w:pBdr>
      <w:tabs>
        <w:tab w:val="left" w:pos="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00"/>
      <w:jc w:val="both"/>
    </w:pPr>
    <w:rPr>
      <w:rFonts w:ascii="Times New Roman" w:eastAsia="Times New Roman" w:hAnsi="Times New Roman" w:cs="Times New Roman"/>
      <w:color w:val="000000"/>
      <w:kern w:val="0"/>
      <w:sz w:val="20"/>
      <w:szCs w:val="20"/>
      <w:u w:color="000000"/>
      <w:bdr w:val="nil"/>
      <w:lang w:bidi="he-IL"/>
      <w14:ligatures w14:val="none"/>
    </w:rPr>
  </w:style>
  <w:style w:type="paragraph" w:styleId="Footer">
    <w:name w:val="footer"/>
    <w:basedOn w:val="Normal"/>
    <w:link w:val="FooterChar"/>
    <w:uiPriority w:val="99"/>
    <w:unhideWhenUsed/>
    <w:rsid w:val="00572130"/>
    <w:pPr>
      <w:tabs>
        <w:tab w:val="center" w:pos="4680"/>
        <w:tab w:val="right" w:pos="9360"/>
      </w:tabs>
    </w:pPr>
  </w:style>
  <w:style w:type="character" w:customStyle="1" w:styleId="FooterChar">
    <w:name w:val="Footer Char"/>
    <w:basedOn w:val="DefaultParagraphFont"/>
    <w:link w:val="Footer"/>
    <w:uiPriority w:val="99"/>
    <w:rsid w:val="00572130"/>
  </w:style>
  <w:style w:type="character" w:styleId="PageNumber">
    <w:name w:val="page number"/>
    <w:basedOn w:val="DefaultParagraphFont"/>
    <w:uiPriority w:val="99"/>
    <w:semiHidden/>
    <w:unhideWhenUsed/>
    <w:rsid w:val="00572130"/>
  </w:style>
  <w:style w:type="paragraph" w:styleId="Header">
    <w:name w:val="header"/>
    <w:basedOn w:val="Normal"/>
    <w:link w:val="HeaderChar"/>
    <w:uiPriority w:val="99"/>
    <w:unhideWhenUsed/>
    <w:rsid w:val="00572130"/>
    <w:pPr>
      <w:tabs>
        <w:tab w:val="center" w:pos="4680"/>
        <w:tab w:val="right" w:pos="9360"/>
      </w:tabs>
    </w:pPr>
  </w:style>
  <w:style w:type="character" w:customStyle="1" w:styleId="HeaderChar">
    <w:name w:val="Header Char"/>
    <w:basedOn w:val="DefaultParagraphFont"/>
    <w:link w:val="Header"/>
    <w:uiPriority w:val="99"/>
    <w:rsid w:val="00572130"/>
  </w:style>
  <w:style w:type="numbering" w:customStyle="1" w:styleId="Alphabetisch">
    <w:name w:val="Alphabetisch"/>
    <w:rsid w:val="007A5D1D"/>
    <w:pPr>
      <w:numPr>
        <w:numId w:val="1"/>
      </w:numPr>
    </w:pPr>
  </w:style>
  <w:style w:type="paragraph" w:customStyle="1" w:styleId="Text">
    <w:name w:val="Text"/>
    <w:rsid w:val="007A5D1D"/>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de-DE" w:bidi="he-IL"/>
      <w14:textOutline w14:w="0" w14:cap="flat" w14:cmpd="sng" w14:algn="ctr">
        <w14:noFill/>
        <w14:prstDash w14:val="solid"/>
        <w14:bevel/>
      </w14:textOutline>
      <w14:ligatures w14:val="none"/>
    </w:rPr>
  </w:style>
  <w:style w:type="paragraph" w:customStyle="1" w:styleId="GriechischesProsazitat">
    <w:name w:val="Griechisches Prosazitat"/>
    <w:rsid w:val="007A5D1D"/>
    <w:pPr>
      <w:pBdr>
        <w:top w:val="nil"/>
        <w:left w:val="nil"/>
        <w:bottom w:val="nil"/>
        <w:right w:val="nil"/>
        <w:between w:val="nil"/>
        <w:bar w:val="nil"/>
      </w:pBdr>
      <w:suppressAutoHyphens/>
      <w:spacing w:before="160" w:after="200"/>
      <w:ind w:left="500" w:right="500"/>
      <w:jc w:val="both"/>
    </w:pPr>
    <w:rPr>
      <w:rFonts w:ascii="Times New Roman" w:eastAsia="Arial Unicode MS" w:hAnsi="Times New Roman" w:cs="Arial Unicode MS"/>
      <w:color w:val="000000"/>
      <w:kern w:val="0"/>
      <w:sz w:val="22"/>
      <w:szCs w:val="22"/>
      <w:u w:color="000000"/>
      <w:bdr w:val="nil"/>
      <w:lang w:val="de-DE" w:bidi="he-IL"/>
      <w14:ligatures w14:val="none"/>
    </w:rPr>
  </w:style>
  <w:style w:type="paragraph" w:customStyle="1" w:styleId="Standard">
    <w:name w:val="Standard"/>
    <w:rsid w:val="007A5D1D"/>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u w:color="000000"/>
      <w:bdr w:val="nil"/>
      <w:lang w:val="de-DE" w:bidi="he-IL"/>
      <w14:textOutline w14:w="12700" w14:cap="flat" w14:cmpd="sng" w14:algn="ctr">
        <w14:noFill/>
        <w14:prstDash w14:val="solid"/>
        <w14:miter w14:lim="400000"/>
      </w14:textOutline>
      <w14:ligatures w14:val="none"/>
    </w:rPr>
  </w:style>
  <w:style w:type="paragraph" w:customStyle="1" w:styleId="Funote">
    <w:name w:val="Fußnote"/>
    <w:rsid w:val="007A5D1D"/>
    <w:pPr>
      <w:pBdr>
        <w:top w:val="nil"/>
        <w:left w:val="nil"/>
        <w:bottom w:val="nil"/>
        <w:right w:val="nil"/>
        <w:between w:val="nil"/>
        <w:bar w:val="nil"/>
      </w:pBdr>
    </w:pPr>
    <w:rPr>
      <w:rFonts w:ascii="Helvetica Neue" w:eastAsia="Helvetica Neue" w:hAnsi="Helvetica Neue" w:cs="Helvetica Neue"/>
      <w:color w:val="000000"/>
      <w:kern w:val="0"/>
      <w:sz w:val="22"/>
      <w:szCs w:val="22"/>
      <w:u w:color="000000"/>
      <w:bdr w:val="nil"/>
      <w:lang w:bidi="he-IL"/>
      <w14:textOutline w14:w="12700" w14:cap="flat" w14:cmpd="sng" w14:algn="ctr">
        <w14:noFill/>
        <w14:prstDash w14:val="solid"/>
        <w14:miter w14:lim="400000"/>
      </w14:textOutline>
      <w14:ligatures w14:val="none"/>
    </w:rPr>
  </w:style>
  <w:style w:type="numbering" w:customStyle="1" w:styleId="Nummeriert">
    <w:name w:val="Nummeriert"/>
    <w:rsid w:val="007A5D1D"/>
    <w:pPr>
      <w:numPr>
        <w:numId w:val="3"/>
      </w:numPr>
    </w:pPr>
  </w:style>
  <w:style w:type="numbering" w:customStyle="1" w:styleId="Punkte">
    <w:name w:val="Punkte"/>
    <w:rsid w:val="007A5D1D"/>
    <w:pPr>
      <w:numPr>
        <w:numId w:val="5"/>
      </w:numPr>
    </w:pPr>
  </w:style>
  <w:style w:type="character" w:customStyle="1" w:styleId="Hyperlink0">
    <w:name w:val="Hyperlink.0"/>
    <w:basedOn w:val="Hyperlink"/>
    <w:rsid w:val="007A5D1D"/>
    <w:rPr>
      <w:outline w:val="0"/>
      <w:color w:val="0000FF"/>
      <w:u w:val="single" w:color="0000FF"/>
    </w:rPr>
  </w:style>
  <w:style w:type="character" w:customStyle="1" w:styleId="Ohne">
    <w:name w:val="Ohne"/>
    <w:rsid w:val="007A5D1D"/>
  </w:style>
  <w:style w:type="character" w:customStyle="1" w:styleId="Hyperlink1">
    <w:name w:val="Hyperlink.1"/>
    <w:basedOn w:val="Ohne"/>
    <w:rsid w:val="007A5D1D"/>
    <w:rPr>
      <w:outline w:val="0"/>
      <w:color w:val="0000EE"/>
      <w:u w:val="single"/>
    </w:rPr>
  </w:style>
  <w:style w:type="character" w:styleId="Hyperlink">
    <w:name w:val="Hyperlink"/>
    <w:basedOn w:val="DefaultParagraphFont"/>
    <w:uiPriority w:val="99"/>
    <w:semiHidden/>
    <w:unhideWhenUsed/>
    <w:rsid w:val="007A5D1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0174X.2022.2124542" TargetMode="External"/><Relationship Id="rId3" Type="http://schemas.openxmlformats.org/officeDocument/2006/relationships/settings" Target="settings.xml"/><Relationship Id="rId7" Type="http://schemas.openxmlformats.org/officeDocument/2006/relationships/hyperlink" Target="https://doi.org/10.5817/pf20-3-20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10395</Words>
  <Characters>59255</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Ottman, Jennifer</dc:creator>
  <cp:keywords/>
  <dc:description/>
  <cp:lastModifiedBy>Ottman, Jennifer</cp:lastModifiedBy>
  <cp:revision>2</cp:revision>
  <cp:lastPrinted>2024-06-09T00:08:00Z</cp:lastPrinted>
  <dcterms:created xsi:type="dcterms:W3CDTF">2024-06-09T04:30:00Z</dcterms:created>
  <dcterms:modified xsi:type="dcterms:W3CDTF">2024-06-09T04:30:00Z</dcterms:modified>
</cp:coreProperties>
</file>