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9AF0" w14:textId="1D501777" w:rsidR="00AB311F" w:rsidRPr="004573EA" w:rsidRDefault="004573EA" w:rsidP="004573EA">
      <w:pPr>
        <w:spacing w:line="360" w:lineRule="auto"/>
        <w:jc w:val="center"/>
        <w:rPr>
          <w:b/>
          <w:bCs/>
        </w:rPr>
      </w:pPr>
      <w:r w:rsidRPr="004573EA">
        <w:rPr>
          <w:b/>
          <w:bCs/>
        </w:rPr>
        <w:t>Position Paper</w:t>
      </w:r>
    </w:p>
    <w:p w14:paraId="24A0F4CB" w14:textId="3E403805" w:rsidR="004573EA" w:rsidRPr="004573EA" w:rsidRDefault="004573EA" w:rsidP="004573EA">
      <w:pPr>
        <w:spacing w:line="360" w:lineRule="auto"/>
        <w:jc w:val="center"/>
        <w:rPr>
          <w:b/>
          <w:bCs/>
        </w:rPr>
      </w:pPr>
      <w:r w:rsidRPr="004573EA">
        <w:rPr>
          <w:b/>
          <w:bCs/>
        </w:rPr>
        <w:t>Teaching Cultural Sensitivity to Student</w:t>
      </w:r>
      <w:r w:rsidR="00E75F22">
        <w:rPr>
          <w:b/>
          <w:bCs/>
        </w:rPr>
        <w:t>s</w:t>
      </w:r>
      <w:r w:rsidRPr="004573EA">
        <w:rPr>
          <w:b/>
          <w:bCs/>
        </w:rPr>
        <w:t xml:space="preserve"> of the Helping Professions</w:t>
      </w:r>
    </w:p>
    <w:p w14:paraId="527DA66C" w14:textId="282F8060" w:rsidR="004573EA" w:rsidRPr="004573EA" w:rsidRDefault="004573EA" w:rsidP="004573EA">
      <w:pPr>
        <w:spacing w:line="360" w:lineRule="auto"/>
        <w:jc w:val="center"/>
        <w:rPr>
          <w:b/>
          <w:bCs/>
        </w:rPr>
      </w:pPr>
      <w:proofErr w:type="spellStart"/>
      <w:r w:rsidRPr="004573EA">
        <w:rPr>
          <w:b/>
          <w:bCs/>
        </w:rPr>
        <w:t>Gitit</w:t>
      </w:r>
      <w:proofErr w:type="spellEnd"/>
      <w:r w:rsidRPr="004573EA">
        <w:rPr>
          <w:b/>
          <w:bCs/>
        </w:rPr>
        <w:t xml:space="preserve"> </w:t>
      </w:r>
      <w:proofErr w:type="spellStart"/>
      <w:r w:rsidRPr="004573EA">
        <w:rPr>
          <w:b/>
          <w:bCs/>
        </w:rPr>
        <w:t>Broid</w:t>
      </w:r>
      <w:proofErr w:type="spellEnd"/>
      <w:r w:rsidRPr="004573EA">
        <w:rPr>
          <w:b/>
          <w:bCs/>
        </w:rPr>
        <w:t>, MSW</w:t>
      </w:r>
    </w:p>
    <w:p w14:paraId="415C9E5E" w14:textId="6A1A0A36" w:rsidR="004573EA" w:rsidRDefault="004573EA" w:rsidP="004573EA">
      <w:pPr>
        <w:spacing w:line="360" w:lineRule="auto"/>
        <w:jc w:val="center"/>
        <w:rPr>
          <w:b/>
          <w:bCs/>
        </w:rPr>
      </w:pPr>
      <w:r w:rsidRPr="004573EA">
        <w:rPr>
          <w:b/>
          <w:bCs/>
        </w:rPr>
        <w:t>Ben-Gurion University of the Negev</w:t>
      </w:r>
    </w:p>
    <w:p w14:paraId="0406B94D" w14:textId="10FF5FDF" w:rsidR="004573EA" w:rsidRDefault="004573EA" w:rsidP="004573EA">
      <w:pPr>
        <w:spacing w:line="360" w:lineRule="auto"/>
        <w:jc w:val="center"/>
        <w:rPr>
          <w:b/>
          <w:bCs/>
        </w:rPr>
      </w:pPr>
    </w:p>
    <w:p w14:paraId="300D9786" w14:textId="403B57B4" w:rsidR="004573EA" w:rsidRDefault="004573EA" w:rsidP="004573EA">
      <w:pPr>
        <w:spacing w:line="360" w:lineRule="auto"/>
        <w:rPr>
          <w:b/>
          <w:bCs/>
        </w:rPr>
      </w:pPr>
      <w:r>
        <w:rPr>
          <w:b/>
          <w:bCs/>
        </w:rPr>
        <w:t>Executive Summary</w:t>
      </w:r>
    </w:p>
    <w:p w14:paraId="3FA07C77" w14:textId="21DA74BC" w:rsidR="004573EA" w:rsidRDefault="004573EA" w:rsidP="004573EA">
      <w:pPr>
        <w:spacing w:line="360" w:lineRule="auto"/>
      </w:pPr>
      <w:r>
        <w:t xml:space="preserve">The present position paper deals with the development of cultural sensitivity and cultural </w:t>
      </w:r>
      <w:r w:rsidR="00FA098E">
        <w:t>competence to students of helping professions.</w:t>
      </w:r>
    </w:p>
    <w:p w14:paraId="0697CA89" w14:textId="0841A6D7" w:rsidR="00FA098E" w:rsidRDefault="00FA098E" w:rsidP="004573EA">
      <w:pPr>
        <w:spacing w:line="360" w:lineRule="auto"/>
      </w:pPr>
    </w:p>
    <w:p w14:paraId="26FF2370" w14:textId="77777777" w:rsidR="0082034D" w:rsidRDefault="00FA098E" w:rsidP="004D7C07">
      <w:pPr>
        <w:spacing w:line="360" w:lineRule="auto"/>
      </w:pPr>
      <w:r>
        <w:t xml:space="preserve">Currently, the most common term for describing the cultural sensitivity </w:t>
      </w:r>
      <w:r w:rsidR="004D7C07">
        <w:t xml:space="preserve">required amongst caregivers and service providers in the helping professions is “cultural competence.” This term </w:t>
      </w:r>
      <w:r w:rsidR="004A107F">
        <w:t xml:space="preserve">intersects with similar parallel terms, such as cultural sensitivity, cultural empathy, cultural awareness, cultural humility, etc., which carry a </w:t>
      </w:r>
      <w:r w:rsidR="004A107F" w:rsidRPr="00E75F22">
        <w:t xml:space="preserve">similar </w:t>
      </w:r>
      <w:r w:rsidR="0082034D" w:rsidRPr="00E75F22">
        <w:t xml:space="preserve">world of </w:t>
      </w:r>
      <w:r w:rsidR="004A107F" w:rsidRPr="00E75F22">
        <w:t>content and significance</w:t>
      </w:r>
      <w:r w:rsidR="0082034D">
        <w:t xml:space="preserve"> (Whale &amp; Davis, 2007).</w:t>
      </w:r>
    </w:p>
    <w:p w14:paraId="6E717762" w14:textId="77777777" w:rsidR="0082034D" w:rsidRDefault="0082034D" w:rsidP="004D7C07">
      <w:pPr>
        <w:spacing w:line="360" w:lineRule="auto"/>
      </w:pPr>
    </w:p>
    <w:p w14:paraId="2891B9EA" w14:textId="1D4825E9" w:rsidR="00356FD8" w:rsidRDefault="0082034D" w:rsidP="004D7C07">
      <w:pPr>
        <w:spacing w:line="360" w:lineRule="auto"/>
      </w:pPr>
      <w:r>
        <w:t>The term “cultural competence” was coined by the American National Association of Social Workers (NASW) as a “process in which individuals and systems react respectfully and effectively to people of all cultures, languages, social classes, races, ethnic backgrounds, religions</w:t>
      </w:r>
      <w:r w:rsidR="00356FD8">
        <w:t xml:space="preserve">, spiritual traditions, immigration status, and other elements of diversity, in a manner that recognizes, validates, and </w:t>
      </w:r>
      <w:r w:rsidR="00E75F22">
        <w:t>appreciates</w:t>
      </w:r>
      <w:r w:rsidR="00356FD8">
        <w:t xml:space="preserve"> the value of individuals, families, and communities, </w:t>
      </w:r>
      <w:r w:rsidR="00E75F22">
        <w:t xml:space="preserve">and </w:t>
      </w:r>
      <w:r w:rsidR="00356FD8">
        <w:t xml:space="preserve">protects and maintains </w:t>
      </w:r>
      <w:r w:rsidR="00A013F8">
        <w:t>their</w:t>
      </w:r>
      <w:r w:rsidR="00356FD8">
        <w:t xml:space="preserve"> dignity” (NASW, 2015, p. 13).</w:t>
      </w:r>
    </w:p>
    <w:p w14:paraId="40A2B201" w14:textId="3C93ABED" w:rsidR="00356FD8" w:rsidRDefault="00356FD8" w:rsidP="004D7C07">
      <w:pPr>
        <w:spacing w:line="360" w:lineRule="auto"/>
      </w:pPr>
    </w:p>
    <w:p w14:paraId="08377B97" w14:textId="39F5963A" w:rsidR="00356FD8" w:rsidRDefault="00356FD8" w:rsidP="004D7C07">
      <w:pPr>
        <w:spacing w:line="360" w:lineRule="auto"/>
        <w:rPr>
          <w:rFonts w:asciiTheme="majorBidi" w:hAnsiTheme="majorBidi"/>
        </w:rPr>
      </w:pPr>
      <w:r>
        <w:t xml:space="preserve">Cultural and ethnic boundaries are </w:t>
      </w:r>
      <w:r w:rsidR="00A013F8">
        <w:t>rapidly</w:t>
      </w:r>
      <w:r w:rsidR="001A4796">
        <w:t xml:space="preserve"> disappearing from the </w:t>
      </w:r>
      <w:r w:rsidR="00A013F8">
        <w:t>world</w:t>
      </w:r>
      <w:r w:rsidR="001A4796">
        <w:t xml:space="preserve">, and </w:t>
      </w:r>
      <w:r w:rsidR="00A013F8">
        <w:t xml:space="preserve">this </w:t>
      </w:r>
      <w:r w:rsidR="001A4796">
        <w:t>create</w:t>
      </w:r>
      <w:r w:rsidR="00A013F8">
        <w:t>s</w:t>
      </w:r>
      <w:r w:rsidR="001A4796">
        <w:t xml:space="preserve"> a natural need for life </w:t>
      </w:r>
      <w:r w:rsidR="00A013F8">
        <w:t xml:space="preserve">education </w:t>
      </w:r>
      <w:r w:rsidR="001A4796">
        <w:t>and functionality</w:t>
      </w:r>
      <w:r w:rsidR="00F65DE8">
        <w:t>,</w:t>
      </w:r>
      <w:r w:rsidR="001A4796">
        <w:t xml:space="preserve"> as well as </w:t>
      </w:r>
      <w:r w:rsidR="00F65DE8">
        <w:t xml:space="preserve">for </w:t>
      </w:r>
      <w:r w:rsidR="001A4796">
        <w:t>cultural sensitivity</w:t>
      </w:r>
      <w:r w:rsidR="00F65DE8">
        <w:t>,</w:t>
      </w:r>
      <w:r w:rsidR="001A4796">
        <w:t xml:space="preserve"> </w:t>
      </w:r>
      <w:r w:rsidR="00F65DE8">
        <w:t xml:space="preserve">in a multicultural society </w:t>
      </w:r>
      <w:r w:rsidR="001A4796">
        <w:t>(</w:t>
      </w:r>
      <w:r w:rsidR="001A4796" w:rsidRPr="001A4796">
        <w:rPr>
          <w:rFonts w:asciiTheme="majorBidi" w:hAnsiTheme="majorBidi"/>
          <w:shd w:val="clear" w:color="auto" w:fill="FFFFFF"/>
        </w:rPr>
        <w:t>Alvarez</w:t>
      </w:r>
      <w:r w:rsidR="001A4796" w:rsidRPr="001A4796">
        <w:rPr>
          <w:rFonts w:asciiTheme="majorBidi" w:hAnsiTheme="majorBidi"/>
        </w:rPr>
        <w:t xml:space="preserve"> &amp; </w:t>
      </w:r>
      <w:r w:rsidR="001A4796" w:rsidRPr="007E5CDD">
        <w:rPr>
          <w:rFonts w:asciiTheme="majorBidi" w:hAnsiTheme="majorBidi"/>
        </w:rPr>
        <w:t>Domenech Rodríguez</w:t>
      </w:r>
      <w:r w:rsidR="001A4796">
        <w:rPr>
          <w:rFonts w:asciiTheme="majorBidi" w:hAnsiTheme="majorBidi"/>
        </w:rPr>
        <w:t>, 2020</w:t>
      </w:r>
      <w:r w:rsidR="001A4796">
        <w:rPr>
          <w:rFonts w:ascii="David" w:hAnsi="David" w:cs="David"/>
        </w:rPr>
        <w:t xml:space="preserve">; </w:t>
      </w:r>
      <w:r w:rsidR="001A4796" w:rsidRPr="001A4796">
        <w:rPr>
          <w:rFonts w:asciiTheme="majorBidi" w:hAnsiTheme="majorBidi"/>
        </w:rPr>
        <w:t>Mirsky, 2013</w:t>
      </w:r>
      <w:r w:rsidR="001A4796">
        <w:rPr>
          <w:rFonts w:asciiTheme="majorBidi" w:hAnsiTheme="majorBidi"/>
        </w:rPr>
        <w:t>). Healthcare, welfare, and education servic</w:t>
      </w:r>
      <w:r w:rsidR="00853E8A">
        <w:rPr>
          <w:rFonts w:asciiTheme="majorBidi" w:hAnsiTheme="majorBidi"/>
        </w:rPr>
        <w:t>es, and the helping professions, which provide service to divers</w:t>
      </w:r>
      <w:r w:rsidR="00F65DE8">
        <w:rPr>
          <w:rFonts w:asciiTheme="majorBidi" w:hAnsiTheme="majorBidi"/>
        </w:rPr>
        <w:t>e</w:t>
      </w:r>
      <w:r w:rsidR="00853E8A">
        <w:rPr>
          <w:rFonts w:asciiTheme="majorBidi" w:hAnsiTheme="majorBidi"/>
        </w:rPr>
        <w:t xml:space="preserve"> groups </w:t>
      </w:r>
      <w:r w:rsidR="00F65DE8">
        <w:rPr>
          <w:rFonts w:asciiTheme="majorBidi" w:hAnsiTheme="majorBidi"/>
        </w:rPr>
        <w:t>need</w:t>
      </w:r>
      <w:r w:rsidR="00853E8A">
        <w:rPr>
          <w:rFonts w:asciiTheme="majorBidi" w:hAnsiTheme="majorBidi"/>
        </w:rPr>
        <w:t xml:space="preserve"> to adapt employee training to facilitate an effectual response to multicultural needs. The need arises</w:t>
      </w:r>
      <w:r w:rsidR="00A54DD5">
        <w:rPr>
          <w:rFonts w:asciiTheme="majorBidi" w:hAnsiTheme="majorBidi"/>
        </w:rPr>
        <w:t xml:space="preserve"> for organized training and education for cultural sensitivity </w:t>
      </w:r>
      <w:r w:rsidR="00F65DE8">
        <w:rPr>
          <w:rFonts w:asciiTheme="majorBidi" w:hAnsiTheme="majorBidi"/>
        </w:rPr>
        <w:t>during the acquisition of</w:t>
      </w:r>
      <w:r w:rsidR="00A54DD5">
        <w:rPr>
          <w:rFonts w:asciiTheme="majorBidi" w:hAnsiTheme="majorBidi"/>
        </w:rPr>
        <w:t xml:space="preserve"> professional education in institutions of higher education</w:t>
      </w:r>
      <w:r w:rsidR="00F65DE8">
        <w:rPr>
          <w:rFonts w:asciiTheme="majorBidi" w:hAnsiTheme="majorBidi"/>
        </w:rPr>
        <w:t>. These frameworks</w:t>
      </w:r>
      <w:r w:rsidR="00A54DD5">
        <w:rPr>
          <w:rFonts w:asciiTheme="majorBidi" w:hAnsiTheme="majorBidi"/>
        </w:rPr>
        <w:t xml:space="preserve"> are meant to instill in students of the helping professions knowledge and skills for working in a multicultural environment, and awareness of the complexity </w:t>
      </w:r>
      <w:r w:rsidR="004F2E49">
        <w:rPr>
          <w:rFonts w:asciiTheme="majorBidi" w:hAnsiTheme="majorBidi"/>
        </w:rPr>
        <w:t>characteristic of this environment.</w:t>
      </w:r>
    </w:p>
    <w:p w14:paraId="0E22C716" w14:textId="32E348DC" w:rsidR="00356FD8" w:rsidRDefault="004F2E49" w:rsidP="004F2E49">
      <w:pPr>
        <w:spacing w:line="360" w:lineRule="auto"/>
        <w:rPr>
          <w:rFonts w:asciiTheme="majorBidi" w:hAnsiTheme="majorBidi"/>
        </w:rPr>
      </w:pPr>
      <w:r>
        <w:rPr>
          <w:rFonts w:asciiTheme="majorBidi" w:hAnsiTheme="majorBidi"/>
        </w:rPr>
        <w:lastRenderedPageBreak/>
        <w:t xml:space="preserve">There are those who call upon </w:t>
      </w:r>
      <w:r w:rsidR="006C5F6C">
        <w:rPr>
          <w:rFonts w:asciiTheme="majorBidi" w:hAnsiTheme="majorBidi"/>
        </w:rPr>
        <w:t xml:space="preserve">all </w:t>
      </w:r>
      <w:r>
        <w:rPr>
          <w:rFonts w:asciiTheme="majorBidi" w:hAnsiTheme="majorBidi"/>
        </w:rPr>
        <w:t>institutions of higher education</w:t>
      </w:r>
      <w:r w:rsidR="006C5F6C">
        <w:rPr>
          <w:rFonts w:asciiTheme="majorBidi" w:hAnsiTheme="majorBidi"/>
        </w:rPr>
        <w:t xml:space="preserve">, </w:t>
      </w:r>
      <w:r>
        <w:rPr>
          <w:rFonts w:asciiTheme="majorBidi" w:hAnsiTheme="majorBidi"/>
        </w:rPr>
        <w:t xml:space="preserve">in half of which broad multicultural encounters currently exist, to adapt themselves to the </w:t>
      </w:r>
      <w:r w:rsidR="0079219B">
        <w:rPr>
          <w:rFonts w:asciiTheme="majorBidi" w:hAnsiTheme="majorBidi"/>
        </w:rPr>
        <w:t xml:space="preserve">spirit of the times and social changes, and add to their curriculum multicultural education and </w:t>
      </w:r>
      <w:commentRangeStart w:id="0"/>
      <w:r w:rsidR="006C5F6C">
        <w:rPr>
          <w:rFonts w:asciiTheme="majorBidi" w:hAnsiTheme="majorBidi"/>
        </w:rPr>
        <w:t xml:space="preserve">practical training </w:t>
      </w:r>
      <w:commentRangeEnd w:id="0"/>
      <w:r w:rsidR="006C5F6C">
        <w:rPr>
          <w:rStyle w:val="CommentReference"/>
        </w:rPr>
        <w:commentReference w:id="0"/>
      </w:r>
      <w:r w:rsidR="0079219B">
        <w:rPr>
          <w:rFonts w:asciiTheme="majorBidi" w:hAnsiTheme="majorBidi"/>
        </w:rPr>
        <w:t>in cultural and ethnic tolerance (Blunt, 2007; Deakins, 2009)</w:t>
      </w:r>
      <w:r w:rsidR="006C5F6C">
        <w:rPr>
          <w:rFonts w:asciiTheme="majorBidi" w:hAnsiTheme="majorBidi"/>
        </w:rPr>
        <w:t>, a</w:t>
      </w:r>
      <w:r w:rsidR="0079219B">
        <w:rPr>
          <w:rFonts w:asciiTheme="majorBidi" w:hAnsiTheme="majorBidi"/>
        </w:rPr>
        <w:t xml:space="preserve">ll the more so </w:t>
      </w:r>
      <w:r w:rsidR="003D6F5D">
        <w:rPr>
          <w:rFonts w:asciiTheme="majorBidi" w:hAnsiTheme="majorBidi"/>
        </w:rPr>
        <w:t xml:space="preserve">in academic institutions for helping professions: social work, psychology, and education and health professions, which are faced with the challenge of training service providers with a multicultural approach (Blunt, 2007; Otten, 2003; Furlong &amp; Wright, 2011; </w:t>
      </w:r>
      <w:proofErr w:type="spellStart"/>
      <w:r w:rsidR="003D6F5D">
        <w:rPr>
          <w:rFonts w:asciiTheme="majorBidi" w:hAnsiTheme="majorBidi"/>
        </w:rPr>
        <w:t>Kratzhe</w:t>
      </w:r>
      <w:proofErr w:type="spellEnd"/>
      <w:r w:rsidR="003D6F5D">
        <w:rPr>
          <w:rFonts w:asciiTheme="majorBidi" w:hAnsiTheme="majorBidi"/>
        </w:rPr>
        <w:t xml:space="preserve"> &amp; Bertolo, 2013; </w:t>
      </w:r>
      <w:proofErr w:type="spellStart"/>
      <w:r w:rsidR="003D6F5D">
        <w:rPr>
          <w:rFonts w:asciiTheme="majorBidi" w:hAnsiTheme="majorBidi"/>
        </w:rPr>
        <w:t>Seeleman</w:t>
      </w:r>
      <w:proofErr w:type="spellEnd"/>
      <w:r w:rsidR="003D6F5D">
        <w:rPr>
          <w:rFonts w:asciiTheme="majorBidi" w:hAnsiTheme="majorBidi"/>
        </w:rPr>
        <w:t xml:space="preserve"> et al.</w:t>
      </w:r>
      <w:r w:rsidR="00A35353">
        <w:rPr>
          <w:rFonts w:asciiTheme="majorBidi" w:hAnsiTheme="majorBidi"/>
        </w:rPr>
        <w:t>, 2009’ Leask &amp; Carroll, 2011).</w:t>
      </w:r>
    </w:p>
    <w:p w14:paraId="1E476825" w14:textId="3473129B" w:rsidR="002649E1" w:rsidRDefault="002649E1" w:rsidP="004F2E49">
      <w:pPr>
        <w:spacing w:line="360" w:lineRule="auto"/>
        <w:rPr>
          <w:rFonts w:asciiTheme="majorBidi" w:hAnsiTheme="majorBidi"/>
        </w:rPr>
      </w:pPr>
    </w:p>
    <w:p w14:paraId="3D9DA2DE" w14:textId="25BEE7AE" w:rsidR="002649E1" w:rsidRDefault="002649E1" w:rsidP="004F2E49">
      <w:pPr>
        <w:spacing w:line="360" w:lineRule="auto"/>
        <w:rPr>
          <w:rFonts w:asciiTheme="majorBidi" w:hAnsiTheme="majorBidi"/>
        </w:rPr>
      </w:pPr>
      <w:r>
        <w:rPr>
          <w:rFonts w:asciiTheme="majorBidi" w:hAnsiTheme="majorBidi"/>
        </w:rPr>
        <w:t xml:space="preserve">A study </w:t>
      </w:r>
      <w:r w:rsidRPr="000514D7">
        <w:rPr>
          <w:rFonts w:asciiTheme="majorBidi" w:hAnsiTheme="majorBidi"/>
        </w:rPr>
        <w:t>conducted in schools of education indica</w:t>
      </w:r>
      <w:r>
        <w:rPr>
          <w:rFonts w:asciiTheme="majorBidi" w:hAnsiTheme="majorBidi"/>
        </w:rPr>
        <w:t xml:space="preserve">ted that multicultural encounters in these institutions amongst students of education and teaching may contribute to the </w:t>
      </w:r>
      <w:r w:rsidR="000514D7">
        <w:rPr>
          <w:rFonts w:asciiTheme="majorBidi" w:hAnsiTheme="majorBidi"/>
        </w:rPr>
        <w:t>development of</w:t>
      </w:r>
      <w:r>
        <w:rPr>
          <w:rFonts w:asciiTheme="majorBidi" w:hAnsiTheme="majorBidi"/>
        </w:rPr>
        <w:t xml:space="preserve"> </w:t>
      </w:r>
      <w:r w:rsidR="00E71D9C">
        <w:rPr>
          <w:rFonts w:asciiTheme="majorBidi" w:hAnsiTheme="majorBidi"/>
        </w:rPr>
        <w:t>“intercultural capability,” which means a long term change in the level of knowledge</w:t>
      </w:r>
      <w:r w:rsidR="000514D7">
        <w:rPr>
          <w:rFonts w:asciiTheme="majorBidi" w:hAnsiTheme="majorBidi"/>
        </w:rPr>
        <w:t xml:space="preserve"> of</w:t>
      </w:r>
      <w:r w:rsidR="00E71D9C">
        <w:rPr>
          <w:rFonts w:asciiTheme="majorBidi" w:hAnsiTheme="majorBidi"/>
        </w:rPr>
        <w:t xml:space="preserve">, </w:t>
      </w:r>
      <w:r w:rsidR="000514D7">
        <w:rPr>
          <w:rFonts w:asciiTheme="majorBidi" w:hAnsiTheme="majorBidi"/>
        </w:rPr>
        <w:t>and attitudes</w:t>
      </w:r>
      <w:r w:rsidR="00E71D9C">
        <w:rPr>
          <w:rFonts w:asciiTheme="majorBidi" w:hAnsiTheme="majorBidi"/>
        </w:rPr>
        <w:t>, and behavior toward “others.” These interactions should be reflected in personal and social experiences with individuals from other cult</w:t>
      </w:r>
      <w:r w:rsidR="000514D7">
        <w:rPr>
          <w:rFonts w:asciiTheme="majorBidi" w:hAnsiTheme="majorBidi"/>
        </w:rPr>
        <w:t>u</w:t>
      </w:r>
      <w:r w:rsidR="00E71D9C">
        <w:rPr>
          <w:rFonts w:asciiTheme="majorBidi" w:hAnsiTheme="majorBidi"/>
        </w:rPr>
        <w:t xml:space="preserve">res and include aspects of critical and reflective learning </w:t>
      </w:r>
      <w:r w:rsidR="000514D7">
        <w:rPr>
          <w:rFonts w:asciiTheme="majorBidi" w:hAnsiTheme="majorBidi"/>
        </w:rPr>
        <w:t>about</w:t>
      </w:r>
      <w:r w:rsidR="00E71D9C">
        <w:rPr>
          <w:rFonts w:asciiTheme="majorBidi" w:hAnsiTheme="majorBidi"/>
        </w:rPr>
        <w:t xml:space="preserve"> the relevant social reality (Otten, 2003).</w:t>
      </w:r>
    </w:p>
    <w:p w14:paraId="51DE8031" w14:textId="5FE8ADAB" w:rsidR="00E71D9C" w:rsidRDefault="00E71D9C" w:rsidP="004F2E49">
      <w:pPr>
        <w:spacing w:line="360" w:lineRule="auto"/>
        <w:rPr>
          <w:rFonts w:asciiTheme="majorBidi" w:hAnsiTheme="majorBidi"/>
        </w:rPr>
      </w:pPr>
    </w:p>
    <w:p w14:paraId="7C5B591A" w14:textId="764F9D6C" w:rsidR="00E71D9C" w:rsidRPr="004F4EA9" w:rsidRDefault="00E71D9C" w:rsidP="004F2E49">
      <w:pPr>
        <w:spacing w:line="360" w:lineRule="auto"/>
        <w:rPr>
          <w:rFonts w:asciiTheme="majorBidi" w:hAnsiTheme="majorBidi"/>
          <w:u w:val="single"/>
        </w:rPr>
      </w:pPr>
      <w:r w:rsidRPr="004F4EA9">
        <w:rPr>
          <w:rFonts w:asciiTheme="majorBidi" w:hAnsiTheme="majorBidi"/>
          <w:u w:val="single"/>
        </w:rPr>
        <w:t>Sample Course</w:t>
      </w:r>
    </w:p>
    <w:p w14:paraId="67572F85" w14:textId="546EE741" w:rsidR="00E71D9C" w:rsidRDefault="00E71D9C" w:rsidP="004F2E49">
      <w:pPr>
        <w:spacing w:line="360" w:lineRule="auto"/>
        <w:rPr>
          <w:rFonts w:asciiTheme="majorBidi" w:hAnsiTheme="majorBidi"/>
        </w:rPr>
      </w:pPr>
      <w:r>
        <w:rPr>
          <w:rFonts w:asciiTheme="majorBidi" w:hAnsiTheme="majorBidi"/>
        </w:rPr>
        <w:t xml:space="preserve">As an example </w:t>
      </w:r>
      <w:r w:rsidR="00EE0DE0">
        <w:rPr>
          <w:rFonts w:asciiTheme="majorBidi" w:hAnsiTheme="majorBidi"/>
        </w:rPr>
        <w:t>for</w:t>
      </w:r>
      <w:r>
        <w:rPr>
          <w:rFonts w:asciiTheme="majorBidi" w:hAnsiTheme="majorBidi"/>
        </w:rPr>
        <w:t xml:space="preserve"> </w:t>
      </w:r>
      <w:r w:rsidR="00EE0DE0">
        <w:rPr>
          <w:rFonts w:asciiTheme="majorBidi" w:hAnsiTheme="majorBidi"/>
        </w:rPr>
        <w:t xml:space="preserve">teaching social sensitivity, we present the course “Cultural </w:t>
      </w:r>
      <w:r w:rsidR="000514D7">
        <w:rPr>
          <w:rFonts w:asciiTheme="majorBidi" w:hAnsiTheme="majorBidi"/>
        </w:rPr>
        <w:t>S</w:t>
      </w:r>
      <w:r w:rsidR="00EE0DE0">
        <w:rPr>
          <w:rFonts w:asciiTheme="majorBidi" w:hAnsiTheme="majorBidi"/>
        </w:rPr>
        <w:t xml:space="preserve">ensitivity and </w:t>
      </w:r>
      <w:r w:rsidR="000514D7">
        <w:rPr>
          <w:rFonts w:asciiTheme="majorBidi" w:hAnsiTheme="majorBidi"/>
        </w:rPr>
        <w:t>C</w:t>
      </w:r>
      <w:r w:rsidR="00EE0DE0">
        <w:rPr>
          <w:rFonts w:asciiTheme="majorBidi" w:hAnsiTheme="majorBidi"/>
        </w:rPr>
        <w:t>ontext</w:t>
      </w:r>
      <w:r w:rsidR="003A3C21">
        <w:rPr>
          <w:rFonts w:asciiTheme="majorBidi" w:hAnsiTheme="majorBidi"/>
        </w:rPr>
        <w:t>-</w:t>
      </w:r>
      <w:r w:rsidR="000514D7">
        <w:rPr>
          <w:rFonts w:asciiTheme="majorBidi" w:hAnsiTheme="majorBidi"/>
        </w:rPr>
        <w:t>A</w:t>
      </w:r>
      <w:r w:rsidR="00EE0DE0">
        <w:rPr>
          <w:rFonts w:asciiTheme="majorBidi" w:hAnsiTheme="majorBidi"/>
        </w:rPr>
        <w:t>ware</w:t>
      </w:r>
      <w:r w:rsidR="003A3C21">
        <w:rPr>
          <w:rFonts w:asciiTheme="majorBidi" w:hAnsiTheme="majorBidi"/>
        </w:rPr>
        <w:t xml:space="preserve"> Treatment</w:t>
      </w:r>
      <w:r w:rsidR="00EE0DE0">
        <w:rPr>
          <w:rFonts w:asciiTheme="majorBidi" w:hAnsiTheme="majorBidi"/>
        </w:rPr>
        <w:t xml:space="preserve"> in </w:t>
      </w:r>
      <w:r w:rsidR="000514D7">
        <w:rPr>
          <w:rFonts w:asciiTheme="majorBidi" w:hAnsiTheme="majorBidi"/>
        </w:rPr>
        <w:t>S</w:t>
      </w:r>
      <w:r w:rsidR="00EE0DE0">
        <w:rPr>
          <w:rFonts w:asciiTheme="majorBidi" w:hAnsiTheme="majorBidi"/>
        </w:rPr>
        <w:t xml:space="preserve">ocial </w:t>
      </w:r>
      <w:r w:rsidR="000514D7">
        <w:rPr>
          <w:rFonts w:asciiTheme="majorBidi" w:hAnsiTheme="majorBidi"/>
        </w:rPr>
        <w:t>W</w:t>
      </w:r>
      <w:r w:rsidR="00EE0DE0">
        <w:rPr>
          <w:rFonts w:asciiTheme="majorBidi" w:hAnsiTheme="majorBidi"/>
        </w:rPr>
        <w:t>ork” taught at Ben-Gurion University</w:t>
      </w:r>
      <w:r w:rsidR="000514D7">
        <w:rPr>
          <w:rFonts w:asciiTheme="majorBidi" w:hAnsiTheme="majorBidi"/>
        </w:rPr>
        <w:t>. This course</w:t>
      </w:r>
      <w:r w:rsidR="003A3C21">
        <w:rPr>
          <w:rFonts w:asciiTheme="majorBidi" w:hAnsiTheme="majorBidi"/>
        </w:rPr>
        <w:t>,</w:t>
      </w:r>
      <w:r w:rsidR="000514D7">
        <w:rPr>
          <w:rFonts w:asciiTheme="majorBidi" w:hAnsiTheme="majorBidi"/>
        </w:rPr>
        <w:t xml:space="preserve"> </w:t>
      </w:r>
      <w:r w:rsidR="00EE0DE0">
        <w:rPr>
          <w:rFonts w:asciiTheme="majorBidi" w:hAnsiTheme="majorBidi"/>
        </w:rPr>
        <w:t>which is</w:t>
      </w:r>
      <w:r w:rsidR="000514D7">
        <w:rPr>
          <w:rFonts w:asciiTheme="majorBidi" w:hAnsiTheme="majorBidi"/>
        </w:rPr>
        <w:t xml:space="preserve"> </w:t>
      </w:r>
      <w:r w:rsidR="00EE0DE0">
        <w:rPr>
          <w:rFonts w:asciiTheme="majorBidi" w:hAnsiTheme="majorBidi"/>
        </w:rPr>
        <w:t>based on the collection of immigrants’ life stories</w:t>
      </w:r>
      <w:r w:rsidR="00C75786">
        <w:rPr>
          <w:rFonts w:asciiTheme="majorBidi" w:hAnsiTheme="majorBidi"/>
        </w:rPr>
        <w:t xml:space="preserve"> by way of narrative interviews</w:t>
      </w:r>
      <w:r w:rsidR="003A3C21">
        <w:rPr>
          <w:rFonts w:asciiTheme="majorBidi" w:hAnsiTheme="majorBidi"/>
        </w:rPr>
        <w:t xml:space="preserve">, </w:t>
      </w:r>
      <w:r w:rsidR="00861E81">
        <w:rPr>
          <w:rFonts w:asciiTheme="majorBidi" w:hAnsiTheme="majorBidi"/>
        </w:rPr>
        <w:t>integrates</w:t>
      </w:r>
      <w:r w:rsidR="00C75786">
        <w:rPr>
          <w:rFonts w:asciiTheme="majorBidi" w:hAnsiTheme="majorBidi"/>
        </w:rPr>
        <w:t xml:space="preserve"> the terms presented and demonstrates the teaching of the topic </w:t>
      </w:r>
      <w:r w:rsidR="00861E81">
        <w:rPr>
          <w:rFonts w:asciiTheme="majorBidi" w:hAnsiTheme="majorBidi"/>
        </w:rPr>
        <w:t xml:space="preserve">experientially by connecting </w:t>
      </w:r>
      <w:r w:rsidR="00C75786">
        <w:rPr>
          <w:rFonts w:asciiTheme="majorBidi" w:hAnsiTheme="majorBidi"/>
        </w:rPr>
        <w:t xml:space="preserve">theoretical knowledge and the </w:t>
      </w:r>
      <w:r w:rsidR="00861E81">
        <w:rPr>
          <w:rFonts w:asciiTheme="majorBidi" w:hAnsiTheme="majorBidi"/>
        </w:rPr>
        <w:t xml:space="preserve">students’ </w:t>
      </w:r>
      <w:r w:rsidR="00C75786">
        <w:rPr>
          <w:rFonts w:asciiTheme="majorBidi" w:hAnsiTheme="majorBidi"/>
        </w:rPr>
        <w:t>reflexive enquiry and self</w:t>
      </w:r>
      <w:r w:rsidR="00861E81">
        <w:rPr>
          <w:rFonts w:asciiTheme="majorBidi" w:hAnsiTheme="majorBidi"/>
        </w:rPr>
        <w:t>-</w:t>
      </w:r>
      <w:r w:rsidR="00C75786">
        <w:rPr>
          <w:rFonts w:asciiTheme="majorBidi" w:hAnsiTheme="majorBidi"/>
        </w:rPr>
        <w:t xml:space="preserve">awareness. A learning model of </w:t>
      </w:r>
      <w:r w:rsidR="00AE3605">
        <w:rPr>
          <w:rFonts w:asciiTheme="majorBidi" w:hAnsiTheme="majorBidi"/>
        </w:rPr>
        <w:t xml:space="preserve">working with immigrants’ narratives is based on the understanding that the encounter with </w:t>
      </w:r>
      <w:r w:rsidR="000D1857">
        <w:rPr>
          <w:rFonts w:asciiTheme="majorBidi" w:hAnsiTheme="majorBidi"/>
        </w:rPr>
        <w:t>immigrants</w:t>
      </w:r>
      <w:r w:rsidR="000D1857">
        <w:rPr>
          <w:rFonts w:asciiTheme="majorBidi" w:hAnsiTheme="majorBidi"/>
        </w:rPr>
        <w:t xml:space="preserve">’ </w:t>
      </w:r>
      <w:r w:rsidR="00AE3605">
        <w:rPr>
          <w:rFonts w:asciiTheme="majorBidi" w:hAnsiTheme="majorBidi"/>
        </w:rPr>
        <w:t>life stories enables a broadening of the student</w:t>
      </w:r>
      <w:r w:rsidR="000D1857">
        <w:rPr>
          <w:rFonts w:asciiTheme="majorBidi" w:hAnsiTheme="majorBidi"/>
        </w:rPr>
        <w:t>’s</w:t>
      </w:r>
      <w:r w:rsidR="00AE3605">
        <w:rPr>
          <w:rFonts w:asciiTheme="majorBidi" w:hAnsiTheme="majorBidi"/>
        </w:rPr>
        <w:t xml:space="preserve"> awareness to the immigration experience, transitions in life, and the </w:t>
      </w:r>
      <w:r w:rsidR="000D1857" w:rsidRPr="000D1857">
        <w:rPr>
          <w:rFonts w:asciiTheme="majorBidi" w:hAnsiTheme="majorBidi"/>
        </w:rPr>
        <w:t>contextual complexity of</w:t>
      </w:r>
      <w:r w:rsidR="00AE3605" w:rsidRPr="000D1857">
        <w:rPr>
          <w:rFonts w:asciiTheme="majorBidi" w:hAnsiTheme="majorBidi"/>
        </w:rPr>
        <w:t xml:space="preserve"> people’s lives</w:t>
      </w:r>
      <w:r w:rsidR="00C75786">
        <w:rPr>
          <w:rFonts w:asciiTheme="majorBidi" w:hAnsiTheme="majorBidi"/>
        </w:rPr>
        <w:t xml:space="preserve"> </w:t>
      </w:r>
      <w:r w:rsidR="00AE3605">
        <w:rPr>
          <w:rFonts w:asciiTheme="majorBidi" w:hAnsiTheme="majorBidi"/>
        </w:rPr>
        <w:t xml:space="preserve">(Mirsky, 2008, 2013). </w:t>
      </w:r>
      <w:r w:rsidR="00201608">
        <w:rPr>
          <w:rFonts w:asciiTheme="majorBidi" w:hAnsiTheme="majorBidi"/>
        </w:rPr>
        <w:t xml:space="preserve">Listening and </w:t>
      </w:r>
      <w:r w:rsidR="000D1857">
        <w:rPr>
          <w:rFonts w:asciiTheme="majorBidi" w:hAnsiTheme="majorBidi"/>
        </w:rPr>
        <w:t>analyzing these</w:t>
      </w:r>
      <w:r w:rsidR="00201608">
        <w:rPr>
          <w:rFonts w:asciiTheme="majorBidi" w:hAnsiTheme="majorBidi"/>
        </w:rPr>
        <w:t xml:space="preserve"> interviews also facilitates the broadening of the student</w:t>
      </w:r>
      <w:r w:rsidR="000D1857">
        <w:rPr>
          <w:rFonts w:asciiTheme="majorBidi" w:hAnsiTheme="majorBidi"/>
        </w:rPr>
        <w:t>’s</w:t>
      </w:r>
      <w:r w:rsidR="00201608">
        <w:rPr>
          <w:rFonts w:asciiTheme="majorBidi" w:hAnsiTheme="majorBidi"/>
        </w:rPr>
        <w:t xml:space="preserve"> self-awareness o</w:t>
      </w:r>
      <w:r w:rsidR="000D1857">
        <w:rPr>
          <w:rFonts w:asciiTheme="majorBidi" w:hAnsiTheme="majorBidi"/>
        </w:rPr>
        <w:t>f</w:t>
      </w:r>
      <w:r w:rsidR="00201608">
        <w:rPr>
          <w:rFonts w:asciiTheme="majorBidi" w:hAnsiTheme="majorBidi"/>
        </w:rPr>
        <w:t xml:space="preserve"> the cultural issue </w:t>
      </w:r>
      <w:r w:rsidR="000D1857">
        <w:rPr>
          <w:rFonts w:asciiTheme="majorBidi" w:hAnsiTheme="majorBidi"/>
        </w:rPr>
        <w:t>in regard to</w:t>
      </w:r>
      <w:r w:rsidR="00201608">
        <w:rPr>
          <w:rFonts w:asciiTheme="majorBidi" w:hAnsiTheme="majorBidi"/>
        </w:rPr>
        <w:t xml:space="preserve"> themselves, their family, and their environment.</w:t>
      </w:r>
    </w:p>
    <w:p w14:paraId="78F45031" w14:textId="4FB57112" w:rsidR="00201608" w:rsidRDefault="00201608" w:rsidP="004F2E49">
      <w:pPr>
        <w:spacing w:line="360" w:lineRule="auto"/>
        <w:rPr>
          <w:rFonts w:asciiTheme="majorBidi" w:hAnsiTheme="majorBidi"/>
        </w:rPr>
      </w:pPr>
    </w:p>
    <w:p w14:paraId="7EBF9062" w14:textId="053DA8D7" w:rsidR="00201608" w:rsidRDefault="00201608" w:rsidP="004F2E49">
      <w:pPr>
        <w:spacing w:line="360" w:lineRule="auto"/>
        <w:rPr>
          <w:rFonts w:asciiTheme="majorBidi" w:hAnsiTheme="majorBidi"/>
        </w:rPr>
      </w:pPr>
      <w:r>
        <w:rPr>
          <w:rFonts w:asciiTheme="majorBidi" w:hAnsiTheme="majorBidi"/>
        </w:rPr>
        <w:t xml:space="preserve">The course syllabus is available </w:t>
      </w:r>
      <w:commentRangeStart w:id="1"/>
      <w:r>
        <w:rPr>
          <w:rFonts w:asciiTheme="majorBidi" w:hAnsiTheme="majorBidi"/>
        </w:rPr>
        <w:t>at</w:t>
      </w:r>
      <w:commentRangeEnd w:id="1"/>
      <w:r w:rsidR="007E5CDD">
        <w:rPr>
          <w:rStyle w:val="CommentReference"/>
        </w:rPr>
        <w:commentReference w:id="1"/>
      </w:r>
      <w:r>
        <w:rPr>
          <w:rFonts w:asciiTheme="majorBidi" w:hAnsiTheme="majorBidi"/>
        </w:rPr>
        <w:t>:</w:t>
      </w:r>
    </w:p>
    <w:p w14:paraId="2982FE26" w14:textId="3DAA7F75" w:rsidR="004F4EA9" w:rsidRPr="004F4EA9" w:rsidRDefault="006F4929" w:rsidP="004F2E49">
      <w:pPr>
        <w:spacing w:line="360" w:lineRule="auto"/>
        <w:rPr>
          <w:rStyle w:val="Hyperlink"/>
          <w:rFonts w:asciiTheme="majorBidi" w:hAnsiTheme="majorBidi"/>
        </w:rPr>
      </w:pPr>
      <w:hyperlink r:id="rId10" w:history="1">
        <w:r w:rsidR="004F4EA9" w:rsidRPr="004F4EA9">
          <w:rPr>
            <w:rStyle w:val="Hyperlink"/>
            <w:rFonts w:asciiTheme="majorBidi" w:hAnsiTheme="majorBidi"/>
          </w:rPr>
          <w:t>https://www.demo.erasmus-il.org/copy-of-family-and-community-in-the?lang=he</w:t>
        </w:r>
      </w:hyperlink>
    </w:p>
    <w:p w14:paraId="3B149BA0" w14:textId="1364606A" w:rsidR="004F4EA9" w:rsidRPr="004F4EA9" w:rsidRDefault="004F4EA9" w:rsidP="004F2E49">
      <w:pPr>
        <w:spacing w:line="360" w:lineRule="auto"/>
        <w:rPr>
          <w:rFonts w:asciiTheme="majorBidi" w:hAnsiTheme="majorBidi"/>
          <w:u w:val="single"/>
        </w:rPr>
      </w:pPr>
      <w:r w:rsidRPr="004F4EA9">
        <w:rPr>
          <w:rStyle w:val="Hyperlink"/>
          <w:rFonts w:asciiTheme="majorBidi" w:hAnsiTheme="majorBidi"/>
          <w:color w:val="000000" w:themeColor="text1"/>
        </w:rPr>
        <w:lastRenderedPageBreak/>
        <w:t>Student Feedback</w:t>
      </w:r>
    </w:p>
    <w:p w14:paraId="5D833201" w14:textId="035956E5" w:rsidR="00AF60C2" w:rsidRDefault="004F4EA9" w:rsidP="004F2E49">
      <w:pPr>
        <w:spacing w:line="360" w:lineRule="auto"/>
      </w:pPr>
      <w:r>
        <w:t xml:space="preserve">This course </w:t>
      </w:r>
      <w:r w:rsidR="00A61DDF">
        <w:t xml:space="preserve">was intended for </w:t>
      </w:r>
      <w:r w:rsidR="00A61DDF" w:rsidRPr="000D1857">
        <w:t>MSW s</w:t>
      </w:r>
      <w:r w:rsidR="00A61DDF">
        <w:t>tudents</w:t>
      </w:r>
      <w:r w:rsidR="00A505CA">
        <w:t xml:space="preserve">. As part of its teaching staff, it included </w:t>
      </w:r>
      <w:r w:rsidR="00A61DDF">
        <w:t>two experienced professionals in the field of therapy</w:t>
      </w:r>
      <w:r w:rsidR="00A505CA">
        <w:t xml:space="preserve"> who</w:t>
      </w:r>
      <w:r w:rsidR="00A61DDF">
        <w:t xml:space="preserve"> contributed a rich selection of examples </w:t>
      </w:r>
      <w:r w:rsidR="00AF60C2">
        <w:t>from both personal and therapeutic contexts.</w:t>
      </w:r>
    </w:p>
    <w:p w14:paraId="7EB2BA85" w14:textId="29AA6F5D" w:rsidR="00AF60C2" w:rsidRDefault="00AF60C2" w:rsidP="004F2E49">
      <w:pPr>
        <w:spacing w:line="360" w:lineRule="auto"/>
      </w:pPr>
    </w:p>
    <w:p w14:paraId="0ABC3FEA" w14:textId="1D90F368" w:rsidR="00022D7B" w:rsidRDefault="00AF60C2" w:rsidP="004F2E49">
      <w:pPr>
        <w:spacing w:line="360" w:lineRule="auto"/>
      </w:pPr>
      <w:r>
        <w:t xml:space="preserve">Student </w:t>
      </w:r>
      <w:r w:rsidR="00A505CA">
        <w:t>feedback</w:t>
      </w:r>
      <w:r>
        <w:t xml:space="preserve"> to the course </w:t>
      </w:r>
      <w:r w:rsidR="00A505CA">
        <w:t>was</w:t>
      </w:r>
      <w:r>
        <w:t xml:space="preserve"> highly positive. Many said that although they were professionally experienced, the process of self-investigation, and the reflection surrounding the encounter with cultural diversity and the “other</w:t>
      </w:r>
      <w:r w:rsidR="00A505CA">
        <w:t>,</w:t>
      </w:r>
      <w:r>
        <w:t xml:space="preserve">” created significant learning and constituted an important </w:t>
      </w:r>
      <w:r w:rsidR="00022D7B">
        <w:t>contribution</w:t>
      </w:r>
      <w:r>
        <w:t xml:space="preserve"> to their professional work. They also noted that the </w:t>
      </w:r>
      <w:r w:rsidR="00022D7B">
        <w:t xml:space="preserve">atmosphere of openness in the classroom enabled exposure and candidness </w:t>
      </w:r>
      <w:r w:rsidR="00A505CA">
        <w:t>regarding</w:t>
      </w:r>
      <w:r w:rsidR="00022D7B">
        <w:t xml:space="preserve"> the cultural diversity amongst the students</w:t>
      </w:r>
      <w:r w:rsidR="00D404B7">
        <w:t>, and that this in itself was</w:t>
      </w:r>
      <w:r w:rsidR="00022D7B">
        <w:t xml:space="preserve"> a source for learning.</w:t>
      </w:r>
    </w:p>
    <w:p w14:paraId="7EE74EED" w14:textId="77777777" w:rsidR="00022D7B" w:rsidRDefault="00022D7B" w:rsidP="004F2E49">
      <w:pPr>
        <w:spacing w:line="360" w:lineRule="auto"/>
      </w:pPr>
    </w:p>
    <w:p w14:paraId="0A7EFDC2" w14:textId="07A31A6A" w:rsidR="00AF60C2" w:rsidRDefault="00022D7B" w:rsidP="004F2E49">
      <w:pPr>
        <w:spacing w:line="360" w:lineRule="auto"/>
      </w:pPr>
      <w:r>
        <w:t xml:space="preserve">For example, </w:t>
      </w:r>
      <w:proofErr w:type="spellStart"/>
      <w:r>
        <w:t>Shlomit</w:t>
      </w:r>
      <w:proofErr w:type="spellEnd"/>
      <w:r>
        <w:t xml:space="preserve"> described the learning process in the course as follows: “</w:t>
      </w:r>
      <w:r w:rsidRPr="00C61E01">
        <w:rPr>
          <w:i/>
          <w:iCs/>
        </w:rPr>
        <w:t>From a professional viewpoint, it was fascinating to meet the worlds of the other interviewees. I have been working in therapy for over tw</w:t>
      </w:r>
      <w:r w:rsidR="00C61E01" w:rsidRPr="00C61E01">
        <w:rPr>
          <w:i/>
          <w:iCs/>
        </w:rPr>
        <w:t>e</w:t>
      </w:r>
      <w:r w:rsidRPr="00C61E01">
        <w:rPr>
          <w:i/>
          <w:iCs/>
        </w:rPr>
        <w:t xml:space="preserve">nty years and meet people from </w:t>
      </w:r>
      <w:r w:rsidR="00C61E01" w:rsidRPr="00C61E01">
        <w:rPr>
          <w:i/>
          <w:iCs/>
        </w:rPr>
        <w:t>different ethnic backgrounds, origins, and communities,</w:t>
      </w:r>
      <w:r w:rsidRPr="00C61E01">
        <w:rPr>
          <w:i/>
          <w:iCs/>
        </w:rPr>
        <w:t xml:space="preserve"> </w:t>
      </w:r>
      <w:r w:rsidR="00C61E01" w:rsidRPr="00C61E01">
        <w:rPr>
          <w:i/>
          <w:iCs/>
        </w:rPr>
        <w:t>of different color and with different stories, but I have never dedicated so m</w:t>
      </w:r>
      <w:r w:rsidR="00D404B7">
        <w:rPr>
          <w:i/>
          <w:iCs/>
        </w:rPr>
        <w:t>uch</w:t>
      </w:r>
      <w:r w:rsidR="00C61E01" w:rsidRPr="00C61E01">
        <w:rPr>
          <w:i/>
          <w:iCs/>
        </w:rPr>
        <w:t xml:space="preserve"> attention to the individual’s cultural origin, never made it present in this way...I began to listen more attentively to these stories and their impact o</w:t>
      </w:r>
      <w:r w:rsidR="00D404B7">
        <w:rPr>
          <w:i/>
          <w:iCs/>
        </w:rPr>
        <w:t xml:space="preserve">n </w:t>
      </w:r>
      <w:r w:rsidR="00C61E01" w:rsidRPr="00C61E01">
        <w:rPr>
          <w:i/>
          <w:iCs/>
        </w:rPr>
        <w:t>the therapy...</w:t>
      </w:r>
      <w:r w:rsidR="00C61E01">
        <w:rPr>
          <w:i/>
          <w:iCs/>
        </w:rPr>
        <w:t>the way I</w:t>
      </w:r>
      <w:r w:rsidR="00C61E01" w:rsidRPr="00C61E01">
        <w:rPr>
          <w:i/>
          <w:iCs/>
        </w:rPr>
        <w:t xml:space="preserve"> listen</w:t>
      </w:r>
      <w:r w:rsidR="00C61E01">
        <w:rPr>
          <w:i/>
          <w:iCs/>
        </w:rPr>
        <w:t xml:space="preserve"> </w:t>
      </w:r>
      <w:r w:rsidR="00C61E01" w:rsidRPr="00C61E01">
        <w:rPr>
          <w:i/>
          <w:iCs/>
        </w:rPr>
        <w:t>is different...</w:t>
      </w:r>
      <w:r w:rsidR="00C61E01">
        <w:t>” (</w:t>
      </w:r>
      <w:proofErr w:type="spellStart"/>
      <w:r w:rsidR="00C61E01">
        <w:t>Shlomit</w:t>
      </w:r>
      <w:proofErr w:type="spellEnd"/>
      <w:r w:rsidR="00C61E01">
        <w:t>).</w:t>
      </w:r>
    </w:p>
    <w:p w14:paraId="22ED1220" w14:textId="7BDD1AB5" w:rsidR="00C61E01" w:rsidRDefault="00C61E01" w:rsidP="004F2E49">
      <w:pPr>
        <w:spacing w:line="360" w:lineRule="auto"/>
      </w:pPr>
    </w:p>
    <w:p w14:paraId="6C567DB9" w14:textId="00901254" w:rsidR="00C61E01" w:rsidRDefault="00C61E01" w:rsidP="004F2E49">
      <w:pPr>
        <w:spacing w:line="360" w:lineRule="auto"/>
      </w:pPr>
      <w:r>
        <w:t xml:space="preserve">Most students noted the interview situation as a </w:t>
      </w:r>
      <w:r w:rsidR="00B9581C">
        <w:t xml:space="preserve">strong emotional experience that </w:t>
      </w:r>
      <w:r w:rsidR="00F34837">
        <w:t>put</w:t>
      </w:r>
      <w:r w:rsidR="00B9581C">
        <w:t xml:space="preserve"> them in touch with aspects of themselves</w:t>
      </w:r>
      <w:r w:rsidR="00F34837">
        <w:t>,</w:t>
      </w:r>
      <w:r w:rsidR="00B9581C">
        <w:t xml:space="preserve"> and sometimes with “blind spots</w:t>
      </w:r>
      <w:r w:rsidR="00F34837">
        <w:t>,</w:t>
      </w:r>
      <w:r w:rsidR="00B9581C">
        <w:t xml:space="preserve">” from </w:t>
      </w:r>
      <w:r w:rsidR="00F34837">
        <w:t>a</w:t>
      </w:r>
      <w:r w:rsidR="00B9581C">
        <w:t xml:space="preserve"> multicultural perspective.</w:t>
      </w:r>
    </w:p>
    <w:p w14:paraId="3135F88B" w14:textId="7E8CA8A9" w:rsidR="00B9581C" w:rsidRDefault="00B9581C" w:rsidP="004F2E49">
      <w:pPr>
        <w:spacing w:line="360" w:lineRule="auto"/>
      </w:pPr>
    </w:p>
    <w:p w14:paraId="752F5620" w14:textId="5CD6A96E" w:rsidR="00B9581C" w:rsidRDefault="00B9581C" w:rsidP="004F2E49">
      <w:pPr>
        <w:spacing w:line="360" w:lineRule="auto"/>
      </w:pPr>
      <w:proofErr w:type="spellStart"/>
      <w:r>
        <w:t>Shiran</w:t>
      </w:r>
      <w:proofErr w:type="spellEnd"/>
      <w:r>
        <w:t xml:space="preserve"> related to the interview she held with her father: “</w:t>
      </w:r>
      <w:r w:rsidRPr="00D76D97">
        <w:rPr>
          <w:i/>
          <w:iCs/>
        </w:rPr>
        <w:t>I remembered a conversation</w:t>
      </w:r>
      <w:r w:rsidR="00F34837">
        <w:rPr>
          <w:i/>
          <w:iCs/>
        </w:rPr>
        <w:t xml:space="preserve"> I</w:t>
      </w:r>
      <w:r w:rsidRPr="00D76D97">
        <w:rPr>
          <w:i/>
          <w:iCs/>
        </w:rPr>
        <w:t xml:space="preserve"> had with my father and how I was saying to myself that it was tedious, tiring...and then I came to the interview...I heard his voice, his </w:t>
      </w:r>
      <w:r w:rsidR="00D76D97" w:rsidRPr="00D76D97">
        <w:rPr>
          <w:i/>
          <w:iCs/>
        </w:rPr>
        <w:t>crying out to be heard, that what he had gone through over many years be known, in a society that placed him in an inferior position, and the truth is, I was moved. I felt how much my father’s story was real, relevant, and present</w:t>
      </w:r>
      <w:r w:rsidR="00D76D97">
        <w:t>” (</w:t>
      </w:r>
      <w:proofErr w:type="spellStart"/>
      <w:r w:rsidR="00D76D97">
        <w:t>Shiran</w:t>
      </w:r>
      <w:proofErr w:type="spellEnd"/>
      <w:r w:rsidR="00D76D97">
        <w:t>).</w:t>
      </w:r>
    </w:p>
    <w:p w14:paraId="6DA0E274" w14:textId="2166F203" w:rsidR="00D76D97" w:rsidRDefault="00D76D97" w:rsidP="004F2E49">
      <w:pPr>
        <w:spacing w:line="360" w:lineRule="auto"/>
      </w:pPr>
    </w:p>
    <w:p w14:paraId="055F2BFE" w14:textId="77777777" w:rsidR="00F34837" w:rsidRDefault="00F34837" w:rsidP="004F2E49">
      <w:pPr>
        <w:spacing w:line="360" w:lineRule="auto"/>
      </w:pPr>
    </w:p>
    <w:p w14:paraId="6EB5DAE7" w14:textId="24453613" w:rsidR="00D76D97" w:rsidRDefault="00D76D97" w:rsidP="004F2E49">
      <w:pPr>
        <w:spacing w:line="360" w:lineRule="auto"/>
        <w:rPr>
          <w:u w:val="single"/>
        </w:rPr>
      </w:pPr>
      <w:r w:rsidRPr="00D76D97">
        <w:rPr>
          <w:u w:val="single"/>
        </w:rPr>
        <w:lastRenderedPageBreak/>
        <w:t>Recommendations</w:t>
      </w:r>
    </w:p>
    <w:p w14:paraId="719C8394" w14:textId="4914539E" w:rsidR="00E354A4" w:rsidRDefault="00D76D97" w:rsidP="00662094">
      <w:pPr>
        <w:spacing w:line="360" w:lineRule="auto"/>
      </w:pPr>
      <w:r w:rsidRPr="00D76D97">
        <w:t xml:space="preserve">From </w:t>
      </w:r>
      <w:r>
        <w:t xml:space="preserve">what arises from the literature and from experience accumulated in the course, there is no doubt regarding the importance </w:t>
      </w:r>
      <w:r w:rsidR="00F34837">
        <w:t xml:space="preserve">of </w:t>
      </w:r>
      <w:r w:rsidR="00DB3C81">
        <w:t>providing</w:t>
      </w:r>
      <w:r>
        <w:t xml:space="preserve"> </w:t>
      </w:r>
      <w:r w:rsidR="00DB3C81">
        <w:t xml:space="preserve">individuals in the helping professions with training in cultural competency, both at the learning stage in institutions of higher education and as a requisite undertaking at later stages of professional life, as part of an ongoing, dynamic learning process. In order to instill in students and professionals practical tools in the field of multicultural education, they should engage in </w:t>
      </w:r>
      <w:r w:rsidR="00767FC9">
        <w:t xml:space="preserve">practical experience as part of the curriculum, in addition to providing theoretical knowledge, which puts an emphasis on personal and group reflective processes. To achieve this, an open learning environment is required, one that allows for critical examination and </w:t>
      </w:r>
      <w:r w:rsidR="00662094">
        <w:t xml:space="preserve">the development of self-awareness, </w:t>
      </w:r>
      <w:r w:rsidR="00A57675">
        <w:t xml:space="preserve">and how to deal with </w:t>
      </w:r>
      <w:r w:rsidR="00662094">
        <w:t xml:space="preserve">stereotypes, prejudices, and cultural blind spots. The reviewed course offers a unique teaching methodology, which was found effective and which employs the narrative interview as a tool for collecting and </w:t>
      </w:r>
      <w:r w:rsidR="00A57675">
        <w:t>studying</w:t>
      </w:r>
      <w:r w:rsidR="00662094">
        <w:t xml:space="preserve"> immigration stories and cultural diversity. </w:t>
      </w:r>
      <w:r w:rsidR="00E354A4">
        <w:t xml:space="preserve">The narrative interview facilitates </w:t>
      </w:r>
      <w:r w:rsidR="00A57675">
        <w:t xml:space="preserve">a </w:t>
      </w:r>
      <w:r w:rsidR="00E354A4">
        <w:t>direct and unmediated encounter</w:t>
      </w:r>
      <w:r w:rsidR="00A57675">
        <w:t xml:space="preserve"> between</w:t>
      </w:r>
      <w:r w:rsidR="00E354A4">
        <w:t xml:space="preserve"> the student and the help providing professional with the interviewee’s personal story</w:t>
      </w:r>
      <w:r w:rsidR="00A57675">
        <w:t>. This</w:t>
      </w:r>
      <w:r w:rsidR="00E354A4">
        <w:t xml:space="preserve"> gives rise to worlds of content </w:t>
      </w:r>
      <w:r w:rsidR="007E5CDD">
        <w:t>as a result of</w:t>
      </w:r>
      <w:r w:rsidR="00E354A4">
        <w:t xml:space="preserve"> meeting the “other,” and at the same time, enables the students to </w:t>
      </w:r>
      <w:r w:rsidR="007E5CDD">
        <w:t>become familiar with the</w:t>
      </w:r>
      <w:r w:rsidR="00E354A4">
        <w:t xml:space="preserve"> </w:t>
      </w:r>
      <w:r w:rsidR="007E5CDD">
        <w:t>interviewee</w:t>
      </w:r>
      <w:r w:rsidR="007E5CDD">
        <w:t xml:space="preserve">’s </w:t>
      </w:r>
      <w:r w:rsidR="00E354A4">
        <w:t>inner cultural worl</w:t>
      </w:r>
      <w:r w:rsidR="007E5CDD">
        <w:t>d.</w:t>
      </w:r>
    </w:p>
    <w:p w14:paraId="2AE86AF2" w14:textId="77777777" w:rsidR="00E354A4" w:rsidRDefault="00E354A4" w:rsidP="00662094">
      <w:pPr>
        <w:spacing w:line="360" w:lineRule="auto"/>
      </w:pPr>
    </w:p>
    <w:p w14:paraId="61BCC7C8" w14:textId="321BDFC2" w:rsidR="00662094" w:rsidRDefault="00E354A4" w:rsidP="00662094">
      <w:pPr>
        <w:spacing w:line="360" w:lineRule="auto"/>
        <w:rPr>
          <w:u w:val="single"/>
        </w:rPr>
      </w:pPr>
      <w:r w:rsidRPr="00E354A4">
        <w:rPr>
          <w:u w:val="single"/>
        </w:rPr>
        <w:t>References</w:t>
      </w:r>
    </w:p>
    <w:p w14:paraId="5B05C9A3" w14:textId="77777777" w:rsidR="00E354A4" w:rsidRPr="00962E58" w:rsidRDefault="00E354A4" w:rsidP="00E354A4">
      <w:pPr>
        <w:spacing w:after="100" w:afterAutospacing="1" w:line="240" w:lineRule="auto"/>
        <w:ind w:left="-52"/>
        <w:rPr>
          <w:rFonts w:asciiTheme="majorBidi" w:hAnsiTheme="majorBidi"/>
        </w:rPr>
      </w:pPr>
      <w:r w:rsidRPr="00962E58">
        <w:rPr>
          <w:rFonts w:asciiTheme="majorBidi" w:hAnsiTheme="majorBidi"/>
          <w:shd w:val="clear" w:color="auto" w:fill="FFFFFF"/>
        </w:rPr>
        <w:t>Alvarez, M. d. l. C., &amp; Domenech Rodríguez, M. M. (2020). Cultural competence shifts in multicultural psychology: Online versus face-to-face. </w:t>
      </w:r>
      <w:r w:rsidRPr="00962E58">
        <w:rPr>
          <w:rStyle w:val="Emphasis"/>
          <w:rFonts w:asciiTheme="majorBidi" w:hAnsiTheme="majorBidi"/>
          <w:shd w:val="clear" w:color="auto" w:fill="FFFFFF"/>
        </w:rPr>
        <w:t>Translational Issues in Psychological Science, 6</w:t>
      </w:r>
      <w:r w:rsidRPr="00962E58">
        <w:rPr>
          <w:rFonts w:asciiTheme="majorBidi" w:hAnsiTheme="majorBidi"/>
          <w:shd w:val="clear" w:color="auto" w:fill="FFFFFF"/>
        </w:rPr>
        <w:t>(2), 160–174. </w:t>
      </w:r>
      <w:hyperlink r:id="rId11" w:tgtFrame="_blank" w:history="1">
        <w:r w:rsidRPr="00962E58">
          <w:rPr>
            <w:rStyle w:val="Hyperlink"/>
            <w:rFonts w:asciiTheme="majorBidi" w:hAnsiTheme="majorBidi"/>
            <w:color w:val="337AB7"/>
            <w:shd w:val="clear" w:color="auto" w:fill="FFFFFF"/>
          </w:rPr>
          <w:t>https://doi.org/10.1037/tps0000229</w:t>
        </w:r>
      </w:hyperlink>
    </w:p>
    <w:p w14:paraId="0815586C" w14:textId="7263D4A4" w:rsidR="00E354A4" w:rsidRPr="00962E58" w:rsidRDefault="00E354A4" w:rsidP="00E354A4">
      <w:pPr>
        <w:spacing w:after="100" w:afterAutospacing="1" w:line="240" w:lineRule="auto"/>
        <w:ind w:left="-52"/>
        <w:rPr>
          <w:rFonts w:asciiTheme="majorBidi" w:hAnsiTheme="majorBidi"/>
        </w:rPr>
      </w:pPr>
      <w:r w:rsidRPr="00962E58">
        <w:rPr>
          <w:rFonts w:asciiTheme="majorBidi" w:hAnsiTheme="majorBidi"/>
        </w:rPr>
        <w:t xml:space="preserve">Blunt, K. (2007). Social Work education: Achieving transformative learning through a cultural competence model for transformative education. </w:t>
      </w:r>
      <w:r w:rsidRPr="00962E58">
        <w:rPr>
          <w:rFonts w:asciiTheme="majorBidi" w:hAnsiTheme="majorBidi"/>
          <w:i/>
          <w:iCs/>
        </w:rPr>
        <w:t>Journal of Teaching in Social Work, 27</w:t>
      </w:r>
      <w:r w:rsidRPr="00962E58">
        <w:rPr>
          <w:rFonts w:asciiTheme="majorBidi" w:hAnsiTheme="majorBidi"/>
        </w:rPr>
        <w:t>(3/4), 93-114.</w:t>
      </w:r>
    </w:p>
    <w:p w14:paraId="35EDD16C" w14:textId="77777777" w:rsidR="00E354A4" w:rsidRPr="00962E58" w:rsidRDefault="00E354A4" w:rsidP="00E354A4">
      <w:pPr>
        <w:autoSpaceDE w:val="0"/>
        <w:autoSpaceDN w:val="0"/>
        <w:adjustRightInd w:val="0"/>
        <w:spacing w:after="100" w:afterAutospacing="1" w:line="240" w:lineRule="auto"/>
        <w:ind w:left="-52"/>
        <w:rPr>
          <w:rFonts w:asciiTheme="majorBidi" w:hAnsiTheme="majorBidi"/>
        </w:rPr>
      </w:pPr>
      <w:r w:rsidRPr="00962E58">
        <w:rPr>
          <w:rFonts w:asciiTheme="majorBidi" w:hAnsiTheme="majorBidi"/>
        </w:rPr>
        <w:t xml:space="preserve">Deakins, E. (2009). Helping students value cultural diversity through research‐based teaching. </w:t>
      </w:r>
      <w:r w:rsidRPr="00962E58">
        <w:rPr>
          <w:rFonts w:asciiTheme="majorBidi" w:hAnsiTheme="majorBidi"/>
          <w:i/>
          <w:iCs/>
        </w:rPr>
        <w:t>Higher Education Research &amp; Development, 28</w:t>
      </w:r>
      <w:r w:rsidRPr="00962E58">
        <w:rPr>
          <w:rFonts w:asciiTheme="majorBidi" w:hAnsiTheme="majorBidi"/>
        </w:rPr>
        <w:t xml:space="preserve"> (2), 209-226. </w:t>
      </w:r>
      <w:hyperlink r:id="rId12" w:history="1">
        <w:r w:rsidRPr="00962E58">
          <w:rPr>
            <w:rStyle w:val="Hyperlink"/>
            <w:rFonts w:asciiTheme="majorBidi" w:hAnsiTheme="majorBidi"/>
          </w:rPr>
          <w:t>http://doi.org/10.1080/07294360902725074</w:t>
        </w:r>
      </w:hyperlink>
    </w:p>
    <w:p w14:paraId="7F87D9D2" w14:textId="77777777" w:rsidR="00E354A4" w:rsidRPr="00962E58" w:rsidRDefault="00E354A4" w:rsidP="00E354A4">
      <w:pPr>
        <w:shd w:val="clear" w:color="auto" w:fill="FFFFFF"/>
        <w:spacing w:after="100" w:afterAutospacing="1" w:line="240" w:lineRule="auto"/>
        <w:ind w:left="-52"/>
        <w:rPr>
          <w:rFonts w:asciiTheme="majorBidi" w:hAnsiTheme="majorBidi"/>
          <w:rtl/>
        </w:rPr>
      </w:pPr>
      <w:r w:rsidRPr="00962E58">
        <w:rPr>
          <w:rFonts w:asciiTheme="majorBidi" w:hAnsiTheme="majorBidi"/>
        </w:rPr>
        <w:t xml:space="preserve">Furlong, M., &amp; Wight, J. (2011). Promoting ‘‘critical awareness’’ and critiquing ‘‘cultural competence’’: Towards disrupting received professional knowledges. </w:t>
      </w:r>
      <w:r w:rsidRPr="00962E58">
        <w:rPr>
          <w:rFonts w:asciiTheme="majorBidi" w:hAnsiTheme="majorBidi"/>
          <w:i/>
          <w:iCs/>
        </w:rPr>
        <w:t>Australian Social Work, 64</w:t>
      </w:r>
      <w:r w:rsidRPr="00962E58">
        <w:rPr>
          <w:rFonts w:asciiTheme="majorBidi" w:hAnsiTheme="majorBidi"/>
        </w:rPr>
        <w:t xml:space="preserve"> (1), 38-54.</w:t>
      </w:r>
    </w:p>
    <w:p w14:paraId="19BC5955" w14:textId="77777777" w:rsidR="00E354A4" w:rsidRPr="00962E58" w:rsidRDefault="00E354A4" w:rsidP="00E354A4">
      <w:pPr>
        <w:shd w:val="clear" w:color="auto" w:fill="FFFFFF"/>
        <w:spacing w:after="100" w:afterAutospacing="1" w:line="240" w:lineRule="auto"/>
        <w:ind w:left="-52"/>
        <w:rPr>
          <w:rFonts w:asciiTheme="majorBidi" w:hAnsiTheme="majorBidi"/>
        </w:rPr>
      </w:pPr>
      <w:proofErr w:type="spellStart"/>
      <w:r w:rsidRPr="00962E58">
        <w:rPr>
          <w:rFonts w:asciiTheme="majorBidi" w:hAnsiTheme="majorBidi"/>
        </w:rPr>
        <w:t>Kratzke</w:t>
      </w:r>
      <w:proofErr w:type="spellEnd"/>
      <w:r w:rsidRPr="00962E58">
        <w:rPr>
          <w:rFonts w:asciiTheme="majorBidi" w:hAnsiTheme="majorBidi"/>
        </w:rPr>
        <w:t xml:space="preserve">, C., &amp; Bertolo, M. (2013). Enhancing students' cultural competence using cross-cultural experiential. </w:t>
      </w:r>
      <w:r w:rsidRPr="00962E58">
        <w:rPr>
          <w:rFonts w:asciiTheme="majorBidi" w:hAnsiTheme="majorBidi"/>
          <w:i/>
          <w:iCs/>
        </w:rPr>
        <w:t>Journal of Cultural Diversity</w:t>
      </w:r>
      <w:r w:rsidRPr="00962E58">
        <w:rPr>
          <w:rFonts w:asciiTheme="majorBidi" w:hAnsiTheme="majorBidi"/>
        </w:rPr>
        <w:t xml:space="preserve"> ,</w:t>
      </w:r>
      <w:r w:rsidRPr="00962E58">
        <w:rPr>
          <w:rFonts w:asciiTheme="majorBidi" w:hAnsiTheme="majorBidi"/>
          <w:i/>
          <w:iCs/>
        </w:rPr>
        <w:t>20</w:t>
      </w:r>
      <w:r w:rsidRPr="00962E58">
        <w:rPr>
          <w:rFonts w:asciiTheme="majorBidi" w:hAnsiTheme="majorBidi"/>
        </w:rPr>
        <w:t xml:space="preserve"> (3), 107-111.</w:t>
      </w:r>
    </w:p>
    <w:p w14:paraId="69BBD816" w14:textId="77777777" w:rsidR="00E354A4" w:rsidRPr="00962E58" w:rsidRDefault="00E354A4" w:rsidP="00E354A4">
      <w:pPr>
        <w:shd w:val="clear" w:color="auto" w:fill="FFFFFF"/>
        <w:spacing w:after="100" w:afterAutospacing="1" w:line="240" w:lineRule="auto"/>
        <w:ind w:left="-52"/>
        <w:rPr>
          <w:rFonts w:asciiTheme="majorBidi" w:hAnsiTheme="majorBidi"/>
        </w:rPr>
      </w:pPr>
      <w:r w:rsidRPr="00962E58">
        <w:rPr>
          <w:rFonts w:asciiTheme="majorBidi" w:hAnsiTheme="majorBidi"/>
        </w:rPr>
        <w:lastRenderedPageBreak/>
        <w:t xml:space="preserve">Leask, B., &amp; Carroll, J. (2011). Moving beyond 'wishing and hoping': </w:t>
      </w:r>
      <w:proofErr w:type="spellStart"/>
      <w:r w:rsidRPr="00962E58">
        <w:rPr>
          <w:rFonts w:asciiTheme="majorBidi" w:hAnsiTheme="majorBidi"/>
        </w:rPr>
        <w:t>Internationalisation</w:t>
      </w:r>
      <w:proofErr w:type="spellEnd"/>
      <w:r w:rsidRPr="00962E58">
        <w:rPr>
          <w:rFonts w:asciiTheme="majorBidi" w:hAnsiTheme="majorBidi"/>
        </w:rPr>
        <w:t xml:space="preserve"> and student experiences of inclusion and engagement</w:t>
      </w:r>
      <w:r w:rsidRPr="00962E58">
        <w:rPr>
          <w:rFonts w:asciiTheme="majorBidi" w:hAnsiTheme="majorBidi"/>
          <w:i/>
          <w:iCs/>
        </w:rPr>
        <w:t>. Higher Education Research &amp; Development, 30</w:t>
      </w:r>
      <w:r w:rsidRPr="00962E58">
        <w:rPr>
          <w:rFonts w:asciiTheme="majorBidi" w:hAnsiTheme="majorBidi"/>
        </w:rPr>
        <w:t>(5), 647-659.</w:t>
      </w:r>
    </w:p>
    <w:p w14:paraId="665DA566" w14:textId="77777777" w:rsidR="00E354A4" w:rsidRPr="00962E58" w:rsidRDefault="00E354A4" w:rsidP="00E354A4">
      <w:pPr>
        <w:shd w:val="clear" w:color="auto" w:fill="FFFFFF"/>
        <w:spacing w:after="100" w:afterAutospacing="1" w:line="240" w:lineRule="auto"/>
        <w:ind w:left="-52"/>
        <w:rPr>
          <w:rFonts w:asciiTheme="majorBidi" w:eastAsia="TheSansC4s-SemiLight" w:hAnsiTheme="majorBidi"/>
        </w:rPr>
      </w:pPr>
      <w:r w:rsidRPr="00962E58">
        <w:rPr>
          <w:rFonts w:asciiTheme="majorBidi" w:eastAsia="TheSansC4s-SemiLight" w:hAnsiTheme="majorBidi"/>
        </w:rPr>
        <w:t xml:space="preserve">Mirsky, J. (2008). The use of narrative analysis and psychoanalytic exploration of group processes in multicultural training. </w:t>
      </w:r>
      <w:r w:rsidRPr="00962E58">
        <w:rPr>
          <w:rFonts w:asciiTheme="majorBidi" w:eastAsia="TheSansC4s-SemiLight" w:hAnsiTheme="majorBidi"/>
          <w:i/>
          <w:iCs/>
        </w:rPr>
        <w:t>International Journal of Applied Psychoanalytic</w:t>
      </w:r>
      <w:r w:rsidRPr="00962E58">
        <w:rPr>
          <w:rFonts w:asciiTheme="majorBidi" w:hAnsiTheme="majorBidi"/>
        </w:rPr>
        <w:t xml:space="preserve"> </w:t>
      </w:r>
      <w:r w:rsidRPr="00962E58">
        <w:rPr>
          <w:rFonts w:asciiTheme="majorBidi" w:hAnsiTheme="majorBidi"/>
          <w:i/>
          <w:iCs/>
        </w:rPr>
        <w:t>Studies, 5</w:t>
      </w:r>
      <w:r w:rsidRPr="00962E58">
        <w:rPr>
          <w:rFonts w:asciiTheme="majorBidi" w:hAnsiTheme="majorBidi"/>
        </w:rPr>
        <w:t>(1), 2-15.</w:t>
      </w:r>
    </w:p>
    <w:p w14:paraId="319F18FD"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r w:rsidRPr="00962E58">
        <w:rPr>
          <w:rFonts w:asciiTheme="majorBidi" w:eastAsia="TheSansC4s-SemiLight" w:hAnsiTheme="majorBidi"/>
        </w:rPr>
        <w:t xml:space="preserve">Mirsky, J. (2013). Getting to Know the Piece of Fluff in Our Ears: Expanding Practitioners' Cultural Self- Awareness. </w:t>
      </w:r>
      <w:r w:rsidRPr="00962E58">
        <w:rPr>
          <w:rFonts w:asciiTheme="majorBidi" w:eastAsia="TheSansC4s-SemiLight" w:hAnsiTheme="majorBidi"/>
          <w:i/>
          <w:iCs/>
        </w:rPr>
        <w:t>Social work education</w:t>
      </w:r>
      <w:r w:rsidRPr="00962E58">
        <w:rPr>
          <w:rFonts w:asciiTheme="majorBidi" w:eastAsia="TheSansC4s-SemiLight" w:hAnsiTheme="majorBidi"/>
        </w:rPr>
        <w:t xml:space="preserve">, </w:t>
      </w:r>
      <w:r w:rsidRPr="00962E58">
        <w:rPr>
          <w:rFonts w:asciiTheme="majorBidi" w:eastAsia="TheSansC4s-SemiLight" w:hAnsiTheme="majorBidi"/>
          <w:i/>
          <w:iCs/>
        </w:rPr>
        <w:t>32</w:t>
      </w:r>
      <w:r w:rsidRPr="00962E58">
        <w:rPr>
          <w:rFonts w:asciiTheme="majorBidi" w:eastAsia="TheSansC4s-SemiLight" w:hAnsiTheme="majorBidi"/>
        </w:rPr>
        <w:t>(5), 626-638.</w:t>
      </w:r>
    </w:p>
    <w:p w14:paraId="3F8E8112" w14:textId="77777777" w:rsidR="00E354A4" w:rsidRPr="00962E58" w:rsidRDefault="00E354A4" w:rsidP="00E354A4">
      <w:pPr>
        <w:shd w:val="clear" w:color="auto" w:fill="FFFFFF"/>
        <w:spacing w:line="240" w:lineRule="auto"/>
        <w:ind w:left="-52"/>
        <w:rPr>
          <w:rFonts w:asciiTheme="majorBidi" w:hAnsiTheme="majorBidi"/>
        </w:rPr>
      </w:pPr>
      <w:r w:rsidRPr="00962E58">
        <w:rPr>
          <w:rFonts w:asciiTheme="majorBidi" w:hAnsiTheme="majorBidi"/>
        </w:rPr>
        <w:t xml:space="preserve">NASW national committee on racial and ethnic diversity (2015). </w:t>
      </w:r>
      <w:r w:rsidRPr="00962E58">
        <w:rPr>
          <w:rFonts w:asciiTheme="majorBidi" w:hAnsiTheme="majorBidi"/>
          <w:i/>
          <w:iCs/>
        </w:rPr>
        <w:t>NASW standards for cultural competence in social work practice</w:t>
      </w:r>
      <w:r w:rsidRPr="00962E58">
        <w:rPr>
          <w:rFonts w:asciiTheme="majorBidi" w:hAnsiTheme="majorBidi"/>
        </w:rPr>
        <w:t>. Washington, D.C: NASW.</w:t>
      </w:r>
    </w:p>
    <w:p w14:paraId="58FA5D3D" w14:textId="77777777" w:rsidR="00E354A4" w:rsidRPr="00962E58" w:rsidRDefault="00E354A4" w:rsidP="00E354A4">
      <w:pPr>
        <w:shd w:val="clear" w:color="auto" w:fill="FFFFFF"/>
        <w:spacing w:line="240" w:lineRule="auto"/>
        <w:ind w:left="-52"/>
        <w:rPr>
          <w:rFonts w:asciiTheme="majorBidi" w:hAnsiTheme="majorBidi"/>
          <w:rtl/>
        </w:rPr>
      </w:pPr>
      <w:r w:rsidRPr="00962E58">
        <w:rPr>
          <w:rFonts w:asciiTheme="majorBidi" w:hAnsiTheme="majorBidi"/>
        </w:rPr>
        <w:t>Otten, M. (2003). Intercultural learning and diversity in higher education</w:t>
      </w:r>
      <w:r w:rsidRPr="00962E58">
        <w:rPr>
          <w:rFonts w:asciiTheme="majorBidi" w:hAnsiTheme="majorBidi"/>
          <w:i/>
          <w:iCs/>
        </w:rPr>
        <w:t>. Journal of Studies in International Education, 7</w:t>
      </w:r>
      <w:r w:rsidRPr="00962E58">
        <w:rPr>
          <w:rFonts w:asciiTheme="majorBidi" w:hAnsiTheme="majorBidi"/>
        </w:rPr>
        <w:t>(1), 12-26.</w:t>
      </w:r>
    </w:p>
    <w:p w14:paraId="17D7D4DD"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bookmarkStart w:id="2" w:name="_Hlk51561240"/>
      <w:proofErr w:type="spellStart"/>
      <w:r w:rsidRPr="00962E58">
        <w:rPr>
          <w:rFonts w:asciiTheme="majorBidi" w:eastAsia="Times New Roman" w:hAnsiTheme="majorBidi"/>
        </w:rPr>
        <w:t>Seeleman</w:t>
      </w:r>
      <w:proofErr w:type="spellEnd"/>
      <w:r w:rsidRPr="00962E58">
        <w:rPr>
          <w:rFonts w:asciiTheme="majorBidi" w:eastAsia="Times New Roman" w:hAnsiTheme="majorBidi"/>
        </w:rPr>
        <w:t xml:space="preserve">, C., </w:t>
      </w:r>
      <w:proofErr w:type="spellStart"/>
      <w:r w:rsidRPr="00962E58">
        <w:rPr>
          <w:rFonts w:asciiTheme="majorBidi" w:hAnsiTheme="majorBidi"/>
        </w:rPr>
        <w:t>Suurmond</w:t>
      </w:r>
      <w:proofErr w:type="spellEnd"/>
      <w:r w:rsidRPr="00962E58">
        <w:rPr>
          <w:rFonts w:asciiTheme="majorBidi" w:hAnsiTheme="majorBidi"/>
        </w:rPr>
        <w:t xml:space="preserve">, J., &amp; </w:t>
      </w:r>
      <w:proofErr w:type="spellStart"/>
      <w:r w:rsidRPr="00962E58">
        <w:rPr>
          <w:rFonts w:asciiTheme="majorBidi" w:hAnsiTheme="majorBidi"/>
        </w:rPr>
        <w:t>Stronks</w:t>
      </w:r>
      <w:proofErr w:type="spellEnd"/>
      <w:r w:rsidRPr="00962E58">
        <w:rPr>
          <w:rFonts w:asciiTheme="majorBidi" w:hAnsiTheme="majorBidi"/>
        </w:rPr>
        <w:t>, K.</w:t>
      </w:r>
      <w:r w:rsidRPr="00962E58">
        <w:rPr>
          <w:rFonts w:asciiTheme="majorBidi" w:eastAsia="Times New Roman" w:hAnsiTheme="majorBidi"/>
        </w:rPr>
        <w:t xml:space="preserve"> (2009). </w:t>
      </w:r>
      <w:r w:rsidRPr="00962E58">
        <w:rPr>
          <w:rFonts w:asciiTheme="majorBidi" w:hAnsiTheme="majorBidi"/>
        </w:rPr>
        <w:t xml:space="preserve">Cultural competence: a conceptual framework for teaching and learning. </w:t>
      </w:r>
      <w:r w:rsidRPr="00962E58">
        <w:rPr>
          <w:rFonts w:asciiTheme="majorBidi" w:hAnsiTheme="majorBidi"/>
          <w:i/>
          <w:iCs/>
        </w:rPr>
        <w:t>Medical Education, 43</w:t>
      </w:r>
      <w:r w:rsidRPr="00962E58">
        <w:rPr>
          <w:rFonts w:asciiTheme="majorBidi" w:hAnsiTheme="majorBidi"/>
        </w:rPr>
        <w:t>, 229–237.</w:t>
      </w:r>
    </w:p>
    <w:bookmarkEnd w:id="2"/>
    <w:p w14:paraId="4E0DE4BF"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r w:rsidRPr="00962E58">
        <w:rPr>
          <w:rFonts w:asciiTheme="majorBidi" w:eastAsia="Times New Roman" w:hAnsiTheme="majorBidi"/>
        </w:rPr>
        <w:t xml:space="preserve">Whaley, A. L., &amp; Davis, K. E. (2007). Cultural competence and evidence-based practice in mental health services: A complementary perspective. </w:t>
      </w:r>
      <w:r w:rsidRPr="00962E58">
        <w:rPr>
          <w:rFonts w:asciiTheme="majorBidi" w:eastAsia="Times New Roman" w:hAnsiTheme="majorBidi"/>
          <w:i/>
          <w:iCs/>
        </w:rPr>
        <w:t>American Psychologist</w:t>
      </w:r>
      <w:r w:rsidRPr="00962E58">
        <w:rPr>
          <w:rFonts w:asciiTheme="majorBidi" w:eastAsia="Times New Roman" w:hAnsiTheme="majorBidi"/>
        </w:rPr>
        <w:t xml:space="preserve">, </w:t>
      </w:r>
      <w:r w:rsidRPr="00962E58">
        <w:rPr>
          <w:rFonts w:asciiTheme="majorBidi" w:eastAsia="Times New Roman" w:hAnsiTheme="majorBidi"/>
          <w:i/>
          <w:iCs/>
        </w:rPr>
        <w:t>62</w:t>
      </w:r>
      <w:r w:rsidRPr="00962E58">
        <w:rPr>
          <w:rFonts w:asciiTheme="majorBidi" w:eastAsia="Times New Roman" w:hAnsiTheme="majorBidi"/>
        </w:rPr>
        <w:t>(6), 563-574.</w:t>
      </w:r>
    </w:p>
    <w:p w14:paraId="060D51A6" w14:textId="77777777" w:rsidR="00E354A4" w:rsidRPr="00962E58" w:rsidRDefault="00E354A4" w:rsidP="00E354A4">
      <w:pPr>
        <w:rPr>
          <w:rFonts w:asciiTheme="majorBidi" w:hAnsiTheme="majorBidi"/>
          <w:b/>
          <w:bCs/>
          <w:u w:val="single"/>
        </w:rPr>
      </w:pPr>
    </w:p>
    <w:p w14:paraId="29707A05" w14:textId="77777777" w:rsidR="00E354A4" w:rsidRPr="00962E58" w:rsidRDefault="00E354A4" w:rsidP="00662094">
      <w:pPr>
        <w:spacing w:line="360" w:lineRule="auto"/>
        <w:rPr>
          <w:rFonts w:asciiTheme="majorBidi" w:hAnsiTheme="majorBidi"/>
          <w:u w:val="single"/>
        </w:rPr>
      </w:pPr>
    </w:p>
    <w:p w14:paraId="1227B724" w14:textId="7AE181A3" w:rsidR="004F4EA9" w:rsidRPr="00962E58" w:rsidRDefault="004F4EA9" w:rsidP="004F2E49">
      <w:pPr>
        <w:spacing w:line="360" w:lineRule="auto"/>
        <w:rPr>
          <w:rFonts w:asciiTheme="majorBidi" w:hAnsiTheme="majorBidi"/>
        </w:rPr>
      </w:pPr>
    </w:p>
    <w:p w14:paraId="59AA3B01" w14:textId="38373B95" w:rsidR="00FA098E" w:rsidRPr="004573EA" w:rsidRDefault="00FA098E" w:rsidP="004D7C07">
      <w:pPr>
        <w:spacing w:line="360" w:lineRule="auto"/>
      </w:pPr>
    </w:p>
    <w:p w14:paraId="10059216" w14:textId="77777777" w:rsidR="004573EA" w:rsidRDefault="004573EA" w:rsidP="004573EA">
      <w:pPr>
        <w:jc w:val="center"/>
      </w:pPr>
    </w:p>
    <w:sectPr w:rsidR="004573E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Zauderer" w:date="2020-10-29T08:04:00Z" w:initials="EZ">
    <w:p w14:paraId="63C985F1" w14:textId="264C991A" w:rsidR="006C5F6C" w:rsidRDefault="006C5F6C">
      <w:pPr>
        <w:pStyle w:val="CommentText"/>
      </w:pPr>
      <w:r>
        <w:rPr>
          <w:rStyle w:val="CommentReference"/>
        </w:rPr>
        <w:annotationRef/>
      </w:r>
      <w:r>
        <w:t>Yes? or simply, experience?</w:t>
      </w:r>
    </w:p>
  </w:comment>
  <w:comment w:id="1" w:author="Elizabeth Zauderer" w:date="2020-10-29T08:34:00Z" w:initials="EZ">
    <w:p w14:paraId="322EDA32" w14:textId="5B0E8D8A" w:rsidR="007E5CDD" w:rsidRDefault="007E5CDD">
      <w:pPr>
        <w:pStyle w:val="CommentText"/>
      </w:pPr>
      <w:r>
        <w:rPr>
          <w:rStyle w:val="CommentReference"/>
        </w:rPr>
        <w:annotationRef/>
      </w:r>
      <w:r>
        <w:t xml:space="preserve">I tried the link and it does not open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C985F1" w15:done="0"/>
  <w15:commentEx w15:paraId="322ED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F5FB" w16cex:dateUtc="2020-10-29T06:04:00Z"/>
  <w16cex:commentExtensible w16cex:durableId="2344FD1F" w16cex:dateUtc="2020-10-29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C985F1" w16cid:durableId="2344F5FB"/>
  <w16cid:commentId w16cid:paraId="322EDA32" w16cid:durableId="2344F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B29B" w14:textId="77777777" w:rsidR="006F4929" w:rsidRDefault="006F4929" w:rsidP="00662094">
      <w:pPr>
        <w:spacing w:line="240" w:lineRule="auto"/>
      </w:pPr>
      <w:r>
        <w:separator/>
      </w:r>
    </w:p>
  </w:endnote>
  <w:endnote w:type="continuationSeparator" w:id="0">
    <w:p w14:paraId="604A1EA1" w14:textId="77777777" w:rsidR="006F4929" w:rsidRDefault="006F4929" w:rsidP="00662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heSansC4s-SemiLight">
    <w:altName w:val="Yu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200739"/>
      <w:docPartObj>
        <w:docPartGallery w:val="Page Numbers (Bottom of Page)"/>
        <w:docPartUnique/>
      </w:docPartObj>
    </w:sdtPr>
    <w:sdtEndPr>
      <w:rPr>
        <w:noProof/>
      </w:rPr>
    </w:sdtEndPr>
    <w:sdtContent>
      <w:p w14:paraId="65DADA29" w14:textId="75B280A5" w:rsidR="00662094" w:rsidRDefault="006620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67B4C" w14:textId="77777777" w:rsidR="00662094" w:rsidRDefault="0066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31FA1" w14:textId="77777777" w:rsidR="006F4929" w:rsidRDefault="006F4929" w:rsidP="00662094">
      <w:pPr>
        <w:spacing w:line="240" w:lineRule="auto"/>
      </w:pPr>
      <w:r>
        <w:separator/>
      </w:r>
    </w:p>
  </w:footnote>
  <w:footnote w:type="continuationSeparator" w:id="0">
    <w:p w14:paraId="6322C326" w14:textId="77777777" w:rsidR="006F4929" w:rsidRDefault="006F4929" w:rsidP="00662094">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EA"/>
    <w:rsid w:val="00002D1F"/>
    <w:rsid w:val="0000399E"/>
    <w:rsid w:val="00003BCB"/>
    <w:rsid w:val="0001184C"/>
    <w:rsid w:val="00022D7B"/>
    <w:rsid w:val="000234C4"/>
    <w:rsid w:val="00025692"/>
    <w:rsid w:val="0002733E"/>
    <w:rsid w:val="00027911"/>
    <w:rsid w:val="00031F49"/>
    <w:rsid w:val="00037A07"/>
    <w:rsid w:val="00041BF7"/>
    <w:rsid w:val="00046716"/>
    <w:rsid w:val="000514D7"/>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1857"/>
    <w:rsid w:val="000D24CA"/>
    <w:rsid w:val="000D2D66"/>
    <w:rsid w:val="000D2D8D"/>
    <w:rsid w:val="000D7D43"/>
    <w:rsid w:val="000E08BD"/>
    <w:rsid w:val="000E0DD0"/>
    <w:rsid w:val="000F042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4B9"/>
    <w:rsid w:val="001A011C"/>
    <w:rsid w:val="001A19CA"/>
    <w:rsid w:val="001A2FD3"/>
    <w:rsid w:val="001A4796"/>
    <w:rsid w:val="001A6C8E"/>
    <w:rsid w:val="001B5709"/>
    <w:rsid w:val="001B6AA7"/>
    <w:rsid w:val="001C0BA5"/>
    <w:rsid w:val="001C0CCC"/>
    <w:rsid w:val="001C758A"/>
    <w:rsid w:val="001D741B"/>
    <w:rsid w:val="001E57EB"/>
    <w:rsid w:val="001E7BAB"/>
    <w:rsid w:val="001F440A"/>
    <w:rsid w:val="001F4ABA"/>
    <w:rsid w:val="001F4C35"/>
    <w:rsid w:val="001F5A87"/>
    <w:rsid w:val="001F6AB2"/>
    <w:rsid w:val="001F7ED0"/>
    <w:rsid w:val="00201608"/>
    <w:rsid w:val="00207921"/>
    <w:rsid w:val="00213AB9"/>
    <w:rsid w:val="0021752F"/>
    <w:rsid w:val="002200A5"/>
    <w:rsid w:val="00221641"/>
    <w:rsid w:val="00223AC5"/>
    <w:rsid w:val="002243D6"/>
    <w:rsid w:val="00225AA8"/>
    <w:rsid w:val="002343C4"/>
    <w:rsid w:val="00245BC5"/>
    <w:rsid w:val="00250756"/>
    <w:rsid w:val="00260849"/>
    <w:rsid w:val="002649E1"/>
    <w:rsid w:val="0027127A"/>
    <w:rsid w:val="00277ED4"/>
    <w:rsid w:val="00281A98"/>
    <w:rsid w:val="002908E7"/>
    <w:rsid w:val="0029594C"/>
    <w:rsid w:val="00297F5F"/>
    <w:rsid w:val="002A2A01"/>
    <w:rsid w:val="002B0E04"/>
    <w:rsid w:val="002B65E8"/>
    <w:rsid w:val="002B7C69"/>
    <w:rsid w:val="002C7876"/>
    <w:rsid w:val="002D0053"/>
    <w:rsid w:val="002D0510"/>
    <w:rsid w:val="002D76D6"/>
    <w:rsid w:val="002F067A"/>
    <w:rsid w:val="002F24D5"/>
    <w:rsid w:val="002F4604"/>
    <w:rsid w:val="002F51F3"/>
    <w:rsid w:val="002F5552"/>
    <w:rsid w:val="00300A96"/>
    <w:rsid w:val="003021F5"/>
    <w:rsid w:val="00317937"/>
    <w:rsid w:val="00321A03"/>
    <w:rsid w:val="00322F91"/>
    <w:rsid w:val="00327F76"/>
    <w:rsid w:val="003312DA"/>
    <w:rsid w:val="003313A6"/>
    <w:rsid w:val="00334AB9"/>
    <w:rsid w:val="00335BF3"/>
    <w:rsid w:val="00336913"/>
    <w:rsid w:val="003402A3"/>
    <w:rsid w:val="003407E3"/>
    <w:rsid w:val="0035168D"/>
    <w:rsid w:val="00355B56"/>
    <w:rsid w:val="00355BF6"/>
    <w:rsid w:val="00356FD8"/>
    <w:rsid w:val="00357FDA"/>
    <w:rsid w:val="003600A3"/>
    <w:rsid w:val="00360A34"/>
    <w:rsid w:val="00360A8F"/>
    <w:rsid w:val="00360F4A"/>
    <w:rsid w:val="0037151C"/>
    <w:rsid w:val="003759DF"/>
    <w:rsid w:val="00375B2B"/>
    <w:rsid w:val="00376F10"/>
    <w:rsid w:val="00377E62"/>
    <w:rsid w:val="00380014"/>
    <w:rsid w:val="00381243"/>
    <w:rsid w:val="003855AB"/>
    <w:rsid w:val="003860D7"/>
    <w:rsid w:val="00390265"/>
    <w:rsid w:val="00394616"/>
    <w:rsid w:val="0039776C"/>
    <w:rsid w:val="003A3C21"/>
    <w:rsid w:val="003A5ADE"/>
    <w:rsid w:val="003B0635"/>
    <w:rsid w:val="003B0B14"/>
    <w:rsid w:val="003B39AA"/>
    <w:rsid w:val="003B5C63"/>
    <w:rsid w:val="003B7DA7"/>
    <w:rsid w:val="003D07B2"/>
    <w:rsid w:val="003D14A1"/>
    <w:rsid w:val="003D462B"/>
    <w:rsid w:val="003D677B"/>
    <w:rsid w:val="003D6F5D"/>
    <w:rsid w:val="003D72EF"/>
    <w:rsid w:val="003E46D4"/>
    <w:rsid w:val="003F01AC"/>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629A"/>
    <w:rsid w:val="004573EA"/>
    <w:rsid w:val="0046065B"/>
    <w:rsid w:val="004665D8"/>
    <w:rsid w:val="004669FA"/>
    <w:rsid w:val="00467840"/>
    <w:rsid w:val="00470573"/>
    <w:rsid w:val="00474C17"/>
    <w:rsid w:val="004773CF"/>
    <w:rsid w:val="00480FD0"/>
    <w:rsid w:val="004866DA"/>
    <w:rsid w:val="004874C1"/>
    <w:rsid w:val="00491F8B"/>
    <w:rsid w:val="004A107F"/>
    <w:rsid w:val="004A2135"/>
    <w:rsid w:val="004A3704"/>
    <w:rsid w:val="004C7790"/>
    <w:rsid w:val="004D7C07"/>
    <w:rsid w:val="004E036C"/>
    <w:rsid w:val="004E45DE"/>
    <w:rsid w:val="004E4D0A"/>
    <w:rsid w:val="004E57EB"/>
    <w:rsid w:val="004F2E49"/>
    <w:rsid w:val="004F4718"/>
    <w:rsid w:val="004F47DF"/>
    <w:rsid w:val="004F4845"/>
    <w:rsid w:val="004F4EA9"/>
    <w:rsid w:val="005066FC"/>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2094"/>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C5F6C"/>
    <w:rsid w:val="006D1C4E"/>
    <w:rsid w:val="006D2282"/>
    <w:rsid w:val="006D3962"/>
    <w:rsid w:val="006E094E"/>
    <w:rsid w:val="006E1391"/>
    <w:rsid w:val="006E45C5"/>
    <w:rsid w:val="006F3D5B"/>
    <w:rsid w:val="006F4929"/>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533DA"/>
    <w:rsid w:val="00760B19"/>
    <w:rsid w:val="007669A3"/>
    <w:rsid w:val="00767FC9"/>
    <w:rsid w:val="00772D65"/>
    <w:rsid w:val="007735C9"/>
    <w:rsid w:val="00773899"/>
    <w:rsid w:val="00775473"/>
    <w:rsid w:val="00780814"/>
    <w:rsid w:val="00781E01"/>
    <w:rsid w:val="00782D70"/>
    <w:rsid w:val="00783B76"/>
    <w:rsid w:val="00786D8F"/>
    <w:rsid w:val="0079219B"/>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CDD"/>
    <w:rsid w:val="007E5FC6"/>
    <w:rsid w:val="007F257F"/>
    <w:rsid w:val="007F7078"/>
    <w:rsid w:val="007F7842"/>
    <w:rsid w:val="008028A1"/>
    <w:rsid w:val="00807B7C"/>
    <w:rsid w:val="00813B20"/>
    <w:rsid w:val="0082034D"/>
    <w:rsid w:val="00821F65"/>
    <w:rsid w:val="00826DA1"/>
    <w:rsid w:val="008301FD"/>
    <w:rsid w:val="00830DB2"/>
    <w:rsid w:val="00832079"/>
    <w:rsid w:val="00835231"/>
    <w:rsid w:val="00836928"/>
    <w:rsid w:val="00836ABE"/>
    <w:rsid w:val="00841229"/>
    <w:rsid w:val="00843DBB"/>
    <w:rsid w:val="00852D5C"/>
    <w:rsid w:val="00853E8A"/>
    <w:rsid w:val="00854327"/>
    <w:rsid w:val="00860D76"/>
    <w:rsid w:val="0086115D"/>
    <w:rsid w:val="008617CF"/>
    <w:rsid w:val="00861E81"/>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74A9"/>
    <w:rsid w:val="00914B46"/>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2E58"/>
    <w:rsid w:val="0096319D"/>
    <w:rsid w:val="00965952"/>
    <w:rsid w:val="009661FB"/>
    <w:rsid w:val="0096712B"/>
    <w:rsid w:val="00982E0B"/>
    <w:rsid w:val="00987AD5"/>
    <w:rsid w:val="00990D21"/>
    <w:rsid w:val="00993B00"/>
    <w:rsid w:val="009953C8"/>
    <w:rsid w:val="00996EE3"/>
    <w:rsid w:val="009A10C6"/>
    <w:rsid w:val="009A4976"/>
    <w:rsid w:val="009B07D5"/>
    <w:rsid w:val="009B1BE1"/>
    <w:rsid w:val="009B6230"/>
    <w:rsid w:val="009D6490"/>
    <w:rsid w:val="009D6B92"/>
    <w:rsid w:val="009D7B0F"/>
    <w:rsid w:val="009E0693"/>
    <w:rsid w:val="009E5C2B"/>
    <w:rsid w:val="009E7D47"/>
    <w:rsid w:val="009F2449"/>
    <w:rsid w:val="009F71EF"/>
    <w:rsid w:val="00A00045"/>
    <w:rsid w:val="00A013F8"/>
    <w:rsid w:val="00A04F89"/>
    <w:rsid w:val="00A111FB"/>
    <w:rsid w:val="00A1405A"/>
    <w:rsid w:val="00A152D9"/>
    <w:rsid w:val="00A24219"/>
    <w:rsid w:val="00A24223"/>
    <w:rsid w:val="00A25B4F"/>
    <w:rsid w:val="00A303F0"/>
    <w:rsid w:val="00A3386C"/>
    <w:rsid w:val="00A3393B"/>
    <w:rsid w:val="00A35353"/>
    <w:rsid w:val="00A37DA1"/>
    <w:rsid w:val="00A41060"/>
    <w:rsid w:val="00A45738"/>
    <w:rsid w:val="00A47DB2"/>
    <w:rsid w:val="00A505CA"/>
    <w:rsid w:val="00A53C7E"/>
    <w:rsid w:val="00A54547"/>
    <w:rsid w:val="00A54DD5"/>
    <w:rsid w:val="00A57675"/>
    <w:rsid w:val="00A60D83"/>
    <w:rsid w:val="00A61DDF"/>
    <w:rsid w:val="00A632C7"/>
    <w:rsid w:val="00A657CB"/>
    <w:rsid w:val="00A7129A"/>
    <w:rsid w:val="00A72901"/>
    <w:rsid w:val="00A7603D"/>
    <w:rsid w:val="00A82C1F"/>
    <w:rsid w:val="00A84976"/>
    <w:rsid w:val="00A85FA3"/>
    <w:rsid w:val="00A86D84"/>
    <w:rsid w:val="00A87D8C"/>
    <w:rsid w:val="00A91114"/>
    <w:rsid w:val="00A93ED4"/>
    <w:rsid w:val="00AA1B18"/>
    <w:rsid w:val="00AA6728"/>
    <w:rsid w:val="00AA7288"/>
    <w:rsid w:val="00AB311F"/>
    <w:rsid w:val="00AB3401"/>
    <w:rsid w:val="00AB529C"/>
    <w:rsid w:val="00AB6B59"/>
    <w:rsid w:val="00AC33A6"/>
    <w:rsid w:val="00AC64FE"/>
    <w:rsid w:val="00AD48F8"/>
    <w:rsid w:val="00AD7FA1"/>
    <w:rsid w:val="00AE0A05"/>
    <w:rsid w:val="00AE2385"/>
    <w:rsid w:val="00AE3605"/>
    <w:rsid w:val="00AE73E3"/>
    <w:rsid w:val="00AF2005"/>
    <w:rsid w:val="00AF2B57"/>
    <w:rsid w:val="00AF4BA3"/>
    <w:rsid w:val="00AF60C2"/>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7165"/>
    <w:rsid w:val="00B55929"/>
    <w:rsid w:val="00B60D61"/>
    <w:rsid w:val="00B61982"/>
    <w:rsid w:val="00B72FA2"/>
    <w:rsid w:val="00B75D73"/>
    <w:rsid w:val="00B81631"/>
    <w:rsid w:val="00B81EAF"/>
    <w:rsid w:val="00B83D22"/>
    <w:rsid w:val="00B93ED6"/>
    <w:rsid w:val="00B9581C"/>
    <w:rsid w:val="00B95DD9"/>
    <w:rsid w:val="00B977E1"/>
    <w:rsid w:val="00BB666B"/>
    <w:rsid w:val="00BC31E8"/>
    <w:rsid w:val="00BC7568"/>
    <w:rsid w:val="00BD1BD4"/>
    <w:rsid w:val="00BD248B"/>
    <w:rsid w:val="00BD2950"/>
    <w:rsid w:val="00BD2ADB"/>
    <w:rsid w:val="00BD4110"/>
    <w:rsid w:val="00BD44D0"/>
    <w:rsid w:val="00BE118E"/>
    <w:rsid w:val="00BE360C"/>
    <w:rsid w:val="00BE7966"/>
    <w:rsid w:val="00BF2468"/>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51333"/>
    <w:rsid w:val="00C513C0"/>
    <w:rsid w:val="00C5156B"/>
    <w:rsid w:val="00C528BC"/>
    <w:rsid w:val="00C54835"/>
    <w:rsid w:val="00C61B62"/>
    <w:rsid w:val="00C61E01"/>
    <w:rsid w:val="00C63693"/>
    <w:rsid w:val="00C72327"/>
    <w:rsid w:val="00C726A0"/>
    <w:rsid w:val="00C75786"/>
    <w:rsid w:val="00C76C55"/>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32DA"/>
    <w:rsid w:val="00D04557"/>
    <w:rsid w:val="00D07114"/>
    <w:rsid w:val="00D13881"/>
    <w:rsid w:val="00D14055"/>
    <w:rsid w:val="00D24F30"/>
    <w:rsid w:val="00D27ED4"/>
    <w:rsid w:val="00D34AFF"/>
    <w:rsid w:val="00D3768F"/>
    <w:rsid w:val="00D404B7"/>
    <w:rsid w:val="00D44D2D"/>
    <w:rsid w:val="00D55769"/>
    <w:rsid w:val="00D65F69"/>
    <w:rsid w:val="00D741FB"/>
    <w:rsid w:val="00D76D97"/>
    <w:rsid w:val="00D77030"/>
    <w:rsid w:val="00D807B9"/>
    <w:rsid w:val="00D8092C"/>
    <w:rsid w:val="00D80CB0"/>
    <w:rsid w:val="00D841DA"/>
    <w:rsid w:val="00DA1B93"/>
    <w:rsid w:val="00DA69B0"/>
    <w:rsid w:val="00DA7B83"/>
    <w:rsid w:val="00DB3A25"/>
    <w:rsid w:val="00DB3C81"/>
    <w:rsid w:val="00DC2A50"/>
    <w:rsid w:val="00DD610C"/>
    <w:rsid w:val="00DE7E48"/>
    <w:rsid w:val="00DF0B5E"/>
    <w:rsid w:val="00E01B34"/>
    <w:rsid w:val="00E11411"/>
    <w:rsid w:val="00E14706"/>
    <w:rsid w:val="00E24F00"/>
    <w:rsid w:val="00E3179F"/>
    <w:rsid w:val="00E3230F"/>
    <w:rsid w:val="00E33298"/>
    <w:rsid w:val="00E33890"/>
    <w:rsid w:val="00E354A4"/>
    <w:rsid w:val="00E3608D"/>
    <w:rsid w:val="00E366DB"/>
    <w:rsid w:val="00E37BF3"/>
    <w:rsid w:val="00E40B52"/>
    <w:rsid w:val="00E424A8"/>
    <w:rsid w:val="00E44532"/>
    <w:rsid w:val="00E45A4E"/>
    <w:rsid w:val="00E50EF4"/>
    <w:rsid w:val="00E550B4"/>
    <w:rsid w:val="00E65CCD"/>
    <w:rsid w:val="00E719D3"/>
    <w:rsid w:val="00E71B56"/>
    <w:rsid w:val="00E71D9C"/>
    <w:rsid w:val="00E75F22"/>
    <w:rsid w:val="00E81401"/>
    <w:rsid w:val="00E83B15"/>
    <w:rsid w:val="00E86197"/>
    <w:rsid w:val="00E90D39"/>
    <w:rsid w:val="00E92772"/>
    <w:rsid w:val="00E97161"/>
    <w:rsid w:val="00EA064A"/>
    <w:rsid w:val="00EA1652"/>
    <w:rsid w:val="00EB3462"/>
    <w:rsid w:val="00EB723D"/>
    <w:rsid w:val="00EB75EF"/>
    <w:rsid w:val="00EC4231"/>
    <w:rsid w:val="00EC5559"/>
    <w:rsid w:val="00ED651E"/>
    <w:rsid w:val="00ED77DB"/>
    <w:rsid w:val="00EE0629"/>
    <w:rsid w:val="00EE0DE0"/>
    <w:rsid w:val="00EE339D"/>
    <w:rsid w:val="00EE7555"/>
    <w:rsid w:val="00EE7D9D"/>
    <w:rsid w:val="00EF1309"/>
    <w:rsid w:val="00EF6756"/>
    <w:rsid w:val="00EF7539"/>
    <w:rsid w:val="00F02B3C"/>
    <w:rsid w:val="00F05639"/>
    <w:rsid w:val="00F25B1F"/>
    <w:rsid w:val="00F266A5"/>
    <w:rsid w:val="00F31FD0"/>
    <w:rsid w:val="00F34837"/>
    <w:rsid w:val="00F34F46"/>
    <w:rsid w:val="00F374E3"/>
    <w:rsid w:val="00F40D56"/>
    <w:rsid w:val="00F449E8"/>
    <w:rsid w:val="00F463EF"/>
    <w:rsid w:val="00F52181"/>
    <w:rsid w:val="00F54311"/>
    <w:rsid w:val="00F569F1"/>
    <w:rsid w:val="00F61124"/>
    <w:rsid w:val="00F63461"/>
    <w:rsid w:val="00F65DE8"/>
    <w:rsid w:val="00F71B5F"/>
    <w:rsid w:val="00F73FA8"/>
    <w:rsid w:val="00F750C8"/>
    <w:rsid w:val="00F81164"/>
    <w:rsid w:val="00F84DA3"/>
    <w:rsid w:val="00F8745B"/>
    <w:rsid w:val="00FA098E"/>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DAA6"/>
  <w15:chartTrackingRefBased/>
  <w15:docId w15:val="{9610EA56-7D4A-42A8-ADFE-2E1D25C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EA9"/>
    <w:rPr>
      <w:color w:val="0563C1" w:themeColor="hyperlink"/>
      <w:u w:val="single"/>
    </w:rPr>
  </w:style>
  <w:style w:type="character" w:styleId="FollowedHyperlink">
    <w:name w:val="FollowedHyperlink"/>
    <w:basedOn w:val="DefaultParagraphFont"/>
    <w:uiPriority w:val="99"/>
    <w:semiHidden/>
    <w:unhideWhenUsed/>
    <w:rsid w:val="00A61DDF"/>
    <w:rPr>
      <w:color w:val="954F72" w:themeColor="followedHyperlink"/>
      <w:u w:val="single"/>
    </w:rPr>
  </w:style>
  <w:style w:type="paragraph" w:styleId="Header">
    <w:name w:val="header"/>
    <w:basedOn w:val="Normal"/>
    <w:link w:val="HeaderChar"/>
    <w:uiPriority w:val="99"/>
    <w:unhideWhenUsed/>
    <w:rsid w:val="00662094"/>
    <w:pPr>
      <w:tabs>
        <w:tab w:val="center" w:pos="4680"/>
        <w:tab w:val="right" w:pos="9360"/>
      </w:tabs>
      <w:spacing w:line="240" w:lineRule="auto"/>
    </w:pPr>
  </w:style>
  <w:style w:type="character" w:customStyle="1" w:styleId="HeaderChar">
    <w:name w:val="Header Char"/>
    <w:basedOn w:val="DefaultParagraphFont"/>
    <w:link w:val="Header"/>
    <w:uiPriority w:val="99"/>
    <w:rsid w:val="00662094"/>
  </w:style>
  <w:style w:type="paragraph" w:styleId="Footer">
    <w:name w:val="footer"/>
    <w:basedOn w:val="Normal"/>
    <w:link w:val="FooterChar"/>
    <w:uiPriority w:val="99"/>
    <w:unhideWhenUsed/>
    <w:rsid w:val="00662094"/>
    <w:pPr>
      <w:tabs>
        <w:tab w:val="center" w:pos="4680"/>
        <w:tab w:val="right" w:pos="9360"/>
      </w:tabs>
      <w:spacing w:line="240" w:lineRule="auto"/>
    </w:pPr>
  </w:style>
  <w:style w:type="character" w:customStyle="1" w:styleId="FooterChar">
    <w:name w:val="Footer Char"/>
    <w:basedOn w:val="DefaultParagraphFont"/>
    <w:link w:val="Footer"/>
    <w:uiPriority w:val="99"/>
    <w:rsid w:val="00662094"/>
  </w:style>
  <w:style w:type="character" w:styleId="Emphasis">
    <w:name w:val="Emphasis"/>
    <w:basedOn w:val="DefaultParagraphFont"/>
    <w:uiPriority w:val="20"/>
    <w:qFormat/>
    <w:rsid w:val="00E354A4"/>
    <w:rPr>
      <w:i/>
      <w:iCs/>
    </w:rPr>
  </w:style>
  <w:style w:type="character" w:styleId="CommentReference">
    <w:name w:val="annotation reference"/>
    <w:basedOn w:val="DefaultParagraphFont"/>
    <w:uiPriority w:val="99"/>
    <w:semiHidden/>
    <w:unhideWhenUsed/>
    <w:rsid w:val="006C5F6C"/>
    <w:rPr>
      <w:sz w:val="16"/>
      <w:szCs w:val="16"/>
    </w:rPr>
  </w:style>
  <w:style w:type="paragraph" w:styleId="CommentText">
    <w:name w:val="annotation text"/>
    <w:basedOn w:val="Normal"/>
    <w:link w:val="CommentTextChar"/>
    <w:uiPriority w:val="99"/>
    <w:semiHidden/>
    <w:unhideWhenUsed/>
    <w:rsid w:val="006C5F6C"/>
    <w:pPr>
      <w:spacing w:line="240" w:lineRule="auto"/>
    </w:pPr>
    <w:rPr>
      <w:sz w:val="20"/>
      <w:szCs w:val="20"/>
    </w:rPr>
  </w:style>
  <w:style w:type="character" w:customStyle="1" w:styleId="CommentTextChar">
    <w:name w:val="Comment Text Char"/>
    <w:basedOn w:val="DefaultParagraphFont"/>
    <w:link w:val="CommentText"/>
    <w:uiPriority w:val="99"/>
    <w:semiHidden/>
    <w:rsid w:val="006C5F6C"/>
    <w:rPr>
      <w:sz w:val="20"/>
      <w:szCs w:val="20"/>
    </w:rPr>
  </w:style>
  <w:style w:type="paragraph" w:styleId="CommentSubject">
    <w:name w:val="annotation subject"/>
    <w:basedOn w:val="CommentText"/>
    <w:next w:val="CommentText"/>
    <w:link w:val="CommentSubjectChar"/>
    <w:uiPriority w:val="99"/>
    <w:semiHidden/>
    <w:unhideWhenUsed/>
    <w:rsid w:val="006C5F6C"/>
    <w:rPr>
      <w:b/>
      <w:bCs/>
    </w:rPr>
  </w:style>
  <w:style w:type="character" w:customStyle="1" w:styleId="CommentSubjectChar">
    <w:name w:val="Comment Subject Char"/>
    <w:basedOn w:val="CommentTextChar"/>
    <w:link w:val="CommentSubject"/>
    <w:uiPriority w:val="99"/>
    <w:semiHidden/>
    <w:rsid w:val="006C5F6C"/>
    <w:rPr>
      <w:b/>
      <w:bCs/>
      <w:sz w:val="20"/>
      <w:szCs w:val="20"/>
    </w:rPr>
  </w:style>
  <w:style w:type="paragraph" w:styleId="BalloonText">
    <w:name w:val="Balloon Text"/>
    <w:basedOn w:val="Normal"/>
    <w:link w:val="BalloonTextChar"/>
    <w:uiPriority w:val="99"/>
    <w:semiHidden/>
    <w:unhideWhenUsed/>
    <w:rsid w:val="006C5F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doi.org/10.1080/072943609027250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psycnet.apa.org/doi/10.1037/tps0000229"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www.demo.erasmus-il.org/copy-of-family-and-community-in-the?lang=he"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5</cp:revision>
  <dcterms:created xsi:type="dcterms:W3CDTF">2020-10-28T03:42:00Z</dcterms:created>
  <dcterms:modified xsi:type="dcterms:W3CDTF">2020-10-29T06:35:00Z</dcterms:modified>
</cp:coreProperties>
</file>