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2BA02" w14:textId="77777777" w:rsidR="00AE68B0" w:rsidRPr="00AE68B0" w:rsidRDefault="00A85FE7" w:rsidP="00670DD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sz w:val="28"/>
          <w:szCs w:val="28"/>
          <w:lang w:val="en-CA"/>
        </w:rPr>
      </w:pPr>
      <w:r w:rsidRPr="00AE68B0">
        <w:rPr>
          <w:rFonts w:cstheme="minorHAnsi"/>
          <w:b/>
          <w:noProof/>
          <w:color w:val="6E6259"/>
          <w:sz w:val="10"/>
          <w:szCs w:val="1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1DF1668C" wp14:editId="50F7D13D">
            <wp:simplePos x="0" y="0"/>
            <wp:positionH relativeFrom="column">
              <wp:posOffset>4149564</wp:posOffset>
            </wp:positionH>
            <wp:positionV relativeFrom="paragraph">
              <wp:posOffset>-301928</wp:posOffset>
            </wp:positionV>
            <wp:extent cx="3139450" cy="561975"/>
            <wp:effectExtent l="0" t="0" r="0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646757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56AC0E" w14:textId="77777777" w:rsidR="00DF050B" w:rsidRPr="00173A63" w:rsidRDefault="00A85FE7" w:rsidP="00670DDC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color w:val="F9423A"/>
          <w:lang w:val="en-US"/>
        </w:rPr>
      </w:pPr>
      <w:r>
        <w:rPr>
          <w:rFonts w:ascii="Calibri" w:eastAsia="Calibri" w:hAnsi="Calibri" w:cs="Calibri"/>
          <w:b/>
          <w:bCs/>
          <w:color w:val="F9423A"/>
          <w:sz w:val="36"/>
          <w:szCs w:val="36"/>
        </w:rPr>
        <w:t>TOPO </w:t>
      </w:r>
    </w:p>
    <w:p w14:paraId="091359F3" w14:textId="77777777" w:rsidR="00401C41" w:rsidRDefault="00A85FE7" w:rsidP="00705BBD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Séance sur la liberté de la presse</w:t>
      </w:r>
    </w:p>
    <w:p w14:paraId="466E6FFB" w14:textId="77777777" w:rsidR="00705BBD" w:rsidRDefault="00A85FE7" w:rsidP="00705BB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noProof/>
          <w:color w:val="6E6259"/>
          <w:sz w:val="14"/>
          <w:szCs w:val="14"/>
          <w:lang w:val="en-CA" w:eastAsia="fr-FR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</w:t>
      </w:r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>Institut sur le leader</w:t>
      </w:r>
      <w:r>
        <w:rPr>
          <w:rFonts w:ascii="Calibri" w:eastAsia="Calibri" w:hAnsi="Calibri" w:cs="Arial"/>
          <w:b/>
          <w:bCs/>
          <w:i/>
          <w:iCs/>
          <w:color w:val="6E6259"/>
          <w:sz w:val="24"/>
          <w:szCs w:val="24"/>
        </w:rPr>
        <w:t xml:space="preserve">ship engagé de 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Washington, D. C.</w:t>
      </w:r>
      <w:r>
        <w:rPr>
          <w:rFonts w:eastAsia="Arial" w:cs="Calibri"/>
          <w:b/>
          <w:bCs/>
          <w:color w:val="6E6259"/>
          <w:sz w:val="14"/>
          <w:szCs w:val="14"/>
        </w:rPr>
        <w:t xml:space="preserve"> </w:t>
      </w:r>
    </w:p>
    <w:p w14:paraId="15CACC93" w14:textId="0F5E0F7F" w:rsidR="00DF050B" w:rsidRPr="00B45DB6" w:rsidRDefault="00A85FE7" w:rsidP="0078377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76" w:lineRule="auto"/>
        <w:rPr>
          <w:rFonts w:ascii="Calibri" w:eastAsia="Calibri" w:hAnsi="Calibri" w:cs="Arial"/>
          <w:b/>
          <w:bCs/>
          <w:color w:val="6E6259"/>
          <w:sz w:val="24"/>
          <w:szCs w:val="24"/>
          <w:lang w:val="en-CA"/>
        </w:rPr>
      </w:pPr>
      <w:r>
        <w:rPr>
          <w:rFonts w:ascii="Calibri" w:eastAsia="Calibri" w:hAnsi="Calibri" w:cs="Arial"/>
          <w:b/>
          <w:bCs/>
          <w:color w:val="FF0000"/>
          <w:sz w:val="24"/>
          <w:szCs w:val="24"/>
        </w:rPr>
        <w:t>|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 xml:space="preserve"> Jeudi</w:t>
      </w:r>
      <w:r w:rsidR="004D32F2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19</w:t>
      </w:r>
      <w:r w:rsidR="004D32F2">
        <w:rPr>
          <w:rFonts w:ascii="Calibri" w:eastAsia="Calibri" w:hAnsi="Calibri" w:cs="Arial"/>
          <w:b/>
          <w:bCs/>
          <w:color w:val="6E6259"/>
          <w:sz w:val="24"/>
          <w:szCs w:val="24"/>
        </w:rPr>
        <w:t> </w:t>
      </w:r>
      <w:r>
        <w:rPr>
          <w:rFonts w:ascii="Calibri" w:eastAsia="Calibri" w:hAnsi="Calibri" w:cs="Arial"/>
          <w:b/>
          <w:bCs/>
          <w:color w:val="6E6259"/>
          <w:sz w:val="24"/>
          <w:szCs w:val="24"/>
        </w:rPr>
        <w:t>mars 2020</w:t>
      </w:r>
    </w:p>
    <w:p w14:paraId="2016D575" w14:textId="77777777" w:rsidR="00D42635" w:rsidRPr="00CA10AE" w:rsidRDefault="00D42635" w:rsidP="00D42635">
      <w:pPr>
        <w:spacing w:after="0"/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</w:p>
    <w:p w14:paraId="2707A9DF" w14:textId="77777777" w:rsidR="00D42635" w:rsidRPr="00CA10AE" w:rsidRDefault="00A85FE7" w:rsidP="00D42635">
      <w:pPr>
        <w:rPr>
          <w:rFonts w:asciiTheme="minorHAnsi" w:hAnsiTheme="minorHAnsi" w:cstheme="minorHAnsi"/>
          <w:b/>
          <w:bCs/>
          <w:color w:val="5AB9BB"/>
          <w:sz w:val="24"/>
          <w:szCs w:val="24"/>
          <w:lang w:val="en-CA"/>
        </w:rPr>
      </w:pPr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Liberté de la presse et état de sécurité nationale</w:t>
      </w:r>
    </w:p>
    <w:p w14:paraId="6C0C849C" w14:textId="460FF8B9" w:rsidR="005A5D76" w:rsidRDefault="00A85FE7" w:rsidP="008B3DAC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Comme le souligne l’American Civil </w:t>
      </w:r>
      <w:proofErr w:type="spellStart"/>
      <w:r>
        <w:rPr>
          <w:rFonts w:ascii="Calibri" w:eastAsia="Calibri" w:hAnsi="Calibri" w:cs="Calibri"/>
        </w:rPr>
        <w:t>Liberties</w:t>
      </w:r>
      <w:proofErr w:type="spellEnd"/>
      <w:r>
        <w:rPr>
          <w:rFonts w:ascii="Calibri" w:eastAsia="Calibri" w:hAnsi="Calibri" w:cs="Calibri"/>
        </w:rPr>
        <w:t xml:space="preserve"> Union (</w:t>
      </w:r>
      <w:proofErr w:type="spellStart"/>
      <w:r>
        <w:rPr>
          <w:rFonts w:ascii="Calibri" w:eastAsia="Calibri" w:hAnsi="Calibri" w:cs="Calibri"/>
        </w:rPr>
        <w:t>ACLU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> : « La liberté de la presse, protégée par le Premier amendement [de la constitution des États-Unis], est d’une importan</w:t>
      </w:r>
      <w:r>
        <w:rPr>
          <w:rFonts w:ascii="Calibri" w:eastAsia="Calibri" w:hAnsi="Calibri" w:cs="Calibri"/>
        </w:rPr>
        <w:t xml:space="preserve">ce critique dans une démocratie où l’État doit rendre des comptes à sa population. Un média libre assure un rôle de vigilance, car il peut enquêter et dénoncer les méfaits de l’État. Il représente également une </w:t>
      </w:r>
      <w:r w:rsidR="00275046">
        <w:rPr>
          <w:rFonts w:ascii="Calibri" w:eastAsia="Calibri" w:hAnsi="Calibri" w:cs="Calibri"/>
        </w:rPr>
        <w:t xml:space="preserve">formidable </w:t>
      </w:r>
      <w:r>
        <w:rPr>
          <w:rFonts w:ascii="Calibri" w:eastAsia="Calibri" w:hAnsi="Calibri" w:cs="Calibri"/>
        </w:rPr>
        <w:t xml:space="preserve">plateforme d’échange d’idées permettant aux </w:t>
      </w:r>
      <w:proofErr w:type="spellStart"/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itoyen.ne</w:t>
      </w:r>
      <w:bookmarkStart w:id="0" w:name="_GoBack"/>
      <w:r>
        <w:rPr>
          <w:rFonts w:ascii="Calibri" w:eastAsia="Calibri" w:hAnsi="Calibri" w:cs="Calibri"/>
        </w:rPr>
        <w:t>.</w:t>
      </w:r>
      <w:bookmarkEnd w:id="0"/>
      <w:r>
        <w:rPr>
          <w:rFonts w:ascii="Calibri" w:eastAsia="Calibri" w:hAnsi="Calibri" w:cs="Calibri"/>
        </w:rPr>
        <w:t>s</w:t>
      </w:r>
      <w:proofErr w:type="spellEnd"/>
      <w:proofErr w:type="gramEnd"/>
      <w:r>
        <w:rPr>
          <w:rFonts w:ascii="Calibri" w:eastAsia="Calibri" w:hAnsi="Calibri" w:cs="Calibri"/>
        </w:rPr>
        <w:t xml:space="preserve"> ordinaires de s’exprimer et d’être </w:t>
      </w:r>
      <w:proofErr w:type="spellStart"/>
      <w:r>
        <w:rPr>
          <w:rFonts w:ascii="Calibri" w:eastAsia="Calibri" w:hAnsi="Calibri" w:cs="Calibri"/>
        </w:rPr>
        <w:t>confronté.e.s</w:t>
      </w:r>
      <w:proofErr w:type="spellEnd"/>
      <w:r>
        <w:rPr>
          <w:rFonts w:ascii="Calibri" w:eastAsia="Calibri" w:hAnsi="Calibri" w:cs="Calibri"/>
        </w:rPr>
        <w:t xml:space="preserve"> à </w:t>
      </w:r>
      <w:r w:rsidR="00D17FA5">
        <w:rPr>
          <w:rFonts w:ascii="Calibri" w:eastAsia="Calibri" w:hAnsi="Calibri" w:cs="Calibri"/>
        </w:rPr>
        <w:t>toutes sortes d’</w:t>
      </w:r>
      <w:r>
        <w:rPr>
          <w:rFonts w:ascii="Calibri" w:eastAsia="Calibri" w:hAnsi="Calibri" w:cs="Calibri"/>
        </w:rPr>
        <w:t>opinions et</w:t>
      </w:r>
      <w:r w:rsidR="00D17FA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d</w:t>
      </w:r>
      <w:r w:rsidR="00D17FA5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>information</w:t>
      </w:r>
      <w:r w:rsidR="00D17FA5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 »</w:t>
      </w:r>
      <w:r>
        <w:rPr>
          <w:rStyle w:val="FootnoteReference"/>
          <w:rFonts w:asciiTheme="minorHAnsi" w:hAnsiTheme="minorHAnsi" w:cstheme="minorHAnsi"/>
          <w:lang w:val="en-CA"/>
        </w:rPr>
        <w:footnoteReference w:id="1"/>
      </w:r>
    </w:p>
    <w:p w14:paraId="37484225" w14:textId="6416A75E" w:rsidR="008B3DAC" w:rsidRDefault="00A85FE7" w:rsidP="008B3DAC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« La montée de l’état de sécurité nationale et la prolifération de</w:t>
      </w:r>
      <w:r>
        <w:rPr>
          <w:rFonts w:ascii="Calibri" w:eastAsia="Calibri" w:hAnsi="Calibri" w:cs="Calibri"/>
        </w:rPr>
        <w:t xml:space="preserve"> no</w:t>
      </w:r>
      <w:r>
        <w:rPr>
          <w:rFonts w:ascii="Calibri" w:eastAsia="Calibri" w:hAnsi="Calibri" w:cs="Calibri"/>
        </w:rPr>
        <w:t xml:space="preserve">uvelles technologies de surveillance constituent de nouveaux obstacles à la liberté de la presse. L’État a porté un coup sans précédent </w:t>
      </w:r>
      <w:r w:rsidR="00644275">
        <w:rPr>
          <w:rFonts w:ascii="Calibri" w:eastAsia="Calibri" w:hAnsi="Calibri" w:cs="Calibri"/>
        </w:rPr>
        <w:t>aux</w:t>
      </w:r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lanceur.euse</w:t>
      </w:r>
      <w:proofErr w:type="gramEnd"/>
      <w:r>
        <w:rPr>
          <w:rFonts w:ascii="Calibri" w:eastAsia="Calibri" w:hAnsi="Calibri" w:cs="Calibri"/>
        </w:rPr>
        <w:t>.s</w:t>
      </w:r>
      <w:proofErr w:type="spellEnd"/>
      <w:r>
        <w:rPr>
          <w:rFonts w:ascii="Calibri" w:eastAsia="Calibri" w:hAnsi="Calibri" w:cs="Calibri"/>
        </w:rPr>
        <w:t xml:space="preserve"> d’alerte, s’attaquant aux journalistes afin de remonter jusqu’à leurs sources. En cas de divul</w:t>
      </w:r>
      <w:r>
        <w:rPr>
          <w:rFonts w:ascii="Calibri" w:eastAsia="Calibri" w:hAnsi="Calibri" w:cs="Calibri"/>
        </w:rPr>
        <w:t xml:space="preserve">gation d’information à la presse au nom de l’intérêt public, les </w:t>
      </w:r>
      <w:proofErr w:type="spellStart"/>
      <w:proofErr w:type="gramStart"/>
      <w:r>
        <w:rPr>
          <w:rFonts w:ascii="Calibri" w:eastAsia="Calibri" w:hAnsi="Calibri" w:cs="Calibri"/>
        </w:rPr>
        <w:t>lanceur.euse</w:t>
      </w:r>
      <w:proofErr w:type="gramEnd"/>
      <w:r>
        <w:rPr>
          <w:rFonts w:ascii="Calibri" w:eastAsia="Calibri" w:hAnsi="Calibri" w:cs="Calibri"/>
        </w:rPr>
        <w:t>.s</w:t>
      </w:r>
      <w:proofErr w:type="spellEnd"/>
      <w:r>
        <w:rPr>
          <w:rFonts w:ascii="Calibri" w:eastAsia="Calibri" w:hAnsi="Calibri" w:cs="Calibri"/>
        </w:rPr>
        <w:t xml:space="preserve"> d’alerte (comme Edward Snowden) risquent la poursuite judiciaire en vertu de la loi sur l’espionnage datant de la Première Guerre mondiale. </w:t>
      </w:r>
      <w:r>
        <w:rPr>
          <w:rFonts w:ascii="Calibri" w:eastAsia="Calibri" w:hAnsi="Calibri" w:cs="Calibri"/>
        </w:rPr>
        <w:t>Devant la montée des dispositifs de</w:t>
      </w:r>
      <w:r>
        <w:rPr>
          <w:rFonts w:ascii="Calibri" w:eastAsia="Calibri" w:hAnsi="Calibri" w:cs="Calibri"/>
        </w:rPr>
        <w:t xml:space="preserve"> surveillance, les journalistes doivent redoubler d’effort</w:t>
      </w:r>
      <w:r w:rsidR="004D32F2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pour protéger leurs sources et, par conséquent, le droit du public à l’information. »</w:t>
      </w:r>
      <w:r>
        <w:rPr>
          <w:rStyle w:val="FootnoteReference"/>
          <w:rFonts w:asciiTheme="minorHAnsi" w:hAnsiTheme="minorHAnsi" w:cstheme="minorHAnsi"/>
          <w:lang w:val="en-CA"/>
        </w:rPr>
        <w:footnoteReference w:id="2"/>
      </w:r>
      <w:r>
        <w:rPr>
          <w:rFonts w:ascii="Calibri" w:eastAsia="Calibri" w:hAnsi="Calibri" w:cs="Calibri"/>
        </w:rPr>
        <w:t xml:space="preserve">  </w:t>
      </w:r>
    </w:p>
    <w:p w14:paraId="6A1E4773" w14:textId="54BDC536" w:rsidR="004C44A7" w:rsidRPr="00D51ABF" w:rsidRDefault="00A85FE7" w:rsidP="004C44A7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« Bien que presque chacun des États (40 États et le district de Columbia) dispose d’une loi autorisant les journalistes à ne pas divulguer aux forces de l’ordre de renseignements délicats liés à leurs enquête</w:t>
      </w:r>
      <w:r>
        <w:rPr>
          <w:rFonts w:ascii="Calibri" w:eastAsia="Calibri" w:hAnsi="Calibri" w:cs="Calibri"/>
        </w:rPr>
        <w:t>s, notamment l’identité de sources confidentielles, le Congrès et les tribunaux fédéraux ont refusé de leur reconnaître un tel privilège. Par conséquent, des journalistes ont été assignés à comparaître par des procureurs pour divulguer leurs sources confid</w:t>
      </w:r>
      <w:r>
        <w:rPr>
          <w:rFonts w:ascii="Calibri" w:eastAsia="Calibri" w:hAnsi="Calibri" w:cs="Calibri"/>
        </w:rPr>
        <w:t xml:space="preserve">entielles, encourant une peine de prison en cas de refus. En 2014, par exemple, un juge d’un tribunal fédéral a statué que James </w:t>
      </w:r>
      <w:proofErr w:type="spellStart"/>
      <w:r>
        <w:rPr>
          <w:rFonts w:ascii="Calibri" w:eastAsia="Calibri" w:hAnsi="Calibri" w:cs="Calibri"/>
        </w:rPr>
        <w:t>Risen</w:t>
      </w:r>
      <w:proofErr w:type="spellEnd"/>
      <w:r>
        <w:rPr>
          <w:rFonts w:ascii="Calibri" w:eastAsia="Calibri" w:hAnsi="Calibri" w:cs="Calibri"/>
        </w:rPr>
        <w:t xml:space="preserve">, un journaliste d’investigation récompensé par le prix Pulitzer, devait témoigner lors du procès de Jeffrey Sterling, un </w:t>
      </w:r>
      <w:r>
        <w:rPr>
          <w:rFonts w:ascii="Calibri" w:eastAsia="Calibri" w:hAnsi="Calibri" w:cs="Calibri"/>
        </w:rPr>
        <w:t xml:space="preserve">lanceur d’alerte </w:t>
      </w:r>
      <w:r w:rsidR="003634AA">
        <w:rPr>
          <w:rFonts w:ascii="Calibri" w:eastAsia="Calibri" w:hAnsi="Calibri" w:cs="Calibri"/>
        </w:rPr>
        <w:t xml:space="preserve">de la CIA </w:t>
      </w:r>
      <w:r>
        <w:rPr>
          <w:rFonts w:ascii="Calibri" w:eastAsia="Calibri" w:hAnsi="Calibri" w:cs="Calibri"/>
        </w:rPr>
        <w:t>accusé d’avoir dénoncé une opération bâclée</w:t>
      </w:r>
      <w:r w:rsidR="00B71A0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menée par la CIA</w:t>
      </w:r>
      <w:r w:rsidR="00B71A0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="00B71A0A">
        <w:rPr>
          <w:rFonts w:ascii="Calibri" w:eastAsia="Calibri" w:hAnsi="Calibri" w:cs="Calibri"/>
        </w:rPr>
        <w:t xml:space="preserve">et </w:t>
      </w:r>
      <w:r>
        <w:rPr>
          <w:rFonts w:ascii="Calibri" w:eastAsia="Calibri" w:hAnsi="Calibri" w:cs="Calibri"/>
        </w:rPr>
        <w:t>visant à entraver les recherches menée</w:t>
      </w:r>
      <w:r w:rsidR="00C94D2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par l’Iran sur l’arme nucléaire. </w:t>
      </w:r>
      <w:proofErr w:type="spellStart"/>
      <w:r>
        <w:rPr>
          <w:rFonts w:ascii="Calibri" w:eastAsia="Calibri" w:hAnsi="Calibri" w:cs="Calibri"/>
        </w:rPr>
        <w:t>Risen</w:t>
      </w:r>
      <w:proofErr w:type="spellEnd"/>
      <w:r>
        <w:rPr>
          <w:rFonts w:ascii="Calibri" w:eastAsia="Calibri" w:hAnsi="Calibri" w:cs="Calibri"/>
        </w:rPr>
        <w:t xml:space="preserve">, comme de nombreux journalistes avant lui, a refusé catégoriquement de révéler sa source et a </w:t>
      </w:r>
      <w:r w:rsidR="00FB3BF8">
        <w:rPr>
          <w:rFonts w:ascii="Calibri" w:eastAsia="Calibri" w:hAnsi="Calibri" w:cs="Calibri"/>
        </w:rPr>
        <w:t>déclaré</w:t>
      </w:r>
      <w:r>
        <w:rPr>
          <w:rFonts w:ascii="Calibri" w:eastAsia="Calibri" w:hAnsi="Calibri" w:cs="Calibri"/>
        </w:rPr>
        <w:t xml:space="preserve"> préférer être envoyé en prison pour outrage que de témoigner. » </w:t>
      </w:r>
      <w:r>
        <w:rPr>
          <w:rStyle w:val="FootnoteReference"/>
          <w:rFonts w:asciiTheme="minorHAnsi" w:hAnsiTheme="minorHAnsi" w:cstheme="minorHAnsi"/>
          <w:lang w:val="en-CA"/>
        </w:rPr>
        <w:footnoteReference w:id="3"/>
      </w:r>
    </w:p>
    <w:p w14:paraId="26A807F5" w14:textId="5B4E8E05" w:rsidR="001E06CD" w:rsidRPr="00D51ABF" w:rsidRDefault="00A85FE7" w:rsidP="004C44A7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>D’après l’</w:t>
      </w:r>
      <w:proofErr w:type="spellStart"/>
      <w:r>
        <w:rPr>
          <w:rFonts w:ascii="Calibri" w:eastAsia="Calibri" w:hAnsi="Calibri" w:cs="Calibri"/>
        </w:rPr>
        <w:t>ACLU</w:t>
      </w:r>
      <w:proofErr w:type="spellEnd"/>
      <w:r>
        <w:rPr>
          <w:rFonts w:ascii="Calibri" w:eastAsia="Calibri" w:hAnsi="Calibri" w:cs="Calibri"/>
        </w:rPr>
        <w:t>, « les médias, notamment dans ces affaires de sécurité nationale, représentent un contrepoids e</w:t>
      </w:r>
      <w:r>
        <w:rPr>
          <w:rFonts w:ascii="Calibri" w:eastAsia="Calibri" w:hAnsi="Calibri" w:cs="Calibri"/>
        </w:rPr>
        <w:t>ssentiel à la malfaisance de l’État et ne peuvent fonctionner que dans la mesure où ils peuvent garantir protection et anonymat à leurs sources. Une législation fédérale est impérative pour que ces protections soient enfin intégrées à la loi. L’</w:t>
      </w:r>
      <w:proofErr w:type="spellStart"/>
      <w:r>
        <w:rPr>
          <w:rFonts w:ascii="Calibri" w:eastAsia="Calibri" w:hAnsi="Calibri" w:cs="Calibri"/>
        </w:rPr>
        <w:t>ACLU</w:t>
      </w:r>
      <w:proofErr w:type="spellEnd"/>
      <w:r>
        <w:rPr>
          <w:rFonts w:ascii="Calibri" w:eastAsia="Calibri" w:hAnsi="Calibri" w:cs="Calibri"/>
        </w:rPr>
        <w:t xml:space="preserve"> a touj</w:t>
      </w:r>
      <w:r>
        <w:rPr>
          <w:rFonts w:ascii="Calibri" w:eastAsia="Calibri" w:hAnsi="Calibri" w:cs="Calibri"/>
        </w:rPr>
        <w:t>ours fermement défendu les « lois bouclier » fédérales</w:t>
      </w:r>
      <w:r>
        <w:rPr>
          <w:rStyle w:val="FootnoteReference"/>
          <w:rFonts w:asciiTheme="minorHAnsi" w:hAnsiTheme="minorHAnsi" w:cstheme="minorHAnsi"/>
          <w:lang w:val="en-CA"/>
        </w:rPr>
        <w:footnoteReference w:id="4"/>
      </w:r>
      <w:r>
        <w:rPr>
          <w:rFonts w:ascii="Calibri" w:eastAsia="Calibri" w:hAnsi="Calibri" w:cs="Calibri"/>
        </w:rPr>
        <w:t>, bien que la plupart des tribunaux fédéraux aient reconnu, dans une certaine mesure, le droit des journalistes à ne pas êt</w:t>
      </w:r>
      <w:r>
        <w:rPr>
          <w:rFonts w:ascii="Calibri" w:eastAsia="Calibri" w:hAnsi="Calibri" w:cs="Calibri"/>
        </w:rPr>
        <w:t xml:space="preserve">re obligés de témoigner ou à ne pas divulguer leurs sources et </w:t>
      </w:r>
      <w:r w:rsidR="003411C1">
        <w:rPr>
          <w:rFonts w:ascii="Calibri" w:eastAsia="Calibri" w:hAnsi="Calibri" w:cs="Calibri"/>
        </w:rPr>
        <w:t xml:space="preserve">leurs </w:t>
      </w:r>
      <w:r>
        <w:rPr>
          <w:rFonts w:ascii="Calibri" w:eastAsia="Calibri" w:hAnsi="Calibri" w:cs="Calibri"/>
        </w:rPr>
        <w:t>renseignements au tribunal »</w:t>
      </w:r>
      <w:r>
        <w:rPr>
          <w:rStyle w:val="FootnoteReference"/>
          <w:rFonts w:asciiTheme="minorHAnsi" w:hAnsiTheme="minorHAnsi" w:cstheme="minorHAnsi"/>
          <w:lang w:val="en-CA"/>
        </w:rPr>
        <w:footnoteReference w:id="5"/>
      </w:r>
      <w:r>
        <w:rPr>
          <w:rFonts w:ascii="Calibri" w:eastAsia="Calibri" w:hAnsi="Calibri" w:cs="Calibri"/>
        </w:rPr>
        <w:t xml:space="preserve">. </w:t>
      </w:r>
    </w:p>
    <w:p w14:paraId="1745FB2D" w14:textId="77777777" w:rsidR="00893630" w:rsidRPr="00893630" w:rsidRDefault="00A85FE7" w:rsidP="002E1DB5">
      <w:pPr>
        <w:spacing w:after="240"/>
        <w:rPr>
          <w:rFonts w:asciiTheme="minorHAnsi" w:hAnsiTheme="minorHAnsi" w:cstheme="minorHAnsi"/>
          <w:bCs/>
          <w:lang w:val="en-CA"/>
        </w:rPr>
      </w:pPr>
      <w:r>
        <w:rPr>
          <w:rFonts w:ascii="Calibri" w:eastAsia="Calibri" w:hAnsi="Calibri" w:cs="Calibri"/>
        </w:rPr>
        <w:lastRenderedPageBreak/>
        <w:t>Au-del</w:t>
      </w:r>
      <w:r>
        <w:rPr>
          <w:rFonts w:ascii="Calibri" w:eastAsia="Calibri" w:hAnsi="Calibri" w:cs="Calibri"/>
        </w:rPr>
        <w:t xml:space="preserve">à des questions de protection de sources et de documents journalistiques, les obstacles à la liberté de la presse comprennent les restrictions de contenu, notamment les efforts menés par l’État pour bannir la publication de certaines informations; le déni </w:t>
      </w:r>
      <w:r>
        <w:rPr>
          <w:rFonts w:ascii="Calibri" w:eastAsia="Calibri" w:hAnsi="Calibri" w:cs="Calibri"/>
        </w:rPr>
        <w:t>d’accès aux renseignements ou la création de retards injustifiables de la part de certains organismes publics; les représailles de l’État en cas de couverture médiatique jugée négative; et « les décrets de l’État interdisant aux journalistes et aux organes</w:t>
      </w:r>
      <w:r>
        <w:rPr>
          <w:rFonts w:ascii="Calibri" w:eastAsia="Calibri" w:hAnsi="Calibri" w:cs="Calibri"/>
        </w:rPr>
        <w:t xml:space="preserve"> de presse de publier de l’information déjà en leur possession »</w:t>
      </w:r>
      <w:r>
        <w:rPr>
          <w:rStyle w:val="FootnoteReference"/>
          <w:rFonts w:asciiTheme="minorHAnsi" w:hAnsiTheme="minorHAnsi" w:cstheme="minorHAnsi"/>
          <w:bCs/>
          <w:lang w:val="en-CA"/>
        </w:rPr>
        <w:footnoteReference w:id="6"/>
      </w:r>
      <w:r>
        <w:rPr>
          <w:rFonts w:ascii="Calibri" w:eastAsia="Calibri" w:hAnsi="Calibri" w:cs="Calibri"/>
        </w:rPr>
        <w:t xml:space="preserve">. </w:t>
      </w:r>
    </w:p>
    <w:p w14:paraId="72C1B786" w14:textId="77777777" w:rsidR="00FB3660" w:rsidRPr="00CA10AE" w:rsidRDefault="00A85FE7" w:rsidP="00E81861">
      <w:pPr>
        <w:rPr>
          <w:rFonts w:asciiTheme="minorHAnsi" w:hAnsiTheme="minorHAnsi" w:cstheme="minorHAnsi"/>
          <w:color w:val="5AB9BB"/>
          <w:lang w:val="en-CA"/>
        </w:rPr>
      </w:pPr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Reporters </w:t>
      </w:r>
      <w:proofErr w:type="spellStart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Committee</w:t>
      </w:r>
      <w:proofErr w:type="spellEnd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 for </w:t>
      </w:r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Freedom of the </w:t>
      </w:r>
      <w:proofErr w:type="spellStart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Press</w:t>
      </w:r>
      <w:proofErr w:type="spellEnd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RCFP</w:t>
      </w:r>
      <w:proofErr w:type="spellEnd"/>
      <w:r>
        <w:rPr>
          <w:rFonts w:ascii="Calibri" w:eastAsia="Calibri" w:hAnsi="Calibri" w:cs="Calibri"/>
          <w:b/>
          <w:bCs/>
          <w:color w:val="5AB9BB"/>
          <w:sz w:val="24"/>
          <w:szCs w:val="24"/>
        </w:rPr>
        <w:t>)</w:t>
      </w:r>
      <w:r>
        <w:rPr>
          <w:rFonts w:ascii="Calibri" w:eastAsia="Calibri" w:hAnsi="Calibri" w:cs="Calibri"/>
          <w:color w:val="5AB9BB"/>
        </w:rPr>
        <w:t xml:space="preserve"> </w:t>
      </w:r>
    </w:p>
    <w:p w14:paraId="0CAA8924" w14:textId="4E176CC0" w:rsidR="00E81861" w:rsidRDefault="00A85FE7" w:rsidP="00E81861">
      <w:pPr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« Le Reporters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for Freedom of the </w:t>
      </w:r>
      <w:proofErr w:type="spellStart"/>
      <w:r>
        <w:rPr>
          <w:rFonts w:ascii="Calibri" w:eastAsia="Calibri" w:hAnsi="Calibri" w:cs="Calibri"/>
        </w:rPr>
        <w:t>Press</w:t>
      </w:r>
      <w:proofErr w:type="spellEnd"/>
      <w:r>
        <w:rPr>
          <w:rFonts w:ascii="Calibri" w:eastAsia="Calibri" w:hAnsi="Calibri" w:cs="Calibri"/>
        </w:rPr>
        <w:t xml:space="preserve"> offre des services de r</w:t>
      </w:r>
      <w:r>
        <w:rPr>
          <w:rFonts w:ascii="Calibri" w:eastAsia="Calibri" w:hAnsi="Calibri" w:cs="Calibri"/>
        </w:rPr>
        <w:t xml:space="preserve">eprésentation juridique bénévole, un appui à titre d’intervenant intéressé, ainsi que d’autres ressources juridiques pour défendre les libertés du Premier amendement (liberté de la presse, liberté d’information) et les droits de collecte d’information des </w:t>
      </w:r>
      <w:r>
        <w:rPr>
          <w:rFonts w:ascii="Calibri" w:eastAsia="Calibri" w:hAnsi="Calibri" w:cs="Calibri"/>
        </w:rPr>
        <w:t xml:space="preserve">journalistes. Le Reporters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est au service d’organes de presse, d’éditeurs, de réalisateurs de documentaires, d’avocats des médias et bien d’autres qui utilisent ses ressources</w:t>
      </w:r>
      <w:r w:rsidR="00511E88">
        <w:rPr>
          <w:rFonts w:ascii="Calibri" w:eastAsia="Calibri" w:hAnsi="Calibri" w:cs="Calibri"/>
        </w:rPr>
        <w:t xml:space="preserve"> en ligne</w:t>
      </w:r>
      <w:r>
        <w:rPr>
          <w:rFonts w:ascii="Calibri" w:eastAsia="Calibri" w:hAnsi="Calibri" w:cs="Calibri"/>
        </w:rPr>
        <w:t>. […] Reconnu pour le rôle qu’il joue dans la création de vastes coalit</w:t>
      </w:r>
      <w:r>
        <w:rPr>
          <w:rFonts w:ascii="Calibri" w:eastAsia="Calibri" w:hAnsi="Calibri" w:cs="Calibri"/>
        </w:rPr>
        <w:t xml:space="preserve">ions entre d’importants médias et des organes de transparence, le Reporters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défend le droit à collecter et disséminer librement de l’information dans l’intérêt public. »</w:t>
      </w:r>
      <w:r>
        <w:rPr>
          <w:rStyle w:val="FootnoteReference"/>
          <w:rFonts w:asciiTheme="minorHAnsi" w:hAnsiTheme="minorHAnsi" w:cstheme="minorHAnsi"/>
          <w:lang w:val="en-CA"/>
        </w:rPr>
        <w:footnoteReference w:id="7"/>
      </w:r>
    </w:p>
    <w:p w14:paraId="055BEE7E" w14:textId="2362A150" w:rsidR="002E1DB5" w:rsidRDefault="00A85FE7" w:rsidP="002E1DB5">
      <w:pPr>
        <w:spacing w:after="0"/>
        <w:rPr>
          <w:rFonts w:asciiTheme="minorHAnsi" w:hAnsiTheme="minorHAnsi" w:cstheme="minorHAnsi"/>
          <w:lang w:val="en-CA"/>
        </w:rPr>
      </w:pPr>
      <w:r>
        <w:rPr>
          <w:rFonts w:ascii="Calibri" w:eastAsia="Calibri" w:hAnsi="Calibri" w:cs="Calibri"/>
        </w:rPr>
        <w:t xml:space="preserve">« Le Reporters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for Freedom of the </w:t>
      </w:r>
      <w:proofErr w:type="spellStart"/>
      <w:r>
        <w:rPr>
          <w:rFonts w:ascii="Calibri" w:eastAsia="Calibri" w:hAnsi="Calibri" w:cs="Calibri"/>
        </w:rPr>
        <w:t>Press</w:t>
      </w:r>
      <w:proofErr w:type="spellEnd"/>
      <w:r>
        <w:rPr>
          <w:rFonts w:ascii="Calibri" w:eastAsia="Calibri" w:hAnsi="Calibri" w:cs="Calibri"/>
        </w:rPr>
        <w:t xml:space="preserve"> a été créé en 1970, à une époque où la presse </w:t>
      </w:r>
      <w:commentRangeStart w:id="1"/>
      <w:r>
        <w:rPr>
          <w:rFonts w:ascii="Calibri" w:eastAsia="Calibri" w:hAnsi="Calibri" w:cs="Calibri"/>
        </w:rPr>
        <w:t xml:space="preserve">du pays </w:t>
      </w:r>
      <w:commentRangeEnd w:id="1"/>
      <w:r w:rsidR="008D19D4">
        <w:rPr>
          <w:rStyle w:val="CommentReference"/>
        </w:rPr>
        <w:commentReference w:id="1"/>
      </w:r>
      <w:r>
        <w:rPr>
          <w:rFonts w:ascii="Calibri" w:eastAsia="Calibri" w:hAnsi="Calibri" w:cs="Calibri"/>
        </w:rPr>
        <w:t xml:space="preserve">était aux prises avec une vague d’assignations à comparaître émises par </w:t>
      </w:r>
      <w:r w:rsidR="00DF5D63">
        <w:rPr>
          <w:rFonts w:ascii="Calibri" w:eastAsia="Calibri" w:hAnsi="Calibri" w:cs="Calibri"/>
        </w:rPr>
        <w:t>le gouvernement</w:t>
      </w:r>
      <w:r>
        <w:rPr>
          <w:rFonts w:ascii="Calibri" w:eastAsia="Calibri" w:hAnsi="Calibri" w:cs="Calibri"/>
        </w:rPr>
        <w:t>, exigeant que les journalistes révèlent leurs sources confidentielles.</w:t>
      </w:r>
      <w:r>
        <w:rPr>
          <w:rFonts w:ascii="Calibri" w:eastAsia="Calibri" w:hAnsi="Calibri" w:cs="Calibri"/>
        </w:rPr>
        <w:t xml:space="preserve"> […] Depuis quarante ans, le Reporters </w:t>
      </w:r>
      <w:proofErr w:type="spellStart"/>
      <w:r>
        <w:rPr>
          <w:rFonts w:ascii="Calibri" w:eastAsia="Calibri" w:hAnsi="Calibri" w:cs="Calibri"/>
        </w:rPr>
        <w:t>Committee</w:t>
      </w:r>
      <w:proofErr w:type="spellEnd"/>
      <w:r>
        <w:rPr>
          <w:rFonts w:ascii="Calibri" w:eastAsia="Calibri" w:hAnsi="Calibri" w:cs="Calibri"/>
        </w:rPr>
        <w:t xml:space="preserve"> intervient dans presque tous les </w:t>
      </w:r>
      <w:r w:rsidR="00E658D7">
        <w:rPr>
          <w:rFonts w:ascii="Calibri" w:eastAsia="Calibri" w:hAnsi="Calibri" w:cs="Calibri"/>
        </w:rPr>
        <w:t xml:space="preserve">grands </w:t>
      </w:r>
      <w:r>
        <w:rPr>
          <w:rFonts w:ascii="Calibri" w:eastAsia="Calibri" w:hAnsi="Calibri" w:cs="Calibri"/>
        </w:rPr>
        <w:t>dossiers concernant la liberté de la presse</w:t>
      </w:r>
      <w:r w:rsidR="00E658D7">
        <w:rPr>
          <w:rFonts w:ascii="Calibri" w:eastAsia="Calibri" w:hAnsi="Calibri" w:cs="Calibri"/>
        </w:rPr>
        <w:t xml:space="preserve"> et</w:t>
      </w:r>
      <w:r>
        <w:rPr>
          <w:rFonts w:ascii="Calibri" w:eastAsia="Calibri" w:hAnsi="Calibri" w:cs="Calibri"/>
        </w:rPr>
        <w:t xml:space="preserve"> portés devant la Cour suprême, ainsi que dans plusieurs centaines de dossiers affectant les droits de la presse</w:t>
      </w:r>
      <w:r w:rsidR="00E658D7">
        <w:rPr>
          <w:rFonts w:ascii="Calibri" w:eastAsia="Calibri" w:hAnsi="Calibri" w:cs="Calibri"/>
        </w:rPr>
        <w:t xml:space="preserve"> et</w:t>
      </w:r>
      <w:r>
        <w:rPr>
          <w:rFonts w:ascii="Calibri" w:eastAsia="Calibri" w:hAnsi="Calibri" w:cs="Calibri"/>
        </w:rPr>
        <w:t xml:space="preserve"> portés devant les </w:t>
      </w:r>
      <w:r>
        <w:rPr>
          <w:rFonts w:ascii="Calibri" w:eastAsia="Calibri" w:hAnsi="Calibri" w:cs="Calibri"/>
        </w:rPr>
        <w:t>tribunaux fédéraux et ceux des États. »</w:t>
      </w:r>
      <w:r>
        <w:rPr>
          <w:rStyle w:val="FootnoteReference"/>
          <w:rFonts w:asciiTheme="minorHAnsi" w:hAnsiTheme="minorHAnsi" w:cstheme="minorHAnsi"/>
          <w:lang w:val="en-CA"/>
        </w:rPr>
        <w:footnoteReference w:id="8"/>
      </w:r>
    </w:p>
    <w:p w14:paraId="32D90508" w14:textId="77777777" w:rsidR="002E1DB5" w:rsidRPr="006575E7" w:rsidRDefault="002E1DB5" w:rsidP="002E1DB5">
      <w:pPr>
        <w:spacing w:after="0"/>
        <w:rPr>
          <w:rFonts w:asciiTheme="minorHAnsi" w:hAnsiTheme="minorHAnsi" w:cstheme="minorHAnsi"/>
          <w:lang w:val="en-CA"/>
        </w:rPr>
      </w:pPr>
    </w:p>
    <w:p w14:paraId="4AA2D2A8" w14:textId="77777777" w:rsidR="00DA7F31" w:rsidRPr="00A37AFB" w:rsidRDefault="00A85FE7" w:rsidP="0054056E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r>
        <w:rPr>
          <w:rFonts w:ascii="Calibri" w:eastAsia="Calibri" w:hAnsi="Calibri" w:cs="Calibri"/>
          <w:b/>
          <w:bCs/>
          <w:color w:val="036477"/>
          <w:sz w:val="24"/>
          <w:szCs w:val="24"/>
        </w:rPr>
        <w:t>Questions</w:t>
      </w:r>
    </w:p>
    <w:p w14:paraId="63784D32" w14:textId="1203FADD" w:rsidR="00643E6F" w:rsidRPr="00643E6F" w:rsidRDefault="00A85FE7" w:rsidP="000D4533">
      <w:pPr>
        <w:pStyle w:val="ListParagraph"/>
        <w:numPr>
          <w:ilvl w:val="0"/>
          <w:numId w:val="2"/>
        </w:numPr>
        <w:spacing w:before="160"/>
        <w:ind w:left="426" w:hanging="426"/>
        <w:contextualSpacing w:val="0"/>
        <w:rPr>
          <w:rFonts w:asciiTheme="minorHAnsi" w:hAnsiTheme="minorHAnsi" w:cstheme="minorHAnsi"/>
          <w:bCs/>
          <w:lang w:val="en-CA"/>
        </w:rPr>
      </w:pPr>
      <w:r>
        <w:rPr>
          <w:rFonts w:ascii="Calibri" w:eastAsia="Calibri" w:hAnsi="Calibri" w:cs="Calibri"/>
          <w:bCs/>
        </w:rPr>
        <w:t>Quelles sont les limites convenables à adopter en</w:t>
      </w:r>
      <w:r>
        <w:rPr>
          <w:rFonts w:ascii="Calibri" w:eastAsia="Calibri" w:hAnsi="Calibri" w:cs="Calibri"/>
          <w:bCs/>
        </w:rPr>
        <w:t xml:space="preserve"> matière de la liberté de la presse, notamment </w:t>
      </w:r>
      <w:r w:rsidR="006E5ADA">
        <w:rPr>
          <w:rFonts w:ascii="Calibri" w:eastAsia="Calibri" w:hAnsi="Calibri" w:cs="Calibri"/>
          <w:bCs/>
        </w:rPr>
        <w:t>en matière</w:t>
      </w:r>
      <w:r>
        <w:rPr>
          <w:rFonts w:ascii="Calibri" w:eastAsia="Calibri" w:hAnsi="Calibri" w:cs="Calibri"/>
          <w:bCs/>
        </w:rPr>
        <w:t xml:space="preserve"> de sécurité nationale?  </w:t>
      </w:r>
    </w:p>
    <w:p w14:paraId="19367306" w14:textId="268525FF" w:rsidR="00643E6F" w:rsidRPr="00643E6F" w:rsidRDefault="00A85FE7" w:rsidP="000D4533">
      <w:pPr>
        <w:pStyle w:val="ListParagraph"/>
        <w:numPr>
          <w:ilvl w:val="0"/>
          <w:numId w:val="2"/>
        </w:numPr>
        <w:ind w:left="426" w:hanging="430"/>
        <w:contextualSpacing w:val="0"/>
        <w:rPr>
          <w:rFonts w:asciiTheme="minorHAnsi" w:hAnsiTheme="minorHAnsi" w:cstheme="minorHAnsi"/>
          <w:bCs/>
          <w:lang w:val="en-CA"/>
        </w:rPr>
      </w:pPr>
      <w:r>
        <w:rPr>
          <w:rFonts w:ascii="Calibri" w:eastAsia="Calibri" w:hAnsi="Calibri" w:cs="Calibri"/>
          <w:bCs/>
        </w:rPr>
        <w:t xml:space="preserve">De quelle manière les journalistes se sont-ils et elles </w:t>
      </w:r>
      <w:proofErr w:type="spellStart"/>
      <w:r>
        <w:rPr>
          <w:rFonts w:ascii="Calibri" w:eastAsia="Calibri" w:hAnsi="Calibri" w:cs="Calibri"/>
          <w:bCs/>
        </w:rPr>
        <w:t>adapté.</w:t>
      </w:r>
      <w:proofErr w:type="gramStart"/>
      <w:r>
        <w:rPr>
          <w:rFonts w:ascii="Calibri" w:eastAsia="Calibri" w:hAnsi="Calibri" w:cs="Calibri"/>
          <w:bCs/>
        </w:rPr>
        <w:t>e.s</w:t>
      </w:r>
      <w:proofErr w:type="spellEnd"/>
      <w:proofErr w:type="gramEnd"/>
      <w:r>
        <w:rPr>
          <w:rFonts w:ascii="Calibri" w:eastAsia="Calibri" w:hAnsi="Calibri" w:cs="Calibri"/>
          <w:bCs/>
        </w:rPr>
        <w:t xml:space="preserve"> pour protéger leurs s</w:t>
      </w:r>
      <w:r>
        <w:rPr>
          <w:rFonts w:ascii="Calibri" w:eastAsia="Calibri" w:hAnsi="Calibri" w:cs="Calibri"/>
          <w:bCs/>
        </w:rPr>
        <w:t>ources dans le contexte des nouvelles technologiques de surveillance et celui de l’</w:t>
      </w:r>
      <w:r>
        <w:rPr>
          <w:rFonts w:ascii="Calibri" w:eastAsia="Calibri" w:hAnsi="Calibri" w:cs="Calibri"/>
          <w:bCs/>
        </w:rPr>
        <w:t>« état de sécurité nationale »?</w:t>
      </w:r>
    </w:p>
    <w:p w14:paraId="58E76A52" w14:textId="286E931C" w:rsidR="00417C9C" w:rsidRPr="00817FB4" w:rsidRDefault="00A85FE7" w:rsidP="000D4533">
      <w:pPr>
        <w:pStyle w:val="ListParagraph"/>
        <w:numPr>
          <w:ilvl w:val="0"/>
          <w:numId w:val="2"/>
        </w:numPr>
        <w:ind w:left="426" w:hanging="430"/>
        <w:contextualSpacing w:val="0"/>
        <w:rPr>
          <w:rFonts w:asciiTheme="minorHAnsi" w:hAnsiTheme="minorHAnsi" w:cstheme="minorHAnsi"/>
          <w:bCs/>
          <w:lang w:val="en-CA"/>
        </w:rPr>
      </w:pPr>
      <w:r>
        <w:rPr>
          <w:rFonts w:ascii="Calibri" w:eastAsia="Calibri" w:hAnsi="Calibri" w:cs="Calibri"/>
          <w:bCs/>
        </w:rPr>
        <w:t>Quelles sont les répercussions, sur la liberté de la presse, de</w:t>
      </w:r>
      <w:r>
        <w:rPr>
          <w:rFonts w:ascii="Calibri" w:eastAsia="Calibri" w:hAnsi="Calibri" w:cs="Calibri"/>
          <w:bCs/>
        </w:rPr>
        <w:t xml:space="preserve"> l’affaire des accusations portées par le gouvernement des États</w:t>
      </w:r>
      <w:r>
        <w:rPr>
          <w:rFonts w:ascii="Calibri" w:eastAsia="Calibri" w:hAnsi="Calibri" w:cs="Calibri"/>
          <w:bCs/>
        </w:rPr>
        <w:noBreakHyphen/>
        <w:t>Unis à l’encontre d’Edward Snowden, le « lanceur d’alerte le plus célèbre au monde » qui a divulgué à la presse des documents ultraconfidentiels révélant l’étendue des programmes de surveilla</w:t>
      </w:r>
      <w:r>
        <w:rPr>
          <w:rFonts w:ascii="Calibri" w:eastAsia="Calibri" w:hAnsi="Calibri" w:cs="Calibri"/>
          <w:bCs/>
        </w:rPr>
        <w:t xml:space="preserve">nce </w:t>
      </w:r>
      <w:r w:rsidR="004039A9">
        <w:rPr>
          <w:rFonts w:ascii="Calibri" w:eastAsia="Calibri" w:hAnsi="Calibri" w:cs="Calibri"/>
          <w:bCs/>
        </w:rPr>
        <w:t xml:space="preserve">internationale </w:t>
      </w:r>
      <w:r>
        <w:rPr>
          <w:rFonts w:ascii="Calibri" w:eastAsia="Calibri" w:hAnsi="Calibri" w:cs="Calibri"/>
          <w:bCs/>
        </w:rPr>
        <w:t>des agences d’espionnage des États-Unis et de la Grande-Bretagne?</w:t>
      </w:r>
      <w:r>
        <w:rPr>
          <w:rStyle w:val="FootnoteReference"/>
          <w:rFonts w:asciiTheme="minorHAnsi" w:hAnsiTheme="minorHAnsi" w:cstheme="minorHAnsi"/>
          <w:bCs/>
          <w:lang w:val="en-CA"/>
        </w:rPr>
        <w:footnoteReference w:id="9"/>
      </w:r>
      <w:r>
        <w:rPr>
          <w:rFonts w:ascii="Calibri" w:eastAsia="Calibri" w:hAnsi="Calibri" w:cs="Calibri"/>
          <w:bCs/>
        </w:rPr>
        <w:t xml:space="preserve"> </w:t>
      </w:r>
    </w:p>
    <w:p w14:paraId="40E6AE05" w14:textId="030274E6" w:rsidR="007B5FFA" w:rsidRPr="005A5F84" w:rsidRDefault="00A85FE7" w:rsidP="005A5F84">
      <w:pPr>
        <w:pStyle w:val="ListParagraph"/>
        <w:numPr>
          <w:ilvl w:val="0"/>
          <w:numId w:val="2"/>
        </w:numPr>
        <w:ind w:left="425" w:hanging="431"/>
        <w:contextualSpacing w:val="0"/>
        <w:rPr>
          <w:rFonts w:asciiTheme="minorHAnsi" w:hAnsiTheme="minorHAnsi" w:cstheme="minorHAnsi"/>
          <w:bCs/>
          <w:lang w:val="en-CA"/>
        </w:rPr>
      </w:pPr>
      <w:r>
        <w:rPr>
          <w:rFonts w:ascii="Calibri" w:eastAsia="Calibri" w:hAnsi="Calibri" w:cs="Calibri"/>
          <w:bCs/>
        </w:rPr>
        <w:t xml:space="preserve">Les accusations </w:t>
      </w:r>
      <w:r>
        <w:rPr>
          <w:rFonts w:ascii="Calibri" w:eastAsia="Calibri" w:hAnsi="Calibri" w:cs="Calibri"/>
          <w:bCs/>
        </w:rPr>
        <w:t xml:space="preserve">portées par le gouvernement des États-Unis à l’encontre de Julian Assange, le fondateur de </w:t>
      </w:r>
      <w:proofErr w:type="spellStart"/>
      <w:r>
        <w:rPr>
          <w:rFonts w:ascii="Calibri" w:eastAsia="Calibri" w:hAnsi="Calibri" w:cs="Calibri"/>
          <w:bCs/>
        </w:rPr>
        <w:t>Wiki</w:t>
      </w:r>
      <w:r w:rsidR="00512D8A">
        <w:rPr>
          <w:rFonts w:ascii="Calibri" w:eastAsia="Calibri" w:hAnsi="Calibri" w:cs="Calibri"/>
          <w:bCs/>
        </w:rPr>
        <w:t>L</w:t>
      </w:r>
      <w:r>
        <w:rPr>
          <w:rFonts w:ascii="Calibri" w:eastAsia="Calibri" w:hAnsi="Calibri" w:cs="Calibri"/>
          <w:bCs/>
        </w:rPr>
        <w:t>eaks</w:t>
      </w:r>
      <w:proofErr w:type="spellEnd"/>
      <w:r>
        <w:rPr>
          <w:rFonts w:ascii="Calibri" w:eastAsia="Calibri" w:hAnsi="Calibri" w:cs="Calibri"/>
          <w:bCs/>
        </w:rPr>
        <w:t xml:space="preserve">, ont-elles des répercussions sur la liberté de la presse?  </w:t>
      </w:r>
    </w:p>
    <w:p w14:paraId="6CAED4AC" w14:textId="77777777" w:rsidR="007B5FFA" w:rsidRPr="000D4533" w:rsidRDefault="00A85FE7" w:rsidP="002E1DB5">
      <w:pPr>
        <w:pStyle w:val="ListParagraph"/>
        <w:numPr>
          <w:ilvl w:val="0"/>
          <w:numId w:val="2"/>
        </w:numPr>
        <w:spacing w:after="0"/>
        <w:ind w:left="425" w:hanging="431"/>
        <w:contextualSpacing w:val="0"/>
        <w:rPr>
          <w:rFonts w:asciiTheme="minorHAnsi" w:hAnsiTheme="minorHAnsi" w:cstheme="minorHAnsi"/>
          <w:bCs/>
          <w:lang w:val="en-CA"/>
        </w:rPr>
      </w:pPr>
      <w:r>
        <w:rPr>
          <w:rFonts w:ascii="Calibri" w:eastAsia="Calibri" w:hAnsi="Calibri" w:cs="Calibri"/>
          <w:bCs/>
        </w:rPr>
        <w:t xml:space="preserve">Comment redéfinir </w:t>
      </w:r>
      <w:r>
        <w:rPr>
          <w:rFonts w:ascii="Calibri" w:eastAsia="Calibri" w:hAnsi="Calibri" w:cs="Calibri"/>
          <w:bCs/>
        </w:rPr>
        <w:t xml:space="preserve">les droits journalistiques à l’ère des nouvelles technologiques? Comment définir le journalisme à l’ère du numérique?  </w:t>
      </w:r>
    </w:p>
    <w:p w14:paraId="0A21C90B" w14:textId="77777777" w:rsidR="002E1DB5" w:rsidRDefault="002E1DB5" w:rsidP="00417C9C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color w:val="036477"/>
          <w:sz w:val="24"/>
          <w:szCs w:val="24"/>
          <w:lang w:val="en-CA"/>
        </w:rPr>
      </w:pPr>
    </w:p>
    <w:p w14:paraId="4D2A5687" w14:textId="77777777" w:rsidR="00417C9C" w:rsidRDefault="00A85FE7" w:rsidP="00417C9C">
      <w:pPr>
        <w:pBdr>
          <w:bottom w:val="single" w:sz="4" w:space="1" w:color="auto"/>
        </w:pBdr>
        <w:spacing w:after="0"/>
        <w:rPr>
          <w:rFonts w:asciiTheme="minorHAnsi" w:hAnsiTheme="minorHAnsi" w:cstheme="minorHAnsi"/>
          <w:b/>
          <w:bCs/>
          <w:color w:val="767171" w:themeColor="background2" w:themeShade="80"/>
          <w:lang w:val="en-CA"/>
        </w:rPr>
      </w:pPr>
      <w:r>
        <w:rPr>
          <w:rFonts w:ascii="Calibri" w:eastAsia="Calibri" w:hAnsi="Calibri" w:cs="Calibri"/>
          <w:b/>
          <w:bCs/>
          <w:color w:val="036477"/>
          <w:sz w:val="24"/>
          <w:szCs w:val="24"/>
        </w:rPr>
        <w:lastRenderedPageBreak/>
        <w:t>Animation</w:t>
      </w:r>
    </w:p>
    <w:p w14:paraId="6C466756" w14:textId="77777777" w:rsidR="00F76120" w:rsidRPr="004C611A" w:rsidRDefault="00A85FE7" w:rsidP="000504FC">
      <w:pPr>
        <w:pStyle w:val="Default"/>
        <w:spacing w:before="240" w:after="24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eastAsia="Calibri"/>
          <w:b/>
          <w:bCs/>
          <w:color w:val="5AB9BB"/>
          <w:sz w:val="22"/>
          <w:szCs w:val="22"/>
          <w:lang w:val="fr-CA"/>
        </w:rPr>
        <w:t xml:space="preserve">Linda Moon </w:t>
      </w:r>
      <w:r>
        <w:rPr>
          <w:rFonts w:eastAsia="Calibri"/>
          <w:color w:val="auto"/>
          <w:sz w:val="22"/>
          <w:szCs w:val="22"/>
          <w:lang w:val="fr-CA"/>
        </w:rPr>
        <w:t xml:space="preserve">Avocate et Stanton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Foundation</w:t>
      </w:r>
      <w:proofErr w:type="spellEnd"/>
      <w:r>
        <w:rPr>
          <w:rFonts w:eastAsia="Calibri"/>
          <w:color w:val="auto"/>
          <w:sz w:val="22"/>
          <w:szCs w:val="22"/>
          <w:lang w:val="fr-CA"/>
        </w:rPr>
        <w:t xml:space="preserve"> National Security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Fellow</w:t>
      </w:r>
      <w:proofErr w:type="spellEnd"/>
      <w:r>
        <w:rPr>
          <w:rFonts w:eastAsia="Calibri"/>
          <w:color w:val="auto"/>
          <w:sz w:val="22"/>
          <w:szCs w:val="22"/>
          <w:lang w:val="fr-CA"/>
        </w:rPr>
        <w:t xml:space="preserve">, Reporters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Committee</w:t>
      </w:r>
      <w:proofErr w:type="spellEnd"/>
      <w:r>
        <w:rPr>
          <w:rFonts w:eastAsia="Calibri"/>
          <w:color w:val="auto"/>
          <w:sz w:val="22"/>
          <w:szCs w:val="22"/>
          <w:lang w:val="fr-CA"/>
        </w:rPr>
        <w:t xml:space="preserve"> for Freedom of the </w:t>
      </w:r>
      <w:proofErr w:type="spellStart"/>
      <w:r>
        <w:rPr>
          <w:rFonts w:eastAsia="Calibri"/>
          <w:color w:val="auto"/>
          <w:sz w:val="22"/>
          <w:szCs w:val="22"/>
          <w:lang w:val="fr-CA"/>
        </w:rPr>
        <w:t>Press</w:t>
      </w:r>
      <w:proofErr w:type="spellEnd"/>
    </w:p>
    <w:p w14:paraId="63F73677" w14:textId="77777777" w:rsidR="00D57F1C" w:rsidRPr="00486841" w:rsidRDefault="00A85FE7" w:rsidP="00417C9C">
      <w:pPr>
        <w:rPr>
          <w:rFonts w:asciiTheme="minorHAnsi" w:hAnsiTheme="minorHAnsi" w:cstheme="minorHAnsi"/>
          <w:b/>
          <w:lang w:val="en-CA"/>
        </w:rPr>
      </w:pPr>
      <w:r>
        <w:rPr>
          <w:rFonts w:ascii="Calibri" w:eastAsia="Calibri" w:hAnsi="Calibri" w:cs="Calibri"/>
        </w:rPr>
        <w:t xml:space="preserve">Linda Moon se spécialise dans les questions de liberté de la presse, de sécurité nationale et de politique de surveillance. Avant de faire partie de l’équipe du Reporters </w:t>
      </w:r>
      <w:proofErr w:type="spellStart"/>
      <w:r>
        <w:rPr>
          <w:rFonts w:ascii="Calibri" w:eastAsia="Calibri" w:hAnsi="Calibri" w:cs="Calibri"/>
        </w:rPr>
        <w:t>Committ</w:t>
      </w:r>
      <w:r>
        <w:rPr>
          <w:rFonts w:ascii="Calibri" w:eastAsia="Calibri" w:hAnsi="Calibri" w:cs="Calibri"/>
        </w:rPr>
        <w:t>ee</w:t>
      </w:r>
      <w:proofErr w:type="spellEnd"/>
      <w:r>
        <w:rPr>
          <w:rFonts w:ascii="Calibri" w:eastAsia="Calibri" w:hAnsi="Calibri" w:cs="Calibri"/>
        </w:rPr>
        <w:t xml:space="preserve">, Linda a été auxiliaire juridique de l’honorable juge fédérale Peggy </w:t>
      </w:r>
      <w:proofErr w:type="spellStart"/>
      <w:r>
        <w:rPr>
          <w:rFonts w:ascii="Calibri" w:eastAsia="Calibri" w:hAnsi="Calibri" w:cs="Calibri"/>
        </w:rPr>
        <w:t>Kuo</w:t>
      </w:r>
      <w:proofErr w:type="spellEnd"/>
      <w:r>
        <w:rPr>
          <w:rFonts w:ascii="Calibri" w:eastAsia="Calibri" w:hAnsi="Calibri" w:cs="Calibri"/>
        </w:rPr>
        <w:t xml:space="preserve"> à la U.S. District Court for the </w:t>
      </w:r>
      <w:proofErr w:type="spellStart"/>
      <w:r>
        <w:rPr>
          <w:rFonts w:ascii="Calibri" w:eastAsia="Calibri" w:hAnsi="Calibri" w:cs="Calibri"/>
        </w:rPr>
        <w:t>Eastern</w:t>
      </w:r>
      <w:proofErr w:type="spellEnd"/>
      <w:r>
        <w:rPr>
          <w:rFonts w:ascii="Calibri" w:eastAsia="Calibri" w:hAnsi="Calibri" w:cs="Calibri"/>
        </w:rPr>
        <w:t xml:space="preserve"> District of New York et membre du personnel juridique du Racial Justice Program de l’American Civil </w:t>
      </w:r>
      <w:proofErr w:type="spellStart"/>
      <w:r>
        <w:rPr>
          <w:rFonts w:ascii="Calibri" w:eastAsia="Calibri" w:hAnsi="Calibri" w:cs="Calibri"/>
        </w:rPr>
        <w:t>Liberties</w:t>
      </w:r>
      <w:proofErr w:type="spellEnd"/>
      <w:r>
        <w:rPr>
          <w:rFonts w:ascii="Calibri" w:eastAsia="Calibri" w:hAnsi="Calibri" w:cs="Calibri"/>
        </w:rPr>
        <w:t xml:space="preserve"> Union.</w:t>
      </w:r>
    </w:p>
    <w:sectPr w:rsidR="00D57F1C" w:rsidRPr="00486841" w:rsidSect="000D4533">
      <w:footerReference w:type="default" r:id="rId15"/>
      <w:pgSz w:w="12240" w:h="15840"/>
      <w:pgMar w:top="993" w:right="1134" w:bottom="102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Laurence Ibrahim Aibo" w:date="2020-03-05T12:24:00Z" w:initials="LIA">
    <w:p w14:paraId="0D16EEDE" w14:textId="574D81E4" w:rsidR="008D19D4" w:rsidRDefault="008D19D4">
      <w:pPr>
        <w:pStyle w:val="CommentText"/>
      </w:pPr>
      <w:r>
        <w:rPr>
          <w:rStyle w:val="CommentReference"/>
        </w:rPr>
        <w:annotationRef/>
      </w:r>
      <w:r w:rsidR="00A85FE7">
        <w:rPr>
          <w:noProof/>
        </w:rPr>
        <w:t>Or "des États-Unis"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16EE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16EEDE" w16cid:durableId="220B6E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3FDB" w14:textId="77777777" w:rsidR="00A85FE7" w:rsidRDefault="00A85FE7">
      <w:pPr>
        <w:spacing w:after="0" w:line="240" w:lineRule="auto"/>
      </w:pPr>
      <w:r>
        <w:separator/>
      </w:r>
    </w:p>
  </w:endnote>
  <w:endnote w:type="continuationSeparator" w:id="0">
    <w:p w14:paraId="69D845EF" w14:textId="77777777" w:rsidR="00A85FE7" w:rsidRDefault="00A8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DFF85" w14:textId="77777777" w:rsidR="00151621" w:rsidRPr="009E2B6C" w:rsidRDefault="00A85FE7" w:rsidP="00151621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6237"/>
        <w:tab w:val="left" w:pos="7797"/>
        <w:tab w:val="right" w:pos="9923"/>
      </w:tabs>
      <w:rPr>
        <w:rFonts w:asciiTheme="minorHAnsi" w:hAnsiTheme="minorHAnsi" w:cstheme="minorHAns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Fondation Pierre Elliott Trudeau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 xml:space="preserve">        </w:t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</w:r>
    <w:r>
      <w:rPr>
        <w:rFonts w:ascii="Calibri" w:eastAsia="Calibri" w:hAnsi="Calibri" w:cs="Calibri"/>
        <w:b/>
        <w:bCs/>
        <w:color w:val="F9423A"/>
        <w:sz w:val="16"/>
        <w:szCs w:val="16"/>
      </w:rPr>
      <w:tab/>
      <w:t>|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PAGE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1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de </w:t>
    </w:r>
    <w:r w:rsidRPr="00C12C2D">
      <w:rPr>
        <w:rFonts w:asciiTheme="minorHAnsi" w:hAnsiTheme="minorHAnsi" w:cstheme="minorHAnsi"/>
        <w:sz w:val="16"/>
        <w:szCs w:val="16"/>
      </w:rPr>
      <w:fldChar w:fldCharType="begin"/>
    </w:r>
    <w:r w:rsidRPr="009E2B6C">
      <w:rPr>
        <w:rFonts w:asciiTheme="minorHAnsi" w:hAnsiTheme="minorHAnsi" w:cstheme="minorHAnsi"/>
        <w:sz w:val="16"/>
        <w:szCs w:val="16"/>
      </w:rPr>
      <w:instrText xml:space="preserve"> NUMPAGES </w:instrText>
    </w:r>
    <w:r w:rsidRPr="00C12C2D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sz w:val="16"/>
        <w:szCs w:val="16"/>
      </w:rPr>
      <w:t>1</w:t>
    </w:r>
    <w:r w:rsidRPr="00C12C2D">
      <w:rPr>
        <w:rFonts w:asciiTheme="minorHAnsi" w:hAnsiTheme="minorHAnsi" w:cstheme="minorHAnsi"/>
        <w:sz w:val="16"/>
        <w:szCs w:val="16"/>
      </w:rPr>
      <w:fldChar w:fldCharType="end"/>
    </w:r>
  </w:p>
  <w:p w14:paraId="28207619" w14:textId="77777777" w:rsidR="00DF050B" w:rsidRPr="00151621" w:rsidRDefault="00A85FE7" w:rsidP="00151621">
    <w:pPr>
      <w:pStyle w:val="Footer"/>
      <w:rPr>
        <w:rFonts w:asciiTheme="minorHAnsi" w:hAnsiTheme="minorHAnsi" w:cstheme="minorHAnsi"/>
        <w:sz w:val="16"/>
        <w:szCs w:val="16"/>
        <w:lang w:val="en-CA"/>
      </w:rPr>
    </w:pPr>
    <w:r>
      <w:rPr>
        <w:rFonts w:ascii="Calibri" w:eastAsia="Calibri" w:hAnsi="Calibri" w:cs="Calibri"/>
        <w:i/>
        <w:iCs/>
        <w:sz w:val="16"/>
        <w:szCs w:val="16"/>
      </w:rPr>
      <w:t>Institut sur le leadership engagé, Washington, D. 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F737C" w14:textId="77777777" w:rsidR="00A85FE7" w:rsidRDefault="00A85FE7" w:rsidP="00DF050B">
      <w:pPr>
        <w:spacing w:after="0" w:line="240" w:lineRule="auto"/>
      </w:pPr>
      <w:r>
        <w:separator/>
      </w:r>
    </w:p>
  </w:footnote>
  <w:footnote w:type="continuationSeparator" w:id="0">
    <w:p w14:paraId="41AB037B" w14:textId="77777777" w:rsidR="00A85FE7" w:rsidRDefault="00A85FE7" w:rsidP="00DF050B">
      <w:pPr>
        <w:spacing w:after="0" w:line="240" w:lineRule="auto"/>
      </w:pPr>
      <w:r>
        <w:continuationSeparator/>
      </w:r>
    </w:p>
  </w:footnote>
  <w:footnote w:id="1">
    <w:p w14:paraId="060450FE" w14:textId="77777777" w:rsidR="0076309B" w:rsidRPr="00E81118" w:rsidRDefault="00A85FE7" w:rsidP="0076309B">
      <w:pPr>
        <w:spacing w:after="0"/>
        <w:rPr>
          <w:rFonts w:asciiTheme="minorHAnsi" w:hAnsiTheme="minorHAnsi" w:cstheme="minorHAnsi"/>
          <w:sz w:val="18"/>
          <w:szCs w:val="18"/>
        </w:rPr>
      </w:pPr>
      <w:r w:rsidRPr="00E811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1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https://www.aclu.org/issues/free-speech/freedom-press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</w:footnote>
  <w:footnote w:id="2">
    <w:p w14:paraId="6EA3C49C" w14:textId="77777777" w:rsidR="00F92CA0" w:rsidRPr="00E81118" w:rsidRDefault="00A85FE7" w:rsidP="006A3C8E">
      <w:pPr>
        <w:spacing w:after="0"/>
        <w:rPr>
          <w:rFonts w:asciiTheme="minorHAnsi" w:hAnsiTheme="minorHAnsi" w:cstheme="minorHAnsi"/>
          <w:sz w:val="18"/>
          <w:szCs w:val="18"/>
        </w:rPr>
      </w:pPr>
      <w:r w:rsidRPr="00E811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sz w:val="18"/>
          <w:szCs w:val="18"/>
        </w:rPr>
        <w:t>Idem</w:t>
      </w:r>
    </w:p>
  </w:footnote>
  <w:footnote w:id="3">
    <w:p w14:paraId="1BBA988C" w14:textId="77777777" w:rsidR="00B9345F" w:rsidRPr="00E81118" w:rsidRDefault="00A85FE7" w:rsidP="006A3C8E">
      <w:pPr>
        <w:spacing w:after="0"/>
        <w:rPr>
          <w:rFonts w:asciiTheme="minorHAnsi" w:hAnsiTheme="minorHAnsi" w:cstheme="minorHAnsi"/>
          <w:sz w:val="18"/>
          <w:szCs w:val="18"/>
        </w:rPr>
      </w:pPr>
      <w:r w:rsidRPr="00E811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2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https://www.aclu.org/issues/free-speech/freedom-press/media-protection-laws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</w:footnote>
  <w:footnote w:id="4">
    <w:p w14:paraId="607B00B5" w14:textId="77777777" w:rsidR="00D3126B" w:rsidRPr="00E81118" w:rsidRDefault="00A85FE7" w:rsidP="006A3C8E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E811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iCs/>
          <w:sz w:val="18"/>
          <w:szCs w:val="18"/>
        </w:rPr>
        <w:t>Idem</w:t>
      </w:r>
    </w:p>
  </w:footnote>
  <w:footnote w:id="5">
    <w:p w14:paraId="69D71564" w14:textId="77777777" w:rsidR="00705525" w:rsidRPr="00E81118" w:rsidRDefault="00A85FE7" w:rsidP="006A3C8E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E81118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3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https://www.rcfp.org/category/protecting-sources-and-materials/</w:t>
        </w:r>
      </w:hyperlink>
    </w:p>
    <w:p w14:paraId="7B5C7DE8" w14:textId="77777777" w:rsidR="00F66C45" w:rsidRDefault="00F66C45" w:rsidP="006A3C8E">
      <w:pPr>
        <w:pStyle w:val="FootnoteText"/>
      </w:pPr>
    </w:p>
  </w:footnote>
  <w:footnote w:id="6">
    <w:p w14:paraId="265732A8" w14:textId="77777777" w:rsidR="00F44AFF" w:rsidRPr="004C611A" w:rsidRDefault="00A85FE7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C611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4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https://www.rcfp.org/category/content-restrictions/</w:t>
        </w:r>
      </w:hyperlink>
      <w:r>
        <w:rPr>
          <w:rFonts w:ascii="Calibri" w:eastAsia="Calibri" w:hAnsi="Calibri" w:cs="Calibri"/>
          <w:sz w:val="18"/>
          <w:szCs w:val="18"/>
        </w:rPr>
        <w:t xml:space="preserve">; </w:t>
      </w:r>
      <w:hyperlink r:id="rId5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https://www.rcfp.org/category/freedom-of-information/</w:t>
        </w:r>
      </w:hyperlink>
      <w:r>
        <w:rPr>
          <w:rFonts w:ascii="Calibri" w:eastAsia="Calibri" w:hAnsi="Calibri" w:cs="Calibri"/>
          <w:sz w:val="18"/>
          <w:szCs w:val="18"/>
        </w:rPr>
        <w:t xml:space="preserve">; </w:t>
      </w:r>
      <w:hyperlink r:id="rId6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https://www.rcfp.org/category/prior-restrain</w:t>
        </w:r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t/</w:t>
        </w:r>
      </w:hyperlink>
      <w:r>
        <w:rPr>
          <w:rFonts w:ascii="Calibri" w:eastAsia="Calibri" w:hAnsi="Calibri" w:cs="Calibri"/>
          <w:sz w:val="18"/>
          <w:szCs w:val="18"/>
        </w:rPr>
        <w:t xml:space="preserve">. </w:t>
      </w:r>
    </w:p>
  </w:footnote>
  <w:footnote w:id="7">
    <w:p w14:paraId="7A3F16CB" w14:textId="77777777" w:rsidR="00DF5654" w:rsidRPr="004C611A" w:rsidRDefault="00A85FE7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C611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https://www.rcfp.org/what-we-do/</w:t>
      </w:r>
    </w:p>
  </w:footnote>
  <w:footnote w:id="8">
    <w:p w14:paraId="615A59B0" w14:textId="77777777" w:rsidR="00BD19E4" w:rsidRPr="004C611A" w:rsidRDefault="00A85FE7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C611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https://www.rcfp.org/our-history/</w:t>
      </w:r>
    </w:p>
  </w:footnote>
  <w:footnote w:id="9">
    <w:p w14:paraId="622F9D29" w14:textId="77777777" w:rsidR="00D63682" w:rsidRPr="004C611A" w:rsidRDefault="00A85FE7">
      <w:pPr>
        <w:pStyle w:val="FootnoteText"/>
        <w:rPr>
          <w:rFonts w:asciiTheme="minorHAnsi" w:hAnsiTheme="minorHAnsi" w:cstheme="minorHAnsi"/>
          <w:sz w:val="18"/>
          <w:szCs w:val="18"/>
        </w:rPr>
      </w:pPr>
      <w:r w:rsidRPr="004C611A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</w:rPr>
        <w:t xml:space="preserve"> </w:t>
      </w:r>
      <w:hyperlink r:id="rId7" w:history="1"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https://www.theguardian.com/us-news/ng-interactive/2019/sep/13/edward-snowden-interview-whistleblowing-russia-ai</w:t>
        </w:r>
        <w:r>
          <w:rPr>
            <w:rFonts w:ascii="Calibri" w:eastAsia="Calibri" w:hAnsi="Calibri" w:cs="Calibri"/>
            <w:color w:val="0563C1"/>
            <w:sz w:val="18"/>
            <w:szCs w:val="18"/>
            <w:u w:val="single"/>
          </w:rPr>
          <w:t>-permanent-record</w:t>
        </w:r>
      </w:hyperlink>
    </w:p>
    <w:p w14:paraId="57AD2122" w14:textId="77777777" w:rsidR="00A60BC4" w:rsidRDefault="00A60BC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591"/>
    <w:multiLevelType w:val="hybridMultilevel"/>
    <w:tmpl w:val="542C995C"/>
    <w:lvl w:ilvl="0" w:tplc="D1C05472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1A9BA9"/>
      </w:rPr>
    </w:lvl>
    <w:lvl w:ilvl="1" w:tplc="056C6F4E" w:tentative="1">
      <w:start w:val="1"/>
      <w:numFmt w:val="lowerLetter"/>
      <w:lvlText w:val="%2."/>
      <w:lvlJc w:val="left"/>
      <w:pPr>
        <w:ind w:left="1364" w:hanging="360"/>
      </w:pPr>
    </w:lvl>
    <w:lvl w:ilvl="2" w:tplc="A020628C" w:tentative="1">
      <w:start w:val="1"/>
      <w:numFmt w:val="lowerRoman"/>
      <w:lvlText w:val="%3."/>
      <w:lvlJc w:val="right"/>
      <w:pPr>
        <w:ind w:left="2084" w:hanging="180"/>
      </w:pPr>
    </w:lvl>
    <w:lvl w:ilvl="3" w:tplc="0F045F3A" w:tentative="1">
      <w:start w:val="1"/>
      <w:numFmt w:val="decimal"/>
      <w:lvlText w:val="%4."/>
      <w:lvlJc w:val="left"/>
      <w:pPr>
        <w:ind w:left="2804" w:hanging="360"/>
      </w:pPr>
    </w:lvl>
    <w:lvl w:ilvl="4" w:tplc="A946851E" w:tentative="1">
      <w:start w:val="1"/>
      <w:numFmt w:val="lowerLetter"/>
      <w:lvlText w:val="%5."/>
      <w:lvlJc w:val="left"/>
      <w:pPr>
        <w:ind w:left="3524" w:hanging="360"/>
      </w:pPr>
    </w:lvl>
    <w:lvl w:ilvl="5" w:tplc="57024888" w:tentative="1">
      <w:start w:val="1"/>
      <w:numFmt w:val="lowerRoman"/>
      <w:lvlText w:val="%6."/>
      <w:lvlJc w:val="right"/>
      <w:pPr>
        <w:ind w:left="4244" w:hanging="180"/>
      </w:pPr>
    </w:lvl>
    <w:lvl w:ilvl="6" w:tplc="D70A172A" w:tentative="1">
      <w:start w:val="1"/>
      <w:numFmt w:val="decimal"/>
      <w:lvlText w:val="%7."/>
      <w:lvlJc w:val="left"/>
      <w:pPr>
        <w:ind w:left="4964" w:hanging="360"/>
      </w:pPr>
    </w:lvl>
    <w:lvl w:ilvl="7" w:tplc="08E6C69A" w:tentative="1">
      <w:start w:val="1"/>
      <w:numFmt w:val="lowerLetter"/>
      <w:lvlText w:val="%8."/>
      <w:lvlJc w:val="left"/>
      <w:pPr>
        <w:ind w:left="5684" w:hanging="360"/>
      </w:pPr>
    </w:lvl>
    <w:lvl w:ilvl="8" w:tplc="B3BE0A1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5500C3"/>
    <w:multiLevelType w:val="hybridMultilevel"/>
    <w:tmpl w:val="47CCC0EC"/>
    <w:lvl w:ilvl="0" w:tplc="C472FE3C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  <w:color w:val="5AB9BB"/>
      </w:rPr>
    </w:lvl>
    <w:lvl w:ilvl="1" w:tplc="EFF88E50" w:tentative="1">
      <w:start w:val="1"/>
      <w:numFmt w:val="lowerLetter"/>
      <w:lvlText w:val="%2."/>
      <w:lvlJc w:val="left"/>
      <w:pPr>
        <w:ind w:left="1364" w:hanging="360"/>
      </w:pPr>
    </w:lvl>
    <w:lvl w:ilvl="2" w:tplc="F6E44918" w:tentative="1">
      <w:start w:val="1"/>
      <w:numFmt w:val="lowerRoman"/>
      <w:lvlText w:val="%3."/>
      <w:lvlJc w:val="right"/>
      <w:pPr>
        <w:ind w:left="2084" w:hanging="180"/>
      </w:pPr>
    </w:lvl>
    <w:lvl w:ilvl="3" w:tplc="B4080DFA" w:tentative="1">
      <w:start w:val="1"/>
      <w:numFmt w:val="decimal"/>
      <w:lvlText w:val="%4."/>
      <w:lvlJc w:val="left"/>
      <w:pPr>
        <w:ind w:left="2804" w:hanging="360"/>
      </w:pPr>
    </w:lvl>
    <w:lvl w:ilvl="4" w:tplc="B4166106" w:tentative="1">
      <w:start w:val="1"/>
      <w:numFmt w:val="lowerLetter"/>
      <w:lvlText w:val="%5."/>
      <w:lvlJc w:val="left"/>
      <w:pPr>
        <w:ind w:left="3524" w:hanging="360"/>
      </w:pPr>
    </w:lvl>
    <w:lvl w:ilvl="5" w:tplc="80BC3406" w:tentative="1">
      <w:start w:val="1"/>
      <w:numFmt w:val="lowerRoman"/>
      <w:lvlText w:val="%6."/>
      <w:lvlJc w:val="right"/>
      <w:pPr>
        <w:ind w:left="4244" w:hanging="180"/>
      </w:pPr>
    </w:lvl>
    <w:lvl w:ilvl="6" w:tplc="26AA8B4E" w:tentative="1">
      <w:start w:val="1"/>
      <w:numFmt w:val="decimal"/>
      <w:lvlText w:val="%7."/>
      <w:lvlJc w:val="left"/>
      <w:pPr>
        <w:ind w:left="4964" w:hanging="360"/>
      </w:pPr>
    </w:lvl>
    <w:lvl w:ilvl="7" w:tplc="C4F8FFA8" w:tentative="1">
      <w:start w:val="1"/>
      <w:numFmt w:val="lowerLetter"/>
      <w:lvlText w:val="%8."/>
      <w:lvlJc w:val="left"/>
      <w:pPr>
        <w:ind w:left="5684" w:hanging="360"/>
      </w:pPr>
    </w:lvl>
    <w:lvl w:ilvl="8" w:tplc="641600F6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urence Ibrahim Aibo">
    <w15:presenceInfo w15:providerId="Windows Live" w15:userId="6cbdb20fa316d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0B"/>
    <w:rsid w:val="0000423D"/>
    <w:rsid w:val="00007641"/>
    <w:rsid w:val="000253C4"/>
    <w:rsid w:val="00040B21"/>
    <w:rsid w:val="0004169E"/>
    <w:rsid w:val="000504FC"/>
    <w:rsid w:val="000666DF"/>
    <w:rsid w:val="00075B12"/>
    <w:rsid w:val="000852C7"/>
    <w:rsid w:val="00085F44"/>
    <w:rsid w:val="000865C1"/>
    <w:rsid w:val="0009168E"/>
    <w:rsid w:val="000A0913"/>
    <w:rsid w:val="000B2BCC"/>
    <w:rsid w:val="000C7B26"/>
    <w:rsid w:val="000D4533"/>
    <w:rsid w:val="000D6B24"/>
    <w:rsid w:val="000F5438"/>
    <w:rsid w:val="00100345"/>
    <w:rsid w:val="00110F03"/>
    <w:rsid w:val="001132CD"/>
    <w:rsid w:val="001433AA"/>
    <w:rsid w:val="001444EC"/>
    <w:rsid w:val="00151621"/>
    <w:rsid w:val="00156BD9"/>
    <w:rsid w:val="00156DA7"/>
    <w:rsid w:val="00173A63"/>
    <w:rsid w:val="00185048"/>
    <w:rsid w:val="00196A76"/>
    <w:rsid w:val="001A51F8"/>
    <w:rsid w:val="001C33FA"/>
    <w:rsid w:val="001C5F04"/>
    <w:rsid w:val="001C7CFA"/>
    <w:rsid w:val="001D4A0D"/>
    <w:rsid w:val="001E06CD"/>
    <w:rsid w:val="001F447C"/>
    <w:rsid w:val="0020011C"/>
    <w:rsid w:val="0022400D"/>
    <w:rsid w:val="002350FA"/>
    <w:rsid w:val="00242941"/>
    <w:rsid w:val="00246A3F"/>
    <w:rsid w:val="002524B0"/>
    <w:rsid w:val="00261A9F"/>
    <w:rsid w:val="00275046"/>
    <w:rsid w:val="00281F67"/>
    <w:rsid w:val="00284E57"/>
    <w:rsid w:val="002931EA"/>
    <w:rsid w:val="002A491E"/>
    <w:rsid w:val="002C59D4"/>
    <w:rsid w:val="002C6A09"/>
    <w:rsid w:val="002D5705"/>
    <w:rsid w:val="002D604F"/>
    <w:rsid w:val="002E1DB5"/>
    <w:rsid w:val="002F1B2D"/>
    <w:rsid w:val="002F3638"/>
    <w:rsid w:val="002F3A22"/>
    <w:rsid w:val="00313203"/>
    <w:rsid w:val="00317797"/>
    <w:rsid w:val="00326F7D"/>
    <w:rsid w:val="00340118"/>
    <w:rsid w:val="003411C1"/>
    <w:rsid w:val="00341C7D"/>
    <w:rsid w:val="00347696"/>
    <w:rsid w:val="00352935"/>
    <w:rsid w:val="003579DE"/>
    <w:rsid w:val="003634AA"/>
    <w:rsid w:val="00365386"/>
    <w:rsid w:val="00376A24"/>
    <w:rsid w:val="00383EBB"/>
    <w:rsid w:val="003A4EBC"/>
    <w:rsid w:val="003B0390"/>
    <w:rsid w:val="003B6E11"/>
    <w:rsid w:val="003D723E"/>
    <w:rsid w:val="003F2CEB"/>
    <w:rsid w:val="003F3D19"/>
    <w:rsid w:val="003F7514"/>
    <w:rsid w:val="00401C41"/>
    <w:rsid w:val="004039A9"/>
    <w:rsid w:val="0040570F"/>
    <w:rsid w:val="00417C9C"/>
    <w:rsid w:val="0042128A"/>
    <w:rsid w:val="0043366F"/>
    <w:rsid w:val="00433D22"/>
    <w:rsid w:val="00455A9D"/>
    <w:rsid w:val="00477973"/>
    <w:rsid w:val="00481CF7"/>
    <w:rsid w:val="00486841"/>
    <w:rsid w:val="004B1795"/>
    <w:rsid w:val="004B2823"/>
    <w:rsid w:val="004B62BE"/>
    <w:rsid w:val="004C44A7"/>
    <w:rsid w:val="004C514F"/>
    <w:rsid w:val="004C611A"/>
    <w:rsid w:val="004C72F4"/>
    <w:rsid w:val="004D32F2"/>
    <w:rsid w:val="004D4205"/>
    <w:rsid w:val="004D70AA"/>
    <w:rsid w:val="004E5F1E"/>
    <w:rsid w:val="00511E88"/>
    <w:rsid w:val="00512D8A"/>
    <w:rsid w:val="00515523"/>
    <w:rsid w:val="005249E4"/>
    <w:rsid w:val="00524FF5"/>
    <w:rsid w:val="0054056E"/>
    <w:rsid w:val="00555F1D"/>
    <w:rsid w:val="00566382"/>
    <w:rsid w:val="005970A5"/>
    <w:rsid w:val="005A17F5"/>
    <w:rsid w:val="005A2699"/>
    <w:rsid w:val="005A5D76"/>
    <w:rsid w:val="005A5F84"/>
    <w:rsid w:val="005B495F"/>
    <w:rsid w:val="005B5E9A"/>
    <w:rsid w:val="005C1133"/>
    <w:rsid w:val="005D1892"/>
    <w:rsid w:val="005E19B7"/>
    <w:rsid w:val="005E1D1B"/>
    <w:rsid w:val="005E3226"/>
    <w:rsid w:val="006241C5"/>
    <w:rsid w:val="006247D2"/>
    <w:rsid w:val="00627F87"/>
    <w:rsid w:val="00641C5E"/>
    <w:rsid w:val="006421EA"/>
    <w:rsid w:val="00643E6F"/>
    <w:rsid w:val="00644275"/>
    <w:rsid w:val="006575E7"/>
    <w:rsid w:val="00670DDC"/>
    <w:rsid w:val="00674B29"/>
    <w:rsid w:val="0068443C"/>
    <w:rsid w:val="006A3C8E"/>
    <w:rsid w:val="006A5CD2"/>
    <w:rsid w:val="006A66D5"/>
    <w:rsid w:val="006B3AAA"/>
    <w:rsid w:val="006B4394"/>
    <w:rsid w:val="006C7008"/>
    <w:rsid w:val="006D0580"/>
    <w:rsid w:val="006D117C"/>
    <w:rsid w:val="006D41EF"/>
    <w:rsid w:val="006D4626"/>
    <w:rsid w:val="006E08EA"/>
    <w:rsid w:val="006E5ADA"/>
    <w:rsid w:val="006E7FEB"/>
    <w:rsid w:val="006F15EA"/>
    <w:rsid w:val="00704BAD"/>
    <w:rsid w:val="00705525"/>
    <w:rsid w:val="00705BBD"/>
    <w:rsid w:val="00711754"/>
    <w:rsid w:val="007234B7"/>
    <w:rsid w:val="00745BFC"/>
    <w:rsid w:val="00762789"/>
    <w:rsid w:val="0076309B"/>
    <w:rsid w:val="00763490"/>
    <w:rsid w:val="0078377C"/>
    <w:rsid w:val="007951EB"/>
    <w:rsid w:val="007A4120"/>
    <w:rsid w:val="007B0AD8"/>
    <w:rsid w:val="007B4B67"/>
    <w:rsid w:val="007B5FFA"/>
    <w:rsid w:val="007D0D57"/>
    <w:rsid w:val="007D424D"/>
    <w:rsid w:val="007E0D9C"/>
    <w:rsid w:val="007E50A4"/>
    <w:rsid w:val="007E61D9"/>
    <w:rsid w:val="0081362F"/>
    <w:rsid w:val="00816169"/>
    <w:rsid w:val="00817FB4"/>
    <w:rsid w:val="008256C0"/>
    <w:rsid w:val="008616A8"/>
    <w:rsid w:val="00882077"/>
    <w:rsid w:val="00883055"/>
    <w:rsid w:val="00893630"/>
    <w:rsid w:val="008B3DAC"/>
    <w:rsid w:val="008D19D4"/>
    <w:rsid w:val="008D428C"/>
    <w:rsid w:val="008E0493"/>
    <w:rsid w:val="008E1FEF"/>
    <w:rsid w:val="008E5872"/>
    <w:rsid w:val="008F21DB"/>
    <w:rsid w:val="008F7530"/>
    <w:rsid w:val="00901178"/>
    <w:rsid w:val="0090142A"/>
    <w:rsid w:val="009078BA"/>
    <w:rsid w:val="00907D66"/>
    <w:rsid w:val="009108B3"/>
    <w:rsid w:val="00917C45"/>
    <w:rsid w:val="00927E2A"/>
    <w:rsid w:val="00936204"/>
    <w:rsid w:val="00980861"/>
    <w:rsid w:val="00985321"/>
    <w:rsid w:val="00990C21"/>
    <w:rsid w:val="00996241"/>
    <w:rsid w:val="009A53FB"/>
    <w:rsid w:val="009A6BF6"/>
    <w:rsid w:val="009B5507"/>
    <w:rsid w:val="009D1C82"/>
    <w:rsid w:val="009D2264"/>
    <w:rsid w:val="009D47A9"/>
    <w:rsid w:val="009E0136"/>
    <w:rsid w:val="009E2B6C"/>
    <w:rsid w:val="009E2D8D"/>
    <w:rsid w:val="00A04981"/>
    <w:rsid w:val="00A04D37"/>
    <w:rsid w:val="00A168A2"/>
    <w:rsid w:val="00A226CB"/>
    <w:rsid w:val="00A2296B"/>
    <w:rsid w:val="00A26196"/>
    <w:rsid w:val="00A37AFB"/>
    <w:rsid w:val="00A60B3B"/>
    <w:rsid w:val="00A60BC4"/>
    <w:rsid w:val="00A62AC6"/>
    <w:rsid w:val="00A6766C"/>
    <w:rsid w:val="00A85FE7"/>
    <w:rsid w:val="00A8635D"/>
    <w:rsid w:val="00A905EF"/>
    <w:rsid w:val="00AE68B0"/>
    <w:rsid w:val="00AE6A9B"/>
    <w:rsid w:val="00AF0673"/>
    <w:rsid w:val="00B04F37"/>
    <w:rsid w:val="00B45DB6"/>
    <w:rsid w:val="00B53593"/>
    <w:rsid w:val="00B71A0A"/>
    <w:rsid w:val="00B91BC0"/>
    <w:rsid w:val="00B9345F"/>
    <w:rsid w:val="00BB5436"/>
    <w:rsid w:val="00BC43DE"/>
    <w:rsid w:val="00BC52E5"/>
    <w:rsid w:val="00BD19E4"/>
    <w:rsid w:val="00BD6987"/>
    <w:rsid w:val="00BE0E8A"/>
    <w:rsid w:val="00BF77FA"/>
    <w:rsid w:val="00C16B0B"/>
    <w:rsid w:val="00C22064"/>
    <w:rsid w:val="00C25E6B"/>
    <w:rsid w:val="00C34476"/>
    <w:rsid w:val="00C36F0C"/>
    <w:rsid w:val="00C4163F"/>
    <w:rsid w:val="00C503F2"/>
    <w:rsid w:val="00C52310"/>
    <w:rsid w:val="00C550A0"/>
    <w:rsid w:val="00C57DAC"/>
    <w:rsid w:val="00C66D67"/>
    <w:rsid w:val="00C73AC2"/>
    <w:rsid w:val="00C7712F"/>
    <w:rsid w:val="00C80E05"/>
    <w:rsid w:val="00C90A64"/>
    <w:rsid w:val="00C92E8C"/>
    <w:rsid w:val="00C9478B"/>
    <w:rsid w:val="00C94D2A"/>
    <w:rsid w:val="00CA10AE"/>
    <w:rsid w:val="00CA2FA2"/>
    <w:rsid w:val="00CA2FA5"/>
    <w:rsid w:val="00CA62E1"/>
    <w:rsid w:val="00CA7726"/>
    <w:rsid w:val="00CC0651"/>
    <w:rsid w:val="00CC0F36"/>
    <w:rsid w:val="00CC1220"/>
    <w:rsid w:val="00CD62F7"/>
    <w:rsid w:val="00CE0AFA"/>
    <w:rsid w:val="00D00011"/>
    <w:rsid w:val="00D04FD3"/>
    <w:rsid w:val="00D166DA"/>
    <w:rsid w:val="00D17FA5"/>
    <w:rsid w:val="00D23E0E"/>
    <w:rsid w:val="00D3103F"/>
    <w:rsid w:val="00D3126B"/>
    <w:rsid w:val="00D41007"/>
    <w:rsid w:val="00D42635"/>
    <w:rsid w:val="00D454CB"/>
    <w:rsid w:val="00D466DB"/>
    <w:rsid w:val="00D47FED"/>
    <w:rsid w:val="00D51ABF"/>
    <w:rsid w:val="00D576DC"/>
    <w:rsid w:val="00D57F1C"/>
    <w:rsid w:val="00D6139F"/>
    <w:rsid w:val="00D61E1B"/>
    <w:rsid w:val="00D63682"/>
    <w:rsid w:val="00D6513C"/>
    <w:rsid w:val="00D94515"/>
    <w:rsid w:val="00DA151B"/>
    <w:rsid w:val="00DA5972"/>
    <w:rsid w:val="00DA7F31"/>
    <w:rsid w:val="00DC04CD"/>
    <w:rsid w:val="00DC36C3"/>
    <w:rsid w:val="00DC41DA"/>
    <w:rsid w:val="00DD319B"/>
    <w:rsid w:val="00DD3B70"/>
    <w:rsid w:val="00DE40DE"/>
    <w:rsid w:val="00DF050B"/>
    <w:rsid w:val="00DF0873"/>
    <w:rsid w:val="00DF408C"/>
    <w:rsid w:val="00DF40A1"/>
    <w:rsid w:val="00DF5654"/>
    <w:rsid w:val="00DF5D63"/>
    <w:rsid w:val="00E04871"/>
    <w:rsid w:val="00E073E3"/>
    <w:rsid w:val="00E166DD"/>
    <w:rsid w:val="00E37CF9"/>
    <w:rsid w:val="00E43FC0"/>
    <w:rsid w:val="00E47F2E"/>
    <w:rsid w:val="00E658D7"/>
    <w:rsid w:val="00E73F9D"/>
    <w:rsid w:val="00E81118"/>
    <w:rsid w:val="00E81861"/>
    <w:rsid w:val="00E847C5"/>
    <w:rsid w:val="00E90A4C"/>
    <w:rsid w:val="00ED426B"/>
    <w:rsid w:val="00EE4536"/>
    <w:rsid w:val="00EF5A69"/>
    <w:rsid w:val="00F0343A"/>
    <w:rsid w:val="00F06ADB"/>
    <w:rsid w:val="00F1067A"/>
    <w:rsid w:val="00F1459F"/>
    <w:rsid w:val="00F20077"/>
    <w:rsid w:val="00F236CC"/>
    <w:rsid w:val="00F44AFF"/>
    <w:rsid w:val="00F53761"/>
    <w:rsid w:val="00F559CF"/>
    <w:rsid w:val="00F66C45"/>
    <w:rsid w:val="00F700F6"/>
    <w:rsid w:val="00F76120"/>
    <w:rsid w:val="00F847A9"/>
    <w:rsid w:val="00F910F5"/>
    <w:rsid w:val="00F92CA0"/>
    <w:rsid w:val="00FB3660"/>
    <w:rsid w:val="00FB3BF8"/>
    <w:rsid w:val="00FC2974"/>
    <w:rsid w:val="00FC4D74"/>
    <w:rsid w:val="00FC5AE6"/>
    <w:rsid w:val="00FD4D51"/>
    <w:rsid w:val="00FD7E61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7702"/>
  <w15:chartTrackingRefBased/>
  <w15:docId w15:val="{12FF7249-BE53-4209-9545-D2BB0757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50B"/>
  </w:style>
  <w:style w:type="paragraph" w:styleId="Footer">
    <w:name w:val="footer"/>
    <w:basedOn w:val="Normal"/>
    <w:link w:val="FooterChar"/>
    <w:uiPriority w:val="99"/>
    <w:unhideWhenUsed/>
    <w:rsid w:val="00DF05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50B"/>
  </w:style>
  <w:style w:type="paragraph" w:styleId="BalloonText">
    <w:name w:val="Balloon Text"/>
    <w:basedOn w:val="Normal"/>
    <w:link w:val="BalloonTextChar"/>
    <w:uiPriority w:val="99"/>
    <w:semiHidden/>
    <w:unhideWhenUsed/>
    <w:rsid w:val="00DF0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F05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417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0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07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C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C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C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3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A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1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cfp.org/category/protecting-sources-and-materials/" TargetMode="External"/><Relationship Id="rId7" Type="http://schemas.openxmlformats.org/officeDocument/2006/relationships/hyperlink" Target="https://www.theguardian.com/us-news/ng-interactive/2019/sep/13/edward-snowden-interview-whistleblowing-russia-ai-permanent-record" TargetMode="External"/><Relationship Id="rId2" Type="http://schemas.openxmlformats.org/officeDocument/2006/relationships/hyperlink" Target="https://www.aclu.org/issues/free-speech/freedom-press/media-protection-laws" TargetMode="External"/><Relationship Id="rId1" Type="http://schemas.openxmlformats.org/officeDocument/2006/relationships/hyperlink" Target="https://www.aclu.org/issues/free-speech/freedom-press" TargetMode="External"/><Relationship Id="rId6" Type="http://schemas.openxmlformats.org/officeDocument/2006/relationships/hyperlink" Target="https://www.rcfp.org/category/prior-restraint/" TargetMode="External"/><Relationship Id="rId5" Type="http://schemas.openxmlformats.org/officeDocument/2006/relationships/hyperlink" Target="https://www.rcfp.org/category/freedom-of-information/" TargetMode="External"/><Relationship Id="rId4" Type="http://schemas.openxmlformats.org/officeDocument/2006/relationships/hyperlink" Target="https://www.rcfp.org/category/content-restriction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82117ADED3D4A9851CCA2ADC88C5D" ma:contentTypeVersion="10" ma:contentTypeDescription="Crée un document." ma:contentTypeScope="" ma:versionID="8a2f9065a1003333c9b870e981a3496a">
  <xsd:schema xmlns:xsd="http://www.w3.org/2001/XMLSchema" xmlns:xs="http://www.w3.org/2001/XMLSchema" xmlns:p="http://schemas.microsoft.com/office/2006/metadata/properties" xmlns:ns2="1905995c-9b79-4511-be8c-59abaa36c89e" xmlns:ns3="68ab7b29-ed7b-46d2-acd2-c52f191e3db4" targetNamespace="http://schemas.microsoft.com/office/2006/metadata/properties" ma:root="true" ma:fieldsID="a485d5b70bd8cb927b5eebcc63bdeb56" ns2:_="" ns3:_="">
    <xsd:import namespace="1905995c-9b79-4511-be8c-59abaa36c89e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5995c-9b79-4511-be8c-59abaa36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67165-931F-4683-94AD-9D60CA097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19C35-C59A-4AD5-A03D-A555412CE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5995c-9b79-4511-be8c-59abaa36c89e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7199F-2051-42E9-BF1F-2822BCCBA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16B499-425D-46E7-91E9-DA8922DF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Angers</dc:creator>
  <cp:lastModifiedBy>Laurence Ibrahim Aibo</cp:lastModifiedBy>
  <cp:revision>329</cp:revision>
  <cp:lastPrinted>2020-02-20T22:14:00Z</cp:lastPrinted>
  <dcterms:created xsi:type="dcterms:W3CDTF">2020-02-20T16:16:00Z</dcterms:created>
  <dcterms:modified xsi:type="dcterms:W3CDTF">2020-03-05T17:37:00Z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0x01010030982117ADED3D4A9851CCA2ADC88C5D</vt:lpwstr>
  </property>
</Properties>
</file>