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18401" w14:textId="77777777" w:rsidR="00BF55AA" w:rsidRDefault="00FB4856" w:rsidP="00FB4856">
      <w:pPr>
        <w:bidi w:val="0"/>
        <w:spacing w:line="360" w:lineRule="auto"/>
        <w:ind w:left="-426" w:firstLine="426"/>
        <w:jc w:val="center"/>
        <w:rPr>
          <w:b/>
          <w:bCs/>
          <w:sz w:val="28"/>
        </w:rPr>
      </w:pPr>
      <w:r>
        <w:rPr>
          <w:b/>
          <w:bCs/>
          <w:sz w:val="28"/>
        </w:rPr>
        <w:t>The Bologna F</w:t>
      </w:r>
      <w:r w:rsidR="00BF55AA" w:rsidRPr="00BF55AA">
        <w:rPr>
          <w:b/>
          <w:bCs/>
          <w:sz w:val="28"/>
        </w:rPr>
        <w:t>ragmen</w:t>
      </w:r>
      <w:r w:rsidR="00BF55AA" w:rsidRPr="00D76000">
        <w:rPr>
          <w:b/>
          <w:bCs/>
          <w:sz w:val="28"/>
        </w:rPr>
        <w:t>t</w:t>
      </w:r>
      <w:r w:rsidR="0063582F" w:rsidRPr="00D76000">
        <w:rPr>
          <w:b/>
          <w:bCs/>
          <w:sz w:val="28"/>
        </w:rPr>
        <w:t>s</w:t>
      </w:r>
      <w:r w:rsidR="00BF55AA" w:rsidRPr="00BF55AA">
        <w:rPr>
          <w:b/>
          <w:bCs/>
          <w:sz w:val="28"/>
        </w:rPr>
        <w:t xml:space="preserve"> of </w:t>
      </w:r>
      <w:r w:rsidR="00BF55AA" w:rsidRPr="00BF55AA">
        <w:rPr>
          <w:b/>
          <w:bCs/>
          <w:i/>
          <w:iCs/>
          <w:sz w:val="28"/>
        </w:rPr>
        <w:t>Halakhot Gedolot</w:t>
      </w:r>
      <w:r w:rsidR="00BF55AA" w:rsidRPr="00BF55AA">
        <w:rPr>
          <w:b/>
          <w:bCs/>
          <w:sz w:val="28"/>
        </w:rPr>
        <w:t xml:space="preserve"> and </w:t>
      </w:r>
      <w:r w:rsidR="0063582F" w:rsidRPr="00D76000">
        <w:rPr>
          <w:b/>
          <w:bCs/>
          <w:sz w:val="28"/>
        </w:rPr>
        <w:t>their</w:t>
      </w:r>
      <w:r w:rsidR="00BF55AA" w:rsidRPr="00BF55AA">
        <w:rPr>
          <w:b/>
          <w:bCs/>
          <w:sz w:val="28"/>
        </w:rPr>
        <w:t xml:space="preserve"> </w:t>
      </w:r>
      <w:r>
        <w:rPr>
          <w:b/>
          <w:bCs/>
          <w:sz w:val="28"/>
        </w:rPr>
        <w:t>Relation to the Italian Textual T</w:t>
      </w:r>
      <w:r w:rsidR="00BF55AA" w:rsidRPr="00BF55AA">
        <w:rPr>
          <w:b/>
          <w:bCs/>
          <w:sz w:val="28"/>
        </w:rPr>
        <w:t xml:space="preserve">radition of the </w:t>
      </w:r>
      <w:r>
        <w:rPr>
          <w:b/>
          <w:bCs/>
          <w:sz w:val="28"/>
        </w:rPr>
        <w:t>B</w:t>
      </w:r>
      <w:r w:rsidR="00BF55AA" w:rsidRPr="00BF55AA">
        <w:rPr>
          <w:b/>
          <w:bCs/>
          <w:sz w:val="28"/>
        </w:rPr>
        <w:t>ook</w:t>
      </w:r>
    </w:p>
    <w:p w14:paraId="22C1CF1D" w14:textId="77777777" w:rsidR="004712C2" w:rsidRDefault="004712C2" w:rsidP="004712C2">
      <w:pPr>
        <w:bidi w:val="0"/>
        <w:spacing w:line="360" w:lineRule="auto"/>
        <w:ind w:left="-426" w:firstLine="426"/>
        <w:jc w:val="center"/>
        <w:rPr>
          <w:b/>
          <w:bCs/>
          <w:sz w:val="28"/>
        </w:rPr>
      </w:pPr>
    </w:p>
    <w:p w14:paraId="00336095" w14:textId="77777777" w:rsidR="004712C2" w:rsidRPr="004712C2" w:rsidRDefault="004712C2" w:rsidP="00854717">
      <w:pPr>
        <w:bidi w:val="0"/>
        <w:spacing w:line="360" w:lineRule="auto"/>
        <w:ind w:left="-426" w:firstLine="426"/>
        <w:jc w:val="center"/>
        <w:rPr>
          <w:sz w:val="28"/>
        </w:rPr>
      </w:pPr>
      <w:r w:rsidRPr="004712C2">
        <w:rPr>
          <w:sz w:val="28"/>
        </w:rPr>
        <w:t>Roni</w:t>
      </w:r>
      <w:r>
        <w:rPr>
          <w:sz w:val="28"/>
        </w:rPr>
        <w:t xml:space="preserve"> </w:t>
      </w:r>
      <w:r w:rsidRPr="004712C2">
        <w:rPr>
          <w:sz w:val="28"/>
        </w:rPr>
        <w:t>Shweka</w:t>
      </w:r>
      <w:r>
        <w:rPr>
          <w:sz w:val="28"/>
        </w:rPr>
        <w:t xml:space="preserve">, </w:t>
      </w:r>
      <w:r w:rsidR="00854717" w:rsidRPr="00854717">
        <w:rPr>
          <w:sz w:val="28"/>
        </w:rPr>
        <w:t>University of Haifa</w:t>
      </w:r>
    </w:p>
    <w:p w14:paraId="4E0CEDD3" w14:textId="77777777" w:rsidR="00BF55AA" w:rsidRDefault="00BF55AA" w:rsidP="0063582F">
      <w:pPr>
        <w:bidi w:val="0"/>
        <w:spacing w:line="360" w:lineRule="auto"/>
        <w:ind w:left="-426" w:firstLine="426"/>
        <w:jc w:val="both"/>
        <w:rPr>
          <w:b/>
          <w:bCs/>
          <w:sz w:val="28"/>
          <w:u w:val="single"/>
        </w:rPr>
      </w:pPr>
    </w:p>
    <w:p w14:paraId="610C8C3F" w14:textId="77777777" w:rsidR="004411A8" w:rsidRPr="000F5BF7" w:rsidRDefault="004411A8" w:rsidP="0063582F">
      <w:pPr>
        <w:bidi w:val="0"/>
        <w:spacing w:line="360" w:lineRule="auto"/>
        <w:ind w:left="-426" w:firstLine="426"/>
        <w:jc w:val="both"/>
        <w:rPr>
          <w:b/>
          <w:bCs/>
          <w:sz w:val="28"/>
        </w:rPr>
      </w:pPr>
      <w:r w:rsidRPr="000F5BF7">
        <w:rPr>
          <w:b/>
          <w:bCs/>
          <w:sz w:val="28"/>
        </w:rPr>
        <w:t xml:space="preserve">The two versions of </w:t>
      </w:r>
      <w:r w:rsidRPr="000F5BF7">
        <w:rPr>
          <w:b/>
          <w:bCs/>
          <w:i/>
          <w:iCs/>
          <w:sz w:val="28"/>
        </w:rPr>
        <w:t>Halakhot Gedolot</w:t>
      </w:r>
    </w:p>
    <w:p w14:paraId="396D37E3" w14:textId="334680B5" w:rsidR="00932831" w:rsidRDefault="00932831" w:rsidP="002231F0">
      <w:pPr>
        <w:bidi w:val="0"/>
        <w:spacing w:line="360" w:lineRule="auto"/>
        <w:ind w:left="-426" w:firstLine="426"/>
        <w:jc w:val="both"/>
        <w:rPr>
          <w:sz w:val="28"/>
        </w:rPr>
      </w:pPr>
      <w:r>
        <w:rPr>
          <w:i/>
          <w:iCs/>
          <w:sz w:val="28"/>
        </w:rPr>
        <w:t>Halakhot Gedolot</w:t>
      </w:r>
      <w:r>
        <w:rPr>
          <w:sz w:val="28"/>
        </w:rPr>
        <w:t xml:space="preserve"> by R. Simeon Qayyara (hereafter: </w:t>
      </w:r>
      <w:r w:rsidR="00656607" w:rsidRPr="00656607">
        <w:rPr>
          <w:i/>
          <w:iCs/>
          <w:sz w:val="28"/>
        </w:rPr>
        <w:t>HG</w:t>
      </w:r>
      <w:r>
        <w:rPr>
          <w:sz w:val="28"/>
        </w:rPr>
        <w:t xml:space="preserve">) is one of the most important halakhic books composed in the Geonic period. It </w:t>
      </w:r>
      <w:r w:rsidR="00BD1E2B">
        <w:rPr>
          <w:sz w:val="28"/>
        </w:rPr>
        <w:t>was enormously popular</w:t>
      </w:r>
      <w:r>
        <w:rPr>
          <w:sz w:val="28"/>
        </w:rPr>
        <w:t xml:space="preserve"> during </w:t>
      </w:r>
      <w:r w:rsidR="00C6050F">
        <w:rPr>
          <w:sz w:val="28"/>
        </w:rPr>
        <w:t xml:space="preserve">that </w:t>
      </w:r>
      <w:r>
        <w:rPr>
          <w:sz w:val="28"/>
        </w:rPr>
        <w:t xml:space="preserve">period and </w:t>
      </w:r>
      <w:r w:rsidR="00656607">
        <w:rPr>
          <w:sz w:val="28"/>
        </w:rPr>
        <w:t xml:space="preserve">is </w:t>
      </w:r>
      <w:r>
        <w:rPr>
          <w:sz w:val="28"/>
        </w:rPr>
        <w:t xml:space="preserve">the Geonic book </w:t>
      </w:r>
      <w:r w:rsidR="0039639D">
        <w:rPr>
          <w:sz w:val="28"/>
        </w:rPr>
        <w:t>quoted</w:t>
      </w:r>
      <w:r w:rsidR="00FB464C">
        <w:rPr>
          <w:sz w:val="28"/>
        </w:rPr>
        <w:t xml:space="preserve"> most often </w:t>
      </w:r>
      <w:r>
        <w:rPr>
          <w:sz w:val="28"/>
        </w:rPr>
        <w:t>in medieval rabbinic literature</w:t>
      </w:r>
      <w:r w:rsidR="00FB464C">
        <w:rPr>
          <w:sz w:val="28"/>
        </w:rPr>
        <w:t>.</w:t>
      </w:r>
      <w:r w:rsidR="00872CCD">
        <w:rPr>
          <w:rStyle w:val="FootnoteReference"/>
          <w:sz w:val="28"/>
        </w:rPr>
        <w:footnoteReference w:id="2"/>
      </w:r>
      <w:r>
        <w:rPr>
          <w:sz w:val="28"/>
        </w:rPr>
        <w:t xml:space="preserve"> </w:t>
      </w:r>
      <w:r w:rsidR="00461500">
        <w:rPr>
          <w:sz w:val="28"/>
        </w:rPr>
        <w:t>Different versions of it were</w:t>
      </w:r>
      <w:r>
        <w:rPr>
          <w:sz w:val="28"/>
        </w:rPr>
        <w:t xml:space="preserve"> known in </w:t>
      </w:r>
      <w:r w:rsidR="0039639D">
        <w:rPr>
          <w:sz w:val="28"/>
        </w:rPr>
        <w:t xml:space="preserve">medieval </w:t>
      </w:r>
      <w:r>
        <w:rPr>
          <w:sz w:val="28"/>
        </w:rPr>
        <w:t xml:space="preserve">Europe, and medieval rabbinic authorities in France and Germany occasionally </w:t>
      </w:r>
      <w:r w:rsidR="00461500">
        <w:rPr>
          <w:sz w:val="28"/>
        </w:rPr>
        <w:t>refer</w:t>
      </w:r>
      <w:r w:rsidR="0039639D">
        <w:rPr>
          <w:sz w:val="28"/>
        </w:rPr>
        <w:t>red</w:t>
      </w:r>
      <w:r w:rsidR="00461500">
        <w:rPr>
          <w:sz w:val="28"/>
        </w:rPr>
        <w:t xml:space="preserve"> </w:t>
      </w:r>
      <w:r>
        <w:rPr>
          <w:sz w:val="28"/>
        </w:rPr>
        <w:t>to ‘</w:t>
      </w:r>
      <w:r w:rsidR="00656607" w:rsidRPr="00656607">
        <w:rPr>
          <w:i/>
          <w:iCs/>
          <w:sz w:val="28"/>
        </w:rPr>
        <w:t>HG</w:t>
      </w:r>
      <w:r>
        <w:rPr>
          <w:i/>
          <w:iCs/>
          <w:sz w:val="28"/>
        </w:rPr>
        <w:t xml:space="preserve"> of Aspamia</w:t>
      </w:r>
      <w:r w:rsidRPr="00D36557">
        <w:rPr>
          <w:sz w:val="28"/>
        </w:rPr>
        <w:t>’</w:t>
      </w:r>
      <w:r>
        <w:rPr>
          <w:sz w:val="28"/>
        </w:rPr>
        <w:t xml:space="preserve"> (</w:t>
      </w:r>
      <w:r w:rsidRPr="00D36557">
        <w:rPr>
          <w:sz w:val="28"/>
        </w:rPr>
        <w:t>Spain)</w:t>
      </w:r>
      <w:r>
        <w:rPr>
          <w:sz w:val="28"/>
        </w:rPr>
        <w:t xml:space="preserve"> in contra</w:t>
      </w:r>
      <w:r w:rsidR="00461500">
        <w:rPr>
          <w:sz w:val="28"/>
        </w:rPr>
        <w:t>st</w:t>
      </w:r>
      <w:r>
        <w:rPr>
          <w:sz w:val="28"/>
        </w:rPr>
        <w:t xml:space="preserve"> to ‘</w:t>
      </w:r>
      <w:r w:rsidRPr="00D36557">
        <w:rPr>
          <w:i/>
          <w:iCs/>
          <w:sz w:val="28"/>
        </w:rPr>
        <w:t xml:space="preserve">Our </w:t>
      </w:r>
      <w:r w:rsidR="00656607" w:rsidRPr="00656607">
        <w:rPr>
          <w:i/>
          <w:iCs/>
          <w:sz w:val="28"/>
        </w:rPr>
        <w:t>HG</w:t>
      </w:r>
      <w:r>
        <w:rPr>
          <w:sz w:val="28"/>
        </w:rPr>
        <w:t>’ or ‘</w:t>
      </w:r>
      <w:r w:rsidR="00656607" w:rsidRPr="00656607">
        <w:rPr>
          <w:i/>
          <w:iCs/>
          <w:sz w:val="28"/>
        </w:rPr>
        <w:t>HG</w:t>
      </w:r>
      <w:r>
        <w:rPr>
          <w:i/>
          <w:iCs/>
          <w:sz w:val="28"/>
        </w:rPr>
        <w:t xml:space="preserve"> of Babylonia</w:t>
      </w:r>
      <w:r>
        <w:rPr>
          <w:sz w:val="28"/>
        </w:rPr>
        <w:t>’. Until the end of the 19</w:t>
      </w:r>
      <w:r w:rsidRPr="000B3376">
        <w:rPr>
          <w:sz w:val="28"/>
          <w:vertAlign w:val="superscript"/>
        </w:rPr>
        <w:t>th</w:t>
      </w:r>
      <w:r>
        <w:rPr>
          <w:sz w:val="28"/>
        </w:rPr>
        <w:t xml:space="preserve"> century</w:t>
      </w:r>
      <w:r w:rsidR="00944BDD">
        <w:rPr>
          <w:sz w:val="28"/>
        </w:rPr>
        <w:t xml:space="preserve">, </w:t>
      </w:r>
      <w:r>
        <w:rPr>
          <w:sz w:val="28"/>
        </w:rPr>
        <w:t xml:space="preserve">only the </w:t>
      </w:r>
      <w:r w:rsidR="00506015" w:rsidRPr="00506015">
        <w:rPr>
          <w:i/>
          <w:iCs/>
          <w:sz w:val="28"/>
        </w:rPr>
        <w:t>editio princeps</w:t>
      </w:r>
      <w:r w:rsidR="0055626B">
        <w:rPr>
          <w:sz w:val="28"/>
        </w:rPr>
        <w:t xml:space="preserve"> version</w:t>
      </w:r>
      <w:r w:rsidR="00944BDD">
        <w:rPr>
          <w:sz w:val="28"/>
        </w:rPr>
        <w:t xml:space="preserve"> of </w:t>
      </w:r>
      <w:r w:rsidR="00656607" w:rsidRPr="00656607">
        <w:rPr>
          <w:i/>
          <w:iCs/>
          <w:sz w:val="28"/>
        </w:rPr>
        <w:t>HG</w:t>
      </w:r>
      <w:r>
        <w:rPr>
          <w:sz w:val="28"/>
        </w:rPr>
        <w:t>, Venice 1548</w:t>
      </w:r>
      <w:r w:rsidR="00944BDD">
        <w:rPr>
          <w:sz w:val="28"/>
        </w:rPr>
        <w:t>, was known</w:t>
      </w:r>
      <w:r>
        <w:rPr>
          <w:sz w:val="28"/>
        </w:rPr>
        <w:t>. D</w:t>
      </w:r>
      <w:r w:rsidR="007C7C60">
        <w:rPr>
          <w:sz w:val="28"/>
        </w:rPr>
        <w:t>uring</w:t>
      </w:r>
      <w:r w:rsidR="002D558A">
        <w:rPr>
          <w:sz w:val="28"/>
        </w:rPr>
        <w:t xml:space="preserve"> the years</w:t>
      </w:r>
      <w:r w:rsidR="007C7C60">
        <w:rPr>
          <w:sz w:val="28"/>
        </w:rPr>
        <w:t xml:space="preserve"> 1888-1892</w:t>
      </w:r>
      <w:r w:rsidR="00E90CCD">
        <w:rPr>
          <w:sz w:val="28"/>
        </w:rPr>
        <w:t>,</w:t>
      </w:r>
      <w:r w:rsidR="007C7C60">
        <w:rPr>
          <w:sz w:val="28"/>
        </w:rPr>
        <w:t xml:space="preserve"> </w:t>
      </w:r>
      <w:r w:rsidR="0039639D">
        <w:rPr>
          <w:sz w:val="28"/>
        </w:rPr>
        <w:t>Azriel</w:t>
      </w:r>
      <w:r w:rsidR="007C7C60">
        <w:rPr>
          <w:sz w:val="28"/>
        </w:rPr>
        <w:t xml:space="preserve"> </w:t>
      </w:r>
      <w:r>
        <w:rPr>
          <w:sz w:val="28"/>
        </w:rPr>
        <w:t xml:space="preserve">Hildesheimer published a totally different version of </w:t>
      </w:r>
      <w:r w:rsidR="00656607" w:rsidRPr="00656607">
        <w:rPr>
          <w:i/>
          <w:iCs/>
          <w:sz w:val="28"/>
        </w:rPr>
        <w:t>HG</w:t>
      </w:r>
      <w:r w:rsidR="00D522BD">
        <w:rPr>
          <w:i/>
          <w:iCs/>
          <w:sz w:val="28"/>
        </w:rPr>
        <w:t>,</w:t>
      </w:r>
      <w:r>
        <w:rPr>
          <w:sz w:val="28"/>
        </w:rPr>
        <w:t xml:space="preserve"> </w:t>
      </w:r>
      <w:r w:rsidR="00997EC9">
        <w:rPr>
          <w:sz w:val="28"/>
        </w:rPr>
        <w:t>based on</w:t>
      </w:r>
      <w:r w:rsidRPr="000B3376">
        <w:rPr>
          <w:sz w:val="28"/>
        </w:rPr>
        <w:t xml:space="preserve"> </w:t>
      </w:r>
      <w:r w:rsidR="00B90C08">
        <w:rPr>
          <w:sz w:val="28"/>
        </w:rPr>
        <w:t>Ms.</w:t>
      </w:r>
      <w:r>
        <w:rPr>
          <w:sz w:val="28"/>
        </w:rPr>
        <w:t xml:space="preserve"> Vatican ebr. 142, </w:t>
      </w:r>
      <w:r w:rsidR="002D558A">
        <w:rPr>
          <w:sz w:val="28"/>
        </w:rPr>
        <w:t xml:space="preserve">probably </w:t>
      </w:r>
      <w:r w:rsidR="0039639D">
        <w:rPr>
          <w:sz w:val="28"/>
        </w:rPr>
        <w:t xml:space="preserve">a </w:t>
      </w:r>
      <w:r>
        <w:rPr>
          <w:sz w:val="28"/>
        </w:rPr>
        <w:t>North-African manuscript from the 11</w:t>
      </w:r>
      <w:r w:rsidRPr="000B3376">
        <w:rPr>
          <w:sz w:val="28"/>
          <w:vertAlign w:val="superscript"/>
        </w:rPr>
        <w:t>th</w:t>
      </w:r>
      <w:r>
        <w:rPr>
          <w:sz w:val="28"/>
        </w:rPr>
        <w:t xml:space="preserve"> century</w:t>
      </w:r>
      <w:r w:rsidR="002D558A">
        <w:rPr>
          <w:sz w:val="28"/>
        </w:rPr>
        <w:t>.</w:t>
      </w:r>
      <w:r w:rsidR="007C7C60">
        <w:rPr>
          <w:rStyle w:val="FootnoteReference"/>
          <w:sz w:val="28"/>
        </w:rPr>
        <w:footnoteReference w:id="3"/>
      </w:r>
      <w:r>
        <w:rPr>
          <w:sz w:val="28"/>
        </w:rPr>
        <w:t xml:space="preserve"> </w:t>
      </w:r>
      <w:r w:rsidRPr="007E177E">
        <w:rPr>
          <w:sz w:val="28"/>
        </w:rPr>
        <w:t xml:space="preserve">Besides </w:t>
      </w:r>
      <w:r w:rsidR="0039639D">
        <w:rPr>
          <w:sz w:val="28"/>
        </w:rPr>
        <w:t xml:space="preserve">the </w:t>
      </w:r>
      <w:r w:rsidRPr="007E177E">
        <w:rPr>
          <w:sz w:val="28"/>
        </w:rPr>
        <w:t xml:space="preserve">many </w:t>
      </w:r>
      <w:r w:rsidR="0039639D">
        <w:rPr>
          <w:sz w:val="28"/>
        </w:rPr>
        <w:t xml:space="preserve">textual variants from the </w:t>
      </w:r>
      <w:r w:rsidR="0039639D" w:rsidRPr="007F1F8C">
        <w:rPr>
          <w:i/>
          <w:iCs/>
          <w:sz w:val="28"/>
        </w:rPr>
        <w:t>editio princeps</w:t>
      </w:r>
      <w:r w:rsidRPr="007E177E">
        <w:rPr>
          <w:sz w:val="28"/>
        </w:rPr>
        <w:t>, the order of the chapters</w:t>
      </w:r>
      <w:r w:rsidR="0039639D">
        <w:rPr>
          <w:sz w:val="28"/>
        </w:rPr>
        <w:t xml:space="preserve"> in this version</w:t>
      </w:r>
      <w:r w:rsidRPr="007E177E">
        <w:rPr>
          <w:sz w:val="28"/>
        </w:rPr>
        <w:t xml:space="preserve"> is quite different, as is the </w:t>
      </w:r>
      <w:ins w:id="0" w:author="Author">
        <w:r w:rsidR="00233A5B">
          <w:rPr>
            <w:sz w:val="28"/>
          </w:rPr>
          <w:t xml:space="preserve">internal </w:t>
        </w:r>
      </w:ins>
      <w:del w:id="1" w:author="Author">
        <w:r w:rsidR="00710484">
          <w:rPr>
            <w:sz w:val="28"/>
          </w:rPr>
          <w:delText>position</w:delText>
        </w:r>
        <w:r w:rsidR="00710484" w:rsidRPr="007E177E">
          <w:rPr>
            <w:sz w:val="28"/>
          </w:rPr>
          <w:delText xml:space="preserve"> </w:delText>
        </w:r>
      </w:del>
      <w:ins w:id="2" w:author="Author">
        <w:del w:id="3" w:author="Author">
          <w:r w:rsidR="002231F0" w:rsidDel="00C30BC1">
            <w:rPr>
              <w:sz w:val="28"/>
            </w:rPr>
            <w:delText>compilation</w:delText>
          </w:r>
        </w:del>
        <w:r w:rsidR="00233A5B">
          <w:rPr>
            <w:sz w:val="28"/>
          </w:rPr>
          <w:t>organization</w:t>
        </w:r>
        <w:r w:rsidR="002E7B36">
          <w:rPr>
            <w:sz w:val="28"/>
          </w:rPr>
          <w:t xml:space="preserve"> </w:t>
        </w:r>
      </w:ins>
      <w:r w:rsidRPr="007E177E">
        <w:rPr>
          <w:sz w:val="28"/>
        </w:rPr>
        <w:t>of some of the chapters, mostly</w:t>
      </w:r>
      <w:ins w:id="4" w:author="Author">
        <w:r w:rsidR="00233A5B">
          <w:rPr>
            <w:sz w:val="28"/>
          </w:rPr>
          <w:t xml:space="preserve"> those</w:t>
        </w:r>
      </w:ins>
      <w:r w:rsidRPr="007E177E">
        <w:rPr>
          <w:sz w:val="28"/>
        </w:rPr>
        <w:t xml:space="preserve"> at the beginning and end of the book. Another remarkable difference is that </w:t>
      </w:r>
      <w:r w:rsidR="002D558A">
        <w:rPr>
          <w:sz w:val="28"/>
        </w:rPr>
        <w:t xml:space="preserve">Hildesheimer’s </w:t>
      </w:r>
      <w:r w:rsidRPr="007E177E">
        <w:rPr>
          <w:sz w:val="28"/>
        </w:rPr>
        <w:t>Ber</w:t>
      </w:r>
      <w:r w:rsidR="00A1311E">
        <w:rPr>
          <w:sz w:val="28"/>
        </w:rPr>
        <w:t xml:space="preserve">lin edition contains numerous </w:t>
      </w:r>
      <w:r w:rsidR="00A268E6">
        <w:rPr>
          <w:sz w:val="28"/>
        </w:rPr>
        <w:t>Ge</w:t>
      </w:r>
      <w:r w:rsidR="00A268E6" w:rsidRPr="007E177E">
        <w:rPr>
          <w:sz w:val="28"/>
        </w:rPr>
        <w:t xml:space="preserve">onic </w:t>
      </w:r>
      <w:r w:rsidRPr="007E177E">
        <w:rPr>
          <w:sz w:val="28"/>
        </w:rPr>
        <w:t xml:space="preserve">responsa, </w:t>
      </w:r>
      <w:r w:rsidR="0039639D">
        <w:rPr>
          <w:sz w:val="28"/>
        </w:rPr>
        <w:t>as well as</w:t>
      </w:r>
      <w:r w:rsidRPr="007E177E">
        <w:rPr>
          <w:sz w:val="28"/>
        </w:rPr>
        <w:t xml:space="preserve"> late interpretations and marginal notes that </w:t>
      </w:r>
      <w:r w:rsidR="0039639D">
        <w:rPr>
          <w:sz w:val="28"/>
        </w:rPr>
        <w:t>found their way</w:t>
      </w:r>
      <w:r w:rsidR="0039639D" w:rsidRPr="007E177E">
        <w:rPr>
          <w:sz w:val="28"/>
        </w:rPr>
        <w:t xml:space="preserve"> </w:t>
      </w:r>
      <w:r w:rsidRPr="007E177E">
        <w:rPr>
          <w:sz w:val="28"/>
        </w:rPr>
        <w:t xml:space="preserve">into the text. </w:t>
      </w:r>
    </w:p>
    <w:p w14:paraId="7F266A0C" w14:textId="1C7C20BD" w:rsidR="00932831" w:rsidRDefault="00C47541" w:rsidP="0063582F">
      <w:pPr>
        <w:bidi w:val="0"/>
        <w:spacing w:line="360" w:lineRule="auto"/>
        <w:ind w:left="-426" w:firstLine="426"/>
        <w:jc w:val="both"/>
        <w:rPr>
          <w:sz w:val="28"/>
          <w:rtl/>
        </w:rPr>
      </w:pPr>
      <w:r>
        <w:rPr>
          <w:rFonts w:hint="cs"/>
          <w:sz w:val="28"/>
        </w:rPr>
        <w:t>I</w:t>
      </w:r>
      <w:r>
        <w:rPr>
          <w:sz w:val="28"/>
        </w:rPr>
        <w:t xml:space="preserve">n a comprehensive study of these versions, </w:t>
      </w:r>
      <w:r w:rsidR="00932831">
        <w:rPr>
          <w:sz w:val="28"/>
        </w:rPr>
        <w:t xml:space="preserve">A. </w:t>
      </w:r>
      <w:r w:rsidR="00932831" w:rsidRPr="007E177E">
        <w:rPr>
          <w:sz w:val="28"/>
        </w:rPr>
        <w:t>Epstein</w:t>
      </w:r>
      <w:r w:rsidR="00932831">
        <w:rPr>
          <w:sz w:val="28"/>
        </w:rPr>
        <w:t xml:space="preserve"> argued that </w:t>
      </w:r>
      <w:r w:rsidR="00932831" w:rsidRPr="007E177E">
        <w:rPr>
          <w:sz w:val="28"/>
        </w:rPr>
        <w:t xml:space="preserve">the </w:t>
      </w:r>
      <w:r w:rsidR="00506015" w:rsidRPr="00506015">
        <w:rPr>
          <w:i/>
          <w:iCs/>
          <w:sz w:val="28"/>
        </w:rPr>
        <w:t>editio princeps</w:t>
      </w:r>
      <w:r w:rsidR="00932831" w:rsidRPr="007E177E">
        <w:rPr>
          <w:sz w:val="28"/>
        </w:rPr>
        <w:t xml:space="preserve"> presents the original version of </w:t>
      </w:r>
      <w:r w:rsidR="00932831" w:rsidRPr="007E177E">
        <w:rPr>
          <w:i/>
          <w:iCs/>
          <w:sz w:val="28"/>
        </w:rPr>
        <w:t>Halakhot Gedolot</w:t>
      </w:r>
      <w:r w:rsidR="00932831" w:rsidRPr="007E177E">
        <w:rPr>
          <w:sz w:val="28"/>
        </w:rPr>
        <w:t xml:space="preserve">, which was composed in </w:t>
      </w:r>
      <w:r w:rsidR="00854032">
        <w:rPr>
          <w:sz w:val="28"/>
        </w:rPr>
        <w:t xml:space="preserve">the academy of </w:t>
      </w:r>
      <w:r w:rsidR="00932831" w:rsidRPr="007E177E">
        <w:rPr>
          <w:sz w:val="28"/>
        </w:rPr>
        <w:t>Sura at the beginning of the ninth century, while the Berlin edition presents an augmented recension compiled in Qayrawan around</w:t>
      </w:r>
      <w:r w:rsidR="007C593C">
        <w:rPr>
          <w:sz w:val="28"/>
        </w:rPr>
        <w:t xml:space="preserve"> the year</w:t>
      </w:r>
      <w:r w:rsidR="00932831" w:rsidRPr="007E177E">
        <w:rPr>
          <w:sz w:val="28"/>
        </w:rPr>
        <w:t xml:space="preserve"> 900. </w:t>
      </w:r>
      <w:r w:rsidR="00932831">
        <w:rPr>
          <w:sz w:val="28"/>
        </w:rPr>
        <w:t xml:space="preserve">He also identified the </w:t>
      </w:r>
      <w:r w:rsidR="002D558A">
        <w:rPr>
          <w:sz w:val="28"/>
        </w:rPr>
        <w:t xml:space="preserve">Berlin edition </w:t>
      </w:r>
      <w:r w:rsidR="00932831">
        <w:rPr>
          <w:sz w:val="28"/>
        </w:rPr>
        <w:lastRenderedPageBreak/>
        <w:t xml:space="preserve">version of </w:t>
      </w:r>
      <w:r w:rsidR="002D558A">
        <w:rPr>
          <w:sz w:val="28"/>
        </w:rPr>
        <w:t xml:space="preserve">the text </w:t>
      </w:r>
      <w:r w:rsidR="00932831">
        <w:rPr>
          <w:sz w:val="28"/>
        </w:rPr>
        <w:t>with the</w:t>
      </w:r>
      <w:r w:rsidR="00932831" w:rsidRPr="007E177E">
        <w:rPr>
          <w:sz w:val="28"/>
        </w:rPr>
        <w:t xml:space="preserve"> </w:t>
      </w:r>
      <w:r w:rsidR="00932831">
        <w:rPr>
          <w:sz w:val="28"/>
        </w:rPr>
        <w:t>‘</w:t>
      </w:r>
      <w:r w:rsidR="00932831" w:rsidRPr="007E177E">
        <w:rPr>
          <w:sz w:val="28"/>
        </w:rPr>
        <w:t>Spanish</w:t>
      </w:r>
      <w:r w:rsidR="00932831">
        <w:rPr>
          <w:sz w:val="28"/>
        </w:rPr>
        <w:t>’</w:t>
      </w:r>
      <w:r w:rsidR="00932831" w:rsidRPr="007E177E">
        <w:rPr>
          <w:sz w:val="28"/>
        </w:rPr>
        <w:t xml:space="preserve"> </w:t>
      </w:r>
      <w:r w:rsidR="00932831" w:rsidRPr="007E177E">
        <w:rPr>
          <w:i/>
          <w:iCs/>
          <w:sz w:val="28"/>
        </w:rPr>
        <w:t>Halakhot Gedolot</w:t>
      </w:r>
      <w:r w:rsidR="00932831" w:rsidRPr="007E177E">
        <w:rPr>
          <w:sz w:val="28"/>
        </w:rPr>
        <w:t>.</w:t>
      </w:r>
      <w:r w:rsidR="007C7C60">
        <w:rPr>
          <w:rStyle w:val="FootnoteReference"/>
          <w:sz w:val="28"/>
        </w:rPr>
        <w:footnoteReference w:id="4"/>
      </w:r>
      <w:r w:rsidR="00932831" w:rsidRPr="007E177E">
        <w:rPr>
          <w:sz w:val="28"/>
        </w:rPr>
        <w:t xml:space="preserve"> </w:t>
      </w:r>
      <w:r w:rsidR="00932831">
        <w:rPr>
          <w:sz w:val="28"/>
        </w:rPr>
        <w:t xml:space="preserve">Epstein’s theory </w:t>
      </w:r>
      <w:r w:rsidR="002D558A">
        <w:rPr>
          <w:sz w:val="28"/>
        </w:rPr>
        <w:t xml:space="preserve">has been </w:t>
      </w:r>
      <w:r w:rsidR="00932831">
        <w:rPr>
          <w:sz w:val="28"/>
        </w:rPr>
        <w:t>challenged by some scholars</w:t>
      </w:r>
      <w:r w:rsidR="002D558A">
        <w:rPr>
          <w:sz w:val="28"/>
        </w:rPr>
        <w:t xml:space="preserve">, </w:t>
      </w:r>
      <w:r w:rsidR="007C593C">
        <w:rPr>
          <w:sz w:val="28"/>
        </w:rPr>
        <w:t xml:space="preserve">who </w:t>
      </w:r>
      <w:r w:rsidR="002D558A">
        <w:rPr>
          <w:sz w:val="28"/>
        </w:rPr>
        <w:t>based</w:t>
      </w:r>
      <w:r w:rsidR="007C593C">
        <w:rPr>
          <w:sz w:val="28"/>
        </w:rPr>
        <w:t xml:space="preserve"> their arguments </w:t>
      </w:r>
      <w:r w:rsidR="002D558A">
        <w:rPr>
          <w:sz w:val="28"/>
        </w:rPr>
        <w:t>on additional</w:t>
      </w:r>
      <w:r w:rsidR="00932831" w:rsidRPr="007E177E">
        <w:rPr>
          <w:sz w:val="28"/>
        </w:rPr>
        <w:t xml:space="preserve"> manuscripts and many Geniza</w:t>
      </w:r>
      <w:r w:rsidR="00194BBC">
        <w:rPr>
          <w:sz w:val="28"/>
        </w:rPr>
        <w:t>h</w:t>
      </w:r>
      <w:r w:rsidR="00932831" w:rsidRPr="007E177E">
        <w:rPr>
          <w:sz w:val="28"/>
        </w:rPr>
        <w:t xml:space="preserve"> fragments of </w:t>
      </w:r>
      <w:r w:rsidR="00932831" w:rsidRPr="007E177E">
        <w:rPr>
          <w:i/>
          <w:iCs/>
          <w:sz w:val="28"/>
        </w:rPr>
        <w:t>Halakhot Gedolot</w:t>
      </w:r>
      <w:r w:rsidR="00932831">
        <w:rPr>
          <w:sz w:val="28"/>
        </w:rPr>
        <w:t xml:space="preserve"> that</w:t>
      </w:r>
      <w:r w:rsidR="00932831" w:rsidRPr="007E177E">
        <w:rPr>
          <w:i/>
          <w:iCs/>
          <w:sz w:val="28"/>
        </w:rPr>
        <w:t xml:space="preserve"> </w:t>
      </w:r>
      <w:r w:rsidR="00932831" w:rsidRPr="007E177E">
        <w:rPr>
          <w:sz w:val="28"/>
        </w:rPr>
        <w:t>have been discovered</w:t>
      </w:r>
      <w:r w:rsidR="00932831">
        <w:rPr>
          <w:sz w:val="28"/>
        </w:rPr>
        <w:t xml:space="preserve"> since his study.</w:t>
      </w:r>
      <w:r w:rsidR="00B2146B">
        <w:rPr>
          <w:rStyle w:val="FootnoteReference"/>
          <w:sz w:val="28"/>
        </w:rPr>
        <w:footnoteReference w:id="5"/>
      </w:r>
      <w:r w:rsidR="00932831" w:rsidRPr="007E177E">
        <w:rPr>
          <w:sz w:val="28"/>
        </w:rPr>
        <w:t xml:space="preserve"> </w:t>
      </w:r>
      <w:r w:rsidR="002D558A">
        <w:rPr>
          <w:sz w:val="28"/>
        </w:rPr>
        <w:t xml:space="preserve">Between </w:t>
      </w:r>
      <w:r w:rsidR="00932831">
        <w:rPr>
          <w:sz w:val="28"/>
        </w:rPr>
        <w:t>1972</w:t>
      </w:r>
      <w:r w:rsidR="00E055D7">
        <w:rPr>
          <w:sz w:val="28"/>
        </w:rPr>
        <w:t xml:space="preserve"> and </w:t>
      </w:r>
      <w:r w:rsidR="00932831">
        <w:rPr>
          <w:sz w:val="28"/>
        </w:rPr>
        <w:t>1987</w:t>
      </w:r>
      <w:r w:rsidR="002D558A">
        <w:rPr>
          <w:sz w:val="28"/>
        </w:rPr>
        <w:t>,</w:t>
      </w:r>
      <w:r w:rsidR="00932831">
        <w:rPr>
          <w:sz w:val="28"/>
        </w:rPr>
        <w:t xml:space="preserve"> </w:t>
      </w:r>
      <w:r w:rsidR="009B046F">
        <w:rPr>
          <w:sz w:val="28"/>
        </w:rPr>
        <w:t>A</w:t>
      </w:r>
      <w:r w:rsidR="00C87371">
        <w:rPr>
          <w:sz w:val="28"/>
        </w:rPr>
        <w:t>zriel</w:t>
      </w:r>
      <w:r w:rsidR="00932831">
        <w:rPr>
          <w:sz w:val="28"/>
        </w:rPr>
        <w:t xml:space="preserve"> Hildesheimer, </w:t>
      </w:r>
      <w:r w:rsidR="002D558A">
        <w:rPr>
          <w:sz w:val="28"/>
        </w:rPr>
        <w:t xml:space="preserve">the </w:t>
      </w:r>
      <w:r w:rsidR="00932831">
        <w:rPr>
          <w:sz w:val="28"/>
        </w:rPr>
        <w:t>grandson</w:t>
      </w:r>
      <w:r w:rsidR="00C87371">
        <w:rPr>
          <w:sz w:val="28"/>
        </w:rPr>
        <w:t xml:space="preserve"> and namesake</w:t>
      </w:r>
      <w:r w:rsidR="00932831">
        <w:rPr>
          <w:sz w:val="28"/>
        </w:rPr>
        <w:t xml:space="preserve"> of the above-mentioned</w:t>
      </w:r>
      <w:r w:rsidR="002D558A">
        <w:rPr>
          <w:sz w:val="28"/>
        </w:rPr>
        <w:t xml:space="preserve"> Hildesheimer</w:t>
      </w:r>
      <w:r w:rsidR="00932831">
        <w:rPr>
          <w:sz w:val="28"/>
        </w:rPr>
        <w:t xml:space="preserve">, published a variorum edition of </w:t>
      </w:r>
      <w:r w:rsidR="00656607" w:rsidRPr="00656607">
        <w:rPr>
          <w:i/>
          <w:iCs/>
          <w:sz w:val="28"/>
        </w:rPr>
        <w:t>HG</w:t>
      </w:r>
      <w:r w:rsidR="00932831">
        <w:rPr>
          <w:sz w:val="28"/>
        </w:rPr>
        <w:t xml:space="preserve">. </w:t>
      </w:r>
      <w:r w:rsidR="00A91AB5">
        <w:rPr>
          <w:sz w:val="28"/>
        </w:rPr>
        <w:t>As</w:t>
      </w:r>
      <w:r w:rsidR="00932831">
        <w:rPr>
          <w:sz w:val="28"/>
        </w:rPr>
        <w:t xml:space="preserve"> the base text of his edition</w:t>
      </w:r>
      <w:r w:rsidR="007C593C">
        <w:rPr>
          <w:sz w:val="28"/>
        </w:rPr>
        <w:t>,</w:t>
      </w:r>
      <w:r w:rsidR="00514D94">
        <w:rPr>
          <w:sz w:val="28"/>
        </w:rPr>
        <w:t xml:space="preserve"> </w:t>
      </w:r>
      <w:r w:rsidR="00932831">
        <w:rPr>
          <w:sz w:val="28"/>
        </w:rPr>
        <w:t xml:space="preserve"> he chose an Italian manuscript </w:t>
      </w:r>
      <w:r w:rsidR="007C593C">
        <w:rPr>
          <w:sz w:val="28"/>
        </w:rPr>
        <w:t xml:space="preserve">dated to around the year 1400 from </w:t>
      </w:r>
      <w:r w:rsidR="00932831">
        <w:rPr>
          <w:sz w:val="28"/>
        </w:rPr>
        <w:t xml:space="preserve">the Ambrosiana </w:t>
      </w:r>
      <w:r w:rsidR="00952BEB">
        <w:rPr>
          <w:sz w:val="28"/>
        </w:rPr>
        <w:t xml:space="preserve">Library </w:t>
      </w:r>
      <w:r w:rsidR="00932831">
        <w:rPr>
          <w:sz w:val="28"/>
        </w:rPr>
        <w:t>in Milan. The version</w:t>
      </w:r>
      <w:r w:rsidR="002D558A">
        <w:rPr>
          <w:sz w:val="28"/>
        </w:rPr>
        <w:t xml:space="preserve"> of the text</w:t>
      </w:r>
      <w:r w:rsidR="00932831">
        <w:rPr>
          <w:sz w:val="28"/>
        </w:rPr>
        <w:t xml:space="preserve"> in this manuscript is very similar to </w:t>
      </w:r>
      <w:r w:rsidR="00A32737">
        <w:rPr>
          <w:sz w:val="28"/>
        </w:rPr>
        <w:t xml:space="preserve">that of </w:t>
      </w:r>
      <w:r w:rsidR="00932831">
        <w:rPr>
          <w:sz w:val="28"/>
        </w:rPr>
        <w:t xml:space="preserve">the </w:t>
      </w:r>
      <w:r w:rsidR="002D558A">
        <w:rPr>
          <w:sz w:val="28"/>
        </w:rPr>
        <w:t>Berlin edition</w:t>
      </w:r>
      <w:r w:rsidR="00932831">
        <w:rPr>
          <w:sz w:val="28"/>
        </w:rPr>
        <w:t xml:space="preserve">. Hildesheimer argued, contra Epstein, that </w:t>
      </w:r>
      <w:r w:rsidR="00A32737">
        <w:rPr>
          <w:sz w:val="28"/>
        </w:rPr>
        <w:t xml:space="preserve">if one </w:t>
      </w:r>
      <w:r w:rsidR="00932831">
        <w:rPr>
          <w:sz w:val="28"/>
        </w:rPr>
        <w:t>exclud</w:t>
      </w:r>
      <w:r w:rsidR="00A32737">
        <w:rPr>
          <w:sz w:val="28"/>
        </w:rPr>
        <w:t>es</w:t>
      </w:r>
      <w:r w:rsidR="00932831">
        <w:rPr>
          <w:sz w:val="28"/>
        </w:rPr>
        <w:t xml:space="preserve"> the </w:t>
      </w:r>
      <w:r w:rsidR="00853FA7">
        <w:rPr>
          <w:sz w:val="28"/>
        </w:rPr>
        <w:t>sections</w:t>
      </w:r>
      <w:r w:rsidR="00932831">
        <w:rPr>
          <w:sz w:val="28"/>
        </w:rPr>
        <w:t xml:space="preserve"> that </w:t>
      </w:r>
      <w:r w:rsidR="00853FA7">
        <w:rPr>
          <w:sz w:val="28"/>
        </w:rPr>
        <w:t xml:space="preserve">were added to this text </w:t>
      </w:r>
      <w:r w:rsidR="00932831">
        <w:rPr>
          <w:sz w:val="28"/>
        </w:rPr>
        <w:t>(</w:t>
      </w:r>
      <w:r w:rsidR="006224A9">
        <w:rPr>
          <w:sz w:val="28"/>
        </w:rPr>
        <w:t xml:space="preserve">that appear </w:t>
      </w:r>
      <w:r w:rsidR="00932831">
        <w:rPr>
          <w:sz w:val="28"/>
        </w:rPr>
        <w:t xml:space="preserve">mainly in the Berlin edition), this </w:t>
      </w:r>
      <w:r w:rsidR="007C593C">
        <w:rPr>
          <w:sz w:val="28"/>
        </w:rPr>
        <w:t>manuscript</w:t>
      </w:r>
      <w:r w:rsidR="00853FA7">
        <w:rPr>
          <w:sz w:val="28"/>
        </w:rPr>
        <w:t xml:space="preserve"> </w:t>
      </w:r>
      <w:r w:rsidR="00932831">
        <w:rPr>
          <w:sz w:val="28"/>
        </w:rPr>
        <w:t xml:space="preserve">presents the </w:t>
      </w:r>
      <w:r w:rsidR="006224A9">
        <w:rPr>
          <w:sz w:val="28"/>
        </w:rPr>
        <w:t xml:space="preserve">version of </w:t>
      </w:r>
      <w:r w:rsidR="00656607" w:rsidRPr="00656607">
        <w:rPr>
          <w:i/>
          <w:iCs/>
          <w:sz w:val="28"/>
        </w:rPr>
        <w:t>HG</w:t>
      </w:r>
      <w:r w:rsidR="006224A9">
        <w:rPr>
          <w:rFonts w:hint="cs"/>
          <w:i/>
          <w:iCs/>
          <w:sz w:val="28"/>
          <w:rtl/>
        </w:rPr>
        <w:t xml:space="preserve"> </w:t>
      </w:r>
      <w:r w:rsidR="006224A9">
        <w:rPr>
          <w:sz w:val="28"/>
        </w:rPr>
        <w:t>most faithful to the</w:t>
      </w:r>
      <w:r w:rsidR="006224A9">
        <w:rPr>
          <w:i/>
          <w:iCs/>
          <w:sz w:val="28"/>
        </w:rPr>
        <w:t xml:space="preserve"> </w:t>
      </w:r>
      <w:r w:rsidR="00932831">
        <w:rPr>
          <w:sz w:val="28"/>
        </w:rPr>
        <w:t xml:space="preserve">original. </w:t>
      </w:r>
      <w:r w:rsidR="006D6CF0">
        <w:rPr>
          <w:sz w:val="28"/>
        </w:rPr>
        <w:t xml:space="preserve">The </w:t>
      </w:r>
      <w:r w:rsidR="002672DD">
        <w:rPr>
          <w:sz w:val="28"/>
        </w:rPr>
        <w:t>later</w:t>
      </w:r>
      <w:r w:rsidR="00A74E87">
        <w:rPr>
          <w:sz w:val="28"/>
        </w:rPr>
        <w:t xml:space="preserve"> </w:t>
      </w:r>
      <w:r w:rsidR="002163FB">
        <w:rPr>
          <w:sz w:val="28"/>
        </w:rPr>
        <w:t>Hildesheim</w:t>
      </w:r>
      <w:r w:rsidR="007C593C">
        <w:rPr>
          <w:sz w:val="28"/>
        </w:rPr>
        <w:t>er</w:t>
      </w:r>
      <w:r w:rsidR="00A74E87">
        <w:rPr>
          <w:sz w:val="28"/>
        </w:rPr>
        <w:t>,</w:t>
      </w:r>
      <w:r w:rsidR="002163FB">
        <w:rPr>
          <w:sz w:val="28"/>
        </w:rPr>
        <w:t xml:space="preserve"> </w:t>
      </w:r>
      <w:r w:rsidR="00A74E87">
        <w:rPr>
          <w:sz w:val="28"/>
        </w:rPr>
        <w:t>b</w:t>
      </w:r>
      <w:r w:rsidR="00932831">
        <w:rPr>
          <w:sz w:val="28"/>
        </w:rPr>
        <w:t xml:space="preserve">esides </w:t>
      </w:r>
      <w:r w:rsidR="006D6CF0">
        <w:rPr>
          <w:sz w:val="28"/>
        </w:rPr>
        <w:t xml:space="preserve">referring to </w:t>
      </w:r>
      <w:r w:rsidR="00932831">
        <w:rPr>
          <w:sz w:val="28"/>
        </w:rPr>
        <w:t xml:space="preserve">the Venice edition (V), </w:t>
      </w:r>
      <w:r w:rsidR="006D6CF0">
        <w:rPr>
          <w:sz w:val="28"/>
        </w:rPr>
        <w:t xml:space="preserve">the </w:t>
      </w:r>
      <w:r w:rsidR="00932831">
        <w:rPr>
          <w:sz w:val="28"/>
        </w:rPr>
        <w:t xml:space="preserve">Berlin edition (B) and </w:t>
      </w:r>
      <w:r w:rsidR="006D6CF0">
        <w:rPr>
          <w:sz w:val="28"/>
        </w:rPr>
        <w:t xml:space="preserve">the </w:t>
      </w:r>
      <w:r w:rsidR="00932831">
        <w:rPr>
          <w:sz w:val="28"/>
        </w:rPr>
        <w:t xml:space="preserve">Milan manuscript (M), recorded in his edition variants from two additional manuscripts: an almost complete manuscript </w:t>
      </w:r>
      <w:r w:rsidR="00A71C8A">
        <w:rPr>
          <w:sz w:val="28"/>
        </w:rPr>
        <w:t xml:space="preserve">found </w:t>
      </w:r>
      <w:r w:rsidR="00932831">
        <w:rPr>
          <w:sz w:val="28"/>
        </w:rPr>
        <w:t>in</w:t>
      </w:r>
      <w:r w:rsidR="007C7C60">
        <w:rPr>
          <w:sz w:val="28"/>
        </w:rPr>
        <w:t xml:space="preserve"> the Vatican </w:t>
      </w:r>
      <w:r w:rsidR="0064757D">
        <w:rPr>
          <w:sz w:val="28"/>
        </w:rPr>
        <w:t xml:space="preserve">Library </w:t>
      </w:r>
      <w:r w:rsidR="00932831">
        <w:rPr>
          <w:sz w:val="28"/>
        </w:rPr>
        <w:t xml:space="preserve">written in </w:t>
      </w:r>
      <w:r w:rsidR="00867029">
        <w:rPr>
          <w:sz w:val="28"/>
        </w:rPr>
        <w:t xml:space="preserve">Ashkenazic </w:t>
      </w:r>
      <w:r w:rsidR="00932831">
        <w:rPr>
          <w:sz w:val="28"/>
        </w:rPr>
        <w:t xml:space="preserve">script </w:t>
      </w:r>
      <w:r w:rsidR="007C593C">
        <w:rPr>
          <w:sz w:val="28"/>
        </w:rPr>
        <w:t xml:space="preserve">from </w:t>
      </w:r>
      <w:r w:rsidR="00C2518A">
        <w:rPr>
          <w:sz w:val="28"/>
        </w:rPr>
        <w:t xml:space="preserve">the </w:t>
      </w:r>
      <w:r w:rsidR="00932831">
        <w:rPr>
          <w:sz w:val="28"/>
        </w:rPr>
        <w:t>mid-thirteen century</w:t>
      </w:r>
      <w:r w:rsidR="00A71C8A">
        <w:rPr>
          <w:sz w:val="28"/>
        </w:rPr>
        <w:t xml:space="preserve"> (R)</w:t>
      </w:r>
      <w:r w:rsidR="00932831">
        <w:rPr>
          <w:sz w:val="28"/>
        </w:rPr>
        <w:t xml:space="preserve">, and a partial manuscript </w:t>
      </w:r>
      <w:r w:rsidR="0047629A">
        <w:rPr>
          <w:sz w:val="28"/>
        </w:rPr>
        <w:t xml:space="preserve">found in </w:t>
      </w:r>
      <w:r w:rsidR="00B03B18">
        <w:rPr>
          <w:sz w:val="28"/>
        </w:rPr>
        <w:t xml:space="preserve">the </w:t>
      </w:r>
      <w:r w:rsidR="00932831" w:rsidRPr="00D31B64">
        <w:rPr>
          <w:sz w:val="28"/>
        </w:rPr>
        <w:t xml:space="preserve">Bibliothèque </w:t>
      </w:r>
      <w:r w:rsidR="00867029">
        <w:rPr>
          <w:sz w:val="28"/>
        </w:rPr>
        <w:t>N</w:t>
      </w:r>
      <w:r w:rsidR="00867029" w:rsidRPr="00D31B64">
        <w:rPr>
          <w:sz w:val="28"/>
        </w:rPr>
        <w:t xml:space="preserve">ationale </w:t>
      </w:r>
      <w:r w:rsidR="00932831" w:rsidRPr="00D31B64">
        <w:rPr>
          <w:sz w:val="28"/>
        </w:rPr>
        <w:t>de France</w:t>
      </w:r>
      <w:r w:rsidR="00932831">
        <w:rPr>
          <w:sz w:val="28"/>
        </w:rPr>
        <w:t>, Paris (P).</w:t>
      </w:r>
      <w:r w:rsidR="007C7C60">
        <w:rPr>
          <w:rStyle w:val="FootnoteReference"/>
          <w:sz w:val="28"/>
        </w:rPr>
        <w:footnoteReference w:id="6"/>
      </w:r>
      <w:r w:rsidR="00932831">
        <w:rPr>
          <w:sz w:val="28"/>
        </w:rPr>
        <w:t xml:space="preserve"> This is an early eastern manuscript, not later than the 11</w:t>
      </w:r>
      <w:r w:rsidR="00932831" w:rsidRPr="00480C87">
        <w:rPr>
          <w:sz w:val="28"/>
          <w:vertAlign w:val="superscript"/>
        </w:rPr>
        <w:t>th</w:t>
      </w:r>
      <w:r w:rsidR="00932831">
        <w:rPr>
          <w:sz w:val="28"/>
        </w:rPr>
        <w:t xml:space="preserve"> century. </w:t>
      </w:r>
    </w:p>
    <w:p w14:paraId="5A69E8DD" w14:textId="4A0E8EA8" w:rsidR="00932831" w:rsidRDefault="00932831" w:rsidP="0063582F">
      <w:pPr>
        <w:bidi w:val="0"/>
        <w:spacing w:line="360" w:lineRule="auto"/>
        <w:ind w:left="-426" w:firstLine="426"/>
        <w:jc w:val="both"/>
        <w:rPr>
          <w:sz w:val="28"/>
        </w:rPr>
      </w:pPr>
      <w:r>
        <w:rPr>
          <w:sz w:val="28"/>
        </w:rPr>
        <w:t xml:space="preserve">In my study of </w:t>
      </w:r>
      <w:r w:rsidR="00656607" w:rsidRPr="00656607">
        <w:rPr>
          <w:i/>
          <w:iCs/>
          <w:sz w:val="28"/>
        </w:rPr>
        <w:t>HG</w:t>
      </w:r>
      <w:r w:rsidR="004B2DE6">
        <w:rPr>
          <w:i/>
          <w:iCs/>
          <w:sz w:val="28"/>
        </w:rPr>
        <w:t>,</w:t>
      </w:r>
      <w:r>
        <w:rPr>
          <w:sz w:val="28"/>
        </w:rPr>
        <w:t xml:space="preserve"> I reexamined all the textual witnesses of the book, including </w:t>
      </w:r>
      <w:r w:rsidR="00C0732C">
        <w:rPr>
          <w:sz w:val="28"/>
        </w:rPr>
        <w:t xml:space="preserve">two </w:t>
      </w:r>
      <w:r>
        <w:rPr>
          <w:sz w:val="28"/>
        </w:rPr>
        <w:t xml:space="preserve">additional partial </w:t>
      </w:r>
      <w:r w:rsidR="00C0732C">
        <w:rPr>
          <w:sz w:val="28"/>
        </w:rPr>
        <w:t>A</w:t>
      </w:r>
      <w:r>
        <w:rPr>
          <w:sz w:val="28"/>
        </w:rPr>
        <w:t xml:space="preserve">shkenazic manuscripts </w:t>
      </w:r>
      <w:r w:rsidR="00C0732C">
        <w:rPr>
          <w:sz w:val="28"/>
        </w:rPr>
        <w:t xml:space="preserve">found </w:t>
      </w:r>
      <w:r>
        <w:rPr>
          <w:sz w:val="28"/>
        </w:rPr>
        <w:t>in the Firkovich collections, and no less</w:t>
      </w:r>
      <w:r w:rsidR="0046724F">
        <w:rPr>
          <w:sz w:val="28"/>
        </w:rPr>
        <w:t xml:space="preserve"> than </w:t>
      </w:r>
      <w:r>
        <w:rPr>
          <w:sz w:val="28"/>
        </w:rPr>
        <w:t>four</w:t>
      </w:r>
      <w:r w:rsidR="007A4C4D">
        <w:rPr>
          <w:sz w:val="28"/>
        </w:rPr>
        <w:t xml:space="preserve"> </w:t>
      </w:r>
      <w:r>
        <w:rPr>
          <w:sz w:val="28"/>
        </w:rPr>
        <w:t>hundred Genizah fragments.</w:t>
      </w:r>
      <w:r w:rsidR="00830C92">
        <w:rPr>
          <w:rStyle w:val="FootnoteReference"/>
          <w:sz w:val="28"/>
        </w:rPr>
        <w:footnoteReference w:id="7"/>
      </w:r>
      <w:r>
        <w:rPr>
          <w:sz w:val="28"/>
        </w:rPr>
        <w:t xml:space="preserve"> Besides constructing </w:t>
      </w:r>
      <w:r w:rsidR="00094E5D">
        <w:rPr>
          <w:sz w:val="28"/>
        </w:rPr>
        <w:t xml:space="preserve">a </w:t>
      </w:r>
      <w:r>
        <w:rPr>
          <w:sz w:val="28"/>
        </w:rPr>
        <w:t>stemma of the main manuscripts, I dedicated a large part of the work to identify</w:t>
      </w:r>
      <w:r w:rsidR="00C17EB1">
        <w:rPr>
          <w:sz w:val="28"/>
        </w:rPr>
        <w:t>ing</w:t>
      </w:r>
      <w:r>
        <w:rPr>
          <w:sz w:val="28"/>
        </w:rPr>
        <w:t xml:space="preserve"> the special characteristics of the B-M version</w:t>
      </w:r>
      <w:r w:rsidR="00C17EB1">
        <w:rPr>
          <w:sz w:val="28"/>
        </w:rPr>
        <w:t xml:space="preserve"> of the text</w:t>
      </w:r>
      <w:r>
        <w:rPr>
          <w:sz w:val="28"/>
        </w:rPr>
        <w:t xml:space="preserve">. </w:t>
      </w:r>
      <w:r w:rsidR="001F2617">
        <w:rPr>
          <w:sz w:val="28"/>
        </w:rPr>
        <w:t xml:space="preserve">Following </w:t>
      </w:r>
      <w:r>
        <w:rPr>
          <w:sz w:val="28"/>
        </w:rPr>
        <w:t>Epstein</w:t>
      </w:r>
      <w:r w:rsidR="001F2617">
        <w:rPr>
          <w:sz w:val="28"/>
        </w:rPr>
        <w:t>’s</w:t>
      </w:r>
      <w:r>
        <w:rPr>
          <w:sz w:val="28"/>
        </w:rPr>
        <w:t xml:space="preserve"> </w:t>
      </w:r>
      <w:r w:rsidR="001F2617">
        <w:rPr>
          <w:sz w:val="28"/>
        </w:rPr>
        <w:t>earlier suggestion</w:t>
      </w:r>
      <w:r>
        <w:rPr>
          <w:sz w:val="28"/>
        </w:rPr>
        <w:t xml:space="preserve">, I concluded that this version </w:t>
      </w:r>
      <w:r w:rsidR="00516719">
        <w:rPr>
          <w:sz w:val="28"/>
        </w:rPr>
        <w:t xml:space="preserve">is the product of </w:t>
      </w:r>
      <w:r w:rsidRPr="00364B9A">
        <w:rPr>
          <w:sz w:val="28"/>
        </w:rPr>
        <w:t>a complex and sophisticated project which took place in the last part of the ninth century</w:t>
      </w:r>
      <w:r w:rsidR="00516719">
        <w:rPr>
          <w:sz w:val="28"/>
        </w:rPr>
        <w:t xml:space="preserve"> </w:t>
      </w:r>
      <w:r w:rsidR="00A0092C">
        <w:rPr>
          <w:sz w:val="28"/>
        </w:rPr>
        <w:t>and</w:t>
      </w:r>
      <w:r w:rsidR="00516719">
        <w:rPr>
          <w:sz w:val="28"/>
        </w:rPr>
        <w:t xml:space="preserve"> involved</w:t>
      </w:r>
      <w:r w:rsidRPr="00364B9A">
        <w:rPr>
          <w:sz w:val="28"/>
        </w:rPr>
        <w:t xml:space="preserve"> compiling and </w:t>
      </w:r>
      <w:r w:rsidR="006D2953">
        <w:rPr>
          <w:sz w:val="28"/>
        </w:rPr>
        <w:t xml:space="preserve">then </w:t>
      </w:r>
      <w:r w:rsidRPr="00364B9A">
        <w:rPr>
          <w:sz w:val="28"/>
        </w:rPr>
        <w:t xml:space="preserve">revising a new recension of </w:t>
      </w:r>
      <w:r w:rsidR="00656607" w:rsidRPr="00656607">
        <w:rPr>
          <w:i/>
          <w:iCs/>
          <w:sz w:val="28"/>
        </w:rPr>
        <w:t>HG</w:t>
      </w:r>
      <w:r w:rsidRPr="00364B9A">
        <w:rPr>
          <w:sz w:val="28"/>
        </w:rPr>
        <w:t xml:space="preserve"> not too long after it was published. </w:t>
      </w:r>
      <w:r w:rsidR="00153BF9">
        <w:rPr>
          <w:sz w:val="28"/>
        </w:rPr>
        <w:t>Ostensibly, t</w:t>
      </w:r>
      <w:r>
        <w:rPr>
          <w:sz w:val="28"/>
        </w:rPr>
        <w:t xml:space="preserve">he two </w:t>
      </w:r>
      <w:r w:rsidR="00516719">
        <w:rPr>
          <w:sz w:val="28"/>
        </w:rPr>
        <w:t xml:space="preserve">most </w:t>
      </w:r>
      <w:r w:rsidR="00153BF9">
        <w:rPr>
          <w:sz w:val="28"/>
        </w:rPr>
        <w:t xml:space="preserve">notable </w:t>
      </w:r>
      <w:r>
        <w:rPr>
          <w:sz w:val="28"/>
        </w:rPr>
        <w:t xml:space="preserve">features of this </w:t>
      </w:r>
      <w:r>
        <w:rPr>
          <w:sz w:val="28"/>
        </w:rPr>
        <w:lastRenderedPageBreak/>
        <w:t xml:space="preserve">recension are the different order of </w:t>
      </w:r>
      <w:r w:rsidR="007C593C">
        <w:rPr>
          <w:sz w:val="28"/>
        </w:rPr>
        <w:t xml:space="preserve">the </w:t>
      </w:r>
      <w:r>
        <w:rPr>
          <w:sz w:val="28"/>
        </w:rPr>
        <w:t xml:space="preserve">chapters and the addition of </w:t>
      </w:r>
      <w:r w:rsidR="00427A2A">
        <w:rPr>
          <w:sz w:val="28"/>
        </w:rPr>
        <w:t xml:space="preserve">Geonic </w:t>
      </w:r>
      <w:r>
        <w:rPr>
          <w:sz w:val="28"/>
        </w:rPr>
        <w:t xml:space="preserve">responsa to the book. However, the order of chapters in the B-M recension is no less </w:t>
      </w:r>
      <w:r w:rsidR="001054C8">
        <w:rPr>
          <w:sz w:val="28"/>
        </w:rPr>
        <w:t xml:space="preserve">authentic </w:t>
      </w:r>
      <w:r>
        <w:rPr>
          <w:sz w:val="28"/>
        </w:rPr>
        <w:t xml:space="preserve">than </w:t>
      </w:r>
      <w:r w:rsidR="00F77F98">
        <w:rPr>
          <w:sz w:val="28"/>
        </w:rPr>
        <w:t>that of</w:t>
      </w:r>
      <w:r>
        <w:rPr>
          <w:sz w:val="28"/>
        </w:rPr>
        <w:t xml:space="preserve"> V or R. In fact</w:t>
      </w:r>
      <w:del w:id="5" w:author="Author">
        <w:r w:rsidR="00D930AC">
          <w:rPr>
            <w:sz w:val="28"/>
          </w:rPr>
          <w:delText>,</w:delText>
        </w:r>
      </w:del>
      <w:r>
        <w:rPr>
          <w:sz w:val="28"/>
        </w:rPr>
        <w:t xml:space="preserve"> it is closer to the </w:t>
      </w:r>
      <w:del w:id="6" w:author="Author">
        <w:r w:rsidR="005D22EF">
          <w:rPr>
            <w:sz w:val="28"/>
          </w:rPr>
          <w:delText>order</w:delText>
        </w:r>
      </w:del>
      <w:ins w:id="7" w:author="Author">
        <w:r>
          <w:rPr>
            <w:sz w:val="28"/>
          </w:rPr>
          <w:t xml:space="preserve">original </w:t>
        </w:r>
        <w:del w:id="8" w:author="Author">
          <w:r w:rsidDel="006A43C7">
            <w:rPr>
              <w:sz w:val="28"/>
            </w:rPr>
            <w:delText>setting</w:delText>
          </w:r>
        </w:del>
        <w:r w:rsidR="006A43C7">
          <w:rPr>
            <w:sz w:val="28"/>
          </w:rPr>
          <w:t>organization</w:t>
        </w:r>
      </w:ins>
      <w:r>
        <w:rPr>
          <w:sz w:val="28"/>
        </w:rPr>
        <w:t xml:space="preserve"> of </w:t>
      </w:r>
      <w:del w:id="9" w:author="Author">
        <w:r w:rsidR="005D22EF">
          <w:rPr>
            <w:sz w:val="28"/>
          </w:rPr>
          <w:delText>chapters found</w:delText>
        </w:r>
      </w:del>
      <w:ins w:id="10" w:author="Author">
        <w:r>
          <w:rPr>
            <w:sz w:val="28"/>
          </w:rPr>
          <w:t>the book as reflected</w:t>
        </w:r>
      </w:ins>
      <w:r>
        <w:rPr>
          <w:sz w:val="28"/>
        </w:rPr>
        <w:t xml:space="preserve"> in </w:t>
      </w:r>
      <w:del w:id="11" w:author="Author">
        <w:r w:rsidR="007C593C">
          <w:rPr>
            <w:sz w:val="28"/>
          </w:rPr>
          <w:delText>other</w:delText>
        </w:r>
      </w:del>
      <w:ins w:id="12" w:author="Author">
        <w:r>
          <w:rPr>
            <w:sz w:val="28"/>
          </w:rPr>
          <w:t>P and other</w:t>
        </w:r>
      </w:ins>
      <w:r>
        <w:rPr>
          <w:sz w:val="28"/>
        </w:rPr>
        <w:t xml:space="preserve"> sources</w:t>
      </w:r>
      <w:del w:id="13" w:author="Author">
        <w:r w:rsidR="007C593C">
          <w:rPr>
            <w:sz w:val="28"/>
          </w:rPr>
          <w:delText>, especially</w:delText>
        </w:r>
        <w:r>
          <w:rPr>
            <w:sz w:val="28"/>
          </w:rPr>
          <w:delText xml:space="preserve"> P</w:delText>
        </w:r>
        <w:r w:rsidR="005D22EF">
          <w:rPr>
            <w:sz w:val="28"/>
          </w:rPr>
          <w:delText>, the earliest manuscript in our possession</w:delText>
        </w:r>
      </w:del>
      <w:r>
        <w:rPr>
          <w:sz w:val="28"/>
        </w:rPr>
        <w:t xml:space="preserve">. The addition of </w:t>
      </w:r>
      <w:r w:rsidR="00C85C3E">
        <w:rPr>
          <w:sz w:val="28"/>
        </w:rPr>
        <w:t xml:space="preserve">Geonic </w:t>
      </w:r>
      <w:r>
        <w:rPr>
          <w:sz w:val="28"/>
        </w:rPr>
        <w:t xml:space="preserve">responsa should </w:t>
      </w:r>
      <w:r w:rsidR="0020650D">
        <w:rPr>
          <w:sz w:val="28"/>
        </w:rPr>
        <w:t xml:space="preserve">also </w:t>
      </w:r>
      <w:r>
        <w:rPr>
          <w:sz w:val="28"/>
        </w:rPr>
        <w:t xml:space="preserve">not be considered the primary feature of this recension. These additions are mostly </w:t>
      </w:r>
      <w:r w:rsidR="000413EC">
        <w:rPr>
          <w:sz w:val="28"/>
        </w:rPr>
        <w:t xml:space="preserve">found </w:t>
      </w:r>
      <w:r>
        <w:rPr>
          <w:sz w:val="28"/>
        </w:rPr>
        <w:t xml:space="preserve">in B and </w:t>
      </w:r>
      <w:r w:rsidR="009D11AE">
        <w:rPr>
          <w:sz w:val="28"/>
        </w:rPr>
        <w:t xml:space="preserve">are </w:t>
      </w:r>
      <w:r>
        <w:rPr>
          <w:sz w:val="28"/>
        </w:rPr>
        <w:t>less</w:t>
      </w:r>
      <w:r w:rsidR="009D11AE">
        <w:rPr>
          <w:sz w:val="28"/>
        </w:rPr>
        <w:t xml:space="preserve"> common</w:t>
      </w:r>
      <w:r>
        <w:rPr>
          <w:sz w:val="28"/>
        </w:rPr>
        <w:t xml:space="preserve"> in the other textual witnesses of this recension. </w:t>
      </w:r>
      <w:r w:rsidR="009D11AE">
        <w:rPr>
          <w:sz w:val="28"/>
        </w:rPr>
        <w:t>Rather,</w:t>
      </w:r>
      <w:r>
        <w:rPr>
          <w:sz w:val="28"/>
        </w:rPr>
        <w:t xml:space="preserve"> the </w:t>
      </w:r>
      <w:r w:rsidR="009D11AE">
        <w:rPr>
          <w:sz w:val="28"/>
        </w:rPr>
        <w:t xml:space="preserve">most significant </w:t>
      </w:r>
      <w:r>
        <w:rPr>
          <w:sz w:val="28"/>
        </w:rPr>
        <w:t>feature of this recension is the rearranging of</w:t>
      </w:r>
      <w:r w:rsidR="009D11AE">
        <w:rPr>
          <w:sz w:val="28"/>
        </w:rPr>
        <w:t xml:space="preserve"> the</w:t>
      </w:r>
      <w:r>
        <w:rPr>
          <w:sz w:val="28"/>
        </w:rPr>
        <w:t xml:space="preserve"> small units within a given chapter or in-between chapters, and the massive editing of the running text, which in some sections can be </w:t>
      </w:r>
      <w:r w:rsidR="00045878">
        <w:rPr>
          <w:sz w:val="28"/>
        </w:rPr>
        <w:t>detected</w:t>
      </w:r>
      <w:r w:rsidR="00257D1A">
        <w:rPr>
          <w:sz w:val="28"/>
        </w:rPr>
        <w:t xml:space="preserve"> </w:t>
      </w:r>
      <w:r>
        <w:rPr>
          <w:sz w:val="28"/>
        </w:rPr>
        <w:t xml:space="preserve">in </w:t>
      </w:r>
      <w:r w:rsidR="00045878">
        <w:rPr>
          <w:sz w:val="28"/>
        </w:rPr>
        <w:t xml:space="preserve">nearly </w:t>
      </w:r>
      <w:r>
        <w:rPr>
          <w:sz w:val="28"/>
        </w:rPr>
        <w:t xml:space="preserve">every sentence. This characteristic of the B-M recension, although it is not always very evident </w:t>
      </w:r>
      <w:r w:rsidR="00045878">
        <w:rPr>
          <w:sz w:val="28"/>
        </w:rPr>
        <w:t xml:space="preserve">at </w:t>
      </w:r>
      <w:r>
        <w:rPr>
          <w:sz w:val="28"/>
        </w:rPr>
        <w:t xml:space="preserve">first </w:t>
      </w:r>
      <w:r w:rsidR="00045878">
        <w:rPr>
          <w:sz w:val="28"/>
        </w:rPr>
        <w:t>glance</w:t>
      </w:r>
      <w:r>
        <w:rPr>
          <w:sz w:val="28"/>
        </w:rPr>
        <w:t xml:space="preserve">, </w:t>
      </w:r>
      <w:r w:rsidR="00306976">
        <w:rPr>
          <w:sz w:val="28"/>
        </w:rPr>
        <w:t xml:space="preserve">indicates that </w:t>
      </w:r>
      <w:r>
        <w:rPr>
          <w:sz w:val="28"/>
        </w:rPr>
        <w:t xml:space="preserve">it </w:t>
      </w:r>
      <w:r w:rsidR="00306976">
        <w:rPr>
          <w:sz w:val="28"/>
        </w:rPr>
        <w:t>w</w:t>
      </w:r>
      <w:r>
        <w:rPr>
          <w:sz w:val="28"/>
        </w:rPr>
        <w:t xml:space="preserve">as a well-planned and comprehensive project </w:t>
      </w:r>
      <w:r w:rsidR="00575A8C">
        <w:rPr>
          <w:sz w:val="28"/>
        </w:rPr>
        <w:t xml:space="preserve">to rewrite </w:t>
      </w:r>
      <w:r w:rsidR="00575A8C" w:rsidRPr="00656607">
        <w:rPr>
          <w:i/>
          <w:iCs/>
          <w:sz w:val="28"/>
        </w:rPr>
        <w:t>HG</w:t>
      </w:r>
      <w:r w:rsidR="00575A8C">
        <w:rPr>
          <w:sz w:val="28"/>
        </w:rPr>
        <w:t xml:space="preserve"> from beginning to end </w:t>
      </w:r>
      <w:r>
        <w:rPr>
          <w:sz w:val="28"/>
        </w:rPr>
        <w:t xml:space="preserve">that took place at a </w:t>
      </w:r>
      <w:r w:rsidR="007C593C">
        <w:rPr>
          <w:sz w:val="28"/>
        </w:rPr>
        <w:t xml:space="preserve">specific </w:t>
      </w:r>
      <w:r>
        <w:rPr>
          <w:sz w:val="28"/>
        </w:rPr>
        <w:t xml:space="preserve">place and time. </w:t>
      </w:r>
      <w:r w:rsidR="00C822A9">
        <w:rPr>
          <w:sz w:val="28"/>
        </w:rPr>
        <w:t>T</w:t>
      </w:r>
      <w:r>
        <w:rPr>
          <w:sz w:val="28"/>
        </w:rPr>
        <w:t>his characteristic</w:t>
      </w:r>
      <w:r w:rsidR="00C822A9">
        <w:rPr>
          <w:sz w:val="28"/>
        </w:rPr>
        <w:t xml:space="preserve"> of</w:t>
      </w:r>
      <w:r>
        <w:rPr>
          <w:sz w:val="28"/>
        </w:rPr>
        <w:t xml:space="preserve"> the B-M recension distinguishe</w:t>
      </w:r>
      <w:r w:rsidR="00C822A9">
        <w:rPr>
          <w:sz w:val="28"/>
        </w:rPr>
        <w:t>s it</w:t>
      </w:r>
      <w:r>
        <w:rPr>
          <w:sz w:val="28"/>
        </w:rPr>
        <w:t xml:space="preserve"> from all other versions of </w:t>
      </w:r>
      <w:r w:rsidR="00656607" w:rsidRPr="00656607">
        <w:rPr>
          <w:i/>
          <w:iCs/>
          <w:sz w:val="28"/>
        </w:rPr>
        <w:t>HG</w:t>
      </w:r>
      <w:r>
        <w:rPr>
          <w:sz w:val="28"/>
        </w:rPr>
        <w:t xml:space="preserve"> that are found in </w:t>
      </w:r>
      <w:r w:rsidR="00EE41E1">
        <w:rPr>
          <w:sz w:val="28"/>
        </w:rPr>
        <w:t xml:space="preserve">a variety of </w:t>
      </w:r>
      <w:r>
        <w:rPr>
          <w:sz w:val="28"/>
        </w:rPr>
        <w:t>manuscripts</w:t>
      </w:r>
      <w:r w:rsidR="00EE41E1">
        <w:rPr>
          <w:sz w:val="28"/>
        </w:rPr>
        <w:t>. The differences between these other versions</w:t>
      </w:r>
      <w:r>
        <w:rPr>
          <w:sz w:val="28"/>
        </w:rPr>
        <w:t xml:space="preserve"> can be explained as sporadic adaptations and modifications made by local scribes and scholars, but do not </w:t>
      </w:r>
      <w:r w:rsidR="00EE41E1">
        <w:rPr>
          <w:sz w:val="28"/>
        </w:rPr>
        <w:t>re</w:t>
      </w:r>
      <w:r>
        <w:rPr>
          <w:sz w:val="28"/>
        </w:rPr>
        <w:t>present a systematic effort to rewrite the book completely.</w:t>
      </w:r>
    </w:p>
    <w:p w14:paraId="1576811B" w14:textId="77777777" w:rsidR="004411A8" w:rsidRDefault="004411A8" w:rsidP="0063582F">
      <w:pPr>
        <w:bidi w:val="0"/>
        <w:spacing w:line="360" w:lineRule="auto"/>
        <w:ind w:left="-426" w:firstLine="426"/>
        <w:jc w:val="both"/>
        <w:rPr>
          <w:b/>
          <w:bCs/>
          <w:sz w:val="28"/>
          <w:u w:val="single"/>
        </w:rPr>
      </w:pPr>
    </w:p>
    <w:p w14:paraId="7E43B229" w14:textId="084A54A9" w:rsidR="004411A8" w:rsidRPr="000F5BF7" w:rsidRDefault="004411A8" w:rsidP="0063582F">
      <w:pPr>
        <w:bidi w:val="0"/>
        <w:spacing w:line="360" w:lineRule="auto"/>
        <w:ind w:left="-426" w:firstLine="426"/>
        <w:jc w:val="both"/>
        <w:rPr>
          <w:b/>
          <w:bCs/>
          <w:sz w:val="28"/>
        </w:rPr>
      </w:pPr>
      <w:r w:rsidRPr="000F5BF7">
        <w:rPr>
          <w:b/>
          <w:bCs/>
          <w:sz w:val="28"/>
        </w:rPr>
        <w:t xml:space="preserve">The Italian tradition of </w:t>
      </w:r>
      <w:r w:rsidR="00656607" w:rsidRPr="00656607">
        <w:rPr>
          <w:b/>
          <w:bCs/>
          <w:i/>
          <w:iCs/>
          <w:sz w:val="28"/>
        </w:rPr>
        <w:t>HG</w:t>
      </w:r>
    </w:p>
    <w:p w14:paraId="0616C86F" w14:textId="14B8A66D" w:rsidR="00932831" w:rsidRDefault="00932831" w:rsidP="0063582F">
      <w:pPr>
        <w:bidi w:val="0"/>
        <w:spacing w:line="360" w:lineRule="auto"/>
        <w:ind w:left="-426" w:firstLine="426"/>
        <w:jc w:val="both"/>
        <w:rPr>
          <w:sz w:val="28"/>
        </w:rPr>
      </w:pPr>
      <w:r>
        <w:rPr>
          <w:sz w:val="28"/>
        </w:rPr>
        <w:t xml:space="preserve">As I mentioned above, </w:t>
      </w:r>
      <w:r w:rsidR="00EA0763">
        <w:rPr>
          <w:sz w:val="28"/>
        </w:rPr>
        <w:t>Epstein suggested</w:t>
      </w:r>
      <w:r w:rsidR="00F560E9">
        <w:rPr>
          <w:sz w:val="28"/>
        </w:rPr>
        <w:t>,</w:t>
      </w:r>
      <w:r w:rsidR="00EA0763">
        <w:rPr>
          <w:sz w:val="28"/>
        </w:rPr>
        <w:t xml:space="preserve"> </w:t>
      </w:r>
      <w:r w:rsidR="00E94992">
        <w:rPr>
          <w:sz w:val="28"/>
        </w:rPr>
        <w:t xml:space="preserve">based on the responsa </w:t>
      </w:r>
      <w:r w:rsidR="00F560E9">
        <w:rPr>
          <w:sz w:val="28"/>
        </w:rPr>
        <w:t>that</w:t>
      </w:r>
      <w:r w:rsidR="00E94992">
        <w:rPr>
          <w:sz w:val="28"/>
        </w:rPr>
        <w:t xml:space="preserve"> were included in the B-M recension</w:t>
      </w:r>
      <w:r w:rsidR="004A7CAA">
        <w:rPr>
          <w:sz w:val="28"/>
        </w:rPr>
        <w:t>,</w:t>
      </w:r>
      <w:r w:rsidR="00E94992">
        <w:rPr>
          <w:sz w:val="28"/>
        </w:rPr>
        <w:t xml:space="preserve"> </w:t>
      </w:r>
      <w:r>
        <w:rPr>
          <w:sz w:val="28"/>
        </w:rPr>
        <w:t xml:space="preserve">that </w:t>
      </w:r>
      <w:r w:rsidR="00C47221">
        <w:rPr>
          <w:sz w:val="28"/>
        </w:rPr>
        <w:t xml:space="preserve">it </w:t>
      </w:r>
      <w:r>
        <w:rPr>
          <w:sz w:val="28"/>
        </w:rPr>
        <w:t xml:space="preserve">was </w:t>
      </w:r>
      <w:r w:rsidRPr="007E177E">
        <w:rPr>
          <w:sz w:val="28"/>
        </w:rPr>
        <w:t>compiled in Qayrawan around 900</w:t>
      </w:r>
      <w:r>
        <w:rPr>
          <w:sz w:val="28"/>
        </w:rPr>
        <w:t>. This is a reasonable speculation, and it certainly fit</w:t>
      </w:r>
      <w:r w:rsidR="000D7866">
        <w:rPr>
          <w:sz w:val="28"/>
        </w:rPr>
        <w:t>s</w:t>
      </w:r>
      <w:r>
        <w:rPr>
          <w:sz w:val="28"/>
        </w:rPr>
        <w:t xml:space="preserve"> </w:t>
      </w:r>
      <w:r w:rsidR="000D7866">
        <w:rPr>
          <w:sz w:val="28"/>
        </w:rPr>
        <w:t>Beit-Arie’s</w:t>
      </w:r>
      <w:r>
        <w:rPr>
          <w:sz w:val="28"/>
        </w:rPr>
        <w:t xml:space="preserve"> evaluation </w:t>
      </w:r>
      <w:r w:rsidR="008F46E0">
        <w:rPr>
          <w:sz w:val="28"/>
        </w:rPr>
        <w:t>that</w:t>
      </w:r>
      <w:r w:rsidR="00194BBC">
        <w:rPr>
          <w:sz w:val="28"/>
        </w:rPr>
        <w:t xml:space="preserve"> the script</w:t>
      </w:r>
      <w:r w:rsidR="008F46E0">
        <w:rPr>
          <w:sz w:val="28"/>
        </w:rPr>
        <w:t xml:space="preserve"> (and the provenance?)</w:t>
      </w:r>
      <w:r w:rsidR="00194BBC">
        <w:rPr>
          <w:sz w:val="28"/>
        </w:rPr>
        <w:t xml:space="preserve"> of B </w:t>
      </w:r>
      <w:r w:rsidR="008F46E0">
        <w:rPr>
          <w:sz w:val="28"/>
        </w:rPr>
        <w:t xml:space="preserve">is </w:t>
      </w:r>
      <w:r>
        <w:rPr>
          <w:sz w:val="28"/>
        </w:rPr>
        <w:t>North Africa</w:t>
      </w:r>
      <w:r w:rsidR="00194BBC">
        <w:rPr>
          <w:sz w:val="28"/>
        </w:rPr>
        <w:t>n</w:t>
      </w:r>
      <w:r w:rsidR="00510B9E">
        <w:rPr>
          <w:sz w:val="28"/>
        </w:rPr>
        <w:t>.</w:t>
      </w:r>
      <w:r w:rsidR="008C0662">
        <w:rPr>
          <w:rStyle w:val="FootnoteReference"/>
          <w:sz w:val="28"/>
        </w:rPr>
        <w:footnoteReference w:id="8"/>
      </w:r>
      <w:r w:rsidR="00510B9E">
        <w:rPr>
          <w:sz w:val="28"/>
        </w:rPr>
        <w:t xml:space="preserve"> </w:t>
      </w:r>
      <w:r>
        <w:rPr>
          <w:sz w:val="28"/>
        </w:rPr>
        <w:t xml:space="preserve">However, the purchase statement at the end of the manuscript apparently states that the manuscript was produced in Fustat and Cairo. In any case, the manuscript was purchased in Cairo by Isaac b. Saul from Ferrara, who presumably </w:t>
      </w:r>
      <w:r w:rsidR="005C1493">
        <w:rPr>
          <w:sz w:val="28"/>
        </w:rPr>
        <w:t>brought</w:t>
      </w:r>
      <w:r>
        <w:rPr>
          <w:sz w:val="28"/>
        </w:rPr>
        <w:t xml:space="preserve"> the manuscript to Italy</w:t>
      </w:r>
      <w:r w:rsidR="00604EB1">
        <w:rPr>
          <w:sz w:val="28"/>
        </w:rPr>
        <w:t>.</w:t>
      </w:r>
      <w:r>
        <w:rPr>
          <w:rStyle w:val="FootnoteReference"/>
          <w:sz w:val="28"/>
        </w:rPr>
        <w:footnoteReference w:id="9"/>
      </w:r>
      <w:r>
        <w:rPr>
          <w:sz w:val="28"/>
        </w:rPr>
        <w:t xml:space="preserve"> The pr</w:t>
      </w:r>
      <w:r w:rsidR="00B40D9C">
        <w:rPr>
          <w:sz w:val="28"/>
        </w:rPr>
        <w:t>esence</w:t>
      </w:r>
      <w:r>
        <w:rPr>
          <w:sz w:val="28"/>
        </w:rPr>
        <w:t xml:space="preserve"> of B in Italy could explain the close relationship between B and the later Italian manuscript M, but there is no </w:t>
      </w:r>
      <w:r w:rsidR="002B1F42">
        <w:rPr>
          <w:sz w:val="28"/>
        </w:rPr>
        <w:t xml:space="preserve">real </w:t>
      </w:r>
      <w:r>
        <w:rPr>
          <w:sz w:val="28"/>
        </w:rPr>
        <w:t xml:space="preserve">need to assume a direct relationship between these manuscripts. The </w:t>
      </w:r>
      <w:r w:rsidR="00C2311A">
        <w:rPr>
          <w:sz w:val="28"/>
        </w:rPr>
        <w:t>characteristics of</w:t>
      </w:r>
      <w:r>
        <w:rPr>
          <w:sz w:val="28"/>
        </w:rPr>
        <w:t xml:space="preserve"> B-M </w:t>
      </w:r>
      <w:r w:rsidR="00C2311A">
        <w:rPr>
          <w:sz w:val="28"/>
        </w:rPr>
        <w:t>that indicate</w:t>
      </w:r>
      <w:r w:rsidR="00970A9C">
        <w:rPr>
          <w:sz w:val="28"/>
        </w:rPr>
        <w:t xml:space="preserve"> </w:t>
      </w:r>
      <w:r w:rsidR="00623BA6">
        <w:rPr>
          <w:sz w:val="28"/>
        </w:rPr>
        <w:t>its being</w:t>
      </w:r>
      <w:r w:rsidR="009863BF">
        <w:rPr>
          <w:sz w:val="28"/>
        </w:rPr>
        <w:t xml:space="preserve"> </w:t>
      </w:r>
      <w:r w:rsidR="009863BF">
        <w:rPr>
          <w:sz w:val="28"/>
        </w:rPr>
        <w:lastRenderedPageBreak/>
        <w:t xml:space="preserve">product of a systematic recension also </w:t>
      </w:r>
      <w:r w:rsidR="002B1F42">
        <w:rPr>
          <w:sz w:val="28"/>
        </w:rPr>
        <w:t>appear</w:t>
      </w:r>
      <w:r>
        <w:rPr>
          <w:sz w:val="28"/>
        </w:rPr>
        <w:t xml:space="preserve"> in many Genizah fragments. Most of these fragments are </w:t>
      </w:r>
      <w:r w:rsidR="00A91AB5">
        <w:rPr>
          <w:sz w:val="28"/>
        </w:rPr>
        <w:t xml:space="preserve">written </w:t>
      </w:r>
      <w:r>
        <w:rPr>
          <w:sz w:val="28"/>
        </w:rPr>
        <w:t xml:space="preserve">in </w:t>
      </w:r>
      <w:r w:rsidR="003634F6">
        <w:rPr>
          <w:sz w:val="28"/>
        </w:rPr>
        <w:t xml:space="preserve">Oriental </w:t>
      </w:r>
      <w:r>
        <w:rPr>
          <w:sz w:val="28"/>
        </w:rPr>
        <w:t xml:space="preserve">script and some of them </w:t>
      </w:r>
      <w:r w:rsidR="00503059">
        <w:rPr>
          <w:sz w:val="28"/>
        </w:rPr>
        <w:t xml:space="preserve">can be </w:t>
      </w:r>
      <w:r>
        <w:rPr>
          <w:sz w:val="28"/>
        </w:rPr>
        <w:t xml:space="preserve">assumed to be </w:t>
      </w:r>
      <w:r w:rsidR="00503059">
        <w:rPr>
          <w:sz w:val="28"/>
        </w:rPr>
        <w:t xml:space="preserve">from </w:t>
      </w:r>
      <w:r>
        <w:rPr>
          <w:sz w:val="28"/>
        </w:rPr>
        <w:t xml:space="preserve">as early as the tenth century. </w:t>
      </w:r>
      <w:r w:rsidR="00C60F72">
        <w:rPr>
          <w:sz w:val="28"/>
        </w:rPr>
        <w:t>However,</w:t>
      </w:r>
      <w:r>
        <w:rPr>
          <w:sz w:val="28"/>
        </w:rPr>
        <w:t xml:space="preserve"> there are also fragments </w:t>
      </w:r>
      <w:r w:rsidR="00723F1A">
        <w:rPr>
          <w:sz w:val="28"/>
        </w:rPr>
        <w:t xml:space="preserve">from two different manuscripts </w:t>
      </w:r>
      <w:r>
        <w:rPr>
          <w:sz w:val="28"/>
        </w:rPr>
        <w:t xml:space="preserve">written in Italian script. </w:t>
      </w:r>
      <w:r w:rsidR="00D85B2A">
        <w:rPr>
          <w:sz w:val="28"/>
        </w:rPr>
        <w:t xml:space="preserve">Edna Engel </w:t>
      </w:r>
      <w:r>
        <w:rPr>
          <w:sz w:val="28"/>
        </w:rPr>
        <w:t xml:space="preserve">dated </w:t>
      </w:r>
      <w:r w:rsidR="00D85B2A">
        <w:rPr>
          <w:sz w:val="28"/>
        </w:rPr>
        <w:t>one of them</w:t>
      </w:r>
      <w:r>
        <w:rPr>
          <w:sz w:val="28"/>
        </w:rPr>
        <w:t xml:space="preserve"> </w:t>
      </w:r>
      <w:r w:rsidR="003C0B89">
        <w:rPr>
          <w:sz w:val="28"/>
        </w:rPr>
        <w:t xml:space="preserve">to </w:t>
      </w:r>
      <w:r>
        <w:rPr>
          <w:sz w:val="28"/>
        </w:rPr>
        <w:t>around</w:t>
      </w:r>
      <w:r w:rsidR="003C0B89">
        <w:rPr>
          <w:sz w:val="28"/>
        </w:rPr>
        <w:t xml:space="preserve"> </w:t>
      </w:r>
      <w:r>
        <w:rPr>
          <w:sz w:val="28"/>
        </w:rPr>
        <w:t xml:space="preserve">1100, and the other </w:t>
      </w:r>
      <w:r w:rsidR="003C0B89">
        <w:rPr>
          <w:sz w:val="28"/>
        </w:rPr>
        <w:t xml:space="preserve">to </w:t>
      </w:r>
      <w:r>
        <w:rPr>
          <w:sz w:val="28"/>
        </w:rPr>
        <w:t>around 1200. A</w:t>
      </w:r>
      <w:r w:rsidR="00CF1A51">
        <w:rPr>
          <w:sz w:val="28"/>
        </w:rPr>
        <w:t>l</w:t>
      </w:r>
      <w:r>
        <w:rPr>
          <w:sz w:val="28"/>
        </w:rPr>
        <w:t>l</w:t>
      </w:r>
      <w:r w:rsidR="00CF1A51">
        <w:rPr>
          <w:sz w:val="28"/>
        </w:rPr>
        <w:t xml:space="preserve"> </w:t>
      </w:r>
      <w:r>
        <w:rPr>
          <w:sz w:val="28"/>
        </w:rPr>
        <w:t xml:space="preserve">together, they </w:t>
      </w:r>
      <w:r w:rsidR="00CF1A51">
        <w:rPr>
          <w:sz w:val="28"/>
        </w:rPr>
        <w:t xml:space="preserve">make up </w:t>
      </w:r>
      <w:r>
        <w:rPr>
          <w:sz w:val="28"/>
        </w:rPr>
        <w:t>about thirty-five fragments.</w:t>
      </w:r>
      <w:r w:rsidR="00B40D9C">
        <w:rPr>
          <w:rStyle w:val="FootnoteReference"/>
          <w:sz w:val="28"/>
        </w:rPr>
        <w:footnoteReference w:id="10"/>
      </w:r>
      <w:r>
        <w:rPr>
          <w:sz w:val="28"/>
        </w:rPr>
        <w:t xml:space="preserve"> These early Italian manuscripts found in the Cairo Genizah present the same recension presented by B-M and thus</w:t>
      </w:r>
      <w:r w:rsidRPr="006B671C">
        <w:rPr>
          <w:sz w:val="28"/>
        </w:rPr>
        <w:t xml:space="preserve"> </w:t>
      </w:r>
      <w:r>
        <w:rPr>
          <w:sz w:val="28"/>
        </w:rPr>
        <w:t xml:space="preserve">confirm that this recension reached Italy </w:t>
      </w:r>
      <w:r w:rsidR="00DF7244">
        <w:rPr>
          <w:sz w:val="28"/>
        </w:rPr>
        <w:t>by</w:t>
      </w:r>
      <w:r>
        <w:rPr>
          <w:sz w:val="28"/>
        </w:rPr>
        <w:t xml:space="preserve"> the eleventh century, and certainly before manuscript B </w:t>
      </w:r>
      <w:r w:rsidR="00D94721">
        <w:rPr>
          <w:sz w:val="28"/>
        </w:rPr>
        <w:t xml:space="preserve">was brought </w:t>
      </w:r>
      <w:r>
        <w:rPr>
          <w:sz w:val="28"/>
        </w:rPr>
        <w:t>to Italy by Isaac b. Saul.</w:t>
      </w:r>
      <w:r w:rsidR="00E23154">
        <w:rPr>
          <w:sz w:val="28"/>
        </w:rPr>
        <w:t xml:space="preserve"> I</w:t>
      </w:r>
      <w:r>
        <w:rPr>
          <w:sz w:val="28"/>
        </w:rPr>
        <w:t>n another place</w:t>
      </w:r>
      <w:r w:rsidR="00E23154">
        <w:rPr>
          <w:sz w:val="28"/>
        </w:rPr>
        <w:t>,</w:t>
      </w:r>
      <w:r>
        <w:rPr>
          <w:sz w:val="28"/>
        </w:rPr>
        <w:t xml:space="preserve"> I </w:t>
      </w:r>
      <w:r w:rsidR="00E23154">
        <w:rPr>
          <w:sz w:val="28"/>
        </w:rPr>
        <w:t xml:space="preserve">have shown </w:t>
      </w:r>
      <w:r>
        <w:rPr>
          <w:sz w:val="28"/>
        </w:rPr>
        <w:t xml:space="preserve">that these Genizah manuscripts share some unique textual variants with manuscript M, </w:t>
      </w:r>
      <w:r w:rsidR="0075059E">
        <w:rPr>
          <w:sz w:val="28"/>
        </w:rPr>
        <w:t xml:space="preserve">in contrast to </w:t>
      </w:r>
      <w:r>
        <w:rPr>
          <w:sz w:val="28"/>
        </w:rPr>
        <w:t>all other manuscripts</w:t>
      </w:r>
      <w:r w:rsidR="0075059E">
        <w:rPr>
          <w:sz w:val="28"/>
        </w:rPr>
        <w:t>,</w:t>
      </w:r>
      <w:r>
        <w:rPr>
          <w:sz w:val="28"/>
        </w:rPr>
        <w:t xml:space="preserve"> including B</w:t>
      </w:r>
      <w:r w:rsidR="002672DD">
        <w:rPr>
          <w:sz w:val="28"/>
        </w:rPr>
        <w:t>.</w:t>
      </w:r>
      <w:bookmarkStart w:id="14" w:name="_Ref47557288"/>
      <w:r w:rsidR="008C0662">
        <w:rPr>
          <w:rStyle w:val="FootnoteReference"/>
          <w:sz w:val="28"/>
        </w:rPr>
        <w:footnoteReference w:id="11"/>
      </w:r>
      <w:bookmarkEnd w:id="14"/>
      <w:r>
        <w:rPr>
          <w:sz w:val="28"/>
        </w:rPr>
        <w:t xml:space="preserve"> It can </w:t>
      </w:r>
      <w:r w:rsidR="0075059E">
        <w:rPr>
          <w:sz w:val="28"/>
        </w:rPr>
        <w:t xml:space="preserve">therefore be </w:t>
      </w:r>
      <w:r>
        <w:rPr>
          <w:sz w:val="28"/>
        </w:rPr>
        <w:t xml:space="preserve">concluded that the textual tradition found in the relatively late manuscript M is not based solely on B, which was brought to Italy from Cairo, but </w:t>
      </w:r>
      <w:r w:rsidR="002628A5">
        <w:rPr>
          <w:sz w:val="28"/>
        </w:rPr>
        <w:t>re</w:t>
      </w:r>
      <w:r>
        <w:rPr>
          <w:sz w:val="28"/>
        </w:rPr>
        <w:t>present</w:t>
      </w:r>
      <w:r w:rsidR="002628A5">
        <w:rPr>
          <w:sz w:val="28"/>
        </w:rPr>
        <w:t>s</w:t>
      </w:r>
      <w:r>
        <w:rPr>
          <w:sz w:val="28"/>
        </w:rPr>
        <w:t xml:space="preserve"> an Italian tradition of </w:t>
      </w:r>
      <w:r w:rsidR="00656607" w:rsidRPr="00656607">
        <w:rPr>
          <w:i/>
          <w:iCs/>
          <w:sz w:val="28"/>
        </w:rPr>
        <w:t>HG</w:t>
      </w:r>
      <w:r>
        <w:rPr>
          <w:sz w:val="28"/>
        </w:rPr>
        <w:t xml:space="preserve"> which can be traced to the beginning of the second millennium </w:t>
      </w:r>
      <w:r w:rsidR="00490DF1">
        <w:rPr>
          <w:sz w:val="28"/>
        </w:rPr>
        <w:t xml:space="preserve">in </w:t>
      </w:r>
      <w:r>
        <w:rPr>
          <w:sz w:val="28"/>
        </w:rPr>
        <w:t xml:space="preserve">early Italian manuscripts found in the Cairo Genizah. This textual tradition reflects the reworked recension found in B-M, and it may well be that this recension arrived </w:t>
      </w:r>
      <w:r w:rsidR="00490DF1">
        <w:rPr>
          <w:sz w:val="28"/>
        </w:rPr>
        <w:t xml:space="preserve">in </w:t>
      </w:r>
      <w:r>
        <w:rPr>
          <w:sz w:val="28"/>
        </w:rPr>
        <w:t xml:space="preserve">Italy directly from </w:t>
      </w:r>
      <w:r w:rsidRPr="007E177E">
        <w:rPr>
          <w:sz w:val="28"/>
        </w:rPr>
        <w:t>Qayrawan</w:t>
      </w:r>
      <w:r>
        <w:rPr>
          <w:sz w:val="28"/>
        </w:rPr>
        <w:t xml:space="preserve">, where it </w:t>
      </w:r>
      <w:r w:rsidR="00490DF1">
        <w:rPr>
          <w:sz w:val="28"/>
        </w:rPr>
        <w:t xml:space="preserve">had </w:t>
      </w:r>
      <w:r>
        <w:rPr>
          <w:sz w:val="28"/>
        </w:rPr>
        <w:t>been created. The connections between the</w:t>
      </w:r>
      <w:r w:rsidR="00DF58ED">
        <w:rPr>
          <w:sz w:val="28"/>
        </w:rPr>
        <w:t xml:space="preserve"> Italian</w:t>
      </w:r>
      <w:r>
        <w:rPr>
          <w:sz w:val="28"/>
        </w:rPr>
        <w:t xml:space="preserve"> Jewish</w:t>
      </w:r>
      <w:r w:rsidR="004F1F4B">
        <w:rPr>
          <w:sz w:val="28"/>
        </w:rPr>
        <w:t xml:space="preserve"> communities</w:t>
      </w:r>
      <w:r>
        <w:rPr>
          <w:sz w:val="28"/>
        </w:rPr>
        <w:t xml:space="preserve"> </w:t>
      </w:r>
      <w:r w:rsidR="004F1F4B">
        <w:rPr>
          <w:sz w:val="28"/>
        </w:rPr>
        <w:t>(</w:t>
      </w:r>
      <w:r w:rsidR="00A91AB5" w:rsidRPr="00A91AB5">
        <w:rPr>
          <w:sz w:val="28"/>
        </w:rPr>
        <w:t xml:space="preserve">especially those of </w:t>
      </w:r>
      <w:r w:rsidR="00DF58ED">
        <w:rPr>
          <w:sz w:val="28"/>
        </w:rPr>
        <w:t xml:space="preserve">the </w:t>
      </w:r>
      <w:r w:rsidR="00A91AB5" w:rsidRPr="00A91AB5">
        <w:rPr>
          <w:sz w:val="28"/>
        </w:rPr>
        <w:t>south</w:t>
      </w:r>
      <w:r w:rsidR="00DF58ED">
        <w:rPr>
          <w:sz w:val="28"/>
        </w:rPr>
        <w:t>, particularly</w:t>
      </w:r>
      <w:r w:rsidR="00A91AB5" w:rsidRPr="00A91AB5">
        <w:rPr>
          <w:sz w:val="28"/>
        </w:rPr>
        <w:t xml:space="preserve"> Sicily</w:t>
      </w:r>
      <w:r w:rsidR="004F1F4B">
        <w:rPr>
          <w:sz w:val="28"/>
        </w:rPr>
        <w:t>)</w:t>
      </w:r>
      <w:r w:rsidR="00DF58ED">
        <w:rPr>
          <w:sz w:val="28"/>
        </w:rPr>
        <w:t xml:space="preserve"> </w:t>
      </w:r>
      <w:r>
        <w:rPr>
          <w:sz w:val="28"/>
        </w:rPr>
        <w:t>and North Africa are attested</w:t>
      </w:r>
      <w:r w:rsidR="004F1F4B">
        <w:rPr>
          <w:sz w:val="28"/>
        </w:rPr>
        <w:t xml:space="preserve"> to</w:t>
      </w:r>
      <w:r>
        <w:rPr>
          <w:sz w:val="28"/>
        </w:rPr>
        <w:t xml:space="preserve"> </w:t>
      </w:r>
      <w:r w:rsidR="0027551B">
        <w:rPr>
          <w:sz w:val="28"/>
        </w:rPr>
        <w:t xml:space="preserve">both </w:t>
      </w:r>
      <w:r>
        <w:rPr>
          <w:sz w:val="28"/>
        </w:rPr>
        <w:t xml:space="preserve">by merchants traveling from North Africa to Italy </w:t>
      </w:r>
      <w:r w:rsidR="0027551B">
        <w:rPr>
          <w:sz w:val="28"/>
        </w:rPr>
        <w:t>and by</w:t>
      </w:r>
      <w:r>
        <w:rPr>
          <w:sz w:val="28"/>
        </w:rPr>
        <w:t xml:space="preserve"> Italian scholars and students </w:t>
      </w:r>
      <w:r w:rsidR="0027551B">
        <w:rPr>
          <w:sz w:val="28"/>
        </w:rPr>
        <w:t xml:space="preserve">who immigrated </w:t>
      </w:r>
      <w:r w:rsidR="00A91AB5">
        <w:rPr>
          <w:sz w:val="28"/>
        </w:rPr>
        <w:t xml:space="preserve">to North Africa, </w:t>
      </w:r>
      <w:r>
        <w:rPr>
          <w:sz w:val="28"/>
        </w:rPr>
        <w:t xml:space="preserve">particularly to the academy of </w:t>
      </w:r>
      <w:r w:rsidRPr="007E177E">
        <w:rPr>
          <w:sz w:val="28"/>
        </w:rPr>
        <w:t>Qayrawan</w:t>
      </w:r>
      <w:r>
        <w:rPr>
          <w:sz w:val="28"/>
        </w:rPr>
        <w:t>.</w:t>
      </w:r>
      <w:r w:rsidR="00B40D9C">
        <w:rPr>
          <w:rStyle w:val="FootnoteReference"/>
          <w:sz w:val="28"/>
        </w:rPr>
        <w:footnoteReference w:id="12"/>
      </w:r>
      <w:r>
        <w:rPr>
          <w:sz w:val="28"/>
        </w:rPr>
        <w:t xml:space="preserve"> </w:t>
      </w:r>
      <w:r w:rsidR="00940371">
        <w:rPr>
          <w:sz w:val="28"/>
        </w:rPr>
        <w:t>One famous example</w:t>
      </w:r>
      <w:r w:rsidR="0060684B">
        <w:rPr>
          <w:sz w:val="28"/>
        </w:rPr>
        <w:t xml:space="preserve"> of this immigration is </w:t>
      </w:r>
      <w:r w:rsidR="00B354EF">
        <w:rPr>
          <w:sz w:val="28"/>
        </w:rPr>
        <w:t>R. Hushiel and his son R. Elhanan’s move</w:t>
      </w:r>
      <w:r>
        <w:rPr>
          <w:sz w:val="28"/>
        </w:rPr>
        <w:t xml:space="preserve"> from Bari </w:t>
      </w:r>
      <w:r w:rsidR="00B354EF">
        <w:rPr>
          <w:sz w:val="28"/>
        </w:rPr>
        <w:t>to</w:t>
      </w:r>
      <w:r>
        <w:rPr>
          <w:sz w:val="28"/>
        </w:rPr>
        <w:t xml:space="preserve"> </w:t>
      </w:r>
      <w:r w:rsidRPr="007E177E">
        <w:rPr>
          <w:sz w:val="28"/>
        </w:rPr>
        <w:t>Qayrawan</w:t>
      </w:r>
      <w:r>
        <w:rPr>
          <w:sz w:val="28"/>
        </w:rPr>
        <w:t xml:space="preserve"> at the beginning of the eleventh century</w:t>
      </w:r>
      <w:r w:rsidR="002554EE">
        <w:rPr>
          <w:sz w:val="28"/>
        </w:rPr>
        <w:t>,</w:t>
      </w:r>
      <w:r>
        <w:rPr>
          <w:sz w:val="28"/>
        </w:rPr>
        <w:t xml:space="preserve"> which </w:t>
      </w:r>
      <w:r w:rsidR="00B354EF">
        <w:rPr>
          <w:sz w:val="28"/>
        </w:rPr>
        <w:t xml:space="preserve">eventually </w:t>
      </w:r>
      <w:r w:rsidR="00940371">
        <w:rPr>
          <w:sz w:val="28"/>
        </w:rPr>
        <w:t xml:space="preserve">became part of the basis </w:t>
      </w:r>
      <w:r w:rsidR="002672DD">
        <w:rPr>
          <w:sz w:val="28"/>
        </w:rPr>
        <w:t>of</w:t>
      </w:r>
      <w:r w:rsidR="00940371">
        <w:rPr>
          <w:sz w:val="28"/>
        </w:rPr>
        <w:t xml:space="preserve"> the </w:t>
      </w:r>
      <w:r>
        <w:rPr>
          <w:sz w:val="28"/>
        </w:rPr>
        <w:t xml:space="preserve">legend of the four captives </w:t>
      </w:r>
      <w:r w:rsidR="00940371">
        <w:rPr>
          <w:sz w:val="28"/>
        </w:rPr>
        <w:t xml:space="preserve">found in </w:t>
      </w:r>
      <w:r>
        <w:rPr>
          <w:sz w:val="28"/>
        </w:rPr>
        <w:t>Ibn Daud.</w:t>
      </w:r>
      <w:r w:rsidR="001438D5">
        <w:rPr>
          <w:rStyle w:val="FootnoteReference"/>
          <w:sz w:val="28"/>
        </w:rPr>
        <w:footnoteReference w:id="13"/>
      </w:r>
      <w:r>
        <w:rPr>
          <w:sz w:val="28"/>
        </w:rPr>
        <w:t xml:space="preserve"> Be that as it may, the textual evidence is clear </w:t>
      </w:r>
      <w:r>
        <w:rPr>
          <w:sz w:val="28"/>
        </w:rPr>
        <w:lastRenderedPageBreak/>
        <w:t>enough: in Italy</w:t>
      </w:r>
      <w:r w:rsidR="004B6BB4">
        <w:rPr>
          <w:sz w:val="28"/>
        </w:rPr>
        <w:t>,</w:t>
      </w:r>
      <w:r>
        <w:rPr>
          <w:sz w:val="28"/>
        </w:rPr>
        <w:t xml:space="preserve"> the common version of </w:t>
      </w:r>
      <w:r w:rsidR="00656607" w:rsidRPr="00656607">
        <w:rPr>
          <w:i/>
          <w:iCs/>
          <w:sz w:val="28"/>
        </w:rPr>
        <w:t>HG</w:t>
      </w:r>
      <w:r>
        <w:rPr>
          <w:sz w:val="28"/>
        </w:rPr>
        <w:t xml:space="preserve"> was the recension presented in B-M. This is also the conclusion reached by Epstein</w:t>
      </w:r>
      <w:r w:rsidR="00071945">
        <w:rPr>
          <w:sz w:val="28"/>
        </w:rPr>
        <w:t>,</w:t>
      </w:r>
      <w:r>
        <w:rPr>
          <w:sz w:val="28"/>
        </w:rPr>
        <w:t xml:space="preserve"> based on quotations from </w:t>
      </w:r>
      <w:r w:rsidR="00656607" w:rsidRPr="00656607">
        <w:rPr>
          <w:i/>
          <w:iCs/>
          <w:sz w:val="28"/>
        </w:rPr>
        <w:t>HG</w:t>
      </w:r>
      <w:r>
        <w:rPr>
          <w:sz w:val="28"/>
        </w:rPr>
        <w:t xml:space="preserve"> by Italian scholars.</w:t>
      </w:r>
    </w:p>
    <w:p w14:paraId="4EEE439C" w14:textId="6E75C84E" w:rsidR="00932831" w:rsidRDefault="00830EC6" w:rsidP="009E0D83">
      <w:pPr>
        <w:bidi w:val="0"/>
        <w:spacing w:line="360" w:lineRule="auto"/>
        <w:ind w:left="-426" w:firstLine="426"/>
        <w:jc w:val="both"/>
        <w:rPr>
          <w:sz w:val="28"/>
        </w:rPr>
      </w:pPr>
      <w:r>
        <w:rPr>
          <w:rFonts w:hint="cs"/>
          <w:sz w:val="28"/>
        </w:rPr>
        <w:t>T</w:t>
      </w:r>
      <w:r w:rsidR="000158D4">
        <w:rPr>
          <w:sz w:val="28"/>
        </w:rPr>
        <w:t>he textual evidence</w:t>
      </w:r>
      <w:r>
        <w:rPr>
          <w:sz w:val="28"/>
        </w:rPr>
        <w:t xml:space="preserve"> from</w:t>
      </w:r>
      <w:r w:rsidR="000158D4">
        <w:rPr>
          <w:sz w:val="28"/>
        </w:rPr>
        <w:t xml:space="preserve"> </w:t>
      </w:r>
      <w:r>
        <w:rPr>
          <w:sz w:val="28"/>
        </w:rPr>
        <w:t xml:space="preserve">Germany and France </w:t>
      </w:r>
      <w:r w:rsidR="000158D4">
        <w:rPr>
          <w:sz w:val="28"/>
        </w:rPr>
        <w:t xml:space="preserve">indicates that </w:t>
      </w:r>
      <w:r w:rsidR="00932831">
        <w:rPr>
          <w:sz w:val="28"/>
        </w:rPr>
        <w:t xml:space="preserve">the common version of </w:t>
      </w:r>
      <w:r w:rsidR="00656607" w:rsidRPr="00656607">
        <w:rPr>
          <w:i/>
          <w:iCs/>
          <w:sz w:val="28"/>
        </w:rPr>
        <w:t>HG</w:t>
      </w:r>
      <w:r w:rsidR="00932831">
        <w:rPr>
          <w:sz w:val="28"/>
        </w:rPr>
        <w:t xml:space="preserve"> </w:t>
      </w:r>
      <w:r>
        <w:rPr>
          <w:sz w:val="28"/>
        </w:rPr>
        <w:t xml:space="preserve">in these regions </w:t>
      </w:r>
      <w:r w:rsidR="00932831">
        <w:rPr>
          <w:sz w:val="28"/>
        </w:rPr>
        <w:t>was the original one instead of the reworked recension. All of the three Ashkenazic manuscripts (R and</w:t>
      </w:r>
      <w:r w:rsidR="000158D4">
        <w:rPr>
          <w:sz w:val="28"/>
        </w:rPr>
        <w:t xml:space="preserve"> the</w:t>
      </w:r>
      <w:r w:rsidR="00932831">
        <w:rPr>
          <w:sz w:val="28"/>
        </w:rPr>
        <w:t xml:space="preserve"> two partial manuscripts in the Firkovich collections) present the original version of the book. </w:t>
      </w:r>
      <w:r w:rsidR="004F18F3">
        <w:rPr>
          <w:sz w:val="28"/>
        </w:rPr>
        <w:t>It goes without saying that</w:t>
      </w:r>
      <w:r w:rsidR="00932831">
        <w:rPr>
          <w:sz w:val="28"/>
        </w:rPr>
        <w:t xml:space="preserve"> none of the manuscripts should be considered </w:t>
      </w:r>
      <w:r w:rsidR="002672DD">
        <w:rPr>
          <w:sz w:val="28"/>
        </w:rPr>
        <w:t xml:space="preserve">to be </w:t>
      </w:r>
      <w:r w:rsidR="00932831">
        <w:rPr>
          <w:sz w:val="28"/>
        </w:rPr>
        <w:t xml:space="preserve">identical </w:t>
      </w:r>
      <w:r w:rsidR="001C7B2B">
        <w:rPr>
          <w:sz w:val="28"/>
        </w:rPr>
        <w:t xml:space="preserve">to </w:t>
      </w:r>
      <w:r w:rsidR="000158D4">
        <w:rPr>
          <w:sz w:val="28"/>
        </w:rPr>
        <w:t>the original. Rather, each is the result of v</w:t>
      </w:r>
      <w:r w:rsidR="00932831">
        <w:rPr>
          <w:sz w:val="28"/>
        </w:rPr>
        <w:t>arious adaptions and modifications which occur</w:t>
      </w:r>
      <w:r w:rsidR="000158D4">
        <w:rPr>
          <w:sz w:val="28"/>
        </w:rPr>
        <w:t>red</w:t>
      </w:r>
      <w:r w:rsidR="00932831">
        <w:rPr>
          <w:sz w:val="28"/>
        </w:rPr>
        <w:t xml:space="preserve"> through </w:t>
      </w:r>
      <w:r w:rsidR="000158D4">
        <w:rPr>
          <w:sz w:val="28"/>
        </w:rPr>
        <w:t xml:space="preserve">the </w:t>
      </w:r>
      <w:r w:rsidR="00932831">
        <w:rPr>
          <w:sz w:val="28"/>
        </w:rPr>
        <w:t>transmission</w:t>
      </w:r>
      <w:r w:rsidR="000158D4">
        <w:rPr>
          <w:sz w:val="28"/>
        </w:rPr>
        <w:t xml:space="preserve"> of the text</w:t>
      </w:r>
      <w:r w:rsidR="00932831">
        <w:rPr>
          <w:sz w:val="28"/>
        </w:rPr>
        <w:t xml:space="preserve">. Nevertheless, </w:t>
      </w:r>
      <w:r w:rsidR="000158D4">
        <w:rPr>
          <w:sz w:val="28"/>
        </w:rPr>
        <w:t>none of them</w:t>
      </w:r>
      <w:r w:rsidR="00932831">
        <w:rPr>
          <w:sz w:val="28"/>
        </w:rPr>
        <w:t xml:space="preserve"> present the reworked recension </w:t>
      </w:r>
      <w:r>
        <w:rPr>
          <w:sz w:val="28"/>
        </w:rPr>
        <w:t xml:space="preserve">found </w:t>
      </w:r>
      <w:r w:rsidR="00932831">
        <w:rPr>
          <w:sz w:val="28"/>
        </w:rPr>
        <w:t xml:space="preserve">by B-M. </w:t>
      </w:r>
      <w:r>
        <w:rPr>
          <w:sz w:val="28"/>
        </w:rPr>
        <w:t>This</w:t>
      </w:r>
      <w:r w:rsidR="00932831">
        <w:rPr>
          <w:sz w:val="28"/>
        </w:rPr>
        <w:t xml:space="preserve"> textual evidence </w:t>
      </w:r>
      <w:r>
        <w:rPr>
          <w:sz w:val="28"/>
        </w:rPr>
        <w:t xml:space="preserve">supports </w:t>
      </w:r>
      <w:del w:id="15" w:author="Author">
        <w:r w:rsidR="00932831" w:rsidDel="001E505E">
          <w:rPr>
            <w:sz w:val="28"/>
          </w:rPr>
          <w:delText xml:space="preserve"> </w:delText>
        </w:r>
      </w:del>
      <w:r>
        <w:rPr>
          <w:sz w:val="28"/>
        </w:rPr>
        <w:t xml:space="preserve">Epstein’s </w:t>
      </w:r>
      <w:r w:rsidR="00932831">
        <w:rPr>
          <w:sz w:val="28"/>
        </w:rPr>
        <w:t>conclusion</w:t>
      </w:r>
      <w:ins w:id="16" w:author="Author">
        <w:r w:rsidR="006024C3">
          <w:rPr>
            <w:sz w:val="28"/>
          </w:rPr>
          <w:t xml:space="preserve"> </w:t>
        </w:r>
        <w:r w:rsidR="003B16FB">
          <w:rPr>
            <w:sz w:val="28"/>
          </w:rPr>
          <w:t>that</w:t>
        </w:r>
        <w:r w:rsidR="009E0D83">
          <w:rPr>
            <w:sz w:val="28"/>
          </w:rPr>
          <w:t xml:space="preserve"> the</w:t>
        </w:r>
        <w:r w:rsidR="003B16FB">
          <w:rPr>
            <w:sz w:val="28"/>
          </w:rPr>
          <w:t xml:space="preserve"> </w:t>
        </w:r>
        <w:r w:rsidR="001E505E">
          <w:rPr>
            <w:sz w:val="28"/>
          </w:rPr>
          <w:t xml:space="preserve">‘Spanish’ </w:t>
        </w:r>
        <w:r w:rsidR="001E505E" w:rsidRPr="00E043D1">
          <w:rPr>
            <w:i/>
            <w:iCs/>
            <w:sz w:val="28"/>
          </w:rPr>
          <w:t>H</w:t>
        </w:r>
        <w:r w:rsidR="001E505E">
          <w:rPr>
            <w:i/>
            <w:iCs/>
            <w:sz w:val="28"/>
          </w:rPr>
          <w:t xml:space="preserve">alakhot </w:t>
        </w:r>
        <w:r w:rsidR="001E505E" w:rsidRPr="00E043D1">
          <w:rPr>
            <w:i/>
            <w:iCs/>
            <w:sz w:val="28"/>
          </w:rPr>
          <w:t>G</w:t>
        </w:r>
        <w:r w:rsidR="001E505E">
          <w:rPr>
            <w:i/>
            <w:iCs/>
            <w:sz w:val="28"/>
          </w:rPr>
          <w:t xml:space="preserve">edolot </w:t>
        </w:r>
        <w:r w:rsidR="009E0D83">
          <w:rPr>
            <w:sz w:val="28"/>
          </w:rPr>
          <w:t xml:space="preserve">was the B-M version while that quoted by German and French authorities </w:t>
        </w:r>
        <w:del w:id="17" w:author="Author">
          <w:r w:rsidR="00B92971" w:rsidDel="001E505E">
            <w:rPr>
              <w:sz w:val="28"/>
            </w:rPr>
            <w:delText>identified</w:delText>
          </w:r>
          <w:r w:rsidR="001E505E" w:rsidDel="009E0D83">
            <w:rPr>
              <w:sz w:val="28"/>
            </w:rPr>
            <w:delText xml:space="preserve">cited by </w:delText>
          </w:r>
          <w:r w:rsidR="00B92971" w:rsidDel="009E0D83">
            <w:rPr>
              <w:sz w:val="28"/>
            </w:rPr>
            <w:delText xml:space="preserve"> </w:delText>
          </w:r>
          <w:r w:rsidR="003D4325" w:rsidDel="009E0D83">
            <w:rPr>
              <w:sz w:val="28"/>
            </w:rPr>
            <w:delText xml:space="preserve">the </w:delText>
          </w:r>
          <w:r w:rsidR="00394C2E" w:rsidDel="009E0D83">
            <w:rPr>
              <w:sz w:val="28"/>
            </w:rPr>
            <w:delText xml:space="preserve">B-M </w:delText>
          </w:r>
          <w:r w:rsidR="003D4325" w:rsidDel="009E0D83">
            <w:rPr>
              <w:sz w:val="28"/>
            </w:rPr>
            <w:delText xml:space="preserve">version </w:delText>
          </w:r>
          <w:r w:rsidR="00394C2E" w:rsidDel="009E0D83">
            <w:rPr>
              <w:sz w:val="28"/>
            </w:rPr>
            <w:delText>with the</w:delText>
          </w:r>
          <w:r w:rsidR="00B92971" w:rsidDel="009E0D83">
            <w:rPr>
              <w:sz w:val="28"/>
            </w:rPr>
            <w:delText xml:space="preserve"> </w:delText>
          </w:r>
          <w:r w:rsidR="00394C2E" w:rsidDel="009E0D83">
            <w:rPr>
              <w:sz w:val="28"/>
            </w:rPr>
            <w:delText>‘</w:delText>
          </w:r>
          <w:r w:rsidR="00B92971" w:rsidDel="009E0D83">
            <w:rPr>
              <w:sz w:val="28"/>
            </w:rPr>
            <w:delText>Spanish</w:delText>
          </w:r>
          <w:r w:rsidR="00394C2E" w:rsidDel="009E0D83">
            <w:rPr>
              <w:sz w:val="28"/>
            </w:rPr>
            <w:delText>’</w:delText>
          </w:r>
          <w:r w:rsidR="00B92971" w:rsidDel="009E0D83">
            <w:rPr>
              <w:sz w:val="28"/>
            </w:rPr>
            <w:delText xml:space="preserve"> </w:delText>
          </w:r>
          <w:r w:rsidR="00B92971" w:rsidRPr="00B92971" w:rsidDel="009E0D83">
            <w:rPr>
              <w:i/>
              <w:iCs/>
              <w:sz w:val="28"/>
              <w:rPrChange w:id="18" w:author="Author">
                <w:rPr>
                  <w:sz w:val="28"/>
                </w:rPr>
              </w:rPrChange>
            </w:rPr>
            <w:delText>H</w:delText>
          </w:r>
          <w:r w:rsidR="00394C2E" w:rsidDel="009E0D83">
            <w:rPr>
              <w:i/>
              <w:iCs/>
              <w:sz w:val="28"/>
            </w:rPr>
            <w:delText xml:space="preserve">alakhot </w:delText>
          </w:r>
          <w:r w:rsidR="00B92971" w:rsidRPr="00B92971" w:rsidDel="009E0D83">
            <w:rPr>
              <w:i/>
              <w:iCs/>
              <w:sz w:val="28"/>
              <w:rPrChange w:id="19" w:author="Author">
                <w:rPr>
                  <w:sz w:val="28"/>
                </w:rPr>
              </w:rPrChange>
            </w:rPr>
            <w:delText>G</w:delText>
          </w:r>
          <w:r w:rsidR="00394C2E" w:rsidDel="009E0D83">
            <w:rPr>
              <w:i/>
              <w:iCs/>
              <w:sz w:val="28"/>
            </w:rPr>
            <w:delText>edolot</w:delText>
          </w:r>
          <w:r w:rsidR="007C7EF1" w:rsidDel="009E0D83">
            <w:rPr>
              <w:i/>
              <w:iCs/>
              <w:sz w:val="28"/>
            </w:rPr>
            <w:delText xml:space="preserve"> </w:delText>
          </w:r>
          <w:r w:rsidR="007C7EF1" w:rsidDel="009E0D83">
            <w:rPr>
              <w:sz w:val="28"/>
            </w:rPr>
            <w:delText>rath</w:delText>
          </w:r>
        </w:del>
      </w:ins>
      <w:del w:id="20" w:author="Author">
        <w:r w:rsidDel="009E0D83">
          <w:rPr>
            <w:sz w:val="28"/>
          </w:rPr>
          <w:delText xml:space="preserve">, </w:delText>
        </w:r>
      </w:del>
      <w:ins w:id="21" w:author="Author">
        <w:del w:id="22" w:author="Author">
          <w:r w:rsidR="00394C2E" w:rsidDel="009E0D83">
            <w:rPr>
              <w:sz w:val="28"/>
            </w:rPr>
            <w:delText>whi</w:delText>
          </w:r>
        </w:del>
      </w:ins>
      <w:del w:id="23" w:author="Author">
        <w:r w:rsidDel="009E0D83">
          <w:rPr>
            <w:sz w:val="28"/>
          </w:rPr>
          <w:delText>which</w:delText>
        </w:r>
      </w:del>
      <w:ins w:id="24" w:author="Author">
        <w:del w:id="25" w:author="Author">
          <w:r w:rsidR="003D4325" w:rsidDel="009E0D83">
            <w:rPr>
              <w:sz w:val="28"/>
            </w:rPr>
            <w:delText xml:space="preserve">and thus the version quoted by German and French rabbinic authorities with </w:delText>
          </w:r>
          <w:r w:rsidR="001A4953" w:rsidDel="009E0D83">
            <w:rPr>
              <w:sz w:val="28"/>
            </w:rPr>
            <w:delText xml:space="preserve">the original </w:delText>
          </w:r>
        </w:del>
      </w:ins>
      <w:del w:id="26" w:author="Author">
        <w:r w:rsidDel="009E0D83">
          <w:rPr>
            <w:sz w:val="28"/>
          </w:rPr>
          <w:delText xml:space="preserve"> is </w:delText>
        </w:r>
        <w:r w:rsidR="00932831" w:rsidDel="009E0D83">
          <w:rPr>
            <w:sz w:val="28"/>
          </w:rPr>
          <w:delText xml:space="preserve">based on quotations from </w:delText>
        </w:r>
        <w:r w:rsidR="00656607" w:rsidRPr="00656607" w:rsidDel="009E0D83">
          <w:rPr>
            <w:i/>
            <w:iCs/>
            <w:sz w:val="28"/>
          </w:rPr>
          <w:delText>HG</w:delText>
        </w:r>
        <w:r w:rsidR="00932831" w:rsidDel="009E0D83">
          <w:rPr>
            <w:sz w:val="28"/>
          </w:rPr>
          <w:delText xml:space="preserve"> </w:delText>
        </w:r>
        <w:r w:rsidDel="009E0D83">
          <w:rPr>
            <w:sz w:val="28"/>
          </w:rPr>
          <w:delText xml:space="preserve">made </w:delText>
        </w:r>
        <w:r w:rsidR="00932831" w:rsidDel="009E0D83">
          <w:rPr>
            <w:sz w:val="28"/>
          </w:rPr>
          <w:delText>by German and French rabbinic authorities.</w:delText>
        </w:r>
      </w:del>
      <w:ins w:id="27" w:author="Author">
        <w:r w:rsidR="009E0D83">
          <w:rPr>
            <w:sz w:val="28"/>
          </w:rPr>
          <w:t>was the original version.</w:t>
        </w:r>
      </w:ins>
    </w:p>
    <w:p w14:paraId="25A490FD" w14:textId="77777777" w:rsidR="006D63F2" w:rsidRDefault="006D63F2" w:rsidP="0063582F">
      <w:pPr>
        <w:bidi w:val="0"/>
        <w:spacing w:line="360" w:lineRule="auto"/>
        <w:ind w:left="-426" w:firstLine="426"/>
        <w:jc w:val="both"/>
        <w:rPr>
          <w:sz w:val="28"/>
        </w:rPr>
      </w:pPr>
    </w:p>
    <w:p w14:paraId="355B012B" w14:textId="4806A86E" w:rsidR="00DB024A" w:rsidRPr="000F5BF7" w:rsidRDefault="006D63F2" w:rsidP="0063582F">
      <w:pPr>
        <w:bidi w:val="0"/>
        <w:spacing w:line="360" w:lineRule="auto"/>
        <w:ind w:left="-426" w:firstLine="426"/>
        <w:jc w:val="both"/>
        <w:rPr>
          <w:b/>
          <w:bCs/>
          <w:sz w:val="28"/>
        </w:rPr>
      </w:pPr>
      <w:r w:rsidRPr="000F5BF7">
        <w:rPr>
          <w:b/>
          <w:bCs/>
          <w:sz w:val="28"/>
        </w:rPr>
        <w:t xml:space="preserve">The </w:t>
      </w:r>
      <w:r w:rsidR="00AC708F" w:rsidRPr="000F5BF7">
        <w:rPr>
          <w:b/>
          <w:bCs/>
          <w:sz w:val="28"/>
        </w:rPr>
        <w:t xml:space="preserve">Bologna </w:t>
      </w:r>
      <w:r w:rsidR="004062B8">
        <w:rPr>
          <w:b/>
          <w:bCs/>
          <w:sz w:val="28"/>
        </w:rPr>
        <w:t>F</w:t>
      </w:r>
      <w:r w:rsidR="004062B8" w:rsidRPr="000F5BF7">
        <w:rPr>
          <w:b/>
          <w:bCs/>
          <w:sz w:val="28"/>
        </w:rPr>
        <w:t>ragment</w:t>
      </w:r>
    </w:p>
    <w:p w14:paraId="7F489E7E" w14:textId="3B0278CB" w:rsidR="00B60ED3" w:rsidRDefault="00AC708F" w:rsidP="00A94392">
      <w:pPr>
        <w:bidi w:val="0"/>
        <w:spacing w:line="360" w:lineRule="auto"/>
        <w:ind w:left="-426" w:firstLine="426"/>
        <w:jc w:val="both"/>
        <w:rPr>
          <w:sz w:val="28"/>
        </w:rPr>
      </w:pPr>
      <w:r>
        <w:rPr>
          <w:sz w:val="28"/>
        </w:rPr>
        <w:t xml:space="preserve">The Bologna fragment of </w:t>
      </w:r>
      <w:r w:rsidR="00656607" w:rsidRPr="00656607">
        <w:rPr>
          <w:i/>
          <w:iCs/>
          <w:sz w:val="28"/>
        </w:rPr>
        <w:t>HG</w:t>
      </w:r>
      <w:r>
        <w:rPr>
          <w:sz w:val="28"/>
        </w:rPr>
        <w:t xml:space="preserve"> </w:t>
      </w:r>
      <w:r w:rsidR="00B53857">
        <w:rPr>
          <w:sz w:val="28"/>
        </w:rPr>
        <w:t>consist</w:t>
      </w:r>
      <w:r w:rsidR="00830EC6">
        <w:rPr>
          <w:sz w:val="28"/>
        </w:rPr>
        <w:t>s</w:t>
      </w:r>
      <w:r>
        <w:rPr>
          <w:sz w:val="28"/>
        </w:rPr>
        <w:t xml:space="preserve"> of</w:t>
      </w:r>
      <w:r w:rsidR="009D690A">
        <w:rPr>
          <w:sz w:val="28"/>
        </w:rPr>
        <w:t xml:space="preserve"> </w:t>
      </w:r>
      <w:r>
        <w:rPr>
          <w:sz w:val="28"/>
        </w:rPr>
        <w:t>two not</w:t>
      </w:r>
      <w:r w:rsidR="007F628C">
        <w:rPr>
          <w:sz w:val="28"/>
        </w:rPr>
        <w:t xml:space="preserve"> </w:t>
      </w:r>
      <w:r>
        <w:rPr>
          <w:sz w:val="28"/>
        </w:rPr>
        <w:t xml:space="preserve">continuous folios. One side of </w:t>
      </w:r>
      <w:r w:rsidR="00830EC6">
        <w:rPr>
          <w:sz w:val="28"/>
        </w:rPr>
        <w:t xml:space="preserve">each </w:t>
      </w:r>
      <w:r w:rsidR="004B3F94">
        <w:rPr>
          <w:sz w:val="28"/>
        </w:rPr>
        <w:t>folio</w:t>
      </w:r>
      <w:r>
        <w:rPr>
          <w:sz w:val="28"/>
        </w:rPr>
        <w:t xml:space="preserve"> is </w:t>
      </w:r>
      <w:r w:rsidR="00830EC6">
        <w:rPr>
          <w:sz w:val="28"/>
        </w:rPr>
        <w:t xml:space="preserve">completely </w:t>
      </w:r>
      <w:r>
        <w:rPr>
          <w:sz w:val="28"/>
        </w:rPr>
        <w:t>erased and do</w:t>
      </w:r>
      <w:r w:rsidR="00830EC6">
        <w:rPr>
          <w:sz w:val="28"/>
        </w:rPr>
        <w:t>es</w:t>
      </w:r>
      <w:r>
        <w:rPr>
          <w:sz w:val="28"/>
        </w:rPr>
        <w:t xml:space="preserve"> not contain any legible characters. The other side is beautifully clear and easy to read. </w:t>
      </w:r>
      <w:r w:rsidR="004B3F94">
        <w:rPr>
          <w:sz w:val="28"/>
        </w:rPr>
        <w:t xml:space="preserve">The inner margins of </w:t>
      </w:r>
      <w:r w:rsidR="00830EC6">
        <w:rPr>
          <w:sz w:val="28"/>
        </w:rPr>
        <w:t xml:space="preserve">each </w:t>
      </w:r>
      <w:r w:rsidR="004B3F94">
        <w:rPr>
          <w:sz w:val="28"/>
        </w:rPr>
        <w:t xml:space="preserve">folio are cut, and a few letters at the end of </w:t>
      </w:r>
      <w:r w:rsidR="00A9001C">
        <w:rPr>
          <w:sz w:val="28"/>
        </w:rPr>
        <w:t xml:space="preserve">the </w:t>
      </w:r>
      <w:r w:rsidR="004B3F94">
        <w:rPr>
          <w:sz w:val="28"/>
        </w:rPr>
        <w:t xml:space="preserve">lines </w:t>
      </w:r>
      <w:r w:rsidR="00A9001C">
        <w:rPr>
          <w:sz w:val="28"/>
        </w:rPr>
        <w:t>on</w:t>
      </w:r>
      <w:r w:rsidR="00830EC6">
        <w:rPr>
          <w:sz w:val="28"/>
        </w:rPr>
        <w:t xml:space="preserve"> </w:t>
      </w:r>
      <w:r w:rsidR="004B3F94">
        <w:rPr>
          <w:sz w:val="28"/>
        </w:rPr>
        <w:t xml:space="preserve">the </w:t>
      </w:r>
      <w:r w:rsidR="00A94392">
        <w:rPr>
          <w:sz w:val="28"/>
        </w:rPr>
        <w:t>first</w:t>
      </w:r>
      <w:r w:rsidR="004B3F94">
        <w:rPr>
          <w:sz w:val="28"/>
        </w:rPr>
        <w:t xml:space="preserve"> folio and</w:t>
      </w:r>
      <w:r w:rsidR="00830EC6">
        <w:rPr>
          <w:sz w:val="28"/>
        </w:rPr>
        <w:t xml:space="preserve"> the beginning of </w:t>
      </w:r>
      <w:r w:rsidR="00A9001C">
        <w:rPr>
          <w:sz w:val="28"/>
        </w:rPr>
        <w:t xml:space="preserve">the </w:t>
      </w:r>
      <w:r w:rsidR="00830EC6">
        <w:rPr>
          <w:sz w:val="28"/>
        </w:rPr>
        <w:t xml:space="preserve">lines </w:t>
      </w:r>
      <w:r w:rsidR="00A9001C">
        <w:rPr>
          <w:sz w:val="28"/>
        </w:rPr>
        <w:t>on</w:t>
      </w:r>
      <w:r w:rsidR="004B3F94">
        <w:rPr>
          <w:sz w:val="28"/>
        </w:rPr>
        <w:t xml:space="preserve"> the </w:t>
      </w:r>
      <w:r w:rsidR="00A94392">
        <w:rPr>
          <w:sz w:val="28"/>
        </w:rPr>
        <w:t>second</w:t>
      </w:r>
      <w:r w:rsidR="004B3F94">
        <w:rPr>
          <w:sz w:val="28"/>
        </w:rPr>
        <w:t xml:space="preserve"> folio are missing</w:t>
      </w:r>
      <w:bookmarkStart w:id="28" w:name="_Ref55166420"/>
      <w:r w:rsidR="00830EC6">
        <w:rPr>
          <w:sz w:val="28"/>
        </w:rPr>
        <w:t>.</w:t>
      </w:r>
      <w:r w:rsidR="001600FD">
        <w:rPr>
          <w:rStyle w:val="FootnoteReference"/>
          <w:sz w:val="28"/>
        </w:rPr>
        <w:footnoteReference w:id="14"/>
      </w:r>
      <w:bookmarkEnd w:id="28"/>
      <w:r w:rsidR="004B3F94">
        <w:rPr>
          <w:sz w:val="28"/>
        </w:rPr>
        <w:t xml:space="preserve"> One page contains </w:t>
      </w:r>
      <w:r w:rsidR="00026FCA">
        <w:rPr>
          <w:sz w:val="28"/>
        </w:rPr>
        <w:t xml:space="preserve">the text between </w:t>
      </w:r>
      <w:r w:rsidR="00464100">
        <w:rPr>
          <w:sz w:val="28"/>
        </w:rPr>
        <w:t>p</w:t>
      </w:r>
      <w:r w:rsidR="00026FCA">
        <w:rPr>
          <w:sz w:val="28"/>
        </w:rPr>
        <w:t>.</w:t>
      </w:r>
      <w:r w:rsidR="00464100">
        <w:rPr>
          <w:sz w:val="28"/>
        </w:rPr>
        <w:t xml:space="preserve"> 97</w:t>
      </w:r>
      <w:ins w:id="29" w:author="Author">
        <w:r w:rsidR="00BF4BE9">
          <w:rPr>
            <w:sz w:val="28"/>
          </w:rPr>
          <w:t>,</w:t>
        </w:r>
      </w:ins>
      <w:r w:rsidR="00464100">
        <w:rPr>
          <w:sz w:val="28"/>
        </w:rPr>
        <w:t xml:space="preserve"> l</w:t>
      </w:r>
      <w:ins w:id="30" w:author="Author">
        <w:r w:rsidR="00BF4BE9">
          <w:rPr>
            <w:sz w:val="28"/>
          </w:rPr>
          <w:t>ine</w:t>
        </w:r>
      </w:ins>
      <w:del w:id="31" w:author="Author">
        <w:r w:rsidR="00464100" w:rsidDel="00BF4BE9">
          <w:rPr>
            <w:sz w:val="28"/>
          </w:rPr>
          <w:delText>.</w:delText>
        </w:r>
      </w:del>
      <w:r w:rsidR="00464100">
        <w:rPr>
          <w:sz w:val="28"/>
        </w:rPr>
        <w:t xml:space="preserve"> 75 </w:t>
      </w:r>
      <w:r w:rsidR="00026FCA">
        <w:rPr>
          <w:sz w:val="28"/>
        </w:rPr>
        <w:t>and p.</w:t>
      </w:r>
      <w:r w:rsidR="00464100">
        <w:rPr>
          <w:sz w:val="28"/>
        </w:rPr>
        <w:t xml:space="preserve"> 99</w:t>
      </w:r>
      <w:ins w:id="32" w:author="Author">
        <w:r w:rsidR="00BF4BE9">
          <w:rPr>
            <w:sz w:val="28"/>
          </w:rPr>
          <w:t>,</w:t>
        </w:r>
      </w:ins>
      <w:r w:rsidR="00464100">
        <w:rPr>
          <w:sz w:val="28"/>
        </w:rPr>
        <w:t xml:space="preserve"> l</w:t>
      </w:r>
      <w:ins w:id="33" w:author="Author">
        <w:r w:rsidR="00BF4BE9">
          <w:rPr>
            <w:sz w:val="28"/>
          </w:rPr>
          <w:t>ine</w:t>
        </w:r>
      </w:ins>
      <w:del w:id="34" w:author="Author">
        <w:r w:rsidR="00464100" w:rsidDel="00BF4BE9">
          <w:rPr>
            <w:sz w:val="28"/>
          </w:rPr>
          <w:delText>.</w:delText>
        </w:r>
      </w:del>
      <w:r w:rsidR="00464100">
        <w:rPr>
          <w:sz w:val="28"/>
        </w:rPr>
        <w:t xml:space="preserve"> 17 of </w:t>
      </w:r>
      <w:r w:rsidR="000A1B4B" w:rsidRPr="000A1B4B">
        <w:rPr>
          <w:i/>
          <w:iCs/>
          <w:sz w:val="28"/>
        </w:rPr>
        <w:t xml:space="preserve">Hilkhot </w:t>
      </w:r>
      <w:r w:rsidR="00C60F72">
        <w:rPr>
          <w:i/>
          <w:iCs/>
          <w:sz w:val="28"/>
        </w:rPr>
        <w:t>Y</w:t>
      </w:r>
      <w:r w:rsidR="00A91AB5">
        <w:rPr>
          <w:i/>
          <w:iCs/>
          <w:sz w:val="28"/>
        </w:rPr>
        <w:t>ibum w</w:t>
      </w:r>
      <w:r w:rsidR="000A1B4B" w:rsidRPr="000A1B4B">
        <w:rPr>
          <w:i/>
          <w:iCs/>
          <w:sz w:val="28"/>
        </w:rPr>
        <w:t>e</w:t>
      </w:r>
      <w:r w:rsidR="00A91AB5">
        <w:rPr>
          <w:i/>
          <w:iCs/>
          <w:sz w:val="28"/>
        </w:rPr>
        <w:t>-</w:t>
      </w:r>
      <w:r w:rsidR="00C60F72">
        <w:rPr>
          <w:i/>
          <w:iCs/>
          <w:sz w:val="28"/>
        </w:rPr>
        <w:t>H</w:t>
      </w:r>
      <w:r w:rsidR="000A1B4B" w:rsidRPr="000A1B4B">
        <w:rPr>
          <w:i/>
          <w:iCs/>
          <w:sz w:val="28"/>
        </w:rPr>
        <w:t>alitza</w:t>
      </w:r>
      <w:r w:rsidR="004B3F94">
        <w:rPr>
          <w:sz w:val="28"/>
        </w:rPr>
        <w:t xml:space="preserve"> </w:t>
      </w:r>
      <w:r w:rsidR="00464100">
        <w:rPr>
          <w:sz w:val="28"/>
        </w:rPr>
        <w:t xml:space="preserve">in the </w:t>
      </w:r>
      <w:r w:rsidR="000A1B4B">
        <w:rPr>
          <w:sz w:val="28"/>
        </w:rPr>
        <w:t>Hildesheimer (Jerusalem) edition. The other contains</w:t>
      </w:r>
      <w:r w:rsidR="00026FCA">
        <w:rPr>
          <w:sz w:val="28"/>
        </w:rPr>
        <w:t xml:space="preserve"> the text between</w:t>
      </w:r>
      <w:r w:rsidR="000A1B4B">
        <w:rPr>
          <w:sz w:val="28"/>
        </w:rPr>
        <w:t xml:space="preserve"> </w:t>
      </w:r>
      <w:r w:rsidR="00464100">
        <w:rPr>
          <w:sz w:val="28"/>
        </w:rPr>
        <w:t>p. 118 l</w:t>
      </w:r>
      <w:ins w:id="35" w:author="Author">
        <w:r w:rsidR="00BF4BE9">
          <w:rPr>
            <w:sz w:val="28"/>
          </w:rPr>
          <w:t>ine,</w:t>
        </w:r>
      </w:ins>
      <w:del w:id="36" w:author="Author">
        <w:r w:rsidR="00464100" w:rsidDel="00BF4BE9">
          <w:rPr>
            <w:sz w:val="28"/>
          </w:rPr>
          <w:delText>.</w:delText>
        </w:r>
      </w:del>
      <w:r w:rsidR="00464100">
        <w:rPr>
          <w:sz w:val="28"/>
        </w:rPr>
        <w:t xml:space="preserve"> 44 </w:t>
      </w:r>
      <w:r w:rsidR="00026FCA">
        <w:rPr>
          <w:sz w:val="28"/>
        </w:rPr>
        <w:t xml:space="preserve">and </w:t>
      </w:r>
      <w:r w:rsidR="00464100">
        <w:rPr>
          <w:sz w:val="28"/>
        </w:rPr>
        <w:t>p. 120</w:t>
      </w:r>
      <w:ins w:id="37" w:author="Author">
        <w:r w:rsidR="00BF4BE9">
          <w:rPr>
            <w:sz w:val="28"/>
          </w:rPr>
          <w:t>,</w:t>
        </w:r>
      </w:ins>
      <w:r w:rsidR="00464100">
        <w:rPr>
          <w:sz w:val="28"/>
        </w:rPr>
        <w:t xml:space="preserve"> l</w:t>
      </w:r>
      <w:ins w:id="38" w:author="Author">
        <w:r w:rsidR="00BF4BE9">
          <w:rPr>
            <w:sz w:val="28"/>
          </w:rPr>
          <w:t>ine</w:t>
        </w:r>
      </w:ins>
      <w:del w:id="39" w:author="Author">
        <w:r w:rsidR="00464100" w:rsidDel="00BF4BE9">
          <w:rPr>
            <w:sz w:val="28"/>
          </w:rPr>
          <w:delText>.</w:delText>
        </w:r>
      </w:del>
      <w:r w:rsidR="00464100">
        <w:rPr>
          <w:sz w:val="28"/>
        </w:rPr>
        <w:t xml:space="preserve"> 83 of </w:t>
      </w:r>
      <w:r w:rsidR="000A1B4B" w:rsidRPr="000A1B4B">
        <w:rPr>
          <w:i/>
          <w:iCs/>
          <w:sz w:val="28"/>
        </w:rPr>
        <w:t xml:space="preserve">Hilkhot </w:t>
      </w:r>
      <w:r w:rsidR="00C60F72">
        <w:rPr>
          <w:i/>
          <w:iCs/>
          <w:sz w:val="28"/>
        </w:rPr>
        <w:t>M</w:t>
      </w:r>
      <w:r w:rsidR="000A1B4B" w:rsidRPr="000A1B4B">
        <w:rPr>
          <w:i/>
          <w:iCs/>
          <w:sz w:val="28"/>
        </w:rPr>
        <w:t>e</w:t>
      </w:r>
      <w:r w:rsidR="000A1B4B">
        <w:rPr>
          <w:i/>
          <w:iCs/>
          <w:sz w:val="28"/>
        </w:rPr>
        <w:t>’</w:t>
      </w:r>
      <w:r w:rsidR="000A1B4B" w:rsidRPr="000A1B4B">
        <w:rPr>
          <w:i/>
          <w:iCs/>
          <w:sz w:val="28"/>
        </w:rPr>
        <w:t>un</w:t>
      </w:r>
      <w:r w:rsidR="00464100">
        <w:rPr>
          <w:sz w:val="28"/>
        </w:rPr>
        <w:t xml:space="preserve"> in the same edition</w:t>
      </w:r>
      <w:r w:rsidR="00400019">
        <w:rPr>
          <w:sz w:val="28"/>
        </w:rPr>
        <w:t xml:space="preserve">. </w:t>
      </w:r>
      <w:r w:rsidR="007F571E">
        <w:rPr>
          <w:sz w:val="28"/>
        </w:rPr>
        <w:t xml:space="preserve">Since </w:t>
      </w:r>
      <w:r w:rsidR="000A1B4B" w:rsidRPr="000A1B4B">
        <w:rPr>
          <w:i/>
          <w:iCs/>
          <w:sz w:val="28"/>
        </w:rPr>
        <w:t xml:space="preserve">Hilkhot </w:t>
      </w:r>
      <w:r w:rsidR="00C60F72">
        <w:rPr>
          <w:i/>
          <w:iCs/>
          <w:sz w:val="28"/>
        </w:rPr>
        <w:t>Y</w:t>
      </w:r>
      <w:r w:rsidR="000A1B4B" w:rsidRPr="000A1B4B">
        <w:rPr>
          <w:i/>
          <w:iCs/>
          <w:sz w:val="28"/>
        </w:rPr>
        <w:t xml:space="preserve">ibum </w:t>
      </w:r>
      <w:r w:rsidR="00A91AB5">
        <w:rPr>
          <w:i/>
          <w:iCs/>
          <w:sz w:val="28"/>
        </w:rPr>
        <w:t>w</w:t>
      </w:r>
      <w:r w:rsidR="000A1B4B" w:rsidRPr="000A1B4B">
        <w:rPr>
          <w:i/>
          <w:iCs/>
          <w:sz w:val="28"/>
        </w:rPr>
        <w:t>e</w:t>
      </w:r>
      <w:r w:rsidR="00A91AB5">
        <w:rPr>
          <w:i/>
          <w:iCs/>
          <w:sz w:val="28"/>
        </w:rPr>
        <w:t>-</w:t>
      </w:r>
      <w:r w:rsidR="00C60F72">
        <w:rPr>
          <w:i/>
          <w:iCs/>
          <w:sz w:val="28"/>
        </w:rPr>
        <w:t>H</w:t>
      </w:r>
      <w:r w:rsidR="000A1B4B" w:rsidRPr="000A1B4B">
        <w:rPr>
          <w:i/>
          <w:iCs/>
          <w:sz w:val="28"/>
        </w:rPr>
        <w:t>alitza</w:t>
      </w:r>
      <w:r w:rsidR="000A1B4B">
        <w:rPr>
          <w:sz w:val="28"/>
        </w:rPr>
        <w:t xml:space="preserve"> precedes </w:t>
      </w:r>
      <w:r w:rsidR="00C60F72">
        <w:rPr>
          <w:i/>
          <w:iCs/>
          <w:sz w:val="28"/>
        </w:rPr>
        <w:t>Hilkhot M</w:t>
      </w:r>
      <w:r w:rsidR="000A1B4B" w:rsidRPr="000A1B4B">
        <w:rPr>
          <w:i/>
          <w:iCs/>
          <w:sz w:val="28"/>
        </w:rPr>
        <w:t>e</w:t>
      </w:r>
      <w:r w:rsidR="000A1B4B">
        <w:rPr>
          <w:i/>
          <w:iCs/>
          <w:sz w:val="28"/>
        </w:rPr>
        <w:t>’</w:t>
      </w:r>
      <w:r w:rsidR="000A1B4B" w:rsidRPr="000A1B4B">
        <w:rPr>
          <w:i/>
          <w:iCs/>
          <w:sz w:val="28"/>
        </w:rPr>
        <w:t>un</w:t>
      </w:r>
      <w:r w:rsidR="007F571E">
        <w:rPr>
          <w:sz w:val="28"/>
        </w:rPr>
        <w:t xml:space="preserve"> in all known versions of </w:t>
      </w:r>
      <w:r w:rsidR="00656607" w:rsidRPr="00656607">
        <w:rPr>
          <w:i/>
          <w:iCs/>
          <w:sz w:val="28"/>
        </w:rPr>
        <w:t>HG</w:t>
      </w:r>
      <w:r w:rsidR="007F571E">
        <w:rPr>
          <w:i/>
          <w:iCs/>
          <w:sz w:val="28"/>
        </w:rPr>
        <w:t>,</w:t>
      </w:r>
      <w:r w:rsidR="000A1B4B">
        <w:rPr>
          <w:sz w:val="28"/>
        </w:rPr>
        <w:t xml:space="preserve"> we can assume that this is the case also in this manuscript. </w:t>
      </w:r>
      <w:r w:rsidR="00A94392">
        <w:rPr>
          <w:sz w:val="28"/>
        </w:rPr>
        <w:t>T</w:t>
      </w:r>
      <w:r w:rsidR="000A1B4B">
        <w:rPr>
          <w:sz w:val="28"/>
        </w:rPr>
        <w:t xml:space="preserve">he two folios are </w:t>
      </w:r>
      <w:r w:rsidR="00DA039D">
        <w:rPr>
          <w:sz w:val="28"/>
        </w:rPr>
        <w:t xml:space="preserve">most probably not </w:t>
      </w:r>
      <w:r w:rsidR="00400019">
        <w:rPr>
          <w:sz w:val="28"/>
        </w:rPr>
        <w:t xml:space="preserve">parts of one bifolio. As the text of </w:t>
      </w:r>
      <w:r w:rsidR="00026FCA">
        <w:rPr>
          <w:sz w:val="28"/>
        </w:rPr>
        <w:t xml:space="preserve">each </w:t>
      </w:r>
      <w:r w:rsidR="00400019">
        <w:rPr>
          <w:sz w:val="28"/>
        </w:rPr>
        <w:t xml:space="preserve">page occupies approximately 40 lines in </w:t>
      </w:r>
      <w:r w:rsidR="00464100">
        <w:rPr>
          <w:sz w:val="28"/>
        </w:rPr>
        <w:t xml:space="preserve">the </w:t>
      </w:r>
      <w:r w:rsidR="00400019">
        <w:rPr>
          <w:sz w:val="28"/>
        </w:rPr>
        <w:t>Hildesheimer edition, and the</w:t>
      </w:r>
      <w:r w:rsidR="00026FCA">
        <w:rPr>
          <w:sz w:val="28"/>
        </w:rPr>
        <w:t xml:space="preserve"> text in the</w:t>
      </w:r>
      <w:r w:rsidR="00400019">
        <w:rPr>
          <w:sz w:val="28"/>
        </w:rPr>
        <w:t xml:space="preserve"> gap between the </w:t>
      </w:r>
      <w:r w:rsidR="00464100">
        <w:rPr>
          <w:sz w:val="28"/>
        </w:rPr>
        <w:t>two folios</w:t>
      </w:r>
      <w:r w:rsidR="00400019">
        <w:rPr>
          <w:sz w:val="28"/>
        </w:rPr>
        <w:t xml:space="preserve"> occupies 400 lines</w:t>
      </w:r>
      <w:r w:rsidR="00464100">
        <w:rPr>
          <w:sz w:val="28"/>
        </w:rPr>
        <w:t xml:space="preserve"> in the Hildesheimer edition</w:t>
      </w:r>
      <w:r w:rsidR="00400019">
        <w:rPr>
          <w:sz w:val="28"/>
        </w:rPr>
        <w:t xml:space="preserve">, </w:t>
      </w:r>
      <w:r w:rsidR="00464100">
        <w:rPr>
          <w:sz w:val="28"/>
        </w:rPr>
        <w:t xml:space="preserve">one may conclude that approximately </w:t>
      </w:r>
      <w:r w:rsidR="00740E77">
        <w:rPr>
          <w:sz w:val="28"/>
        </w:rPr>
        <w:t xml:space="preserve">ten missing pages </w:t>
      </w:r>
      <w:r w:rsidR="007F571E">
        <w:rPr>
          <w:sz w:val="28"/>
        </w:rPr>
        <w:t>separate</w:t>
      </w:r>
      <w:r w:rsidR="00740E77">
        <w:rPr>
          <w:sz w:val="28"/>
        </w:rPr>
        <w:t xml:space="preserve"> the two surviving pages</w:t>
      </w:r>
      <w:r w:rsidR="007F571E">
        <w:rPr>
          <w:sz w:val="28"/>
        </w:rPr>
        <w:t xml:space="preserve">. </w:t>
      </w:r>
      <w:ins w:id="40" w:author="Author">
        <w:r w:rsidR="00EE2A68">
          <w:rPr>
            <w:sz w:val="28"/>
          </w:rPr>
          <w:t xml:space="preserve">Since each </w:t>
        </w:r>
        <w:r w:rsidR="008E7F6B">
          <w:rPr>
            <w:sz w:val="28"/>
          </w:rPr>
          <w:t xml:space="preserve">page </w:t>
        </w:r>
        <w:r w:rsidR="00EE2A68">
          <w:rPr>
            <w:sz w:val="28"/>
          </w:rPr>
          <w:t xml:space="preserve">makes up half of a folio, </w:t>
        </w:r>
        <w:r w:rsidR="00902C94">
          <w:rPr>
            <w:sz w:val="28"/>
          </w:rPr>
          <w:t xml:space="preserve">which is in turn half of a bifolio, </w:t>
        </w:r>
        <w:del w:id="41" w:author="Author">
          <w:r w:rsidR="00EE2A68" w:rsidDel="00902C94">
            <w:rPr>
              <w:sz w:val="28"/>
            </w:rPr>
            <w:delText xml:space="preserve">and </w:delText>
          </w:r>
        </w:del>
      </w:ins>
      <w:commentRangeStart w:id="42"/>
      <w:commentRangeStart w:id="43"/>
      <w:del w:id="44" w:author="Author">
        <w:r w:rsidR="007F571E" w:rsidDel="008E7F6B">
          <w:rPr>
            <w:sz w:val="28"/>
          </w:rPr>
          <w:delText>These</w:delText>
        </w:r>
      </w:del>
      <w:ins w:id="45" w:author="Author">
        <w:r w:rsidR="008E7F6B">
          <w:rPr>
            <w:sz w:val="28"/>
          </w:rPr>
          <w:t>these approximately ten pages</w:t>
        </w:r>
      </w:ins>
      <w:r w:rsidR="007F571E">
        <w:rPr>
          <w:sz w:val="28"/>
        </w:rPr>
        <w:t xml:space="preserve"> would </w:t>
      </w:r>
      <w:r w:rsidR="00740E77">
        <w:rPr>
          <w:sz w:val="28"/>
        </w:rPr>
        <w:t xml:space="preserve">make </w:t>
      </w:r>
      <w:ins w:id="46" w:author="Author">
        <w:r w:rsidR="008E7F6B">
          <w:rPr>
            <w:sz w:val="28"/>
          </w:rPr>
          <w:t xml:space="preserve">up </w:t>
        </w:r>
      </w:ins>
      <w:r w:rsidR="00740E77">
        <w:rPr>
          <w:sz w:val="28"/>
        </w:rPr>
        <w:t xml:space="preserve">an odd number of five folios, that </w:t>
      </w:r>
      <w:r w:rsidR="00740E77">
        <w:rPr>
          <w:sz w:val="28"/>
        </w:rPr>
        <w:lastRenderedPageBreak/>
        <w:t xml:space="preserve">do not </w:t>
      </w:r>
      <w:del w:id="47" w:author="Author">
        <w:r w:rsidR="00740E77" w:rsidDel="005A4F31">
          <w:rPr>
            <w:sz w:val="28"/>
          </w:rPr>
          <w:delText xml:space="preserve">correlate </w:delText>
        </w:r>
      </w:del>
      <w:ins w:id="48" w:author="Author">
        <w:r w:rsidR="005A4F31">
          <w:rPr>
            <w:sz w:val="28"/>
          </w:rPr>
          <w:t xml:space="preserve">correspond </w:t>
        </w:r>
      </w:ins>
      <w:r w:rsidR="00740E77">
        <w:rPr>
          <w:sz w:val="28"/>
        </w:rPr>
        <w:t xml:space="preserve">to a </w:t>
      </w:r>
      <w:del w:id="49" w:author="Author">
        <w:r w:rsidR="00740E77" w:rsidDel="00DF4B41">
          <w:rPr>
            <w:sz w:val="28"/>
          </w:rPr>
          <w:delText xml:space="preserve">certain </w:delText>
        </w:r>
      </w:del>
      <w:ins w:id="50" w:author="Author">
        <w:r w:rsidR="00DF4B41">
          <w:rPr>
            <w:sz w:val="28"/>
          </w:rPr>
          <w:t xml:space="preserve">whole </w:t>
        </w:r>
      </w:ins>
      <w:r w:rsidR="00740E77">
        <w:rPr>
          <w:sz w:val="28"/>
        </w:rPr>
        <w:t xml:space="preserve">number of bifolios. </w:t>
      </w:r>
      <w:r w:rsidR="00FB6F42">
        <w:rPr>
          <w:rStyle w:val="CommentReference"/>
        </w:rPr>
        <w:commentReference w:id="51"/>
      </w:r>
      <w:commentRangeEnd w:id="42"/>
      <w:r w:rsidR="00313C96">
        <w:rPr>
          <w:rStyle w:val="CommentReference"/>
          <w:rtl/>
        </w:rPr>
        <w:commentReference w:id="42"/>
      </w:r>
      <w:commentRangeEnd w:id="43"/>
      <w:r w:rsidR="00CB2638">
        <w:rPr>
          <w:rStyle w:val="CommentReference"/>
        </w:rPr>
        <w:commentReference w:id="43"/>
      </w:r>
      <w:r w:rsidR="00FB6F42">
        <w:rPr>
          <w:rFonts w:hint="cs"/>
          <w:sz w:val="28"/>
        </w:rPr>
        <w:t>U</w:t>
      </w:r>
      <w:r w:rsidR="00740E77">
        <w:rPr>
          <w:sz w:val="28"/>
        </w:rPr>
        <w:t>nless the manuscript had significant and unique lacuna or addenda</w:t>
      </w:r>
      <w:r w:rsidR="00FB6F42" w:rsidRPr="00FB6F42">
        <w:rPr>
          <w:sz w:val="28"/>
        </w:rPr>
        <w:t xml:space="preserve"> </w:t>
      </w:r>
      <w:r w:rsidR="00FB6F42">
        <w:rPr>
          <w:sz w:val="28"/>
        </w:rPr>
        <w:t>in these chapters</w:t>
      </w:r>
      <w:r w:rsidR="00740E77">
        <w:rPr>
          <w:sz w:val="28"/>
        </w:rPr>
        <w:t>, we should conclude that the two pages survived from two</w:t>
      </w:r>
      <w:r w:rsidR="00DB1362">
        <w:rPr>
          <w:sz w:val="28"/>
        </w:rPr>
        <w:t xml:space="preserve"> different</w:t>
      </w:r>
      <w:r w:rsidR="00740E77">
        <w:rPr>
          <w:sz w:val="28"/>
        </w:rPr>
        <w:t xml:space="preserve"> bifolios.</w:t>
      </w:r>
    </w:p>
    <w:p w14:paraId="44F25E98" w14:textId="26CA07BE" w:rsidR="005524F2" w:rsidRDefault="000D651D">
      <w:pPr>
        <w:bidi w:val="0"/>
        <w:spacing w:line="360" w:lineRule="auto"/>
        <w:ind w:left="-426" w:firstLine="426"/>
        <w:jc w:val="both"/>
        <w:rPr>
          <w:sz w:val="28"/>
        </w:rPr>
      </w:pPr>
      <w:r>
        <w:rPr>
          <w:sz w:val="28"/>
        </w:rPr>
        <w:t xml:space="preserve">The </w:t>
      </w:r>
      <w:r w:rsidR="00B451BE">
        <w:rPr>
          <w:sz w:val="28"/>
        </w:rPr>
        <w:t xml:space="preserve">overall quality of the text in the </w:t>
      </w:r>
      <w:r>
        <w:rPr>
          <w:sz w:val="28"/>
        </w:rPr>
        <w:t xml:space="preserve">Bologna fragment </w:t>
      </w:r>
      <w:r w:rsidR="00B451BE">
        <w:rPr>
          <w:sz w:val="28"/>
        </w:rPr>
        <w:t xml:space="preserve">is not </w:t>
      </w:r>
      <w:r w:rsidR="00A41333">
        <w:rPr>
          <w:sz w:val="28"/>
        </w:rPr>
        <w:t>particularly good</w:t>
      </w:r>
      <w:r w:rsidR="00B451BE">
        <w:rPr>
          <w:sz w:val="28"/>
        </w:rPr>
        <w:t xml:space="preserve">. </w:t>
      </w:r>
      <w:r w:rsidR="008B49BF">
        <w:rPr>
          <w:sz w:val="28"/>
        </w:rPr>
        <w:t xml:space="preserve">Besides </w:t>
      </w:r>
      <w:r w:rsidR="00FB6F42">
        <w:rPr>
          <w:sz w:val="28"/>
        </w:rPr>
        <w:t xml:space="preserve">the </w:t>
      </w:r>
      <w:r w:rsidR="008B49BF">
        <w:rPr>
          <w:sz w:val="28"/>
        </w:rPr>
        <w:t xml:space="preserve">variant readings and typographical errors </w:t>
      </w:r>
      <w:r w:rsidR="00FB6F42">
        <w:rPr>
          <w:sz w:val="28"/>
        </w:rPr>
        <w:t>that are</w:t>
      </w:r>
      <w:r w:rsidR="008B49BF">
        <w:rPr>
          <w:sz w:val="28"/>
        </w:rPr>
        <w:t xml:space="preserve"> common in </w:t>
      </w:r>
      <w:r w:rsidR="006D63F2">
        <w:rPr>
          <w:sz w:val="28"/>
        </w:rPr>
        <w:t xml:space="preserve">most </w:t>
      </w:r>
      <w:r w:rsidR="008B49BF">
        <w:rPr>
          <w:sz w:val="28"/>
        </w:rPr>
        <w:t>manuscripts, t</w:t>
      </w:r>
      <w:r w:rsidR="00B451BE">
        <w:rPr>
          <w:sz w:val="28"/>
        </w:rPr>
        <w:t xml:space="preserve">he short text in the fragment </w:t>
      </w:r>
      <w:r w:rsidR="00FB6F42">
        <w:rPr>
          <w:sz w:val="28"/>
        </w:rPr>
        <w:t>contains</w:t>
      </w:r>
      <w:r w:rsidR="008B49BF">
        <w:rPr>
          <w:sz w:val="28"/>
        </w:rPr>
        <w:t xml:space="preserve"> </w:t>
      </w:r>
      <w:r w:rsidR="00B451BE">
        <w:rPr>
          <w:sz w:val="28"/>
        </w:rPr>
        <w:t xml:space="preserve">obvious scribal </w:t>
      </w:r>
      <w:r w:rsidR="00337D0E">
        <w:rPr>
          <w:sz w:val="28"/>
        </w:rPr>
        <w:t>mistakes</w:t>
      </w:r>
      <w:r w:rsidR="00B451BE">
        <w:rPr>
          <w:sz w:val="28"/>
        </w:rPr>
        <w:t xml:space="preserve"> </w:t>
      </w:r>
      <w:r w:rsidR="00026FCA">
        <w:rPr>
          <w:sz w:val="28"/>
        </w:rPr>
        <w:t xml:space="preserve">that </w:t>
      </w:r>
      <w:r w:rsidR="00337D0E">
        <w:rPr>
          <w:sz w:val="28"/>
        </w:rPr>
        <w:t xml:space="preserve">are not typographical errors and </w:t>
      </w:r>
      <w:r w:rsidR="00B451BE">
        <w:rPr>
          <w:sz w:val="28"/>
        </w:rPr>
        <w:t>do not occur in other manuscripts</w:t>
      </w:r>
      <w:r w:rsidR="00711763">
        <w:rPr>
          <w:sz w:val="28"/>
        </w:rPr>
        <w:t xml:space="preserve">. </w:t>
      </w:r>
      <w:r w:rsidR="000F019B">
        <w:rPr>
          <w:sz w:val="28"/>
        </w:rPr>
        <w:t>I</w:t>
      </w:r>
      <w:r w:rsidR="00711763">
        <w:rPr>
          <w:sz w:val="28"/>
        </w:rPr>
        <w:t>n two places</w:t>
      </w:r>
      <w:r w:rsidR="006D63F2">
        <w:rPr>
          <w:sz w:val="28"/>
        </w:rPr>
        <w:t>,</w:t>
      </w:r>
      <w:r w:rsidR="00711763">
        <w:rPr>
          <w:sz w:val="28"/>
        </w:rPr>
        <w:t xml:space="preserve"> the scribe wrote ‘</w:t>
      </w:r>
      <w:r w:rsidR="00711763">
        <w:rPr>
          <w:rFonts w:hint="cs"/>
          <w:sz w:val="28"/>
          <w:rtl/>
        </w:rPr>
        <w:t>מים שאין להן סוף</w:t>
      </w:r>
      <w:r w:rsidR="00711763">
        <w:rPr>
          <w:sz w:val="28"/>
        </w:rPr>
        <w:t xml:space="preserve">’ </w:t>
      </w:r>
      <w:r w:rsidR="00FB6F42">
        <w:rPr>
          <w:sz w:val="28"/>
        </w:rPr>
        <w:t xml:space="preserve">in places where </w:t>
      </w:r>
      <w:r w:rsidR="00711763">
        <w:rPr>
          <w:sz w:val="28"/>
        </w:rPr>
        <w:t>it is clear from the context that the text should read ‘</w:t>
      </w:r>
      <w:r w:rsidR="00711763">
        <w:rPr>
          <w:rFonts w:hint="cs"/>
          <w:sz w:val="28"/>
          <w:rtl/>
        </w:rPr>
        <w:t>מים שיש להן סוף</w:t>
      </w:r>
      <w:r w:rsidR="00FB6F42">
        <w:rPr>
          <w:sz w:val="28"/>
        </w:rPr>
        <w:t>.</w:t>
      </w:r>
      <w:r w:rsidR="00711763">
        <w:rPr>
          <w:sz w:val="28"/>
        </w:rPr>
        <w:t>’</w:t>
      </w:r>
      <w:r w:rsidR="00337D0E">
        <w:rPr>
          <w:rStyle w:val="FootnoteReference"/>
          <w:sz w:val="28"/>
        </w:rPr>
        <w:footnoteReference w:id="15"/>
      </w:r>
      <w:r w:rsidR="00337D0E">
        <w:rPr>
          <w:sz w:val="28"/>
        </w:rPr>
        <w:t xml:space="preserve"> </w:t>
      </w:r>
      <w:r w:rsidR="0002498C">
        <w:rPr>
          <w:sz w:val="28"/>
        </w:rPr>
        <w:t>In the first instance</w:t>
      </w:r>
      <w:r w:rsidR="009F7F65">
        <w:rPr>
          <w:sz w:val="28"/>
        </w:rPr>
        <w:t xml:space="preserve"> where this </w:t>
      </w:r>
      <w:r w:rsidR="003364EA">
        <w:rPr>
          <w:sz w:val="28"/>
        </w:rPr>
        <w:t>occurs</w:t>
      </w:r>
      <w:r w:rsidR="009F7F65">
        <w:rPr>
          <w:sz w:val="28"/>
        </w:rPr>
        <w:t>,</w:t>
      </w:r>
      <w:r w:rsidR="0002498C">
        <w:rPr>
          <w:sz w:val="28"/>
        </w:rPr>
        <w:t xml:space="preserve"> the error led</w:t>
      </w:r>
      <w:r w:rsidR="000F019B">
        <w:rPr>
          <w:sz w:val="28"/>
        </w:rPr>
        <w:t xml:space="preserve"> </w:t>
      </w:r>
      <w:r w:rsidR="0002498C">
        <w:rPr>
          <w:sz w:val="28"/>
        </w:rPr>
        <w:t xml:space="preserve">to another one, in which the scribe changed </w:t>
      </w:r>
      <w:r w:rsidR="00B35DE4">
        <w:rPr>
          <w:sz w:val="28"/>
        </w:rPr>
        <w:t xml:space="preserve">the wording </w:t>
      </w:r>
      <w:r w:rsidR="0002498C">
        <w:rPr>
          <w:sz w:val="28"/>
        </w:rPr>
        <w:t>‘</w:t>
      </w:r>
      <w:r w:rsidR="0002498C" w:rsidRPr="0002498C">
        <w:rPr>
          <w:rFonts w:hint="cs"/>
          <w:sz w:val="28"/>
          <w:u w:val="single"/>
          <w:rtl/>
        </w:rPr>
        <w:t>אבל ודאי</w:t>
      </w:r>
      <w:r w:rsidR="0002498C">
        <w:rPr>
          <w:rFonts w:hint="cs"/>
          <w:sz w:val="28"/>
          <w:rtl/>
        </w:rPr>
        <w:t xml:space="preserve"> מים שאין להן סוף</w:t>
      </w:r>
      <w:r w:rsidR="0002498C">
        <w:rPr>
          <w:sz w:val="28"/>
        </w:rPr>
        <w:t>’</w:t>
      </w:r>
      <w:r w:rsidR="0002498C">
        <w:rPr>
          <w:rFonts w:hint="cs"/>
          <w:sz w:val="28"/>
          <w:rtl/>
        </w:rPr>
        <w:t xml:space="preserve"> </w:t>
      </w:r>
      <w:r w:rsidR="0002498C">
        <w:rPr>
          <w:sz w:val="28"/>
        </w:rPr>
        <w:t>in the next line</w:t>
      </w:r>
      <w:r w:rsidR="00B35DE4">
        <w:rPr>
          <w:sz w:val="28"/>
        </w:rPr>
        <w:t>, which</w:t>
      </w:r>
      <w:r w:rsidR="009F7F65">
        <w:rPr>
          <w:sz w:val="28"/>
        </w:rPr>
        <w:t xml:space="preserve"> was meant to</w:t>
      </w:r>
      <w:r w:rsidR="00B35DE4">
        <w:rPr>
          <w:sz w:val="28"/>
        </w:rPr>
        <w:t xml:space="preserve"> </w:t>
      </w:r>
      <w:r w:rsidR="009F7F65">
        <w:rPr>
          <w:sz w:val="28"/>
        </w:rPr>
        <w:t xml:space="preserve">contrast with </w:t>
      </w:r>
      <w:r w:rsidR="00B35DE4">
        <w:rPr>
          <w:sz w:val="28"/>
        </w:rPr>
        <w:t>the previous case,</w:t>
      </w:r>
      <w:r w:rsidR="0002498C">
        <w:rPr>
          <w:sz w:val="28"/>
        </w:rPr>
        <w:t xml:space="preserve"> </w:t>
      </w:r>
      <w:r w:rsidR="009F7F65">
        <w:rPr>
          <w:sz w:val="28"/>
        </w:rPr>
        <w:t xml:space="preserve">to </w:t>
      </w:r>
      <w:r w:rsidR="0002498C">
        <w:rPr>
          <w:sz w:val="28"/>
        </w:rPr>
        <w:t>‘</w:t>
      </w:r>
      <w:r w:rsidR="0002498C" w:rsidRPr="0002498C">
        <w:rPr>
          <w:rFonts w:hint="cs"/>
          <w:sz w:val="28"/>
          <w:u w:val="single"/>
          <w:rtl/>
        </w:rPr>
        <w:t>מאי טע</w:t>
      </w:r>
      <w:r w:rsidR="0002498C">
        <w:rPr>
          <w:rFonts w:hint="cs"/>
          <w:sz w:val="28"/>
          <w:u w:val="single"/>
          <w:rtl/>
        </w:rPr>
        <w:t>'</w:t>
      </w:r>
      <w:r w:rsidR="0002498C" w:rsidRPr="0002498C">
        <w:rPr>
          <w:rFonts w:hint="cs"/>
          <w:sz w:val="28"/>
          <w:u w:val="single"/>
          <w:rtl/>
        </w:rPr>
        <w:t xml:space="preserve"> אמר</w:t>
      </w:r>
      <w:r w:rsidR="0002498C">
        <w:rPr>
          <w:rFonts w:hint="cs"/>
          <w:sz w:val="28"/>
          <w:u w:val="single"/>
          <w:rtl/>
        </w:rPr>
        <w:t>ינן</w:t>
      </w:r>
      <w:r w:rsidR="0002498C">
        <w:rPr>
          <w:rFonts w:hint="cs"/>
          <w:sz w:val="28"/>
          <w:rtl/>
        </w:rPr>
        <w:t xml:space="preserve"> מים שאין להן סוף</w:t>
      </w:r>
      <w:r w:rsidR="0002498C">
        <w:rPr>
          <w:sz w:val="28"/>
        </w:rPr>
        <w:t xml:space="preserve">’, so that </w:t>
      </w:r>
      <w:r w:rsidR="00B35DE4">
        <w:rPr>
          <w:sz w:val="28"/>
        </w:rPr>
        <w:t xml:space="preserve">it will </w:t>
      </w:r>
      <w:r w:rsidR="009F7F65">
        <w:rPr>
          <w:sz w:val="28"/>
        </w:rPr>
        <w:t xml:space="preserve">make sense with </w:t>
      </w:r>
      <w:r w:rsidR="00B35DE4">
        <w:rPr>
          <w:sz w:val="28"/>
        </w:rPr>
        <w:t xml:space="preserve">the erroneous wording </w:t>
      </w:r>
      <w:r w:rsidR="000F019B">
        <w:rPr>
          <w:sz w:val="28"/>
        </w:rPr>
        <w:t>at</w:t>
      </w:r>
      <w:r w:rsidR="00B35DE4">
        <w:rPr>
          <w:sz w:val="28"/>
        </w:rPr>
        <w:t xml:space="preserve"> the beginning of the sentence</w:t>
      </w:r>
      <w:r w:rsidR="0002498C">
        <w:rPr>
          <w:sz w:val="28"/>
        </w:rPr>
        <w:t xml:space="preserve">. </w:t>
      </w:r>
      <w:r w:rsidR="00337D0E">
        <w:rPr>
          <w:sz w:val="28"/>
        </w:rPr>
        <w:t>In another case</w:t>
      </w:r>
      <w:r w:rsidR="009F7F65">
        <w:rPr>
          <w:sz w:val="28"/>
        </w:rPr>
        <w:t>,</w:t>
      </w:r>
      <w:r w:rsidR="00337D0E">
        <w:rPr>
          <w:sz w:val="28"/>
        </w:rPr>
        <w:t xml:space="preserve"> </w:t>
      </w:r>
      <w:r w:rsidR="00656607" w:rsidRPr="00656607">
        <w:rPr>
          <w:i/>
          <w:iCs/>
          <w:sz w:val="28"/>
        </w:rPr>
        <w:t>HG</w:t>
      </w:r>
      <w:r w:rsidR="00337D0E">
        <w:rPr>
          <w:sz w:val="28"/>
        </w:rPr>
        <w:t xml:space="preserve"> </w:t>
      </w:r>
      <w:r w:rsidR="009F7F65">
        <w:rPr>
          <w:sz w:val="28"/>
        </w:rPr>
        <w:t>quotes</w:t>
      </w:r>
      <w:r w:rsidR="00337D0E">
        <w:rPr>
          <w:sz w:val="28"/>
        </w:rPr>
        <w:t xml:space="preserve"> </w:t>
      </w:r>
      <w:r w:rsidR="00337D0E" w:rsidRPr="00337D0E">
        <w:rPr>
          <w:i/>
          <w:iCs/>
          <w:sz w:val="28"/>
        </w:rPr>
        <w:t>Mishna</w:t>
      </w:r>
      <w:r w:rsidR="00337D0E">
        <w:rPr>
          <w:i/>
          <w:iCs/>
          <w:sz w:val="28"/>
        </w:rPr>
        <w:t>h</w:t>
      </w:r>
      <w:r w:rsidR="00337D0E" w:rsidRPr="00337D0E">
        <w:rPr>
          <w:i/>
          <w:iCs/>
          <w:sz w:val="28"/>
        </w:rPr>
        <w:t xml:space="preserve"> Ni</w:t>
      </w:r>
      <w:r w:rsidR="00337D0E">
        <w:rPr>
          <w:i/>
          <w:iCs/>
          <w:sz w:val="28"/>
        </w:rPr>
        <w:t>d</w:t>
      </w:r>
      <w:r w:rsidR="00337D0E" w:rsidRPr="00337D0E">
        <w:rPr>
          <w:i/>
          <w:iCs/>
          <w:sz w:val="28"/>
        </w:rPr>
        <w:t>da</w:t>
      </w:r>
      <w:r w:rsidR="00337D0E">
        <w:rPr>
          <w:i/>
          <w:iCs/>
          <w:sz w:val="28"/>
        </w:rPr>
        <w:t>h</w:t>
      </w:r>
      <w:r w:rsidR="00337D0E">
        <w:rPr>
          <w:sz w:val="28"/>
        </w:rPr>
        <w:t xml:space="preserve"> 6, 12 ‘</w:t>
      </w:r>
      <w:r w:rsidR="00337D0E">
        <w:rPr>
          <w:rFonts w:hint="cs"/>
          <w:sz w:val="28"/>
          <w:rtl/>
        </w:rPr>
        <w:t xml:space="preserve">שתי שערות האמורות </w:t>
      </w:r>
      <w:r w:rsidR="00337D0E" w:rsidRPr="00337D0E">
        <w:rPr>
          <w:rFonts w:hint="cs"/>
          <w:sz w:val="28"/>
          <w:u w:val="single"/>
          <w:rtl/>
        </w:rPr>
        <w:t>בפרה</w:t>
      </w:r>
      <w:r w:rsidR="00337D0E">
        <w:rPr>
          <w:rFonts w:hint="cs"/>
          <w:sz w:val="28"/>
          <w:rtl/>
        </w:rPr>
        <w:t xml:space="preserve"> ובנגעים</w:t>
      </w:r>
      <w:r w:rsidR="00337D0E">
        <w:rPr>
          <w:sz w:val="28"/>
        </w:rPr>
        <w:t xml:space="preserve">’, </w:t>
      </w:r>
      <w:r w:rsidR="008C014E">
        <w:rPr>
          <w:sz w:val="28"/>
        </w:rPr>
        <w:t>while the fragment reads: ‘</w:t>
      </w:r>
      <w:r w:rsidR="008C014E">
        <w:rPr>
          <w:rFonts w:hint="cs"/>
          <w:sz w:val="28"/>
          <w:rtl/>
        </w:rPr>
        <w:t xml:space="preserve">שתי שערות האמורות </w:t>
      </w:r>
      <w:r w:rsidR="008C014E" w:rsidRPr="00337D0E">
        <w:rPr>
          <w:rFonts w:hint="cs"/>
          <w:sz w:val="28"/>
          <w:u w:val="single"/>
          <w:rtl/>
        </w:rPr>
        <w:t>בפ</w:t>
      </w:r>
      <w:r w:rsidR="008C014E">
        <w:rPr>
          <w:rFonts w:hint="cs"/>
          <w:sz w:val="28"/>
          <w:u w:val="single"/>
          <w:rtl/>
        </w:rPr>
        <w:t>עוטות</w:t>
      </w:r>
      <w:r w:rsidR="008C014E">
        <w:rPr>
          <w:rFonts w:hint="cs"/>
          <w:sz w:val="28"/>
          <w:rtl/>
        </w:rPr>
        <w:t xml:space="preserve"> ובנגעים</w:t>
      </w:r>
      <w:r w:rsidR="008C014E">
        <w:rPr>
          <w:sz w:val="28"/>
        </w:rPr>
        <w:t>’, an erroneous reading that is not found elsewhere</w:t>
      </w:r>
      <w:r w:rsidR="00FB6F42">
        <w:rPr>
          <w:sz w:val="28"/>
        </w:rPr>
        <w:t>.</w:t>
      </w:r>
      <w:r w:rsidR="00B35DE4">
        <w:rPr>
          <w:rStyle w:val="FootnoteReference"/>
          <w:sz w:val="28"/>
        </w:rPr>
        <w:footnoteReference w:id="16"/>
      </w:r>
      <w:r w:rsidR="00BC5273">
        <w:rPr>
          <w:sz w:val="28"/>
        </w:rPr>
        <w:t xml:space="preserve"> </w:t>
      </w:r>
      <w:r w:rsidR="009F7F65">
        <w:rPr>
          <w:sz w:val="28"/>
        </w:rPr>
        <w:t>That being said, t</w:t>
      </w:r>
      <w:r w:rsidR="00BC5273">
        <w:rPr>
          <w:sz w:val="28"/>
        </w:rPr>
        <w:t xml:space="preserve">he fragment </w:t>
      </w:r>
      <w:r w:rsidR="009F7F65">
        <w:rPr>
          <w:sz w:val="28"/>
        </w:rPr>
        <w:t xml:space="preserve">also </w:t>
      </w:r>
      <w:r w:rsidR="00BC5273">
        <w:rPr>
          <w:sz w:val="28"/>
        </w:rPr>
        <w:t>preserves some original readings</w:t>
      </w:r>
      <w:r w:rsidR="00703261">
        <w:rPr>
          <w:sz w:val="28"/>
        </w:rPr>
        <w:t xml:space="preserve"> </w:t>
      </w:r>
      <w:r w:rsidR="00BC5273">
        <w:rPr>
          <w:sz w:val="28"/>
        </w:rPr>
        <w:t xml:space="preserve">which in other manuscripts are replaced with more common forms, </w:t>
      </w:r>
      <w:r w:rsidR="009F7F65">
        <w:rPr>
          <w:sz w:val="28"/>
        </w:rPr>
        <w:t xml:space="preserve">e.g., </w:t>
      </w:r>
      <w:r w:rsidR="00BC5273">
        <w:rPr>
          <w:sz w:val="28"/>
        </w:rPr>
        <w:t>the idiom ‘</w:t>
      </w:r>
      <w:r w:rsidR="00BC5273">
        <w:rPr>
          <w:rFonts w:hint="cs"/>
          <w:sz w:val="28"/>
          <w:rtl/>
        </w:rPr>
        <w:t>קטן פרח</w:t>
      </w:r>
      <w:r w:rsidR="00BC5273">
        <w:rPr>
          <w:sz w:val="28"/>
        </w:rPr>
        <w:t>’ in the fragment instead of ‘</w:t>
      </w:r>
      <w:r w:rsidR="00BC5273">
        <w:rPr>
          <w:rFonts w:hint="cs"/>
          <w:sz w:val="28"/>
          <w:rtl/>
        </w:rPr>
        <w:t>קטן פורח</w:t>
      </w:r>
      <w:r w:rsidR="00BC5273">
        <w:rPr>
          <w:sz w:val="28"/>
        </w:rPr>
        <w:t>’ found in other manuscripts</w:t>
      </w:r>
      <w:r w:rsidR="009F7F65">
        <w:rPr>
          <w:sz w:val="28"/>
        </w:rPr>
        <w:t>.</w:t>
      </w:r>
      <w:r w:rsidR="00BC5273">
        <w:rPr>
          <w:rStyle w:val="FootnoteReference"/>
          <w:sz w:val="28"/>
        </w:rPr>
        <w:footnoteReference w:id="17"/>
      </w:r>
      <w:r w:rsidR="009F7F65">
        <w:rPr>
          <w:sz w:val="28"/>
        </w:rPr>
        <w:t xml:space="preserve"> A</w:t>
      </w:r>
      <w:r w:rsidR="000D02A8">
        <w:rPr>
          <w:sz w:val="28"/>
        </w:rPr>
        <w:t xml:space="preserve"> more interesting question is the position of this fragment in the stemma of </w:t>
      </w:r>
      <w:r w:rsidR="00656607" w:rsidRPr="00656607">
        <w:rPr>
          <w:i/>
          <w:iCs/>
          <w:sz w:val="28"/>
        </w:rPr>
        <w:t>HG</w:t>
      </w:r>
      <w:r w:rsidR="000D02A8">
        <w:rPr>
          <w:sz w:val="28"/>
        </w:rPr>
        <w:t xml:space="preserve"> textual witnesses. </w:t>
      </w:r>
      <w:r w:rsidR="009F7F65">
        <w:rPr>
          <w:sz w:val="28"/>
        </w:rPr>
        <w:t>Elsewhere</w:t>
      </w:r>
      <w:r w:rsidR="000D02A8">
        <w:rPr>
          <w:sz w:val="28"/>
        </w:rPr>
        <w:t xml:space="preserve"> I </w:t>
      </w:r>
      <w:r w:rsidR="009F7F65">
        <w:rPr>
          <w:sz w:val="28"/>
        </w:rPr>
        <w:t xml:space="preserve">have shown </w:t>
      </w:r>
      <w:r w:rsidR="000D02A8">
        <w:rPr>
          <w:sz w:val="28"/>
        </w:rPr>
        <w:t xml:space="preserve">that the </w:t>
      </w:r>
      <w:r w:rsidR="00926C66">
        <w:rPr>
          <w:sz w:val="28"/>
        </w:rPr>
        <w:t xml:space="preserve">early </w:t>
      </w:r>
      <w:r w:rsidR="000D02A8">
        <w:rPr>
          <w:sz w:val="28"/>
        </w:rPr>
        <w:t xml:space="preserve">Italian </w:t>
      </w:r>
      <w:r w:rsidR="00926C66">
        <w:rPr>
          <w:sz w:val="28"/>
        </w:rPr>
        <w:t xml:space="preserve">fragments </w:t>
      </w:r>
      <w:r w:rsidR="009F7F65">
        <w:rPr>
          <w:sz w:val="28"/>
        </w:rPr>
        <w:t xml:space="preserve">of </w:t>
      </w:r>
      <w:r w:rsidR="00656607" w:rsidRPr="00656607">
        <w:rPr>
          <w:i/>
          <w:iCs/>
          <w:sz w:val="28"/>
        </w:rPr>
        <w:t>HG</w:t>
      </w:r>
      <w:r w:rsidR="009F7F65">
        <w:rPr>
          <w:sz w:val="28"/>
        </w:rPr>
        <w:t xml:space="preserve"> from </w:t>
      </w:r>
      <w:r w:rsidR="00926C66">
        <w:rPr>
          <w:sz w:val="28"/>
        </w:rPr>
        <w:t>the Genizah share a common textual tradition</w:t>
      </w:r>
      <w:r w:rsidR="000D02A8">
        <w:rPr>
          <w:sz w:val="28"/>
        </w:rPr>
        <w:t xml:space="preserve"> </w:t>
      </w:r>
      <w:r w:rsidR="00926C66">
        <w:rPr>
          <w:sz w:val="28"/>
        </w:rPr>
        <w:t xml:space="preserve">with the much later Milan manuscript, </w:t>
      </w:r>
      <w:r w:rsidR="009F7F65">
        <w:rPr>
          <w:sz w:val="28"/>
        </w:rPr>
        <w:t>containing</w:t>
      </w:r>
      <w:r w:rsidR="00926C66">
        <w:rPr>
          <w:sz w:val="28"/>
        </w:rPr>
        <w:t xml:space="preserve"> some unique variants which occur only in these manuscripts.</w:t>
      </w:r>
      <w:r w:rsidR="004D12F2">
        <w:rPr>
          <w:rStyle w:val="FootnoteReference"/>
          <w:sz w:val="28"/>
        </w:rPr>
        <w:footnoteReference w:id="18"/>
      </w:r>
      <w:r w:rsidR="00926C66">
        <w:rPr>
          <w:sz w:val="28"/>
        </w:rPr>
        <w:t xml:space="preserve"> Unfortunately</w:t>
      </w:r>
      <w:r w:rsidR="00D512EB">
        <w:rPr>
          <w:sz w:val="28"/>
        </w:rPr>
        <w:t>,</w:t>
      </w:r>
      <w:r w:rsidR="00926C66">
        <w:rPr>
          <w:sz w:val="28"/>
        </w:rPr>
        <w:t xml:space="preserve"> </w:t>
      </w:r>
      <w:del w:id="52" w:author="Author">
        <w:r w:rsidR="00926C66" w:rsidDel="00F6181C">
          <w:rPr>
            <w:sz w:val="28"/>
          </w:rPr>
          <w:delText xml:space="preserve">I cannot repeat </w:delText>
        </w:r>
        <w:r w:rsidR="00C739F5" w:rsidDel="00F6181C">
          <w:rPr>
            <w:sz w:val="28"/>
          </w:rPr>
          <w:delText>that</w:delText>
        </w:r>
      </w:del>
      <w:ins w:id="53" w:author="Author">
        <w:del w:id="54" w:author="Author">
          <w:r w:rsidR="00926C66" w:rsidDel="00F6181C">
            <w:rPr>
              <w:sz w:val="28"/>
            </w:rPr>
            <w:delText>the same</w:delText>
          </w:r>
        </w:del>
      </w:ins>
      <w:del w:id="55" w:author="Author">
        <w:r w:rsidR="00926C66" w:rsidDel="00F6181C">
          <w:rPr>
            <w:sz w:val="28"/>
          </w:rPr>
          <w:delText xml:space="preserve"> argument here</w:delText>
        </w:r>
        <w:r w:rsidR="00C739F5" w:rsidDel="00F6181C">
          <w:rPr>
            <w:sz w:val="28"/>
          </w:rPr>
          <w:delText xml:space="preserve">. </w:delText>
        </w:r>
      </w:del>
      <w:ins w:id="56" w:author="Author">
        <w:r w:rsidR="00F6181C">
          <w:rPr>
            <w:sz w:val="28"/>
          </w:rPr>
          <w:t xml:space="preserve">the </w:t>
        </w:r>
        <w:r w:rsidR="007F1261">
          <w:rPr>
            <w:sz w:val="28"/>
          </w:rPr>
          <w:t>short</w:t>
        </w:r>
      </w:ins>
      <w:del w:id="57" w:author="Author">
        <w:r w:rsidR="00C61237">
          <w:rPr>
            <w:sz w:val="28"/>
          </w:rPr>
          <w:delText>I</w:delText>
        </w:r>
      </w:del>
      <w:ins w:id="58" w:author="Author">
        <w:r w:rsidR="00D512EB">
          <w:rPr>
            <w:sz w:val="28"/>
          </w:rPr>
          <w:t xml:space="preserve"> </w:t>
        </w:r>
        <w:r w:rsidR="007F1261">
          <w:rPr>
            <w:sz w:val="28"/>
          </w:rPr>
          <w:t>Bologna fragment does not</w:t>
        </w:r>
        <w:r w:rsidR="00D1639D">
          <w:rPr>
            <w:sz w:val="28"/>
          </w:rPr>
          <w:t xml:space="preserve"> contain enough</w:t>
        </w:r>
        <w:r w:rsidR="007F1261">
          <w:rPr>
            <w:sz w:val="28"/>
          </w:rPr>
          <w:t xml:space="preserve"> </w:t>
        </w:r>
        <w:del w:id="59" w:author="Author">
          <w:r w:rsidR="007F1261" w:rsidDel="00D1639D">
            <w:rPr>
              <w:sz w:val="28"/>
            </w:rPr>
            <w:delText>contain any</w:delText>
          </w:r>
          <w:r w:rsidR="00DB6CCF" w:rsidDel="00D1639D">
            <w:rPr>
              <w:sz w:val="28"/>
            </w:rPr>
            <w:delText>enough common</w:delText>
          </w:r>
          <w:r w:rsidR="002647E8" w:rsidDel="00D1639D">
            <w:rPr>
              <w:sz w:val="28"/>
            </w:rPr>
            <w:delText xml:space="preserve"> significant and </w:delText>
          </w:r>
        </w:del>
        <w:r w:rsidR="002647E8">
          <w:rPr>
            <w:sz w:val="28"/>
          </w:rPr>
          <w:t>distinct</w:t>
        </w:r>
        <w:r w:rsidR="00D1639D">
          <w:rPr>
            <w:sz w:val="28"/>
          </w:rPr>
          <w:t>ly variant text in common with M</w:t>
        </w:r>
        <w:del w:id="60" w:author="Author">
          <w:r w:rsidR="007F1261" w:rsidDel="00D1639D">
            <w:rPr>
              <w:sz w:val="28"/>
            </w:rPr>
            <w:delText xml:space="preserve"> </w:delText>
          </w:r>
          <w:r w:rsidR="001D577E" w:rsidDel="00D1639D">
            <w:rPr>
              <w:sz w:val="28"/>
            </w:rPr>
            <w:delText>text</w:delText>
          </w:r>
        </w:del>
        <w:r w:rsidR="002647E8">
          <w:rPr>
            <w:sz w:val="28"/>
          </w:rPr>
          <w:t xml:space="preserve"> </w:t>
        </w:r>
        <w:del w:id="61" w:author="Author">
          <w:r w:rsidR="002647E8" w:rsidDel="00DB6CCF">
            <w:rPr>
              <w:sz w:val="28"/>
            </w:rPr>
            <w:delText>that would</w:delText>
          </w:r>
        </w:del>
        <w:r w:rsidR="00DB6CCF">
          <w:rPr>
            <w:sz w:val="28"/>
          </w:rPr>
          <w:t>to</w:t>
        </w:r>
        <w:r w:rsidR="002647E8">
          <w:rPr>
            <w:sz w:val="28"/>
          </w:rPr>
          <w:t xml:space="preserve"> </w:t>
        </w:r>
        <w:del w:id="62" w:author="Author">
          <w:r w:rsidR="002647E8" w:rsidDel="0043678C">
            <w:rPr>
              <w:sz w:val="28"/>
            </w:rPr>
            <w:delText>associate</w:delText>
          </w:r>
        </w:del>
        <w:r w:rsidR="0043678C">
          <w:rPr>
            <w:sz w:val="28"/>
          </w:rPr>
          <w:t xml:space="preserve">establish its </w:t>
        </w:r>
        <w:r w:rsidR="00D1639D">
          <w:rPr>
            <w:sz w:val="28"/>
          </w:rPr>
          <w:t>provenance as part of the</w:t>
        </w:r>
        <w:del w:id="63" w:author="Author">
          <w:r w:rsidR="002647E8" w:rsidDel="00D1639D">
            <w:rPr>
              <w:sz w:val="28"/>
            </w:rPr>
            <w:delText xml:space="preserve"> it with </w:delText>
          </w:r>
          <w:r w:rsidR="00DB6CCF" w:rsidDel="00D1639D">
            <w:rPr>
              <w:sz w:val="28"/>
            </w:rPr>
            <w:delText>the</w:delText>
          </w:r>
        </w:del>
        <w:r w:rsidR="00DB6CCF">
          <w:rPr>
            <w:sz w:val="28"/>
          </w:rPr>
          <w:t xml:space="preserve"> Italian tradition </w:t>
        </w:r>
        <w:del w:id="64" w:author="Author">
          <w:r w:rsidR="00DB6CCF" w:rsidDel="00D1639D">
            <w:rPr>
              <w:sz w:val="28"/>
            </w:rPr>
            <w:delText>of</w:delText>
          </w:r>
        </w:del>
        <w:r w:rsidR="00D1639D">
          <w:rPr>
            <w:sz w:val="28"/>
          </w:rPr>
          <w:t>associated with</w:t>
        </w:r>
        <w:r w:rsidR="00DB6CCF">
          <w:rPr>
            <w:sz w:val="28"/>
          </w:rPr>
          <w:t xml:space="preserve"> M. However</w:t>
        </w:r>
        <w:r w:rsidR="00964D55">
          <w:rPr>
            <w:sz w:val="28"/>
          </w:rPr>
          <w:t>, there is one piece of clear</w:t>
        </w:r>
        <w:del w:id="65" w:author="Author">
          <w:r w:rsidR="00DB6CCF" w:rsidDel="00964D55">
            <w:rPr>
              <w:sz w:val="28"/>
            </w:rPr>
            <w:delText xml:space="preserve"> </w:delText>
          </w:r>
          <w:r w:rsidR="001D577E" w:rsidDel="00964D55">
            <w:rPr>
              <w:sz w:val="28"/>
            </w:rPr>
            <w:delText>ual</w:delText>
          </w:r>
        </w:del>
        <w:r w:rsidR="001D577E">
          <w:rPr>
            <w:sz w:val="28"/>
          </w:rPr>
          <w:t xml:space="preserve"> evidence </w:t>
        </w:r>
        <w:del w:id="66" w:author="Author">
          <w:r w:rsidR="00964D55" w:rsidDel="00992738">
            <w:rPr>
              <w:sz w:val="28"/>
            </w:rPr>
            <w:delText xml:space="preserve">for </w:delText>
          </w:r>
        </w:del>
        <w:r w:rsidR="001D577E">
          <w:rPr>
            <w:sz w:val="28"/>
          </w:rPr>
          <w:t>that</w:t>
        </w:r>
        <w:r w:rsidR="00992738">
          <w:rPr>
            <w:sz w:val="28"/>
          </w:rPr>
          <w:t xml:space="preserve"> connects this fragment</w:t>
        </w:r>
        <w:del w:id="67" w:author="Author">
          <w:r w:rsidR="00992738" w:rsidDel="00BC716E">
            <w:rPr>
              <w:sz w:val="28"/>
            </w:rPr>
            <w:delText>s</w:delText>
          </w:r>
        </w:del>
        <w:r w:rsidR="00992738">
          <w:rPr>
            <w:sz w:val="28"/>
          </w:rPr>
          <w:t xml:space="preserve"> with </w:t>
        </w:r>
        <w:r w:rsidR="004D0C87">
          <w:rPr>
            <w:sz w:val="28"/>
          </w:rPr>
          <w:t xml:space="preserve">the B-M recension.  </w:t>
        </w:r>
        <w:del w:id="68" w:author="Author">
          <w:r w:rsidR="004D0C87" w:rsidDel="00BC716E">
            <w:rPr>
              <w:sz w:val="28"/>
            </w:rPr>
            <w:delText>that is also present</w:delText>
          </w:r>
          <w:r w:rsidR="001D577E" w:rsidDel="00BC716E">
            <w:rPr>
              <w:sz w:val="28"/>
            </w:rPr>
            <w:delText xml:space="preserve"> it is part of this </w:delText>
          </w:r>
          <w:r w:rsidR="002647E8" w:rsidDel="00BC716E">
            <w:rPr>
              <w:sz w:val="28"/>
            </w:rPr>
            <w:delText>Italian tradition</w:delText>
          </w:r>
          <w:r w:rsidR="00D512EB" w:rsidDel="00BC716E">
            <w:rPr>
              <w:sz w:val="28"/>
            </w:rPr>
            <w:delText>and</w:delText>
          </w:r>
        </w:del>
      </w:ins>
      <w:del w:id="69" w:author="Author">
        <w:r w:rsidR="00D512EB" w:rsidDel="00BC716E">
          <w:rPr>
            <w:sz w:val="28"/>
          </w:rPr>
          <w:delText xml:space="preserve"> present </w:delText>
        </w:r>
        <w:r w:rsidR="00BA69FA" w:rsidDel="00BC716E">
          <w:rPr>
            <w:sz w:val="28"/>
          </w:rPr>
          <w:delText xml:space="preserve">here </w:delText>
        </w:r>
        <w:r w:rsidR="00D512EB" w:rsidDel="00BC716E">
          <w:rPr>
            <w:sz w:val="28"/>
          </w:rPr>
          <w:delText>a variant which is shared by M and the Bologna fragment only</w:delText>
        </w:r>
        <w:r w:rsidR="00926C66" w:rsidDel="00BC716E">
          <w:rPr>
            <w:sz w:val="28"/>
          </w:rPr>
          <w:delText xml:space="preserve">, as the short text in </w:delText>
        </w:r>
        <w:r w:rsidR="00232746" w:rsidDel="00BC716E">
          <w:rPr>
            <w:sz w:val="28"/>
          </w:rPr>
          <w:delText>concern</w:delText>
        </w:r>
        <w:r w:rsidR="00926C66" w:rsidDel="00BC716E">
          <w:rPr>
            <w:sz w:val="28"/>
          </w:rPr>
          <w:delText xml:space="preserve"> does not </w:delText>
        </w:r>
        <w:r w:rsidR="00232746" w:rsidDel="00BC716E">
          <w:rPr>
            <w:sz w:val="28"/>
          </w:rPr>
          <w:delText xml:space="preserve">present </w:delText>
        </w:r>
        <w:r w:rsidR="00D512EB" w:rsidDel="00BC716E">
          <w:rPr>
            <w:sz w:val="28"/>
          </w:rPr>
          <w:delText>an example in which M has a significant and distinct reading from all other witnesses, including B. Still, th</w:delText>
        </w:r>
        <w:r w:rsidR="00FC61F6" w:rsidDel="00BC716E">
          <w:rPr>
            <w:sz w:val="28"/>
          </w:rPr>
          <w:delText>is is a clear piece of evidence that the</w:delText>
        </w:r>
        <w:r w:rsidR="00D512EB" w:rsidDel="00BC716E">
          <w:rPr>
            <w:sz w:val="28"/>
          </w:rPr>
          <w:delText xml:space="preserve"> </w:delText>
        </w:r>
        <w:r w:rsidR="00FC61F6" w:rsidDel="00BC716E">
          <w:rPr>
            <w:sz w:val="28"/>
          </w:rPr>
          <w:delText>Bologna</w:delText>
        </w:r>
      </w:del>
      <w:ins w:id="70" w:author="Author">
        <w:del w:id="71" w:author="Author">
          <w:r w:rsidR="00D512EB" w:rsidDel="00BC716E">
            <w:rPr>
              <w:sz w:val="28"/>
            </w:rPr>
            <w:delText>the</w:delText>
          </w:r>
        </w:del>
      </w:ins>
      <w:del w:id="72" w:author="Author">
        <w:r w:rsidR="00D512EB" w:rsidDel="00BC716E">
          <w:rPr>
            <w:sz w:val="28"/>
          </w:rPr>
          <w:delText xml:space="preserve"> fragment can be attributed to the B-M recension</w:delText>
        </w:r>
      </w:del>
      <w:ins w:id="73" w:author="Author">
        <w:del w:id="74" w:author="Author">
          <w:r w:rsidR="00753518" w:rsidDel="00BC716E">
            <w:rPr>
              <w:sz w:val="28"/>
            </w:rPr>
            <w:delText xml:space="preserve"> </w:delText>
          </w:r>
          <w:r w:rsidR="00293B3D" w:rsidDel="00BC716E">
            <w:rPr>
              <w:sz w:val="28"/>
            </w:rPr>
            <w:delText>by one clear evidence</w:delText>
          </w:r>
        </w:del>
      </w:ins>
      <w:del w:id="75" w:author="Author">
        <w:r w:rsidR="00293B3D" w:rsidDel="00BC716E">
          <w:rPr>
            <w:sz w:val="28"/>
          </w:rPr>
          <w:delText xml:space="preserve">. </w:delText>
        </w:r>
      </w:del>
    </w:p>
    <w:p w14:paraId="76BA838C" w14:textId="69ABD9AE" w:rsidR="00916CEE" w:rsidRDefault="00293B3D" w:rsidP="0063582F">
      <w:pPr>
        <w:bidi w:val="0"/>
        <w:spacing w:line="360" w:lineRule="auto"/>
        <w:ind w:left="-426" w:firstLine="426"/>
        <w:jc w:val="both"/>
        <w:rPr>
          <w:sz w:val="28"/>
        </w:rPr>
      </w:pPr>
      <w:r>
        <w:rPr>
          <w:sz w:val="28"/>
        </w:rPr>
        <w:lastRenderedPageBreak/>
        <w:t>The dictum</w:t>
      </w:r>
      <w:r w:rsidR="00C739F5">
        <w:rPr>
          <w:sz w:val="28"/>
        </w:rPr>
        <w:t xml:space="preserve"> and subsequent comment</w:t>
      </w:r>
      <w:r w:rsidR="00753518">
        <w:rPr>
          <w:sz w:val="28"/>
        </w:rPr>
        <w:t xml:space="preserve"> “</w:t>
      </w:r>
      <w:r w:rsidR="00753518">
        <w:rPr>
          <w:rFonts w:hint="cs"/>
          <w:sz w:val="28"/>
          <w:rtl/>
        </w:rPr>
        <w:t>תנו רבנן</w:t>
      </w:r>
      <w:r w:rsidR="00204C6E">
        <w:rPr>
          <w:rFonts w:hint="cs"/>
          <w:sz w:val="28"/>
          <w:rtl/>
        </w:rPr>
        <w:t xml:space="preserve"> פדחת בלא פרצוף פנים ופרצוף פנים בלא פדחת אין מעידין עליו עד שיהו שניהן עם החוטם. אמר אביי ואיתימא רב כהנא מאי קראה הכרת פניהם ענתה בם</w:t>
      </w:r>
      <w:r w:rsidR="00753518">
        <w:rPr>
          <w:sz w:val="28"/>
        </w:rPr>
        <w:t>”</w:t>
      </w:r>
      <w:r w:rsidR="00204C6E">
        <w:rPr>
          <w:sz w:val="28"/>
        </w:rPr>
        <w:t xml:space="preserve"> </w:t>
      </w:r>
      <w:r w:rsidR="00B66A85">
        <w:rPr>
          <w:sz w:val="28"/>
        </w:rPr>
        <w:t>(Hild. ed. p. 98 l. 83</w:t>
      </w:r>
      <w:r w:rsidR="00A91AB5">
        <w:rPr>
          <w:sz w:val="28"/>
        </w:rPr>
        <w:t>-86) appear in the fragment (p</w:t>
      </w:r>
      <w:r w:rsidR="00B66A85">
        <w:rPr>
          <w:sz w:val="28"/>
        </w:rPr>
        <w:t>. 1 l. 6-8) in the same place</w:t>
      </w:r>
      <w:r w:rsidR="006A707D">
        <w:rPr>
          <w:sz w:val="28"/>
        </w:rPr>
        <w:t xml:space="preserve"> that </w:t>
      </w:r>
      <w:r w:rsidR="00026FCA">
        <w:rPr>
          <w:sz w:val="28"/>
        </w:rPr>
        <w:t>they</w:t>
      </w:r>
      <w:r w:rsidR="00B66A85">
        <w:rPr>
          <w:sz w:val="28"/>
        </w:rPr>
        <w:t xml:space="preserve"> appear </w:t>
      </w:r>
      <w:r w:rsidR="006A707D">
        <w:rPr>
          <w:sz w:val="28"/>
        </w:rPr>
        <w:t xml:space="preserve">in </w:t>
      </w:r>
      <w:r w:rsidR="005524F2">
        <w:rPr>
          <w:sz w:val="28"/>
        </w:rPr>
        <w:t>the B-M recension,</w:t>
      </w:r>
      <w:r w:rsidR="0071164A">
        <w:rPr>
          <w:rStyle w:val="FootnoteReference"/>
          <w:sz w:val="28"/>
        </w:rPr>
        <w:footnoteReference w:id="19"/>
      </w:r>
      <w:r w:rsidR="005524F2">
        <w:rPr>
          <w:sz w:val="28"/>
        </w:rPr>
        <w:t xml:space="preserve"> while in V and </w:t>
      </w:r>
      <w:r w:rsidR="00B66A85">
        <w:rPr>
          <w:sz w:val="28"/>
        </w:rPr>
        <w:t xml:space="preserve">R </w:t>
      </w:r>
      <w:r w:rsidR="00026FCA">
        <w:rPr>
          <w:sz w:val="28"/>
        </w:rPr>
        <w:t xml:space="preserve">they </w:t>
      </w:r>
      <w:r w:rsidR="00B66A85">
        <w:rPr>
          <w:sz w:val="28"/>
        </w:rPr>
        <w:t xml:space="preserve">appear </w:t>
      </w:r>
      <w:r w:rsidR="003F5A20">
        <w:rPr>
          <w:sz w:val="28"/>
        </w:rPr>
        <w:t>later</w:t>
      </w:r>
      <w:r w:rsidR="00B66A85">
        <w:rPr>
          <w:sz w:val="28"/>
        </w:rPr>
        <w:t>, after “</w:t>
      </w:r>
      <w:r w:rsidR="00B66A85">
        <w:rPr>
          <w:rFonts w:hint="cs"/>
          <w:sz w:val="28"/>
          <w:rtl/>
        </w:rPr>
        <w:t xml:space="preserve">שנים אומרים </w:t>
      </w:r>
      <w:r w:rsidR="003F5A20">
        <w:rPr>
          <w:rFonts w:hint="cs"/>
          <w:sz w:val="28"/>
          <w:rtl/>
        </w:rPr>
        <w:t>מת ואחד אומר לא מת אף על פי שלא נישאת תינשא</w:t>
      </w:r>
      <w:r w:rsidR="00B66A85">
        <w:rPr>
          <w:sz w:val="28"/>
        </w:rPr>
        <w:t>” (Hild. ed. p. 98 l. 99)</w:t>
      </w:r>
      <w:r w:rsidR="003F5A20">
        <w:rPr>
          <w:sz w:val="28"/>
        </w:rPr>
        <w:t>. Th</w:t>
      </w:r>
      <w:r>
        <w:rPr>
          <w:sz w:val="28"/>
        </w:rPr>
        <w:t xml:space="preserve">e different </w:t>
      </w:r>
      <w:r w:rsidR="006A707D">
        <w:rPr>
          <w:sz w:val="28"/>
        </w:rPr>
        <w:t xml:space="preserve">position </w:t>
      </w:r>
      <w:r>
        <w:rPr>
          <w:sz w:val="28"/>
        </w:rPr>
        <w:t>of the</w:t>
      </w:r>
      <w:r w:rsidR="006A707D">
        <w:rPr>
          <w:sz w:val="28"/>
        </w:rPr>
        <w:t>se</w:t>
      </w:r>
      <w:r>
        <w:rPr>
          <w:sz w:val="28"/>
        </w:rPr>
        <w:t xml:space="preserve"> </w:t>
      </w:r>
      <w:r w:rsidR="006A707D">
        <w:rPr>
          <w:sz w:val="28"/>
        </w:rPr>
        <w:t xml:space="preserve">phrases </w:t>
      </w:r>
      <w:r w:rsidR="003F5A20">
        <w:rPr>
          <w:sz w:val="28"/>
        </w:rPr>
        <w:t>in the text is caused by the fact th</w:t>
      </w:r>
      <w:r>
        <w:rPr>
          <w:sz w:val="28"/>
        </w:rPr>
        <w:t xml:space="preserve">at </w:t>
      </w:r>
      <w:r w:rsidR="006A707D">
        <w:rPr>
          <w:sz w:val="28"/>
        </w:rPr>
        <w:t>they were</w:t>
      </w:r>
      <w:r w:rsidR="00916CEE">
        <w:rPr>
          <w:sz w:val="28"/>
        </w:rPr>
        <w:t xml:space="preserve"> not in the original text of </w:t>
      </w:r>
      <w:r w:rsidR="00656607" w:rsidRPr="00656607">
        <w:rPr>
          <w:i/>
          <w:iCs/>
          <w:sz w:val="28"/>
        </w:rPr>
        <w:t>HG</w:t>
      </w:r>
      <w:r w:rsidR="00916CEE">
        <w:rPr>
          <w:sz w:val="28"/>
        </w:rPr>
        <w:t xml:space="preserve"> </w:t>
      </w:r>
      <w:r w:rsidR="006A707D">
        <w:rPr>
          <w:sz w:val="28"/>
        </w:rPr>
        <w:t>in this context</w:t>
      </w:r>
      <w:del w:id="76" w:author="Author">
        <w:r w:rsidR="00916CEE" w:rsidDel="007B6841">
          <w:rPr>
            <w:sz w:val="28"/>
          </w:rPr>
          <w:delText>,</w:delText>
        </w:r>
      </w:del>
      <w:r w:rsidR="00916CEE">
        <w:rPr>
          <w:sz w:val="28"/>
        </w:rPr>
        <w:t xml:space="preserve"> and </w:t>
      </w:r>
      <w:r w:rsidR="006A707D">
        <w:rPr>
          <w:sz w:val="28"/>
        </w:rPr>
        <w:t>were</w:t>
      </w:r>
      <w:r w:rsidR="00916CEE">
        <w:rPr>
          <w:sz w:val="28"/>
        </w:rPr>
        <w:t xml:space="preserve"> transferred to this chapter from an </w:t>
      </w:r>
      <w:r w:rsidR="001E38C4">
        <w:rPr>
          <w:sz w:val="28"/>
        </w:rPr>
        <w:t xml:space="preserve">early </w:t>
      </w:r>
      <w:r w:rsidR="00916CEE">
        <w:rPr>
          <w:sz w:val="28"/>
        </w:rPr>
        <w:t>addenda section</w:t>
      </w:r>
      <w:r>
        <w:rPr>
          <w:sz w:val="28"/>
        </w:rPr>
        <w:t xml:space="preserve"> originally </w:t>
      </w:r>
      <w:r w:rsidR="006A707D">
        <w:rPr>
          <w:sz w:val="28"/>
        </w:rPr>
        <w:t xml:space="preserve">located </w:t>
      </w:r>
      <w:r>
        <w:rPr>
          <w:sz w:val="28"/>
        </w:rPr>
        <w:t xml:space="preserve">in the last part of </w:t>
      </w:r>
      <w:r w:rsidR="00656607" w:rsidRPr="00656607">
        <w:rPr>
          <w:i/>
          <w:iCs/>
          <w:sz w:val="28"/>
        </w:rPr>
        <w:t>HG</w:t>
      </w:r>
      <w:r>
        <w:rPr>
          <w:sz w:val="28"/>
        </w:rPr>
        <w:t>,</w:t>
      </w:r>
      <w:r w:rsidR="00916CEE">
        <w:rPr>
          <w:sz w:val="28"/>
        </w:rPr>
        <w:t xml:space="preserve"> very far from this chapter.</w:t>
      </w:r>
      <w:r w:rsidR="004D12F2">
        <w:rPr>
          <w:rStyle w:val="FootnoteReference"/>
          <w:sz w:val="28"/>
        </w:rPr>
        <w:footnoteReference w:id="20"/>
      </w:r>
      <w:r w:rsidR="00916CEE">
        <w:rPr>
          <w:sz w:val="28"/>
        </w:rPr>
        <w:t xml:space="preserve"> Most probably, </w:t>
      </w:r>
      <w:r>
        <w:rPr>
          <w:sz w:val="28"/>
        </w:rPr>
        <w:t>the</w:t>
      </w:r>
      <w:r w:rsidR="006A707D">
        <w:rPr>
          <w:sz w:val="28"/>
        </w:rPr>
        <w:t>se</w:t>
      </w:r>
      <w:r>
        <w:rPr>
          <w:sz w:val="28"/>
        </w:rPr>
        <w:t xml:space="preserve"> </w:t>
      </w:r>
      <w:r w:rsidR="006A707D">
        <w:rPr>
          <w:sz w:val="28"/>
        </w:rPr>
        <w:t>phrases</w:t>
      </w:r>
      <w:r>
        <w:rPr>
          <w:sz w:val="28"/>
        </w:rPr>
        <w:t xml:space="preserve"> </w:t>
      </w:r>
      <w:r w:rsidR="006A707D">
        <w:rPr>
          <w:sz w:val="28"/>
        </w:rPr>
        <w:t xml:space="preserve">were </w:t>
      </w:r>
      <w:r>
        <w:rPr>
          <w:sz w:val="28"/>
        </w:rPr>
        <w:t xml:space="preserve">copied </w:t>
      </w:r>
      <w:r w:rsidR="006D63F2">
        <w:rPr>
          <w:sz w:val="28"/>
        </w:rPr>
        <w:t xml:space="preserve">from </w:t>
      </w:r>
      <w:r w:rsidR="006A707D">
        <w:rPr>
          <w:sz w:val="28"/>
        </w:rPr>
        <w:t xml:space="preserve">their </w:t>
      </w:r>
      <w:r w:rsidR="006D63F2">
        <w:rPr>
          <w:sz w:val="28"/>
        </w:rPr>
        <w:t>original place in the addenda at the end of the book to</w:t>
      </w:r>
      <w:r>
        <w:rPr>
          <w:sz w:val="28"/>
        </w:rPr>
        <w:t xml:space="preserve"> the margins of </w:t>
      </w:r>
      <w:r w:rsidR="006D63F2">
        <w:rPr>
          <w:sz w:val="28"/>
        </w:rPr>
        <w:t xml:space="preserve">this chapter in </w:t>
      </w:r>
      <w:r>
        <w:rPr>
          <w:sz w:val="28"/>
        </w:rPr>
        <w:t>one of the earliest manuscripts of the book</w:t>
      </w:r>
      <w:r w:rsidR="006D63F2">
        <w:rPr>
          <w:sz w:val="28"/>
        </w:rPr>
        <w:t>.</w:t>
      </w:r>
      <w:r>
        <w:rPr>
          <w:sz w:val="28"/>
        </w:rPr>
        <w:t xml:space="preserve"> </w:t>
      </w:r>
      <w:r w:rsidR="006D63F2">
        <w:rPr>
          <w:sz w:val="28"/>
        </w:rPr>
        <w:t>T</w:t>
      </w:r>
      <w:r w:rsidR="00916CEE">
        <w:rPr>
          <w:sz w:val="28"/>
        </w:rPr>
        <w:t xml:space="preserve">he different </w:t>
      </w:r>
      <w:r w:rsidR="006A707D">
        <w:rPr>
          <w:sz w:val="28"/>
        </w:rPr>
        <w:t xml:space="preserve">locations </w:t>
      </w:r>
      <w:r>
        <w:rPr>
          <w:sz w:val="28"/>
        </w:rPr>
        <w:t>of the</w:t>
      </w:r>
      <w:r w:rsidR="006A707D">
        <w:rPr>
          <w:sz w:val="28"/>
        </w:rPr>
        <w:t>se</w:t>
      </w:r>
      <w:r>
        <w:rPr>
          <w:sz w:val="28"/>
        </w:rPr>
        <w:t xml:space="preserve"> </w:t>
      </w:r>
      <w:r w:rsidR="006A707D">
        <w:rPr>
          <w:sz w:val="28"/>
        </w:rPr>
        <w:t xml:space="preserve">phrases </w:t>
      </w:r>
      <w:r w:rsidR="006D63F2">
        <w:rPr>
          <w:sz w:val="28"/>
        </w:rPr>
        <w:t xml:space="preserve">in this chapter as </w:t>
      </w:r>
      <w:r w:rsidR="006A707D">
        <w:rPr>
          <w:sz w:val="28"/>
        </w:rPr>
        <w:t xml:space="preserve">they appear </w:t>
      </w:r>
      <w:r>
        <w:rPr>
          <w:sz w:val="28"/>
        </w:rPr>
        <w:t xml:space="preserve">in the two </w:t>
      </w:r>
      <w:r w:rsidR="00916CEE">
        <w:rPr>
          <w:sz w:val="28"/>
        </w:rPr>
        <w:t xml:space="preserve">versions of </w:t>
      </w:r>
      <w:r w:rsidR="00656607" w:rsidRPr="00656607">
        <w:rPr>
          <w:i/>
          <w:iCs/>
          <w:sz w:val="28"/>
        </w:rPr>
        <w:t>HG</w:t>
      </w:r>
      <w:r>
        <w:rPr>
          <w:sz w:val="28"/>
        </w:rPr>
        <w:t xml:space="preserve"> reflect different interpretations </w:t>
      </w:r>
      <w:r w:rsidR="00FC61F6">
        <w:rPr>
          <w:sz w:val="28"/>
        </w:rPr>
        <w:t>with regard to</w:t>
      </w:r>
      <w:r>
        <w:rPr>
          <w:sz w:val="28"/>
        </w:rPr>
        <w:t xml:space="preserve"> </w:t>
      </w:r>
      <w:r w:rsidR="001E38C4">
        <w:rPr>
          <w:sz w:val="28"/>
        </w:rPr>
        <w:t>the exact place where</w:t>
      </w:r>
      <w:r>
        <w:rPr>
          <w:sz w:val="28"/>
        </w:rPr>
        <w:t xml:space="preserve"> this </w:t>
      </w:r>
      <w:r w:rsidR="006A707D">
        <w:rPr>
          <w:sz w:val="28"/>
        </w:rPr>
        <w:t xml:space="preserve">marginal note </w:t>
      </w:r>
      <w:r>
        <w:rPr>
          <w:sz w:val="28"/>
        </w:rPr>
        <w:t>should be inserted.</w:t>
      </w:r>
      <w:r w:rsidR="00CA636E">
        <w:rPr>
          <w:sz w:val="28"/>
        </w:rPr>
        <w:t xml:space="preserve"> </w:t>
      </w:r>
      <w:r w:rsidR="005524F2">
        <w:rPr>
          <w:sz w:val="28"/>
        </w:rPr>
        <w:t xml:space="preserve">The agreement of the </w:t>
      </w:r>
      <w:r w:rsidR="006A707D">
        <w:rPr>
          <w:sz w:val="28"/>
        </w:rPr>
        <w:t xml:space="preserve">Bologna </w:t>
      </w:r>
      <w:r w:rsidR="005524F2">
        <w:rPr>
          <w:sz w:val="28"/>
        </w:rPr>
        <w:t>fragment with B-M here</w:t>
      </w:r>
      <w:r w:rsidR="00FC61F6">
        <w:rPr>
          <w:sz w:val="28"/>
        </w:rPr>
        <w:t>,</w:t>
      </w:r>
      <w:r w:rsidR="005524F2">
        <w:rPr>
          <w:sz w:val="28"/>
        </w:rPr>
        <w:t xml:space="preserve"> </w:t>
      </w:r>
      <w:r w:rsidR="006A707D">
        <w:rPr>
          <w:sz w:val="28"/>
        </w:rPr>
        <w:t xml:space="preserve">in contrast to </w:t>
      </w:r>
      <w:r w:rsidR="005524F2">
        <w:rPr>
          <w:sz w:val="28"/>
        </w:rPr>
        <w:t>V and R</w:t>
      </w:r>
      <w:r w:rsidR="00FC61F6">
        <w:rPr>
          <w:sz w:val="28"/>
        </w:rPr>
        <w:t>,</w:t>
      </w:r>
      <w:r w:rsidR="005524F2">
        <w:rPr>
          <w:sz w:val="28"/>
        </w:rPr>
        <w:t xml:space="preserve"> clearly </w:t>
      </w:r>
      <w:r w:rsidR="00026FCA">
        <w:rPr>
          <w:sz w:val="28"/>
        </w:rPr>
        <w:t xml:space="preserve">places </w:t>
      </w:r>
      <w:r w:rsidR="005524F2">
        <w:rPr>
          <w:sz w:val="28"/>
        </w:rPr>
        <w:t xml:space="preserve">the fragment </w:t>
      </w:r>
      <w:r w:rsidR="006A707D">
        <w:rPr>
          <w:sz w:val="28"/>
        </w:rPr>
        <w:t>with</w:t>
      </w:r>
      <w:r w:rsidR="005524F2">
        <w:rPr>
          <w:sz w:val="28"/>
        </w:rPr>
        <w:t xml:space="preserve">in the textual tradition of the B-M recension. </w:t>
      </w:r>
    </w:p>
    <w:p w14:paraId="506392FF" w14:textId="6084472F" w:rsidR="00F5684D" w:rsidRDefault="00293B3D" w:rsidP="0063582F">
      <w:pPr>
        <w:bidi w:val="0"/>
        <w:spacing w:line="360" w:lineRule="auto"/>
        <w:ind w:left="-426" w:firstLine="426"/>
        <w:jc w:val="both"/>
        <w:rPr>
          <w:sz w:val="28"/>
        </w:rPr>
      </w:pPr>
      <w:r>
        <w:rPr>
          <w:sz w:val="28"/>
        </w:rPr>
        <w:t>Th</w:t>
      </w:r>
      <w:r w:rsidR="001E38C4">
        <w:rPr>
          <w:sz w:val="28"/>
        </w:rPr>
        <w:t>e</w:t>
      </w:r>
      <w:r>
        <w:rPr>
          <w:sz w:val="28"/>
        </w:rPr>
        <w:t xml:space="preserve"> </w:t>
      </w:r>
      <w:r w:rsidRPr="002355D2">
        <w:rPr>
          <w:sz w:val="28"/>
        </w:rPr>
        <w:t>phenomenon</w:t>
      </w:r>
      <w:r>
        <w:rPr>
          <w:sz w:val="28"/>
        </w:rPr>
        <w:t xml:space="preserve"> of small textual units which are transferred from early addenda sections to different par</w:t>
      </w:r>
      <w:r w:rsidR="001E38C4">
        <w:rPr>
          <w:sz w:val="28"/>
        </w:rPr>
        <w:t xml:space="preserve">ts of the book is one of the most distinctive and significant characteristics of the various versions of </w:t>
      </w:r>
      <w:r w:rsidR="00656607" w:rsidRPr="00656607">
        <w:rPr>
          <w:i/>
          <w:iCs/>
          <w:sz w:val="28"/>
        </w:rPr>
        <w:t>HG</w:t>
      </w:r>
      <w:r w:rsidR="001E38C4">
        <w:rPr>
          <w:sz w:val="28"/>
        </w:rPr>
        <w:t xml:space="preserve">, and </w:t>
      </w:r>
      <w:r w:rsidR="00FC61F6">
        <w:rPr>
          <w:sz w:val="28"/>
        </w:rPr>
        <w:t>particularly</w:t>
      </w:r>
      <w:r w:rsidR="001E38C4">
        <w:rPr>
          <w:sz w:val="28"/>
        </w:rPr>
        <w:t xml:space="preserve"> the </w:t>
      </w:r>
      <w:r w:rsidR="006D63F2">
        <w:rPr>
          <w:sz w:val="28"/>
        </w:rPr>
        <w:t xml:space="preserve">B-M </w:t>
      </w:r>
      <w:r w:rsidR="001E38C4">
        <w:rPr>
          <w:sz w:val="28"/>
        </w:rPr>
        <w:t>recension.</w:t>
      </w:r>
      <w:r w:rsidR="001C5765">
        <w:rPr>
          <w:rStyle w:val="FootnoteReference"/>
          <w:sz w:val="28"/>
        </w:rPr>
        <w:footnoteReference w:id="21"/>
      </w:r>
      <w:r w:rsidR="001E38C4">
        <w:rPr>
          <w:sz w:val="28"/>
        </w:rPr>
        <w:t xml:space="preserve"> </w:t>
      </w:r>
      <w:r w:rsidR="002355D2" w:rsidRPr="002355D2">
        <w:rPr>
          <w:sz w:val="28"/>
        </w:rPr>
        <w:t xml:space="preserve">J.N. Epstein already </w:t>
      </w:r>
      <w:r w:rsidR="00FC61F6" w:rsidRPr="002355D2">
        <w:rPr>
          <w:sz w:val="28"/>
        </w:rPr>
        <w:t>dr</w:t>
      </w:r>
      <w:r w:rsidR="00FC61F6">
        <w:rPr>
          <w:sz w:val="28"/>
        </w:rPr>
        <w:t>e</w:t>
      </w:r>
      <w:r w:rsidR="00FC61F6" w:rsidRPr="002355D2">
        <w:rPr>
          <w:sz w:val="28"/>
        </w:rPr>
        <w:t xml:space="preserve">w </w:t>
      </w:r>
      <w:r w:rsidR="002355D2" w:rsidRPr="002355D2">
        <w:rPr>
          <w:sz w:val="28"/>
        </w:rPr>
        <w:t>attention</w:t>
      </w:r>
      <w:r w:rsidR="001E38C4">
        <w:rPr>
          <w:sz w:val="28"/>
        </w:rPr>
        <w:t xml:space="preserve"> to the fact that</w:t>
      </w:r>
      <w:r w:rsidR="002355D2" w:rsidRPr="002355D2">
        <w:rPr>
          <w:sz w:val="28"/>
        </w:rPr>
        <w:t xml:space="preserve"> </w:t>
      </w:r>
      <w:r w:rsidR="00026FCA">
        <w:rPr>
          <w:sz w:val="28"/>
        </w:rPr>
        <w:t>at</w:t>
      </w:r>
      <w:r w:rsidR="00026FCA" w:rsidRPr="002355D2">
        <w:rPr>
          <w:sz w:val="28"/>
        </w:rPr>
        <w:t xml:space="preserve"> </w:t>
      </w:r>
      <w:r w:rsidR="002355D2" w:rsidRPr="002355D2">
        <w:rPr>
          <w:sz w:val="28"/>
        </w:rPr>
        <w:t>the end of some chapters</w:t>
      </w:r>
      <w:r w:rsidR="001E38C4">
        <w:rPr>
          <w:sz w:val="28"/>
        </w:rPr>
        <w:t xml:space="preserve"> of </w:t>
      </w:r>
      <w:r w:rsidR="00656607" w:rsidRPr="00656607">
        <w:rPr>
          <w:i/>
          <w:iCs/>
          <w:sz w:val="28"/>
        </w:rPr>
        <w:t>HG</w:t>
      </w:r>
      <w:r w:rsidR="00FC61F6">
        <w:rPr>
          <w:i/>
          <w:iCs/>
          <w:sz w:val="28"/>
        </w:rPr>
        <w:t>,</w:t>
      </w:r>
      <w:r w:rsidR="002355D2" w:rsidRPr="002355D2">
        <w:rPr>
          <w:sz w:val="28"/>
        </w:rPr>
        <w:t xml:space="preserve"> one can fin</w:t>
      </w:r>
      <w:r w:rsidR="001E38C4">
        <w:rPr>
          <w:sz w:val="28"/>
        </w:rPr>
        <w:t>d series of paragraphs, mainly T</w:t>
      </w:r>
      <w:r w:rsidR="002355D2" w:rsidRPr="002355D2">
        <w:rPr>
          <w:sz w:val="28"/>
        </w:rPr>
        <w:t xml:space="preserve">almudic quotations, which are not connected to one another and do not </w:t>
      </w:r>
      <w:r w:rsidR="00FC61F6">
        <w:rPr>
          <w:sz w:val="28"/>
        </w:rPr>
        <w:t>seem to</w:t>
      </w:r>
      <w:r w:rsidR="00FC61F6" w:rsidRPr="002355D2">
        <w:rPr>
          <w:sz w:val="28"/>
        </w:rPr>
        <w:t xml:space="preserve"> </w:t>
      </w:r>
      <w:r w:rsidR="002355D2" w:rsidRPr="002355D2">
        <w:rPr>
          <w:sz w:val="28"/>
        </w:rPr>
        <w:t>relate to the chapter topic at all.</w:t>
      </w:r>
      <w:r w:rsidR="001C5765">
        <w:rPr>
          <w:rStyle w:val="FootnoteReference"/>
          <w:sz w:val="28"/>
        </w:rPr>
        <w:footnoteReference w:id="22"/>
      </w:r>
      <w:r w:rsidR="002355D2" w:rsidRPr="002355D2">
        <w:rPr>
          <w:sz w:val="28"/>
        </w:rPr>
        <w:t xml:space="preserve"> These sections are titled in some </w:t>
      </w:r>
      <w:r w:rsidR="00FC61F6">
        <w:rPr>
          <w:sz w:val="28"/>
        </w:rPr>
        <w:t>textual witnesses</w:t>
      </w:r>
      <w:r w:rsidR="00FC61F6" w:rsidRPr="002355D2">
        <w:rPr>
          <w:sz w:val="28"/>
        </w:rPr>
        <w:t xml:space="preserve"> </w:t>
      </w:r>
      <w:r w:rsidR="002355D2" w:rsidRPr="002355D2">
        <w:rPr>
          <w:sz w:val="28"/>
        </w:rPr>
        <w:t xml:space="preserve">as </w:t>
      </w:r>
      <w:r w:rsidR="002355D2" w:rsidRPr="001E38C4">
        <w:rPr>
          <w:i/>
          <w:iCs/>
          <w:sz w:val="28"/>
        </w:rPr>
        <w:t>‘</w:t>
      </w:r>
      <w:r w:rsidR="003C1E15">
        <w:rPr>
          <w:i/>
          <w:iCs/>
          <w:sz w:val="28"/>
        </w:rPr>
        <w:t>t</w:t>
      </w:r>
      <w:r w:rsidR="003C1E15" w:rsidRPr="001E38C4">
        <w:rPr>
          <w:i/>
          <w:iCs/>
          <w:sz w:val="28"/>
        </w:rPr>
        <w:t>osefta’</w:t>
      </w:r>
      <w:r w:rsidR="002355D2" w:rsidRPr="002355D2">
        <w:rPr>
          <w:sz w:val="28"/>
        </w:rPr>
        <w:t>, i.e.</w:t>
      </w:r>
      <w:r w:rsidR="00FC61F6">
        <w:rPr>
          <w:sz w:val="28"/>
        </w:rPr>
        <w:t>,</w:t>
      </w:r>
      <w:r w:rsidR="002355D2" w:rsidRPr="002355D2">
        <w:rPr>
          <w:sz w:val="28"/>
        </w:rPr>
        <w:t xml:space="preserve"> </w:t>
      </w:r>
      <w:r w:rsidR="00FC61F6">
        <w:rPr>
          <w:sz w:val="28"/>
        </w:rPr>
        <w:t>a</w:t>
      </w:r>
      <w:r w:rsidR="00FC61F6" w:rsidRPr="002355D2">
        <w:rPr>
          <w:sz w:val="28"/>
        </w:rPr>
        <w:t>ddenda</w:t>
      </w:r>
      <w:r w:rsidR="002355D2" w:rsidRPr="002355D2">
        <w:rPr>
          <w:sz w:val="28"/>
        </w:rPr>
        <w:t xml:space="preserve">, additional </w:t>
      </w:r>
      <w:r w:rsidR="001E38C4">
        <w:rPr>
          <w:sz w:val="28"/>
        </w:rPr>
        <w:t>textual units</w:t>
      </w:r>
      <w:r w:rsidR="002355D2" w:rsidRPr="002355D2">
        <w:rPr>
          <w:sz w:val="28"/>
        </w:rPr>
        <w:t xml:space="preserve"> that were not part of the original book</w:t>
      </w:r>
      <w:r w:rsidR="002138CE">
        <w:rPr>
          <w:sz w:val="28"/>
        </w:rPr>
        <w:t xml:space="preserve"> (not to be confused with the Tannaitic compilation with the same name)</w:t>
      </w:r>
      <w:r w:rsidR="002355D2" w:rsidRPr="002355D2">
        <w:rPr>
          <w:sz w:val="28"/>
        </w:rPr>
        <w:t xml:space="preserve">. </w:t>
      </w:r>
      <w:r w:rsidR="001E38C4">
        <w:rPr>
          <w:sz w:val="28"/>
        </w:rPr>
        <w:t>T</w:t>
      </w:r>
      <w:r w:rsidR="002355D2" w:rsidRPr="002355D2">
        <w:rPr>
          <w:sz w:val="28"/>
        </w:rPr>
        <w:t xml:space="preserve">hese </w:t>
      </w:r>
      <w:r w:rsidR="003C1E15">
        <w:rPr>
          <w:i/>
          <w:iCs/>
          <w:sz w:val="28"/>
        </w:rPr>
        <w:t>t</w:t>
      </w:r>
      <w:r w:rsidR="003C1E15" w:rsidRPr="001E38C4">
        <w:rPr>
          <w:i/>
          <w:iCs/>
          <w:sz w:val="28"/>
        </w:rPr>
        <w:t>osefta</w:t>
      </w:r>
      <w:r w:rsidR="003C1E15" w:rsidRPr="002355D2">
        <w:rPr>
          <w:sz w:val="28"/>
        </w:rPr>
        <w:t xml:space="preserve"> </w:t>
      </w:r>
      <w:r w:rsidR="002355D2" w:rsidRPr="002355D2">
        <w:rPr>
          <w:sz w:val="28"/>
        </w:rPr>
        <w:t xml:space="preserve">sections were preserved in their original format </w:t>
      </w:r>
      <w:r w:rsidR="001E38C4">
        <w:rPr>
          <w:sz w:val="28"/>
        </w:rPr>
        <w:t xml:space="preserve">mainly </w:t>
      </w:r>
      <w:r w:rsidR="002355D2" w:rsidRPr="002355D2">
        <w:rPr>
          <w:sz w:val="28"/>
        </w:rPr>
        <w:t xml:space="preserve">in P and R, </w:t>
      </w:r>
      <w:r w:rsidR="001E38C4">
        <w:rPr>
          <w:sz w:val="28"/>
        </w:rPr>
        <w:t xml:space="preserve">while </w:t>
      </w:r>
      <w:r w:rsidR="002355D2" w:rsidRPr="002355D2">
        <w:rPr>
          <w:sz w:val="28"/>
        </w:rPr>
        <w:t xml:space="preserve">in </w:t>
      </w:r>
      <w:r w:rsidR="001E38C4">
        <w:rPr>
          <w:sz w:val="28"/>
        </w:rPr>
        <w:t xml:space="preserve">the </w:t>
      </w:r>
      <w:r w:rsidR="002355D2" w:rsidRPr="002355D2">
        <w:rPr>
          <w:sz w:val="28"/>
        </w:rPr>
        <w:t xml:space="preserve">B-M </w:t>
      </w:r>
      <w:r w:rsidR="001E38C4">
        <w:rPr>
          <w:sz w:val="28"/>
        </w:rPr>
        <w:t>recension</w:t>
      </w:r>
      <w:r w:rsidR="002355D2" w:rsidRPr="002355D2">
        <w:rPr>
          <w:sz w:val="28"/>
        </w:rPr>
        <w:t xml:space="preserve"> all these paragraphs were removed</w:t>
      </w:r>
      <w:r w:rsidR="005524F2">
        <w:rPr>
          <w:sz w:val="28"/>
        </w:rPr>
        <w:t xml:space="preserve"> from the</w:t>
      </w:r>
      <w:r w:rsidR="006D63F2">
        <w:rPr>
          <w:sz w:val="28"/>
        </w:rPr>
        <w:t>ir</w:t>
      </w:r>
      <w:r w:rsidR="005524F2">
        <w:rPr>
          <w:sz w:val="28"/>
        </w:rPr>
        <w:t xml:space="preserve"> original addenda</w:t>
      </w:r>
      <w:r w:rsidR="002355D2" w:rsidRPr="002355D2">
        <w:rPr>
          <w:sz w:val="28"/>
        </w:rPr>
        <w:t xml:space="preserve"> </w:t>
      </w:r>
      <w:r w:rsidR="005524F2">
        <w:rPr>
          <w:sz w:val="28"/>
        </w:rPr>
        <w:lastRenderedPageBreak/>
        <w:t xml:space="preserve">sections </w:t>
      </w:r>
      <w:r w:rsidR="002355D2" w:rsidRPr="002355D2">
        <w:rPr>
          <w:sz w:val="28"/>
        </w:rPr>
        <w:t>and integrated into</w:t>
      </w:r>
      <w:r w:rsidR="00FC61F6">
        <w:rPr>
          <w:sz w:val="28"/>
        </w:rPr>
        <w:t xml:space="preserve"> the</w:t>
      </w:r>
      <w:r w:rsidR="002355D2" w:rsidRPr="002355D2">
        <w:rPr>
          <w:sz w:val="28"/>
        </w:rPr>
        <w:t xml:space="preserve"> different chapters, </w:t>
      </w:r>
      <w:r w:rsidR="00FC61F6">
        <w:rPr>
          <w:sz w:val="28"/>
        </w:rPr>
        <w:t>in accordance with their</w:t>
      </w:r>
      <w:r w:rsidR="002355D2" w:rsidRPr="002355D2">
        <w:rPr>
          <w:sz w:val="28"/>
        </w:rPr>
        <w:t xml:space="preserve"> content. In some cases</w:t>
      </w:r>
      <w:r w:rsidR="001E38C4">
        <w:rPr>
          <w:sz w:val="28"/>
        </w:rPr>
        <w:t>,</w:t>
      </w:r>
      <w:r w:rsidR="002355D2" w:rsidRPr="002355D2">
        <w:rPr>
          <w:sz w:val="28"/>
        </w:rPr>
        <w:t xml:space="preserve"> the editors of B-M </w:t>
      </w:r>
      <w:r w:rsidR="00FC61F6">
        <w:rPr>
          <w:sz w:val="28"/>
        </w:rPr>
        <w:t>could</w:t>
      </w:r>
      <w:r w:rsidR="00FC61F6" w:rsidRPr="002355D2">
        <w:rPr>
          <w:sz w:val="28"/>
        </w:rPr>
        <w:t xml:space="preserve"> </w:t>
      </w:r>
      <w:r w:rsidR="002355D2" w:rsidRPr="002355D2">
        <w:rPr>
          <w:sz w:val="28"/>
        </w:rPr>
        <w:t xml:space="preserve">not find </w:t>
      </w:r>
      <w:r w:rsidR="00FC61F6">
        <w:rPr>
          <w:sz w:val="28"/>
        </w:rPr>
        <w:t>an</w:t>
      </w:r>
      <w:r w:rsidR="00FC61F6" w:rsidRPr="002355D2">
        <w:rPr>
          <w:sz w:val="28"/>
        </w:rPr>
        <w:t xml:space="preserve"> </w:t>
      </w:r>
      <w:r w:rsidR="002355D2" w:rsidRPr="002355D2">
        <w:rPr>
          <w:sz w:val="28"/>
        </w:rPr>
        <w:t>appropriate place</w:t>
      </w:r>
      <w:r w:rsidR="00FC61F6">
        <w:rPr>
          <w:sz w:val="28"/>
        </w:rPr>
        <w:t xml:space="preserve"> in which to insert</w:t>
      </w:r>
      <w:r w:rsidR="002355D2" w:rsidRPr="002355D2">
        <w:rPr>
          <w:sz w:val="28"/>
        </w:rPr>
        <w:t xml:space="preserve"> the </w:t>
      </w:r>
      <w:r w:rsidR="00FC61F6">
        <w:rPr>
          <w:sz w:val="28"/>
        </w:rPr>
        <w:t>addenda, and inst</w:t>
      </w:r>
      <w:r w:rsidR="00026FCA">
        <w:rPr>
          <w:sz w:val="28"/>
        </w:rPr>
        <w:t>e</w:t>
      </w:r>
      <w:r w:rsidR="00FC61F6">
        <w:rPr>
          <w:sz w:val="28"/>
        </w:rPr>
        <w:t>ad</w:t>
      </w:r>
      <w:r w:rsidR="001E38C4">
        <w:rPr>
          <w:sz w:val="28"/>
        </w:rPr>
        <w:t xml:space="preserve"> created new secondary </w:t>
      </w:r>
      <w:r w:rsidR="001E38C4" w:rsidRPr="001E38C4">
        <w:rPr>
          <w:i/>
          <w:iCs/>
          <w:sz w:val="28"/>
        </w:rPr>
        <w:t>t</w:t>
      </w:r>
      <w:r w:rsidR="002355D2" w:rsidRPr="001E38C4">
        <w:rPr>
          <w:i/>
          <w:iCs/>
          <w:sz w:val="28"/>
        </w:rPr>
        <w:t>osefta</w:t>
      </w:r>
      <w:r w:rsidR="002355D2" w:rsidRPr="002355D2">
        <w:rPr>
          <w:sz w:val="28"/>
        </w:rPr>
        <w:t xml:space="preserve"> sections </w:t>
      </w:r>
      <w:r w:rsidR="00FC61F6">
        <w:rPr>
          <w:sz w:val="28"/>
        </w:rPr>
        <w:t>at</w:t>
      </w:r>
      <w:r w:rsidR="00FC61F6" w:rsidRPr="002355D2">
        <w:rPr>
          <w:sz w:val="28"/>
        </w:rPr>
        <w:t xml:space="preserve"> </w:t>
      </w:r>
      <w:r w:rsidR="002355D2" w:rsidRPr="002355D2">
        <w:rPr>
          <w:sz w:val="28"/>
        </w:rPr>
        <w:t>the end of other chapters, collecting all</w:t>
      </w:r>
      <w:r w:rsidR="005524F2">
        <w:rPr>
          <w:sz w:val="28"/>
        </w:rPr>
        <w:t xml:space="preserve"> the</w:t>
      </w:r>
      <w:r w:rsidR="002355D2" w:rsidRPr="002355D2">
        <w:rPr>
          <w:sz w:val="28"/>
        </w:rPr>
        <w:t xml:space="preserve"> </w:t>
      </w:r>
      <w:r w:rsidR="00FC61F6">
        <w:rPr>
          <w:sz w:val="28"/>
        </w:rPr>
        <w:t>addenda</w:t>
      </w:r>
      <w:r w:rsidR="002355D2" w:rsidRPr="002355D2">
        <w:rPr>
          <w:sz w:val="28"/>
        </w:rPr>
        <w:t xml:space="preserve"> </w:t>
      </w:r>
      <w:r w:rsidR="00FC61F6">
        <w:rPr>
          <w:sz w:val="28"/>
        </w:rPr>
        <w:t>on</w:t>
      </w:r>
      <w:r w:rsidR="00FC61F6" w:rsidRPr="002355D2">
        <w:rPr>
          <w:sz w:val="28"/>
        </w:rPr>
        <w:t xml:space="preserve"> </w:t>
      </w:r>
      <w:r w:rsidR="002355D2" w:rsidRPr="002355D2">
        <w:rPr>
          <w:sz w:val="28"/>
        </w:rPr>
        <w:t xml:space="preserve">the same topic in one place. This process of reediting the </w:t>
      </w:r>
      <w:r w:rsidR="002355D2" w:rsidRPr="005524F2">
        <w:rPr>
          <w:i/>
          <w:iCs/>
          <w:sz w:val="28"/>
        </w:rPr>
        <w:t>tosefta</w:t>
      </w:r>
      <w:r w:rsidR="002355D2" w:rsidRPr="002355D2">
        <w:rPr>
          <w:sz w:val="28"/>
        </w:rPr>
        <w:t xml:space="preserve"> sections and </w:t>
      </w:r>
      <w:r w:rsidR="005524F2">
        <w:rPr>
          <w:sz w:val="28"/>
        </w:rPr>
        <w:t>transferring</w:t>
      </w:r>
      <w:r w:rsidR="002355D2" w:rsidRPr="002355D2">
        <w:rPr>
          <w:sz w:val="28"/>
        </w:rPr>
        <w:t xml:space="preserve"> paragraphs from </w:t>
      </w:r>
      <w:r w:rsidR="00FC61F6">
        <w:rPr>
          <w:sz w:val="28"/>
        </w:rPr>
        <w:t xml:space="preserve">one part of the book to another serves as further evidence for </w:t>
      </w:r>
      <w:r w:rsidR="006448C8">
        <w:rPr>
          <w:sz w:val="28"/>
        </w:rPr>
        <w:t>both</w:t>
      </w:r>
      <w:r w:rsidR="002355D2" w:rsidRPr="002355D2">
        <w:rPr>
          <w:sz w:val="28"/>
        </w:rPr>
        <w:t xml:space="preserve"> the posteriority</w:t>
      </w:r>
      <w:r w:rsidR="005524F2">
        <w:rPr>
          <w:sz w:val="28"/>
        </w:rPr>
        <w:t xml:space="preserve"> </w:t>
      </w:r>
      <w:r w:rsidR="002355D2" w:rsidRPr="002355D2">
        <w:rPr>
          <w:sz w:val="28"/>
        </w:rPr>
        <w:t>of the B-M edition</w:t>
      </w:r>
      <w:r w:rsidR="006448C8">
        <w:rPr>
          <w:sz w:val="28"/>
        </w:rPr>
        <w:t xml:space="preserve"> and for the fact that</w:t>
      </w:r>
      <w:r w:rsidR="002355D2" w:rsidRPr="002355D2">
        <w:rPr>
          <w:sz w:val="28"/>
        </w:rPr>
        <w:t xml:space="preserve"> this edition is </w:t>
      </w:r>
      <w:r w:rsidR="006448C8">
        <w:rPr>
          <w:sz w:val="28"/>
        </w:rPr>
        <w:t>the</w:t>
      </w:r>
      <w:r w:rsidR="006448C8" w:rsidRPr="002355D2">
        <w:rPr>
          <w:sz w:val="28"/>
        </w:rPr>
        <w:t xml:space="preserve"> </w:t>
      </w:r>
      <w:r w:rsidR="002355D2" w:rsidRPr="002355D2">
        <w:rPr>
          <w:sz w:val="28"/>
        </w:rPr>
        <w:t xml:space="preserve">result of an </w:t>
      </w:r>
      <w:r w:rsidR="006448C8">
        <w:rPr>
          <w:sz w:val="28"/>
        </w:rPr>
        <w:t>intentional</w:t>
      </w:r>
      <w:r w:rsidR="006448C8" w:rsidRPr="002355D2">
        <w:rPr>
          <w:sz w:val="28"/>
        </w:rPr>
        <w:t xml:space="preserve"> </w:t>
      </w:r>
      <w:r w:rsidR="002355D2" w:rsidRPr="002355D2">
        <w:rPr>
          <w:sz w:val="28"/>
        </w:rPr>
        <w:t>and well-planned process</w:t>
      </w:r>
      <w:r w:rsidR="006448C8">
        <w:rPr>
          <w:sz w:val="28"/>
        </w:rPr>
        <w:t>, an</w:t>
      </w:r>
      <w:r w:rsidR="002355D2" w:rsidRPr="002355D2">
        <w:rPr>
          <w:sz w:val="28"/>
        </w:rPr>
        <w:t xml:space="preserve"> </w:t>
      </w:r>
      <w:r w:rsidR="002355D2" w:rsidRPr="002355D2">
        <w:rPr>
          <w:rFonts w:hint="cs"/>
          <w:sz w:val="28"/>
        </w:rPr>
        <w:t>observation</w:t>
      </w:r>
      <w:r w:rsidR="002355D2" w:rsidRPr="002355D2">
        <w:rPr>
          <w:sz w:val="28"/>
        </w:rPr>
        <w:t xml:space="preserve"> </w:t>
      </w:r>
      <w:r w:rsidR="006448C8">
        <w:rPr>
          <w:sz w:val="28"/>
        </w:rPr>
        <w:t>that is supported by other evidence</w:t>
      </w:r>
      <w:r w:rsidR="002355D2" w:rsidRPr="002355D2">
        <w:rPr>
          <w:sz w:val="28"/>
        </w:rPr>
        <w:t xml:space="preserve"> as well.</w:t>
      </w:r>
    </w:p>
    <w:p w14:paraId="4A5CA199" w14:textId="162F1D10" w:rsidR="00B451BE" w:rsidRDefault="006D63F2" w:rsidP="0063582F">
      <w:pPr>
        <w:bidi w:val="0"/>
        <w:spacing w:line="360" w:lineRule="auto"/>
        <w:ind w:left="-426" w:firstLine="426"/>
        <w:jc w:val="both"/>
        <w:rPr>
          <w:sz w:val="28"/>
          <w:rtl/>
        </w:rPr>
      </w:pPr>
      <w:r>
        <w:rPr>
          <w:sz w:val="28"/>
        </w:rPr>
        <w:t xml:space="preserve">The agreement of the </w:t>
      </w:r>
      <w:r w:rsidR="002138CE">
        <w:rPr>
          <w:sz w:val="28"/>
        </w:rPr>
        <w:t xml:space="preserve">Bologna </w:t>
      </w:r>
      <w:r>
        <w:rPr>
          <w:sz w:val="28"/>
        </w:rPr>
        <w:t xml:space="preserve">fragment with the B-M recension is by no means </w:t>
      </w:r>
      <w:r w:rsidR="00BB5238">
        <w:rPr>
          <w:sz w:val="28"/>
        </w:rPr>
        <w:t xml:space="preserve">a </w:t>
      </w:r>
      <w:r>
        <w:rPr>
          <w:sz w:val="28"/>
        </w:rPr>
        <w:t xml:space="preserve">surprise and </w:t>
      </w:r>
      <w:r w:rsidR="00181076">
        <w:rPr>
          <w:sz w:val="28"/>
        </w:rPr>
        <w:t>is</w:t>
      </w:r>
      <w:r w:rsidR="00BB5238">
        <w:rPr>
          <w:sz w:val="28"/>
        </w:rPr>
        <w:t xml:space="preserve"> </w:t>
      </w:r>
      <w:r>
        <w:rPr>
          <w:sz w:val="28"/>
        </w:rPr>
        <w:t xml:space="preserve">what we </w:t>
      </w:r>
      <w:r w:rsidR="00BB5238">
        <w:rPr>
          <w:sz w:val="28"/>
        </w:rPr>
        <w:t xml:space="preserve">would </w:t>
      </w:r>
      <w:r w:rsidR="003C1E15">
        <w:rPr>
          <w:sz w:val="28"/>
        </w:rPr>
        <w:t>expect with</w:t>
      </w:r>
      <w:r w:rsidR="002138CE">
        <w:rPr>
          <w:sz w:val="28"/>
        </w:rPr>
        <w:t xml:space="preserve"> an Italian manuscript, as I argued above. S</w:t>
      </w:r>
      <w:r w:rsidR="002270A9">
        <w:rPr>
          <w:sz w:val="28"/>
        </w:rPr>
        <w:t xml:space="preserve">till, this agreement </w:t>
      </w:r>
      <w:r w:rsidR="006448C8">
        <w:rPr>
          <w:sz w:val="28"/>
        </w:rPr>
        <w:t>presents us with</w:t>
      </w:r>
      <w:r w:rsidR="00140E01">
        <w:rPr>
          <w:sz w:val="28"/>
        </w:rPr>
        <w:t xml:space="preserve"> a great riddle that I do not </w:t>
      </w:r>
      <w:r w:rsidR="006448C8">
        <w:rPr>
          <w:sz w:val="28"/>
        </w:rPr>
        <w:t xml:space="preserve">yet </w:t>
      </w:r>
      <w:r w:rsidR="00140E01">
        <w:rPr>
          <w:sz w:val="28"/>
        </w:rPr>
        <w:t>know how to solve</w:t>
      </w:r>
      <w:r w:rsidR="00B34A54">
        <w:rPr>
          <w:sz w:val="28"/>
        </w:rPr>
        <w:t>.</w:t>
      </w:r>
    </w:p>
    <w:p w14:paraId="5EB044B8" w14:textId="77777777" w:rsidR="004411A8" w:rsidRDefault="004411A8" w:rsidP="0063582F">
      <w:pPr>
        <w:bidi w:val="0"/>
        <w:spacing w:line="360" w:lineRule="auto"/>
        <w:ind w:left="-426" w:firstLine="426"/>
        <w:jc w:val="both"/>
        <w:rPr>
          <w:sz w:val="28"/>
        </w:rPr>
      </w:pPr>
    </w:p>
    <w:p w14:paraId="2B493464" w14:textId="77777777" w:rsidR="004411A8" w:rsidRPr="000F5BF7" w:rsidRDefault="007B323B" w:rsidP="0063582F">
      <w:pPr>
        <w:bidi w:val="0"/>
        <w:spacing w:line="360" w:lineRule="auto"/>
        <w:ind w:left="-426" w:firstLine="426"/>
        <w:jc w:val="both"/>
        <w:rPr>
          <w:b/>
          <w:bCs/>
          <w:sz w:val="28"/>
        </w:rPr>
      </w:pPr>
      <w:r w:rsidRPr="000F5BF7">
        <w:rPr>
          <w:b/>
          <w:bCs/>
          <w:sz w:val="28"/>
        </w:rPr>
        <w:t>The Leipzig fragments</w:t>
      </w:r>
    </w:p>
    <w:p w14:paraId="326BA93C" w14:textId="264F0160" w:rsidR="00B561C6" w:rsidRDefault="00140E01" w:rsidP="00F07CD0">
      <w:pPr>
        <w:bidi w:val="0"/>
        <w:spacing w:line="360" w:lineRule="auto"/>
        <w:ind w:left="-426" w:firstLine="426"/>
        <w:jc w:val="both"/>
        <w:rPr>
          <w:sz w:val="28"/>
        </w:rPr>
      </w:pPr>
      <w:r>
        <w:rPr>
          <w:sz w:val="28"/>
        </w:rPr>
        <w:t xml:space="preserve">As Perani </w:t>
      </w:r>
      <w:r w:rsidR="002A21FF">
        <w:rPr>
          <w:sz w:val="28"/>
        </w:rPr>
        <w:t xml:space="preserve">has </w:t>
      </w:r>
      <w:r w:rsidR="001600FD">
        <w:rPr>
          <w:sz w:val="28"/>
        </w:rPr>
        <w:t>demonstrated convincingly</w:t>
      </w:r>
      <w:r w:rsidR="002A21FF">
        <w:rPr>
          <w:sz w:val="28"/>
        </w:rPr>
        <w:t xml:space="preserve">, </w:t>
      </w:r>
      <w:r w:rsidR="003456DA">
        <w:rPr>
          <w:sz w:val="28"/>
        </w:rPr>
        <w:t xml:space="preserve">fragments of </w:t>
      </w:r>
      <w:r w:rsidR="002A21FF">
        <w:rPr>
          <w:sz w:val="28"/>
        </w:rPr>
        <w:t xml:space="preserve">the </w:t>
      </w:r>
      <w:r w:rsidR="003456DA">
        <w:rPr>
          <w:sz w:val="28"/>
        </w:rPr>
        <w:t xml:space="preserve">same manuscript </w:t>
      </w:r>
      <w:r w:rsidR="00026FCA">
        <w:rPr>
          <w:sz w:val="28"/>
        </w:rPr>
        <w:t>of</w:t>
      </w:r>
      <w:r w:rsidR="003456DA">
        <w:rPr>
          <w:sz w:val="28"/>
        </w:rPr>
        <w:t xml:space="preserve"> which the </w:t>
      </w:r>
      <w:r w:rsidR="002A21FF">
        <w:rPr>
          <w:sz w:val="28"/>
        </w:rPr>
        <w:t xml:space="preserve">Bologna fragment is </w:t>
      </w:r>
      <w:r w:rsidR="00E75BB1">
        <w:rPr>
          <w:sz w:val="28"/>
        </w:rPr>
        <w:t xml:space="preserve">a </w:t>
      </w:r>
      <w:r w:rsidR="002A21FF">
        <w:rPr>
          <w:sz w:val="28"/>
        </w:rPr>
        <w:t xml:space="preserve">part </w:t>
      </w:r>
      <w:r w:rsidR="003456DA">
        <w:rPr>
          <w:sz w:val="28"/>
        </w:rPr>
        <w:t>are</w:t>
      </w:r>
      <w:r w:rsidR="002A21FF">
        <w:rPr>
          <w:sz w:val="28"/>
        </w:rPr>
        <w:t xml:space="preserve"> found in Leipzig</w:t>
      </w:r>
      <w:r w:rsidR="006448C8">
        <w:rPr>
          <w:sz w:val="28"/>
        </w:rPr>
        <w:t>.</w:t>
      </w:r>
      <w:r w:rsidR="001600FD">
        <w:rPr>
          <w:rStyle w:val="FootnoteReference"/>
          <w:sz w:val="28"/>
        </w:rPr>
        <w:footnoteReference w:id="23"/>
      </w:r>
      <w:r w:rsidR="002A21FF">
        <w:rPr>
          <w:sz w:val="28"/>
        </w:rPr>
        <w:t xml:space="preserve"> The Leipzig fragments </w:t>
      </w:r>
      <w:r w:rsidR="003456DA">
        <w:rPr>
          <w:sz w:val="28"/>
        </w:rPr>
        <w:t xml:space="preserve">contain </w:t>
      </w:r>
      <w:r w:rsidR="002A21FF">
        <w:rPr>
          <w:sz w:val="28"/>
        </w:rPr>
        <w:t xml:space="preserve">a much larger </w:t>
      </w:r>
      <w:r w:rsidR="00FF7125">
        <w:rPr>
          <w:sz w:val="28"/>
        </w:rPr>
        <w:t>portion of the manuscript</w:t>
      </w:r>
      <w:r w:rsidR="00580669">
        <w:rPr>
          <w:sz w:val="28"/>
        </w:rPr>
        <w:t xml:space="preserve"> and </w:t>
      </w:r>
      <w:r w:rsidR="003456DA">
        <w:rPr>
          <w:sz w:val="28"/>
        </w:rPr>
        <w:t>include</w:t>
      </w:r>
      <w:r w:rsidR="00F034D8">
        <w:rPr>
          <w:sz w:val="28"/>
        </w:rPr>
        <w:t xml:space="preserve"> no less than</w:t>
      </w:r>
      <w:r w:rsidR="00580669">
        <w:rPr>
          <w:sz w:val="28"/>
        </w:rPr>
        <w:t xml:space="preserve"> nine bifolios, that is</w:t>
      </w:r>
      <w:r w:rsidR="003456DA">
        <w:rPr>
          <w:sz w:val="28"/>
        </w:rPr>
        <w:t>,</w:t>
      </w:r>
      <w:r w:rsidR="00580669">
        <w:rPr>
          <w:sz w:val="28"/>
        </w:rPr>
        <w:t xml:space="preserve"> eighteen folios. These folios come from many different chapters of </w:t>
      </w:r>
      <w:r w:rsidR="00656607" w:rsidRPr="00656607">
        <w:rPr>
          <w:i/>
          <w:iCs/>
          <w:sz w:val="28"/>
        </w:rPr>
        <w:t>HG</w:t>
      </w:r>
      <w:r w:rsidR="00580669">
        <w:rPr>
          <w:sz w:val="28"/>
        </w:rPr>
        <w:t xml:space="preserve">: </w:t>
      </w:r>
      <w:r w:rsidR="00580669" w:rsidRPr="00580669">
        <w:rPr>
          <w:i/>
          <w:iCs/>
          <w:sz w:val="28"/>
        </w:rPr>
        <w:t xml:space="preserve">Hilkhot Me’un, Ketubot, Nedarim, Gittin, Kiddushin, Bava Kama, Niduy, Halva’ah, </w:t>
      </w:r>
      <w:r w:rsidR="00580669" w:rsidRPr="00580669">
        <w:rPr>
          <w:sz w:val="28"/>
        </w:rPr>
        <w:t xml:space="preserve">and </w:t>
      </w:r>
      <w:r w:rsidR="00580669" w:rsidRPr="00580669">
        <w:rPr>
          <w:i/>
          <w:iCs/>
          <w:sz w:val="28"/>
        </w:rPr>
        <w:t>Bava Batra</w:t>
      </w:r>
      <w:r w:rsidR="00580669">
        <w:rPr>
          <w:sz w:val="28"/>
        </w:rPr>
        <w:t xml:space="preserve">. </w:t>
      </w:r>
      <w:r w:rsidR="00FF7125">
        <w:rPr>
          <w:sz w:val="28"/>
        </w:rPr>
        <w:t>In some cases, we can determine the order of these chapters in the manuscript</w:t>
      </w:r>
      <w:r w:rsidR="00F034D8">
        <w:rPr>
          <w:sz w:val="28"/>
        </w:rPr>
        <w:t>.</w:t>
      </w:r>
      <w:r w:rsidR="00FF7125">
        <w:rPr>
          <w:sz w:val="28"/>
        </w:rPr>
        <w:t xml:space="preserve"> </w:t>
      </w:r>
      <w:r w:rsidR="00F034D8">
        <w:rPr>
          <w:sz w:val="28"/>
        </w:rPr>
        <w:t>T</w:t>
      </w:r>
      <w:r w:rsidR="00FF7125">
        <w:rPr>
          <w:sz w:val="28"/>
        </w:rPr>
        <w:t xml:space="preserve">o my </w:t>
      </w:r>
      <w:r w:rsidR="003456DA">
        <w:rPr>
          <w:sz w:val="28"/>
        </w:rPr>
        <w:t xml:space="preserve">great </w:t>
      </w:r>
      <w:r w:rsidR="00FF7125">
        <w:rPr>
          <w:sz w:val="28"/>
        </w:rPr>
        <w:t xml:space="preserve">surprise, </w:t>
      </w:r>
      <w:r w:rsidR="003456DA">
        <w:rPr>
          <w:sz w:val="28"/>
        </w:rPr>
        <w:t xml:space="preserve">I discovered that </w:t>
      </w:r>
      <w:r w:rsidR="00FF7125">
        <w:rPr>
          <w:sz w:val="28"/>
        </w:rPr>
        <w:t xml:space="preserve">the </w:t>
      </w:r>
      <w:r w:rsidR="003456DA">
        <w:rPr>
          <w:sz w:val="28"/>
        </w:rPr>
        <w:t xml:space="preserve">chapter </w:t>
      </w:r>
      <w:r w:rsidR="00FF7125">
        <w:rPr>
          <w:sz w:val="28"/>
        </w:rPr>
        <w:t xml:space="preserve">order in the </w:t>
      </w:r>
      <w:r w:rsidR="00F034D8">
        <w:rPr>
          <w:sz w:val="28"/>
        </w:rPr>
        <w:t>Leipzig fragments</w:t>
      </w:r>
      <w:r w:rsidR="00FF7125">
        <w:rPr>
          <w:sz w:val="28"/>
        </w:rPr>
        <w:t xml:space="preserve"> is identical </w:t>
      </w:r>
      <w:r w:rsidR="00190A38">
        <w:rPr>
          <w:sz w:val="28"/>
        </w:rPr>
        <w:t xml:space="preserve">to </w:t>
      </w:r>
      <w:r w:rsidR="003456DA">
        <w:rPr>
          <w:sz w:val="28"/>
        </w:rPr>
        <w:t xml:space="preserve">that </w:t>
      </w:r>
      <w:r w:rsidR="00F034D8">
        <w:rPr>
          <w:sz w:val="28"/>
        </w:rPr>
        <w:t>of R, and diverge</w:t>
      </w:r>
      <w:r w:rsidR="003456DA">
        <w:rPr>
          <w:sz w:val="28"/>
        </w:rPr>
        <w:t>s</w:t>
      </w:r>
      <w:r w:rsidR="00F034D8">
        <w:rPr>
          <w:sz w:val="28"/>
        </w:rPr>
        <w:t xml:space="preserve"> from the order of chapters </w:t>
      </w:r>
      <w:r w:rsidR="003456DA">
        <w:rPr>
          <w:sz w:val="28"/>
        </w:rPr>
        <w:t xml:space="preserve">found </w:t>
      </w:r>
      <w:r w:rsidR="00F034D8">
        <w:rPr>
          <w:sz w:val="28"/>
        </w:rPr>
        <w:t xml:space="preserve">in all other </w:t>
      </w:r>
      <w:r w:rsidR="003456DA">
        <w:rPr>
          <w:sz w:val="28"/>
        </w:rPr>
        <w:t>textual witnesses</w:t>
      </w:r>
      <w:r w:rsidR="00F034D8">
        <w:rPr>
          <w:sz w:val="28"/>
        </w:rPr>
        <w:t xml:space="preserve">, </w:t>
      </w:r>
      <w:r w:rsidR="003456DA">
        <w:rPr>
          <w:sz w:val="28"/>
        </w:rPr>
        <w:t>including</w:t>
      </w:r>
      <w:r w:rsidR="00F034D8">
        <w:rPr>
          <w:sz w:val="28"/>
        </w:rPr>
        <w:t xml:space="preserve"> that of B-M.</w:t>
      </w:r>
      <w:r w:rsidR="00FF7125">
        <w:rPr>
          <w:sz w:val="28"/>
        </w:rPr>
        <w:t xml:space="preserve"> </w:t>
      </w:r>
      <w:r w:rsidR="003456DA">
        <w:rPr>
          <w:sz w:val="28"/>
        </w:rPr>
        <w:t>The chapter order in the</w:t>
      </w:r>
      <w:r w:rsidR="00F034D8">
        <w:rPr>
          <w:sz w:val="28"/>
        </w:rPr>
        <w:t xml:space="preserve"> Leipzig fragments </w:t>
      </w:r>
      <w:r w:rsidR="003456DA">
        <w:rPr>
          <w:sz w:val="28"/>
        </w:rPr>
        <w:t>is</w:t>
      </w:r>
      <w:r w:rsidR="00F51215">
        <w:rPr>
          <w:sz w:val="28"/>
        </w:rPr>
        <w:t xml:space="preserve"> </w:t>
      </w:r>
      <w:r w:rsidR="008B4802" w:rsidRPr="00580669">
        <w:rPr>
          <w:i/>
          <w:iCs/>
          <w:sz w:val="28"/>
        </w:rPr>
        <w:t>Me’un</w:t>
      </w:r>
      <w:r w:rsidR="003456DA">
        <w:rPr>
          <w:i/>
          <w:iCs/>
          <w:sz w:val="28"/>
        </w:rPr>
        <w:t xml:space="preserve"> </w:t>
      </w:r>
      <w:r w:rsidR="003456DA">
        <w:rPr>
          <w:sz w:val="28"/>
        </w:rPr>
        <w:t>followed by</w:t>
      </w:r>
      <w:r w:rsidR="008B4802" w:rsidRPr="00580669">
        <w:rPr>
          <w:i/>
          <w:iCs/>
          <w:sz w:val="28"/>
        </w:rPr>
        <w:t xml:space="preserve"> Ketubot</w:t>
      </w:r>
      <w:r w:rsidR="008B4802">
        <w:rPr>
          <w:sz w:val="28"/>
        </w:rPr>
        <w:t xml:space="preserve"> as in R and V, whereas in B, M, and P</w:t>
      </w:r>
      <w:r w:rsidR="003456DA">
        <w:rPr>
          <w:sz w:val="28"/>
        </w:rPr>
        <w:t>,</w:t>
      </w:r>
      <w:r w:rsidR="008B4802">
        <w:rPr>
          <w:sz w:val="28"/>
        </w:rPr>
        <w:t xml:space="preserve"> </w:t>
      </w:r>
      <w:r w:rsidR="008B4802" w:rsidRPr="00580669">
        <w:rPr>
          <w:i/>
          <w:iCs/>
          <w:sz w:val="28"/>
        </w:rPr>
        <w:t>Ketubot</w:t>
      </w:r>
      <w:r w:rsidR="008B4802">
        <w:rPr>
          <w:sz w:val="28"/>
        </w:rPr>
        <w:t xml:space="preserve"> is </w:t>
      </w:r>
      <w:r w:rsidR="00652CEF">
        <w:rPr>
          <w:sz w:val="28"/>
        </w:rPr>
        <w:t xml:space="preserve">at </w:t>
      </w:r>
      <w:r w:rsidR="008B4802">
        <w:rPr>
          <w:sz w:val="28"/>
        </w:rPr>
        <w:t xml:space="preserve">the </w:t>
      </w:r>
      <w:r w:rsidR="003A2DC6">
        <w:rPr>
          <w:sz w:val="28"/>
        </w:rPr>
        <w:t>end</w:t>
      </w:r>
      <w:r w:rsidR="008B4802">
        <w:rPr>
          <w:sz w:val="28"/>
        </w:rPr>
        <w:t xml:space="preserve"> of </w:t>
      </w:r>
      <w:r w:rsidR="008B4802" w:rsidRPr="008B4802">
        <w:rPr>
          <w:i/>
          <w:iCs/>
          <w:sz w:val="28"/>
        </w:rPr>
        <w:t>Seder Nashim</w:t>
      </w:r>
      <w:r w:rsidR="00652CEF">
        <w:rPr>
          <w:i/>
          <w:iCs/>
          <w:sz w:val="28"/>
        </w:rPr>
        <w:t>,</w:t>
      </w:r>
      <w:r w:rsidR="008B4802">
        <w:rPr>
          <w:sz w:val="28"/>
        </w:rPr>
        <w:t xml:space="preserve"> after </w:t>
      </w:r>
      <w:r w:rsidR="008B4802" w:rsidRPr="00580669">
        <w:rPr>
          <w:i/>
          <w:iCs/>
          <w:sz w:val="28"/>
        </w:rPr>
        <w:t>Kiddushin</w:t>
      </w:r>
      <w:r w:rsidR="008B4802">
        <w:rPr>
          <w:sz w:val="28"/>
        </w:rPr>
        <w:t>.</w:t>
      </w:r>
      <w:r w:rsidR="001C5765">
        <w:rPr>
          <w:rStyle w:val="FootnoteReference"/>
          <w:sz w:val="28"/>
        </w:rPr>
        <w:footnoteReference w:id="24"/>
      </w:r>
      <w:r w:rsidR="008B4802">
        <w:rPr>
          <w:sz w:val="28"/>
        </w:rPr>
        <w:t xml:space="preserve"> </w:t>
      </w:r>
      <w:r w:rsidR="00652CEF">
        <w:rPr>
          <w:sz w:val="28"/>
        </w:rPr>
        <w:t>Likewise</w:t>
      </w:r>
      <w:r w:rsidR="0018264C">
        <w:rPr>
          <w:sz w:val="28"/>
        </w:rPr>
        <w:t>,</w:t>
      </w:r>
      <w:r w:rsidR="00652CEF">
        <w:rPr>
          <w:sz w:val="28"/>
        </w:rPr>
        <w:t xml:space="preserve"> the chapter order of the Leipzig fragments has </w:t>
      </w:r>
      <w:r w:rsidR="008B4802" w:rsidRPr="00580669">
        <w:rPr>
          <w:i/>
          <w:iCs/>
          <w:sz w:val="28"/>
        </w:rPr>
        <w:t>Nedarim</w:t>
      </w:r>
      <w:r w:rsidR="00652CEF">
        <w:rPr>
          <w:i/>
          <w:iCs/>
          <w:sz w:val="28"/>
        </w:rPr>
        <w:t xml:space="preserve"> </w:t>
      </w:r>
      <w:r w:rsidR="00652CEF">
        <w:rPr>
          <w:sz w:val="28"/>
        </w:rPr>
        <w:t>before</w:t>
      </w:r>
      <w:r w:rsidR="008B4802" w:rsidRPr="00580669">
        <w:rPr>
          <w:i/>
          <w:iCs/>
          <w:sz w:val="28"/>
        </w:rPr>
        <w:t xml:space="preserve"> Gittin</w:t>
      </w:r>
      <w:r w:rsidR="008B4802">
        <w:rPr>
          <w:sz w:val="28"/>
        </w:rPr>
        <w:t xml:space="preserve">. </w:t>
      </w:r>
      <w:r w:rsidR="003A2DC6">
        <w:rPr>
          <w:sz w:val="28"/>
        </w:rPr>
        <w:t xml:space="preserve">It </w:t>
      </w:r>
      <w:r w:rsidR="00652CEF">
        <w:rPr>
          <w:sz w:val="28"/>
        </w:rPr>
        <w:t xml:space="preserve">has </w:t>
      </w:r>
      <w:r w:rsidR="003A2DC6">
        <w:rPr>
          <w:sz w:val="28"/>
        </w:rPr>
        <w:t>long</w:t>
      </w:r>
      <w:r w:rsidR="00652CEF">
        <w:rPr>
          <w:sz w:val="28"/>
        </w:rPr>
        <w:t xml:space="preserve"> been</w:t>
      </w:r>
      <w:r w:rsidR="003A2DC6">
        <w:rPr>
          <w:sz w:val="28"/>
        </w:rPr>
        <w:t xml:space="preserve"> observed that B and M do not include the chapter of </w:t>
      </w:r>
      <w:r w:rsidR="003A2DC6" w:rsidRPr="00580669">
        <w:rPr>
          <w:i/>
          <w:iCs/>
          <w:sz w:val="28"/>
        </w:rPr>
        <w:t>Nedarim</w:t>
      </w:r>
      <w:r w:rsidR="003A2DC6">
        <w:rPr>
          <w:sz w:val="28"/>
        </w:rPr>
        <w:t xml:space="preserve">, and it </w:t>
      </w:r>
      <w:r w:rsidR="00652CEF">
        <w:rPr>
          <w:sz w:val="28"/>
        </w:rPr>
        <w:t>has been</w:t>
      </w:r>
      <w:r w:rsidR="003A2DC6">
        <w:rPr>
          <w:sz w:val="28"/>
        </w:rPr>
        <w:t xml:space="preserve"> argued that this chapter </w:t>
      </w:r>
      <w:r w:rsidR="00652CEF">
        <w:rPr>
          <w:sz w:val="28"/>
        </w:rPr>
        <w:t xml:space="preserve">was </w:t>
      </w:r>
      <w:r w:rsidR="003A2DC6">
        <w:rPr>
          <w:sz w:val="28"/>
        </w:rPr>
        <w:t>not</w:t>
      </w:r>
      <w:r w:rsidR="00652CEF">
        <w:rPr>
          <w:sz w:val="28"/>
        </w:rPr>
        <w:t xml:space="preserve"> part of the</w:t>
      </w:r>
      <w:r w:rsidR="003A2DC6">
        <w:rPr>
          <w:sz w:val="28"/>
        </w:rPr>
        <w:t xml:space="preserve"> original </w:t>
      </w:r>
      <w:r w:rsidR="00656607" w:rsidRPr="00656607">
        <w:rPr>
          <w:i/>
          <w:iCs/>
          <w:sz w:val="28"/>
        </w:rPr>
        <w:t>HG</w:t>
      </w:r>
      <w:r w:rsidR="003A2DC6">
        <w:rPr>
          <w:sz w:val="28"/>
        </w:rPr>
        <w:t xml:space="preserve">. </w:t>
      </w:r>
      <w:r w:rsidR="00652CEF">
        <w:rPr>
          <w:sz w:val="28"/>
        </w:rPr>
        <w:t>I have argued otherwise elsewhere</w:t>
      </w:r>
      <w:r w:rsidR="003A2DC6">
        <w:rPr>
          <w:sz w:val="28"/>
        </w:rPr>
        <w:t>, and</w:t>
      </w:r>
      <w:r w:rsidR="0018264C">
        <w:rPr>
          <w:sz w:val="28"/>
        </w:rPr>
        <w:t xml:space="preserve"> I</w:t>
      </w:r>
      <w:r w:rsidR="003A2DC6">
        <w:rPr>
          <w:sz w:val="28"/>
        </w:rPr>
        <w:t xml:space="preserve"> noted </w:t>
      </w:r>
      <w:r w:rsidR="00652CEF">
        <w:rPr>
          <w:sz w:val="28"/>
        </w:rPr>
        <w:t xml:space="preserve">there </w:t>
      </w:r>
      <w:r w:rsidR="003A2DC6">
        <w:rPr>
          <w:sz w:val="28"/>
        </w:rPr>
        <w:t xml:space="preserve">that there is no </w:t>
      </w:r>
      <w:r w:rsidR="00835DBF">
        <w:rPr>
          <w:sz w:val="28"/>
        </w:rPr>
        <w:t xml:space="preserve">positive </w:t>
      </w:r>
      <w:r w:rsidR="003A2DC6">
        <w:rPr>
          <w:sz w:val="28"/>
        </w:rPr>
        <w:t xml:space="preserve">evidence for the </w:t>
      </w:r>
      <w:r w:rsidR="00652CEF">
        <w:rPr>
          <w:sz w:val="28"/>
        </w:rPr>
        <w:t xml:space="preserve">absence </w:t>
      </w:r>
      <w:r w:rsidR="003A2DC6">
        <w:rPr>
          <w:sz w:val="28"/>
        </w:rPr>
        <w:t xml:space="preserve">of </w:t>
      </w:r>
      <w:r w:rsidR="003A2DC6" w:rsidRPr="00580669">
        <w:rPr>
          <w:i/>
          <w:iCs/>
          <w:sz w:val="28"/>
        </w:rPr>
        <w:t>Nedarim</w:t>
      </w:r>
      <w:r w:rsidR="003A2DC6">
        <w:rPr>
          <w:sz w:val="28"/>
        </w:rPr>
        <w:t xml:space="preserve"> </w:t>
      </w:r>
      <w:r w:rsidR="003A2DC6">
        <w:rPr>
          <w:sz w:val="28"/>
        </w:rPr>
        <w:lastRenderedPageBreak/>
        <w:t xml:space="preserve">in B, as the last pages of </w:t>
      </w:r>
      <w:r w:rsidR="003A2DC6" w:rsidRPr="008B4802">
        <w:rPr>
          <w:i/>
          <w:iCs/>
          <w:sz w:val="28"/>
        </w:rPr>
        <w:t>Seder Nashim</w:t>
      </w:r>
      <w:r w:rsidR="00835DBF">
        <w:rPr>
          <w:sz w:val="28"/>
        </w:rPr>
        <w:t xml:space="preserve"> are</w:t>
      </w:r>
      <w:r w:rsidR="003A2DC6">
        <w:rPr>
          <w:sz w:val="28"/>
        </w:rPr>
        <w:t xml:space="preserve"> missing </w:t>
      </w:r>
      <w:r w:rsidR="00835DBF">
        <w:rPr>
          <w:sz w:val="28"/>
        </w:rPr>
        <w:t>from</w:t>
      </w:r>
      <w:r w:rsidR="003A2DC6">
        <w:rPr>
          <w:sz w:val="28"/>
        </w:rPr>
        <w:t xml:space="preserve"> this manuscript.</w:t>
      </w:r>
      <w:r w:rsidR="00830C92">
        <w:rPr>
          <w:rStyle w:val="FootnoteReference"/>
          <w:sz w:val="28"/>
        </w:rPr>
        <w:footnoteReference w:id="25"/>
      </w:r>
      <w:r w:rsidR="003A2DC6">
        <w:rPr>
          <w:sz w:val="28"/>
        </w:rPr>
        <w:t xml:space="preserve"> In any case,</w:t>
      </w:r>
      <w:r w:rsidR="00AB7E5D">
        <w:rPr>
          <w:sz w:val="28"/>
        </w:rPr>
        <w:t xml:space="preserve"> </w:t>
      </w:r>
      <w:del w:id="79" w:author="Author">
        <w:r w:rsidR="00AB7E5D">
          <w:rPr>
            <w:sz w:val="28"/>
          </w:rPr>
          <w:delText>all of the</w:delText>
        </w:r>
      </w:del>
      <w:ins w:id="80" w:author="Author">
        <w:r w:rsidR="00F07CD0">
          <w:rPr>
            <w:sz w:val="28"/>
          </w:rPr>
          <w:t>while</w:t>
        </w:r>
      </w:ins>
      <w:r w:rsidR="00AB7E5D">
        <w:rPr>
          <w:sz w:val="28"/>
        </w:rPr>
        <w:t xml:space="preserve"> other </w:t>
      </w:r>
      <w:r w:rsidR="00652CEF">
        <w:rPr>
          <w:sz w:val="28"/>
        </w:rPr>
        <w:t xml:space="preserve">textual witnesses </w:t>
      </w:r>
      <w:r w:rsidR="00AB7E5D">
        <w:rPr>
          <w:sz w:val="28"/>
        </w:rPr>
        <w:t xml:space="preserve">place </w:t>
      </w:r>
      <w:r w:rsidR="00AB7E5D" w:rsidRPr="00580669">
        <w:rPr>
          <w:i/>
          <w:iCs/>
          <w:sz w:val="28"/>
        </w:rPr>
        <w:t>Nedarim</w:t>
      </w:r>
      <w:r w:rsidR="00AB7E5D">
        <w:rPr>
          <w:sz w:val="28"/>
        </w:rPr>
        <w:t xml:space="preserve"> </w:t>
      </w:r>
      <w:r w:rsidR="00835DBF">
        <w:rPr>
          <w:sz w:val="28"/>
        </w:rPr>
        <w:t>at</w:t>
      </w:r>
      <w:r w:rsidR="00AB7E5D">
        <w:rPr>
          <w:sz w:val="28"/>
        </w:rPr>
        <w:t xml:space="preserve"> the end of </w:t>
      </w:r>
      <w:r w:rsidR="00AB7E5D" w:rsidRPr="008B4802">
        <w:rPr>
          <w:i/>
          <w:iCs/>
          <w:sz w:val="28"/>
        </w:rPr>
        <w:t>Seder Nashim</w:t>
      </w:r>
      <w:r w:rsidR="00AB7E5D">
        <w:rPr>
          <w:sz w:val="28"/>
        </w:rPr>
        <w:t xml:space="preserve">, </w:t>
      </w:r>
      <w:del w:id="81" w:author="Author">
        <w:r w:rsidR="00AB7E5D">
          <w:rPr>
            <w:sz w:val="28"/>
          </w:rPr>
          <w:delText xml:space="preserve">and </w:delText>
        </w:r>
      </w:del>
      <w:r w:rsidR="00AB7E5D">
        <w:rPr>
          <w:sz w:val="28"/>
        </w:rPr>
        <w:t xml:space="preserve">the order of </w:t>
      </w:r>
      <w:r w:rsidR="00AB7E5D" w:rsidRPr="00580669">
        <w:rPr>
          <w:i/>
          <w:iCs/>
          <w:sz w:val="28"/>
        </w:rPr>
        <w:t>N</w:t>
      </w:r>
      <w:r w:rsidR="00AB7E5D">
        <w:rPr>
          <w:i/>
          <w:iCs/>
          <w:sz w:val="28"/>
        </w:rPr>
        <w:t>edarim</w:t>
      </w:r>
      <w:r w:rsidR="00AB7E5D">
        <w:rPr>
          <w:sz w:val="28"/>
        </w:rPr>
        <w:t xml:space="preserve"> before </w:t>
      </w:r>
      <w:r w:rsidR="00AB7E5D" w:rsidRPr="00580669">
        <w:rPr>
          <w:i/>
          <w:iCs/>
          <w:sz w:val="28"/>
        </w:rPr>
        <w:t>Gittin</w:t>
      </w:r>
      <w:r w:rsidR="00AB7E5D">
        <w:rPr>
          <w:sz w:val="28"/>
        </w:rPr>
        <w:t xml:space="preserve"> is found only in V and R!</w:t>
      </w:r>
      <w:r w:rsidR="004970A9">
        <w:rPr>
          <w:rStyle w:val="FootnoteReference"/>
          <w:sz w:val="28"/>
        </w:rPr>
        <w:footnoteReference w:id="26"/>
      </w:r>
      <w:r w:rsidR="00AB7E5D">
        <w:rPr>
          <w:sz w:val="28"/>
        </w:rPr>
        <w:t xml:space="preserve"> </w:t>
      </w:r>
      <w:del w:id="82" w:author="Author">
        <w:r w:rsidR="00652CEF">
          <w:rPr>
            <w:sz w:val="28"/>
          </w:rPr>
          <w:delText>T</w:delText>
        </w:r>
        <w:r w:rsidR="00766ECA">
          <w:rPr>
            <w:sz w:val="28"/>
          </w:rPr>
          <w:delText xml:space="preserve">he </w:delText>
        </w:r>
      </w:del>
      <w:ins w:id="83" w:author="Author">
        <w:r w:rsidR="00AB7E5D">
          <w:rPr>
            <w:sz w:val="28"/>
          </w:rPr>
          <w:t>This is the case also with</w:t>
        </w:r>
        <w:r w:rsidR="00766ECA">
          <w:rPr>
            <w:sz w:val="28"/>
          </w:rPr>
          <w:t xml:space="preserve"> the </w:t>
        </w:r>
      </w:ins>
      <w:r w:rsidR="00766ECA">
        <w:rPr>
          <w:sz w:val="28"/>
        </w:rPr>
        <w:t xml:space="preserve">three chapters </w:t>
      </w:r>
      <w:r w:rsidR="00766ECA" w:rsidRPr="00580669">
        <w:rPr>
          <w:i/>
          <w:iCs/>
          <w:sz w:val="28"/>
        </w:rPr>
        <w:t xml:space="preserve">Niduy, Halva’ah, </w:t>
      </w:r>
      <w:r w:rsidR="00766ECA" w:rsidRPr="00580669">
        <w:rPr>
          <w:sz w:val="28"/>
        </w:rPr>
        <w:t xml:space="preserve">and </w:t>
      </w:r>
      <w:r w:rsidR="00766ECA" w:rsidRPr="00580669">
        <w:rPr>
          <w:i/>
          <w:iCs/>
          <w:sz w:val="28"/>
        </w:rPr>
        <w:t>Bava Batra</w:t>
      </w:r>
      <w:r w:rsidR="00766ECA">
        <w:rPr>
          <w:sz w:val="28"/>
        </w:rPr>
        <w:t xml:space="preserve"> </w:t>
      </w:r>
      <w:del w:id="84" w:author="Author">
        <w:r w:rsidR="00652CEF">
          <w:rPr>
            <w:sz w:val="28"/>
          </w:rPr>
          <w:delText xml:space="preserve">are placed in that </w:delText>
        </w:r>
      </w:del>
      <w:ins w:id="85" w:author="Author">
        <w:r w:rsidR="00766ECA">
          <w:rPr>
            <w:sz w:val="28"/>
          </w:rPr>
          <w:t xml:space="preserve">– </w:t>
        </w:r>
        <w:del w:id="86" w:author="Author">
          <w:r w:rsidR="00766ECA" w:rsidDel="009452C3">
            <w:rPr>
              <w:sz w:val="28"/>
            </w:rPr>
            <w:delText xml:space="preserve">so </w:delText>
          </w:r>
        </w:del>
        <w:r w:rsidR="009452C3">
          <w:rPr>
            <w:sz w:val="28"/>
          </w:rPr>
          <w:t xml:space="preserve">that </w:t>
        </w:r>
        <w:r w:rsidR="00766ECA">
          <w:rPr>
            <w:sz w:val="28"/>
          </w:rPr>
          <w:t xml:space="preserve">is the </w:t>
        </w:r>
      </w:ins>
      <w:r w:rsidR="00766ECA">
        <w:rPr>
          <w:sz w:val="28"/>
        </w:rPr>
        <w:t>order in the Leipzig fragments</w:t>
      </w:r>
      <w:del w:id="87" w:author="Author">
        <w:r w:rsidR="00766ECA" w:rsidDel="00427EB7">
          <w:rPr>
            <w:sz w:val="28"/>
          </w:rPr>
          <w:delText>,</w:delText>
        </w:r>
      </w:del>
      <w:r w:rsidR="00766ECA">
        <w:rPr>
          <w:sz w:val="28"/>
        </w:rPr>
        <w:t xml:space="preserve"> </w:t>
      </w:r>
      <w:del w:id="88" w:author="Author">
        <w:r w:rsidR="00652CEF">
          <w:rPr>
            <w:sz w:val="28"/>
          </w:rPr>
          <w:delText>matching</w:delText>
        </w:r>
      </w:del>
      <w:ins w:id="89" w:author="Author">
        <w:r w:rsidR="00766ECA">
          <w:rPr>
            <w:sz w:val="28"/>
          </w:rPr>
          <w:t xml:space="preserve">and </w:t>
        </w:r>
        <w:del w:id="90" w:author="Author">
          <w:r w:rsidR="00766ECA" w:rsidDel="00427EB7">
            <w:rPr>
              <w:sz w:val="28"/>
            </w:rPr>
            <w:delText>this is</w:delText>
          </w:r>
        </w:del>
      </w:ins>
      <w:del w:id="91" w:author="Author">
        <w:r w:rsidR="00766ECA" w:rsidDel="00427EB7">
          <w:rPr>
            <w:sz w:val="28"/>
          </w:rPr>
          <w:delText xml:space="preserve"> </w:delText>
        </w:r>
      </w:del>
      <w:r w:rsidR="00766ECA">
        <w:rPr>
          <w:sz w:val="28"/>
        </w:rPr>
        <w:t xml:space="preserve">the order in R. Although the chapters of </w:t>
      </w:r>
      <w:r w:rsidR="00766ECA" w:rsidRPr="00580669">
        <w:rPr>
          <w:i/>
          <w:iCs/>
          <w:sz w:val="28"/>
        </w:rPr>
        <w:t>Niduy</w:t>
      </w:r>
      <w:r w:rsidR="00766ECA">
        <w:rPr>
          <w:sz w:val="28"/>
        </w:rPr>
        <w:t xml:space="preserve"> and</w:t>
      </w:r>
      <w:r w:rsidR="00766ECA" w:rsidRPr="00580669">
        <w:rPr>
          <w:i/>
          <w:iCs/>
          <w:sz w:val="28"/>
        </w:rPr>
        <w:t xml:space="preserve"> Halva’ah</w:t>
      </w:r>
      <w:r w:rsidR="00766ECA">
        <w:rPr>
          <w:sz w:val="28"/>
        </w:rPr>
        <w:t xml:space="preserve"> are missing in P, it is </w:t>
      </w:r>
      <w:r w:rsidR="00652CEF">
        <w:rPr>
          <w:sz w:val="28"/>
        </w:rPr>
        <w:t>probable</w:t>
      </w:r>
      <w:r w:rsidR="00766ECA">
        <w:rPr>
          <w:sz w:val="28"/>
        </w:rPr>
        <w:t xml:space="preserve"> that in this case R and P share the same tradition. However, in B-M</w:t>
      </w:r>
      <w:r w:rsidR="00A01ACA">
        <w:rPr>
          <w:sz w:val="28"/>
        </w:rPr>
        <w:t xml:space="preserve"> and</w:t>
      </w:r>
      <w:r w:rsidR="00B561C6">
        <w:rPr>
          <w:sz w:val="28"/>
        </w:rPr>
        <w:t xml:space="preserve"> V</w:t>
      </w:r>
      <w:r w:rsidR="00652CEF">
        <w:rPr>
          <w:sz w:val="28"/>
        </w:rPr>
        <w:t>,</w:t>
      </w:r>
      <w:r w:rsidR="00B561C6">
        <w:rPr>
          <w:sz w:val="28"/>
        </w:rPr>
        <w:t xml:space="preserve"> the order is</w:t>
      </w:r>
      <w:r w:rsidR="00766ECA">
        <w:rPr>
          <w:sz w:val="28"/>
        </w:rPr>
        <w:t xml:space="preserve"> </w:t>
      </w:r>
      <w:r w:rsidR="00766ECA" w:rsidRPr="00580669">
        <w:rPr>
          <w:i/>
          <w:iCs/>
          <w:sz w:val="28"/>
        </w:rPr>
        <w:t>Bava Batra</w:t>
      </w:r>
      <w:r w:rsidR="00766ECA">
        <w:rPr>
          <w:i/>
          <w:iCs/>
          <w:sz w:val="28"/>
        </w:rPr>
        <w:t>,</w:t>
      </w:r>
      <w:r w:rsidR="00766ECA" w:rsidRPr="00580669">
        <w:rPr>
          <w:i/>
          <w:iCs/>
          <w:sz w:val="28"/>
        </w:rPr>
        <w:t xml:space="preserve"> Niduy, </w:t>
      </w:r>
      <w:r w:rsidR="00766ECA" w:rsidRPr="00B561C6">
        <w:rPr>
          <w:i/>
          <w:iCs/>
          <w:sz w:val="28"/>
        </w:rPr>
        <w:t>Na</w:t>
      </w:r>
      <w:r w:rsidR="00B561C6" w:rsidRPr="00B561C6">
        <w:rPr>
          <w:i/>
          <w:iCs/>
          <w:sz w:val="28"/>
        </w:rPr>
        <w:t>h</w:t>
      </w:r>
      <w:r w:rsidR="00B561C6">
        <w:rPr>
          <w:i/>
          <w:iCs/>
          <w:sz w:val="28"/>
        </w:rPr>
        <w:t>a</w:t>
      </w:r>
      <w:r w:rsidR="00A01ACA">
        <w:rPr>
          <w:i/>
          <w:iCs/>
          <w:sz w:val="28"/>
        </w:rPr>
        <w:t>l</w:t>
      </w:r>
      <w:r w:rsidR="00B561C6" w:rsidRPr="00B561C6">
        <w:rPr>
          <w:i/>
          <w:iCs/>
          <w:sz w:val="28"/>
        </w:rPr>
        <w:t>ot</w:t>
      </w:r>
      <w:r w:rsidR="00E92F02">
        <w:rPr>
          <w:i/>
          <w:iCs/>
          <w:sz w:val="28"/>
        </w:rPr>
        <w:t>,</w:t>
      </w:r>
      <w:r w:rsidR="00B561C6">
        <w:rPr>
          <w:sz w:val="28"/>
        </w:rPr>
        <w:t xml:space="preserve"> and </w:t>
      </w:r>
      <w:r w:rsidR="00766ECA" w:rsidRPr="00B561C6">
        <w:rPr>
          <w:i/>
          <w:iCs/>
          <w:sz w:val="28"/>
        </w:rPr>
        <w:t>Halva’ah</w:t>
      </w:r>
      <w:r w:rsidR="00B561C6">
        <w:rPr>
          <w:sz w:val="28"/>
        </w:rPr>
        <w:t>.</w:t>
      </w:r>
      <w:r w:rsidR="004970A9">
        <w:rPr>
          <w:rStyle w:val="FootnoteReference"/>
          <w:sz w:val="28"/>
        </w:rPr>
        <w:footnoteReference w:id="27"/>
      </w:r>
      <w:r w:rsidR="00B561C6">
        <w:rPr>
          <w:sz w:val="28"/>
        </w:rPr>
        <w:t xml:space="preserve"> </w:t>
      </w:r>
      <w:r w:rsidR="005959F3">
        <w:rPr>
          <w:sz w:val="28"/>
        </w:rPr>
        <w:t>To sum up</w:t>
      </w:r>
      <w:r w:rsidR="00B561C6">
        <w:rPr>
          <w:sz w:val="28"/>
        </w:rPr>
        <w:t xml:space="preserve">, in all three </w:t>
      </w:r>
      <w:r w:rsidR="00026FCA">
        <w:rPr>
          <w:sz w:val="28"/>
        </w:rPr>
        <w:t xml:space="preserve">of the </w:t>
      </w:r>
      <w:r w:rsidR="00B561C6">
        <w:rPr>
          <w:sz w:val="28"/>
        </w:rPr>
        <w:t xml:space="preserve">cases </w:t>
      </w:r>
      <w:r w:rsidR="00D410E7">
        <w:rPr>
          <w:sz w:val="28"/>
        </w:rPr>
        <w:t xml:space="preserve">for which there is evidence </w:t>
      </w:r>
      <w:r w:rsidR="00652CEF">
        <w:rPr>
          <w:sz w:val="28"/>
        </w:rPr>
        <w:t xml:space="preserve">of chapter order </w:t>
      </w:r>
      <w:r w:rsidR="00D410E7">
        <w:rPr>
          <w:sz w:val="28"/>
        </w:rPr>
        <w:t xml:space="preserve">in </w:t>
      </w:r>
      <w:r w:rsidR="00B561C6">
        <w:rPr>
          <w:sz w:val="28"/>
        </w:rPr>
        <w:t>the Leipzig fragments</w:t>
      </w:r>
      <w:r w:rsidR="00D410E7">
        <w:rPr>
          <w:sz w:val="28"/>
        </w:rPr>
        <w:t xml:space="preserve">, </w:t>
      </w:r>
      <w:r w:rsidR="005C63D4">
        <w:rPr>
          <w:sz w:val="28"/>
        </w:rPr>
        <w:t>these fragments</w:t>
      </w:r>
      <w:r w:rsidR="00B561C6">
        <w:rPr>
          <w:sz w:val="28"/>
        </w:rPr>
        <w:t xml:space="preserve"> </w:t>
      </w:r>
      <w:r w:rsidR="00652CEF">
        <w:rPr>
          <w:sz w:val="28"/>
        </w:rPr>
        <w:t>exactly match</w:t>
      </w:r>
      <w:r w:rsidR="00B561C6">
        <w:rPr>
          <w:sz w:val="28"/>
        </w:rPr>
        <w:t xml:space="preserve"> R </w:t>
      </w:r>
      <w:r w:rsidR="00652CEF">
        <w:rPr>
          <w:sz w:val="28"/>
        </w:rPr>
        <w:t xml:space="preserve">in contrast to </w:t>
      </w:r>
      <w:r w:rsidR="00B561C6">
        <w:rPr>
          <w:sz w:val="28"/>
        </w:rPr>
        <w:t xml:space="preserve">other manuscripts. </w:t>
      </w:r>
      <w:r w:rsidR="00652CEF">
        <w:rPr>
          <w:sz w:val="28"/>
        </w:rPr>
        <w:t>Most significantly, the order is different from</w:t>
      </w:r>
      <w:r w:rsidR="00B561C6">
        <w:rPr>
          <w:sz w:val="28"/>
        </w:rPr>
        <w:t xml:space="preserve"> B-M in all three cases!</w:t>
      </w:r>
    </w:p>
    <w:p w14:paraId="73A08389" w14:textId="77777777" w:rsidR="007B323B" w:rsidRDefault="007B323B" w:rsidP="0063582F">
      <w:pPr>
        <w:bidi w:val="0"/>
        <w:spacing w:line="360" w:lineRule="auto"/>
        <w:ind w:left="-426" w:firstLine="426"/>
        <w:jc w:val="both"/>
        <w:rPr>
          <w:sz w:val="28"/>
        </w:rPr>
      </w:pPr>
    </w:p>
    <w:p w14:paraId="6FE30F4F" w14:textId="77777777" w:rsidR="007B323B" w:rsidRPr="000F5BF7" w:rsidRDefault="007B323B" w:rsidP="0063582F">
      <w:pPr>
        <w:bidi w:val="0"/>
        <w:spacing w:line="360" w:lineRule="auto"/>
        <w:ind w:left="-426" w:firstLine="426"/>
        <w:jc w:val="both"/>
        <w:rPr>
          <w:b/>
          <w:bCs/>
          <w:sz w:val="28"/>
        </w:rPr>
      </w:pPr>
      <w:r w:rsidRPr="000F5BF7">
        <w:rPr>
          <w:b/>
          <w:bCs/>
          <w:sz w:val="28"/>
        </w:rPr>
        <w:t>Conclusion</w:t>
      </w:r>
    </w:p>
    <w:p w14:paraId="74CF434E" w14:textId="38067AB7" w:rsidR="00B561C6" w:rsidRDefault="00652CEF">
      <w:pPr>
        <w:bidi w:val="0"/>
        <w:spacing w:line="360" w:lineRule="auto"/>
        <w:ind w:left="-426" w:firstLine="426"/>
        <w:jc w:val="both"/>
        <w:rPr>
          <w:sz w:val="28"/>
        </w:rPr>
      </w:pPr>
      <w:r>
        <w:rPr>
          <w:sz w:val="28"/>
        </w:rPr>
        <w:t>H</w:t>
      </w:r>
      <w:r w:rsidR="00A01ACA">
        <w:rPr>
          <w:sz w:val="28"/>
        </w:rPr>
        <w:t xml:space="preserve">ere is the problem we are facing: If the Bologna fragment is an Italian manuscript, </w:t>
      </w:r>
      <w:r>
        <w:rPr>
          <w:sz w:val="28"/>
        </w:rPr>
        <w:t>one would expect</w:t>
      </w:r>
      <w:r w:rsidR="00A01ACA">
        <w:rPr>
          <w:sz w:val="28"/>
        </w:rPr>
        <w:t xml:space="preserve"> that it </w:t>
      </w:r>
      <w:r>
        <w:rPr>
          <w:sz w:val="28"/>
        </w:rPr>
        <w:t xml:space="preserve">would </w:t>
      </w:r>
      <w:r w:rsidR="00A01ACA">
        <w:rPr>
          <w:sz w:val="28"/>
        </w:rPr>
        <w:t>be associate</w:t>
      </w:r>
      <w:r>
        <w:rPr>
          <w:sz w:val="28"/>
        </w:rPr>
        <w:t>d</w:t>
      </w:r>
      <w:r w:rsidR="00A01ACA">
        <w:rPr>
          <w:sz w:val="28"/>
        </w:rPr>
        <w:t xml:space="preserve"> with the B-M recension. </w:t>
      </w:r>
      <w:r>
        <w:rPr>
          <w:sz w:val="28"/>
        </w:rPr>
        <w:t>In fact</w:t>
      </w:r>
      <w:r w:rsidR="00090B7E">
        <w:rPr>
          <w:sz w:val="28"/>
        </w:rPr>
        <w:t>, d</w:t>
      </w:r>
      <w:r w:rsidR="00A01ACA">
        <w:rPr>
          <w:sz w:val="28"/>
        </w:rPr>
        <w:t xml:space="preserve">espite </w:t>
      </w:r>
      <w:r w:rsidR="00090B7E">
        <w:rPr>
          <w:sz w:val="28"/>
        </w:rPr>
        <w:t xml:space="preserve">the short text of the fragment, this association has been successfully </w:t>
      </w:r>
      <w:r>
        <w:rPr>
          <w:sz w:val="28"/>
        </w:rPr>
        <w:t xml:space="preserve">established through </w:t>
      </w:r>
      <w:r w:rsidR="00090B7E">
        <w:rPr>
          <w:sz w:val="28"/>
        </w:rPr>
        <w:t xml:space="preserve">one clear and satisfying </w:t>
      </w:r>
      <w:r>
        <w:rPr>
          <w:sz w:val="28"/>
        </w:rPr>
        <w:t>piece of evidence</w:t>
      </w:r>
      <w:r w:rsidR="00090B7E">
        <w:rPr>
          <w:sz w:val="28"/>
        </w:rPr>
        <w:t>. On the other hand, if the Bologna fragment and the Leipzig fragments are parts of the same manuscript, which I</w:t>
      </w:r>
      <w:r w:rsidR="0056717E">
        <w:rPr>
          <w:sz w:val="28"/>
        </w:rPr>
        <w:t xml:space="preserve"> do not doubt, the</w:t>
      </w:r>
      <w:r w:rsidR="00090B7E">
        <w:rPr>
          <w:sz w:val="28"/>
        </w:rPr>
        <w:t xml:space="preserve">n how </w:t>
      </w:r>
      <w:r>
        <w:rPr>
          <w:sz w:val="28"/>
        </w:rPr>
        <w:t xml:space="preserve">do </w:t>
      </w:r>
      <w:r w:rsidR="00090B7E">
        <w:rPr>
          <w:sz w:val="28"/>
        </w:rPr>
        <w:t xml:space="preserve">we explain the fact that the </w:t>
      </w:r>
      <w:r w:rsidR="002445B7">
        <w:rPr>
          <w:sz w:val="28"/>
        </w:rPr>
        <w:t xml:space="preserve">order of chapters in the </w:t>
      </w:r>
      <w:r w:rsidR="00090B7E">
        <w:rPr>
          <w:sz w:val="28"/>
        </w:rPr>
        <w:t>Leipzig fragments</w:t>
      </w:r>
      <w:r w:rsidR="0056717E">
        <w:rPr>
          <w:sz w:val="28"/>
        </w:rPr>
        <w:t xml:space="preserve"> </w:t>
      </w:r>
      <w:r w:rsidR="002445B7">
        <w:rPr>
          <w:sz w:val="28"/>
        </w:rPr>
        <w:t>is</w:t>
      </w:r>
      <w:r w:rsidR="0056717E">
        <w:rPr>
          <w:sz w:val="28"/>
        </w:rPr>
        <w:t xml:space="preserve"> identical </w:t>
      </w:r>
      <w:r w:rsidR="00D92D20">
        <w:rPr>
          <w:sz w:val="28"/>
        </w:rPr>
        <w:t xml:space="preserve">to </w:t>
      </w:r>
      <w:r w:rsidR="00403651">
        <w:rPr>
          <w:sz w:val="28"/>
        </w:rPr>
        <w:t>that of</w:t>
      </w:r>
      <w:r w:rsidR="0056717E">
        <w:rPr>
          <w:sz w:val="28"/>
        </w:rPr>
        <w:t xml:space="preserve"> the </w:t>
      </w:r>
      <w:r w:rsidR="006448C8">
        <w:rPr>
          <w:sz w:val="28"/>
        </w:rPr>
        <w:t xml:space="preserve">Ashkenazic </w:t>
      </w:r>
      <w:r w:rsidR="0056717E">
        <w:rPr>
          <w:sz w:val="28"/>
        </w:rPr>
        <w:t>manuscript R and diverge</w:t>
      </w:r>
      <w:r w:rsidR="00403651">
        <w:rPr>
          <w:sz w:val="28"/>
        </w:rPr>
        <w:t>s</w:t>
      </w:r>
      <w:r w:rsidR="0056717E">
        <w:rPr>
          <w:sz w:val="28"/>
        </w:rPr>
        <w:t xml:space="preserve"> completely from</w:t>
      </w:r>
      <w:r w:rsidR="00090B7E">
        <w:rPr>
          <w:sz w:val="28"/>
        </w:rPr>
        <w:t xml:space="preserve"> </w:t>
      </w:r>
      <w:r w:rsidR="0056717E">
        <w:rPr>
          <w:sz w:val="28"/>
        </w:rPr>
        <w:t xml:space="preserve">B-M? </w:t>
      </w:r>
      <w:r w:rsidR="001600FD">
        <w:rPr>
          <w:sz w:val="28"/>
        </w:rPr>
        <w:t xml:space="preserve">Perani </w:t>
      </w:r>
      <w:r w:rsidR="00EC2D40">
        <w:rPr>
          <w:sz w:val="28"/>
        </w:rPr>
        <w:t>identifi</w:t>
      </w:r>
      <w:r w:rsidR="004C0940">
        <w:rPr>
          <w:sz w:val="28"/>
        </w:rPr>
        <w:t xml:space="preserve">ed the script of </w:t>
      </w:r>
      <w:r w:rsidR="00EC2D40">
        <w:rPr>
          <w:sz w:val="28"/>
        </w:rPr>
        <w:t xml:space="preserve">the manuscript </w:t>
      </w:r>
      <w:r w:rsidR="008F3E66">
        <w:rPr>
          <w:sz w:val="28"/>
        </w:rPr>
        <w:t>that is</w:t>
      </w:r>
      <w:r w:rsidR="00EC2D40">
        <w:rPr>
          <w:sz w:val="28"/>
        </w:rPr>
        <w:t xml:space="preserve"> </w:t>
      </w:r>
      <w:r w:rsidR="00403651">
        <w:rPr>
          <w:sz w:val="28"/>
        </w:rPr>
        <w:t>the source of</w:t>
      </w:r>
      <w:r w:rsidR="00EC2D40">
        <w:rPr>
          <w:sz w:val="28"/>
        </w:rPr>
        <w:t xml:space="preserve"> both fragments as </w:t>
      </w:r>
      <w:r w:rsidR="008F3E66">
        <w:rPr>
          <w:sz w:val="28"/>
        </w:rPr>
        <w:t>a</w:t>
      </w:r>
      <w:r w:rsidR="00EC2D40">
        <w:rPr>
          <w:sz w:val="28"/>
        </w:rPr>
        <w:t xml:space="preserve"> </w:t>
      </w:r>
      <w:r w:rsidR="008F3E66">
        <w:rPr>
          <w:sz w:val="28"/>
        </w:rPr>
        <w:t>‘t</w:t>
      </w:r>
      <w:r w:rsidR="008F3E66" w:rsidRPr="008F3E66">
        <w:rPr>
          <w:sz w:val="28"/>
        </w:rPr>
        <w:t>ypic</w:t>
      </w:r>
      <w:r w:rsidR="008F3E66">
        <w:rPr>
          <w:sz w:val="28"/>
        </w:rPr>
        <w:t>al Italian script of the 12th c.</w:t>
      </w:r>
      <w:r w:rsidR="006448C8">
        <w:rPr>
          <w:sz w:val="28"/>
        </w:rPr>
        <w:t>,</w:t>
      </w:r>
      <w:r w:rsidR="008F3E66">
        <w:rPr>
          <w:sz w:val="28"/>
        </w:rPr>
        <w:t>’</w:t>
      </w:r>
      <w:r w:rsidR="00EC2D40">
        <w:rPr>
          <w:sz w:val="28"/>
        </w:rPr>
        <w:t xml:space="preserve"> and </w:t>
      </w:r>
      <w:del w:id="92" w:author="Author">
        <w:r w:rsidR="00403651">
          <w:rPr>
            <w:sz w:val="28"/>
          </w:rPr>
          <w:delText>described</w:delText>
        </w:r>
      </w:del>
      <w:ins w:id="93" w:author="Author">
        <w:del w:id="94" w:author="Author">
          <w:r w:rsidR="00EC2D40" w:rsidDel="00427EB7">
            <w:rPr>
              <w:sz w:val="28"/>
            </w:rPr>
            <w:delText>revealed most amazingly</w:delText>
          </w:r>
        </w:del>
        <w:r w:rsidR="00427EB7">
          <w:rPr>
            <w:sz w:val="28"/>
          </w:rPr>
          <w:t xml:space="preserve">offers a </w:t>
        </w:r>
        <w:r w:rsidR="001A59CA">
          <w:rPr>
            <w:sz w:val="28"/>
          </w:rPr>
          <w:t>remarkable description of</w:t>
        </w:r>
      </w:ins>
      <w:r w:rsidR="00EC2D40">
        <w:rPr>
          <w:sz w:val="28"/>
        </w:rPr>
        <w:t xml:space="preserve"> the </w:t>
      </w:r>
      <w:del w:id="95" w:author="Author">
        <w:r w:rsidR="00EC2D40">
          <w:rPr>
            <w:sz w:val="28"/>
          </w:rPr>
          <w:delText xml:space="preserve">amazing </w:delText>
        </w:r>
      </w:del>
      <w:r w:rsidR="00EC2D40">
        <w:rPr>
          <w:sz w:val="28"/>
        </w:rPr>
        <w:t xml:space="preserve">journey of </w:t>
      </w:r>
      <w:r w:rsidR="002445B7">
        <w:rPr>
          <w:sz w:val="28"/>
        </w:rPr>
        <w:t xml:space="preserve">the folios from Bologna </w:t>
      </w:r>
      <w:r w:rsidR="00EC2D40">
        <w:rPr>
          <w:sz w:val="28"/>
        </w:rPr>
        <w:t xml:space="preserve">to </w:t>
      </w:r>
      <w:r w:rsidR="002445B7">
        <w:rPr>
          <w:sz w:val="28"/>
        </w:rPr>
        <w:t xml:space="preserve">Leipzig. The Italian origin and provenance of the manuscript </w:t>
      </w:r>
      <w:r w:rsidR="00D92D20">
        <w:rPr>
          <w:sz w:val="28"/>
        </w:rPr>
        <w:t xml:space="preserve">are </w:t>
      </w:r>
      <w:r w:rsidR="002445B7">
        <w:rPr>
          <w:sz w:val="28"/>
        </w:rPr>
        <w:t>therefore beyond any doubt.</w:t>
      </w:r>
      <w:r w:rsidR="0056717E">
        <w:rPr>
          <w:sz w:val="28"/>
        </w:rPr>
        <w:t xml:space="preserve"> </w:t>
      </w:r>
      <w:r w:rsidR="002445B7">
        <w:rPr>
          <w:sz w:val="28"/>
        </w:rPr>
        <w:t xml:space="preserve">However, </w:t>
      </w:r>
      <w:r w:rsidR="0056717E">
        <w:rPr>
          <w:sz w:val="28"/>
        </w:rPr>
        <w:t xml:space="preserve">the </w:t>
      </w:r>
      <w:r w:rsidR="00403651">
        <w:rPr>
          <w:sz w:val="28"/>
        </w:rPr>
        <w:t xml:space="preserve">specific </w:t>
      </w:r>
      <w:r w:rsidR="0056717E">
        <w:rPr>
          <w:sz w:val="28"/>
        </w:rPr>
        <w:t xml:space="preserve">textual tradition of the </w:t>
      </w:r>
      <w:r w:rsidR="002445B7">
        <w:rPr>
          <w:sz w:val="28"/>
        </w:rPr>
        <w:t>manuscript</w:t>
      </w:r>
      <w:r w:rsidR="00B167FE">
        <w:rPr>
          <w:sz w:val="28"/>
        </w:rPr>
        <w:t xml:space="preserve"> </w:t>
      </w:r>
      <w:r w:rsidR="0033408C">
        <w:rPr>
          <w:sz w:val="28"/>
        </w:rPr>
        <w:t xml:space="preserve">as a whole is still dubious and </w:t>
      </w:r>
      <w:r w:rsidR="008F3E66">
        <w:rPr>
          <w:sz w:val="28"/>
        </w:rPr>
        <w:t xml:space="preserve">should </w:t>
      </w:r>
      <w:r w:rsidR="00B167FE">
        <w:rPr>
          <w:sz w:val="28"/>
        </w:rPr>
        <w:t xml:space="preserve">be determined only after a further comprehensive study of the Leipzig fragments, a study which I hope to </w:t>
      </w:r>
      <w:r w:rsidR="006448C8">
        <w:rPr>
          <w:sz w:val="28"/>
        </w:rPr>
        <w:t xml:space="preserve">accomplish </w:t>
      </w:r>
      <w:r w:rsidR="00B167FE">
        <w:rPr>
          <w:sz w:val="28"/>
        </w:rPr>
        <w:t>in the future.</w:t>
      </w:r>
    </w:p>
    <w:p w14:paraId="4E56000B" w14:textId="77777777" w:rsidR="00D76000" w:rsidRDefault="00D76000" w:rsidP="0063582F">
      <w:pPr>
        <w:bidi w:val="0"/>
        <w:spacing w:line="360" w:lineRule="auto"/>
        <w:ind w:left="-426" w:firstLine="426"/>
        <w:jc w:val="both"/>
        <w:rPr>
          <w:b/>
          <w:bCs/>
          <w:sz w:val="28"/>
        </w:rPr>
      </w:pPr>
    </w:p>
    <w:p w14:paraId="544C97D0" w14:textId="77777777" w:rsidR="00FB4856" w:rsidRPr="007F1F8C" w:rsidRDefault="00FB4856">
      <w:pPr>
        <w:spacing w:line="259" w:lineRule="auto"/>
        <w:jc w:val="both"/>
        <w:rPr>
          <w:sz w:val="28"/>
          <w:lang w:val="en-AU"/>
        </w:rPr>
      </w:pPr>
      <w:r w:rsidRPr="007F1F8C">
        <w:rPr>
          <w:sz w:val="28"/>
          <w:lang w:val="en-AU"/>
        </w:rPr>
        <w:br w:type="page"/>
      </w:r>
    </w:p>
    <w:p w14:paraId="1968DD08" w14:textId="77777777" w:rsidR="00DE007A" w:rsidRPr="003256B0" w:rsidRDefault="00FB4856" w:rsidP="0063582F">
      <w:pPr>
        <w:bidi w:val="0"/>
        <w:spacing w:line="360" w:lineRule="auto"/>
        <w:jc w:val="center"/>
        <w:rPr>
          <w:b/>
          <w:bCs/>
          <w:sz w:val="32"/>
          <w:szCs w:val="28"/>
          <w:lang w:val="en-GB"/>
        </w:rPr>
      </w:pPr>
      <w:r>
        <w:rPr>
          <w:b/>
          <w:bCs/>
          <w:sz w:val="32"/>
          <w:szCs w:val="28"/>
          <w:lang w:val="en-GB"/>
        </w:rPr>
        <w:lastRenderedPageBreak/>
        <w:t xml:space="preserve">The text of the </w:t>
      </w:r>
      <w:r w:rsidR="003256B0" w:rsidRPr="003256B0">
        <w:rPr>
          <w:b/>
          <w:bCs/>
          <w:sz w:val="32"/>
          <w:szCs w:val="28"/>
          <w:lang w:val="en-GB"/>
        </w:rPr>
        <w:t>Bologna</w:t>
      </w:r>
      <w:r>
        <w:rPr>
          <w:b/>
          <w:bCs/>
          <w:sz w:val="32"/>
          <w:szCs w:val="28"/>
          <w:lang w:val="en-GB"/>
        </w:rPr>
        <w:t xml:space="preserve"> fragment</w:t>
      </w:r>
    </w:p>
    <w:p w14:paraId="66F446E8" w14:textId="77777777" w:rsidR="003256B0" w:rsidRPr="003256B0" w:rsidRDefault="003256B0">
      <w:pPr>
        <w:spacing w:line="259" w:lineRule="auto"/>
        <w:jc w:val="both"/>
        <w:rPr>
          <w:sz w:val="28"/>
          <w:lang w:val="en-GB"/>
        </w:rPr>
      </w:pPr>
    </w:p>
    <w:p w14:paraId="44512BAA" w14:textId="77777777" w:rsidR="00DE007A" w:rsidRPr="003256B0" w:rsidRDefault="00DE007A">
      <w:pPr>
        <w:spacing w:line="259" w:lineRule="auto"/>
        <w:jc w:val="both"/>
        <w:rPr>
          <w:sz w:val="28"/>
          <w:lang w:val="en-GB"/>
        </w:rPr>
      </w:pPr>
    </w:p>
    <w:p w14:paraId="7904FC7C" w14:textId="77777777" w:rsidR="003256B0" w:rsidRPr="007D4C43" w:rsidRDefault="003256B0" w:rsidP="003256B0">
      <w:pPr>
        <w:spacing w:line="360" w:lineRule="auto"/>
        <w:rPr>
          <w:rFonts w:ascii="David" w:hAnsi="David" w:cs="David"/>
        </w:rPr>
      </w:pPr>
      <w:r>
        <w:rPr>
          <w:rFonts w:ascii="David" w:hAnsi="David" w:cs="David" w:hint="cs"/>
          <w:b/>
          <w:bCs/>
          <w:rtl/>
        </w:rPr>
        <w:t xml:space="preserve">הלכות גדולות </w:t>
      </w:r>
      <w:r>
        <w:rPr>
          <w:rFonts w:ascii="David" w:hAnsi="David" w:cs="David"/>
          <w:b/>
          <w:bCs/>
          <w:rtl/>
        </w:rPr>
        <w:t>הלכות יבום וחליצה</w:t>
      </w:r>
      <w:r>
        <w:rPr>
          <w:rFonts w:ascii="David" w:hAnsi="David" w:cs="David" w:hint="cs"/>
          <w:b/>
          <w:bCs/>
          <w:rtl/>
        </w:rPr>
        <w:t>, עמ' 97-99</w:t>
      </w:r>
    </w:p>
    <w:p w14:paraId="4F57182F"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[י</w:t>
      </w:r>
      <w:r w:rsidRPr="00565D35">
        <w:rPr>
          <w:rFonts w:ascii="David" w:hAnsi="David" w:cs="David"/>
          <w:sz w:val="24"/>
          <w:szCs w:val="24"/>
          <w:rtl/>
          <w:lang w:bidi="he-IL"/>
        </w:rPr>
        <w:t>במה</w:t>
      </w:r>
      <w:r w:rsidRPr="00565D35">
        <w:rPr>
          <w:rFonts w:ascii="David" w:hAnsi="David" w:cs="David" w:hint="cs"/>
          <w:sz w:val="24"/>
          <w:szCs w:val="24"/>
          <w:rtl/>
          <w:lang w:bidi="he-IL"/>
        </w:rPr>
        <w:t>]</w:t>
      </w:r>
      <w:r w:rsidRPr="00565D35">
        <w:rPr>
          <w:rFonts w:ascii="David" w:hAnsi="David" w:cs="David"/>
          <w:sz w:val="24"/>
          <w:szCs w:val="24"/>
          <w:rtl/>
          <w:lang w:bidi="he-IL"/>
        </w:rPr>
        <w:t xml:space="preserve"> יבא עליה ביאה גומרת בה ואין כסף ושטר גומרין בה. וקונה את עצמה בחליצה</w:t>
      </w:r>
    </w:p>
    <w:p w14:paraId="5B4795B8"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מנ</w:t>
      </w:r>
      <w:r>
        <w:rPr>
          <w:rFonts w:ascii="David" w:hAnsi="David" w:cs="David" w:hint="cs"/>
          <w:sz w:val="24"/>
          <w:szCs w:val="24"/>
          <w:rtl/>
          <w:lang w:bidi="he-IL"/>
        </w:rPr>
        <w:t xml:space="preserve">]א </w:t>
      </w:r>
      <w:r w:rsidRPr="00565D35">
        <w:rPr>
          <w:rFonts w:ascii="David" w:hAnsi="David" w:cs="David"/>
          <w:sz w:val="24"/>
          <w:szCs w:val="24"/>
          <w:rtl/>
          <w:lang w:bidi="he-IL"/>
        </w:rPr>
        <w:t xml:space="preserve">לן </w:t>
      </w:r>
      <w:r>
        <w:rPr>
          <w:rFonts w:ascii="David" w:hAnsi="David" w:cs="David" w:hint="cs"/>
          <w:sz w:val="24"/>
          <w:szCs w:val="24"/>
          <w:rtl/>
          <w:lang w:bidi="he-IL"/>
        </w:rPr>
        <w:t>[</w:t>
      </w:r>
      <w:r w:rsidRPr="00565D35">
        <w:rPr>
          <w:rFonts w:ascii="David" w:hAnsi="David" w:cs="David"/>
          <w:sz w:val="24"/>
          <w:szCs w:val="24"/>
          <w:rtl/>
          <w:lang w:bidi="he-IL"/>
        </w:rPr>
        <w:t>ד</w:t>
      </w:r>
      <w:r w:rsidRPr="00565D35">
        <w:rPr>
          <w:rFonts w:ascii="David" w:hAnsi="David" w:cs="David" w:hint="cs"/>
          <w:sz w:val="24"/>
          <w:szCs w:val="24"/>
          <w:rtl/>
          <w:lang w:bidi="he-IL"/>
        </w:rPr>
        <w:t>]</w:t>
      </w:r>
      <w:r w:rsidRPr="00565D35">
        <w:rPr>
          <w:rFonts w:ascii="David" w:hAnsi="David" w:cs="David"/>
          <w:sz w:val="24"/>
          <w:szCs w:val="24"/>
          <w:rtl/>
          <w:lang w:bidi="he-IL"/>
        </w:rPr>
        <w:t>כת</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r w:rsidRPr="00565D35">
        <w:rPr>
          <w:rFonts w:ascii="David" w:hAnsi="David" w:cs="David" w:hint="cs"/>
          <w:sz w:val="24"/>
          <w:szCs w:val="24"/>
          <w:rtl/>
          <w:lang w:bidi="he-IL"/>
        </w:rPr>
        <w:t xml:space="preserve">ונקרא שמו ביש' </w:t>
      </w:r>
      <w:r w:rsidRPr="00565D35">
        <w:rPr>
          <w:rFonts w:ascii="David" w:hAnsi="David" w:cs="David"/>
          <w:sz w:val="24"/>
          <w:szCs w:val="24"/>
          <w:rtl/>
          <w:lang w:bidi="he-IL"/>
        </w:rPr>
        <w:t>בית חלוץ הנעל כיון שחלצה נעל הותרה לכל יש</w:t>
      </w:r>
      <w:r w:rsidRPr="00565D35">
        <w:rPr>
          <w:rFonts w:ascii="David" w:hAnsi="David" w:cs="David" w:hint="cs"/>
          <w:sz w:val="24"/>
          <w:szCs w:val="24"/>
          <w:rtl/>
          <w:lang w:bidi="he-IL"/>
        </w:rPr>
        <w:t>'</w:t>
      </w:r>
      <w:r w:rsidRPr="00565D35">
        <w:rPr>
          <w:rFonts w:ascii="David" w:hAnsi="David" w:cs="David"/>
          <w:sz w:val="24"/>
          <w:szCs w:val="24"/>
          <w:rtl/>
          <w:lang w:bidi="he-IL"/>
        </w:rPr>
        <w:t>.</w:t>
      </w:r>
      <w:r w:rsidRPr="00565D35">
        <w:rPr>
          <w:rFonts w:ascii="David" w:hAnsi="David" w:cs="David" w:hint="cs"/>
          <w:sz w:val="24"/>
          <w:szCs w:val="24"/>
          <w:rtl/>
          <w:lang w:bidi="he-IL"/>
        </w:rPr>
        <w:t xml:space="preserve"> </w:t>
      </w:r>
      <w:r w:rsidRPr="00565D35">
        <w:rPr>
          <w:rFonts w:ascii="David" w:hAnsi="David" w:cs="David"/>
          <w:sz w:val="24"/>
          <w:szCs w:val="24"/>
          <w:rtl/>
          <w:lang w:bidi="he-IL"/>
        </w:rPr>
        <w:t>נפל</w:t>
      </w:r>
    </w:p>
    <w:p w14:paraId="64479B18"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במים</w:t>
      </w:r>
      <w:r>
        <w:rPr>
          <w:rFonts w:ascii="David" w:hAnsi="David" w:cs="David" w:hint="cs"/>
          <w:sz w:val="24"/>
          <w:szCs w:val="24"/>
          <w:rtl/>
          <w:lang w:bidi="he-IL"/>
        </w:rPr>
        <w:t>]</w:t>
      </w:r>
      <w:r w:rsidRPr="00565D35">
        <w:rPr>
          <w:rFonts w:ascii="David" w:hAnsi="David" w:cs="David"/>
          <w:sz w:val="24"/>
          <w:szCs w:val="24"/>
          <w:rtl/>
          <w:lang w:bidi="he-IL"/>
        </w:rPr>
        <w:t xml:space="preserve"> שאין לה</w:t>
      </w:r>
      <w:r w:rsidRPr="00565D35">
        <w:rPr>
          <w:rFonts w:ascii="David" w:hAnsi="David" w:cs="David" w:hint="cs"/>
          <w:sz w:val="24"/>
          <w:szCs w:val="24"/>
          <w:rtl/>
          <w:lang w:bidi="he-IL"/>
        </w:rPr>
        <w:t>ן</w:t>
      </w:r>
      <w:r w:rsidRPr="00565D35">
        <w:rPr>
          <w:rFonts w:ascii="David" w:hAnsi="David" w:cs="David"/>
          <w:sz w:val="24"/>
          <w:szCs w:val="24"/>
          <w:rtl/>
          <w:lang w:bidi="he-IL"/>
        </w:rPr>
        <w:t xml:space="preserve"> סוף </w:t>
      </w:r>
      <w:r>
        <w:rPr>
          <w:rFonts w:ascii="David" w:hAnsi="David" w:cs="David" w:hint="cs"/>
          <w:sz w:val="24"/>
          <w:szCs w:val="24"/>
          <w:rtl/>
          <w:lang w:bidi="he-IL"/>
        </w:rPr>
        <w:t>ו</w:t>
      </w:r>
      <w:r w:rsidRPr="00565D35">
        <w:rPr>
          <w:rFonts w:ascii="David" w:hAnsi="David" w:cs="David" w:hint="cs"/>
          <w:sz w:val="24"/>
          <w:szCs w:val="24"/>
          <w:rtl/>
          <w:lang w:bidi="he-IL"/>
        </w:rPr>
        <w:t xml:space="preserve">דאי </w:t>
      </w:r>
      <w:r w:rsidRPr="00565D35">
        <w:rPr>
          <w:rFonts w:ascii="David" w:hAnsi="David" w:cs="David"/>
          <w:sz w:val="24"/>
          <w:szCs w:val="24"/>
          <w:rtl/>
          <w:lang w:bidi="he-IL"/>
        </w:rPr>
        <w:t>בשני עדים וד</w:t>
      </w:r>
      <w:r w:rsidRPr="00565D35">
        <w:rPr>
          <w:rFonts w:ascii="David" w:hAnsi="David" w:cs="David" w:hint="cs"/>
          <w:sz w:val="24"/>
          <w:szCs w:val="24"/>
          <w:rtl/>
          <w:lang w:bidi="he-IL"/>
        </w:rPr>
        <w:t>י</w:t>
      </w:r>
      <w:r w:rsidRPr="00565D35">
        <w:rPr>
          <w:rFonts w:ascii="David" w:hAnsi="David" w:cs="David"/>
          <w:sz w:val="24"/>
          <w:szCs w:val="24"/>
          <w:rtl/>
          <w:lang w:bidi="he-IL"/>
        </w:rPr>
        <w:t xml:space="preserve">י מימת מיית </w:t>
      </w:r>
      <w:r>
        <w:rPr>
          <w:rFonts w:ascii="David" w:hAnsi="David" w:cs="David" w:hint="cs"/>
          <w:sz w:val="24"/>
          <w:szCs w:val="24"/>
          <w:rtl/>
          <w:lang w:bidi="he-IL"/>
        </w:rPr>
        <w:t>ו</w:t>
      </w:r>
      <w:r w:rsidRPr="00565D35">
        <w:rPr>
          <w:rFonts w:ascii="David" w:hAnsi="David" w:cs="David"/>
          <w:sz w:val="24"/>
          <w:szCs w:val="24"/>
          <w:rtl/>
          <w:lang w:bidi="he-IL"/>
        </w:rPr>
        <w:t>לגבי ממון יורשי</w:t>
      </w:r>
      <w:r w:rsidRPr="00565D35">
        <w:rPr>
          <w:rFonts w:ascii="David" w:hAnsi="David" w:cs="David" w:hint="cs"/>
          <w:sz w:val="24"/>
          <w:szCs w:val="24"/>
          <w:rtl/>
          <w:lang w:bidi="he-IL"/>
        </w:rPr>
        <w:t>ן</w:t>
      </w:r>
      <w:r w:rsidRPr="00565D35">
        <w:rPr>
          <w:rFonts w:ascii="David" w:hAnsi="David" w:cs="David"/>
          <w:sz w:val="24"/>
          <w:szCs w:val="24"/>
          <w:rtl/>
          <w:lang w:bidi="he-IL"/>
        </w:rPr>
        <w:t xml:space="preserve"> </w:t>
      </w:r>
      <w:r w:rsidRPr="00565D35">
        <w:rPr>
          <w:rFonts w:ascii="David" w:hAnsi="David" w:cs="David" w:hint="cs"/>
          <w:sz w:val="24"/>
          <w:szCs w:val="24"/>
          <w:rtl/>
          <w:lang w:bidi="he-IL"/>
        </w:rPr>
        <w:t>יורדין</w:t>
      </w:r>
      <w:r>
        <w:rPr>
          <w:rStyle w:val="FootnoteReference"/>
          <w:rFonts w:ascii="David" w:hAnsi="David" w:cs="David"/>
          <w:sz w:val="24"/>
          <w:szCs w:val="24"/>
          <w:rtl/>
          <w:lang w:bidi="he-IL"/>
        </w:rPr>
        <w:footnoteReference w:id="28"/>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לנכסיו </w:t>
      </w:r>
      <w:r w:rsidRPr="00565D35">
        <w:rPr>
          <w:rFonts w:ascii="David" w:hAnsi="David" w:cs="David" w:hint="cs"/>
          <w:sz w:val="24"/>
          <w:szCs w:val="24"/>
          <w:rtl/>
          <w:lang w:bidi="he-IL"/>
        </w:rPr>
        <w:t>ו</w:t>
      </w:r>
      <w:r w:rsidRPr="00565D35">
        <w:rPr>
          <w:rFonts w:ascii="David" w:hAnsi="David" w:cs="David"/>
          <w:sz w:val="24"/>
          <w:szCs w:val="24"/>
          <w:rtl/>
          <w:lang w:bidi="he-IL"/>
        </w:rPr>
        <w:t>לגבי</w:t>
      </w:r>
    </w:p>
    <w:p w14:paraId="216A08B5"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אש</w:t>
      </w:r>
      <w:r w:rsidRPr="00565D35">
        <w:rPr>
          <w:rFonts w:ascii="David" w:hAnsi="David" w:cs="David" w:hint="cs"/>
          <w:sz w:val="24"/>
          <w:szCs w:val="24"/>
          <w:rtl/>
          <w:lang w:bidi="he-IL"/>
        </w:rPr>
        <w:t>]</w:t>
      </w:r>
      <w:r w:rsidRPr="00565D35">
        <w:rPr>
          <w:rFonts w:ascii="David" w:hAnsi="David" w:cs="David"/>
          <w:sz w:val="24"/>
          <w:szCs w:val="24"/>
          <w:rtl/>
          <w:lang w:bidi="he-IL"/>
        </w:rPr>
        <w:t>ה אחמ</w:t>
      </w:r>
      <w:r w:rsidRPr="00565D35">
        <w:rPr>
          <w:rFonts w:ascii="David" w:hAnsi="David" w:cs="David" w:hint="cs"/>
          <w:sz w:val="24"/>
          <w:szCs w:val="24"/>
          <w:rtl/>
          <w:lang w:bidi="he-IL"/>
        </w:rPr>
        <w:t>[</w:t>
      </w:r>
      <w:r w:rsidRPr="00565D35">
        <w:rPr>
          <w:rFonts w:ascii="David" w:hAnsi="David" w:cs="David"/>
          <w:sz w:val="24"/>
          <w:szCs w:val="24"/>
          <w:rtl/>
          <w:lang w:bidi="he-IL"/>
        </w:rPr>
        <w:t>י</w:t>
      </w:r>
      <w:r w:rsidRPr="00565D35">
        <w:rPr>
          <w:rFonts w:ascii="David" w:hAnsi="David" w:cs="David" w:hint="cs"/>
          <w:sz w:val="24"/>
          <w:szCs w:val="24"/>
          <w:rtl/>
          <w:lang w:bidi="he-IL"/>
        </w:rPr>
        <w:t>]</w:t>
      </w:r>
      <w:r w:rsidRPr="00565D35">
        <w:rPr>
          <w:rFonts w:ascii="David" w:hAnsi="David" w:cs="David"/>
          <w:sz w:val="24"/>
          <w:szCs w:val="24"/>
          <w:rtl/>
          <w:lang w:bidi="he-IL"/>
        </w:rPr>
        <w:t>רו בה רבנן עד דאמרי</w:t>
      </w:r>
      <w:r w:rsidRPr="00565D35">
        <w:rPr>
          <w:rFonts w:ascii="David" w:hAnsi="David" w:cs="David" w:hint="cs"/>
          <w:sz w:val="24"/>
          <w:szCs w:val="24"/>
          <w:rtl/>
          <w:lang w:bidi="he-IL"/>
        </w:rPr>
        <w:t>ן</w:t>
      </w:r>
      <w:r w:rsidRPr="00565D35">
        <w:rPr>
          <w:rFonts w:ascii="David" w:hAnsi="David" w:cs="David"/>
          <w:sz w:val="24"/>
          <w:szCs w:val="24"/>
          <w:rtl/>
          <w:lang w:bidi="he-IL"/>
        </w:rPr>
        <w:t xml:space="preserve"> </w:t>
      </w:r>
      <w:r w:rsidRPr="00565D35">
        <w:rPr>
          <w:rFonts w:ascii="David" w:hAnsi="David" w:cs="David" w:hint="cs"/>
          <w:sz w:val="24"/>
          <w:szCs w:val="24"/>
          <w:rtl/>
          <w:lang w:bidi="he-IL"/>
        </w:rPr>
        <w:t xml:space="preserve">עדים </w:t>
      </w:r>
      <w:r w:rsidRPr="00565D35">
        <w:rPr>
          <w:rFonts w:ascii="David" w:hAnsi="David" w:cs="David"/>
          <w:sz w:val="24"/>
          <w:szCs w:val="24"/>
          <w:rtl/>
          <w:lang w:bidi="he-IL"/>
        </w:rPr>
        <w:t>סימני</w:t>
      </w:r>
      <w:r>
        <w:rPr>
          <w:rFonts w:ascii="David" w:hAnsi="David" w:cs="David" w:hint="cs"/>
          <w:sz w:val="24"/>
          <w:szCs w:val="24"/>
          <w:rtl/>
          <w:lang w:bidi="he-IL"/>
        </w:rPr>
        <w:t>ן</w:t>
      </w:r>
      <w:r w:rsidRPr="00565D35">
        <w:rPr>
          <w:rFonts w:ascii="David" w:hAnsi="David" w:cs="David" w:hint="cs"/>
          <w:sz w:val="24"/>
          <w:szCs w:val="24"/>
          <w:rtl/>
          <w:lang w:bidi="he-IL"/>
        </w:rPr>
        <w:t xml:space="preserve"> שלו </w:t>
      </w:r>
      <w:r w:rsidRPr="00565D35">
        <w:rPr>
          <w:rFonts w:ascii="David" w:hAnsi="David" w:cs="David"/>
          <w:sz w:val="24"/>
          <w:szCs w:val="24"/>
          <w:rtl/>
          <w:lang w:bidi="he-IL"/>
        </w:rPr>
        <w:t>פדחתו וחוטמו ושאר סימני</w:t>
      </w:r>
      <w:r w:rsidRPr="00565D35">
        <w:rPr>
          <w:rFonts w:ascii="David" w:hAnsi="David" w:cs="David" w:hint="cs"/>
          <w:sz w:val="24"/>
          <w:szCs w:val="24"/>
          <w:rtl/>
          <w:lang w:bidi="he-IL"/>
        </w:rPr>
        <w:t>ם</w:t>
      </w:r>
      <w:r w:rsidRPr="00565D35">
        <w:rPr>
          <w:rFonts w:ascii="David" w:hAnsi="David" w:cs="David"/>
          <w:sz w:val="24"/>
          <w:szCs w:val="24"/>
          <w:rtl/>
          <w:lang w:bidi="he-IL"/>
        </w:rPr>
        <w:t xml:space="preserve"> שלו</w:t>
      </w:r>
    </w:p>
    <w:p w14:paraId="7BDCCC4F"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אם</w:t>
      </w:r>
      <w:r w:rsidRPr="00565D35">
        <w:rPr>
          <w:rFonts w:ascii="David" w:hAnsi="David" w:cs="David" w:hint="cs"/>
          <w:sz w:val="24"/>
          <w:szCs w:val="24"/>
          <w:rtl/>
          <w:lang w:bidi="he-IL"/>
        </w:rPr>
        <w:t>]</w:t>
      </w:r>
      <w:r w:rsidRPr="00565D35">
        <w:rPr>
          <w:rFonts w:ascii="David" w:hAnsi="David" w:cs="David"/>
          <w:sz w:val="24"/>
          <w:szCs w:val="24"/>
          <w:rtl/>
          <w:lang w:bidi="he-IL"/>
        </w:rPr>
        <w:t xml:space="preserve"> כן ני</w:t>
      </w:r>
      <w:r w:rsidRPr="00565D35">
        <w:rPr>
          <w:rFonts w:ascii="David" w:hAnsi="David" w:cs="David" w:hint="cs"/>
          <w:sz w:val="24"/>
          <w:szCs w:val="24"/>
          <w:rtl/>
          <w:lang w:bidi="he-IL"/>
        </w:rPr>
        <w:t>ס</w:t>
      </w:r>
      <w:r w:rsidRPr="00565D35">
        <w:rPr>
          <w:rFonts w:ascii="David" w:hAnsi="David" w:cs="David"/>
          <w:sz w:val="24"/>
          <w:szCs w:val="24"/>
          <w:rtl/>
          <w:lang w:bidi="he-IL"/>
        </w:rPr>
        <w:t xml:space="preserve">ת בעד אחד תצא אקילו בה רבנן כל היכא דאיכא עד אחד </w:t>
      </w:r>
      <w:r w:rsidRPr="00565D35">
        <w:rPr>
          <w:rFonts w:ascii="David" w:hAnsi="David" w:cs="David" w:hint="cs"/>
          <w:sz w:val="24"/>
          <w:szCs w:val="24"/>
          <w:rtl/>
          <w:lang w:bidi="he-IL"/>
        </w:rPr>
        <w:t>ו</w:t>
      </w:r>
      <w:r w:rsidRPr="00565D35">
        <w:rPr>
          <w:rFonts w:ascii="David" w:hAnsi="David" w:cs="David"/>
          <w:sz w:val="24"/>
          <w:szCs w:val="24"/>
          <w:rtl/>
          <w:lang w:bidi="he-IL"/>
        </w:rPr>
        <w:t>ודאי איכא עד</w:t>
      </w:r>
    </w:p>
    <w:p w14:paraId="6096FA9E"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אח</w:t>
      </w:r>
      <w:r w:rsidRPr="00565D35">
        <w:rPr>
          <w:rFonts w:ascii="David" w:hAnsi="David" w:cs="David" w:hint="cs"/>
          <w:sz w:val="24"/>
          <w:szCs w:val="24"/>
          <w:rtl/>
          <w:lang w:bidi="he-IL"/>
        </w:rPr>
        <w:t>]ר</w:t>
      </w:r>
      <w:r w:rsidRPr="00565D35">
        <w:rPr>
          <w:rFonts w:ascii="David" w:hAnsi="David" w:cs="David"/>
          <w:sz w:val="24"/>
          <w:szCs w:val="24"/>
          <w:rtl/>
          <w:lang w:bidi="he-IL"/>
        </w:rPr>
        <w:t xml:space="preserve"> בהדיה אלא א</w:t>
      </w:r>
      <w:r w:rsidRPr="00565D35">
        <w:rPr>
          <w:rFonts w:ascii="David" w:hAnsi="David" w:cs="David" w:hint="cs"/>
          <w:sz w:val="24"/>
          <w:szCs w:val="24"/>
          <w:rtl/>
          <w:lang w:bidi="he-IL"/>
        </w:rPr>
        <w:t>י</w:t>
      </w:r>
      <w:r w:rsidRPr="00565D35">
        <w:rPr>
          <w:rFonts w:ascii="David" w:hAnsi="David" w:cs="David"/>
          <w:sz w:val="24"/>
          <w:szCs w:val="24"/>
          <w:rtl/>
          <w:lang w:bidi="he-IL"/>
        </w:rPr>
        <w:t>תרמו</w:t>
      </w:r>
      <w:r>
        <w:rPr>
          <w:rFonts w:ascii="David" w:hAnsi="David" w:cs="David" w:hint="cs"/>
          <w:sz w:val="24"/>
          <w:szCs w:val="24"/>
          <w:rtl/>
          <w:lang w:bidi="he-IL"/>
        </w:rPr>
        <w:t>י</w:t>
      </w:r>
      <w:r w:rsidRPr="00565D35">
        <w:rPr>
          <w:rFonts w:ascii="David" w:hAnsi="David" w:cs="David"/>
          <w:sz w:val="24"/>
          <w:szCs w:val="24"/>
          <w:rtl/>
          <w:lang w:bidi="he-IL"/>
        </w:rPr>
        <w:t>י דלא מתרמ</w:t>
      </w:r>
      <w:r w:rsidRPr="00565D35">
        <w:rPr>
          <w:rFonts w:ascii="David" w:hAnsi="David" w:cs="David" w:hint="cs"/>
          <w:sz w:val="24"/>
          <w:szCs w:val="24"/>
          <w:rtl/>
          <w:lang w:bidi="he-IL"/>
        </w:rPr>
        <w:t>י</w:t>
      </w:r>
      <w:r w:rsidRPr="00565D35">
        <w:rPr>
          <w:rFonts w:ascii="David" w:hAnsi="David" w:cs="David"/>
          <w:sz w:val="24"/>
          <w:szCs w:val="24"/>
          <w:rtl/>
          <w:lang w:bidi="he-IL"/>
        </w:rPr>
        <w:t xml:space="preserve"> בה</w:t>
      </w:r>
      <w:r w:rsidRPr="00565D35">
        <w:rPr>
          <w:rFonts w:ascii="David" w:hAnsi="David" w:cs="David" w:hint="cs"/>
          <w:sz w:val="24"/>
          <w:szCs w:val="24"/>
          <w:rtl/>
          <w:lang w:bidi="he-IL"/>
        </w:rPr>
        <w:t>ד</w:t>
      </w:r>
      <w:r w:rsidRPr="00565D35">
        <w:rPr>
          <w:rFonts w:ascii="David" w:hAnsi="David" w:cs="David"/>
          <w:sz w:val="24"/>
          <w:szCs w:val="24"/>
          <w:rtl/>
          <w:lang w:bidi="he-IL"/>
        </w:rPr>
        <w:t>די הדדי</w:t>
      </w:r>
      <w:r w:rsidRPr="00565D35">
        <w:rPr>
          <w:rFonts w:ascii="David" w:hAnsi="David" w:cs="David" w:hint="cs"/>
          <w:sz w:val="24"/>
          <w:szCs w:val="24"/>
          <w:rtl/>
          <w:lang w:bidi="he-IL"/>
        </w:rPr>
        <w:t xml:space="preserve">. </w:t>
      </w:r>
      <w:r w:rsidRPr="00565D35">
        <w:rPr>
          <w:rFonts w:ascii="David" w:hAnsi="David" w:cs="David"/>
          <w:sz w:val="24"/>
          <w:szCs w:val="24"/>
          <w:rtl/>
          <w:lang w:bidi="he-IL"/>
        </w:rPr>
        <w:t>תנו רב</w:t>
      </w:r>
      <w:r w:rsidRPr="00565D35">
        <w:rPr>
          <w:rFonts w:ascii="David" w:hAnsi="David" w:cs="David" w:hint="cs"/>
          <w:sz w:val="24"/>
          <w:szCs w:val="24"/>
          <w:rtl/>
          <w:lang w:bidi="he-IL"/>
        </w:rPr>
        <w:t>נ'</w:t>
      </w:r>
      <w:r>
        <w:rPr>
          <w:rStyle w:val="FootnoteReference"/>
          <w:rFonts w:ascii="David" w:hAnsi="David" w:cs="David"/>
          <w:sz w:val="24"/>
          <w:szCs w:val="24"/>
          <w:rtl/>
          <w:lang w:bidi="he-IL"/>
        </w:rPr>
        <w:footnoteReference w:id="29"/>
      </w:r>
      <w:r w:rsidRPr="00565D35">
        <w:rPr>
          <w:rFonts w:ascii="David" w:hAnsi="David" w:cs="David"/>
          <w:sz w:val="24"/>
          <w:szCs w:val="24"/>
          <w:rtl/>
          <w:lang w:bidi="he-IL"/>
        </w:rPr>
        <w:t xml:space="preserve"> פדחת בלא פרצוף</w:t>
      </w:r>
    </w:p>
    <w:p w14:paraId="396129BA"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פנים</w:t>
      </w:r>
      <w:r w:rsidRPr="00565D35">
        <w:rPr>
          <w:rFonts w:ascii="David" w:hAnsi="David" w:cs="David" w:hint="cs"/>
          <w:sz w:val="24"/>
          <w:szCs w:val="24"/>
          <w:rtl/>
          <w:lang w:bidi="he-IL"/>
        </w:rPr>
        <w:t>]</w:t>
      </w:r>
      <w:r w:rsidRPr="00565D35">
        <w:rPr>
          <w:rFonts w:ascii="David" w:hAnsi="David" w:cs="David"/>
          <w:sz w:val="24"/>
          <w:szCs w:val="24"/>
          <w:rtl/>
          <w:lang w:bidi="he-IL"/>
        </w:rPr>
        <w:t xml:space="preserve"> ופרצוף פנים בלא פדחת אין מעידין </w:t>
      </w:r>
      <w:r w:rsidRPr="00565D35">
        <w:rPr>
          <w:rFonts w:ascii="David" w:hAnsi="David" w:cs="David" w:hint="cs"/>
          <w:sz w:val="24"/>
          <w:szCs w:val="24"/>
          <w:rtl/>
          <w:lang w:bidi="he-IL"/>
        </w:rPr>
        <w:t xml:space="preserve">עליו </w:t>
      </w:r>
      <w:r w:rsidRPr="00565D35">
        <w:rPr>
          <w:rFonts w:ascii="David" w:hAnsi="David" w:cs="David"/>
          <w:sz w:val="24"/>
          <w:szCs w:val="24"/>
          <w:rtl/>
          <w:lang w:bidi="he-IL"/>
        </w:rPr>
        <w:t>עד שיהו שניה</w:t>
      </w:r>
      <w:r w:rsidRPr="00565D35">
        <w:rPr>
          <w:rFonts w:ascii="David" w:hAnsi="David" w:cs="David" w:hint="cs"/>
          <w:sz w:val="24"/>
          <w:szCs w:val="24"/>
          <w:rtl/>
          <w:lang w:bidi="he-IL"/>
        </w:rPr>
        <w:t>ן</w:t>
      </w:r>
      <w:r w:rsidRPr="00565D35">
        <w:rPr>
          <w:rFonts w:ascii="David" w:hAnsi="David" w:cs="David"/>
          <w:sz w:val="24"/>
          <w:szCs w:val="24"/>
          <w:rtl/>
          <w:lang w:bidi="he-IL"/>
        </w:rPr>
        <w:t xml:space="preserve"> עם החוטם.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אביי</w:t>
      </w:r>
    </w:p>
    <w:p w14:paraId="5F8A8AC7"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ואית</w:t>
      </w:r>
      <w:r w:rsidRPr="00565D35">
        <w:rPr>
          <w:rFonts w:ascii="David" w:hAnsi="David" w:cs="David" w:hint="cs"/>
          <w:sz w:val="24"/>
          <w:szCs w:val="24"/>
          <w:rtl/>
          <w:lang w:bidi="he-IL"/>
        </w:rPr>
        <w:t>]</w:t>
      </w:r>
      <w:r w:rsidRPr="00565D35">
        <w:rPr>
          <w:rFonts w:ascii="David" w:hAnsi="David" w:cs="David"/>
          <w:sz w:val="24"/>
          <w:szCs w:val="24"/>
          <w:rtl/>
          <w:lang w:bidi="he-IL"/>
        </w:rPr>
        <w:t>ימא רב כהנא מ</w:t>
      </w:r>
      <w:r w:rsidRPr="00565D35">
        <w:rPr>
          <w:rFonts w:ascii="David" w:hAnsi="David" w:cs="David" w:hint="cs"/>
          <w:sz w:val="24"/>
          <w:szCs w:val="24"/>
          <w:rtl/>
          <w:lang w:bidi="he-IL"/>
        </w:rPr>
        <w:t>ה</w:t>
      </w:r>
      <w:r w:rsidRPr="00565D35">
        <w:rPr>
          <w:rFonts w:ascii="David" w:hAnsi="David" w:cs="David"/>
          <w:sz w:val="24"/>
          <w:szCs w:val="24"/>
          <w:rtl/>
          <w:lang w:bidi="he-IL"/>
        </w:rPr>
        <w:t>אי קרא הכרת פניהם ענתה בם.</w:t>
      </w:r>
      <w:r w:rsidRPr="00565D35">
        <w:rPr>
          <w:rFonts w:ascii="David" w:hAnsi="David" w:cs="David" w:hint="cs"/>
          <w:sz w:val="24"/>
          <w:szCs w:val="24"/>
          <w:rtl/>
          <w:lang w:bidi="he-IL"/>
        </w:rPr>
        <w:t xml:space="preserve"> </w:t>
      </w:r>
      <w:r w:rsidRPr="00565D35">
        <w:rPr>
          <w:rFonts w:ascii="David" w:hAnsi="David" w:cs="David"/>
          <w:sz w:val="24"/>
          <w:szCs w:val="24"/>
          <w:rtl/>
          <w:lang w:bidi="he-IL"/>
        </w:rPr>
        <w:t>בע</w:t>
      </w:r>
      <w:r w:rsidRPr="00565D35">
        <w:rPr>
          <w:rFonts w:ascii="David" w:hAnsi="David" w:cs="David" w:hint="cs"/>
          <w:sz w:val="24"/>
          <w:szCs w:val="24"/>
          <w:rtl/>
          <w:lang w:bidi="he-IL"/>
        </w:rPr>
        <w:t>י</w:t>
      </w:r>
      <w:r w:rsidRPr="00565D35">
        <w:rPr>
          <w:rFonts w:ascii="David" w:hAnsi="David" w:cs="David"/>
          <w:sz w:val="24"/>
          <w:szCs w:val="24"/>
          <w:rtl/>
          <w:lang w:bidi="he-IL"/>
        </w:rPr>
        <w:t xml:space="preserve"> מיניה מרב ששת עד אחד</w:t>
      </w:r>
    </w:p>
    <w:p w14:paraId="60FAD5B3"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ביבמ</w:t>
      </w:r>
      <w:r w:rsidRPr="00565D35">
        <w:rPr>
          <w:rFonts w:ascii="David" w:hAnsi="David" w:cs="David" w:hint="cs"/>
          <w:sz w:val="24"/>
          <w:szCs w:val="24"/>
          <w:rtl/>
          <w:lang w:bidi="he-IL"/>
        </w:rPr>
        <w:t>]</w:t>
      </w:r>
      <w:r w:rsidRPr="00565D35">
        <w:rPr>
          <w:rFonts w:ascii="David" w:hAnsi="David" w:cs="David"/>
          <w:sz w:val="24"/>
          <w:szCs w:val="24"/>
          <w:rtl/>
          <w:lang w:bidi="he-IL"/>
        </w:rPr>
        <w:t>ה לשוק מהו</w:t>
      </w:r>
      <w:r w:rsidRPr="00565D35">
        <w:rPr>
          <w:rFonts w:ascii="David" w:hAnsi="David" w:cs="David" w:hint="cs"/>
          <w:sz w:val="24"/>
          <w:szCs w:val="24"/>
          <w:rtl/>
          <w:lang w:bidi="he-IL"/>
        </w:rPr>
        <w:t>א</w:t>
      </w:r>
      <w:r w:rsidRPr="00565D35">
        <w:rPr>
          <w:rFonts w:ascii="David" w:hAnsi="David" w:cs="David"/>
          <w:sz w:val="24"/>
          <w:szCs w:val="24"/>
          <w:rtl/>
          <w:lang w:bidi="he-IL"/>
        </w:rPr>
        <w:t xml:space="preserve">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להו תניתוה אמרו</w:t>
      </w:r>
      <w:r w:rsidRPr="00565D35">
        <w:rPr>
          <w:rFonts w:ascii="David" w:hAnsi="David" w:cs="David" w:hint="cs"/>
          <w:sz w:val="24"/>
          <w:szCs w:val="24"/>
          <w:rtl/>
          <w:lang w:bidi="he-IL"/>
        </w:rPr>
        <w:t xml:space="preserve"> </w:t>
      </w:r>
      <w:r>
        <w:rPr>
          <w:rFonts w:ascii="David" w:hAnsi="David" w:cs="David"/>
          <w:sz w:val="24"/>
          <w:szCs w:val="24"/>
          <w:rtl/>
          <w:lang w:bidi="he-IL"/>
        </w:rPr>
        <w:t>לה מת בעליך ואחר כך מת בנ</w:t>
      </w:r>
      <w:r w:rsidRPr="00565D35">
        <w:rPr>
          <w:rFonts w:ascii="David" w:hAnsi="David" w:cs="David" w:hint="cs"/>
          <w:sz w:val="24"/>
          <w:szCs w:val="24"/>
          <w:rtl/>
          <w:lang w:bidi="he-IL"/>
        </w:rPr>
        <w:t>ה</w:t>
      </w:r>
      <w:r w:rsidRPr="00565D35">
        <w:rPr>
          <w:rFonts w:ascii="David" w:hAnsi="David" w:cs="David"/>
          <w:sz w:val="24"/>
          <w:szCs w:val="24"/>
          <w:rtl/>
          <w:lang w:bidi="he-IL"/>
        </w:rPr>
        <w:t xml:space="preserve"> ונ</w:t>
      </w:r>
      <w:r w:rsidRPr="00565D35">
        <w:rPr>
          <w:rFonts w:ascii="David" w:hAnsi="David" w:cs="David" w:hint="cs"/>
          <w:sz w:val="24"/>
          <w:szCs w:val="24"/>
          <w:rtl/>
          <w:lang w:bidi="he-IL"/>
        </w:rPr>
        <w:t>יסית</w:t>
      </w:r>
      <w:r w:rsidRPr="00565D35">
        <w:rPr>
          <w:rFonts w:ascii="David" w:hAnsi="David" w:cs="David"/>
          <w:sz w:val="24"/>
          <w:szCs w:val="24"/>
          <w:rtl/>
          <w:lang w:bidi="he-IL"/>
        </w:rPr>
        <w:t xml:space="preserve"> וקא מוקים</w:t>
      </w:r>
    </w:p>
    <w:p w14:paraId="11E512F7"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לה ר</w:t>
      </w:r>
      <w:r w:rsidRPr="00565D35">
        <w:rPr>
          <w:rFonts w:ascii="David" w:hAnsi="David" w:cs="David" w:hint="cs"/>
          <w:sz w:val="24"/>
          <w:szCs w:val="24"/>
          <w:rtl/>
          <w:lang w:bidi="he-IL"/>
        </w:rPr>
        <w:t>]ב</w:t>
      </w:r>
      <w:r w:rsidRPr="00565D35">
        <w:rPr>
          <w:rFonts w:ascii="David" w:hAnsi="David" w:cs="David"/>
          <w:sz w:val="24"/>
          <w:szCs w:val="24"/>
          <w:rtl/>
          <w:lang w:bidi="he-IL"/>
        </w:rPr>
        <w:t xml:space="preserve"> ששת בעד אחד וא</w:t>
      </w:r>
      <w:r w:rsidRPr="00565D35">
        <w:rPr>
          <w:rFonts w:ascii="David" w:hAnsi="David" w:cs="David" w:hint="cs"/>
          <w:sz w:val="24"/>
          <w:szCs w:val="24"/>
          <w:rtl/>
          <w:lang w:bidi="he-IL"/>
        </w:rPr>
        <w:t>פ</w:t>
      </w:r>
      <w:r w:rsidRPr="00565D35">
        <w:rPr>
          <w:rFonts w:ascii="David" w:hAnsi="David" w:cs="David"/>
          <w:sz w:val="24"/>
          <w:szCs w:val="24"/>
          <w:rtl/>
          <w:lang w:bidi="he-IL"/>
        </w:rPr>
        <w:t>עלגב דקא מדח</w:t>
      </w:r>
      <w:r w:rsidRPr="00565D35">
        <w:rPr>
          <w:rFonts w:ascii="David" w:hAnsi="David" w:cs="David" w:hint="cs"/>
          <w:sz w:val="24"/>
          <w:szCs w:val="24"/>
          <w:rtl/>
          <w:lang w:bidi="he-IL"/>
        </w:rPr>
        <w:t>י</w:t>
      </w:r>
      <w:r w:rsidRPr="00565D35">
        <w:rPr>
          <w:rFonts w:ascii="David" w:hAnsi="David" w:cs="David"/>
          <w:sz w:val="24"/>
          <w:szCs w:val="24"/>
          <w:rtl/>
          <w:lang w:bidi="he-IL"/>
        </w:rPr>
        <w:t xml:space="preserve"> ל</w:t>
      </w:r>
      <w:r w:rsidRPr="00565D35">
        <w:rPr>
          <w:rFonts w:ascii="David" w:hAnsi="David" w:cs="David" w:hint="cs"/>
          <w:sz w:val="24"/>
          <w:szCs w:val="24"/>
          <w:rtl/>
          <w:lang w:bidi="he-IL"/>
        </w:rPr>
        <w:t>י</w:t>
      </w:r>
      <w:r w:rsidRPr="00565D35">
        <w:rPr>
          <w:rFonts w:ascii="David" w:hAnsi="David" w:cs="David"/>
          <w:sz w:val="24"/>
          <w:szCs w:val="24"/>
          <w:rtl/>
          <w:lang w:bidi="he-IL"/>
        </w:rPr>
        <w:t>ה רבנן למתניתין רב ששת בעד אחד מוקים</w:t>
      </w:r>
    </w:p>
    <w:p w14:paraId="1C154687"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 xml:space="preserve">לה </w:t>
      </w:r>
      <w:r w:rsidRPr="00565D35">
        <w:rPr>
          <w:rFonts w:ascii="David" w:hAnsi="David" w:cs="David" w:hint="cs"/>
          <w:sz w:val="24"/>
          <w:szCs w:val="24"/>
          <w:rtl/>
          <w:lang w:bidi="he-IL"/>
        </w:rPr>
        <w:t>ו]</w:t>
      </w:r>
      <w:r w:rsidRPr="00565D35">
        <w:rPr>
          <w:rFonts w:ascii="David" w:hAnsi="David" w:cs="David"/>
          <w:sz w:val="24"/>
          <w:szCs w:val="24"/>
          <w:rtl/>
          <w:lang w:bidi="he-IL"/>
        </w:rPr>
        <w:t>להיתירא קא פשיט דקאמ</w:t>
      </w:r>
      <w:r w:rsidRPr="00565D35">
        <w:rPr>
          <w:rFonts w:ascii="David" w:hAnsi="David" w:cs="David" w:hint="cs"/>
          <w:sz w:val="24"/>
          <w:szCs w:val="24"/>
          <w:rtl/>
          <w:lang w:bidi="he-IL"/>
        </w:rPr>
        <w:t>[</w:t>
      </w:r>
      <w:r w:rsidRPr="00565D35">
        <w:rPr>
          <w:rFonts w:ascii="David" w:hAnsi="David" w:cs="David"/>
          <w:sz w:val="24"/>
          <w:szCs w:val="24"/>
          <w:rtl/>
          <w:lang w:bidi="he-IL"/>
        </w:rPr>
        <w:t>רינ</w:t>
      </w:r>
      <w:r w:rsidRPr="00565D35">
        <w:rPr>
          <w:rFonts w:ascii="David" w:hAnsi="David" w:cs="David" w:hint="cs"/>
          <w:sz w:val="24"/>
          <w:szCs w:val="24"/>
          <w:rtl/>
          <w:lang w:bidi="he-IL"/>
        </w:rPr>
        <w:t>]</w:t>
      </w:r>
      <w:r w:rsidRPr="00565D35">
        <w:rPr>
          <w:rFonts w:ascii="David" w:hAnsi="David" w:cs="David"/>
          <w:sz w:val="24"/>
          <w:szCs w:val="24"/>
          <w:rtl/>
          <w:lang w:bidi="he-IL"/>
        </w:rPr>
        <w:t>ן</w:t>
      </w:r>
      <w:r w:rsidRPr="00565D35">
        <w:rPr>
          <w:rFonts w:ascii="David" w:hAnsi="David" w:cs="David" w:hint="cs"/>
          <w:sz w:val="24"/>
          <w:szCs w:val="24"/>
          <w:rtl/>
          <w:lang w:bidi="he-IL"/>
        </w:rPr>
        <w:t xml:space="preserve"> והכא</w:t>
      </w:r>
      <w:r>
        <w:rPr>
          <w:rStyle w:val="FootnoteReference"/>
          <w:rFonts w:ascii="David" w:hAnsi="David" w:cs="David"/>
          <w:sz w:val="24"/>
          <w:szCs w:val="24"/>
          <w:rtl/>
          <w:lang w:bidi="he-IL"/>
        </w:rPr>
        <w:footnoteReference w:id="30"/>
      </w:r>
      <w:r w:rsidRPr="00565D35">
        <w:rPr>
          <w:rFonts w:ascii="David" w:hAnsi="David" w:cs="David" w:hint="cs"/>
          <w:sz w:val="24"/>
          <w:szCs w:val="24"/>
          <w:rtl/>
          <w:lang w:bidi="he-IL"/>
        </w:rPr>
        <w:t xml:space="preserve"> נמי להיתירא קא פשיט דקאמרינן</w:t>
      </w:r>
      <w:r w:rsidRPr="00565D35">
        <w:rPr>
          <w:rFonts w:ascii="David" w:hAnsi="David" w:cs="David"/>
          <w:sz w:val="24"/>
          <w:szCs w:val="24"/>
          <w:rtl/>
          <w:lang w:bidi="he-IL"/>
        </w:rPr>
        <w:t xml:space="preserve"> רבא אמ</w:t>
      </w:r>
      <w:r w:rsidRPr="00565D35">
        <w:rPr>
          <w:rFonts w:ascii="David" w:hAnsi="David" w:cs="David" w:hint="cs"/>
          <w:sz w:val="24"/>
          <w:szCs w:val="24"/>
          <w:rtl/>
          <w:lang w:bidi="he-IL"/>
        </w:rPr>
        <w:t>'</w:t>
      </w:r>
    </w:p>
    <w:p w14:paraId="58BB3EB9"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קל ו</w:t>
      </w:r>
      <w:r w:rsidRPr="00565D35">
        <w:rPr>
          <w:rFonts w:ascii="David" w:hAnsi="David" w:cs="David" w:hint="cs"/>
          <w:sz w:val="24"/>
          <w:szCs w:val="24"/>
          <w:rtl/>
          <w:lang w:bidi="he-IL"/>
        </w:rPr>
        <w:t>]</w:t>
      </w:r>
      <w:r w:rsidRPr="00565D35">
        <w:rPr>
          <w:rFonts w:ascii="David" w:hAnsi="David" w:cs="David"/>
          <w:sz w:val="24"/>
          <w:szCs w:val="24"/>
          <w:rtl/>
          <w:lang w:bidi="he-IL"/>
        </w:rPr>
        <w:t xml:space="preserve">חומר </w:t>
      </w:r>
      <w:r w:rsidRPr="00565D35">
        <w:rPr>
          <w:rFonts w:ascii="David" w:hAnsi="David" w:cs="David" w:hint="cs"/>
          <w:sz w:val="24"/>
          <w:szCs w:val="24"/>
          <w:rtl/>
          <w:lang w:bidi="he-IL"/>
        </w:rPr>
        <w:t xml:space="preserve">א'ס'ו'ר' </w:t>
      </w:r>
      <w:r w:rsidRPr="00565D35">
        <w:rPr>
          <w:rFonts w:ascii="David" w:hAnsi="David" w:cs="David"/>
          <w:sz w:val="24"/>
          <w:szCs w:val="24"/>
          <w:rtl/>
          <w:lang w:bidi="he-IL"/>
        </w:rPr>
        <w:t>לא</w:t>
      </w:r>
      <w:r w:rsidRPr="00565D35">
        <w:rPr>
          <w:rFonts w:ascii="David" w:hAnsi="David" w:cs="David" w:hint="cs"/>
          <w:sz w:val="24"/>
          <w:szCs w:val="24"/>
          <w:rtl/>
          <w:lang w:bidi="he-IL"/>
        </w:rPr>
        <w:t>י</w:t>
      </w:r>
      <w:r w:rsidRPr="00565D35">
        <w:rPr>
          <w:rFonts w:ascii="David" w:hAnsi="David" w:cs="David"/>
          <w:sz w:val="24"/>
          <w:szCs w:val="24"/>
          <w:rtl/>
          <w:lang w:bidi="he-IL"/>
        </w:rPr>
        <w:t>סור כר</w:t>
      </w:r>
      <w:r w:rsidRPr="00565D35">
        <w:rPr>
          <w:rFonts w:ascii="David" w:hAnsi="David" w:cs="David" w:hint="cs"/>
          <w:sz w:val="24"/>
          <w:szCs w:val="24"/>
          <w:rtl/>
          <w:lang w:bidi="he-IL"/>
        </w:rPr>
        <w:t>ת</w:t>
      </w:r>
      <w:r w:rsidRPr="00565D35">
        <w:rPr>
          <w:rFonts w:ascii="David" w:hAnsi="David" w:cs="David"/>
          <w:sz w:val="24"/>
          <w:szCs w:val="24"/>
          <w:rtl/>
          <w:lang w:bidi="he-IL"/>
        </w:rPr>
        <w:t xml:space="preserve"> ה</w:t>
      </w:r>
      <w:r w:rsidRPr="00565D35">
        <w:rPr>
          <w:rFonts w:ascii="David" w:hAnsi="David" w:cs="David" w:hint="cs"/>
          <w:sz w:val="24"/>
          <w:szCs w:val="24"/>
          <w:rtl/>
          <w:lang w:bidi="he-IL"/>
        </w:rPr>
        <w:t>י</w:t>
      </w:r>
      <w:r w:rsidRPr="00565D35">
        <w:rPr>
          <w:rFonts w:ascii="David" w:hAnsi="David" w:cs="David"/>
          <w:sz w:val="24"/>
          <w:szCs w:val="24"/>
          <w:rtl/>
          <w:lang w:bidi="he-IL"/>
        </w:rPr>
        <w:t>תרתה לאיסור לאו לא כל שכן וא</w:t>
      </w:r>
      <w:r w:rsidRPr="00565D35">
        <w:rPr>
          <w:rFonts w:ascii="David" w:hAnsi="David" w:cs="David" w:hint="cs"/>
          <w:sz w:val="24"/>
          <w:szCs w:val="24"/>
          <w:rtl/>
          <w:lang w:bidi="he-IL"/>
        </w:rPr>
        <w:t>פ</w:t>
      </w:r>
      <w:r w:rsidRPr="00565D35">
        <w:rPr>
          <w:rFonts w:ascii="David" w:hAnsi="David" w:cs="David"/>
          <w:sz w:val="24"/>
          <w:szCs w:val="24"/>
          <w:rtl/>
          <w:lang w:bidi="he-IL"/>
        </w:rPr>
        <w:t>עלגב דאמ</w:t>
      </w:r>
      <w:r w:rsidRPr="00565D35">
        <w:rPr>
          <w:rFonts w:ascii="David" w:hAnsi="David" w:cs="David" w:hint="cs"/>
          <w:sz w:val="24"/>
          <w:szCs w:val="24"/>
          <w:rtl/>
          <w:lang w:bidi="he-IL"/>
        </w:rPr>
        <w:t>'</w:t>
      </w:r>
      <w:r w:rsidRPr="00565D35">
        <w:rPr>
          <w:rFonts w:ascii="David" w:hAnsi="David" w:cs="David"/>
          <w:sz w:val="24"/>
          <w:szCs w:val="24"/>
          <w:rtl/>
          <w:lang w:bidi="he-IL"/>
        </w:rPr>
        <w:t xml:space="preserve"> ליה ההוא</w:t>
      </w:r>
    </w:p>
    <w:p w14:paraId="22622809"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מרב</w:t>
      </w:r>
      <w:r w:rsidRPr="00565D35">
        <w:rPr>
          <w:rFonts w:ascii="David" w:hAnsi="David" w:cs="David" w:hint="cs"/>
          <w:sz w:val="24"/>
          <w:szCs w:val="24"/>
          <w:rtl/>
          <w:lang w:bidi="he-IL"/>
        </w:rPr>
        <w:t>]</w:t>
      </w:r>
      <w:r w:rsidRPr="00565D35">
        <w:rPr>
          <w:rFonts w:ascii="David" w:hAnsi="David" w:cs="David"/>
          <w:sz w:val="24"/>
          <w:szCs w:val="24"/>
          <w:rtl/>
          <w:lang w:bidi="he-IL"/>
        </w:rPr>
        <w:t>נן לרבא</w:t>
      </w:r>
      <w:r>
        <w:rPr>
          <w:rStyle w:val="FootnoteReference"/>
          <w:rFonts w:ascii="David" w:hAnsi="David" w:cs="David"/>
          <w:sz w:val="24"/>
          <w:szCs w:val="24"/>
          <w:rtl/>
          <w:lang w:bidi="he-IL"/>
        </w:rPr>
        <w:footnoteReference w:id="31"/>
      </w:r>
      <w:r w:rsidRPr="00565D35">
        <w:rPr>
          <w:rFonts w:ascii="David" w:hAnsi="David" w:cs="David"/>
          <w:sz w:val="24"/>
          <w:szCs w:val="24"/>
          <w:rtl/>
          <w:lang w:bidi="he-IL"/>
        </w:rPr>
        <w:t xml:space="preserve"> </w:t>
      </w:r>
      <w:r w:rsidRPr="00565D35">
        <w:rPr>
          <w:rFonts w:ascii="David" w:hAnsi="David" w:cs="David" w:hint="cs"/>
          <w:sz w:val="24"/>
          <w:szCs w:val="24"/>
          <w:rtl/>
          <w:lang w:bidi="he-IL"/>
        </w:rPr>
        <w:t xml:space="preserve">הא </w:t>
      </w:r>
      <w:r w:rsidRPr="00565D35">
        <w:rPr>
          <w:rFonts w:ascii="David" w:hAnsi="David" w:cs="David"/>
          <w:sz w:val="24"/>
          <w:szCs w:val="24"/>
          <w:rtl/>
          <w:lang w:bidi="he-IL"/>
        </w:rPr>
        <w:t>קאמ</w:t>
      </w:r>
      <w:r w:rsidRPr="00565D35">
        <w:rPr>
          <w:rFonts w:ascii="David" w:hAnsi="David" w:cs="David" w:hint="cs"/>
          <w:sz w:val="24"/>
          <w:szCs w:val="24"/>
          <w:rtl/>
          <w:lang w:bidi="he-IL"/>
        </w:rPr>
        <w:t>'</w:t>
      </w:r>
      <w:r w:rsidRPr="00565D35">
        <w:rPr>
          <w:rFonts w:ascii="David" w:hAnsi="David" w:cs="David"/>
          <w:sz w:val="24"/>
          <w:szCs w:val="24"/>
          <w:rtl/>
          <w:lang w:bidi="he-IL"/>
        </w:rPr>
        <w:t xml:space="preserve"> להיתירא וקמו להו רב ששת ורבא בחדא שיטתא להיתירא</w:t>
      </w:r>
      <w:r w:rsidRPr="00565D35">
        <w:rPr>
          <w:rFonts w:ascii="David" w:hAnsi="David" w:cs="David" w:hint="cs"/>
          <w:sz w:val="24"/>
          <w:szCs w:val="24"/>
          <w:rtl/>
          <w:lang w:bidi="he-IL"/>
        </w:rPr>
        <w:t xml:space="preserve"> וקמ'</w:t>
      </w:r>
    </w:p>
    <w:p w14:paraId="544ECD6D"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[...]רב' ששת</w:t>
      </w:r>
      <w:r w:rsidRPr="00565D35">
        <w:rPr>
          <w:rFonts w:ascii="David" w:hAnsi="David" w:cs="David"/>
          <w:sz w:val="24"/>
          <w:szCs w:val="24"/>
          <w:rtl/>
          <w:lang w:bidi="he-IL"/>
        </w:rPr>
        <w:t xml:space="preserve"> ש</w:t>
      </w:r>
      <w:r w:rsidRPr="00565D35">
        <w:rPr>
          <w:rFonts w:ascii="David" w:hAnsi="David" w:cs="David" w:hint="cs"/>
          <w:sz w:val="24"/>
          <w:szCs w:val="24"/>
          <w:rtl/>
          <w:lang w:bidi="he-IL"/>
        </w:rPr>
        <w:t>מע מינה</w:t>
      </w:r>
      <w:r w:rsidRPr="00565D35">
        <w:rPr>
          <w:rFonts w:ascii="David" w:hAnsi="David" w:cs="David"/>
          <w:sz w:val="24"/>
          <w:szCs w:val="24"/>
          <w:rtl/>
          <w:lang w:bidi="he-IL"/>
        </w:rPr>
        <w:t xml:space="preserve"> עד אחד ביבמה לשוק כשר </w:t>
      </w:r>
      <w:r w:rsidRPr="00565D35">
        <w:rPr>
          <w:rFonts w:ascii="David" w:hAnsi="David" w:cs="David" w:hint="cs"/>
          <w:sz w:val="24"/>
          <w:szCs w:val="24"/>
          <w:rtl/>
          <w:lang w:bidi="he-IL"/>
        </w:rPr>
        <w:t>ו</w:t>
      </w:r>
      <w:r w:rsidRPr="00565D35">
        <w:rPr>
          <w:rFonts w:ascii="David" w:hAnsi="David" w:cs="David"/>
          <w:sz w:val="24"/>
          <w:szCs w:val="24"/>
          <w:rtl/>
          <w:lang w:bidi="he-IL"/>
        </w:rPr>
        <w:t>השתא דאמרת עד אחד כשר</w:t>
      </w:r>
    </w:p>
    <w:p w14:paraId="6E2BC163"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דשו</w:t>
      </w:r>
      <w:r>
        <w:rPr>
          <w:rFonts w:ascii="David" w:hAnsi="David" w:cs="David" w:hint="cs"/>
          <w:sz w:val="24"/>
          <w:szCs w:val="24"/>
          <w:rtl/>
          <w:lang w:bidi="he-IL"/>
        </w:rPr>
        <w:t>]</w:t>
      </w:r>
      <w:r w:rsidRPr="00565D35">
        <w:rPr>
          <w:rFonts w:ascii="David" w:hAnsi="David" w:cs="David"/>
          <w:sz w:val="24"/>
          <w:szCs w:val="24"/>
          <w:rtl/>
          <w:lang w:bidi="he-IL"/>
        </w:rPr>
        <w:t>יוה רבנן כאשה שה</w:t>
      </w:r>
      <w:r w:rsidRPr="00565D35">
        <w:rPr>
          <w:rFonts w:ascii="David" w:hAnsi="David" w:cs="David" w:hint="cs"/>
          <w:sz w:val="24"/>
          <w:szCs w:val="24"/>
          <w:rtl/>
          <w:lang w:bidi="he-IL"/>
        </w:rPr>
        <w:t>ו</w:t>
      </w:r>
      <w:r w:rsidRPr="00565D35">
        <w:rPr>
          <w:rFonts w:ascii="David" w:hAnsi="David" w:cs="David"/>
          <w:sz w:val="24"/>
          <w:szCs w:val="24"/>
          <w:rtl/>
          <w:lang w:bidi="he-IL"/>
        </w:rPr>
        <w:t>לך בעלה למדינת הים כאשה לכול</w:t>
      </w:r>
      <w:r w:rsidRPr="00565D35">
        <w:rPr>
          <w:rFonts w:ascii="David" w:hAnsi="David" w:cs="David" w:hint="cs"/>
          <w:sz w:val="24"/>
          <w:szCs w:val="24"/>
          <w:rtl/>
          <w:lang w:bidi="he-IL"/>
        </w:rPr>
        <w:t>ה</w:t>
      </w:r>
      <w:r w:rsidRPr="00565D35">
        <w:rPr>
          <w:rFonts w:ascii="David" w:hAnsi="David" w:cs="David"/>
          <w:sz w:val="24"/>
          <w:szCs w:val="24"/>
          <w:rtl/>
          <w:lang w:bidi="he-IL"/>
        </w:rPr>
        <w:t xml:space="preserve"> מילתא וקתני גבי אשה</w:t>
      </w:r>
    </w:p>
    <w:p w14:paraId="1FA6D74C"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הוחז</w:t>
      </w:r>
      <w:r w:rsidRPr="00565D35">
        <w:rPr>
          <w:rFonts w:ascii="David" w:hAnsi="David" w:cs="David" w:hint="cs"/>
          <w:sz w:val="24"/>
          <w:szCs w:val="24"/>
          <w:rtl/>
          <w:lang w:bidi="he-IL"/>
        </w:rPr>
        <w:t>]</w:t>
      </w:r>
      <w:r w:rsidRPr="00565D35">
        <w:rPr>
          <w:rFonts w:ascii="David" w:hAnsi="David" w:cs="David"/>
          <w:sz w:val="24"/>
          <w:szCs w:val="24"/>
          <w:rtl/>
          <w:lang w:bidi="he-IL"/>
        </w:rPr>
        <w:t xml:space="preserve">קו להיות משיאין עד מפי עד </w:t>
      </w:r>
      <w:r w:rsidRPr="00565D35">
        <w:rPr>
          <w:rFonts w:ascii="David" w:hAnsi="David" w:cs="David" w:hint="cs"/>
          <w:sz w:val="24"/>
          <w:szCs w:val="24"/>
          <w:rtl/>
          <w:lang w:bidi="he-IL"/>
        </w:rPr>
        <w:t xml:space="preserve">עד </w:t>
      </w:r>
      <w:r w:rsidRPr="00565D35">
        <w:rPr>
          <w:rFonts w:ascii="David" w:hAnsi="David" w:cs="David"/>
          <w:sz w:val="24"/>
          <w:szCs w:val="24"/>
          <w:rtl/>
          <w:lang w:bidi="he-IL"/>
        </w:rPr>
        <w:t>מפי אשה אשה מפי עבד ומפי שפחה והדא יבמה</w:t>
      </w:r>
    </w:p>
    <w:p w14:paraId="5E9E3A7A"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 xml:space="preserve">[...] </w:t>
      </w:r>
      <w:r w:rsidRPr="00565D35">
        <w:rPr>
          <w:rFonts w:ascii="David" w:hAnsi="David" w:cs="David"/>
          <w:sz w:val="24"/>
          <w:szCs w:val="24"/>
          <w:rtl/>
          <w:lang w:bidi="he-IL"/>
        </w:rPr>
        <w:t>שריא לאינסובי.</w:t>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הכל נאמין להעידה חוץ מחמותה ובת חמותה צרתה ויבמתה </w:t>
      </w:r>
    </w:p>
    <w:p w14:paraId="7736392D"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ובת ב</w:t>
      </w:r>
      <w:r w:rsidRPr="00565D35">
        <w:rPr>
          <w:rFonts w:ascii="David" w:hAnsi="David" w:cs="David" w:hint="cs"/>
          <w:sz w:val="24"/>
          <w:szCs w:val="24"/>
          <w:rtl/>
          <w:lang w:bidi="he-IL"/>
        </w:rPr>
        <w:t>]</w:t>
      </w:r>
      <w:r w:rsidRPr="00565D35">
        <w:rPr>
          <w:rFonts w:ascii="David" w:hAnsi="David" w:cs="David"/>
          <w:sz w:val="24"/>
          <w:szCs w:val="24"/>
          <w:rtl/>
          <w:lang w:bidi="he-IL"/>
        </w:rPr>
        <w:t xml:space="preserve">עלה ומה בין גט למיתה כתב מוכיח עד </w:t>
      </w:r>
      <w:r w:rsidRPr="00565D35">
        <w:rPr>
          <w:rFonts w:ascii="David" w:hAnsi="David" w:cs="David" w:hint="cs"/>
          <w:sz w:val="24"/>
          <w:szCs w:val="24"/>
          <w:rtl/>
          <w:lang w:bidi="he-IL"/>
        </w:rPr>
        <w:t xml:space="preserve">אחד </w:t>
      </w:r>
      <w:r w:rsidRPr="00565D35">
        <w:rPr>
          <w:rFonts w:ascii="David" w:hAnsi="David" w:cs="David"/>
          <w:sz w:val="24"/>
          <w:szCs w:val="24"/>
          <w:rtl/>
          <w:lang w:bidi="he-IL"/>
        </w:rPr>
        <w:t>אומ</w:t>
      </w:r>
      <w:r>
        <w:rPr>
          <w:rFonts w:ascii="David" w:hAnsi="David" w:cs="David" w:hint="cs"/>
          <w:sz w:val="24"/>
          <w:szCs w:val="24"/>
          <w:rtl/>
          <w:lang w:bidi="he-IL"/>
        </w:rPr>
        <w:t>'</w:t>
      </w:r>
      <w:r w:rsidRPr="00565D35">
        <w:rPr>
          <w:rFonts w:ascii="David" w:hAnsi="David" w:cs="David"/>
          <w:sz w:val="24"/>
          <w:szCs w:val="24"/>
          <w:rtl/>
          <w:lang w:bidi="he-IL"/>
        </w:rPr>
        <w:t xml:space="preserve"> מת ונ</w:t>
      </w:r>
      <w:r w:rsidRPr="00565D35">
        <w:rPr>
          <w:rFonts w:ascii="David" w:hAnsi="David" w:cs="David" w:hint="cs"/>
          <w:sz w:val="24"/>
          <w:szCs w:val="24"/>
          <w:rtl/>
          <w:lang w:bidi="he-IL"/>
        </w:rPr>
        <w:t>יסי</w:t>
      </w:r>
      <w:r w:rsidRPr="00565D35">
        <w:rPr>
          <w:rFonts w:ascii="David" w:hAnsi="David" w:cs="David"/>
          <w:sz w:val="24"/>
          <w:szCs w:val="24"/>
          <w:rtl/>
          <w:lang w:bidi="he-IL"/>
        </w:rPr>
        <w:t xml:space="preserve">ת </w:t>
      </w:r>
      <w:r w:rsidRPr="00565D35">
        <w:rPr>
          <w:rFonts w:ascii="David" w:hAnsi="David" w:cs="David" w:hint="cs"/>
          <w:sz w:val="24"/>
          <w:szCs w:val="24"/>
          <w:rtl/>
          <w:lang w:bidi="he-IL"/>
        </w:rPr>
        <w:t>ו</w:t>
      </w:r>
      <w:r w:rsidRPr="00565D35">
        <w:rPr>
          <w:rFonts w:ascii="David" w:hAnsi="David" w:cs="David"/>
          <w:sz w:val="24"/>
          <w:szCs w:val="24"/>
          <w:rtl/>
          <w:lang w:bidi="he-IL"/>
        </w:rPr>
        <w:t>בא אח</w:t>
      </w:r>
      <w:r w:rsidRPr="00565D35">
        <w:rPr>
          <w:rFonts w:ascii="David" w:hAnsi="David" w:cs="David" w:hint="cs"/>
          <w:sz w:val="24"/>
          <w:szCs w:val="24"/>
          <w:rtl/>
          <w:lang w:bidi="he-IL"/>
        </w:rPr>
        <w:t>ר</w:t>
      </w:r>
      <w:r w:rsidRPr="00565D35">
        <w:rPr>
          <w:rFonts w:ascii="David" w:hAnsi="David" w:cs="David"/>
          <w:sz w:val="24"/>
          <w:szCs w:val="24"/>
          <w:rtl/>
          <w:lang w:bidi="he-IL"/>
        </w:rPr>
        <w:t xml:space="preserve"> ואמ</w:t>
      </w:r>
      <w:r w:rsidRPr="00565D35">
        <w:rPr>
          <w:rFonts w:ascii="David" w:hAnsi="David" w:cs="David" w:hint="cs"/>
          <w:sz w:val="24"/>
          <w:szCs w:val="24"/>
          <w:rtl/>
          <w:lang w:bidi="he-IL"/>
        </w:rPr>
        <w:t>'</w:t>
      </w:r>
      <w:r w:rsidRPr="00565D35">
        <w:rPr>
          <w:rFonts w:ascii="David" w:hAnsi="David" w:cs="David"/>
          <w:sz w:val="24"/>
          <w:szCs w:val="24"/>
          <w:rtl/>
          <w:lang w:bidi="he-IL"/>
        </w:rPr>
        <w:t xml:space="preserve"> לא מת</w:t>
      </w:r>
    </w:p>
    <w:p w14:paraId="763C71E6"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הרי זו</w:t>
      </w:r>
      <w:r w:rsidRPr="00565D35">
        <w:rPr>
          <w:rFonts w:ascii="David" w:hAnsi="David" w:cs="David" w:hint="cs"/>
          <w:sz w:val="24"/>
          <w:szCs w:val="24"/>
          <w:rtl/>
          <w:lang w:bidi="he-IL"/>
        </w:rPr>
        <w:t>]</w:t>
      </w:r>
      <w:r w:rsidRPr="00565D35">
        <w:rPr>
          <w:rFonts w:ascii="David" w:hAnsi="David" w:cs="David"/>
          <w:sz w:val="24"/>
          <w:szCs w:val="24"/>
          <w:rtl/>
          <w:lang w:bidi="he-IL"/>
        </w:rPr>
        <w:t xml:space="preserve"> לא תצא עד</w:t>
      </w:r>
      <w:r>
        <w:rPr>
          <w:rFonts w:ascii="David" w:hAnsi="David" w:cs="David" w:hint="cs"/>
          <w:sz w:val="24"/>
          <w:szCs w:val="24"/>
          <w:rtl/>
          <w:lang w:bidi="he-IL"/>
        </w:rPr>
        <w:t xml:space="preserve"> אחד</w:t>
      </w:r>
      <w:r w:rsidRPr="00565D35">
        <w:rPr>
          <w:rFonts w:ascii="David" w:hAnsi="David" w:cs="David"/>
          <w:sz w:val="24"/>
          <w:szCs w:val="24"/>
          <w:rtl/>
          <w:lang w:bidi="he-IL"/>
        </w:rPr>
        <w:t xml:space="preserve">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מת ושנים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לא מת א</w:t>
      </w:r>
      <w:r w:rsidRPr="00565D35">
        <w:rPr>
          <w:rFonts w:ascii="David" w:hAnsi="David" w:cs="David" w:hint="cs"/>
          <w:sz w:val="24"/>
          <w:szCs w:val="24"/>
          <w:rtl/>
          <w:lang w:bidi="he-IL"/>
        </w:rPr>
        <w:t>פעלפי</w:t>
      </w:r>
      <w:r w:rsidRPr="00565D35">
        <w:rPr>
          <w:rFonts w:ascii="David" w:hAnsi="David" w:cs="David"/>
          <w:sz w:val="24"/>
          <w:szCs w:val="24"/>
          <w:rtl/>
          <w:lang w:bidi="he-IL"/>
        </w:rPr>
        <w:t xml:space="preserve"> שנ</w:t>
      </w:r>
      <w:r w:rsidRPr="00565D35">
        <w:rPr>
          <w:rFonts w:ascii="David" w:hAnsi="David" w:cs="David" w:hint="cs"/>
          <w:sz w:val="24"/>
          <w:szCs w:val="24"/>
          <w:rtl/>
          <w:lang w:bidi="he-IL"/>
        </w:rPr>
        <w:t>יסי</w:t>
      </w:r>
      <w:r w:rsidRPr="00565D35">
        <w:rPr>
          <w:rFonts w:ascii="David" w:hAnsi="David" w:cs="David"/>
          <w:sz w:val="24"/>
          <w:szCs w:val="24"/>
          <w:rtl/>
          <w:lang w:bidi="he-IL"/>
        </w:rPr>
        <w:t>ת תצא שנים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מת</w:t>
      </w:r>
    </w:p>
    <w:p w14:paraId="07EA7CD1"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ועד</w:t>
      </w:r>
      <w:r w:rsidRPr="00565D35">
        <w:rPr>
          <w:rFonts w:ascii="David" w:hAnsi="David" w:cs="David" w:hint="cs"/>
          <w:sz w:val="24"/>
          <w:szCs w:val="24"/>
          <w:rtl/>
          <w:lang w:bidi="he-IL"/>
        </w:rPr>
        <w:t>]</w:t>
      </w:r>
      <w:r w:rsidRPr="00565D35">
        <w:rPr>
          <w:rFonts w:ascii="David" w:hAnsi="David" w:cs="David"/>
          <w:sz w:val="24"/>
          <w:szCs w:val="24"/>
          <w:rtl/>
          <w:lang w:bidi="he-IL"/>
        </w:rPr>
        <w:t xml:space="preserve">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לא מת א</w:t>
      </w:r>
      <w:r w:rsidRPr="00565D35">
        <w:rPr>
          <w:rFonts w:ascii="David" w:hAnsi="David" w:cs="David" w:hint="cs"/>
          <w:sz w:val="24"/>
          <w:szCs w:val="24"/>
          <w:rtl/>
          <w:lang w:bidi="he-IL"/>
        </w:rPr>
        <w:t>פ</w:t>
      </w:r>
      <w:r w:rsidRPr="00565D35">
        <w:rPr>
          <w:rFonts w:ascii="David" w:hAnsi="David" w:cs="David"/>
          <w:sz w:val="24"/>
          <w:szCs w:val="24"/>
          <w:rtl/>
          <w:lang w:bidi="he-IL"/>
        </w:rPr>
        <w:t>עלפי שלא ני</w:t>
      </w:r>
      <w:r w:rsidRPr="00565D35">
        <w:rPr>
          <w:rFonts w:ascii="David" w:hAnsi="David" w:cs="David" w:hint="cs"/>
          <w:sz w:val="24"/>
          <w:szCs w:val="24"/>
          <w:rtl/>
          <w:lang w:bidi="he-IL"/>
        </w:rPr>
        <w:t>סי</w:t>
      </w:r>
      <w:r w:rsidRPr="00565D35">
        <w:rPr>
          <w:rFonts w:ascii="David" w:hAnsi="David" w:cs="David"/>
          <w:sz w:val="24"/>
          <w:szCs w:val="24"/>
          <w:rtl/>
          <w:lang w:bidi="he-IL"/>
        </w:rPr>
        <w:t>ת תינשא.</w:t>
      </w:r>
      <w:r w:rsidRPr="00565D35">
        <w:rPr>
          <w:rFonts w:ascii="David" w:hAnsi="David" w:cs="David" w:hint="cs"/>
          <w:sz w:val="24"/>
          <w:szCs w:val="24"/>
          <w:rtl/>
          <w:lang w:bidi="he-IL"/>
        </w:rPr>
        <w:t xml:space="preserve"> </w:t>
      </w:r>
      <w:r w:rsidRPr="00565D35">
        <w:rPr>
          <w:rFonts w:ascii="David" w:hAnsi="David" w:cs="David"/>
          <w:sz w:val="24"/>
          <w:szCs w:val="24"/>
          <w:rtl/>
          <w:lang w:bidi="he-IL"/>
        </w:rPr>
        <w:t>והיכא דאתו בתרי סהדי או אפי</w:t>
      </w:r>
      <w:r>
        <w:rPr>
          <w:rFonts w:ascii="David" w:hAnsi="David" w:cs="David" w:hint="cs"/>
          <w:sz w:val="24"/>
          <w:szCs w:val="24"/>
          <w:rtl/>
          <w:lang w:bidi="he-IL"/>
        </w:rPr>
        <w:t>[</w:t>
      </w:r>
      <w:r w:rsidRPr="00565D35">
        <w:rPr>
          <w:rFonts w:ascii="David" w:hAnsi="David" w:cs="David"/>
          <w:sz w:val="24"/>
          <w:szCs w:val="24"/>
          <w:rtl/>
          <w:lang w:bidi="he-IL"/>
        </w:rPr>
        <w:t>לו</w:t>
      </w:r>
      <w:r>
        <w:rPr>
          <w:rFonts w:ascii="David" w:hAnsi="David" w:cs="David" w:hint="cs"/>
          <w:sz w:val="24"/>
          <w:szCs w:val="24"/>
          <w:rtl/>
          <w:lang w:bidi="he-IL"/>
        </w:rPr>
        <w:t>]</w:t>
      </w:r>
    </w:p>
    <w:p w14:paraId="49C325EE"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חד ס</w:t>
      </w:r>
      <w:r w:rsidRPr="00565D35">
        <w:rPr>
          <w:rFonts w:ascii="David" w:hAnsi="David" w:cs="David" w:hint="cs"/>
          <w:sz w:val="24"/>
          <w:szCs w:val="24"/>
          <w:rtl/>
          <w:lang w:bidi="he-IL"/>
        </w:rPr>
        <w:t>]</w:t>
      </w:r>
      <w:r w:rsidRPr="00565D35">
        <w:rPr>
          <w:rFonts w:ascii="David" w:hAnsi="David" w:cs="David"/>
          <w:sz w:val="24"/>
          <w:szCs w:val="24"/>
          <w:rtl/>
          <w:lang w:bidi="he-IL"/>
        </w:rPr>
        <w:t>הדא ואמ</w:t>
      </w:r>
      <w:r w:rsidRPr="00565D35">
        <w:rPr>
          <w:rFonts w:ascii="David" w:hAnsi="David" w:cs="David" w:hint="cs"/>
          <w:sz w:val="24"/>
          <w:szCs w:val="24"/>
          <w:rtl/>
          <w:lang w:bidi="he-IL"/>
        </w:rPr>
        <w:t>'</w:t>
      </w:r>
      <w:r w:rsidRPr="00565D35">
        <w:rPr>
          <w:rFonts w:ascii="David" w:hAnsi="David" w:cs="David"/>
          <w:sz w:val="24"/>
          <w:szCs w:val="24"/>
          <w:rtl/>
          <w:lang w:bidi="he-IL"/>
        </w:rPr>
        <w:t xml:space="preserve"> חזיתיה לגברא פל</w:t>
      </w:r>
      <w:r w:rsidRPr="00565D35">
        <w:rPr>
          <w:rFonts w:ascii="David" w:hAnsi="David" w:cs="David" w:hint="cs"/>
          <w:sz w:val="24"/>
          <w:szCs w:val="24"/>
          <w:rtl/>
          <w:lang w:bidi="he-IL"/>
        </w:rPr>
        <w:t>ו'</w:t>
      </w:r>
      <w:r w:rsidRPr="00565D35">
        <w:rPr>
          <w:rFonts w:ascii="David" w:hAnsi="David" w:cs="David"/>
          <w:sz w:val="24"/>
          <w:szCs w:val="24"/>
          <w:rtl/>
          <w:lang w:bidi="he-IL"/>
        </w:rPr>
        <w:t xml:space="preserve"> דטבע במים ש</w:t>
      </w:r>
      <w:r w:rsidRPr="00565D35">
        <w:rPr>
          <w:rFonts w:ascii="David" w:hAnsi="David" w:cs="David" w:hint="cs"/>
          <w:sz w:val="24"/>
          <w:szCs w:val="24"/>
          <w:rtl/>
          <w:lang w:bidi="he-IL"/>
        </w:rPr>
        <w:t>אין</w:t>
      </w:r>
      <w:r>
        <w:rPr>
          <w:rStyle w:val="FootnoteReference"/>
          <w:rFonts w:ascii="David" w:hAnsi="David" w:cs="David"/>
          <w:sz w:val="24"/>
          <w:szCs w:val="24"/>
          <w:rtl/>
          <w:lang w:bidi="he-IL"/>
        </w:rPr>
        <w:footnoteReference w:id="32"/>
      </w:r>
      <w:r w:rsidRPr="00565D35">
        <w:rPr>
          <w:rFonts w:ascii="David" w:hAnsi="David" w:cs="David"/>
          <w:sz w:val="24"/>
          <w:szCs w:val="24"/>
          <w:rtl/>
          <w:lang w:bidi="he-IL"/>
        </w:rPr>
        <w:t xml:space="preserve"> להן סוף ושהאי כשיעור מיפ</w:t>
      </w:r>
      <w:r>
        <w:rPr>
          <w:rFonts w:ascii="David" w:hAnsi="David" w:cs="David" w:hint="cs"/>
          <w:sz w:val="24"/>
          <w:szCs w:val="24"/>
          <w:rtl/>
          <w:lang w:bidi="he-IL"/>
        </w:rPr>
        <w:t>[</w:t>
      </w:r>
      <w:r w:rsidRPr="00565D35">
        <w:rPr>
          <w:rFonts w:ascii="David" w:hAnsi="David" w:cs="David"/>
          <w:sz w:val="24"/>
          <w:szCs w:val="24"/>
          <w:rtl/>
          <w:lang w:bidi="he-IL"/>
        </w:rPr>
        <w:t>ק</w:t>
      </w:r>
      <w:r>
        <w:rPr>
          <w:rFonts w:ascii="David" w:hAnsi="David" w:cs="David" w:hint="cs"/>
          <w:sz w:val="24"/>
          <w:szCs w:val="24"/>
          <w:rtl/>
          <w:lang w:bidi="he-IL"/>
        </w:rPr>
        <w:t>]</w:t>
      </w:r>
    </w:p>
    <w:p w14:paraId="4A0C97C9"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נשמת</w:t>
      </w:r>
      <w:r>
        <w:rPr>
          <w:rFonts w:ascii="David" w:hAnsi="David" w:cs="David" w:hint="cs"/>
          <w:sz w:val="24"/>
          <w:szCs w:val="24"/>
          <w:rtl/>
          <w:lang w:bidi="he-IL"/>
        </w:rPr>
        <w:t>]</w:t>
      </w:r>
      <w:r w:rsidRPr="00565D35">
        <w:rPr>
          <w:rFonts w:ascii="David" w:hAnsi="David" w:cs="David"/>
          <w:sz w:val="24"/>
          <w:szCs w:val="24"/>
          <w:rtl/>
          <w:lang w:bidi="he-IL"/>
        </w:rPr>
        <w:t xml:space="preserve">יה ולא סליק לאלתר שרינן לה לאיתתיה </w:t>
      </w:r>
      <w:r w:rsidRPr="00565D35">
        <w:rPr>
          <w:rFonts w:ascii="David" w:hAnsi="David" w:cs="David" w:hint="cs"/>
          <w:sz w:val="24"/>
          <w:szCs w:val="24"/>
          <w:rtl/>
          <w:lang w:bidi="he-IL"/>
        </w:rPr>
        <w:t>מאי טע' אמרינן</w:t>
      </w:r>
      <w:r>
        <w:rPr>
          <w:rStyle w:val="FootnoteReference"/>
          <w:rFonts w:ascii="David" w:hAnsi="David" w:cs="David"/>
          <w:sz w:val="24"/>
          <w:szCs w:val="24"/>
          <w:rtl/>
          <w:lang w:bidi="he-IL"/>
        </w:rPr>
        <w:footnoteReference w:id="33"/>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מים שאין להם סוף </w:t>
      </w:r>
      <w:r w:rsidRPr="00565D35">
        <w:rPr>
          <w:rFonts w:ascii="David" w:hAnsi="David" w:cs="David" w:hint="cs"/>
          <w:sz w:val="24"/>
          <w:szCs w:val="24"/>
          <w:rtl/>
          <w:lang w:bidi="he-IL"/>
        </w:rPr>
        <w:t>אפיל</w:t>
      </w:r>
      <w:r>
        <w:rPr>
          <w:rFonts w:ascii="David" w:hAnsi="David" w:cs="David" w:hint="cs"/>
          <w:sz w:val="24"/>
          <w:szCs w:val="24"/>
          <w:rtl/>
          <w:lang w:bidi="he-IL"/>
        </w:rPr>
        <w:t>[</w:t>
      </w:r>
      <w:r w:rsidRPr="00565D35">
        <w:rPr>
          <w:rFonts w:ascii="David" w:hAnsi="David" w:cs="David" w:hint="cs"/>
          <w:sz w:val="24"/>
          <w:szCs w:val="24"/>
          <w:rtl/>
          <w:lang w:bidi="he-IL"/>
        </w:rPr>
        <w:t>ו</w:t>
      </w:r>
      <w:r>
        <w:rPr>
          <w:rFonts w:ascii="David" w:hAnsi="David" w:cs="David" w:hint="cs"/>
          <w:sz w:val="24"/>
          <w:szCs w:val="24"/>
          <w:rtl/>
          <w:lang w:bidi="he-IL"/>
        </w:rPr>
        <w:t>]</w:t>
      </w:r>
    </w:p>
    <w:p w14:paraId="751C77E4"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 מ</w:t>
      </w:r>
      <w:r w:rsidRPr="00565D35">
        <w:rPr>
          <w:rFonts w:ascii="David" w:hAnsi="David" w:cs="David"/>
          <w:sz w:val="24"/>
          <w:szCs w:val="24"/>
          <w:rtl/>
          <w:lang w:bidi="he-IL"/>
        </w:rPr>
        <w:t>שה</w:t>
      </w:r>
      <w:r w:rsidRPr="00565D35">
        <w:rPr>
          <w:rFonts w:ascii="David" w:hAnsi="David" w:cs="David" w:hint="cs"/>
          <w:sz w:val="24"/>
          <w:szCs w:val="24"/>
          <w:rtl/>
          <w:lang w:bidi="he-IL"/>
        </w:rPr>
        <w:t>י</w:t>
      </w:r>
      <w:r w:rsidRPr="00565D35">
        <w:rPr>
          <w:rFonts w:ascii="David" w:hAnsi="David" w:cs="David"/>
          <w:sz w:val="24"/>
          <w:szCs w:val="24"/>
          <w:rtl/>
          <w:lang w:bidi="he-IL"/>
        </w:rPr>
        <w:t xml:space="preserve">י לי טובא ולא סליק לא שרינן </w:t>
      </w:r>
      <w:r w:rsidRPr="00565D35">
        <w:rPr>
          <w:rFonts w:ascii="David" w:hAnsi="David" w:cs="David" w:hint="cs"/>
          <w:sz w:val="24"/>
          <w:szCs w:val="24"/>
          <w:rtl/>
          <w:lang w:bidi="he-IL"/>
        </w:rPr>
        <w:t xml:space="preserve">ליה </w:t>
      </w:r>
      <w:r w:rsidRPr="00565D35">
        <w:rPr>
          <w:rFonts w:ascii="David" w:hAnsi="David" w:cs="David"/>
          <w:sz w:val="24"/>
          <w:szCs w:val="24"/>
          <w:rtl/>
          <w:lang w:bidi="he-IL"/>
        </w:rPr>
        <w:t>לאיתתיה מא</w:t>
      </w:r>
      <w:r w:rsidRPr="00565D35">
        <w:rPr>
          <w:rFonts w:ascii="David" w:hAnsi="David" w:cs="David" w:hint="cs"/>
          <w:sz w:val="24"/>
          <w:szCs w:val="24"/>
          <w:rtl/>
          <w:lang w:bidi="he-IL"/>
        </w:rPr>
        <w:t>י טע'</w:t>
      </w:r>
      <w:r w:rsidRPr="00565D35">
        <w:rPr>
          <w:rFonts w:ascii="David" w:hAnsi="David" w:cs="David"/>
          <w:sz w:val="24"/>
          <w:szCs w:val="24"/>
          <w:rtl/>
          <w:lang w:bidi="he-IL"/>
        </w:rPr>
        <w:t xml:space="preserve"> גנדרוה מיא </w:t>
      </w:r>
      <w:r w:rsidRPr="00565D35">
        <w:rPr>
          <w:rFonts w:ascii="David" w:hAnsi="David" w:cs="David" w:hint="cs"/>
          <w:sz w:val="24"/>
          <w:szCs w:val="24"/>
          <w:rtl/>
          <w:lang w:bidi="he-IL"/>
        </w:rPr>
        <w:t xml:space="preserve">מיא </w:t>
      </w:r>
    </w:p>
    <w:p w14:paraId="603051B9"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וסליק</w:t>
      </w:r>
      <w:r w:rsidRPr="00565D35">
        <w:rPr>
          <w:rFonts w:ascii="David" w:hAnsi="David" w:cs="David" w:hint="cs"/>
          <w:sz w:val="24"/>
          <w:szCs w:val="24"/>
          <w:rtl/>
          <w:lang w:bidi="he-IL"/>
        </w:rPr>
        <w:t>]</w:t>
      </w:r>
      <w:r w:rsidRPr="00565D35">
        <w:rPr>
          <w:rFonts w:ascii="David" w:hAnsi="David" w:cs="David"/>
          <w:sz w:val="24"/>
          <w:szCs w:val="24"/>
          <w:rtl/>
          <w:lang w:bidi="he-IL"/>
        </w:rPr>
        <w:t xml:space="preserve"> בדוכתא אחריתי הני מילי לכתחילה אבל עבר ואינסיב לא מפקינן לה ולא שנ</w:t>
      </w:r>
      <w:r w:rsidRPr="00565D35">
        <w:rPr>
          <w:rFonts w:ascii="David" w:hAnsi="David" w:cs="David" w:hint="cs"/>
          <w:sz w:val="24"/>
          <w:szCs w:val="24"/>
          <w:rtl/>
          <w:lang w:bidi="he-IL"/>
        </w:rPr>
        <w:t>[</w:t>
      </w:r>
      <w:r w:rsidRPr="00565D35">
        <w:rPr>
          <w:rFonts w:ascii="David" w:hAnsi="David" w:cs="David"/>
          <w:sz w:val="24"/>
          <w:szCs w:val="24"/>
          <w:rtl/>
          <w:lang w:bidi="he-IL"/>
        </w:rPr>
        <w:t>א</w:t>
      </w:r>
      <w:r w:rsidRPr="00565D35">
        <w:rPr>
          <w:rFonts w:ascii="David" w:hAnsi="David" w:cs="David" w:hint="cs"/>
          <w:sz w:val="24"/>
          <w:szCs w:val="24"/>
          <w:rtl/>
          <w:lang w:bidi="he-IL"/>
        </w:rPr>
        <w:t>]</w:t>
      </w:r>
    </w:p>
    <w:p w14:paraId="38BC15A0"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גברא</w:t>
      </w:r>
      <w:r w:rsidRPr="00565D35">
        <w:rPr>
          <w:rFonts w:ascii="David" w:hAnsi="David" w:cs="David" w:hint="cs"/>
          <w:sz w:val="24"/>
          <w:szCs w:val="24"/>
          <w:rtl/>
          <w:lang w:bidi="he-IL"/>
        </w:rPr>
        <w:t>]</w:t>
      </w:r>
      <w:r w:rsidRPr="00565D35">
        <w:rPr>
          <w:rFonts w:ascii="David" w:hAnsi="David" w:cs="David"/>
          <w:sz w:val="24"/>
          <w:szCs w:val="24"/>
          <w:rtl/>
          <w:lang w:bidi="he-IL"/>
        </w:rPr>
        <w:t xml:space="preserve"> קמא חשוב הוה ולא שנא שאינו חשוב היכא דעבר ונסיב לא מפקינן לה ולכתח</w:t>
      </w:r>
      <w:r w:rsidRPr="00565D35">
        <w:rPr>
          <w:rFonts w:ascii="David" w:hAnsi="David" w:cs="David" w:hint="cs"/>
          <w:sz w:val="24"/>
          <w:szCs w:val="24"/>
          <w:rtl/>
          <w:lang w:bidi="he-IL"/>
        </w:rPr>
        <w:t>[</w:t>
      </w:r>
      <w:r w:rsidRPr="00565D35">
        <w:rPr>
          <w:rFonts w:ascii="David" w:hAnsi="David" w:cs="David"/>
          <w:sz w:val="24"/>
          <w:szCs w:val="24"/>
          <w:rtl/>
          <w:lang w:bidi="he-IL"/>
        </w:rPr>
        <w:t>ילה</w:t>
      </w:r>
      <w:r w:rsidRPr="00565D35">
        <w:rPr>
          <w:rFonts w:ascii="David" w:hAnsi="David" w:cs="David" w:hint="cs"/>
          <w:sz w:val="24"/>
          <w:szCs w:val="24"/>
          <w:rtl/>
          <w:lang w:bidi="he-IL"/>
        </w:rPr>
        <w:t>]</w:t>
      </w:r>
    </w:p>
    <w:p w14:paraId="229678CA"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לא ש</w:t>
      </w:r>
      <w:r w:rsidRPr="00565D35">
        <w:rPr>
          <w:rFonts w:ascii="David" w:hAnsi="David" w:cs="David" w:hint="cs"/>
          <w:sz w:val="24"/>
          <w:szCs w:val="24"/>
          <w:rtl/>
          <w:lang w:bidi="he-IL"/>
        </w:rPr>
        <w:t>]</w:t>
      </w:r>
      <w:r w:rsidRPr="00565D35">
        <w:rPr>
          <w:rFonts w:ascii="David" w:hAnsi="David" w:cs="David"/>
          <w:sz w:val="24"/>
          <w:szCs w:val="24"/>
          <w:rtl/>
          <w:lang w:bidi="he-IL"/>
        </w:rPr>
        <w:t>רינן לה. תנו רבנ</w:t>
      </w:r>
      <w:r w:rsidRPr="00565D35">
        <w:rPr>
          <w:rFonts w:ascii="David" w:hAnsi="David" w:cs="David" w:hint="cs"/>
          <w:sz w:val="24"/>
          <w:szCs w:val="24"/>
          <w:rtl/>
          <w:lang w:bidi="he-IL"/>
        </w:rPr>
        <w:t>'</w:t>
      </w:r>
      <w:r w:rsidRPr="00565D35">
        <w:rPr>
          <w:rFonts w:ascii="David" w:hAnsi="David" w:cs="David"/>
          <w:sz w:val="24"/>
          <w:szCs w:val="24"/>
          <w:rtl/>
          <w:lang w:bidi="he-IL"/>
        </w:rPr>
        <w:t xml:space="preserve"> נפל למים בין שיש להן סוף ובין שאין להם סוף אשתו אסורה</w:t>
      </w:r>
    </w:p>
    <w:p w14:paraId="01A492D0"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דברי ר</w:t>
      </w:r>
      <w:r w:rsidRPr="00565D35">
        <w:rPr>
          <w:rFonts w:ascii="David" w:hAnsi="David" w:cs="David" w:hint="cs"/>
          <w:sz w:val="24"/>
          <w:szCs w:val="24"/>
          <w:rtl/>
          <w:lang w:bidi="he-IL"/>
        </w:rPr>
        <w:t>']</w:t>
      </w:r>
      <w:r w:rsidRPr="00565D35">
        <w:rPr>
          <w:rFonts w:ascii="David" w:hAnsi="David" w:cs="David"/>
          <w:sz w:val="24"/>
          <w:szCs w:val="24"/>
          <w:rtl/>
          <w:lang w:bidi="he-IL"/>
        </w:rPr>
        <w:t xml:space="preserve"> מאיר וחכמ</w:t>
      </w:r>
      <w:r w:rsidRPr="00565D35">
        <w:rPr>
          <w:rFonts w:ascii="David" w:hAnsi="David" w:cs="David" w:hint="cs"/>
          <w:sz w:val="24"/>
          <w:szCs w:val="24"/>
          <w:rtl/>
          <w:lang w:bidi="he-IL"/>
        </w:rPr>
        <w:t>'</w:t>
      </w:r>
      <w:r w:rsidRPr="00565D35">
        <w:rPr>
          <w:rFonts w:ascii="David" w:hAnsi="David" w:cs="David"/>
          <w:sz w:val="24"/>
          <w:szCs w:val="24"/>
          <w:rtl/>
          <w:lang w:bidi="he-IL"/>
        </w:rPr>
        <w:t xml:space="preserve">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מים שאין לה</w:t>
      </w:r>
      <w:r w:rsidRPr="00565D35">
        <w:rPr>
          <w:rFonts w:ascii="David" w:hAnsi="David" w:cs="David" w:hint="cs"/>
          <w:sz w:val="24"/>
          <w:szCs w:val="24"/>
          <w:rtl/>
          <w:lang w:bidi="he-IL"/>
        </w:rPr>
        <w:t>ן</w:t>
      </w:r>
      <w:r w:rsidRPr="00565D35">
        <w:rPr>
          <w:rFonts w:ascii="David" w:hAnsi="David" w:cs="David"/>
          <w:sz w:val="24"/>
          <w:szCs w:val="24"/>
          <w:rtl/>
          <w:lang w:bidi="he-IL"/>
        </w:rPr>
        <w:t xml:space="preserve"> סוף אשתו אסורה </w:t>
      </w:r>
      <w:r w:rsidRPr="00565D35">
        <w:rPr>
          <w:rFonts w:ascii="David" w:hAnsi="David" w:cs="David" w:hint="cs"/>
          <w:sz w:val="24"/>
          <w:szCs w:val="24"/>
          <w:rtl/>
          <w:lang w:bidi="he-IL"/>
        </w:rPr>
        <w:t>ו</w:t>
      </w:r>
      <w:r w:rsidRPr="00565D35">
        <w:rPr>
          <w:rFonts w:ascii="David" w:hAnsi="David" w:cs="David"/>
          <w:sz w:val="24"/>
          <w:szCs w:val="24"/>
          <w:rtl/>
          <w:lang w:bidi="he-IL"/>
        </w:rPr>
        <w:t>שיש להן סוף אשתו מותרת</w:t>
      </w:r>
    </w:p>
    <w:p w14:paraId="21A0D63C"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lastRenderedPageBreak/>
        <w:t>[</w:t>
      </w:r>
      <w:r w:rsidRPr="00565D35">
        <w:rPr>
          <w:rFonts w:ascii="David" w:hAnsi="David" w:cs="David"/>
          <w:sz w:val="24"/>
          <w:szCs w:val="24"/>
          <w:rtl/>
          <w:lang w:bidi="he-IL"/>
        </w:rPr>
        <w:t>היכי ד</w:t>
      </w:r>
      <w:r w:rsidRPr="00565D35">
        <w:rPr>
          <w:rFonts w:ascii="David" w:hAnsi="David" w:cs="David" w:hint="cs"/>
          <w:sz w:val="24"/>
          <w:szCs w:val="24"/>
          <w:rtl/>
          <w:lang w:bidi="he-IL"/>
        </w:rPr>
        <w:t>]א</w:t>
      </w:r>
      <w:r w:rsidRPr="00565D35">
        <w:rPr>
          <w:rFonts w:ascii="David" w:hAnsi="David" w:cs="David"/>
          <w:sz w:val="24"/>
          <w:szCs w:val="24"/>
          <w:rtl/>
          <w:lang w:bidi="he-IL"/>
        </w:rPr>
        <w:t>מי מים ש</w:t>
      </w:r>
      <w:r w:rsidRPr="00565D35">
        <w:rPr>
          <w:rFonts w:ascii="David" w:hAnsi="David" w:cs="David" w:hint="cs"/>
          <w:sz w:val="24"/>
          <w:szCs w:val="24"/>
          <w:rtl/>
          <w:lang w:bidi="he-IL"/>
        </w:rPr>
        <w:t>אין</w:t>
      </w:r>
      <w:r>
        <w:rPr>
          <w:rStyle w:val="FootnoteReference"/>
          <w:rFonts w:ascii="David" w:hAnsi="David" w:cs="David"/>
          <w:sz w:val="24"/>
          <w:szCs w:val="24"/>
          <w:rtl/>
          <w:lang w:bidi="he-IL"/>
        </w:rPr>
        <w:footnoteReference w:id="34"/>
      </w:r>
      <w:r w:rsidRPr="00565D35">
        <w:rPr>
          <w:rFonts w:ascii="David" w:hAnsi="David" w:cs="David"/>
          <w:sz w:val="24"/>
          <w:szCs w:val="24"/>
          <w:rtl/>
          <w:lang w:bidi="he-IL"/>
        </w:rPr>
        <w:t xml:space="preserve"> להן סוף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אביי כל שעומד ורואה אות</w:t>
      </w:r>
      <w:r w:rsidRPr="00565D35">
        <w:rPr>
          <w:rFonts w:ascii="David" w:hAnsi="David" w:cs="David" w:hint="cs"/>
          <w:sz w:val="24"/>
          <w:szCs w:val="24"/>
          <w:rtl/>
          <w:lang w:bidi="he-IL"/>
        </w:rPr>
        <w:t>ו</w:t>
      </w:r>
      <w:r w:rsidRPr="00565D35">
        <w:rPr>
          <w:rFonts w:ascii="David" w:hAnsi="David" w:cs="David"/>
          <w:sz w:val="24"/>
          <w:szCs w:val="24"/>
          <w:rtl/>
          <w:lang w:bidi="he-IL"/>
        </w:rPr>
        <w:t xml:space="preserve"> מארבע רוח</w:t>
      </w:r>
      <w:r w:rsidRPr="00565D35">
        <w:rPr>
          <w:rFonts w:ascii="David" w:hAnsi="David" w:cs="David" w:hint="cs"/>
          <w:sz w:val="24"/>
          <w:szCs w:val="24"/>
          <w:rtl/>
          <w:lang w:bidi="he-IL"/>
        </w:rPr>
        <w:t xml:space="preserve">ותיו. </w:t>
      </w:r>
      <w:r w:rsidRPr="00565D35">
        <w:rPr>
          <w:rFonts w:ascii="David" w:hAnsi="David" w:cs="David"/>
          <w:sz w:val="24"/>
          <w:szCs w:val="24"/>
          <w:rtl/>
          <w:lang w:bidi="he-IL"/>
        </w:rPr>
        <w:t>תנו</w:t>
      </w:r>
      <w:r w:rsidRPr="00565D35">
        <w:rPr>
          <w:rFonts w:ascii="David" w:hAnsi="David" w:cs="David" w:hint="cs"/>
          <w:sz w:val="24"/>
          <w:szCs w:val="24"/>
          <w:rtl/>
          <w:lang w:bidi="he-IL"/>
        </w:rPr>
        <w:t xml:space="preserve"> [רבנן]</w:t>
      </w:r>
    </w:p>
    <w:p w14:paraId="7AA420AB"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יש חול</w:t>
      </w:r>
      <w:r w:rsidRPr="00565D35">
        <w:rPr>
          <w:rFonts w:ascii="David" w:hAnsi="David" w:cs="David" w:hint="cs"/>
          <w:sz w:val="24"/>
          <w:szCs w:val="24"/>
          <w:rtl/>
          <w:lang w:bidi="he-IL"/>
        </w:rPr>
        <w:t>]</w:t>
      </w:r>
      <w:r w:rsidRPr="00565D35">
        <w:rPr>
          <w:rFonts w:ascii="David" w:hAnsi="David" w:cs="David"/>
          <w:sz w:val="24"/>
          <w:szCs w:val="24"/>
          <w:rtl/>
          <w:lang w:bidi="he-IL"/>
        </w:rPr>
        <w:t>ץ לאמו מ</w:t>
      </w:r>
      <w:r w:rsidRPr="00565D35">
        <w:rPr>
          <w:rFonts w:ascii="David" w:hAnsi="David" w:cs="David" w:hint="cs"/>
          <w:sz w:val="24"/>
          <w:szCs w:val="24"/>
          <w:rtl/>
          <w:lang w:bidi="he-IL"/>
        </w:rPr>
        <w:t>י</w:t>
      </w:r>
      <w:r w:rsidRPr="00565D35">
        <w:rPr>
          <w:rFonts w:ascii="David" w:hAnsi="David" w:cs="David"/>
          <w:sz w:val="24"/>
          <w:szCs w:val="24"/>
          <w:rtl/>
          <w:lang w:bidi="he-IL"/>
        </w:rPr>
        <w:t>ספק יש חולץ לבתו מספק יש חולץ לאחותו מספק. אמו מספק כיצ</w:t>
      </w:r>
      <w:r>
        <w:rPr>
          <w:rFonts w:ascii="David" w:hAnsi="David" w:cs="David" w:hint="cs"/>
          <w:sz w:val="24"/>
          <w:szCs w:val="24"/>
          <w:rtl/>
          <w:lang w:bidi="he-IL"/>
        </w:rPr>
        <w:t>[</w:t>
      </w:r>
      <w:r w:rsidRPr="00565D35">
        <w:rPr>
          <w:rFonts w:ascii="David" w:hAnsi="David" w:cs="David"/>
          <w:sz w:val="24"/>
          <w:szCs w:val="24"/>
          <w:rtl/>
          <w:lang w:bidi="he-IL"/>
        </w:rPr>
        <w:t>ד</w:t>
      </w:r>
      <w:r>
        <w:rPr>
          <w:rFonts w:ascii="David" w:hAnsi="David" w:cs="David" w:hint="cs"/>
          <w:sz w:val="24"/>
          <w:szCs w:val="24"/>
          <w:rtl/>
          <w:lang w:bidi="he-IL"/>
        </w:rPr>
        <w:t>]</w:t>
      </w:r>
    </w:p>
    <w:p w14:paraId="0586320E"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אמו וא</w:t>
      </w:r>
      <w:r w:rsidRPr="00565D35">
        <w:rPr>
          <w:rFonts w:ascii="David" w:hAnsi="David" w:cs="David" w:hint="cs"/>
          <w:sz w:val="24"/>
          <w:szCs w:val="24"/>
          <w:rtl/>
          <w:lang w:bidi="he-IL"/>
        </w:rPr>
        <w:t>]</w:t>
      </w:r>
      <w:r w:rsidRPr="00565D35">
        <w:rPr>
          <w:rFonts w:ascii="David" w:hAnsi="David" w:cs="David"/>
          <w:sz w:val="24"/>
          <w:szCs w:val="24"/>
          <w:rtl/>
          <w:lang w:bidi="he-IL"/>
        </w:rPr>
        <w:t>שה אחרת ילדו שני זכרים במחבא ובא בנה שלז</w:t>
      </w:r>
      <w:r w:rsidRPr="00565D35">
        <w:rPr>
          <w:rFonts w:ascii="David" w:hAnsi="David" w:cs="David" w:hint="cs"/>
          <w:sz w:val="24"/>
          <w:szCs w:val="24"/>
          <w:rtl/>
          <w:lang w:bidi="he-IL"/>
        </w:rPr>
        <w:t>ה</w:t>
      </w:r>
      <w:r w:rsidRPr="00565D35">
        <w:rPr>
          <w:rFonts w:ascii="David" w:hAnsi="David" w:cs="David"/>
          <w:sz w:val="24"/>
          <w:szCs w:val="24"/>
          <w:rtl/>
          <w:lang w:bidi="he-IL"/>
        </w:rPr>
        <w:t xml:space="preserve"> ונשא אמו שלזה ו</w:t>
      </w:r>
      <w:r w:rsidRPr="00565D35">
        <w:rPr>
          <w:rFonts w:ascii="David" w:hAnsi="David" w:cs="David" w:hint="cs"/>
          <w:sz w:val="24"/>
          <w:szCs w:val="24"/>
          <w:rtl/>
          <w:lang w:bidi="he-IL"/>
        </w:rPr>
        <w:t xml:space="preserve">בא </w:t>
      </w:r>
      <w:r w:rsidRPr="00565D35">
        <w:rPr>
          <w:rFonts w:ascii="David" w:hAnsi="David" w:cs="David"/>
          <w:sz w:val="24"/>
          <w:szCs w:val="24"/>
          <w:rtl/>
          <w:lang w:bidi="he-IL"/>
        </w:rPr>
        <w:t>בנה של</w:t>
      </w:r>
      <w:r w:rsidRPr="00565D35">
        <w:rPr>
          <w:rFonts w:ascii="David" w:hAnsi="David" w:cs="David" w:hint="cs"/>
          <w:sz w:val="24"/>
          <w:szCs w:val="24"/>
          <w:rtl/>
          <w:lang w:bidi="he-IL"/>
        </w:rPr>
        <w:t>[</w:t>
      </w:r>
      <w:r>
        <w:rPr>
          <w:rFonts w:ascii="David" w:hAnsi="David" w:cs="David"/>
          <w:sz w:val="24"/>
          <w:szCs w:val="24"/>
          <w:rtl/>
          <w:lang w:bidi="he-IL"/>
        </w:rPr>
        <w:t>ז</w:t>
      </w:r>
      <w:r>
        <w:rPr>
          <w:rFonts w:ascii="David" w:hAnsi="David" w:cs="David" w:hint="cs"/>
          <w:sz w:val="24"/>
          <w:szCs w:val="24"/>
          <w:rtl/>
          <w:lang w:bidi="he-IL"/>
        </w:rPr>
        <w:t>ה</w:t>
      </w:r>
      <w:r w:rsidRPr="00565D35">
        <w:rPr>
          <w:rFonts w:ascii="David" w:hAnsi="David" w:cs="David" w:hint="cs"/>
          <w:sz w:val="24"/>
          <w:szCs w:val="24"/>
          <w:rtl/>
          <w:lang w:bidi="he-IL"/>
        </w:rPr>
        <w:t>]</w:t>
      </w:r>
    </w:p>
    <w:p w14:paraId="083AEA94"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[ו</w:t>
      </w:r>
      <w:r w:rsidRPr="00565D35">
        <w:rPr>
          <w:rFonts w:ascii="David" w:hAnsi="David" w:cs="David"/>
          <w:sz w:val="24"/>
          <w:szCs w:val="24"/>
          <w:rtl/>
          <w:lang w:bidi="he-IL"/>
        </w:rPr>
        <w:t>נשא א</w:t>
      </w:r>
      <w:r w:rsidRPr="00565D35">
        <w:rPr>
          <w:rFonts w:ascii="David" w:hAnsi="David" w:cs="David" w:hint="cs"/>
          <w:sz w:val="24"/>
          <w:szCs w:val="24"/>
          <w:rtl/>
          <w:lang w:bidi="he-IL"/>
        </w:rPr>
        <w:t>]</w:t>
      </w:r>
      <w:r w:rsidRPr="00565D35">
        <w:rPr>
          <w:rFonts w:ascii="David" w:hAnsi="David" w:cs="David"/>
          <w:sz w:val="24"/>
          <w:szCs w:val="24"/>
          <w:rtl/>
          <w:lang w:bidi="he-IL"/>
        </w:rPr>
        <w:t>מו שלזה ומתו בלא בנים זה חולץ לאמו וזה חולץ לאמו מספק. בתו מספק כיצד</w:t>
      </w:r>
    </w:p>
    <w:p w14:paraId="5745D8AD"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Pr>
          <w:rFonts w:ascii="David" w:hAnsi="David" w:cs="David" w:hint="cs"/>
          <w:sz w:val="24"/>
          <w:szCs w:val="24"/>
          <w:rtl/>
          <w:lang w:bidi="he-IL"/>
        </w:rPr>
        <w:t xml:space="preserve">[...] </w:t>
      </w:r>
      <w:r w:rsidRPr="00565D35">
        <w:rPr>
          <w:rFonts w:ascii="David" w:hAnsi="David" w:cs="David"/>
          <w:sz w:val="24"/>
          <w:szCs w:val="24"/>
          <w:rtl/>
          <w:lang w:bidi="he-IL"/>
        </w:rPr>
        <w:t>אשתו ואשה אחרת ילדו שתי נקבות במחבא ובאו אחי אביהן ונשאום ומתו בלא</w:t>
      </w:r>
    </w:p>
    <w:p w14:paraId="2D96456F"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בנים ז</w:t>
      </w:r>
      <w:r>
        <w:rPr>
          <w:rFonts w:ascii="David" w:hAnsi="David" w:cs="David" w:hint="cs"/>
          <w:sz w:val="24"/>
          <w:szCs w:val="24"/>
          <w:rtl/>
          <w:lang w:bidi="he-IL"/>
        </w:rPr>
        <w:t>]</w:t>
      </w:r>
      <w:r w:rsidRPr="00565D35">
        <w:rPr>
          <w:rFonts w:ascii="David" w:hAnsi="David" w:cs="David"/>
          <w:sz w:val="24"/>
          <w:szCs w:val="24"/>
          <w:rtl/>
          <w:lang w:bidi="he-IL"/>
        </w:rPr>
        <w:t>ה חולץ לבתו מספק וזה חולץ לבתו מספק. אחותו מספק כיצד א</w:t>
      </w:r>
      <w:r w:rsidRPr="00565D35">
        <w:rPr>
          <w:rFonts w:ascii="David" w:hAnsi="David" w:cs="David" w:hint="cs"/>
          <w:sz w:val="24"/>
          <w:szCs w:val="24"/>
          <w:rtl/>
          <w:lang w:bidi="he-IL"/>
        </w:rPr>
        <w:t>חותו</w:t>
      </w:r>
      <w:r>
        <w:rPr>
          <w:rStyle w:val="FootnoteReference"/>
          <w:rFonts w:ascii="David" w:hAnsi="David" w:cs="David"/>
          <w:sz w:val="24"/>
          <w:szCs w:val="24"/>
          <w:rtl/>
          <w:lang w:bidi="he-IL"/>
        </w:rPr>
        <w:footnoteReference w:id="35"/>
      </w:r>
      <w:r w:rsidRPr="00565D35">
        <w:rPr>
          <w:rFonts w:ascii="David" w:hAnsi="David" w:cs="David"/>
          <w:sz w:val="24"/>
          <w:szCs w:val="24"/>
          <w:rtl/>
          <w:lang w:bidi="he-IL"/>
        </w:rPr>
        <w:t xml:space="preserve"> ואשה</w:t>
      </w:r>
    </w:p>
    <w:p w14:paraId="0724EF3A"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אחרת</w:t>
      </w:r>
      <w:r w:rsidRPr="00565D35">
        <w:rPr>
          <w:rFonts w:ascii="David" w:hAnsi="David" w:cs="David" w:hint="cs"/>
          <w:sz w:val="24"/>
          <w:szCs w:val="24"/>
          <w:rtl/>
          <w:lang w:bidi="he-IL"/>
        </w:rPr>
        <w:t>]</w:t>
      </w:r>
      <w:r>
        <w:rPr>
          <w:rFonts w:ascii="David" w:hAnsi="David" w:cs="David"/>
          <w:sz w:val="24"/>
          <w:szCs w:val="24"/>
          <w:rtl/>
          <w:lang w:bidi="he-IL"/>
        </w:rPr>
        <w:t xml:space="preserve"> ילדו שתי נק</w:t>
      </w:r>
      <w:r w:rsidRPr="00565D35">
        <w:rPr>
          <w:rFonts w:ascii="David" w:hAnsi="David" w:cs="David"/>
          <w:sz w:val="24"/>
          <w:szCs w:val="24"/>
          <w:rtl/>
          <w:lang w:bidi="he-IL"/>
        </w:rPr>
        <w:t>בות במחבא ובאו אחיהן</w:t>
      </w:r>
      <w:r w:rsidRPr="00565D35">
        <w:rPr>
          <w:rFonts w:ascii="David" w:hAnsi="David" w:cs="David" w:hint="cs"/>
          <w:sz w:val="24"/>
          <w:szCs w:val="24"/>
          <w:rtl/>
          <w:lang w:bidi="he-IL"/>
        </w:rPr>
        <w:t xml:space="preserve"> </w:t>
      </w:r>
      <w:r w:rsidRPr="00565D35">
        <w:rPr>
          <w:rFonts w:ascii="David" w:hAnsi="David" w:cs="David"/>
          <w:sz w:val="24"/>
          <w:szCs w:val="24"/>
          <w:rtl/>
          <w:lang w:bidi="he-IL"/>
        </w:rPr>
        <w:t>ונשאום ומתו בלא בנים זה חולץ אחותו</w:t>
      </w:r>
    </w:p>
    <w:p w14:paraId="2EFA275D" w14:textId="77777777"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מספק</w:t>
      </w:r>
      <w:r w:rsidRPr="00565D35">
        <w:rPr>
          <w:rFonts w:ascii="David" w:hAnsi="David" w:cs="David" w:hint="cs"/>
          <w:sz w:val="24"/>
          <w:szCs w:val="24"/>
          <w:rtl/>
          <w:lang w:bidi="he-IL"/>
        </w:rPr>
        <w:t>]</w:t>
      </w:r>
      <w:r w:rsidRPr="00565D35">
        <w:rPr>
          <w:rFonts w:ascii="David" w:hAnsi="David" w:cs="David"/>
          <w:sz w:val="24"/>
          <w:szCs w:val="24"/>
          <w:rtl/>
          <w:lang w:bidi="he-IL"/>
        </w:rPr>
        <w:t xml:space="preserve"> וזה חולץ אחותו מספק.</w:t>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מי שמת והניח אשתו מעוברת ומת </w:t>
      </w:r>
      <w:r w:rsidRPr="00565D35">
        <w:rPr>
          <w:rFonts w:ascii="David" w:hAnsi="David" w:cs="David" w:hint="cs"/>
          <w:sz w:val="24"/>
          <w:szCs w:val="24"/>
          <w:rtl/>
          <w:lang w:bidi="he-IL"/>
        </w:rPr>
        <w:t>ו</w:t>
      </w:r>
      <w:r w:rsidRPr="00565D35">
        <w:rPr>
          <w:rFonts w:ascii="David" w:hAnsi="David" w:cs="David"/>
          <w:sz w:val="24"/>
          <w:szCs w:val="24"/>
          <w:rtl/>
          <w:lang w:bidi="he-IL"/>
        </w:rPr>
        <w:t>ולד בן יום</w:t>
      </w:r>
    </w:p>
    <w:p w14:paraId="4DC4E377" w14:textId="77777777" w:rsidR="003256B0" w:rsidRDefault="003256B0" w:rsidP="003256B0">
      <w:pPr>
        <w:spacing w:line="360" w:lineRule="auto"/>
        <w:rPr>
          <w:rFonts w:ascii="David" w:hAnsi="David" w:cs="David"/>
          <w:rtl/>
        </w:rPr>
      </w:pPr>
    </w:p>
    <w:p w14:paraId="15572D6A" w14:textId="77777777" w:rsidR="003256B0" w:rsidRPr="004E2C2A" w:rsidRDefault="003256B0" w:rsidP="003256B0">
      <w:pPr>
        <w:spacing w:line="360" w:lineRule="auto"/>
        <w:rPr>
          <w:rFonts w:ascii="David" w:hAnsi="David" w:cs="David"/>
          <w:b/>
          <w:bCs/>
          <w:rtl/>
        </w:rPr>
      </w:pPr>
      <w:r w:rsidRPr="004E2C2A">
        <w:rPr>
          <w:rFonts w:ascii="David" w:hAnsi="David" w:cs="David" w:hint="cs"/>
          <w:b/>
          <w:bCs/>
          <w:rtl/>
        </w:rPr>
        <w:t>הלכות גדולות הלכות מיאון</w:t>
      </w:r>
      <w:r>
        <w:rPr>
          <w:rFonts w:ascii="David" w:hAnsi="David" w:cs="David" w:hint="cs"/>
          <w:b/>
          <w:bCs/>
          <w:rtl/>
        </w:rPr>
        <w:t>, עמ' 118-120</w:t>
      </w:r>
    </w:p>
    <w:p w14:paraId="4C760589" w14:textId="77777777" w:rsidR="003256B0" w:rsidRDefault="003256B0" w:rsidP="003256B0">
      <w:pPr>
        <w:spacing w:line="360" w:lineRule="auto"/>
        <w:rPr>
          <w:rFonts w:ascii="David" w:hAnsi="David" w:cs="David"/>
          <w:rtl/>
        </w:rPr>
      </w:pPr>
    </w:p>
    <w:p w14:paraId="66BF444A"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זבינה זביני במקרקעי הויא עדותו עדות במקרקעי </w:t>
      </w:r>
      <w:r>
        <w:rPr>
          <w:rFonts w:ascii="David" w:hAnsi="David" w:cs="David" w:hint="cs"/>
          <w:sz w:val="24"/>
          <w:szCs w:val="24"/>
          <w:rtl/>
          <w:lang w:bidi="he-IL"/>
        </w:rPr>
        <w:t>[</w:t>
      </w:r>
      <w:r w:rsidRPr="00565D35">
        <w:rPr>
          <w:rFonts w:ascii="David" w:hAnsi="David" w:cs="David"/>
          <w:sz w:val="24"/>
          <w:szCs w:val="24"/>
          <w:rtl/>
          <w:lang w:bidi="he-IL"/>
        </w:rPr>
        <w:t>אל</w:t>
      </w:r>
      <w:r>
        <w:rPr>
          <w:rFonts w:ascii="David" w:hAnsi="David" w:cs="David" w:hint="cs"/>
          <w:sz w:val="24"/>
          <w:szCs w:val="24"/>
          <w:rtl/>
          <w:lang w:bidi="he-IL"/>
        </w:rPr>
        <w:t>]</w:t>
      </w:r>
      <w:r w:rsidRPr="00565D35">
        <w:rPr>
          <w:rFonts w:ascii="David" w:hAnsi="David" w:cs="David"/>
          <w:sz w:val="24"/>
          <w:szCs w:val="24"/>
          <w:rtl/>
          <w:lang w:bidi="he-IL"/>
        </w:rPr>
        <w:t>א אינו נבדק ולמטל</w:t>
      </w:r>
      <w:r w:rsidRPr="00565D35">
        <w:rPr>
          <w:rFonts w:ascii="David" w:hAnsi="David" w:cs="David" w:hint="cs"/>
          <w:sz w:val="24"/>
          <w:szCs w:val="24"/>
          <w:rtl/>
          <w:lang w:bidi="he-IL"/>
        </w:rPr>
        <w:t>[</w:t>
      </w:r>
      <w:r w:rsidRPr="00565D35">
        <w:rPr>
          <w:rFonts w:ascii="David" w:hAnsi="David" w:cs="David"/>
          <w:sz w:val="24"/>
          <w:szCs w:val="24"/>
          <w:rtl/>
          <w:lang w:bidi="he-IL"/>
        </w:rPr>
        <w:t>טלי לא</w:t>
      </w:r>
      <w:r w:rsidRPr="00565D35">
        <w:rPr>
          <w:rFonts w:ascii="David" w:hAnsi="David" w:cs="David" w:hint="cs"/>
          <w:sz w:val="24"/>
          <w:szCs w:val="24"/>
          <w:rtl/>
          <w:lang w:bidi="he-IL"/>
        </w:rPr>
        <w:t>]</w:t>
      </w:r>
    </w:p>
    <w:p w14:paraId="52ABBDD2"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ה</w:t>
      </w:r>
      <w:r w:rsidRPr="00565D35">
        <w:rPr>
          <w:rFonts w:ascii="David" w:hAnsi="David" w:cs="David" w:hint="cs"/>
          <w:sz w:val="24"/>
          <w:szCs w:val="24"/>
          <w:rtl/>
          <w:lang w:bidi="he-IL"/>
        </w:rPr>
        <w:t>]</w:t>
      </w:r>
      <w:r w:rsidRPr="00565D35">
        <w:rPr>
          <w:rFonts w:ascii="David" w:hAnsi="David" w:cs="David"/>
          <w:sz w:val="24"/>
          <w:szCs w:val="24"/>
          <w:rtl/>
          <w:lang w:bidi="he-IL"/>
        </w:rPr>
        <w:t xml:space="preserve">ויא עדותו </w:t>
      </w:r>
      <w:r w:rsidRPr="00565D35">
        <w:rPr>
          <w:rFonts w:ascii="David" w:hAnsi="David" w:cs="David" w:hint="cs"/>
          <w:sz w:val="24"/>
          <w:szCs w:val="24"/>
          <w:rtl/>
          <w:lang w:bidi="he-IL"/>
        </w:rPr>
        <w:t xml:space="preserve">עדות </w:t>
      </w:r>
      <w:r w:rsidRPr="00565D35">
        <w:rPr>
          <w:rFonts w:ascii="David" w:hAnsi="David" w:cs="David"/>
          <w:sz w:val="24"/>
          <w:szCs w:val="24"/>
          <w:rtl/>
          <w:lang w:bidi="he-IL"/>
        </w:rPr>
        <w:t>בעידנא דהוו זביניה זביני במטלטלי דאילו זביני דמטלטל</w:t>
      </w:r>
      <w:r>
        <w:rPr>
          <w:rFonts w:ascii="David" w:hAnsi="David" w:cs="David" w:hint="cs"/>
          <w:sz w:val="24"/>
          <w:szCs w:val="24"/>
          <w:rtl/>
          <w:lang w:bidi="he-IL"/>
        </w:rPr>
        <w:t>י</w:t>
      </w:r>
      <w:r w:rsidRPr="00565D35">
        <w:rPr>
          <w:rFonts w:ascii="David" w:hAnsi="David" w:cs="David"/>
          <w:sz w:val="24"/>
          <w:szCs w:val="24"/>
          <w:rtl/>
          <w:lang w:bidi="he-IL"/>
        </w:rPr>
        <w:t xml:space="preserve"> פ</w:t>
      </w:r>
      <w:r w:rsidRPr="00565D35">
        <w:rPr>
          <w:rFonts w:ascii="David" w:hAnsi="David" w:cs="David" w:hint="cs"/>
          <w:sz w:val="24"/>
          <w:szCs w:val="24"/>
          <w:rtl/>
          <w:lang w:bidi="he-IL"/>
        </w:rPr>
        <w:t>[</w:t>
      </w:r>
      <w:r w:rsidRPr="00565D35">
        <w:rPr>
          <w:rFonts w:ascii="David" w:hAnsi="David" w:cs="David"/>
          <w:sz w:val="24"/>
          <w:szCs w:val="24"/>
          <w:rtl/>
          <w:lang w:bidi="he-IL"/>
        </w:rPr>
        <w:t>עוטות</w:t>
      </w:r>
      <w:r w:rsidRPr="00565D35">
        <w:rPr>
          <w:rFonts w:ascii="David" w:hAnsi="David" w:cs="David" w:hint="cs"/>
          <w:sz w:val="24"/>
          <w:szCs w:val="24"/>
          <w:rtl/>
          <w:lang w:bidi="he-IL"/>
        </w:rPr>
        <w:t>]</w:t>
      </w:r>
    </w:p>
    <w:p w14:paraId="219E138F"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כבר שית כבר שבע כבר תמני כבר תשע כבר עשר כל חד </w:t>
      </w:r>
      <w:r>
        <w:rPr>
          <w:rFonts w:ascii="David" w:hAnsi="David" w:cs="David" w:hint="cs"/>
          <w:sz w:val="24"/>
          <w:szCs w:val="24"/>
          <w:rtl/>
          <w:lang w:bidi="he-IL"/>
        </w:rPr>
        <w:t>וח</w:t>
      </w:r>
      <w:r w:rsidRPr="00565D35">
        <w:rPr>
          <w:rFonts w:ascii="David" w:hAnsi="David" w:cs="David"/>
          <w:sz w:val="24"/>
          <w:szCs w:val="24"/>
          <w:rtl/>
          <w:lang w:bidi="he-IL"/>
        </w:rPr>
        <w:t>ד</w:t>
      </w:r>
      <w:r>
        <w:rPr>
          <w:rStyle w:val="FootnoteReference"/>
          <w:rFonts w:ascii="David" w:hAnsi="David" w:cs="David"/>
          <w:sz w:val="24"/>
          <w:szCs w:val="24"/>
          <w:rtl/>
          <w:lang w:bidi="he-IL"/>
        </w:rPr>
        <w:footnoteReference w:id="36"/>
      </w:r>
      <w:r w:rsidRPr="00565D35">
        <w:rPr>
          <w:rFonts w:ascii="David" w:hAnsi="David" w:cs="David"/>
          <w:sz w:val="24"/>
          <w:szCs w:val="24"/>
          <w:rtl/>
          <w:lang w:bidi="he-IL"/>
        </w:rPr>
        <w:t xml:space="preserve"> לפ</w:t>
      </w:r>
      <w:r w:rsidRPr="00565D35">
        <w:rPr>
          <w:rFonts w:ascii="David" w:hAnsi="David" w:cs="David" w:hint="cs"/>
          <w:sz w:val="24"/>
          <w:szCs w:val="24"/>
          <w:rtl/>
          <w:lang w:bidi="he-IL"/>
        </w:rPr>
        <w:t>י</w:t>
      </w:r>
      <w:r>
        <w:rPr>
          <w:rStyle w:val="FootnoteReference"/>
          <w:rFonts w:ascii="David" w:hAnsi="David" w:cs="David"/>
          <w:sz w:val="24"/>
          <w:szCs w:val="24"/>
          <w:rtl/>
          <w:lang w:bidi="he-IL"/>
        </w:rPr>
        <w:footnoteReference w:id="37"/>
      </w:r>
      <w:r w:rsidRPr="00565D35">
        <w:rPr>
          <w:rFonts w:ascii="David" w:hAnsi="David" w:cs="David"/>
          <w:sz w:val="24"/>
          <w:szCs w:val="24"/>
          <w:rtl/>
          <w:lang w:bidi="he-IL"/>
        </w:rPr>
        <w:t xml:space="preserve"> חורפיה ואילו </w:t>
      </w:r>
      <w:r w:rsidRPr="00565D35">
        <w:rPr>
          <w:rFonts w:ascii="David" w:hAnsi="David" w:cs="David" w:hint="cs"/>
          <w:sz w:val="24"/>
          <w:szCs w:val="24"/>
          <w:rtl/>
          <w:lang w:bidi="he-IL"/>
        </w:rPr>
        <w:t>[</w:t>
      </w:r>
      <w:r w:rsidRPr="00565D35">
        <w:rPr>
          <w:rFonts w:ascii="David" w:hAnsi="David" w:cs="David"/>
          <w:sz w:val="24"/>
          <w:szCs w:val="24"/>
          <w:rtl/>
          <w:lang w:bidi="he-IL"/>
        </w:rPr>
        <w:t>לענין</w:t>
      </w:r>
      <w:r w:rsidRPr="00565D35">
        <w:rPr>
          <w:rFonts w:ascii="David" w:hAnsi="David" w:cs="David" w:hint="cs"/>
          <w:sz w:val="24"/>
          <w:szCs w:val="24"/>
          <w:rtl/>
          <w:lang w:bidi="he-IL"/>
        </w:rPr>
        <w:t>]</w:t>
      </w:r>
    </w:p>
    <w:p w14:paraId="25D60D59"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עדות אפילו מטלטלי עד שיהא בן שלש עשרה שנה ויום אחד </w:t>
      </w:r>
      <w:r w:rsidRPr="00565D35">
        <w:rPr>
          <w:rFonts w:ascii="David" w:hAnsi="David" w:cs="David" w:hint="cs"/>
          <w:sz w:val="24"/>
          <w:szCs w:val="24"/>
          <w:rtl/>
          <w:lang w:bidi="he-IL"/>
        </w:rPr>
        <w:t xml:space="preserve">משום </w:t>
      </w:r>
      <w:r w:rsidRPr="00565D35">
        <w:rPr>
          <w:rFonts w:ascii="David" w:hAnsi="David" w:cs="David"/>
          <w:sz w:val="24"/>
          <w:szCs w:val="24"/>
          <w:rtl/>
          <w:lang w:bidi="he-IL"/>
        </w:rPr>
        <w:t>דכת</w:t>
      </w:r>
      <w:r w:rsidRPr="00565D35">
        <w:rPr>
          <w:rFonts w:ascii="David" w:hAnsi="David" w:cs="David" w:hint="cs"/>
          <w:sz w:val="24"/>
          <w:szCs w:val="24"/>
          <w:rtl/>
          <w:lang w:bidi="he-IL"/>
        </w:rPr>
        <w:t>'</w:t>
      </w:r>
      <w:r w:rsidRPr="00565D35">
        <w:rPr>
          <w:rFonts w:ascii="David" w:hAnsi="David" w:cs="David"/>
          <w:sz w:val="24"/>
          <w:szCs w:val="24"/>
          <w:rtl/>
          <w:lang w:bidi="he-IL"/>
        </w:rPr>
        <w:t xml:space="preserve"> ו</w:t>
      </w:r>
      <w:r>
        <w:rPr>
          <w:rFonts w:ascii="David" w:hAnsi="David" w:cs="David" w:hint="cs"/>
          <w:sz w:val="24"/>
          <w:szCs w:val="24"/>
          <w:rtl/>
          <w:lang w:bidi="he-IL"/>
        </w:rPr>
        <w:t>[</w:t>
      </w:r>
      <w:r w:rsidRPr="00565D35">
        <w:rPr>
          <w:rFonts w:ascii="David" w:hAnsi="David" w:cs="David"/>
          <w:sz w:val="24"/>
          <w:szCs w:val="24"/>
          <w:rtl/>
          <w:lang w:bidi="he-IL"/>
        </w:rPr>
        <w:t>עמדו שני</w:t>
      </w:r>
      <w:r w:rsidRPr="00565D35">
        <w:rPr>
          <w:rFonts w:ascii="David" w:hAnsi="David" w:cs="David" w:hint="cs"/>
          <w:sz w:val="24"/>
          <w:szCs w:val="24"/>
          <w:rtl/>
          <w:lang w:bidi="he-IL"/>
        </w:rPr>
        <w:t>]</w:t>
      </w:r>
    </w:p>
    <w:p w14:paraId="1FCADDEF"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האנשים</w:t>
      </w:r>
      <w:r w:rsidRPr="00565D35">
        <w:rPr>
          <w:rFonts w:ascii="David" w:hAnsi="David" w:cs="David" w:hint="cs"/>
          <w:sz w:val="24"/>
          <w:szCs w:val="24"/>
          <w:rtl/>
          <w:lang w:bidi="he-IL"/>
        </w:rPr>
        <w:t xml:space="preserve">. </w:t>
      </w:r>
      <w:r w:rsidRPr="00565D35">
        <w:rPr>
          <w:rFonts w:ascii="David" w:hAnsi="David" w:cs="David"/>
          <w:sz w:val="24"/>
          <w:szCs w:val="24"/>
          <w:rtl/>
          <w:lang w:bidi="he-IL"/>
        </w:rPr>
        <w:t>ולהשלם לתפילה ולברכת המזון קטן פרח</w:t>
      </w:r>
      <w:r>
        <w:rPr>
          <w:rStyle w:val="FootnoteReference"/>
          <w:rFonts w:ascii="David" w:hAnsi="David" w:cs="David"/>
          <w:sz w:val="24"/>
          <w:szCs w:val="24"/>
          <w:rtl/>
          <w:lang w:bidi="he-IL"/>
        </w:rPr>
        <w:footnoteReference w:id="38"/>
      </w:r>
      <w:r w:rsidRPr="00565D35">
        <w:rPr>
          <w:rFonts w:ascii="David" w:hAnsi="David" w:cs="David"/>
          <w:sz w:val="24"/>
          <w:szCs w:val="24"/>
          <w:rtl/>
          <w:lang w:bidi="he-IL"/>
        </w:rPr>
        <w:t xml:space="preserve"> מצטרף היכא דאתחיל ל</w:t>
      </w:r>
      <w:r w:rsidRPr="00565D35">
        <w:rPr>
          <w:rFonts w:ascii="David" w:hAnsi="David" w:cs="David" w:hint="cs"/>
          <w:sz w:val="24"/>
          <w:szCs w:val="24"/>
          <w:rtl/>
          <w:lang w:bidi="he-IL"/>
        </w:rPr>
        <w:t>[</w:t>
      </w:r>
      <w:r w:rsidRPr="00565D35">
        <w:rPr>
          <w:rFonts w:ascii="David" w:hAnsi="David" w:cs="David"/>
          <w:sz w:val="24"/>
          <w:szCs w:val="24"/>
          <w:rtl/>
          <w:lang w:bidi="he-IL"/>
        </w:rPr>
        <w:t>יה לאתויי</w:t>
      </w:r>
      <w:r w:rsidRPr="00565D35">
        <w:rPr>
          <w:rFonts w:ascii="David" w:hAnsi="David" w:cs="David" w:hint="cs"/>
          <w:sz w:val="24"/>
          <w:szCs w:val="24"/>
          <w:rtl/>
          <w:lang w:bidi="he-IL"/>
        </w:rPr>
        <w:t>]</w:t>
      </w:r>
    </w:p>
    <w:p w14:paraId="50DD10D2"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שתי שערות ואכתי לא אייתי ההוא קטן פרח ודווקא </w:t>
      </w:r>
      <w:r w:rsidRPr="00565D35">
        <w:rPr>
          <w:rFonts w:ascii="David" w:hAnsi="David" w:cs="David" w:hint="cs"/>
          <w:sz w:val="24"/>
          <w:szCs w:val="24"/>
          <w:rtl/>
          <w:lang w:bidi="he-IL"/>
        </w:rPr>
        <w:t xml:space="preserve">ליה </w:t>
      </w:r>
      <w:r w:rsidRPr="00565D35">
        <w:rPr>
          <w:rFonts w:ascii="David" w:hAnsi="David" w:cs="David"/>
          <w:sz w:val="24"/>
          <w:szCs w:val="24"/>
          <w:rtl/>
          <w:lang w:bidi="he-IL"/>
        </w:rPr>
        <w:t>דעייל ליה בתליסרי וד</w:t>
      </w:r>
      <w:r w:rsidRPr="00565D35">
        <w:rPr>
          <w:rFonts w:ascii="David" w:hAnsi="David" w:cs="David" w:hint="cs"/>
          <w:sz w:val="24"/>
          <w:szCs w:val="24"/>
          <w:rtl/>
          <w:lang w:bidi="he-IL"/>
        </w:rPr>
        <w:t>[</w:t>
      </w:r>
      <w:r w:rsidRPr="00565D35">
        <w:rPr>
          <w:rFonts w:ascii="David" w:hAnsi="David" w:cs="David"/>
          <w:sz w:val="24"/>
          <w:szCs w:val="24"/>
          <w:rtl/>
          <w:lang w:bidi="he-IL"/>
        </w:rPr>
        <w:t>וקא</w:t>
      </w:r>
      <w:r w:rsidRPr="00565D35">
        <w:rPr>
          <w:rFonts w:ascii="David" w:hAnsi="David" w:cs="David" w:hint="cs"/>
          <w:sz w:val="24"/>
          <w:szCs w:val="24"/>
          <w:rtl/>
          <w:lang w:bidi="he-IL"/>
        </w:rPr>
        <w:t>]</w:t>
      </w:r>
    </w:p>
    <w:p w14:paraId="4BDB2B0B"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דידע למי מברכין.</w:t>
      </w:r>
      <w:r w:rsidRPr="00565D35">
        <w:rPr>
          <w:rFonts w:ascii="David" w:hAnsi="David" w:cs="David" w:hint="cs"/>
          <w:sz w:val="24"/>
          <w:szCs w:val="24"/>
          <w:rtl/>
          <w:lang w:bidi="he-IL"/>
        </w:rPr>
        <w:t xml:space="preserve"> </w:t>
      </w:r>
      <w:r w:rsidRPr="00565D35">
        <w:rPr>
          <w:rFonts w:ascii="David" w:hAnsi="David" w:cs="David"/>
          <w:sz w:val="24"/>
          <w:szCs w:val="24"/>
          <w:rtl/>
          <w:lang w:bidi="he-IL"/>
        </w:rPr>
        <w:t>והיל</w:t>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 קטן שקידש אין קידושיו קידושין ואם נשא אשה </w:t>
      </w:r>
      <w:r w:rsidRPr="00565D35">
        <w:rPr>
          <w:rFonts w:ascii="David" w:hAnsi="David" w:cs="David" w:hint="cs"/>
          <w:sz w:val="24"/>
          <w:szCs w:val="24"/>
          <w:rtl/>
          <w:lang w:bidi="he-IL"/>
        </w:rPr>
        <w:t>[</w:t>
      </w:r>
      <w:r w:rsidRPr="00565D35">
        <w:rPr>
          <w:rFonts w:ascii="David" w:hAnsi="David" w:cs="David"/>
          <w:sz w:val="24"/>
          <w:szCs w:val="24"/>
          <w:rtl/>
          <w:lang w:bidi="he-IL"/>
        </w:rPr>
        <w:t>והוליד</w:t>
      </w:r>
      <w:r w:rsidRPr="00565D35">
        <w:rPr>
          <w:rFonts w:ascii="David" w:hAnsi="David" w:cs="David" w:hint="cs"/>
          <w:sz w:val="24"/>
          <w:szCs w:val="24"/>
          <w:rtl/>
          <w:lang w:bidi="he-IL"/>
        </w:rPr>
        <w:t>]</w:t>
      </w:r>
    </w:p>
    <w:p w14:paraId="320F2E46"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בנים ועדיין לא הגיע לשלש עשרה שנה ויום אחד</w:t>
      </w:r>
      <w:r>
        <w:rPr>
          <w:rStyle w:val="FootnoteReference"/>
          <w:rFonts w:ascii="David" w:hAnsi="David" w:cs="David"/>
          <w:sz w:val="24"/>
          <w:szCs w:val="24"/>
          <w:rtl/>
          <w:lang w:bidi="he-IL"/>
        </w:rPr>
        <w:footnoteReference w:id="39"/>
      </w:r>
      <w:r w:rsidRPr="00565D35">
        <w:rPr>
          <w:rFonts w:ascii="David" w:hAnsi="David" w:cs="David"/>
          <w:sz w:val="24"/>
          <w:szCs w:val="24"/>
          <w:rtl/>
          <w:lang w:bidi="he-IL"/>
        </w:rPr>
        <w:t xml:space="preserve"> אין קידושיו קידושין </w:t>
      </w:r>
      <w:r w:rsidRPr="00565D35">
        <w:rPr>
          <w:rFonts w:ascii="David" w:hAnsi="David" w:cs="David" w:hint="cs"/>
          <w:sz w:val="24"/>
          <w:szCs w:val="24"/>
          <w:rtl/>
          <w:lang w:bidi="he-IL"/>
        </w:rPr>
        <w:t>[</w:t>
      </w:r>
      <w:r w:rsidRPr="00565D35">
        <w:rPr>
          <w:rFonts w:ascii="David" w:hAnsi="David" w:cs="David"/>
          <w:sz w:val="24"/>
          <w:szCs w:val="24"/>
          <w:rtl/>
          <w:lang w:bidi="he-IL"/>
        </w:rPr>
        <w:t>ואין כתובתו</w:t>
      </w:r>
      <w:r w:rsidRPr="00565D35">
        <w:rPr>
          <w:rFonts w:ascii="David" w:hAnsi="David" w:cs="David" w:hint="cs"/>
          <w:sz w:val="24"/>
          <w:szCs w:val="24"/>
          <w:rtl/>
          <w:lang w:bidi="he-IL"/>
        </w:rPr>
        <w:t>]</w:t>
      </w:r>
    </w:p>
    <w:p w14:paraId="39CAF660"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כתובה אבל בניו כשרין </w:t>
      </w:r>
      <w:r w:rsidRPr="00565D35">
        <w:rPr>
          <w:rFonts w:ascii="David" w:hAnsi="David" w:cs="David" w:hint="cs"/>
          <w:sz w:val="24"/>
          <w:szCs w:val="24"/>
          <w:rtl/>
          <w:lang w:bidi="he-IL"/>
        </w:rPr>
        <w:t>[</w:t>
      </w:r>
      <w:r w:rsidRPr="00565D35">
        <w:rPr>
          <w:rFonts w:ascii="David" w:hAnsi="David" w:cs="David"/>
          <w:sz w:val="24"/>
          <w:szCs w:val="24"/>
          <w:rtl/>
          <w:lang w:bidi="he-IL"/>
        </w:rPr>
        <w:t>ה</w:t>
      </w:r>
      <w:r w:rsidRPr="00565D35">
        <w:rPr>
          <w:rFonts w:ascii="David" w:hAnsi="David" w:cs="David" w:hint="cs"/>
          <w:sz w:val="24"/>
          <w:szCs w:val="24"/>
          <w:rtl/>
          <w:lang w:bidi="he-IL"/>
        </w:rPr>
        <w:t>]ם</w:t>
      </w:r>
      <w:r w:rsidRPr="00565D35">
        <w:rPr>
          <w:rFonts w:ascii="David" w:hAnsi="David" w:cs="David"/>
          <w:sz w:val="24"/>
          <w:szCs w:val="24"/>
          <w:rtl/>
          <w:lang w:bidi="he-IL"/>
        </w:rPr>
        <w:t xml:space="preserve"> ונקראין על שמו ואם בא לה</w:t>
      </w:r>
      <w:r w:rsidRPr="00565D35">
        <w:rPr>
          <w:rFonts w:ascii="David" w:hAnsi="David" w:cs="David" w:hint="cs"/>
          <w:sz w:val="24"/>
          <w:szCs w:val="24"/>
          <w:rtl/>
          <w:lang w:bidi="he-IL"/>
        </w:rPr>
        <w:t>[</w:t>
      </w:r>
      <w:r w:rsidRPr="00565D35">
        <w:rPr>
          <w:rFonts w:ascii="David" w:hAnsi="David" w:cs="David"/>
          <w:sz w:val="24"/>
          <w:szCs w:val="24"/>
          <w:rtl/>
          <w:lang w:bidi="he-IL"/>
        </w:rPr>
        <w:t>וצי</w:t>
      </w:r>
      <w:r w:rsidRPr="00565D35">
        <w:rPr>
          <w:rFonts w:ascii="David" w:hAnsi="David" w:cs="David" w:hint="cs"/>
          <w:sz w:val="24"/>
          <w:szCs w:val="24"/>
          <w:rtl/>
          <w:lang w:bidi="he-IL"/>
        </w:rPr>
        <w:t>]</w:t>
      </w:r>
      <w:r w:rsidRPr="00565D35">
        <w:rPr>
          <w:rFonts w:ascii="David" w:hAnsi="David" w:cs="David"/>
          <w:sz w:val="24"/>
          <w:szCs w:val="24"/>
          <w:rtl/>
          <w:lang w:bidi="he-IL"/>
        </w:rPr>
        <w:t xml:space="preserve">א אין צריך ליתן גט </w:t>
      </w:r>
      <w:r w:rsidRPr="00565D35">
        <w:rPr>
          <w:rFonts w:ascii="David" w:hAnsi="David" w:cs="David" w:hint="cs"/>
          <w:sz w:val="24"/>
          <w:szCs w:val="24"/>
          <w:rtl/>
          <w:lang w:bidi="he-IL"/>
        </w:rPr>
        <w:t>[</w:t>
      </w:r>
      <w:r w:rsidRPr="00565D35">
        <w:rPr>
          <w:rFonts w:ascii="David" w:hAnsi="David" w:cs="David"/>
          <w:sz w:val="24"/>
          <w:szCs w:val="24"/>
          <w:rtl/>
          <w:lang w:bidi="he-IL"/>
        </w:rPr>
        <w:t>ולכשיגיע</w:t>
      </w:r>
      <w:r w:rsidRPr="00565D35">
        <w:rPr>
          <w:rFonts w:ascii="David" w:hAnsi="David" w:cs="David" w:hint="cs"/>
          <w:sz w:val="24"/>
          <w:szCs w:val="24"/>
          <w:rtl/>
          <w:lang w:bidi="he-IL"/>
        </w:rPr>
        <w:t>]</w:t>
      </w:r>
    </w:p>
    <w:p w14:paraId="3A5A8F8D"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לשל</w:t>
      </w:r>
      <w:r w:rsidRPr="00565D35">
        <w:rPr>
          <w:rFonts w:ascii="David" w:hAnsi="David" w:cs="David" w:hint="cs"/>
          <w:sz w:val="24"/>
          <w:szCs w:val="24"/>
          <w:rtl/>
          <w:lang w:bidi="he-IL"/>
        </w:rPr>
        <w:t>ו</w:t>
      </w:r>
      <w:r w:rsidRPr="00565D35">
        <w:rPr>
          <w:rFonts w:ascii="David" w:hAnsi="David" w:cs="David"/>
          <w:sz w:val="24"/>
          <w:szCs w:val="24"/>
          <w:rtl/>
          <w:lang w:bidi="he-IL"/>
        </w:rPr>
        <w:t xml:space="preserve">ש עשרה </w:t>
      </w:r>
      <w:r w:rsidRPr="00565D35">
        <w:rPr>
          <w:rFonts w:ascii="David" w:hAnsi="David" w:cs="David" w:hint="cs"/>
          <w:sz w:val="24"/>
          <w:szCs w:val="24"/>
          <w:rtl/>
          <w:lang w:bidi="he-IL"/>
        </w:rPr>
        <w:t xml:space="preserve">שנה </w:t>
      </w:r>
      <w:r w:rsidRPr="00565D35">
        <w:rPr>
          <w:rFonts w:ascii="David" w:hAnsi="David" w:cs="David"/>
          <w:sz w:val="24"/>
          <w:szCs w:val="24"/>
          <w:rtl/>
          <w:lang w:bidi="he-IL"/>
        </w:rPr>
        <w:t xml:space="preserve">ויום אחד </w:t>
      </w:r>
      <w:r w:rsidRPr="00565D35">
        <w:rPr>
          <w:rFonts w:ascii="David" w:hAnsi="David" w:cs="David" w:hint="cs"/>
          <w:sz w:val="24"/>
          <w:szCs w:val="24"/>
          <w:rtl/>
          <w:lang w:bidi="he-IL"/>
        </w:rPr>
        <w:t>[</w:t>
      </w:r>
      <w:r>
        <w:rPr>
          <w:rFonts w:ascii="David" w:hAnsi="David" w:cs="David" w:hint="cs"/>
          <w:sz w:val="24"/>
          <w:szCs w:val="24"/>
          <w:rtl/>
          <w:lang w:bidi="he-IL"/>
        </w:rPr>
        <w:t>יחזו</w:t>
      </w:r>
      <w:r w:rsidRPr="00565D35">
        <w:rPr>
          <w:rFonts w:ascii="David" w:hAnsi="David" w:cs="David" w:hint="cs"/>
          <w:sz w:val="24"/>
          <w:szCs w:val="24"/>
          <w:rtl/>
          <w:lang w:bidi="he-IL"/>
        </w:rPr>
        <w:t>]</w:t>
      </w:r>
      <w:r w:rsidRPr="00565D35">
        <w:rPr>
          <w:rFonts w:ascii="David" w:hAnsi="David" w:cs="David"/>
          <w:sz w:val="24"/>
          <w:szCs w:val="24"/>
          <w:rtl/>
          <w:lang w:bidi="he-IL"/>
        </w:rPr>
        <w:t>ר ויקד</w:t>
      </w:r>
      <w:r w:rsidRPr="00565D35">
        <w:rPr>
          <w:rFonts w:ascii="David" w:hAnsi="David" w:cs="David" w:hint="cs"/>
          <w:sz w:val="24"/>
          <w:szCs w:val="24"/>
          <w:rtl/>
          <w:lang w:bidi="he-IL"/>
        </w:rPr>
        <w:t>י</w:t>
      </w:r>
      <w:r w:rsidRPr="00565D35">
        <w:rPr>
          <w:rFonts w:ascii="David" w:hAnsi="David" w:cs="David"/>
          <w:sz w:val="24"/>
          <w:szCs w:val="24"/>
          <w:rtl/>
          <w:lang w:bidi="he-IL"/>
        </w:rPr>
        <w:t>ש ויכת</w:t>
      </w:r>
      <w:r w:rsidRPr="00565D35">
        <w:rPr>
          <w:rFonts w:ascii="David" w:hAnsi="David" w:cs="David" w:hint="cs"/>
          <w:sz w:val="24"/>
          <w:szCs w:val="24"/>
          <w:rtl/>
          <w:lang w:bidi="he-IL"/>
        </w:rPr>
        <w:t>[</w:t>
      </w:r>
      <w:r w:rsidRPr="00565D35">
        <w:rPr>
          <w:rFonts w:ascii="David" w:hAnsi="David" w:cs="David"/>
          <w:sz w:val="24"/>
          <w:szCs w:val="24"/>
          <w:rtl/>
          <w:lang w:bidi="he-IL"/>
        </w:rPr>
        <w:t>ו</w:t>
      </w:r>
      <w:r w:rsidRPr="00565D35">
        <w:rPr>
          <w:rFonts w:ascii="David" w:hAnsi="David" w:cs="David" w:hint="cs"/>
          <w:sz w:val="24"/>
          <w:szCs w:val="24"/>
          <w:rtl/>
          <w:lang w:bidi="he-IL"/>
        </w:rPr>
        <w:t>]</w:t>
      </w:r>
      <w:r w:rsidRPr="00565D35">
        <w:rPr>
          <w:rFonts w:ascii="David" w:hAnsi="David" w:cs="David"/>
          <w:sz w:val="24"/>
          <w:szCs w:val="24"/>
          <w:rtl/>
          <w:lang w:bidi="he-IL"/>
        </w:rPr>
        <w:t>ב כתובה אחרת ואסור לשה</w:t>
      </w:r>
      <w:r w:rsidRPr="00565D35">
        <w:rPr>
          <w:rFonts w:ascii="David" w:hAnsi="David" w:cs="David" w:hint="cs"/>
          <w:sz w:val="24"/>
          <w:szCs w:val="24"/>
          <w:rtl/>
          <w:lang w:bidi="he-IL"/>
        </w:rPr>
        <w:t>[</w:t>
      </w:r>
      <w:r w:rsidRPr="00565D35">
        <w:rPr>
          <w:rFonts w:ascii="David" w:hAnsi="David" w:cs="David"/>
          <w:sz w:val="24"/>
          <w:szCs w:val="24"/>
          <w:rtl/>
          <w:lang w:bidi="he-IL"/>
        </w:rPr>
        <w:t>ות את</w:t>
      </w:r>
      <w:r w:rsidRPr="00565D35">
        <w:rPr>
          <w:rFonts w:ascii="David" w:hAnsi="David" w:cs="David" w:hint="cs"/>
          <w:sz w:val="24"/>
          <w:szCs w:val="24"/>
          <w:rtl/>
          <w:lang w:bidi="he-IL"/>
        </w:rPr>
        <w:t>]</w:t>
      </w:r>
    </w:p>
    <w:p w14:paraId="3F41E36C"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אשתו בלא כתובה וקידושין </w:t>
      </w:r>
      <w:r w:rsidRPr="00565D35">
        <w:rPr>
          <w:rFonts w:ascii="David" w:hAnsi="David" w:cs="David" w:hint="cs"/>
          <w:sz w:val="24"/>
          <w:szCs w:val="24"/>
          <w:rtl/>
          <w:lang w:bidi="he-IL"/>
        </w:rPr>
        <w:t>ל</w:t>
      </w:r>
      <w:r w:rsidRPr="00565D35">
        <w:rPr>
          <w:rFonts w:ascii="David" w:hAnsi="David" w:cs="David"/>
          <w:sz w:val="24"/>
          <w:szCs w:val="24"/>
          <w:rtl/>
          <w:lang w:bidi="he-IL"/>
        </w:rPr>
        <w:t>אחר של</w:t>
      </w:r>
      <w:r w:rsidRPr="00565D35">
        <w:rPr>
          <w:rFonts w:ascii="David" w:hAnsi="David" w:cs="David" w:hint="cs"/>
          <w:sz w:val="24"/>
          <w:szCs w:val="24"/>
          <w:rtl/>
          <w:lang w:bidi="he-IL"/>
        </w:rPr>
        <w:t>ו</w:t>
      </w:r>
      <w:r w:rsidRPr="00565D35">
        <w:rPr>
          <w:rFonts w:ascii="David" w:hAnsi="David" w:cs="David"/>
          <w:sz w:val="24"/>
          <w:szCs w:val="24"/>
          <w:rtl/>
          <w:lang w:bidi="he-IL"/>
        </w:rPr>
        <w:t xml:space="preserve">ש עשרה שנה ויום אחד מפני שכתובה </w:t>
      </w:r>
      <w:r w:rsidRPr="00565D35">
        <w:rPr>
          <w:rFonts w:ascii="David" w:hAnsi="David" w:cs="David" w:hint="cs"/>
          <w:sz w:val="24"/>
          <w:szCs w:val="24"/>
          <w:rtl/>
          <w:lang w:bidi="he-IL"/>
        </w:rPr>
        <w:t>[</w:t>
      </w:r>
      <w:r w:rsidRPr="00565D35">
        <w:rPr>
          <w:rFonts w:ascii="David" w:hAnsi="David" w:cs="David"/>
          <w:sz w:val="24"/>
          <w:szCs w:val="24"/>
          <w:rtl/>
          <w:lang w:bidi="he-IL"/>
        </w:rPr>
        <w:t>ראשונה</w:t>
      </w:r>
      <w:r w:rsidRPr="00565D35">
        <w:rPr>
          <w:rFonts w:ascii="David" w:hAnsi="David" w:cs="David" w:hint="cs"/>
          <w:sz w:val="24"/>
          <w:szCs w:val="24"/>
          <w:rtl/>
          <w:lang w:bidi="he-IL"/>
        </w:rPr>
        <w:t>]</w:t>
      </w:r>
    </w:p>
    <w:p w14:paraId="5DBE7FD9"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אין משתעבדין</w:t>
      </w:r>
      <w:r w:rsidRPr="00565D35">
        <w:rPr>
          <w:rFonts w:ascii="David" w:hAnsi="David" w:cs="David" w:hint="cs"/>
          <w:sz w:val="24"/>
          <w:szCs w:val="24"/>
          <w:rtl/>
          <w:lang w:bidi="he-IL"/>
        </w:rPr>
        <w:t xml:space="preserve"> בה נכסיו</w:t>
      </w:r>
      <w:r w:rsidRPr="00565D35">
        <w:rPr>
          <w:rFonts w:ascii="David" w:hAnsi="David" w:cs="David"/>
          <w:sz w:val="24"/>
          <w:szCs w:val="24"/>
          <w:rtl/>
          <w:lang w:bidi="he-IL"/>
        </w:rPr>
        <w:t xml:space="preserve"> ואם בא עליה </w:t>
      </w:r>
      <w:r w:rsidRPr="00565D35">
        <w:rPr>
          <w:rFonts w:ascii="David" w:hAnsi="David" w:cs="David" w:hint="cs"/>
          <w:sz w:val="24"/>
          <w:szCs w:val="24"/>
          <w:rtl/>
          <w:lang w:bidi="he-IL"/>
        </w:rPr>
        <w:t>ל</w:t>
      </w:r>
      <w:r w:rsidRPr="00565D35">
        <w:rPr>
          <w:rFonts w:ascii="David" w:hAnsi="David" w:cs="David"/>
          <w:sz w:val="24"/>
          <w:szCs w:val="24"/>
          <w:rtl/>
          <w:lang w:bidi="he-IL"/>
        </w:rPr>
        <w:t>אחר שלש</w:t>
      </w:r>
      <w:r>
        <w:rPr>
          <w:rStyle w:val="FootnoteReference"/>
          <w:rFonts w:ascii="David" w:hAnsi="David" w:cs="David"/>
          <w:sz w:val="24"/>
          <w:szCs w:val="24"/>
          <w:rtl/>
          <w:lang w:bidi="he-IL"/>
        </w:rPr>
        <w:footnoteReference w:id="40"/>
      </w:r>
      <w:r w:rsidRPr="00565D35">
        <w:rPr>
          <w:rFonts w:ascii="David" w:hAnsi="David" w:cs="David"/>
          <w:sz w:val="24"/>
          <w:szCs w:val="24"/>
          <w:rtl/>
          <w:lang w:bidi="he-IL"/>
        </w:rPr>
        <w:t xml:space="preserve"> עשרה שנה ויום אחד א</w:t>
      </w:r>
      <w:r w:rsidRPr="00565D35">
        <w:rPr>
          <w:rFonts w:ascii="David" w:hAnsi="David" w:cs="David" w:hint="cs"/>
          <w:sz w:val="24"/>
          <w:szCs w:val="24"/>
          <w:rtl/>
          <w:lang w:bidi="he-IL"/>
        </w:rPr>
        <w:t>פע[ל</w:t>
      </w:r>
      <w:r w:rsidRPr="00565D35">
        <w:rPr>
          <w:rFonts w:ascii="David" w:hAnsi="David" w:cs="David"/>
          <w:sz w:val="24"/>
          <w:szCs w:val="24"/>
          <w:rtl/>
          <w:lang w:bidi="he-IL"/>
        </w:rPr>
        <w:t>פי שלא</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p>
    <w:p w14:paraId="374EE51F"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קידש ו</w:t>
      </w:r>
      <w:r w:rsidRPr="00565D35">
        <w:rPr>
          <w:rFonts w:ascii="David" w:hAnsi="David" w:cs="David" w:hint="cs"/>
          <w:sz w:val="24"/>
          <w:szCs w:val="24"/>
          <w:rtl/>
          <w:lang w:bidi="he-IL"/>
        </w:rPr>
        <w:t>ש</w:t>
      </w:r>
      <w:r w:rsidRPr="00565D35">
        <w:rPr>
          <w:rFonts w:ascii="David" w:hAnsi="David" w:cs="David"/>
          <w:sz w:val="24"/>
          <w:szCs w:val="24"/>
          <w:rtl/>
          <w:lang w:bidi="he-IL"/>
        </w:rPr>
        <w:t>לא כתב כתובה אחרת ומבקש לגרשה צריכה הימנו גט שאין אדם עוש</w:t>
      </w:r>
      <w:r w:rsidRPr="00565D35">
        <w:rPr>
          <w:rFonts w:ascii="David" w:hAnsi="David" w:cs="David" w:hint="cs"/>
          <w:sz w:val="24"/>
          <w:szCs w:val="24"/>
          <w:rtl/>
          <w:lang w:bidi="he-IL"/>
        </w:rPr>
        <w:t>[</w:t>
      </w:r>
      <w:r w:rsidRPr="00565D35">
        <w:rPr>
          <w:rFonts w:ascii="David" w:hAnsi="David" w:cs="David"/>
          <w:sz w:val="24"/>
          <w:szCs w:val="24"/>
          <w:rtl/>
          <w:lang w:bidi="he-IL"/>
        </w:rPr>
        <w:t>ה בעילתו</w:t>
      </w:r>
      <w:r w:rsidRPr="00565D35">
        <w:rPr>
          <w:rFonts w:ascii="David" w:hAnsi="David" w:cs="David" w:hint="cs"/>
          <w:sz w:val="24"/>
          <w:szCs w:val="24"/>
          <w:rtl/>
          <w:lang w:bidi="he-IL"/>
        </w:rPr>
        <w:t>]</w:t>
      </w:r>
    </w:p>
    <w:p w14:paraId="68B8A383"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בעילת זנות.</w:t>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בא סימן התחתון עד שלא יבא </w:t>
      </w:r>
      <w:r w:rsidRPr="00565D35">
        <w:rPr>
          <w:rFonts w:ascii="David" w:hAnsi="David" w:cs="David" w:hint="cs"/>
          <w:sz w:val="24"/>
          <w:szCs w:val="24"/>
          <w:rtl/>
          <w:lang w:bidi="he-IL"/>
        </w:rPr>
        <w:t xml:space="preserve">סימן </w:t>
      </w:r>
      <w:r w:rsidRPr="00565D35">
        <w:rPr>
          <w:rFonts w:ascii="David" w:hAnsi="David" w:cs="David"/>
          <w:sz w:val="24"/>
          <w:szCs w:val="24"/>
          <w:rtl/>
          <w:lang w:bidi="he-IL"/>
        </w:rPr>
        <w:t>העליון או חולצת או מ</w:t>
      </w:r>
      <w:r w:rsidRPr="00565D35">
        <w:rPr>
          <w:rFonts w:ascii="David" w:hAnsi="David" w:cs="David" w:hint="cs"/>
          <w:sz w:val="24"/>
          <w:szCs w:val="24"/>
          <w:rtl/>
          <w:lang w:bidi="he-IL"/>
        </w:rPr>
        <w:t>[</w:t>
      </w:r>
      <w:r w:rsidRPr="00565D35">
        <w:rPr>
          <w:rFonts w:ascii="David" w:hAnsi="David" w:cs="David"/>
          <w:sz w:val="24"/>
          <w:szCs w:val="24"/>
          <w:rtl/>
          <w:lang w:bidi="he-IL"/>
        </w:rPr>
        <w:t>תייבמת</w:t>
      </w:r>
      <w:r w:rsidRPr="00565D35">
        <w:rPr>
          <w:rFonts w:ascii="David" w:hAnsi="David" w:cs="David" w:hint="cs"/>
          <w:sz w:val="24"/>
          <w:szCs w:val="24"/>
          <w:rtl/>
          <w:lang w:bidi="he-IL"/>
        </w:rPr>
        <w:t>]</w:t>
      </w:r>
    </w:p>
    <w:p w14:paraId="0E65BCD9"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דכולי עלמא מיה</w:t>
      </w:r>
      <w:r w:rsidRPr="00565D35">
        <w:rPr>
          <w:rFonts w:ascii="David" w:hAnsi="David" w:cs="David" w:hint="cs"/>
          <w:sz w:val="24"/>
          <w:szCs w:val="24"/>
          <w:rtl/>
          <w:lang w:bidi="he-IL"/>
        </w:rPr>
        <w:t>א</w:t>
      </w:r>
      <w:r w:rsidRPr="00565D35">
        <w:rPr>
          <w:rFonts w:ascii="David" w:hAnsi="David" w:cs="David"/>
          <w:sz w:val="24"/>
          <w:szCs w:val="24"/>
          <w:rtl/>
          <w:lang w:bidi="he-IL"/>
        </w:rPr>
        <w:t xml:space="preserve"> אתחתון סמכינן מנהני מילי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רב יהודה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רב </w:t>
      </w:r>
      <w:r w:rsidRPr="00565D35">
        <w:rPr>
          <w:rFonts w:ascii="David" w:hAnsi="David" w:cs="David" w:hint="cs"/>
          <w:sz w:val="24"/>
          <w:szCs w:val="24"/>
          <w:rtl/>
          <w:lang w:bidi="he-IL"/>
        </w:rPr>
        <w:t>כדת</w:t>
      </w:r>
      <w:r w:rsidRPr="00565D35">
        <w:rPr>
          <w:rFonts w:ascii="David" w:hAnsi="David" w:cs="David"/>
          <w:sz w:val="24"/>
          <w:szCs w:val="24"/>
          <w:rtl/>
          <w:lang w:bidi="he-IL"/>
        </w:rPr>
        <w:t>נא</w:t>
      </w:r>
      <w:r>
        <w:rPr>
          <w:rStyle w:val="FootnoteReference"/>
          <w:rFonts w:ascii="David" w:hAnsi="David" w:cs="David"/>
          <w:sz w:val="24"/>
          <w:szCs w:val="24"/>
          <w:rtl/>
          <w:lang w:bidi="he-IL"/>
        </w:rPr>
        <w:footnoteReference w:id="41"/>
      </w:r>
      <w:r w:rsidRPr="00565D35">
        <w:rPr>
          <w:rFonts w:ascii="David" w:hAnsi="David" w:cs="David"/>
          <w:sz w:val="24"/>
          <w:szCs w:val="24"/>
          <w:rtl/>
          <w:lang w:bidi="he-IL"/>
        </w:rPr>
        <w:t xml:space="preserve"> ד</w:t>
      </w:r>
      <w:r w:rsidRPr="00565D35">
        <w:rPr>
          <w:rFonts w:ascii="David" w:hAnsi="David" w:cs="David" w:hint="cs"/>
          <w:sz w:val="24"/>
          <w:szCs w:val="24"/>
          <w:rtl/>
          <w:lang w:bidi="he-IL"/>
        </w:rPr>
        <w:t>[</w:t>
      </w:r>
      <w:r w:rsidRPr="00565D35">
        <w:rPr>
          <w:rFonts w:ascii="David" w:hAnsi="David" w:cs="David"/>
          <w:sz w:val="24"/>
          <w:szCs w:val="24"/>
          <w:rtl/>
          <w:lang w:bidi="he-IL"/>
        </w:rPr>
        <w:t>בי ר</w:t>
      </w:r>
      <w:r w:rsidRPr="00565D35">
        <w:rPr>
          <w:rFonts w:ascii="David" w:hAnsi="David" w:cs="David" w:hint="cs"/>
          <w:sz w:val="24"/>
          <w:szCs w:val="24"/>
          <w:rtl/>
          <w:lang w:bidi="he-IL"/>
        </w:rPr>
        <w:t>']</w:t>
      </w:r>
    </w:p>
    <w:p w14:paraId="5EB65A0B"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ישמעא</w:t>
      </w:r>
      <w:r>
        <w:rPr>
          <w:rFonts w:ascii="David" w:hAnsi="David" w:cs="David" w:hint="cs"/>
          <w:sz w:val="24"/>
          <w:szCs w:val="24"/>
          <w:rtl/>
          <w:lang w:bidi="he-IL"/>
        </w:rPr>
        <w:t>'</w:t>
      </w:r>
      <w:r w:rsidRPr="00565D35">
        <w:rPr>
          <w:rFonts w:ascii="David" w:hAnsi="David" w:cs="David"/>
          <w:sz w:val="24"/>
          <w:szCs w:val="24"/>
          <w:rtl/>
          <w:lang w:bidi="he-IL"/>
        </w:rPr>
        <w:t xml:space="preserve">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קרא איש או אשה כי יעשו מכל חטאות האדם ה</w:t>
      </w:r>
      <w:r w:rsidRPr="00565D35">
        <w:rPr>
          <w:rFonts w:ascii="David" w:hAnsi="David" w:cs="David" w:hint="cs"/>
          <w:sz w:val="24"/>
          <w:szCs w:val="24"/>
          <w:rtl/>
          <w:lang w:bidi="he-IL"/>
        </w:rPr>
        <w:t>י</w:t>
      </w:r>
      <w:r w:rsidRPr="00565D35">
        <w:rPr>
          <w:rFonts w:ascii="David" w:hAnsi="David" w:cs="David"/>
          <w:sz w:val="24"/>
          <w:szCs w:val="24"/>
          <w:rtl/>
          <w:lang w:bidi="he-IL"/>
        </w:rPr>
        <w:t>שוה הכת</w:t>
      </w:r>
      <w:r w:rsidRPr="00565D35">
        <w:rPr>
          <w:rFonts w:ascii="David" w:hAnsi="David" w:cs="David" w:hint="cs"/>
          <w:sz w:val="24"/>
          <w:szCs w:val="24"/>
          <w:rtl/>
          <w:lang w:bidi="he-IL"/>
        </w:rPr>
        <w:t>'</w:t>
      </w:r>
      <w:r w:rsidRPr="00565D35">
        <w:rPr>
          <w:rFonts w:ascii="David" w:hAnsi="David" w:cs="David"/>
          <w:sz w:val="24"/>
          <w:szCs w:val="24"/>
          <w:rtl/>
          <w:lang w:bidi="he-IL"/>
        </w:rPr>
        <w:t xml:space="preserve"> אשה </w:t>
      </w:r>
      <w:r w:rsidRPr="00565D35">
        <w:rPr>
          <w:rFonts w:ascii="David" w:hAnsi="David" w:cs="David" w:hint="cs"/>
          <w:sz w:val="24"/>
          <w:szCs w:val="24"/>
          <w:rtl/>
          <w:lang w:bidi="he-IL"/>
        </w:rPr>
        <w:t>[</w:t>
      </w:r>
      <w:r w:rsidRPr="00565D35">
        <w:rPr>
          <w:rFonts w:ascii="David" w:hAnsi="David" w:cs="David"/>
          <w:sz w:val="24"/>
          <w:szCs w:val="24"/>
          <w:rtl/>
          <w:lang w:bidi="he-IL"/>
        </w:rPr>
        <w:t>לאיש</w:t>
      </w:r>
      <w:r w:rsidRPr="00565D35">
        <w:rPr>
          <w:rFonts w:ascii="David" w:hAnsi="David" w:cs="David" w:hint="cs"/>
          <w:sz w:val="24"/>
          <w:szCs w:val="24"/>
          <w:rtl/>
          <w:lang w:bidi="he-IL"/>
        </w:rPr>
        <w:t>]</w:t>
      </w:r>
    </w:p>
    <w:p w14:paraId="14A933F0"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לכל ענשין שבתורה מה איש </w:t>
      </w:r>
      <w:r w:rsidRPr="00565D35">
        <w:rPr>
          <w:rFonts w:ascii="David" w:hAnsi="David" w:cs="David" w:hint="cs"/>
          <w:sz w:val="24"/>
          <w:szCs w:val="24"/>
          <w:rtl/>
          <w:lang w:bidi="he-IL"/>
        </w:rPr>
        <w:t>[</w:t>
      </w:r>
      <w:r w:rsidRPr="00565D35">
        <w:rPr>
          <w:rFonts w:ascii="David" w:hAnsi="David" w:cs="David"/>
          <w:sz w:val="24"/>
          <w:szCs w:val="24"/>
          <w:rtl/>
          <w:lang w:bidi="he-IL"/>
        </w:rPr>
        <w:t>בס</w:t>
      </w:r>
      <w:r w:rsidRPr="00565D35">
        <w:rPr>
          <w:rFonts w:ascii="David" w:hAnsi="David" w:cs="David" w:hint="cs"/>
          <w:sz w:val="24"/>
          <w:szCs w:val="24"/>
          <w:rtl/>
          <w:lang w:bidi="he-IL"/>
        </w:rPr>
        <w:t>]</w:t>
      </w:r>
      <w:r w:rsidRPr="00565D35">
        <w:rPr>
          <w:rFonts w:ascii="David" w:hAnsi="David" w:cs="David"/>
          <w:sz w:val="24"/>
          <w:szCs w:val="24"/>
          <w:rtl/>
          <w:lang w:bidi="he-IL"/>
        </w:rPr>
        <w:t xml:space="preserve">ימן אחד </w:t>
      </w:r>
      <w:r>
        <w:rPr>
          <w:rFonts w:ascii="David" w:hAnsi="David" w:cs="David" w:hint="cs"/>
          <w:sz w:val="24"/>
          <w:szCs w:val="24"/>
          <w:rtl/>
          <w:lang w:bidi="he-IL"/>
        </w:rPr>
        <w:t>[</w:t>
      </w:r>
      <w:r w:rsidRPr="00565D35">
        <w:rPr>
          <w:rFonts w:ascii="David" w:hAnsi="David" w:cs="David"/>
          <w:sz w:val="24"/>
          <w:szCs w:val="24"/>
          <w:rtl/>
          <w:lang w:bidi="he-IL"/>
        </w:rPr>
        <w:t>א</w:t>
      </w:r>
      <w:r>
        <w:rPr>
          <w:rFonts w:ascii="David" w:hAnsi="David" w:cs="David" w:hint="cs"/>
          <w:sz w:val="24"/>
          <w:szCs w:val="24"/>
          <w:rtl/>
          <w:lang w:bidi="he-IL"/>
        </w:rPr>
        <w:t>]</w:t>
      </w:r>
      <w:r w:rsidRPr="00565D35">
        <w:rPr>
          <w:rFonts w:ascii="David" w:hAnsi="David" w:cs="David"/>
          <w:sz w:val="24"/>
          <w:szCs w:val="24"/>
          <w:rtl/>
          <w:lang w:bidi="he-IL"/>
        </w:rPr>
        <w:t xml:space="preserve">ף אשה בסימן אחד אימא </w:t>
      </w:r>
      <w:r w:rsidRPr="00565D35">
        <w:rPr>
          <w:rFonts w:ascii="David" w:hAnsi="David" w:cs="David" w:hint="cs"/>
          <w:sz w:val="24"/>
          <w:szCs w:val="24"/>
          <w:rtl/>
          <w:lang w:bidi="he-IL"/>
        </w:rPr>
        <w:t>כי האי</w:t>
      </w:r>
      <w:r>
        <w:rPr>
          <w:rStyle w:val="FootnoteReference"/>
          <w:rFonts w:ascii="David" w:hAnsi="David" w:cs="David"/>
          <w:sz w:val="24"/>
          <w:szCs w:val="24"/>
          <w:rtl/>
          <w:lang w:bidi="he-IL"/>
        </w:rPr>
        <w:footnoteReference w:id="42"/>
      </w:r>
      <w:r w:rsidRPr="00565D35">
        <w:rPr>
          <w:rFonts w:ascii="David" w:hAnsi="David" w:cs="David" w:hint="cs"/>
          <w:sz w:val="24"/>
          <w:szCs w:val="24"/>
          <w:rtl/>
          <w:lang w:bidi="he-IL"/>
        </w:rPr>
        <w:t xml:space="preserve"> [..</w:t>
      </w:r>
      <w:r w:rsidRPr="00565D35">
        <w:rPr>
          <w:rFonts w:ascii="David" w:hAnsi="David" w:cs="David"/>
          <w:sz w:val="24"/>
          <w:szCs w:val="24"/>
          <w:rtl/>
          <w:lang w:bidi="he-IL"/>
        </w:rPr>
        <w:t>כאיש</w:t>
      </w:r>
      <w:r w:rsidRPr="00565D35">
        <w:rPr>
          <w:rFonts w:ascii="David" w:hAnsi="David" w:cs="David" w:hint="cs"/>
          <w:sz w:val="24"/>
          <w:szCs w:val="24"/>
          <w:rtl/>
          <w:lang w:bidi="he-IL"/>
        </w:rPr>
        <w:t>]</w:t>
      </w:r>
    </w:p>
    <w:p w14:paraId="64D540D5"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מה איש תחתון ולא עליון אף אשה תחתון ולא עליון. תניא נמי הכי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ר' אלע</w:t>
      </w:r>
      <w:r w:rsidRPr="00565D35">
        <w:rPr>
          <w:rFonts w:ascii="David" w:hAnsi="David" w:cs="David" w:hint="cs"/>
          <w:sz w:val="24"/>
          <w:szCs w:val="24"/>
          <w:rtl/>
          <w:lang w:bidi="he-IL"/>
        </w:rPr>
        <w:t>[</w:t>
      </w:r>
      <w:r w:rsidRPr="00565D35">
        <w:rPr>
          <w:rFonts w:ascii="David" w:hAnsi="David" w:cs="David"/>
          <w:sz w:val="24"/>
          <w:szCs w:val="24"/>
          <w:rtl/>
          <w:lang w:bidi="he-IL"/>
        </w:rPr>
        <w:t>זר ב</w:t>
      </w:r>
      <w:r w:rsidRPr="00565D35">
        <w:rPr>
          <w:rFonts w:ascii="David" w:hAnsi="David" w:cs="David" w:hint="cs"/>
          <w:sz w:val="24"/>
          <w:szCs w:val="24"/>
          <w:rtl/>
          <w:lang w:bidi="he-IL"/>
        </w:rPr>
        <w:t>ר']</w:t>
      </w:r>
      <w:r w:rsidRPr="00565D35">
        <w:rPr>
          <w:rFonts w:ascii="David" w:hAnsi="David" w:cs="David"/>
          <w:sz w:val="24"/>
          <w:szCs w:val="24"/>
          <w:rtl/>
          <w:lang w:bidi="he-IL"/>
        </w:rPr>
        <w:t xml:space="preserve"> </w:t>
      </w:r>
    </w:p>
    <w:p w14:paraId="64252A75"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hint="cs"/>
          <w:sz w:val="24"/>
          <w:szCs w:val="24"/>
          <w:rtl/>
          <w:lang w:bidi="he-IL"/>
        </w:rPr>
        <w:lastRenderedPageBreak/>
        <w:t>יצח</w:t>
      </w:r>
      <w:r w:rsidRPr="00565D35">
        <w:rPr>
          <w:rFonts w:ascii="David" w:hAnsi="David" w:cs="David"/>
          <w:sz w:val="24"/>
          <w:szCs w:val="24"/>
          <w:rtl/>
          <w:lang w:bidi="he-IL"/>
        </w:rPr>
        <w:t>ק</w:t>
      </w:r>
      <w:r>
        <w:rPr>
          <w:rStyle w:val="FootnoteReference"/>
          <w:rFonts w:ascii="David" w:hAnsi="David" w:cs="David"/>
          <w:sz w:val="24"/>
          <w:szCs w:val="24"/>
          <w:rtl/>
          <w:lang w:bidi="he-IL"/>
        </w:rPr>
        <w:footnoteReference w:id="43"/>
      </w:r>
      <w:r w:rsidRPr="00565D35">
        <w:rPr>
          <w:rFonts w:ascii="David" w:hAnsi="David" w:cs="David"/>
          <w:sz w:val="24"/>
          <w:szCs w:val="24"/>
          <w:rtl/>
          <w:lang w:bidi="he-IL"/>
        </w:rPr>
        <w:t xml:space="preserve"> כך היו מפרשין ביבנ</w:t>
      </w:r>
      <w:r w:rsidRPr="00565D35">
        <w:rPr>
          <w:rFonts w:ascii="David" w:hAnsi="David" w:cs="David" w:hint="cs"/>
          <w:sz w:val="24"/>
          <w:szCs w:val="24"/>
          <w:rtl/>
          <w:lang w:bidi="he-IL"/>
        </w:rPr>
        <w:t>ה</w:t>
      </w:r>
      <w:r w:rsidRPr="00565D35">
        <w:rPr>
          <w:rFonts w:ascii="David" w:hAnsi="David" w:cs="David"/>
          <w:sz w:val="24"/>
          <w:szCs w:val="24"/>
          <w:rtl/>
          <w:lang w:bidi="he-IL"/>
        </w:rPr>
        <w:t xml:space="preserve"> כיון שבא תחתון שוב אין משגיחין על העליון. תניא </w:t>
      </w:r>
      <w:r w:rsidRPr="00565D35">
        <w:rPr>
          <w:rFonts w:ascii="David" w:hAnsi="David" w:cs="David" w:hint="cs"/>
          <w:sz w:val="24"/>
          <w:szCs w:val="24"/>
          <w:rtl/>
          <w:lang w:bidi="he-IL"/>
        </w:rPr>
        <w:t>[</w:t>
      </w:r>
      <w:r w:rsidRPr="00565D35">
        <w:rPr>
          <w:rFonts w:ascii="David" w:hAnsi="David" w:cs="David"/>
          <w:sz w:val="24"/>
          <w:szCs w:val="24"/>
          <w:rtl/>
          <w:lang w:bidi="he-IL"/>
        </w:rPr>
        <w:t>רבן</w:t>
      </w:r>
      <w:r w:rsidRPr="00565D35">
        <w:rPr>
          <w:rFonts w:ascii="David" w:hAnsi="David" w:cs="David" w:hint="cs"/>
          <w:sz w:val="24"/>
          <w:szCs w:val="24"/>
          <w:rtl/>
          <w:lang w:bidi="he-IL"/>
        </w:rPr>
        <w:t>]</w:t>
      </w:r>
    </w:p>
    <w:p w14:paraId="5F3B9180"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ש</w:t>
      </w:r>
      <w:r w:rsidRPr="00565D35">
        <w:rPr>
          <w:rFonts w:ascii="David" w:hAnsi="David" w:cs="David" w:hint="cs"/>
          <w:sz w:val="24"/>
          <w:szCs w:val="24"/>
          <w:rtl/>
          <w:lang w:bidi="he-IL"/>
        </w:rPr>
        <w:t>[</w:t>
      </w:r>
      <w:r w:rsidRPr="00565D35">
        <w:rPr>
          <w:rFonts w:ascii="David" w:hAnsi="David" w:cs="David"/>
          <w:sz w:val="24"/>
          <w:szCs w:val="24"/>
          <w:rtl/>
          <w:lang w:bidi="he-IL"/>
        </w:rPr>
        <w:t>מ</w:t>
      </w:r>
      <w:r w:rsidRPr="00565D35">
        <w:rPr>
          <w:rFonts w:ascii="David" w:hAnsi="David" w:cs="David" w:hint="cs"/>
          <w:sz w:val="24"/>
          <w:szCs w:val="24"/>
          <w:rtl/>
          <w:lang w:bidi="he-IL"/>
        </w:rPr>
        <w:t>]</w:t>
      </w:r>
      <w:r w:rsidRPr="00565D35">
        <w:rPr>
          <w:rFonts w:ascii="David" w:hAnsi="David" w:cs="David"/>
          <w:sz w:val="24"/>
          <w:szCs w:val="24"/>
          <w:rtl/>
          <w:lang w:bidi="he-IL"/>
        </w:rPr>
        <w:t>עון בן גמל</w:t>
      </w:r>
      <w:r w:rsidRPr="00565D35">
        <w:rPr>
          <w:rFonts w:ascii="David" w:hAnsi="David" w:cs="David" w:hint="cs"/>
          <w:sz w:val="24"/>
          <w:szCs w:val="24"/>
          <w:rtl/>
          <w:lang w:bidi="he-IL"/>
        </w:rPr>
        <w:t>'</w:t>
      </w:r>
      <w:r w:rsidRPr="00565D35">
        <w:rPr>
          <w:rFonts w:ascii="David" w:hAnsi="David" w:cs="David"/>
          <w:sz w:val="24"/>
          <w:szCs w:val="24"/>
          <w:rtl/>
          <w:lang w:bidi="he-IL"/>
        </w:rPr>
        <w:t xml:space="preserve">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בנות כרכין תחתון ממהר לב</w:t>
      </w:r>
      <w:r w:rsidRPr="00565D35">
        <w:rPr>
          <w:rFonts w:ascii="David" w:hAnsi="David" w:cs="David" w:hint="cs"/>
          <w:sz w:val="24"/>
          <w:szCs w:val="24"/>
          <w:rtl/>
          <w:lang w:bidi="he-IL"/>
        </w:rPr>
        <w:t>ו</w:t>
      </w:r>
      <w:r w:rsidRPr="00565D35">
        <w:rPr>
          <w:rFonts w:ascii="David" w:hAnsi="David" w:cs="David"/>
          <w:sz w:val="24"/>
          <w:szCs w:val="24"/>
          <w:rtl/>
          <w:lang w:bidi="he-IL"/>
        </w:rPr>
        <w:t>א מפני שרגילות במרחצאות בנו</w:t>
      </w:r>
      <w:r w:rsidRPr="00565D35">
        <w:rPr>
          <w:rFonts w:ascii="David" w:hAnsi="David" w:cs="David" w:hint="cs"/>
          <w:sz w:val="24"/>
          <w:szCs w:val="24"/>
          <w:rtl/>
          <w:lang w:bidi="he-IL"/>
        </w:rPr>
        <w:t>[</w:t>
      </w:r>
      <w:r w:rsidRPr="00565D35">
        <w:rPr>
          <w:rFonts w:ascii="David" w:hAnsi="David" w:cs="David"/>
          <w:sz w:val="24"/>
          <w:szCs w:val="24"/>
          <w:rtl/>
          <w:lang w:bidi="he-IL"/>
        </w:rPr>
        <w:t>ת כפרים</w:t>
      </w:r>
      <w:r w:rsidRPr="00565D35">
        <w:rPr>
          <w:rFonts w:ascii="David" w:hAnsi="David" w:cs="David" w:hint="cs"/>
          <w:sz w:val="24"/>
          <w:szCs w:val="24"/>
          <w:rtl/>
          <w:lang w:bidi="he-IL"/>
        </w:rPr>
        <w:t>]</w:t>
      </w:r>
    </w:p>
    <w:p w14:paraId="0B49CA79"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עליון ממהר לב</w:t>
      </w:r>
      <w:r w:rsidRPr="00565D35">
        <w:rPr>
          <w:rFonts w:ascii="David" w:hAnsi="David" w:cs="David" w:hint="cs"/>
          <w:sz w:val="24"/>
          <w:szCs w:val="24"/>
          <w:rtl/>
          <w:lang w:bidi="he-IL"/>
        </w:rPr>
        <w:t>ו</w:t>
      </w:r>
      <w:r w:rsidRPr="00565D35">
        <w:rPr>
          <w:rFonts w:ascii="David" w:hAnsi="David" w:cs="David"/>
          <w:sz w:val="24"/>
          <w:szCs w:val="24"/>
          <w:rtl/>
          <w:lang w:bidi="he-IL"/>
        </w:rPr>
        <w:t>א מפני שטוחנות בריחים</w:t>
      </w:r>
      <w:r w:rsidRPr="00565D35">
        <w:rPr>
          <w:rFonts w:ascii="David" w:hAnsi="David" w:cs="David" w:hint="cs"/>
          <w:sz w:val="24"/>
          <w:szCs w:val="24"/>
          <w:rtl/>
          <w:lang w:bidi="he-IL"/>
        </w:rPr>
        <w:t>.</w:t>
      </w:r>
      <w:r w:rsidRPr="00565D35">
        <w:rPr>
          <w:rFonts w:ascii="David" w:hAnsi="David" w:cs="David"/>
          <w:sz w:val="24"/>
          <w:szCs w:val="24"/>
          <w:rtl/>
          <w:lang w:bidi="he-IL"/>
        </w:rPr>
        <w:t xml:space="preserve"> ר</w:t>
      </w:r>
      <w:r w:rsidRPr="00565D35">
        <w:rPr>
          <w:rFonts w:ascii="David" w:hAnsi="David" w:cs="David" w:hint="cs"/>
          <w:sz w:val="24"/>
          <w:szCs w:val="24"/>
          <w:rtl/>
          <w:lang w:bidi="he-IL"/>
        </w:rPr>
        <w:t>'</w:t>
      </w:r>
      <w:r w:rsidRPr="00565D35">
        <w:rPr>
          <w:rFonts w:ascii="David" w:hAnsi="David" w:cs="David"/>
          <w:sz w:val="24"/>
          <w:szCs w:val="24"/>
          <w:rtl/>
          <w:lang w:bidi="he-IL"/>
        </w:rPr>
        <w:t xml:space="preserve"> שמעון בן אלעזר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בנות עשירים </w:t>
      </w:r>
      <w:r w:rsidRPr="00565D35">
        <w:rPr>
          <w:rFonts w:ascii="David" w:hAnsi="David" w:cs="David" w:hint="cs"/>
          <w:sz w:val="24"/>
          <w:szCs w:val="24"/>
          <w:rtl/>
          <w:lang w:bidi="he-IL"/>
        </w:rPr>
        <w:t>[</w:t>
      </w:r>
      <w:r w:rsidRPr="00565D35">
        <w:rPr>
          <w:rFonts w:ascii="David" w:hAnsi="David" w:cs="David"/>
          <w:sz w:val="24"/>
          <w:szCs w:val="24"/>
          <w:rtl/>
          <w:lang w:bidi="he-IL"/>
        </w:rPr>
        <w:t>צד</w:t>
      </w:r>
      <w:r w:rsidRPr="00565D35">
        <w:rPr>
          <w:rFonts w:ascii="David" w:hAnsi="David" w:cs="David" w:hint="cs"/>
          <w:sz w:val="24"/>
          <w:szCs w:val="24"/>
          <w:rtl/>
          <w:lang w:bidi="he-IL"/>
        </w:rPr>
        <w:t>]</w:t>
      </w:r>
    </w:p>
    <w:p w14:paraId="28E94346"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ימין ממהר לב</w:t>
      </w:r>
      <w:r w:rsidRPr="00565D35">
        <w:rPr>
          <w:rFonts w:ascii="David" w:hAnsi="David" w:cs="David" w:hint="cs"/>
          <w:sz w:val="24"/>
          <w:szCs w:val="24"/>
          <w:rtl/>
          <w:lang w:bidi="he-IL"/>
        </w:rPr>
        <w:t>ו</w:t>
      </w:r>
      <w:r w:rsidRPr="00565D35">
        <w:rPr>
          <w:rFonts w:ascii="David" w:hAnsi="David" w:cs="David"/>
          <w:sz w:val="24"/>
          <w:szCs w:val="24"/>
          <w:rtl/>
          <w:lang w:bidi="he-IL"/>
        </w:rPr>
        <w:t>א מפני שנישוף באפ</w:t>
      </w:r>
      <w:r w:rsidRPr="00565D35">
        <w:rPr>
          <w:rFonts w:ascii="David" w:hAnsi="David" w:cs="David" w:hint="cs"/>
          <w:sz w:val="24"/>
          <w:szCs w:val="24"/>
          <w:rtl/>
          <w:lang w:bidi="he-IL"/>
        </w:rPr>
        <w:t>י</w:t>
      </w:r>
      <w:r w:rsidRPr="00565D35">
        <w:rPr>
          <w:rFonts w:ascii="David" w:hAnsi="David" w:cs="David"/>
          <w:sz w:val="24"/>
          <w:szCs w:val="24"/>
          <w:rtl/>
          <w:lang w:bidi="he-IL"/>
        </w:rPr>
        <w:t>קרס</w:t>
      </w:r>
      <w:r w:rsidRPr="00565D35">
        <w:rPr>
          <w:rFonts w:ascii="David" w:hAnsi="David" w:cs="David" w:hint="cs"/>
          <w:sz w:val="24"/>
          <w:szCs w:val="24"/>
          <w:rtl/>
          <w:lang w:bidi="he-IL"/>
        </w:rPr>
        <w:t>ו</w:t>
      </w:r>
      <w:r w:rsidRPr="00565D35">
        <w:rPr>
          <w:rFonts w:ascii="David" w:hAnsi="David" w:cs="David"/>
          <w:sz w:val="24"/>
          <w:szCs w:val="24"/>
          <w:rtl/>
          <w:lang w:bidi="he-IL"/>
        </w:rPr>
        <w:t>תן בנות עניים צד שמא</w:t>
      </w:r>
      <w:r>
        <w:rPr>
          <w:rFonts w:ascii="David" w:hAnsi="David" w:cs="David" w:hint="cs"/>
          <w:sz w:val="24"/>
          <w:szCs w:val="24"/>
          <w:rtl/>
          <w:lang w:bidi="he-IL"/>
        </w:rPr>
        <w:t>ו</w:t>
      </w:r>
      <w:r w:rsidRPr="00565D35">
        <w:rPr>
          <w:rFonts w:ascii="David" w:hAnsi="David" w:cs="David"/>
          <w:sz w:val="24"/>
          <w:szCs w:val="24"/>
          <w:rtl/>
          <w:lang w:bidi="he-IL"/>
        </w:rPr>
        <w:t>ל ממהר לב</w:t>
      </w:r>
      <w:r w:rsidRPr="00565D35">
        <w:rPr>
          <w:rFonts w:ascii="David" w:hAnsi="David" w:cs="David" w:hint="cs"/>
          <w:sz w:val="24"/>
          <w:szCs w:val="24"/>
          <w:rtl/>
          <w:lang w:bidi="he-IL"/>
        </w:rPr>
        <w:t>ו</w:t>
      </w:r>
      <w:r w:rsidRPr="00565D35">
        <w:rPr>
          <w:rFonts w:ascii="David" w:hAnsi="David" w:cs="David"/>
          <w:sz w:val="24"/>
          <w:szCs w:val="24"/>
          <w:rtl/>
          <w:lang w:bidi="he-IL"/>
        </w:rPr>
        <w:t xml:space="preserve">א </w:t>
      </w:r>
      <w:r w:rsidRPr="00565D35">
        <w:rPr>
          <w:rFonts w:ascii="David" w:hAnsi="David" w:cs="David" w:hint="cs"/>
          <w:sz w:val="24"/>
          <w:szCs w:val="24"/>
          <w:rtl/>
          <w:lang w:bidi="he-IL"/>
        </w:rPr>
        <w:t>[</w:t>
      </w:r>
      <w:r w:rsidRPr="00565D35">
        <w:rPr>
          <w:rFonts w:ascii="David" w:hAnsi="David" w:cs="David"/>
          <w:sz w:val="24"/>
          <w:szCs w:val="24"/>
          <w:rtl/>
          <w:lang w:bidi="he-IL"/>
        </w:rPr>
        <w:t>מפני</w:t>
      </w:r>
      <w:r w:rsidRPr="00565D35">
        <w:rPr>
          <w:rFonts w:ascii="David" w:hAnsi="David" w:cs="David" w:hint="cs"/>
          <w:sz w:val="24"/>
          <w:szCs w:val="24"/>
          <w:rtl/>
          <w:lang w:bidi="he-IL"/>
        </w:rPr>
        <w:t>]</w:t>
      </w:r>
    </w:p>
    <w:p w14:paraId="17C69A91"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ששואבות עליו כדי מים</w:t>
      </w:r>
      <w:r w:rsidRPr="00565D35">
        <w:rPr>
          <w:rFonts w:ascii="David" w:hAnsi="David" w:cs="David" w:hint="cs"/>
          <w:sz w:val="24"/>
          <w:szCs w:val="24"/>
          <w:rtl/>
          <w:lang w:bidi="he-IL"/>
        </w:rPr>
        <w:t>.</w:t>
      </w:r>
      <w:r w:rsidRPr="00565D35">
        <w:rPr>
          <w:rFonts w:ascii="David" w:hAnsi="David" w:cs="David"/>
          <w:sz w:val="24"/>
          <w:szCs w:val="24"/>
          <w:rtl/>
          <w:lang w:bidi="he-IL"/>
        </w:rPr>
        <w:t xml:space="preserve"> דב</w:t>
      </w:r>
      <w:r w:rsidRPr="00565D35">
        <w:rPr>
          <w:rFonts w:ascii="David" w:hAnsi="David" w:cs="David" w:hint="cs"/>
          <w:sz w:val="24"/>
          <w:szCs w:val="24"/>
          <w:rtl/>
          <w:lang w:bidi="he-IL"/>
        </w:rPr>
        <w:t>'</w:t>
      </w:r>
      <w:r w:rsidRPr="00565D35">
        <w:rPr>
          <w:rFonts w:ascii="David" w:hAnsi="David" w:cs="David"/>
          <w:sz w:val="24"/>
          <w:szCs w:val="24"/>
          <w:rtl/>
          <w:lang w:bidi="he-IL"/>
        </w:rPr>
        <w:t xml:space="preserve"> אח</w:t>
      </w:r>
      <w:r w:rsidRPr="00565D35">
        <w:rPr>
          <w:rFonts w:ascii="David" w:hAnsi="David" w:cs="David" w:hint="cs"/>
          <w:sz w:val="24"/>
          <w:szCs w:val="24"/>
          <w:rtl/>
          <w:lang w:bidi="he-IL"/>
        </w:rPr>
        <w:t>'</w:t>
      </w:r>
      <w:r w:rsidRPr="00565D35">
        <w:rPr>
          <w:rFonts w:ascii="David" w:hAnsi="David" w:cs="David"/>
          <w:sz w:val="24"/>
          <w:szCs w:val="24"/>
          <w:rtl/>
          <w:lang w:bidi="he-IL"/>
        </w:rPr>
        <w:t xml:space="preserve"> מפני שנושאות אחיהן על ג</w:t>
      </w:r>
      <w:r w:rsidRPr="00565D35">
        <w:rPr>
          <w:rFonts w:ascii="David" w:hAnsi="David" w:cs="David" w:hint="cs"/>
          <w:sz w:val="24"/>
          <w:szCs w:val="24"/>
          <w:rtl/>
          <w:lang w:bidi="he-IL"/>
        </w:rPr>
        <w:t>י</w:t>
      </w:r>
      <w:r w:rsidRPr="00565D35">
        <w:rPr>
          <w:rFonts w:ascii="David" w:hAnsi="David" w:cs="David"/>
          <w:sz w:val="24"/>
          <w:szCs w:val="24"/>
          <w:rtl/>
          <w:lang w:bidi="he-IL"/>
        </w:rPr>
        <w:t>ססיהן.</w:t>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תנו </w:t>
      </w:r>
      <w:r w:rsidRPr="00565D35">
        <w:rPr>
          <w:rFonts w:ascii="David" w:hAnsi="David" w:cs="David" w:hint="cs"/>
          <w:sz w:val="24"/>
          <w:szCs w:val="24"/>
          <w:rtl/>
          <w:lang w:bidi="he-IL"/>
        </w:rPr>
        <w:t>[</w:t>
      </w:r>
      <w:r w:rsidRPr="00565D35">
        <w:rPr>
          <w:rFonts w:ascii="David" w:hAnsi="David" w:cs="David"/>
          <w:sz w:val="24"/>
          <w:szCs w:val="24"/>
          <w:rtl/>
          <w:lang w:bidi="he-IL"/>
        </w:rPr>
        <w:t>רבנן כל</w:t>
      </w:r>
      <w:r w:rsidRPr="00565D35">
        <w:rPr>
          <w:rFonts w:ascii="David" w:hAnsi="David" w:cs="David" w:hint="cs"/>
          <w:sz w:val="24"/>
          <w:szCs w:val="24"/>
          <w:rtl/>
          <w:lang w:bidi="he-IL"/>
        </w:rPr>
        <w:t>]</w:t>
      </w:r>
    </w:p>
    <w:p w14:paraId="392460C0"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הנבדקות נבדקות על פי ש</w:t>
      </w:r>
      <w:r w:rsidRPr="00565D35">
        <w:rPr>
          <w:rFonts w:ascii="David" w:hAnsi="David" w:cs="David" w:hint="cs"/>
          <w:sz w:val="24"/>
          <w:szCs w:val="24"/>
          <w:rtl/>
          <w:lang w:bidi="he-IL"/>
        </w:rPr>
        <w:t>נ</w:t>
      </w:r>
      <w:r w:rsidRPr="00565D35">
        <w:rPr>
          <w:rFonts w:ascii="David" w:hAnsi="David" w:cs="David"/>
          <w:sz w:val="24"/>
          <w:szCs w:val="24"/>
          <w:rtl/>
          <w:lang w:bidi="he-IL"/>
        </w:rPr>
        <w:t>ים</w:t>
      </w:r>
      <w:r>
        <w:rPr>
          <w:rStyle w:val="FootnoteReference"/>
          <w:rFonts w:ascii="David" w:hAnsi="David" w:cs="David"/>
          <w:sz w:val="24"/>
          <w:szCs w:val="24"/>
          <w:rtl/>
          <w:lang w:bidi="he-IL"/>
        </w:rPr>
        <w:footnoteReference w:id="44"/>
      </w:r>
      <w:r w:rsidRPr="00565D35">
        <w:rPr>
          <w:rFonts w:ascii="David" w:hAnsi="David" w:cs="David"/>
          <w:sz w:val="24"/>
          <w:szCs w:val="24"/>
          <w:rtl/>
          <w:lang w:bidi="he-IL"/>
        </w:rPr>
        <w:t xml:space="preserve"> וכן היה ר</w:t>
      </w:r>
      <w:r w:rsidRPr="00565D35">
        <w:rPr>
          <w:rFonts w:ascii="David" w:hAnsi="David" w:cs="David" w:hint="cs"/>
          <w:sz w:val="24"/>
          <w:szCs w:val="24"/>
          <w:rtl/>
          <w:lang w:bidi="he-IL"/>
        </w:rPr>
        <w:t>'</w:t>
      </w:r>
      <w:r w:rsidRPr="00565D35">
        <w:rPr>
          <w:rFonts w:ascii="David" w:hAnsi="David" w:cs="David"/>
          <w:sz w:val="24"/>
          <w:szCs w:val="24"/>
          <w:rtl/>
          <w:lang w:bidi="he-IL"/>
        </w:rPr>
        <w:t xml:space="preserve"> אליעזר מוסר לאשתו ור</w:t>
      </w:r>
      <w:r w:rsidRPr="00565D35">
        <w:rPr>
          <w:rFonts w:ascii="David" w:hAnsi="David" w:cs="David" w:hint="cs"/>
          <w:sz w:val="24"/>
          <w:szCs w:val="24"/>
          <w:rtl/>
          <w:lang w:bidi="he-IL"/>
        </w:rPr>
        <w:t>'</w:t>
      </w:r>
      <w:r w:rsidRPr="00565D35">
        <w:rPr>
          <w:rFonts w:ascii="David" w:hAnsi="David" w:cs="David"/>
          <w:sz w:val="24"/>
          <w:szCs w:val="24"/>
          <w:rtl/>
          <w:lang w:bidi="he-IL"/>
        </w:rPr>
        <w:t xml:space="preserve"> ישמעאל</w:t>
      </w:r>
      <w:r>
        <w:rPr>
          <w:rStyle w:val="FootnoteReference"/>
          <w:rFonts w:ascii="David" w:hAnsi="David" w:cs="David"/>
          <w:sz w:val="24"/>
          <w:szCs w:val="24"/>
          <w:rtl/>
          <w:lang w:bidi="he-IL"/>
        </w:rPr>
        <w:footnoteReference w:id="45"/>
      </w:r>
      <w:r w:rsidRPr="00565D35">
        <w:rPr>
          <w:rFonts w:ascii="David" w:hAnsi="David" w:cs="David"/>
          <w:sz w:val="24"/>
          <w:szCs w:val="24"/>
          <w:rtl/>
          <w:lang w:bidi="he-IL"/>
        </w:rPr>
        <w:t xml:space="preserve"> מוסר לא</w:t>
      </w:r>
      <w:r w:rsidRPr="00565D35">
        <w:rPr>
          <w:rFonts w:ascii="David" w:hAnsi="David" w:cs="David" w:hint="cs"/>
          <w:sz w:val="24"/>
          <w:szCs w:val="24"/>
          <w:rtl/>
          <w:lang w:bidi="he-IL"/>
        </w:rPr>
        <w:t>[</w:t>
      </w:r>
      <w:r w:rsidRPr="00565D35">
        <w:rPr>
          <w:rFonts w:ascii="David" w:hAnsi="David" w:cs="David"/>
          <w:sz w:val="24"/>
          <w:szCs w:val="24"/>
          <w:rtl/>
          <w:lang w:bidi="he-IL"/>
        </w:rPr>
        <w:t>מו ר</w:t>
      </w:r>
      <w:r w:rsidRPr="00565D35">
        <w:rPr>
          <w:rFonts w:ascii="David" w:hAnsi="David" w:cs="David" w:hint="cs"/>
          <w:sz w:val="24"/>
          <w:szCs w:val="24"/>
          <w:rtl/>
          <w:lang w:bidi="he-IL"/>
        </w:rPr>
        <w:t>']</w:t>
      </w:r>
    </w:p>
    <w:p w14:paraId="0D8915FD"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יהודה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לפני הפרק ולאחר הפרק נשים בודקות אותן תוך הפרק אין </w:t>
      </w:r>
      <w:r w:rsidRPr="00565D35">
        <w:rPr>
          <w:rFonts w:ascii="David" w:hAnsi="David" w:cs="David" w:hint="cs"/>
          <w:sz w:val="24"/>
          <w:szCs w:val="24"/>
          <w:rtl/>
          <w:lang w:bidi="he-IL"/>
        </w:rPr>
        <w:t>ה</w:t>
      </w:r>
      <w:r w:rsidRPr="00565D35">
        <w:rPr>
          <w:rFonts w:ascii="David" w:hAnsi="David" w:cs="David"/>
          <w:sz w:val="24"/>
          <w:szCs w:val="24"/>
          <w:rtl/>
          <w:lang w:bidi="he-IL"/>
        </w:rPr>
        <w:t>נשים בודק</w:t>
      </w:r>
      <w:r w:rsidRPr="00565D35">
        <w:rPr>
          <w:rFonts w:ascii="David" w:hAnsi="David" w:cs="David" w:hint="cs"/>
          <w:sz w:val="24"/>
          <w:szCs w:val="24"/>
          <w:rtl/>
          <w:lang w:bidi="he-IL"/>
        </w:rPr>
        <w:t>[</w:t>
      </w:r>
      <w:r w:rsidRPr="00565D35">
        <w:rPr>
          <w:rFonts w:ascii="David" w:hAnsi="David" w:cs="David"/>
          <w:sz w:val="24"/>
          <w:szCs w:val="24"/>
          <w:rtl/>
          <w:lang w:bidi="he-IL"/>
        </w:rPr>
        <w:t>ות</w:t>
      </w:r>
      <w:r w:rsidRPr="00565D35">
        <w:rPr>
          <w:rFonts w:ascii="David" w:hAnsi="David" w:cs="David" w:hint="cs"/>
          <w:sz w:val="24"/>
          <w:szCs w:val="24"/>
          <w:rtl/>
          <w:lang w:bidi="he-IL"/>
        </w:rPr>
        <w:t>]</w:t>
      </w:r>
    </w:p>
    <w:p w14:paraId="5F1D3A7D"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אותן שאין משיאין ספיקות על פי נשים ר</w:t>
      </w:r>
      <w:r w:rsidRPr="00565D35">
        <w:rPr>
          <w:rFonts w:ascii="David" w:hAnsi="David" w:cs="David" w:hint="cs"/>
          <w:sz w:val="24"/>
          <w:szCs w:val="24"/>
          <w:rtl/>
          <w:lang w:bidi="he-IL"/>
        </w:rPr>
        <w:t>'</w:t>
      </w:r>
      <w:r w:rsidRPr="00565D35">
        <w:rPr>
          <w:rFonts w:ascii="David" w:hAnsi="David" w:cs="David"/>
          <w:sz w:val="24"/>
          <w:szCs w:val="24"/>
          <w:rtl/>
          <w:lang w:bidi="he-IL"/>
        </w:rPr>
        <w:t xml:space="preserve"> שמעון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אף תוך הפרק </w:t>
      </w:r>
      <w:r>
        <w:rPr>
          <w:rFonts w:ascii="David" w:hAnsi="David" w:cs="David" w:hint="cs"/>
          <w:sz w:val="24"/>
          <w:szCs w:val="24"/>
          <w:rtl/>
          <w:lang w:bidi="he-IL"/>
        </w:rPr>
        <w:t>ה</w:t>
      </w:r>
      <w:r w:rsidRPr="00565D35">
        <w:rPr>
          <w:rFonts w:ascii="David" w:hAnsi="David" w:cs="David"/>
          <w:sz w:val="24"/>
          <w:szCs w:val="24"/>
          <w:rtl/>
          <w:lang w:bidi="he-IL"/>
        </w:rPr>
        <w:t xml:space="preserve">נשים בודקות </w:t>
      </w:r>
      <w:r w:rsidRPr="00565D35">
        <w:rPr>
          <w:rFonts w:ascii="David" w:hAnsi="David" w:cs="David" w:hint="cs"/>
          <w:sz w:val="24"/>
          <w:szCs w:val="24"/>
          <w:rtl/>
          <w:lang w:bidi="he-IL"/>
        </w:rPr>
        <w:t>[</w:t>
      </w:r>
      <w:r w:rsidRPr="00565D35">
        <w:rPr>
          <w:rFonts w:ascii="David" w:hAnsi="David" w:cs="David"/>
          <w:sz w:val="24"/>
          <w:szCs w:val="24"/>
          <w:rtl/>
          <w:lang w:bidi="he-IL"/>
        </w:rPr>
        <w:t>אותן</w:t>
      </w:r>
      <w:r w:rsidRPr="00565D35">
        <w:rPr>
          <w:rFonts w:ascii="David" w:hAnsi="David" w:cs="David" w:hint="cs"/>
          <w:sz w:val="24"/>
          <w:szCs w:val="24"/>
          <w:rtl/>
          <w:lang w:bidi="he-IL"/>
        </w:rPr>
        <w:t>]</w:t>
      </w:r>
    </w:p>
    <w:p w14:paraId="7F59BFDC"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ונאמנת אשה להחמיר אבל לא להקל כ</w:t>
      </w:r>
      <w:r w:rsidRPr="00565D35">
        <w:rPr>
          <w:rFonts w:ascii="David" w:hAnsi="David" w:cs="David" w:hint="cs"/>
          <w:sz w:val="24"/>
          <w:szCs w:val="24"/>
          <w:rtl/>
          <w:lang w:bidi="he-IL"/>
        </w:rPr>
        <w:t>א</w:t>
      </w:r>
      <w:r w:rsidRPr="00565D35">
        <w:rPr>
          <w:rFonts w:ascii="David" w:hAnsi="David" w:cs="David"/>
          <w:sz w:val="24"/>
          <w:szCs w:val="24"/>
          <w:rtl/>
          <w:lang w:bidi="he-IL"/>
        </w:rPr>
        <w:t>י</w:t>
      </w:r>
      <w:r w:rsidRPr="00565D35">
        <w:rPr>
          <w:rFonts w:ascii="David" w:hAnsi="David" w:cs="David" w:hint="cs"/>
          <w:sz w:val="24"/>
          <w:szCs w:val="24"/>
          <w:rtl/>
          <w:lang w:bidi="he-IL"/>
        </w:rPr>
        <w:t xml:space="preserve"> זה </w:t>
      </w:r>
      <w:r w:rsidRPr="00565D35">
        <w:rPr>
          <w:rFonts w:ascii="David" w:hAnsi="David" w:cs="David"/>
          <w:sz w:val="24"/>
          <w:szCs w:val="24"/>
          <w:rtl/>
          <w:lang w:bidi="he-IL"/>
        </w:rPr>
        <w:t>צד גדולה היא שלא תמאן קטנה ה</w:t>
      </w:r>
      <w:r w:rsidRPr="00565D35">
        <w:rPr>
          <w:rFonts w:ascii="David" w:hAnsi="David" w:cs="David" w:hint="cs"/>
          <w:sz w:val="24"/>
          <w:szCs w:val="24"/>
          <w:rtl/>
          <w:lang w:bidi="he-IL"/>
        </w:rPr>
        <w:t>[</w:t>
      </w:r>
      <w:r w:rsidRPr="00565D35">
        <w:rPr>
          <w:rFonts w:ascii="David" w:hAnsi="David" w:cs="David"/>
          <w:sz w:val="24"/>
          <w:szCs w:val="24"/>
          <w:rtl/>
          <w:lang w:bidi="he-IL"/>
        </w:rPr>
        <w:t>יא שלא</w:t>
      </w:r>
      <w:r w:rsidRPr="00565D35">
        <w:rPr>
          <w:rFonts w:ascii="David" w:hAnsi="David" w:cs="David" w:hint="cs"/>
          <w:sz w:val="24"/>
          <w:szCs w:val="24"/>
          <w:rtl/>
          <w:lang w:bidi="he-IL"/>
        </w:rPr>
        <w:t>]</w:t>
      </w:r>
    </w:p>
    <w:p w14:paraId="31225967"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תחלוץ אבל אין נאמנת לומר קטנה היא שתמאן גדולה היא שתחלוץ. שתי ש</w:t>
      </w:r>
      <w:r w:rsidRPr="00565D35">
        <w:rPr>
          <w:rFonts w:ascii="David" w:hAnsi="David" w:cs="David" w:hint="cs"/>
          <w:sz w:val="24"/>
          <w:szCs w:val="24"/>
          <w:rtl/>
          <w:lang w:bidi="he-IL"/>
        </w:rPr>
        <w:t>[</w:t>
      </w:r>
      <w:r w:rsidRPr="00565D35">
        <w:rPr>
          <w:rFonts w:ascii="David" w:hAnsi="David" w:cs="David"/>
          <w:sz w:val="24"/>
          <w:szCs w:val="24"/>
          <w:rtl/>
          <w:lang w:bidi="he-IL"/>
        </w:rPr>
        <w:t>ערות</w:t>
      </w:r>
      <w:r w:rsidRPr="00565D35">
        <w:rPr>
          <w:rFonts w:ascii="David" w:hAnsi="David" w:cs="David" w:hint="cs"/>
          <w:sz w:val="24"/>
          <w:szCs w:val="24"/>
          <w:rtl/>
          <w:lang w:bidi="he-IL"/>
        </w:rPr>
        <w:t>]</w:t>
      </w:r>
    </w:p>
    <w:p w14:paraId="0DCC8F46"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האמורות ב</w:t>
      </w:r>
      <w:r w:rsidRPr="00565D35">
        <w:rPr>
          <w:rFonts w:ascii="David" w:hAnsi="David" w:cs="David" w:hint="cs"/>
          <w:sz w:val="24"/>
          <w:szCs w:val="24"/>
          <w:rtl/>
          <w:lang w:bidi="he-IL"/>
        </w:rPr>
        <w:t>פעוטות</w:t>
      </w:r>
      <w:r>
        <w:rPr>
          <w:rStyle w:val="FootnoteReference"/>
          <w:rFonts w:ascii="David" w:hAnsi="David" w:cs="David"/>
          <w:sz w:val="24"/>
          <w:szCs w:val="24"/>
          <w:rtl/>
          <w:lang w:bidi="he-IL"/>
        </w:rPr>
        <w:footnoteReference w:id="46"/>
      </w:r>
      <w:r w:rsidRPr="00565D35">
        <w:rPr>
          <w:rFonts w:ascii="David" w:hAnsi="David" w:cs="David" w:hint="cs"/>
          <w:sz w:val="24"/>
          <w:szCs w:val="24"/>
          <w:rtl/>
          <w:lang w:bidi="he-IL"/>
        </w:rPr>
        <w:t xml:space="preserve"> ובנגעים</w:t>
      </w:r>
      <w:r w:rsidRPr="00565D35">
        <w:rPr>
          <w:rFonts w:ascii="David" w:hAnsi="David" w:cs="David"/>
          <w:sz w:val="24"/>
          <w:szCs w:val="24"/>
          <w:rtl/>
          <w:lang w:bidi="he-IL"/>
        </w:rPr>
        <w:t xml:space="preserve"> והאמורות בכל מקום כמה שיעורן כדי לכוף ראשן </w:t>
      </w:r>
      <w:r w:rsidRPr="00565D35">
        <w:rPr>
          <w:rFonts w:ascii="David" w:hAnsi="David" w:cs="David" w:hint="cs"/>
          <w:sz w:val="24"/>
          <w:szCs w:val="24"/>
          <w:rtl/>
          <w:lang w:bidi="he-IL"/>
        </w:rPr>
        <w:t>[</w:t>
      </w:r>
      <w:r w:rsidRPr="00565D35">
        <w:rPr>
          <w:rFonts w:ascii="David" w:hAnsi="David" w:cs="David"/>
          <w:sz w:val="24"/>
          <w:szCs w:val="24"/>
          <w:rtl/>
          <w:lang w:bidi="he-IL"/>
        </w:rPr>
        <w:t>לעיקרן</w:t>
      </w:r>
      <w:r w:rsidRPr="00565D35">
        <w:rPr>
          <w:rFonts w:ascii="David" w:hAnsi="David" w:cs="David" w:hint="cs"/>
          <w:sz w:val="24"/>
          <w:szCs w:val="24"/>
          <w:rtl/>
          <w:lang w:bidi="he-IL"/>
        </w:rPr>
        <w:t>]</w:t>
      </w:r>
    </w:p>
    <w:p w14:paraId="728ECE8F"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דברי ר</w:t>
      </w:r>
      <w:r w:rsidRPr="00565D35">
        <w:rPr>
          <w:rFonts w:ascii="David" w:hAnsi="David" w:cs="David" w:hint="cs"/>
          <w:sz w:val="24"/>
          <w:szCs w:val="24"/>
          <w:rtl/>
          <w:lang w:bidi="he-IL"/>
        </w:rPr>
        <w:t>'</w:t>
      </w:r>
      <w:r w:rsidRPr="00565D35">
        <w:rPr>
          <w:rFonts w:ascii="David" w:hAnsi="David" w:cs="David"/>
          <w:sz w:val="24"/>
          <w:szCs w:val="24"/>
          <w:rtl/>
          <w:lang w:bidi="he-IL"/>
        </w:rPr>
        <w:t xml:space="preserve"> ישמעאל ר</w:t>
      </w:r>
      <w:r w:rsidRPr="00565D35">
        <w:rPr>
          <w:rFonts w:ascii="David" w:hAnsi="David" w:cs="David" w:hint="cs"/>
          <w:sz w:val="24"/>
          <w:szCs w:val="24"/>
          <w:rtl/>
          <w:lang w:bidi="he-IL"/>
        </w:rPr>
        <w:t>'</w:t>
      </w:r>
      <w:r w:rsidRPr="00565D35">
        <w:rPr>
          <w:rFonts w:ascii="David" w:hAnsi="David" w:cs="David"/>
          <w:sz w:val="24"/>
          <w:szCs w:val="24"/>
          <w:rtl/>
          <w:lang w:bidi="he-IL"/>
        </w:rPr>
        <w:t xml:space="preserve"> אל</w:t>
      </w:r>
      <w:r w:rsidRPr="00565D35">
        <w:rPr>
          <w:rFonts w:ascii="David" w:hAnsi="David" w:cs="David" w:hint="cs"/>
          <w:sz w:val="24"/>
          <w:szCs w:val="24"/>
          <w:rtl/>
          <w:lang w:bidi="he-IL"/>
        </w:rPr>
        <w:t>י</w:t>
      </w:r>
      <w:r w:rsidRPr="00565D35">
        <w:rPr>
          <w:rFonts w:ascii="David" w:hAnsi="David" w:cs="David"/>
          <w:sz w:val="24"/>
          <w:szCs w:val="24"/>
          <w:rtl/>
          <w:lang w:bidi="he-IL"/>
        </w:rPr>
        <w:t>עזר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r w:rsidRPr="00565D35">
        <w:rPr>
          <w:rFonts w:ascii="David" w:hAnsi="David" w:cs="David" w:hint="cs"/>
          <w:sz w:val="24"/>
          <w:szCs w:val="24"/>
          <w:rtl/>
          <w:lang w:bidi="he-IL"/>
        </w:rPr>
        <w:t>[</w:t>
      </w:r>
      <w:r w:rsidRPr="00565D35">
        <w:rPr>
          <w:rFonts w:ascii="David" w:hAnsi="David" w:cs="David"/>
          <w:sz w:val="24"/>
          <w:szCs w:val="24"/>
          <w:rtl/>
          <w:lang w:bidi="he-IL"/>
        </w:rPr>
        <w:t>כד</w:t>
      </w:r>
      <w:r>
        <w:rPr>
          <w:rFonts w:ascii="David" w:hAnsi="David" w:cs="David" w:hint="cs"/>
          <w:sz w:val="24"/>
          <w:szCs w:val="24"/>
          <w:rtl/>
          <w:lang w:bidi="he-IL"/>
        </w:rPr>
        <w:t>]</w:t>
      </w:r>
      <w:r w:rsidRPr="00565D35">
        <w:rPr>
          <w:rFonts w:ascii="David" w:hAnsi="David" w:cs="David"/>
          <w:sz w:val="24"/>
          <w:szCs w:val="24"/>
          <w:rtl/>
          <w:lang w:bidi="he-IL"/>
        </w:rPr>
        <w:t>י לקרוץ בציפורן ר</w:t>
      </w:r>
      <w:r w:rsidRPr="00565D35">
        <w:rPr>
          <w:rFonts w:ascii="David" w:hAnsi="David" w:cs="David" w:hint="cs"/>
          <w:sz w:val="24"/>
          <w:szCs w:val="24"/>
          <w:rtl/>
          <w:lang w:bidi="he-IL"/>
        </w:rPr>
        <w:t>'</w:t>
      </w:r>
      <w:r w:rsidRPr="00565D35">
        <w:rPr>
          <w:rFonts w:ascii="David" w:hAnsi="David" w:cs="David"/>
          <w:sz w:val="24"/>
          <w:szCs w:val="24"/>
          <w:rtl/>
          <w:lang w:bidi="he-IL"/>
        </w:rPr>
        <w:t xml:space="preserve"> עקיב</w:t>
      </w:r>
      <w:r w:rsidRPr="00565D35">
        <w:rPr>
          <w:rFonts w:ascii="David" w:hAnsi="David" w:cs="David" w:hint="cs"/>
          <w:sz w:val="24"/>
          <w:szCs w:val="24"/>
          <w:rtl/>
          <w:lang w:bidi="he-IL"/>
        </w:rPr>
        <w:t>ה</w:t>
      </w:r>
      <w:r w:rsidRPr="00565D35">
        <w:rPr>
          <w:rFonts w:ascii="David" w:hAnsi="David" w:cs="David"/>
          <w:sz w:val="24"/>
          <w:szCs w:val="24"/>
          <w:rtl/>
          <w:lang w:bidi="he-IL"/>
        </w:rPr>
        <w:t xml:space="preserve"> אומ</w:t>
      </w:r>
      <w:r w:rsidRPr="00565D35">
        <w:rPr>
          <w:rFonts w:ascii="David" w:hAnsi="David" w:cs="David" w:hint="cs"/>
          <w:sz w:val="24"/>
          <w:szCs w:val="24"/>
          <w:rtl/>
          <w:lang w:bidi="he-IL"/>
        </w:rPr>
        <w:t>'</w:t>
      </w:r>
      <w:r w:rsidRPr="00565D35">
        <w:rPr>
          <w:rFonts w:ascii="David" w:hAnsi="David" w:cs="David"/>
          <w:sz w:val="24"/>
          <w:szCs w:val="24"/>
          <w:rtl/>
          <w:lang w:bidi="he-IL"/>
        </w:rPr>
        <w:t xml:space="preserve"> כדי שיהו ניטל</w:t>
      </w:r>
      <w:r w:rsidRPr="00565D35">
        <w:rPr>
          <w:rFonts w:ascii="David" w:hAnsi="David" w:cs="David" w:hint="cs"/>
          <w:sz w:val="24"/>
          <w:szCs w:val="24"/>
          <w:rtl/>
          <w:lang w:bidi="he-IL"/>
        </w:rPr>
        <w:t>י[ן</w:t>
      </w:r>
      <w:r w:rsidRPr="00565D35">
        <w:rPr>
          <w:rFonts w:ascii="David" w:hAnsi="David" w:cs="David"/>
          <w:sz w:val="24"/>
          <w:szCs w:val="24"/>
          <w:rtl/>
          <w:lang w:bidi="he-IL"/>
        </w:rPr>
        <w:t xml:space="preserve"> בזוג</w:t>
      </w:r>
      <w:r w:rsidRPr="00565D35">
        <w:rPr>
          <w:rFonts w:ascii="David" w:hAnsi="David" w:cs="David" w:hint="cs"/>
          <w:sz w:val="24"/>
          <w:szCs w:val="24"/>
          <w:rtl/>
          <w:lang w:bidi="he-IL"/>
        </w:rPr>
        <w:t>]</w:t>
      </w:r>
    </w:p>
    <w:p w14:paraId="6B973A69"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אמ</w:t>
      </w:r>
      <w:r w:rsidRPr="00565D35">
        <w:rPr>
          <w:rFonts w:ascii="David" w:hAnsi="David" w:cs="David" w:hint="cs"/>
          <w:sz w:val="24"/>
          <w:szCs w:val="24"/>
          <w:rtl/>
          <w:lang w:bidi="he-IL"/>
        </w:rPr>
        <w:t>'</w:t>
      </w:r>
      <w:r w:rsidRPr="00565D35">
        <w:rPr>
          <w:rFonts w:ascii="David" w:hAnsi="David" w:cs="David"/>
          <w:sz w:val="24"/>
          <w:szCs w:val="24"/>
          <w:rtl/>
          <w:lang w:bidi="he-IL"/>
        </w:rPr>
        <w:t xml:space="preserve"> רב חסדא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מר עוקבא הלכ</w:t>
      </w:r>
      <w:r w:rsidRPr="00565D35">
        <w:rPr>
          <w:rFonts w:ascii="David" w:hAnsi="David" w:cs="David" w:hint="cs"/>
          <w:sz w:val="24"/>
          <w:szCs w:val="24"/>
          <w:rtl/>
          <w:lang w:bidi="he-IL"/>
        </w:rPr>
        <w:t xml:space="preserve">' </w:t>
      </w:r>
      <w:r w:rsidRPr="00565D35">
        <w:rPr>
          <w:rFonts w:ascii="David" w:hAnsi="David" w:cs="David"/>
          <w:sz w:val="24"/>
          <w:szCs w:val="24"/>
          <w:rtl/>
          <w:lang w:bidi="he-IL"/>
        </w:rPr>
        <w:t>כדברי כולן להחמיר.</w:t>
      </w:r>
      <w:r w:rsidRPr="00565D35">
        <w:rPr>
          <w:rFonts w:ascii="David" w:hAnsi="David" w:cs="David" w:hint="cs"/>
          <w:sz w:val="24"/>
          <w:szCs w:val="24"/>
          <w:rtl/>
          <w:lang w:bidi="he-IL"/>
        </w:rPr>
        <w:t xml:space="preserve"> </w:t>
      </w:r>
      <w:r w:rsidRPr="00565D35">
        <w:rPr>
          <w:rFonts w:ascii="David" w:hAnsi="David" w:cs="David"/>
          <w:sz w:val="24"/>
          <w:szCs w:val="24"/>
          <w:rtl/>
          <w:lang w:bidi="he-IL"/>
        </w:rPr>
        <w:t>תינוקת שהביאה שת</w:t>
      </w:r>
      <w:r w:rsidRPr="00565D35">
        <w:rPr>
          <w:rFonts w:ascii="David" w:hAnsi="David" w:cs="David" w:hint="cs"/>
          <w:sz w:val="24"/>
          <w:szCs w:val="24"/>
          <w:rtl/>
          <w:lang w:bidi="he-IL"/>
        </w:rPr>
        <w:t>[</w:t>
      </w:r>
      <w:r w:rsidRPr="00565D35">
        <w:rPr>
          <w:rFonts w:ascii="David" w:hAnsi="David" w:cs="David"/>
          <w:sz w:val="24"/>
          <w:szCs w:val="24"/>
          <w:rtl/>
          <w:lang w:bidi="he-IL"/>
        </w:rPr>
        <w:t>י</w:t>
      </w:r>
      <w:r w:rsidRPr="00565D35">
        <w:rPr>
          <w:rFonts w:ascii="David" w:hAnsi="David" w:cs="David" w:hint="cs"/>
          <w:sz w:val="24"/>
          <w:szCs w:val="24"/>
          <w:rtl/>
          <w:lang w:bidi="he-IL"/>
        </w:rPr>
        <w:t>]</w:t>
      </w:r>
    </w:p>
    <w:p w14:paraId="23A8AEBB"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שערות חייבת בכל מצו</w:t>
      </w:r>
      <w:r w:rsidRPr="00565D35">
        <w:rPr>
          <w:rFonts w:ascii="David" w:hAnsi="David" w:cs="David" w:hint="cs"/>
          <w:sz w:val="24"/>
          <w:szCs w:val="24"/>
          <w:rtl/>
          <w:lang w:bidi="he-IL"/>
        </w:rPr>
        <w:t>ו</w:t>
      </w:r>
      <w:r w:rsidRPr="00565D35">
        <w:rPr>
          <w:rFonts w:ascii="David" w:hAnsi="David" w:cs="David"/>
          <w:sz w:val="24"/>
          <w:szCs w:val="24"/>
          <w:rtl/>
          <w:lang w:bidi="he-IL"/>
        </w:rPr>
        <w:t>ת האמורות</w:t>
      </w:r>
      <w:r>
        <w:rPr>
          <w:rStyle w:val="FootnoteReference"/>
          <w:rFonts w:ascii="David" w:hAnsi="David" w:cs="David"/>
          <w:sz w:val="24"/>
          <w:szCs w:val="24"/>
          <w:rtl/>
          <w:lang w:bidi="he-IL"/>
        </w:rPr>
        <w:footnoteReference w:id="47"/>
      </w:r>
      <w:r w:rsidRPr="00565D35">
        <w:rPr>
          <w:rFonts w:ascii="David" w:hAnsi="David" w:cs="David"/>
          <w:sz w:val="24"/>
          <w:szCs w:val="24"/>
          <w:rtl/>
          <w:lang w:bidi="he-IL"/>
        </w:rPr>
        <w:t xml:space="preserve"> או חולצת או מתיבמ</w:t>
      </w:r>
      <w:r w:rsidRPr="00565D35">
        <w:rPr>
          <w:rFonts w:ascii="David" w:hAnsi="David" w:cs="David" w:hint="cs"/>
          <w:sz w:val="24"/>
          <w:szCs w:val="24"/>
          <w:rtl/>
          <w:lang w:bidi="he-IL"/>
        </w:rPr>
        <w:t>'.</w:t>
      </w:r>
      <w:r w:rsidRPr="00565D35">
        <w:rPr>
          <w:rFonts w:ascii="David" w:hAnsi="David" w:cs="David"/>
          <w:sz w:val="24"/>
          <w:szCs w:val="24"/>
          <w:rtl/>
          <w:lang w:bidi="he-IL"/>
        </w:rPr>
        <w:t xml:space="preserve"> תינוקת שהביאה שתי </w:t>
      </w:r>
      <w:r w:rsidRPr="00565D35">
        <w:rPr>
          <w:rFonts w:ascii="David" w:hAnsi="David" w:cs="David" w:hint="cs"/>
          <w:sz w:val="24"/>
          <w:szCs w:val="24"/>
          <w:rtl/>
          <w:lang w:bidi="he-IL"/>
        </w:rPr>
        <w:t>[</w:t>
      </w:r>
      <w:r w:rsidRPr="00565D35">
        <w:rPr>
          <w:rFonts w:ascii="David" w:hAnsi="David" w:cs="David"/>
          <w:sz w:val="24"/>
          <w:szCs w:val="24"/>
          <w:rtl/>
          <w:lang w:bidi="he-IL"/>
        </w:rPr>
        <w:t>שערות</w:t>
      </w:r>
      <w:r w:rsidRPr="00565D35">
        <w:rPr>
          <w:rFonts w:ascii="David" w:hAnsi="David" w:cs="David" w:hint="cs"/>
          <w:sz w:val="24"/>
          <w:szCs w:val="24"/>
          <w:rtl/>
          <w:lang w:bidi="he-IL"/>
        </w:rPr>
        <w:t>]</w:t>
      </w:r>
    </w:p>
    <w:p w14:paraId="5F0D97C3"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אינה יכולה למאן.</w:t>
      </w:r>
      <w:r w:rsidRPr="00565D35">
        <w:rPr>
          <w:rFonts w:ascii="David" w:hAnsi="David" w:cs="David" w:hint="cs"/>
          <w:sz w:val="24"/>
          <w:szCs w:val="24"/>
          <w:rtl/>
          <w:lang w:bidi="he-IL"/>
        </w:rPr>
        <w:t xml:space="preserve"> </w:t>
      </w:r>
      <w:r w:rsidRPr="00565D35">
        <w:rPr>
          <w:rFonts w:ascii="David" w:hAnsi="David" w:cs="David"/>
          <w:sz w:val="24"/>
          <w:szCs w:val="24"/>
          <w:rtl/>
          <w:lang w:bidi="he-IL"/>
        </w:rPr>
        <w:t>אמ</w:t>
      </w:r>
      <w:r w:rsidRPr="00565D35">
        <w:rPr>
          <w:rFonts w:ascii="David" w:hAnsi="David" w:cs="David" w:hint="cs"/>
          <w:sz w:val="24"/>
          <w:szCs w:val="24"/>
          <w:rtl/>
          <w:lang w:bidi="he-IL"/>
        </w:rPr>
        <w:t>'</w:t>
      </w:r>
      <w:r w:rsidRPr="00565D35">
        <w:rPr>
          <w:rFonts w:ascii="David" w:hAnsi="David" w:cs="David"/>
          <w:sz w:val="24"/>
          <w:szCs w:val="24"/>
          <w:rtl/>
          <w:lang w:bidi="he-IL"/>
        </w:rPr>
        <w:t xml:space="preserve"> ר</w:t>
      </w:r>
      <w:r w:rsidRPr="00565D35">
        <w:rPr>
          <w:rFonts w:ascii="David" w:hAnsi="David" w:cs="David" w:hint="cs"/>
          <w:sz w:val="24"/>
          <w:szCs w:val="24"/>
          <w:rtl/>
          <w:lang w:bidi="he-IL"/>
        </w:rPr>
        <w:t>'</w:t>
      </w:r>
      <w:r w:rsidRPr="00565D35">
        <w:rPr>
          <w:rFonts w:ascii="David" w:hAnsi="David" w:cs="David"/>
          <w:sz w:val="24"/>
          <w:szCs w:val="24"/>
          <w:rtl/>
          <w:lang w:bidi="he-IL"/>
        </w:rPr>
        <w:t xml:space="preserve"> חלבו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רב הונא שתי שערות שאמרו צריך שיהא בעי</w:t>
      </w:r>
      <w:r w:rsidRPr="00565D35">
        <w:rPr>
          <w:rFonts w:ascii="David" w:hAnsi="David" w:cs="David" w:hint="cs"/>
          <w:sz w:val="24"/>
          <w:szCs w:val="24"/>
          <w:rtl/>
          <w:lang w:bidi="he-IL"/>
        </w:rPr>
        <w:t>[</w:t>
      </w:r>
      <w:r w:rsidRPr="00565D35">
        <w:rPr>
          <w:rFonts w:ascii="David" w:hAnsi="David" w:cs="David"/>
          <w:sz w:val="24"/>
          <w:szCs w:val="24"/>
          <w:rtl/>
          <w:lang w:bidi="he-IL"/>
        </w:rPr>
        <w:t>קרן</w:t>
      </w:r>
      <w:r>
        <w:rPr>
          <w:rFonts w:ascii="David" w:hAnsi="David" w:cs="David" w:hint="cs"/>
          <w:sz w:val="24"/>
          <w:szCs w:val="24"/>
          <w:rtl/>
          <w:lang w:bidi="he-IL"/>
        </w:rPr>
        <w:t xml:space="preserve"> ..</w:t>
      </w:r>
      <w:r w:rsidRPr="00565D35">
        <w:rPr>
          <w:rFonts w:ascii="David" w:hAnsi="David" w:cs="David" w:hint="cs"/>
          <w:sz w:val="24"/>
          <w:szCs w:val="24"/>
          <w:rtl/>
          <w:lang w:bidi="he-IL"/>
        </w:rPr>
        <w:t>]</w:t>
      </w:r>
    </w:p>
    <w:p w14:paraId="2783FFAA"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גומות</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r w:rsidRPr="00565D35">
        <w:rPr>
          <w:rFonts w:ascii="David" w:hAnsi="David" w:cs="David" w:hint="cs"/>
          <w:sz w:val="24"/>
          <w:szCs w:val="24"/>
          <w:rtl/>
          <w:lang w:bidi="he-IL"/>
        </w:rPr>
        <w:t xml:space="preserve">אמ' </w:t>
      </w:r>
      <w:r w:rsidRPr="00565D35">
        <w:rPr>
          <w:rFonts w:ascii="David" w:hAnsi="David" w:cs="David"/>
          <w:sz w:val="24"/>
          <w:szCs w:val="24"/>
          <w:rtl/>
          <w:lang w:bidi="he-IL"/>
        </w:rPr>
        <w:t>רב מ</w:t>
      </w:r>
      <w:r w:rsidRPr="00565D35">
        <w:rPr>
          <w:rFonts w:ascii="David" w:hAnsi="David" w:cs="David" w:hint="cs"/>
          <w:sz w:val="24"/>
          <w:szCs w:val="24"/>
          <w:rtl/>
          <w:lang w:bidi="he-IL"/>
        </w:rPr>
        <w:t>י</w:t>
      </w:r>
      <w:r w:rsidRPr="00565D35">
        <w:rPr>
          <w:rFonts w:ascii="David" w:hAnsi="David" w:cs="David"/>
          <w:sz w:val="24"/>
          <w:szCs w:val="24"/>
          <w:rtl/>
          <w:lang w:bidi="he-IL"/>
        </w:rPr>
        <w:t>לכיו אמ</w:t>
      </w:r>
      <w:r w:rsidRPr="00565D35">
        <w:rPr>
          <w:rFonts w:ascii="David" w:hAnsi="David" w:cs="David" w:hint="cs"/>
          <w:sz w:val="24"/>
          <w:szCs w:val="24"/>
          <w:rtl/>
          <w:lang w:bidi="he-IL"/>
        </w:rPr>
        <w:t>'</w:t>
      </w:r>
      <w:r w:rsidRPr="00565D35">
        <w:rPr>
          <w:rFonts w:ascii="David" w:hAnsi="David" w:cs="David"/>
          <w:sz w:val="24"/>
          <w:szCs w:val="24"/>
          <w:rtl/>
          <w:lang w:bidi="he-IL"/>
        </w:rPr>
        <w:t xml:space="preserve"> רב אד</w:t>
      </w:r>
      <w:r w:rsidRPr="00565D35">
        <w:rPr>
          <w:rFonts w:ascii="David" w:hAnsi="David" w:cs="David" w:hint="cs"/>
          <w:sz w:val="24"/>
          <w:szCs w:val="24"/>
          <w:rtl/>
          <w:lang w:bidi="he-IL"/>
        </w:rPr>
        <w:t>ה</w:t>
      </w:r>
      <w:r w:rsidRPr="00565D35">
        <w:rPr>
          <w:rFonts w:ascii="David" w:hAnsi="David" w:cs="David"/>
          <w:sz w:val="24"/>
          <w:szCs w:val="24"/>
          <w:rtl/>
          <w:lang w:bidi="he-IL"/>
        </w:rPr>
        <w:t xml:space="preserve"> בר אהבה גומות א</w:t>
      </w:r>
      <w:r w:rsidRPr="00565D35">
        <w:rPr>
          <w:rFonts w:ascii="David" w:hAnsi="David" w:cs="David" w:hint="cs"/>
          <w:sz w:val="24"/>
          <w:szCs w:val="24"/>
          <w:rtl/>
          <w:lang w:bidi="he-IL"/>
        </w:rPr>
        <w:t>פ</w:t>
      </w:r>
      <w:r w:rsidRPr="00565D35">
        <w:rPr>
          <w:rFonts w:ascii="David" w:hAnsi="David" w:cs="David"/>
          <w:sz w:val="24"/>
          <w:szCs w:val="24"/>
          <w:rtl/>
          <w:lang w:bidi="he-IL"/>
        </w:rPr>
        <w:t>עלפי שאין שערות ואפ</w:t>
      </w:r>
      <w:r w:rsidRPr="00565D35">
        <w:rPr>
          <w:rFonts w:ascii="David" w:hAnsi="David" w:cs="David" w:hint="cs"/>
          <w:sz w:val="24"/>
          <w:szCs w:val="24"/>
          <w:rtl/>
          <w:lang w:bidi="he-IL"/>
        </w:rPr>
        <w:t>על[פי]</w:t>
      </w:r>
    </w:p>
    <w:p w14:paraId="0DF3DED9" w14:textId="77777777"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שתי שערות בגומא אחת</w:t>
      </w:r>
      <w:r w:rsidRPr="00565D35">
        <w:rPr>
          <w:rFonts w:ascii="David" w:hAnsi="David" w:cs="David" w:hint="cs"/>
          <w:sz w:val="24"/>
          <w:szCs w:val="24"/>
          <w:rtl/>
          <w:lang w:bidi="he-IL"/>
        </w:rPr>
        <w:t>.</w:t>
      </w:r>
      <w:r w:rsidRPr="00565D35">
        <w:rPr>
          <w:rFonts w:ascii="David" w:hAnsi="David" w:cs="David"/>
          <w:sz w:val="24"/>
          <w:szCs w:val="24"/>
          <w:rtl/>
          <w:lang w:bidi="he-IL"/>
        </w:rPr>
        <w:t xml:space="preserve"> והיכא דאיכא גומות אי איפשר לגומות בלא שערות</w:t>
      </w:r>
    </w:p>
    <w:p w14:paraId="5FB8E640" w14:textId="77777777" w:rsidR="003256B0" w:rsidRDefault="003256B0" w:rsidP="003256B0">
      <w:pPr>
        <w:spacing w:line="360" w:lineRule="auto"/>
        <w:rPr>
          <w:rFonts w:ascii="David" w:hAnsi="David" w:cs="David"/>
          <w:rtl/>
        </w:rPr>
      </w:pPr>
    </w:p>
    <w:p w14:paraId="536600A9" w14:textId="77777777" w:rsidR="003256B0" w:rsidRDefault="003256B0" w:rsidP="003256B0">
      <w:pPr>
        <w:spacing w:line="360" w:lineRule="auto"/>
        <w:rPr>
          <w:rFonts w:ascii="David" w:hAnsi="David" w:cs="David"/>
          <w:rtl/>
        </w:rPr>
      </w:pPr>
    </w:p>
    <w:p w14:paraId="0B344451" w14:textId="77777777" w:rsidR="003256B0" w:rsidRDefault="003256B0" w:rsidP="00DE007A">
      <w:pPr>
        <w:bidi w:val="0"/>
        <w:spacing w:line="360" w:lineRule="auto"/>
        <w:jc w:val="both"/>
        <w:rPr>
          <w:sz w:val="28"/>
        </w:rPr>
      </w:pPr>
    </w:p>
    <w:p w14:paraId="6F2D80A2" w14:textId="77777777" w:rsidR="003256B0" w:rsidRDefault="003256B0" w:rsidP="003256B0">
      <w:pPr>
        <w:bidi w:val="0"/>
        <w:spacing w:line="360" w:lineRule="auto"/>
        <w:jc w:val="both"/>
        <w:rPr>
          <w:sz w:val="28"/>
        </w:rPr>
      </w:pPr>
    </w:p>
    <w:p w14:paraId="3FACC34F" w14:textId="77777777" w:rsidR="003256B0" w:rsidRDefault="003256B0" w:rsidP="003256B0">
      <w:pPr>
        <w:bidi w:val="0"/>
        <w:spacing w:line="360" w:lineRule="auto"/>
        <w:jc w:val="both"/>
        <w:rPr>
          <w:sz w:val="28"/>
        </w:rPr>
      </w:pPr>
    </w:p>
    <w:p w14:paraId="61CD7C4C" w14:textId="77777777" w:rsidR="008C0662" w:rsidRPr="009D690A" w:rsidRDefault="008C0662" w:rsidP="008C0662">
      <w:pPr>
        <w:bidi w:val="0"/>
        <w:spacing w:line="360" w:lineRule="auto"/>
        <w:jc w:val="both"/>
        <w:rPr>
          <w:sz w:val="28"/>
          <w:lang w:val="de-DE"/>
        </w:rPr>
      </w:pPr>
    </w:p>
    <w:p w14:paraId="23265E35" w14:textId="77777777" w:rsidR="00DE007A" w:rsidRDefault="00C3507E" w:rsidP="00C3507E">
      <w:pPr>
        <w:bidi w:val="0"/>
        <w:spacing w:line="360" w:lineRule="auto"/>
        <w:jc w:val="both"/>
        <w:rPr>
          <w:sz w:val="28"/>
          <w:lang w:val="de-DE"/>
        </w:rPr>
      </w:pPr>
      <w:r w:rsidRPr="009D690A">
        <w:rPr>
          <w:sz w:val="28"/>
          <w:lang w:val="de-DE"/>
        </w:rPr>
        <w:t xml:space="preserve"> </w:t>
      </w:r>
    </w:p>
    <w:p w14:paraId="11F8CEA1" w14:textId="77777777" w:rsidR="00962452" w:rsidRDefault="00962452" w:rsidP="00962452">
      <w:pPr>
        <w:bidi w:val="0"/>
        <w:spacing w:line="360" w:lineRule="auto"/>
        <w:jc w:val="both"/>
        <w:rPr>
          <w:sz w:val="28"/>
          <w:lang w:val="de-DE"/>
        </w:rPr>
      </w:pPr>
    </w:p>
    <w:p w14:paraId="111BB2E2" w14:textId="77777777" w:rsidR="00962452" w:rsidRDefault="00962452" w:rsidP="00962452">
      <w:pPr>
        <w:bidi w:val="0"/>
        <w:spacing w:line="360" w:lineRule="auto"/>
        <w:jc w:val="both"/>
        <w:rPr>
          <w:sz w:val="28"/>
          <w:lang w:val="de-DE"/>
        </w:rPr>
      </w:pPr>
    </w:p>
    <w:p w14:paraId="6EAA4B03" w14:textId="77777777" w:rsidR="00962452" w:rsidRDefault="00962452" w:rsidP="00962452">
      <w:pPr>
        <w:bidi w:val="0"/>
        <w:spacing w:line="360" w:lineRule="auto"/>
        <w:jc w:val="both"/>
        <w:rPr>
          <w:sz w:val="28"/>
          <w:lang w:val="de-DE"/>
        </w:rPr>
      </w:pPr>
    </w:p>
    <w:p w14:paraId="160C93CD" w14:textId="77777777" w:rsidR="00962452" w:rsidRDefault="00962452" w:rsidP="00962452">
      <w:pPr>
        <w:bidi w:val="0"/>
        <w:spacing w:line="360" w:lineRule="auto"/>
        <w:jc w:val="both"/>
        <w:rPr>
          <w:sz w:val="28"/>
          <w:lang w:val="de-DE"/>
        </w:rPr>
      </w:pPr>
    </w:p>
    <w:p w14:paraId="7B8ECD8D" w14:textId="77777777" w:rsidR="00962452" w:rsidRDefault="00962452" w:rsidP="00962452">
      <w:pPr>
        <w:bidi w:val="0"/>
        <w:spacing w:line="360" w:lineRule="auto"/>
        <w:jc w:val="both"/>
        <w:rPr>
          <w:sz w:val="28"/>
          <w:lang w:val="de-DE"/>
        </w:rPr>
      </w:pPr>
    </w:p>
    <w:p w14:paraId="30708F43" w14:textId="77777777" w:rsidR="00962452" w:rsidRDefault="00962452" w:rsidP="00E70D40">
      <w:pPr>
        <w:bidi w:val="0"/>
        <w:spacing w:line="360" w:lineRule="auto"/>
        <w:jc w:val="center"/>
        <w:rPr>
          <w:sz w:val="28"/>
          <w:lang w:val="de-DE"/>
        </w:rPr>
      </w:pPr>
      <w:r w:rsidRPr="00962452">
        <w:rPr>
          <w:noProof/>
          <w:sz w:val="28"/>
          <w:lang w:eastAsia="en-US" w:bidi="ar-SA"/>
        </w:rPr>
        <w:lastRenderedPageBreak/>
        <w:drawing>
          <wp:inline distT="0" distB="0" distL="0" distR="0" wp14:anchorId="417423E1" wp14:editId="1F914C67">
            <wp:extent cx="5783253" cy="7917180"/>
            <wp:effectExtent l="0" t="0" r="8255" b="7620"/>
            <wp:docPr id="2" name="Immagine 2" descr="C:\Users\Mauro\Desktop\BUB-Halakhot-Gedolot\BUB-frr-ebr-nuovi  (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o\Desktop\BUB-Halakhot-Gedolot\BUB-frr-ebr-nuovi  (11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3957" cy="7918144"/>
                    </a:xfrm>
                    <a:prstGeom prst="rect">
                      <a:avLst/>
                    </a:prstGeom>
                    <a:noFill/>
                    <a:ln>
                      <a:noFill/>
                    </a:ln>
                  </pic:spPr>
                </pic:pic>
              </a:graphicData>
            </a:graphic>
          </wp:inline>
        </w:drawing>
      </w:r>
    </w:p>
    <w:p w14:paraId="6934CCB0" w14:textId="508133FB" w:rsidR="00E70D40" w:rsidRDefault="00E70D40" w:rsidP="00FA6F6A">
      <w:pPr>
        <w:spacing w:line="360" w:lineRule="auto"/>
        <w:jc w:val="center"/>
        <w:rPr>
          <w:rFonts w:ascii="David" w:hAnsi="David" w:cs="David"/>
          <w:b/>
          <w:bCs/>
          <w:rtl/>
        </w:rPr>
      </w:pPr>
      <w:r w:rsidRPr="00FA6F6A">
        <w:rPr>
          <w:lang w:val="it-IT"/>
        </w:rPr>
        <w:t xml:space="preserve">Fig. 1 – Bologna, Archivio di Stato, folio 1 containing </w:t>
      </w:r>
      <w:r w:rsidRPr="00FA6F6A">
        <w:rPr>
          <w:i/>
          <w:iCs/>
          <w:lang w:val="it-IT"/>
        </w:rPr>
        <w:t xml:space="preserve">Halakhot </w:t>
      </w:r>
      <w:r w:rsidR="00E943C7">
        <w:rPr>
          <w:i/>
          <w:iCs/>
          <w:lang w:val="it-IT"/>
        </w:rPr>
        <w:t>Ge</w:t>
      </w:r>
      <w:r w:rsidR="00E943C7" w:rsidRPr="00FA6F6A">
        <w:rPr>
          <w:i/>
          <w:iCs/>
          <w:lang w:val="it-IT"/>
        </w:rPr>
        <w:t>dolot</w:t>
      </w:r>
      <w:r w:rsidRPr="00FA6F6A">
        <w:rPr>
          <w:lang w:val="it-IT"/>
        </w:rPr>
        <w:t xml:space="preserve">, </w:t>
      </w:r>
      <w:r w:rsidRPr="00FA6F6A">
        <w:rPr>
          <w:i/>
          <w:iCs/>
          <w:lang w:val="it-IT"/>
        </w:rPr>
        <w:t>Hilkhot Me’un</w:t>
      </w:r>
      <w:r w:rsidRPr="00FA6F6A">
        <w:rPr>
          <w:lang w:val="it-IT"/>
        </w:rPr>
        <w:t>.</w:t>
      </w:r>
    </w:p>
    <w:p w14:paraId="299D637D" w14:textId="77777777" w:rsidR="00E70D40" w:rsidRPr="00FA6F6A" w:rsidRDefault="00E70D40" w:rsidP="00E70D40">
      <w:pPr>
        <w:bidi w:val="0"/>
        <w:spacing w:line="360" w:lineRule="auto"/>
        <w:jc w:val="both"/>
        <w:rPr>
          <w:sz w:val="28"/>
          <w:lang w:val="it-IT"/>
        </w:rPr>
      </w:pPr>
    </w:p>
    <w:p w14:paraId="15FE8D4D" w14:textId="77777777" w:rsidR="0084682D" w:rsidRPr="00FA6F6A" w:rsidRDefault="0084682D" w:rsidP="0084682D">
      <w:pPr>
        <w:bidi w:val="0"/>
        <w:spacing w:line="360" w:lineRule="auto"/>
        <w:jc w:val="both"/>
        <w:rPr>
          <w:sz w:val="28"/>
          <w:lang w:val="it-IT"/>
        </w:rPr>
      </w:pPr>
    </w:p>
    <w:p w14:paraId="617F831C" w14:textId="77777777" w:rsidR="0084682D" w:rsidRDefault="0084682D" w:rsidP="00E70D40">
      <w:pPr>
        <w:bidi w:val="0"/>
        <w:spacing w:line="360" w:lineRule="auto"/>
        <w:jc w:val="center"/>
        <w:rPr>
          <w:sz w:val="28"/>
          <w:lang w:val="de-DE"/>
        </w:rPr>
      </w:pPr>
      <w:r w:rsidRPr="00962452">
        <w:rPr>
          <w:noProof/>
          <w:sz w:val="28"/>
          <w:lang w:eastAsia="en-US" w:bidi="ar-SA"/>
        </w:rPr>
        <w:lastRenderedPageBreak/>
        <w:drawing>
          <wp:inline distT="0" distB="0" distL="0" distR="0" wp14:anchorId="6A4E0780" wp14:editId="4E82A745">
            <wp:extent cx="5762995" cy="7947660"/>
            <wp:effectExtent l="0" t="0" r="9525" b="0"/>
            <wp:docPr id="1" name="Immagine 1" descr="C:\Users\Mauro\Desktop\BUB-Halakhot-Gedolot\BUB-frr-ebr-nuovi  (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o\Desktop\BUB-Halakhot-Gedolot\BUB-frr-ebr-nuovi  (11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3885" cy="7948887"/>
                    </a:xfrm>
                    <a:prstGeom prst="rect">
                      <a:avLst/>
                    </a:prstGeom>
                    <a:noFill/>
                    <a:ln>
                      <a:noFill/>
                    </a:ln>
                  </pic:spPr>
                </pic:pic>
              </a:graphicData>
            </a:graphic>
          </wp:inline>
        </w:drawing>
      </w:r>
    </w:p>
    <w:p w14:paraId="73D5B597" w14:textId="07B40BD0" w:rsidR="00E70D40" w:rsidRPr="00AE3F82" w:rsidRDefault="00E70D40" w:rsidP="00E70D40">
      <w:pPr>
        <w:ind w:firstLine="567"/>
        <w:jc w:val="center"/>
        <w:rPr>
          <w:lang w:val="it-IT"/>
        </w:rPr>
      </w:pPr>
      <w:r w:rsidRPr="00AE3F82">
        <w:rPr>
          <w:lang w:val="it-IT"/>
        </w:rPr>
        <w:t xml:space="preserve">Fig. </w:t>
      </w:r>
      <w:r>
        <w:rPr>
          <w:lang w:val="it-IT"/>
        </w:rPr>
        <w:t>2</w:t>
      </w:r>
      <w:r w:rsidRPr="00AE3F82">
        <w:rPr>
          <w:lang w:val="it-IT"/>
        </w:rPr>
        <w:t xml:space="preserve"> – Bologna, Archivio di Stato, folio 1 containing </w:t>
      </w:r>
      <w:r w:rsidRPr="00AE3F82">
        <w:rPr>
          <w:i/>
          <w:iCs/>
          <w:lang w:val="it-IT"/>
        </w:rPr>
        <w:t xml:space="preserve">Halakhot </w:t>
      </w:r>
      <w:r w:rsidR="007757D6">
        <w:rPr>
          <w:i/>
          <w:iCs/>
          <w:lang w:val="it-IT"/>
        </w:rPr>
        <w:t>G</w:t>
      </w:r>
      <w:r w:rsidRPr="00AE3F82">
        <w:rPr>
          <w:i/>
          <w:iCs/>
          <w:lang w:val="it-IT"/>
        </w:rPr>
        <w:t>edolot</w:t>
      </w:r>
      <w:r w:rsidRPr="00AE3F82">
        <w:rPr>
          <w:lang w:val="it-IT"/>
        </w:rPr>
        <w:t xml:space="preserve">, </w:t>
      </w:r>
    </w:p>
    <w:p w14:paraId="68A45BB0" w14:textId="77777777" w:rsidR="00E70D40" w:rsidRPr="00FA6F6A" w:rsidRDefault="00E70D40" w:rsidP="00FA6F6A">
      <w:pPr>
        <w:ind w:firstLine="567"/>
        <w:jc w:val="center"/>
        <w:rPr>
          <w:sz w:val="28"/>
          <w:lang w:val="en-GB"/>
        </w:rPr>
      </w:pPr>
      <w:r w:rsidRPr="00404E84">
        <w:rPr>
          <w:i/>
          <w:iCs/>
        </w:rPr>
        <w:t>H</w:t>
      </w:r>
      <w:r>
        <w:rPr>
          <w:i/>
          <w:iCs/>
        </w:rPr>
        <w:t>ilkhot</w:t>
      </w:r>
      <w:r w:rsidR="00FA6F6A">
        <w:rPr>
          <w:i/>
          <w:iCs/>
        </w:rPr>
        <w:t xml:space="preserve"> </w:t>
      </w:r>
      <w:r w:rsidR="00FA6F6A" w:rsidRPr="00FA6F6A">
        <w:rPr>
          <w:i/>
          <w:iCs/>
        </w:rPr>
        <w:t>Yibum we-Halitza</w:t>
      </w:r>
      <w:r w:rsidRPr="00404E84">
        <w:t>.</w:t>
      </w:r>
    </w:p>
    <w:p w14:paraId="045E5645" w14:textId="77777777" w:rsidR="00962452" w:rsidRPr="00FA6F6A" w:rsidRDefault="00962452" w:rsidP="00962452">
      <w:pPr>
        <w:bidi w:val="0"/>
        <w:spacing w:line="360" w:lineRule="auto"/>
        <w:jc w:val="both"/>
        <w:rPr>
          <w:sz w:val="28"/>
          <w:lang w:val="en-GB"/>
        </w:rPr>
      </w:pPr>
    </w:p>
    <w:sectPr w:rsidR="00962452" w:rsidRPr="00FA6F6A" w:rsidSect="00BC25B7">
      <w:headerReference w:type="default" r:id="rId13"/>
      <w:footerReference w:type="default" r:id="rId14"/>
      <w:pgSz w:w="11906" w:h="16838" w:code="9"/>
      <w:pgMar w:top="1440" w:right="1133" w:bottom="1440" w:left="1134" w:header="709" w:footer="709" w:gutter="0"/>
      <w:pgNumType w:fmt="numberInDash" w:start="1"/>
      <w:cols w:space="708"/>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Author" w:initials="A">
    <w:p w14:paraId="7AB7BBA7" w14:textId="2AD2C528" w:rsidR="007F628C" w:rsidRDefault="007F628C">
      <w:pPr>
        <w:pStyle w:val="CommentText"/>
        <w:rPr>
          <w:rtl/>
        </w:rPr>
      </w:pPr>
      <w:r>
        <w:rPr>
          <w:rStyle w:val="CommentReference"/>
        </w:rPr>
        <w:annotationRef/>
      </w:r>
      <w:r>
        <w:rPr>
          <w:rFonts w:hint="cs"/>
          <w:rtl/>
        </w:rPr>
        <w:t>הטיעון לא מובן לי.</w:t>
      </w:r>
      <w:r>
        <w:t xml:space="preserve"> </w:t>
      </w:r>
      <w:r>
        <w:rPr>
          <w:rFonts w:hint="cs"/>
          <w:rtl/>
        </w:rPr>
        <w:t xml:space="preserve"> למה זה בלתי אפשרי שיהיו 5 </w:t>
      </w:r>
      <w:r>
        <w:t>bifolios</w:t>
      </w:r>
      <w:r>
        <w:rPr>
          <w:rFonts w:hint="cs"/>
          <w:rtl/>
        </w:rPr>
        <w:t xml:space="preserve"> בין שני העמודים שנשתמרו כך ששני העמודים הנם צדדים שונים של אותו </w:t>
      </w:r>
      <w:r>
        <w:t>bifolio</w:t>
      </w:r>
      <w:r>
        <w:rPr>
          <w:rFonts w:hint="cs"/>
          <w:rtl/>
        </w:rPr>
        <w:t xml:space="preserve"> הכורך את 5 ה</w:t>
      </w:r>
      <w:r>
        <w:t>biofolio</w:t>
      </w:r>
      <w:r>
        <w:rPr>
          <w:rFonts w:hint="cs"/>
          <w:rtl/>
        </w:rPr>
        <w:t xml:space="preserve"> שביניהם?  אם תסביר בעברית אשמח לתרגם</w:t>
      </w:r>
    </w:p>
  </w:comment>
  <w:comment w:id="42" w:author="Author" w:initials="A">
    <w:p w14:paraId="5E5B386F" w14:textId="12472561" w:rsidR="00313C96" w:rsidRDefault="00313C96" w:rsidP="00313C96">
      <w:pPr>
        <w:pStyle w:val="CommentText"/>
        <w:rPr>
          <w:rtl/>
        </w:rPr>
      </w:pPr>
      <w:r>
        <w:rPr>
          <w:rStyle w:val="CommentReference"/>
        </w:rPr>
        <w:annotationRef/>
      </w:r>
      <w:r>
        <w:rPr>
          <w:rFonts w:hint="cs"/>
          <w:rtl/>
        </w:rPr>
        <w:t xml:space="preserve">10 עמודים הם 5 דפים שאינם מרכיבים מספר שלם של גליונות (ביפוליו), כיון שכל גיליון (ביפוליו) </w:t>
      </w:r>
      <w:r w:rsidR="005449B4">
        <w:rPr>
          <w:rFonts w:hint="cs"/>
          <w:rtl/>
        </w:rPr>
        <w:t xml:space="preserve">כולל </w:t>
      </w:r>
      <w:r>
        <w:rPr>
          <w:rFonts w:hint="cs"/>
          <w:rtl/>
        </w:rPr>
        <w:t>שני דפים.</w:t>
      </w:r>
    </w:p>
    <w:p w14:paraId="4E71B9B4" w14:textId="77777777" w:rsidR="005449B4" w:rsidRDefault="005449B4" w:rsidP="00313C96">
      <w:pPr>
        <w:pStyle w:val="CommentText"/>
      </w:pPr>
    </w:p>
  </w:comment>
  <w:comment w:id="43" w:author="Author" w:initials="A">
    <w:p w14:paraId="544D9C11" w14:textId="13997262" w:rsidR="00CB2638" w:rsidRDefault="00CB2638" w:rsidP="00CB2638">
      <w:pPr>
        <w:pStyle w:val="CommentText"/>
        <w:rPr>
          <w:rtl/>
        </w:rPr>
      </w:pPr>
      <w:r>
        <w:rPr>
          <w:rStyle w:val="CommentReference"/>
        </w:rPr>
        <w:annotationRef/>
      </w:r>
      <w:r w:rsidR="00EE1618">
        <w:rPr>
          <w:rFonts w:hint="cs"/>
          <w:rtl/>
        </w:rPr>
        <w:t xml:space="preserve">תודה. </w:t>
      </w:r>
      <w:r>
        <w:rPr>
          <w:rFonts w:hint="cs"/>
          <w:rtl/>
        </w:rPr>
        <w:t>הוספתי קצת לביאור. אני מקווה שזה בסדר.</w:t>
      </w:r>
    </w:p>
    <w:p w14:paraId="79016F61" w14:textId="40692007" w:rsidR="00CB2638" w:rsidRDefault="00CB263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B7BBA7" w15:done="0"/>
  <w15:commentEx w15:paraId="4E71B9B4" w15:paraIdParent="7AB7BBA7" w15:done="0"/>
  <w15:commentEx w15:paraId="79016F61" w15:paraIdParent="4E71B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71B9B4" w16cid:durableId="24215217"/>
  <w16cid:commentId w16cid:paraId="79016F61" w16cid:durableId="2426E3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E6219" w14:textId="77777777" w:rsidR="00A43513" w:rsidRDefault="00A43513" w:rsidP="00932831">
      <w:r>
        <w:separator/>
      </w:r>
    </w:p>
  </w:endnote>
  <w:endnote w:type="continuationSeparator" w:id="0">
    <w:p w14:paraId="6D96C469" w14:textId="77777777" w:rsidR="00A43513" w:rsidRDefault="00A43513" w:rsidP="00932831">
      <w:r>
        <w:continuationSeparator/>
      </w:r>
    </w:p>
  </w:endnote>
  <w:endnote w:type="continuationNotice" w:id="1">
    <w:p w14:paraId="4AD4A2B4" w14:textId="77777777" w:rsidR="00A43513" w:rsidRDefault="00A435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41B5" w14:textId="77777777" w:rsidR="007F1F8C" w:rsidRDefault="007F1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56173" w14:textId="77777777" w:rsidR="00A43513" w:rsidRDefault="00A43513" w:rsidP="00932831">
      <w:r>
        <w:separator/>
      </w:r>
    </w:p>
  </w:footnote>
  <w:footnote w:type="continuationSeparator" w:id="0">
    <w:p w14:paraId="346F4A1B" w14:textId="77777777" w:rsidR="00A43513" w:rsidRDefault="00A43513" w:rsidP="00932831">
      <w:r>
        <w:continuationSeparator/>
      </w:r>
    </w:p>
  </w:footnote>
  <w:footnote w:type="continuationNotice" w:id="1">
    <w:p w14:paraId="7C69C710" w14:textId="77777777" w:rsidR="00A43513" w:rsidRDefault="00A43513"/>
  </w:footnote>
  <w:footnote w:id="2">
    <w:p w14:paraId="69218317" w14:textId="2135E60F" w:rsidR="007F628C" w:rsidRDefault="007F628C" w:rsidP="00BC1ABD">
      <w:pPr>
        <w:pStyle w:val="FootnoteText"/>
        <w:bidi w:val="0"/>
      </w:pPr>
      <w:r>
        <w:rPr>
          <w:rStyle w:val="FootnoteReference"/>
        </w:rPr>
        <w:footnoteRef/>
      </w:r>
      <w:r>
        <w:rPr>
          <w:rtl/>
        </w:rPr>
        <w:t xml:space="preserve"> </w:t>
      </w:r>
      <w:r>
        <w:t xml:space="preserve">For general information on </w:t>
      </w:r>
      <w:r w:rsidRPr="007C7C60">
        <w:rPr>
          <w:i/>
          <w:iCs/>
        </w:rPr>
        <w:t>HG</w:t>
      </w:r>
      <w:r>
        <w:t xml:space="preserve"> see R. Brody, </w:t>
      </w:r>
      <w:r w:rsidRPr="00872CCD">
        <w:rPr>
          <w:i/>
          <w:iCs/>
        </w:rPr>
        <w:t xml:space="preserve">The Geonim of </w:t>
      </w:r>
      <w:r w:rsidR="004F2037" w:rsidRPr="00872CCD">
        <w:rPr>
          <w:i/>
          <w:iCs/>
        </w:rPr>
        <w:t>Babylonia</w:t>
      </w:r>
      <w:r w:rsidRPr="00872CCD">
        <w:rPr>
          <w:i/>
          <w:iCs/>
        </w:rPr>
        <w:t xml:space="preserve"> and the Shaping of Medieval Jewish Culture</w:t>
      </w:r>
      <w:r>
        <w:t>, New Haven and London 1998, pp. 223-230;</w:t>
      </w:r>
      <w:r w:rsidR="004F2037">
        <w:t xml:space="preserve"> </w:t>
      </w:r>
      <w:r>
        <w:t xml:space="preserve">Id., </w:t>
      </w:r>
      <w:r w:rsidRPr="00872CCD">
        <w:rPr>
          <w:i/>
          <w:iCs/>
        </w:rPr>
        <w:t>Zion Between the Tigris and the Euphrates: The World of the Babylonian Geonim</w:t>
      </w:r>
      <w:r>
        <w:t>, Jerusalem 2015, pp. 379-386 (Hebrew).</w:t>
      </w:r>
    </w:p>
  </w:footnote>
  <w:footnote w:id="3">
    <w:p w14:paraId="45AF0549" w14:textId="77777777" w:rsidR="007F628C" w:rsidRPr="009D690A" w:rsidRDefault="007F628C" w:rsidP="007C7C60">
      <w:pPr>
        <w:pStyle w:val="FootnoteText"/>
        <w:bidi w:val="0"/>
        <w:rPr>
          <w:lang w:val="de-DE"/>
        </w:rPr>
      </w:pPr>
      <w:r>
        <w:rPr>
          <w:rStyle w:val="FootnoteReference"/>
        </w:rPr>
        <w:footnoteRef/>
      </w:r>
      <w:r w:rsidRPr="009D690A">
        <w:rPr>
          <w:lang w:val="de-DE"/>
        </w:rPr>
        <w:t xml:space="preserve"> J. Hildesheimer, </w:t>
      </w:r>
      <w:r w:rsidRPr="007F1F8C">
        <w:rPr>
          <w:i/>
          <w:iCs/>
          <w:lang w:val="de-DE"/>
        </w:rPr>
        <w:t>Halachot Gedolot</w:t>
      </w:r>
      <w:r w:rsidRPr="009D690A">
        <w:rPr>
          <w:lang w:val="de-DE"/>
        </w:rPr>
        <w:t>, Berlin 1888-1892.</w:t>
      </w:r>
      <w:r>
        <w:rPr>
          <w:rtl/>
        </w:rPr>
        <w:t xml:space="preserve"> </w:t>
      </w:r>
    </w:p>
  </w:footnote>
  <w:footnote w:id="4">
    <w:p w14:paraId="666AABFE" w14:textId="20F18707" w:rsidR="007F628C" w:rsidRPr="007F1F8C" w:rsidRDefault="007F628C" w:rsidP="00370D16">
      <w:pPr>
        <w:pStyle w:val="FootnoteText"/>
        <w:bidi w:val="0"/>
        <w:rPr>
          <w:lang w:val="en-AU"/>
        </w:rPr>
      </w:pPr>
      <w:r>
        <w:rPr>
          <w:rStyle w:val="FootnoteReference"/>
        </w:rPr>
        <w:footnoteRef/>
      </w:r>
      <w:r>
        <w:rPr>
          <w:rtl/>
        </w:rPr>
        <w:t xml:space="preserve"> </w:t>
      </w:r>
      <w:r w:rsidRPr="007F1F8C">
        <w:rPr>
          <w:lang w:val="en-AU"/>
        </w:rPr>
        <w:t xml:space="preserve">A. Epstein, </w:t>
      </w:r>
      <w:r w:rsidRPr="007F1F8C">
        <w:rPr>
          <w:i/>
          <w:iCs/>
          <w:lang w:val="en-AU"/>
        </w:rPr>
        <w:t>Mi-Qadmoniyyot ha-Yehudim: Mehqarim u-Reshimot</w:t>
      </w:r>
      <w:r w:rsidRPr="007F1F8C">
        <w:rPr>
          <w:lang w:val="en-AU"/>
        </w:rPr>
        <w:t xml:space="preserve">, edited by A. M. Habermann = </w:t>
      </w:r>
      <w:r w:rsidRPr="007F1F8C">
        <w:rPr>
          <w:i/>
          <w:iCs/>
          <w:lang w:val="en-AU"/>
        </w:rPr>
        <w:t>The Literary Works of Abraham Epstein</w:t>
      </w:r>
      <w:r w:rsidRPr="007F1F8C">
        <w:rPr>
          <w:lang w:val="en-AU"/>
        </w:rPr>
        <w:t>, vol. 2, Jerusalem 1957, pp. 378-409.</w:t>
      </w:r>
    </w:p>
  </w:footnote>
  <w:footnote w:id="5">
    <w:p w14:paraId="25550D63" w14:textId="62D3D366" w:rsidR="007F628C" w:rsidRDefault="007F628C" w:rsidP="00194BBC">
      <w:pPr>
        <w:pStyle w:val="FootnoteText"/>
        <w:bidi w:val="0"/>
      </w:pPr>
      <w:r>
        <w:rPr>
          <w:rStyle w:val="FootnoteReference"/>
        </w:rPr>
        <w:footnoteRef/>
      </w:r>
      <w:r>
        <w:rPr>
          <w:rtl/>
        </w:rPr>
        <w:t xml:space="preserve"> </w:t>
      </w:r>
      <w:r>
        <w:t xml:space="preserve"> See in particular N. Danzig, “</w:t>
      </w:r>
      <w:r w:rsidRPr="007F1F8C">
        <w:rPr>
          <w:i/>
          <w:iCs/>
        </w:rPr>
        <w:t>Teshuvot haGeonim beQeta min haGenizah veYahasan le</w:t>
      </w:r>
      <w:r w:rsidRPr="00A0414E">
        <w:rPr>
          <w:i/>
          <w:iCs/>
        </w:rPr>
        <w:t>Halakhot Gedolot</w:t>
      </w:r>
      <w:r>
        <w:t xml:space="preserve">,” </w:t>
      </w:r>
      <w:r w:rsidRPr="00B2146B">
        <w:rPr>
          <w:i/>
          <w:iCs/>
        </w:rPr>
        <w:t>Proceedings of the American Academy for Jewish Research</w:t>
      </w:r>
      <w:r w:rsidRPr="00B2146B">
        <w:t>, vol. 54, 1987, pp. 13–57</w:t>
      </w:r>
      <w:r>
        <w:t>;</w:t>
      </w:r>
      <w:r w:rsidR="004062B8">
        <w:t xml:space="preserve"> </w:t>
      </w:r>
      <w:r>
        <w:t>id</w:t>
      </w:r>
      <w:r w:rsidR="004062B8">
        <w:t xml:space="preserve">em, </w:t>
      </w:r>
      <w:r w:rsidRPr="002F753E">
        <w:rPr>
          <w:i/>
          <w:iCs/>
        </w:rPr>
        <w:t>Introduction to Halakhot Pesuqot</w:t>
      </w:r>
      <w:r>
        <w:t xml:space="preserve"> (Hebrew), 2</w:t>
      </w:r>
      <w:r w:rsidRPr="002F753E">
        <w:rPr>
          <w:vertAlign w:val="superscript"/>
        </w:rPr>
        <w:t>nd</w:t>
      </w:r>
      <w:r>
        <w:t xml:space="preserve"> ed., New York and Jerusalem 1999, pp. 186-191. </w:t>
      </w:r>
    </w:p>
  </w:footnote>
  <w:footnote w:id="6">
    <w:p w14:paraId="4AEF47D6" w14:textId="0DFA94C8" w:rsidR="007F628C" w:rsidRDefault="007F628C" w:rsidP="00830C92">
      <w:pPr>
        <w:pStyle w:val="FootnoteText"/>
        <w:bidi w:val="0"/>
      </w:pPr>
      <w:r>
        <w:rPr>
          <w:rStyle w:val="FootnoteReference"/>
        </w:rPr>
        <w:footnoteRef/>
      </w:r>
      <w:r>
        <w:rPr>
          <w:rtl/>
        </w:rPr>
        <w:t xml:space="preserve"> </w:t>
      </w:r>
      <w:r>
        <w:t xml:space="preserve"> The sigla in the manuscripts match the sigla used in Hildesheimer </w:t>
      </w:r>
      <w:r w:rsidRPr="00830C92">
        <w:t>variorum</w:t>
      </w:r>
      <w:r>
        <w:t xml:space="preserve"> edition.</w:t>
      </w:r>
    </w:p>
  </w:footnote>
  <w:footnote w:id="7">
    <w:p w14:paraId="58A3B169" w14:textId="612A858F" w:rsidR="007F628C" w:rsidRDefault="007F628C" w:rsidP="00830C92">
      <w:pPr>
        <w:pStyle w:val="FootnoteText"/>
        <w:bidi w:val="0"/>
      </w:pPr>
      <w:r>
        <w:rPr>
          <w:rStyle w:val="FootnoteReference"/>
        </w:rPr>
        <w:footnoteRef/>
      </w:r>
      <w:r>
        <w:rPr>
          <w:rtl/>
        </w:rPr>
        <w:t xml:space="preserve"> </w:t>
      </w:r>
      <w:r>
        <w:t xml:space="preserve"> R. Shweka, </w:t>
      </w:r>
      <w:r w:rsidRPr="007F1F8C">
        <w:t xml:space="preserve">Studies in </w:t>
      </w:r>
      <w:r w:rsidRPr="00A0414E">
        <w:rPr>
          <w:i/>
          <w:iCs/>
        </w:rPr>
        <w:t>Halakhot Gedolot</w:t>
      </w:r>
      <w:r w:rsidRPr="007F1F8C">
        <w:t>: Text and Recension</w:t>
      </w:r>
      <w:r w:rsidRPr="002672DD">
        <w:t xml:space="preserve"> (Hebrew),</w:t>
      </w:r>
      <w:r>
        <w:t xml:space="preserve"> Doctoral Dissertation, The Hebrew University, 2009. </w:t>
      </w:r>
    </w:p>
  </w:footnote>
  <w:footnote w:id="8">
    <w:p w14:paraId="1AD9ECBA" w14:textId="3752B509" w:rsidR="007F628C" w:rsidRDefault="007F628C" w:rsidP="007F0444">
      <w:pPr>
        <w:pStyle w:val="FootnoteText"/>
        <w:bidi w:val="0"/>
      </w:pPr>
      <w:r>
        <w:rPr>
          <w:rStyle w:val="FootnoteReference"/>
        </w:rPr>
        <w:footnoteRef/>
      </w:r>
      <w:r>
        <w:rPr>
          <w:rtl/>
        </w:rPr>
        <w:t xml:space="preserve"> </w:t>
      </w:r>
      <w:r>
        <w:t xml:space="preserve"> B. Richler (ed., </w:t>
      </w:r>
      <w:r w:rsidR="002B6CC3" w:rsidRPr="000C5635">
        <w:t>Paleographical</w:t>
      </w:r>
      <w:r w:rsidRPr="000C5635">
        <w:t xml:space="preserve"> and Codicological Descriptions </w:t>
      </w:r>
      <w:r>
        <w:t xml:space="preserve">by M. Beit-Arie </w:t>
      </w:r>
      <w:r w:rsidRPr="007F0444">
        <w:t>in collaboration with</w:t>
      </w:r>
      <w:r w:rsidRPr="008C0662">
        <w:t xml:space="preserve"> N. Pasternak</w:t>
      </w:r>
      <w:r>
        <w:t>)</w:t>
      </w:r>
      <w:r w:rsidRPr="008C0662">
        <w:t xml:space="preserve">, </w:t>
      </w:r>
      <w:r w:rsidRPr="008C0662">
        <w:rPr>
          <w:i/>
          <w:iCs/>
        </w:rPr>
        <w:t>Hebrew manuscripts in the Vatican Library</w:t>
      </w:r>
      <w:r w:rsidRPr="008C0662">
        <w:t>, Città del Vaticano 2008</w:t>
      </w:r>
      <w:r>
        <w:t>, p. 99-100.</w:t>
      </w:r>
    </w:p>
  </w:footnote>
  <w:footnote w:id="9">
    <w:p w14:paraId="355B5E68" w14:textId="77777777" w:rsidR="007F628C" w:rsidRDefault="007F628C" w:rsidP="00932831">
      <w:pPr>
        <w:pStyle w:val="FootnoteText"/>
        <w:bidi w:val="0"/>
      </w:pPr>
      <w:r>
        <w:rPr>
          <w:rStyle w:val="FootnoteReference"/>
        </w:rPr>
        <w:footnoteRef/>
      </w:r>
      <w:r>
        <w:rPr>
          <w:rtl/>
        </w:rPr>
        <w:t xml:space="preserve"> </w:t>
      </w:r>
      <w:r>
        <w:t>Another note in Latin records the purchase of the manuscript on 12 November 1542 for four and a half ducats (f. 1r).</w:t>
      </w:r>
    </w:p>
  </w:footnote>
  <w:footnote w:id="10">
    <w:p w14:paraId="0D419686" w14:textId="7AF7FE4C" w:rsidR="007F628C" w:rsidRDefault="007F628C" w:rsidP="00B40D9C">
      <w:pPr>
        <w:pStyle w:val="FootnoteText"/>
        <w:bidi w:val="0"/>
      </w:pPr>
      <w:r>
        <w:rPr>
          <w:rStyle w:val="FootnoteReference"/>
        </w:rPr>
        <w:footnoteRef/>
      </w:r>
      <w:r>
        <w:rPr>
          <w:rtl/>
        </w:rPr>
        <w:t xml:space="preserve"> </w:t>
      </w:r>
      <w:r>
        <w:t xml:space="preserve"> Shweka, </w:t>
      </w:r>
      <w:r w:rsidRPr="00656607">
        <w:rPr>
          <w:i/>
          <w:iCs/>
        </w:rPr>
        <w:t>Halakhot Gedolot</w:t>
      </w:r>
      <w:r>
        <w:t>, pp. 35-36 (manuscripts G4 and G5 there).</w:t>
      </w:r>
    </w:p>
  </w:footnote>
  <w:footnote w:id="11">
    <w:p w14:paraId="283844E2" w14:textId="34082424" w:rsidR="007F628C" w:rsidRDefault="007F628C" w:rsidP="000C5635">
      <w:pPr>
        <w:pStyle w:val="FootnoteText"/>
        <w:bidi w:val="0"/>
      </w:pPr>
      <w:r>
        <w:rPr>
          <w:rStyle w:val="FootnoteReference"/>
        </w:rPr>
        <w:footnoteRef/>
      </w:r>
      <w:r>
        <w:rPr>
          <w:rtl/>
        </w:rPr>
        <w:t xml:space="preserve"> </w:t>
      </w:r>
      <w:r>
        <w:t xml:space="preserve">An unpublished paper given at Oxford, February 2011. See for now R. Shweka, “Genizah Fragments of Geonic Halakhic Codes,” </w:t>
      </w:r>
      <w:r w:rsidRPr="008C0662">
        <w:rPr>
          <w:i/>
          <w:iCs/>
        </w:rPr>
        <w:t>Report of the Oxford Centre for Hebrew and Jewish Studies</w:t>
      </w:r>
      <w:r>
        <w:t>, 2010-2011, pp. 95-96</w:t>
      </w:r>
      <w:r w:rsidR="00D94321">
        <w:t xml:space="preserve">. </w:t>
      </w:r>
    </w:p>
  </w:footnote>
  <w:footnote w:id="12">
    <w:p w14:paraId="11B76068" w14:textId="5B791B85" w:rsidR="007F628C" w:rsidRDefault="007F628C" w:rsidP="0057306A">
      <w:pPr>
        <w:pStyle w:val="FootnoteText"/>
        <w:bidi w:val="0"/>
      </w:pPr>
      <w:r>
        <w:rPr>
          <w:rStyle w:val="FootnoteReference"/>
        </w:rPr>
        <w:footnoteRef/>
      </w:r>
      <w:r>
        <w:rPr>
          <w:rtl/>
        </w:rPr>
        <w:t xml:space="preserve"> </w:t>
      </w:r>
      <w:r>
        <w:t xml:space="preserve"> M. </w:t>
      </w:r>
      <w:r w:rsidRPr="0057306A">
        <w:t>Ben Sasson</w:t>
      </w:r>
      <w:r>
        <w:t>,</w:t>
      </w:r>
      <w:r w:rsidRPr="0057306A">
        <w:t> </w:t>
      </w:r>
      <w:r>
        <w:t>“</w:t>
      </w:r>
      <w:r w:rsidRPr="0057306A">
        <w:t>Italy and Ifriqia from the Ninth to the Eleventh Century</w:t>
      </w:r>
      <w:r>
        <w:t>,”</w:t>
      </w:r>
      <w:r w:rsidRPr="0057306A">
        <w:t xml:space="preserve"> </w:t>
      </w:r>
      <w:r>
        <w:t>in</w:t>
      </w:r>
      <w:r w:rsidRPr="0057306A">
        <w:t> </w:t>
      </w:r>
      <w:r>
        <w:t>J. L. Miege (ed.)</w:t>
      </w:r>
      <w:r w:rsidRPr="0057306A">
        <w:t>,</w:t>
      </w:r>
      <w:r w:rsidR="00BA25E0">
        <w:t xml:space="preserve"> </w:t>
      </w:r>
      <w:r w:rsidRPr="0057306A">
        <w:rPr>
          <w:i/>
          <w:iCs/>
        </w:rPr>
        <w:t>Les relations intercommunautaires juives en méditerranée occidentale. XIII</w:t>
      </w:r>
      <w:r w:rsidRPr="0057306A">
        <w:rPr>
          <w:i/>
          <w:iCs/>
          <w:vertAlign w:val="superscript"/>
        </w:rPr>
        <w:t>e</w:t>
      </w:r>
      <w:r w:rsidRPr="0057306A">
        <w:rPr>
          <w:i/>
          <w:iCs/>
        </w:rPr>
        <w:t>-XX</w:t>
      </w:r>
      <w:r w:rsidRPr="0057306A">
        <w:rPr>
          <w:i/>
          <w:iCs/>
          <w:vertAlign w:val="superscript"/>
        </w:rPr>
        <w:t>e</w:t>
      </w:r>
      <w:r w:rsidRPr="0057306A">
        <w:rPr>
          <w:i/>
          <w:iCs/>
        </w:rPr>
        <w:t> siècles. </w:t>
      </w:r>
      <w:r w:rsidRPr="0057306A">
        <w:t>Paris 1984, p</w:t>
      </w:r>
      <w:r>
        <w:t>p</w:t>
      </w:r>
      <w:r w:rsidRPr="0057306A">
        <w:t>. 34-50.</w:t>
      </w:r>
    </w:p>
  </w:footnote>
  <w:footnote w:id="13">
    <w:p w14:paraId="42FA2224" w14:textId="373462BA" w:rsidR="007F628C" w:rsidRDefault="007F628C" w:rsidP="00F0064D">
      <w:pPr>
        <w:pStyle w:val="FootnoteText"/>
        <w:bidi w:val="0"/>
      </w:pPr>
      <w:r>
        <w:rPr>
          <w:rStyle w:val="FootnoteReference"/>
        </w:rPr>
        <w:footnoteRef/>
      </w:r>
      <w:r>
        <w:rPr>
          <w:rtl/>
        </w:rPr>
        <w:t xml:space="preserve"> </w:t>
      </w:r>
      <w:r>
        <w:t xml:space="preserve"> G.</w:t>
      </w:r>
      <w:r w:rsidRPr="001438D5">
        <w:t xml:space="preserve"> D. Cohen, “The Story of the Four Captives</w:t>
      </w:r>
      <w:r>
        <w:t>,”</w:t>
      </w:r>
      <w:r w:rsidRPr="001438D5">
        <w:t xml:space="preserve"> </w:t>
      </w:r>
      <w:r w:rsidRPr="00F0064D">
        <w:rPr>
          <w:i/>
          <w:iCs/>
        </w:rPr>
        <w:t>Proceedings of the American Academy for Jewish Research</w:t>
      </w:r>
      <w:r w:rsidRPr="001438D5">
        <w:t>, vol. 29 (1960)</w:t>
      </w:r>
      <w:r>
        <w:t>, pp.</w:t>
      </w:r>
      <w:r w:rsidRPr="001438D5">
        <w:t xml:space="preserve"> 55-131</w:t>
      </w:r>
      <w:r>
        <w:t xml:space="preserve">. On R. </w:t>
      </w:r>
      <w:r w:rsidRPr="00F0064D">
        <w:t xml:space="preserve">Hushiel and his son </w:t>
      </w:r>
      <w:r>
        <w:t xml:space="preserve">in </w:t>
      </w:r>
      <w:r w:rsidRPr="00F0064D">
        <w:t>Qayrawan</w:t>
      </w:r>
      <w:r>
        <w:t xml:space="preserve"> see M. Ben Sasson, </w:t>
      </w:r>
      <w:r w:rsidRPr="00F0064D">
        <w:rPr>
          <w:i/>
          <w:iCs/>
        </w:rPr>
        <w:t>The Emergence of the Local Jewish Community in the Muslim World: Qayrawan, 800-1057</w:t>
      </w:r>
      <w:r>
        <w:t>, Jerusalem 1996, pp. 221-229.</w:t>
      </w:r>
    </w:p>
  </w:footnote>
  <w:footnote w:id="14">
    <w:p w14:paraId="10FC86F0" w14:textId="23327ED9" w:rsidR="007F628C" w:rsidRDefault="007F628C" w:rsidP="00D76000">
      <w:pPr>
        <w:pStyle w:val="FootnoteText"/>
        <w:bidi w:val="0"/>
      </w:pPr>
      <w:r>
        <w:rPr>
          <w:rStyle w:val="FootnoteReference"/>
        </w:rPr>
        <w:footnoteRef/>
      </w:r>
      <w:r w:rsidRPr="000E507A">
        <w:rPr>
          <w:rtl/>
        </w:rPr>
        <w:t xml:space="preserve"> </w:t>
      </w:r>
      <w:r w:rsidRPr="000E507A">
        <w:t>For full codicological description see M. Perani</w:t>
      </w:r>
      <w:r w:rsidRPr="00D76000">
        <w:t xml:space="preserve">, “Juridical Books bound in 16th c. Bologna with folios from a 12th c. manuscript of </w:t>
      </w:r>
      <w:r w:rsidRPr="00656607">
        <w:rPr>
          <w:i/>
          <w:iCs/>
        </w:rPr>
        <w:t>Halakhot Gedolot</w:t>
      </w:r>
      <w:r w:rsidRPr="00D76000">
        <w:t>, and donated, in the 19th c., to the Leipzig University Library</w:t>
      </w:r>
      <w:r>
        <w:t>,”</w:t>
      </w:r>
      <w:r w:rsidRPr="00D76000">
        <w:t xml:space="preserve"> in this volume </w:t>
      </w:r>
      <w:r w:rsidRPr="00D76000">
        <w:rPr>
          <w:highlight w:val="green"/>
        </w:rPr>
        <w:t>pp. 00-00</w:t>
      </w:r>
      <w:r w:rsidRPr="00D76000">
        <w:t>.</w:t>
      </w:r>
    </w:p>
  </w:footnote>
  <w:footnote w:id="15">
    <w:p w14:paraId="42D16015" w14:textId="77777777" w:rsidR="007F628C" w:rsidRDefault="007F628C" w:rsidP="00337D0E">
      <w:pPr>
        <w:pStyle w:val="FootnoteText"/>
        <w:bidi w:val="0"/>
      </w:pPr>
      <w:r>
        <w:rPr>
          <w:rStyle w:val="FootnoteReference"/>
        </w:rPr>
        <w:footnoteRef/>
      </w:r>
      <w:r>
        <w:rPr>
          <w:rtl/>
        </w:rPr>
        <w:t xml:space="preserve"> </w:t>
      </w:r>
      <w:r>
        <w:t>p</w:t>
      </w:r>
      <w:r w:rsidRPr="00337D0E">
        <w:t>. 1 l. 21</w:t>
      </w:r>
      <w:r>
        <w:t>, l. 28</w:t>
      </w:r>
    </w:p>
  </w:footnote>
  <w:footnote w:id="16">
    <w:p w14:paraId="755FD6A0" w14:textId="77777777" w:rsidR="007F628C" w:rsidRDefault="007F628C" w:rsidP="00B35DE4">
      <w:pPr>
        <w:pStyle w:val="FootnoteText"/>
        <w:bidi w:val="0"/>
      </w:pPr>
      <w:r>
        <w:rPr>
          <w:rStyle w:val="FootnoteReference"/>
        </w:rPr>
        <w:footnoteRef/>
      </w:r>
      <w:r>
        <w:rPr>
          <w:rtl/>
        </w:rPr>
        <w:t xml:space="preserve"> </w:t>
      </w:r>
      <w:r>
        <w:t>p. 2 l. 29.</w:t>
      </w:r>
    </w:p>
  </w:footnote>
  <w:footnote w:id="17">
    <w:p w14:paraId="78B99F86" w14:textId="633920EC" w:rsidR="007F628C" w:rsidRPr="00065950" w:rsidRDefault="007F628C" w:rsidP="0015233B">
      <w:pPr>
        <w:pStyle w:val="FootnoteText"/>
        <w:bidi w:val="0"/>
      </w:pPr>
      <w:r>
        <w:rPr>
          <w:rStyle w:val="FootnoteReference"/>
        </w:rPr>
        <w:footnoteRef/>
      </w:r>
      <w:r>
        <w:rPr>
          <w:rtl/>
        </w:rPr>
        <w:t xml:space="preserve"> </w:t>
      </w:r>
      <w:r>
        <w:t>The meaning of ‘</w:t>
      </w:r>
      <w:r>
        <w:rPr>
          <w:rFonts w:hint="cs"/>
          <w:rtl/>
        </w:rPr>
        <w:t>קטן פרח</w:t>
      </w:r>
      <w:r>
        <w:t xml:space="preserve">’ is probably related to the meaning of ‘a young boy who is not a child, an </w:t>
      </w:r>
      <w:r w:rsidRPr="008A26DF">
        <w:t>apprentice</w:t>
      </w:r>
      <w:r w:rsidR="00FF250D">
        <w:t>;’</w:t>
      </w:r>
      <w:r>
        <w:t xml:space="preserve"> as in ‘</w:t>
      </w:r>
      <w:r>
        <w:rPr>
          <w:rFonts w:hint="cs"/>
          <w:rtl/>
        </w:rPr>
        <w:t>פרחי כהונה</w:t>
      </w:r>
      <w:r>
        <w:t>’ (</w:t>
      </w:r>
      <w:r w:rsidRPr="008A26DF">
        <w:rPr>
          <w:i/>
          <w:iCs/>
        </w:rPr>
        <w:t>Mishnah Yoma</w:t>
      </w:r>
      <w:r>
        <w:t xml:space="preserve"> 1, 7). This reading is found in two genizah fragments of </w:t>
      </w:r>
      <w:r w:rsidRPr="008A26DF">
        <w:rPr>
          <w:i/>
          <w:iCs/>
        </w:rPr>
        <w:t>Bavli Berakhot</w:t>
      </w:r>
      <w:r>
        <w:t xml:space="preserve"> 47a, Cambridge T-S F1(1).106 and T-S F1(1).113, instead of the form ‘</w:t>
      </w:r>
      <w:r>
        <w:rPr>
          <w:rFonts w:hint="cs"/>
          <w:rtl/>
        </w:rPr>
        <w:t>קטן פורח</w:t>
      </w:r>
      <w:r>
        <w:t xml:space="preserve">’found in all other manuscripts. This is also the form in some geonic authorities, among them </w:t>
      </w:r>
      <w:r w:rsidRPr="00065950">
        <w:rPr>
          <w:i/>
          <w:iCs/>
        </w:rPr>
        <w:t>Halakhot Pesukot</w:t>
      </w:r>
      <w:r>
        <w:t xml:space="preserve">, p. 154 and </w:t>
      </w:r>
      <w:r>
        <w:rPr>
          <w:i/>
          <w:iCs/>
        </w:rPr>
        <w:t>Se</w:t>
      </w:r>
      <w:r w:rsidRPr="008B49BF">
        <w:rPr>
          <w:i/>
          <w:iCs/>
        </w:rPr>
        <w:t>fer ha-bagrut le-Rav Shmuel ben Hofni Gaon</w:t>
      </w:r>
      <w:r>
        <w:t xml:space="preserve">, ed. by T. </w:t>
      </w:r>
      <w:r w:rsidRPr="008B49BF">
        <w:t>Meacham</w:t>
      </w:r>
      <w:r>
        <w:t>, Jerusalem 1999, p. 164.</w:t>
      </w:r>
    </w:p>
  </w:footnote>
  <w:footnote w:id="18">
    <w:p w14:paraId="0429CB00" w14:textId="77777777" w:rsidR="007F628C" w:rsidRDefault="007F628C" w:rsidP="004D12F2">
      <w:pPr>
        <w:pStyle w:val="FootnoteText"/>
        <w:bidi w:val="0"/>
      </w:pPr>
      <w:r>
        <w:rPr>
          <w:rStyle w:val="FootnoteReference"/>
        </w:rPr>
        <w:footnoteRef/>
      </w:r>
      <w:r>
        <w:rPr>
          <w:rtl/>
        </w:rPr>
        <w:t xml:space="preserve"> </w:t>
      </w:r>
      <w:r>
        <w:t xml:space="preserve"> See n. </w:t>
      </w:r>
      <w:r>
        <w:fldChar w:fldCharType="begin"/>
      </w:r>
      <w:r>
        <w:instrText xml:space="preserve"> NOTEREF _Ref47557288 \h </w:instrText>
      </w:r>
      <w:r>
        <w:fldChar w:fldCharType="separate"/>
      </w:r>
      <w:r>
        <w:t>10</w:t>
      </w:r>
      <w:r>
        <w:fldChar w:fldCharType="end"/>
      </w:r>
      <w:r>
        <w:t>.</w:t>
      </w:r>
    </w:p>
  </w:footnote>
  <w:footnote w:id="19">
    <w:p w14:paraId="525D6117" w14:textId="21B0F2A0" w:rsidR="007F628C" w:rsidRDefault="007F628C" w:rsidP="00230A7B">
      <w:pPr>
        <w:pStyle w:val="FootnoteText"/>
        <w:bidi w:val="0"/>
      </w:pPr>
      <w:r>
        <w:rPr>
          <w:rStyle w:val="FootnoteReference"/>
        </w:rPr>
        <w:footnoteRef/>
      </w:r>
      <w:r>
        <w:rPr>
          <w:rtl/>
        </w:rPr>
        <w:t xml:space="preserve"> </w:t>
      </w:r>
      <w:r>
        <w:t xml:space="preserve">The same also in Genizah fragment Cambridge University Library, </w:t>
      </w:r>
      <w:r w:rsidRPr="00230A7B">
        <w:t>T-S AS 77.139</w:t>
      </w:r>
      <w:r>
        <w:t xml:space="preserve">, which belongs to a manuscript that present the B-M recension (Shweka, </w:t>
      </w:r>
      <w:r w:rsidRPr="00656607">
        <w:rPr>
          <w:i/>
          <w:iCs/>
        </w:rPr>
        <w:t>Halakhot Gedolot</w:t>
      </w:r>
      <w:r>
        <w:t xml:space="preserve">, p. 50 [G40] and p. 138). </w:t>
      </w:r>
    </w:p>
  </w:footnote>
  <w:footnote w:id="20">
    <w:p w14:paraId="6362A1FE" w14:textId="1C58A564" w:rsidR="007F628C" w:rsidRDefault="007F628C" w:rsidP="004D12F2">
      <w:pPr>
        <w:pStyle w:val="FootnoteText"/>
        <w:bidi w:val="0"/>
      </w:pPr>
      <w:r>
        <w:rPr>
          <w:rStyle w:val="FootnoteReference"/>
        </w:rPr>
        <w:footnoteRef/>
      </w:r>
      <w:r>
        <w:rPr>
          <w:rtl/>
        </w:rPr>
        <w:t xml:space="preserve"> </w:t>
      </w:r>
      <w:r>
        <w:t xml:space="preserve"> Shweka, </w:t>
      </w:r>
      <w:r w:rsidRPr="00656607">
        <w:rPr>
          <w:i/>
          <w:iCs/>
        </w:rPr>
        <w:t>Halakhot Gedolot</w:t>
      </w:r>
      <w:r>
        <w:t>, p. 161.</w:t>
      </w:r>
    </w:p>
  </w:footnote>
  <w:footnote w:id="21">
    <w:p w14:paraId="59ED8A07" w14:textId="0FCDA8D3" w:rsidR="007F628C" w:rsidRDefault="007F628C" w:rsidP="001C5765">
      <w:pPr>
        <w:pStyle w:val="FootnoteText"/>
        <w:bidi w:val="0"/>
      </w:pPr>
      <w:r>
        <w:rPr>
          <w:rStyle w:val="FootnoteReference"/>
        </w:rPr>
        <w:footnoteRef/>
      </w:r>
      <w:r>
        <w:rPr>
          <w:rtl/>
        </w:rPr>
        <w:t xml:space="preserve"> </w:t>
      </w:r>
      <w:r>
        <w:t xml:space="preserve"> Shweka, </w:t>
      </w:r>
      <w:r w:rsidRPr="00656607">
        <w:rPr>
          <w:i/>
          <w:iCs/>
        </w:rPr>
        <w:t>Halakhot Gedolot</w:t>
      </w:r>
      <w:r>
        <w:t>, pp. 143-146.</w:t>
      </w:r>
    </w:p>
  </w:footnote>
  <w:footnote w:id="22">
    <w:p w14:paraId="08D518F2" w14:textId="77777777" w:rsidR="007F628C" w:rsidRDefault="007F628C" w:rsidP="001C5765">
      <w:pPr>
        <w:pStyle w:val="FootnoteText"/>
        <w:bidi w:val="0"/>
      </w:pPr>
      <w:r>
        <w:rPr>
          <w:rStyle w:val="FootnoteReference"/>
        </w:rPr>
        <w:footnoteRef/>
      </w:r>
      <w:r>
        <w:rPr>
          <w:rtl/>
        </w:rPr>
        <w:t xml:space="preserve"> </w:t>
      </w:r>
      <w:r>
        <w:t xml:space="preserve">J. N. Epstein, </w:t>
      </w:r>
      <w:r w:rsidRPr="001C5765">
        <w:rPr>
          <w:i/>
          <w:iCs/>
        </w:rPr>
        <w:t>Studies in Talmudic Literature and Semitic Languages</w:t>
      </w:r>
      <w:r>
        <w:t xml:space="preserve"> (edited by E. Z. Melamed), vol 1, Jerusalem 1983, pp. 270-273 (=</w:t>
      </w:r>
      <w:r w:rsidRPr="001C5765">
        <w:rPr>
          <w:i/>
          <w:iCs/>
        </w:rPr>
        <w:t>MGWJ</w:t>
      </w:r>
      <w:r>
        <w:t xml:space="preserve"> 61 (1917), pp. 127-132).</w:t>
      </w:r>
    </w:p>
  </w:footnote>
  <w:footnote w:id="23">
    <w:p w14:paraId="722AACB1" w14:textId="77777777" w:rsidR="007F628C" w:rsidRDefault="007F628C" w:rsidP="00D76000">
      <w:pPr>
        <w:pStyle w:val="FootnoteText"/>
        <w:bidi w:val="0"/>
      </w:pPr>
      <w:r>
        <w:rPr>
          <w:rStyle w:val="FootnoteReference"/>
        </w:rPr>
        <w:footnoteRef/>
      </w:r>
      <w:r>
        <w:rPr>
          <w:rtl/>
        </w:rPr>
        <w:t xml:space="preserve"> </w:t>
      </w:r>
      <w:r>
        <w:t xml:space="preserve"> Perani (above, n. </w:t>
      </w:r>
      <w:r>
        <w:fldChar w:fldCharType="begin"/>
      </w:r>
      <w:r>
        <w:instrText xml:space="preserve"> NOTEREF _Ref55166420 \h </w:instrText>
      </w:r>
      <w:r>
        <w:fldChar w:fldCharType="separate"/>
      </w:r>
      <w:r>
        <w:t>13</w:t>
      </w:r>
      <w:r>
        <w:fldChar w:fldCharType="end"/>
      </w:r>
      <w:r>
        <w:t>).</w:t>
      </w:r>
    </w:p>
  </w:footnote>
  <w:footnote w:id="24">
    <w:p w14:paraId="6A2FE5A7" w14:textId="5FD262AB" w:rsidR="007F628C" w:rsidRDefault="007F628C" w:rsidP="001C5765">
      <w:pPr>
        <w:pStyle w:val="FootnoteText"/>
        <w:bidi w:val="0"/>
      </w:pPr>
      <w:r>
        <w:rPr>
          <w:rStyle w:val="FootnoteReference"/>
        </w:rPr>
        <w:footnoteRef/>
      </w:r>
      <w:r>
        <w:rPr>
          <w:rtl/>
        </w:rPr>
        <w:t xml:space="preserve"> </w:t>
      </w:r>
      <w:r>
        <w:t xml:space="preserve">Shweka, </w:t>
      </w:r>
      <w:r w:rsidRPr="00656607">
        <w:rPr>
          <w:i/>
          <w:iCs/>
        </w:rPr>
        <w:t>Halakhot Gedolot</w:t>
      </w:r>
      <w:r>
        <w:t>, pp. 113-114.</w:t>
      </w:r>
    </w:p>
  </w:footnote>
  <w:footnote w:id="25">
    <w:p w14:paraId="4A8A327A" w14:textId="5D81D551" w:rsidR="007F628C" w:rsidRDefault="007F628C" w:rsidP="00830C92">
      <w:pPr>
        <w:pStyle w:val="FootnoteText"/>
        <w:bidi w:val="0"/>
      </w:pPr>
      <w:r>
        <w:rPr>
          <w:rStyle w:val="FootnoteReference"/>
        </w:rPr>
        <w:footnoteRef/>
      </w:r>
      <w:r>
        <w:rPr>
          <w:rtl/>
        </w:rPr>
        <w:t xml:space="preserve"> </w:t>
      </w:r>
      <w:r>
        <w:t xml:space="preserve"> R. Shweka, </w:t>
      </w:r>
      <w:r w:rsidRPr="00830C92">
        <w:t xml:space="preserve">“Concerning The Chapters </w:t>
      </w:r>
      <w:r w:rsidRPr="007B6841">
        <w:rPr>
          <w:i/>
          <w:iCs/>
          <w:rPrChange w:id="77" w:author="Author">
            <w:rPr/>
          </w:rPrChange>
        </w:rPr>
        <w:t>Nedarim</w:t>
      </w:r>
      <w:r w:rsidRPr="00830C92">
        <w:t xml:space="preserve"> and </w:t>
      </w:r>
      <w:r w:rsidRPr="007B6841">
        <w:rPr>
          <w:i/>
          <w:iCs/>
          <w:rPrChange w:id="78" w:author="Author">
            <w:rPr/>
          </w:rPrChange>
        </w:rPr>
        <w:t>Nazir</w:t>
      </w:r>
      <w:r w:rsidRPr="00830C92">
        <w:t xml:space="preserve"> in </w:t>
      </w:r>
      <w:r w:rsidRPr="00656607">
        <w:rPr>
          <w:i/>
          <w:iCs/>
        </w:rPr>
        <w:t>Halakhot Gedolot</w:t>
      </w:r>
      <w:r>
        <w:t>,”</w:t>
      </w:r>
      <w:r w:rsidRPr="00830C92">
        <w:t xml:space="preserve"> </w:t>
      </w:r>
      <w:r w:rsidRPr="00830C92">
        <w:rPr>
          <w:i/>
          <w:iCs/>
        </w:rPr>
        <w:t>Tarbiz</w:t>
      </w:r>
      <w:r>
        <w:t xml:space="preserve"> </w:t>
      </w:r>
      <w:r w:rsidR="00A80FAF">
        <w:t xml:space="preserve"> </w:t>
      </w:r>
      <w:r>
        <w:t>74 (2005), pp. 305-312</w:t>
      </w:r>
      <w:r w:rsidRPr="00830C92">
        <w:t xml:space="preserve"> (Hebrew)</w:t>
      </w:r>
      <w:r>
        <w:t>.</w:t>
      </w:r>
    </w:p>
  </w:footnote>
  <w:footnote w:id="26">
    <w:p w14:paraId="32BF40FF" w14:textId="58E17D5C" w:rsidR="007F628C" w:rsidRDefault="007F628C" w:rsidP="004970A9">
      <w:pPr>
        <w:pStyle w:val="FootnoteText"/>
        <w:bidi w:val="0"/>
      </w:pPr>
      <w:r>
        <w:rPr>
          <w:rStyle w:val="FootnoteReference"/>
        </w:rPr>
        <w:footnoteRef/>
      </w:r>
      <w:r>
        <w:rPr>
          <w:rtl/>
        </w:rPr>
        <w:t xml:space="preserve"> </w:t>
      </w:r>
      <w:r>
        <w:t xml:space="preserve">Shweka, </w:t>
      </w:r>
      <w:r w:rsidRPr="00656607">
        <w:rPr>
          <w:i/>
          <w:iCs/>
        </w:rPr>
        <w:t>Halakhot Gedolot</w:t>
      </w:r>
      <w:r>
        <w:t>, pp. 117-119.</w:t>
      </w:r>
    </w:p>
  </w:footnote>
  <w:footnote w:id="27">
    <w:p w14:paraId="6E2D45D5" w14:textId="5D9312B4" w:rsidR="007F628C" w:rsidRDefault="007F628C" w:rsidP="004970A9">
      <w:pPr>
        <w:pStyle w:val="FootnoteText"/>
        <w:bidi w:val="0"/>
      </w:pPr>
      <w:r>
        <w:rPr>
          <w:rStyle w:val="FootnoteReference"/>
        </w:rPr>
        <w:footnoteRef/>
      </w:r>
      <w:r>
        <w:rPr>
          <w:rtl/>
        </w:rPr>
        <w:t xml:space="preserve"> </w:t>
      </w:r>
      <w:r>
        <w:t xml:space="preserve">Shweka, </w:t>
      </w:r>
      <w:r w:rsidRPr="00656607">
        <w:rPr>
          <w:i/>
          <w:iCs/>
        </w:rPr>
        <w:t>Halakhot Gedolot</w:t>
      </w:r>
      <w:r>
        <w:t>, pp. 124-125.</w:t>
      </w:r>
    </w:p>
  </w:footnote>
  <w:footnote w:id="28">
    <w:p w14:paraId="59DCFC5B" w14:textId="77777777" w:rsidR="007F628C" w:rsidRDefault="007F628C" w:rsidP="003256B0">
      <w:pPr>
        <w:pStyle w:val="FootnoteText"/>
        <w:bidi w:val="0"/>
      </w:pPr>
      <w:r>
        <w:rPr>
          <w:rStyle w:val="FootnoteReference"/>
        </w:rPr>
        <w:footnoteRef/>
      </w:r>
      <w:r>
        <w:rPr>
          <w:rFonts w:cs="Times New Roman" w:hint="cs"/>
          <w:rtl/>
        </w:rPr>
        <w:t xml:space="preserve"> [ יורשין יורדין</w:t>
      </w:r>
      <w:r>
        <w:rPr>
          <w:rFonts w:cs="Times New Roman"/>
          <w:rtl/>
        </w:rPr>
        <w:t xml:space="preserve"> </w:t>
      </w:r>
      <w:r>
        <w:rPr>
          <w:rFonts w:cs="Times New Roman"/>
        </w:rPr>
        <w:t xml:space="preserve">B, M, V, R: </w:t>
      </w:r>
      <w:r>
        <w:rPr>
          <w:rFonts w:cs="Times New Roman" w:hint="cs"/>
          <w:rtl/>
        </w:rPr>
        <w:t>נחתין יורשין</w:t>
      </w:r>
      <w:r>
        <w:rPr>
          <w:rFonts w:cs="Times New Roman"/>
        </w:rPr>
        <w:t xml:space="preserve"> (Aramaic)</w:t>
      </w:r>
    </w:p>
  </w:footnote>
  <w:footnote w:id="29">
    <w:p w14:paraId="0DCA1231" w14:textId="77777777" w:rsidR="007F628C" w:rsidRDefault="007F628C" w:rsidP="003256B0">
      <w:pPr>
        <w:pStyle w:val="FootnoteText"/>
        <w:bidi w:val="0"/>
      </w:pPr>
      <w:r>
        <w:rPr>
          <w:rStyle w:val="FootnoteReference"/>
        </w:rPr>
        <w:footnoteRef/>
      </w:r>
      <w:r>
        <w:rPr>
          <w:rFonts w:cs="Times New Roman" w:hint="cs"/>
          <w:rtl/>
        </w:rPr>
        <w:t>תנו רבנ'... ענתה בם</w:t>
      </w:r>
      <w:r>
        <w:rPr>
          <w:rFonts w:cs="Times New Roman"/>
          <w:rtl/>
        </w:rPr>
        <w:t xml:space="preserve"> </w:t>
      </w:r>
      <w:r>
        <w:rPr>
          <w:rFonts w:cs="Times New Roman"/>
        </w:rPr>
        <w:t xml:space="preserve"> ] so also in B, M and T-S AS 77.139; in VR missing here and found after </w:t>
      </w:r>
      <w:r>
        <w:rPr>
          <w:rFonts w:cs="Times New Roman" w:hint="cs"/>
          <w:rtl/>
        </w:rPr>
        <w:t>אעלפי שלא ניסית תינשא</w:t>
      </w:r>
      <w:r>
        <w:rPr>
          <w:rFonts w:cs="Times New Roman"/>
        </w:rPr>
        <w:t xml:space="preserve"> (l. 20)</w:t>
      </w:r>
    </w:p>
  </w:footnote>
  <w:footnote w:id="30">
    <w:p w14:paraId="1C28A131" w14:textId="77777777" w:rsidR="007F628C" w:rsidRDefault="007F628C" w:rsidP="003256B0">
      <w:pPr>
        <w:pStyle w:val="FootnoteText"/>
        <w:bidi w:val="0"/>
        <w:rPr>
          <w:rtl/>
        </w:rPr>
      </w:pPr>
      <w:r>
        <w:rPr>
          <w:rStyle w:val="FootnoteReference"/>
        </w:rPr>
        <w:footnoteRef/>
      </w:r>
      <w:r>
        <w:rPr>
          <w:rFonts w:cs="Times New Roman"/>
        </w:rPr>
        <w:t xml:space="preserve"> </w:t>
      </w:r>
      <w:r>
        <w:rPr>
          <w:rFonts w:cs="Times New Roman"/>
          <w:rtl/>
        </w:rPr>
        <w:t xml:space="preserve"> </w:t>
      </w:r>
      <w:r w:rsidRPr="00603474">
        <w:rPr>
          <w:rFonts w:cs="Times New Roman" w:hint="cs"/>
          <w:rtl/>
        </w:rPr>
        <w:t>והכא</w:t>
      </w:r>
      <w:r>
        <w:rPr>
          <w:rFonts w:cs="Times New Roman"/>
        </w:rPr>
        <w:t xml:space="preserve">] read </w:t>
      </w:r>
      <w:r>
        <w:rPr>
          <w:rFonts w:cs="Times New Roman" w:hint="cs"/>
          <w:rtl/>
        </w:rPr>
        <w:t>ורבא</w:t>
      </w:r>
      <w:r>
        <w:rPr>
          <w:rFonts w:cs="Times New Roman"/>
        </w:rPr>
        <w:t xml:space="preserve">, so R and T-S AS 77.139; B, M, V missing </w:t>
      </w:r>
      <w:r w:rsidRPr="00603474">
        <w:rPr>
          <w:rFonts w:cs="Times New Roman"/>
          <w:rtl/>
        </w:rPr>
        <w:t>דקאמרינן</w:t>
      </w:r>
      <w:r w:rsidRPr="00603474">
        <w:rPr>
          <w:rFonts w:cs="Times New Roman" w:hint="cs"/>
          <w:rtl/>
        </w:rPr>
        <w:t xml:space="preserve"> </w:t>
      </w:r>
      <w:r>
        <w:rPr>
          <w:rFonts w:cs="Times New Roman" w:hint="cs"/>
          <w:rtl/>
        </w:rPr>
        <w:t>ורבא</w:t>
      </w:r>
      <w:r w:rsidRPr="00603474">
        <w:rPr>
          <w:rFonts w:cs="Times New Roman" w:hint="cs"/>
          <w:rtl/>
        </w:rPr>
        <w:t xml:space="preserve"> נמי להיתירא קא פשיט</w:t>
      </w:r>
      <w:r>
        <w:rPr>
          <w:rFonts w:cs="Times New Roman"/>
        </w:rPr>
        <w:t xml:space="preserve"> (h</w:t>
      </w:r>
      <w:r w:rsidRPr="00D93F12">
        <w:rPr>
          <w:rFonts w:cs="Times New Roman"/>
        </w:rPr>
        <w:t>omeoteleuton</w:t>
      </w:r>
      <w:r>
        <w:rPr>
          <w:rFonts w:cs="Times New Roman"/>
        </w:rPr>
        <w:t>)</w:t>
      </w:r>
    </w:p>
  </w:footnote>
  <w:footnote w:id="31">
    <w:p w14:paraId="5DBCA1E7"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B, M, V and T-S AS 77.139 correctly: </w:t>
      </w:r>
      <w:r>
        <w:rPr>
          <w:rFonts w:cs="Times New Roman" w:hint="cs"/>
          <w:rtl/>
        </w:rPr>
        <w:t>לרבא רבא</w:t>
      </w:r>
    </w:p>
  </w:footnote>
  <w:footnote w:id="32">
    <w:p w14:paraId="289BF13D"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B, M, V, R correctly: </w:t>
      </w:r>
      <w:r>
        <w:rPr>
          <w:rFonts w:cs="Times New Roman" w:hint="cs"/>
          <w:rtl/>
        </w:rPr>
        <w:t>שיש</w:t>
      </w:r>
    </w:p>
  </w:footnote>
  <w:footnote w:id="33">
    <w:p w14:paraId="01826E3B"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 </w:t>
      </w:r>
      <w:r w:rsidRPr="00F2583C">
        <w:rPr>
          <w:rFonts w:cs="Times New Roman" w:hint="cs"/>
          <w:rtl/>
        </w:rPr>
        <w:t>מאי טע' אמרינן</w:t>
      </w:r>
      <w:r>
        <w:rPr>
          <w:rFonts w:cs="Times New Roman"/>
        </w:rPr>
        <w:t xml:space="preserve"> ]  B, M, V, R correctly:</w:t>
      </w:r>
      <w:r>
        <w:rPr>
          <w:rFonts w:cs="Times New Roman" w:hint="cs"/>
          <w:rtl/>
        </w:rPr>
        <w:t>אבל ודאי</w:t>
      </w:r>
    </w:p>
  </w:footnote>
  <w:footnote w:id="34">
    <w:p w14:paraId="03CB8256" w14:textId="77777777" w:rsidR="007F628C" w:rsidRDefault="007F628C" w:rsidP="003256B0">
      <w:pPr>
        <w:pStyle w:val="FootnoteText"/>
        <w:bidi w:val="0"/>
      </w:pPr>
      <w:r>
        <w:rPr>
          <w:rStyle w:val="FootnoteReference"/>
        </w:rPr>
        <w:footnoteRef/>
      </w:r>
      <w:r>
        <w:rPr>
          <w:rFonts w:cs="Times New Roman"/>
          <w:rtl/>
        </w:rPr>
        <w:t xml:space="preserve"> </w:t>
      </w:r>
      <w:r>
        <w:rPr>
          <w:rFonts w:cs="Times New Roman"/>
        </w:rPr>
        <w:t xml:space="preserve">B, M, V, R correctly: </w:t>
      </w:r>
      <w:r>
        <w:rPr>
          <w:rFonts w:cs="Times New Roman" w:hint="cs"/>
          <w:rtl/>
        </w:rPr>
        <w:t>שיש</w:t>
      </w:r>
    </w:p>
  </w:footnote>
  <w:footnote w:id="35">
    <w:p w14:paraId="3153D9DD" w14:textId="77777777" w:rsidR="007F628C" w:rsidRDefault="007F628C" w:rsidP="003256B0">
      <w:pPr>
        <w:pStyle w:val="FootnoteText"/>
        <w:bidi w:val="0"/>
      </w:pPr>
      <w:r>
        <w:rPr>
          <w:rStyle w:val="FootnoteReference"/>
        </w:rPr>
        <w:footnoteRef/>
      </w:r>
      <w:r>
        <w:rPr>
          <w:rFonts w:cs="Times New Roman"/>
          <w:rtl/>
        </w:rPr>
        <w:t xml:space="preserve"> </w:t>
      </w:r>
      <w:r>
        <w:rPr>
          <w:rFonts w:cs="Times New Roman"/>
        </w:rPr>
        <w:t xml:space="preserve"> </w:t>
      </w:r>
      <w:r>
        <w:rPr>
          <w:rFonts w:cs="Times New Roman" w:hint="cs"/>
          <w:rtl/>
        </w:rPr>
        <w:t>אחותו</w:t>
      </w:r>
      <w:r>
        <w:rPr>
          <w:rFonts w:cs="Times New Roman"/>
        </w:rPr>
        <w:t xml:space="preserve"> ] so also B, M, R and this is an ancient mistake; V: </w:t>
      </w:r>
      <w:r>
        <w:rPr>
          <w:rFonts w:cs="Times New Roman" w:hint="cs"/>
          <w:rtl/>
        </w:rPr>
        <w:t>אמו</w:t>
      </w:r>
    </w:p>
  </w:footnote>
  <w:footnote w:id="36">
    <w:p w14:paraId="78D9B03B" w14:textId="77777777" w:rsidR="007F628C" w:rsidRDefault="007F628C" w:rsidP="003256B0">
      <w:pPr>
        <w:pStyle w:val="FootnoteText"/>
        <w:bidi w:val="0"/>
      </w:pPr>
      <w:r>
        <w:rPr>
          <w:rStyle w:val="FootnoteReference"/>
        </w:rPr>
        <w:footnoteRef/>
      </w:r>
      <w:r>
        <w:rPr>
          <w:rFonts w:cs="Times New Roman"/>
          <w:rtl/>
        </w:rPr>
        <w:t xml:space="preserve"> </w:t>
      </w:r>
      <w:r>
        <w:rPr>
          <w:rFonts w:cs="Times New Roman" w:hint="cs"/>
          <w:rtl/>
        </w:rPr>
        <w:t xml:space="preserve">  </w:t>
      </w:r>
      <w:r>
        <w:rPr>
          <w:rFonts w:cs="Times New Roman"/>
        </w:rPr>
        <w:t xml:space="preserve"> </w:t>
      </w:r>
      <w:r>
        <w:rPr>
          <w:rFonts w:cs="Times New Roman" w:hint="cs"/>
          <w:rtl/>
        </w:rPr>
        <w:t>חד וחד</w:t>
      </w:r>
      <w:r>
        <w:rPr>
          <w:rFonts w:cs="Times New Roman"/>
        </w:rPr>
        <w:t xml:space="preserve"> ] so B, M, V; R missing </w:t>
      </w:r>
      <w:r>
        <w:rPr>
          <w:rFonts w:cs="Times New Roman" w:hint="cs"/>
          <w:rtl/>
        </w:rPr>
        <w:t>וחד</w:t>
      </w:r>
    </w:p>
  </w:footnote>
  <w:footnote w:id="37">
    <w:p w14:paraId="524ACA25"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לפי</w:t>
      </w:r>
      <w:r>
        <w:rPr>
          <w:rFonts w:cs="Times New Roman"/>
        </w:rPr>
        <w:t xml:space="preserve"> ] so B; M</w:t>
      </w:r>
      <w:r>
        <w:rPr>
          <w:rFonts w:cs="Times New Roman" w:hint="cs"/>
          <w:rtl/>
        </w:rPr>
        <w:t xml:space="preserve"> </w:t>
      </w:r>
      <w:r>
        <w:rPr>
          <w:rFonts w:cs="Times New Roman"/>
        </w:rPr>
        <w:t>(contra Hild. ed.</w:t>
      </w:r>
      <w:r>
        <w:rPr>
          <w:rFonts w:cs="Times New Roman" w:hint="cs"/>
          <w:rtl/>
        </w:rPr>
        <w:t>!</w:t>
      </w:r>
      <w:r>
        <w:rPr>
          <w:rFonts w:cs="Times New Roman"/>
        </w:rPr>
        <w:t xml:space="preserve">), R, V: </w:t>
      </w:r>
      <w:r>
        <w:rPr>
          <w:rFonts w:cs="Times New Roman" w:hint="cs"/>
          <w:rtl/>
        </w:rPr>
        <w:t>לפום</w:t>
      </w:r>
    </w:p>
  </w:footnote>
  <w:footnote w:id="38">
    <w:p w14:paraId="1A39D5AB" w14:textId="6E416CE3" w:rsidR="007F628C" w:rsidRDefault="007F628C" w:rsidP="003256B0">
      <w:pPr>
        <w:pStyle w:val="FootnoteText"/>
        <w:bidi w:val="0"/>
      </w:pPr>
      <w:r>
        <w:rPr>
          <w:rStyle w:val="FootnoteReference"/>
        </w:rPr>
        <w:footnoteRef/>
      </w:r>
      <w:r>
        <w:rPr>
          <w:rFonts w:cs="Times New Roman"/>
          <w:rtl/>
        </w:rPr>
        <w:t xml:space="preserve"> </w:t>
      </w:r>
      <w:r>
        <w:rPr>
          <w:rFonts w:cs="Times New Roman"/>
        </w:rPr>
        <w:t xml:space="preserve"> </w:t>
      </w:r>
      <w:r>
        <w:rPr>
          <w:rFonts w:cs="Times New Roman" w:hint="cs"/>
          <w:rtl/>
        </w:rPr>
        <w:t>קטן פרח</w:t>
      </w:r>
      <w:r>
        <w:rPr>
          <w:rFonts w:cs="Times New Roman"/>
        </w:rPr>
        <w:t xml:space="preserve"> ] other </w:t>
      </w:r>
      <w:r w:rsidR="00A80FAF">
        <w:rPr>
          <w:rFonts w:cs="Times New Roman"/>
        </w:rPr>
        <w:t>Mss.</w:t>
      </w:r>
      <w:r>
        <w:rPr>
          <w:rFonts w:cs="Times New Roman"/>
        </w:rPr>
        <w:t xml:space="preserve">: </w:t>
      </w:r>
      <w:r>
        <w:rPr>
          <w:rFonts w:cs="Times New Roman" w:hint="cs"/>
          <w:rtl/>
        </w:rPr>
        <w:t>קטן פורח</w:t>
      </w:r>
      <w:r>
        <w:rPr>
          <w:rFonts w:cs="Times New Roman"/>
        </w:rPr>
        <w:t xml:space="preserve">; the same for the second occurrence on the next line. </w:t>
      </w:r>
    </w:p>
  </w:footnote>
  <w:footnote w:id="39">
    <w:p w14:paraId="37C6CE00" w14:textId="77777777" w:rsidR="007F628C" w:rsidRDefault="007F628C" w:rsidP="003256B0">
      <w:pPr>
        <w:pStyle w:val="FootnoteText"/>
        <w:bidi w:val="0"/>
      </w:pPr>
      <w:r>
        <w:rPr>
          <w:rStyle w:val="FootnoteReference"/>
        </w:rPr>
        <w:footnoteRef/>
      </w:r>
      <w:r>
        <w:rPr>
          <w:rFonts w:cs="Times New Roman"/>
          <w:rtl/>
        </w:rPr>
        <w:t xml:space="preserve"> </w:t>
      </w:r>
      <w:r>
        <w:rPr>
          <w:rFonts w:cs="Times New Roman" w:hint="cs"/>
          <w:rtl/>
        </w:rPr>
        <w:t>ויום אחד</w:t>
      </w:r>
      <w:r>
        <w:rPr>
          <w:rFonts w:cs="Times New Roman"/>
        </w:rPr>
        <w:t xml:space="preserve"> ] R missing in all occurrences (l. 8, 10, 11,12)</w:t>
      </w:r>
    </w:p>
  </w:footnote>
  <w:footnote w:id="40">
    <w:p w14:paraId="60D99769" w14:textId="5EFB3713" w:rsidR="007F628C" w:rsidRDefault="007F628C" w:rsidP="003256B0">
      <w:pPr>
        <w:pStyle w:val="FootnoteText"/>
        <w:bidi w:val="0"/>
      </w:pPr>
      <w:r>
        <w:rPr>
          <w:rStyle w:val="FootnoteReference"/>
        </w:rPr>
        <w:footnoteRef/>
      </w:r>
      <w:r>
        <w:rPr>
          <w:rFonts w:cs="Times New Roman"/>
          <w:rtl/>
        </w:rPr>
        <w:t xml:space="preserve"> </w:t>
      </w:r>
      <w:r>
        <w:rPr>
          <w:rFonts w:cs="Times New Roman"/>
        </w:rPr>
        <w:t xml:space="preserve"> So in all </w:t>
      </w:r>
      <w:r w:rsidR="00A80FAF">
        <w:rPr>
          <w:rFonts w:cs="Times New Roman"/>
        </w:rPr>
        <w:t>Mss.</w:t>
      </w:r>
      <w:r>
        <w:rPr>
          <w:rFonts w:cs="Times New Roman"/>
        </w:rPr>
        <w:t xml:space="preserve"> including M, but in Hild. ed. </w:t>
      </w:r>
      <w:r>
        <w:rPr>
          <w:rFonts w:cs="Times New Roman" w:hint="cs"/>
          <w:rtl/>
        </w:rPr>
        <w:t>שתים</w:t>
      </w:r>
      <w:r>
        <w:rPr>
          <w:rFonts w:cs="Times New Roman"/>
        </w:rPr>
        <w:t>!</w:t>
      </w:r>
    </w:p>
  </w:footnote>
  <w:footnote w:id="41">
    <w:p w14:paraId="169286F1"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כדתנא</w:t>
      </w:r>
      <w:r>
        <w:rPr>
          <w:rFonts w:cs="Times New Roman"/>
        </w:rPr>
        <w:t xml:space="preserve"> ] B, M, V, R: </w:t>
      </w:r>
      <w:r>
        <w:rPr>
          <w:rFonts w:cs="Times New Roman" w:hint="cs"/>
          <w:rtl/>
        </w:rPr>
        <w:t>וכן תנא</w:t>
      </w:r>
    </w:p>
  </w:footnote>
  <w:footnote w:id="42">
    <w:p w14:paraId="0E4F7F54"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כי האי</w:t>
      </w:r>
      <w:r>
        <w:rPr>
          <w:rFonts w:cs="Times New Roman"/>
        </w:rPr>
        <w:t xml:space="preserve"> ] so R; B, M, V: </w:t>
      </w:r>
      <w:r>
        <w:rPr>
          <w:rFonts w:cs="Times New Roman" w:hint="cs"/>
          <w:rtl/>
        </w:rPr>
        <w:t>אי האי אי האי</w:t>
      </w:r>
    </w:p>
  </w:footnote>
  <w:footnote w:id="43">
    <w:p w14:paraId="1AD480B3"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יצחק</w:t>
      </w:r>
      <w:r>
        <w:rPr>
          <w:rFonts w:cs="Times New Roman"/>
        </w:rPr>
        <w:t xml:space="preserve"> ] B, M, V, R correctly: </w:t>
      </w:r>
      <w:r>
        <w:rPr>
          <w:rFonts w:cs="Times New Roman" w:hint="cs"/>
          <w:rtl/>
        </w:rPr>
        <w:t>צדוק</w:t>
      </w:r>
    </w:p>
  </w:footnote>
  <w:footnote w:id="44">
    <w:p w14:paraId="655A1BEE"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שנים</w:t>
      </w:r>
      <w:r>
        <w:rPr>
          <w:rFonts w:cs="Times New Roman"/>
        </w:rPr>
        <w:t xml:space="preserve"> ] read </w:t>
      </w:r>
      <w:r>
        <w:rPr>
          <w:rFonts w:cs="Times New Roman" w:hint="cs"/>
          <w:rtl/>
        </w:rPr>
        <w:t>נשים</w:t>
      </w:r>
    </w:p>
  </w:footnote>
  <w:footnote w:id="45">
    <w:p w14:paraId="4CEE6F8C"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ישמעאל</w:t>
      </w:r>
      <w:r>
        <w:rPr>
          <w:rFonts w:cs="Times New Roman"/>
        </w:rPr>
        <w:t xml:space="preserve"> ] so M (contra Hild. ed.</w:t>
      </w:r>
      <w:r>
        <w:rPr>
          <w:rFonts w:cs="Times New Roman" w:hint="cs"/>
          <w:rtl/>
        </w:rPr>
        <w:t>!</w:t>
      </w:r>
      <w:r>
        <w:rPr>
          <w:rFonts w:cs="Times New Roman"/>
        </w:rPr>
        <w:t xml:space="preserve">), R, V; B: </w:t>
      </w:r>
      <w:r>
        <w:rPr>
          <w:rFonts w:cs="Times New Roman" w:hint="cs"/>
          <w:rtl/>
        </w:rPr>
        <w:t>יהושע</w:t>
      </w:r>
    </w:p>
  </w:footnote>
  <w:footnote w:id="46">
    <w:p w14:paraId="723A31E3"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בפעוטות</w:t>
      </w:r>
      <w:r>
        <w:rPr>
          <w:rFonts w:cs="Times New Roman"/>
        </w:rPr>
        <w:t xml:space="preserve"> ] B, M, R, V and T-S F10.65: </w:t>
      </w:r>
      <w:r>
        <w:rPr>
          <w:rFonts w:cs="Times New Roman" w:hint="cs"/>
          <w:rtl/>
        </w:rPr>
        <w:t>בפרה</w:t>
      </w:r>
    </w:p>
  </w:footnote>
  <w:footnote w:id="47">
    <w:p w14:paraId="3D98BE1D" w14:textId="77777777" w:rsidR="007F628C" w:rsidRDefault="007F628C" w:rsidP="003256B0">
      <w:pPr>
        <w:pStyle w:val="FootnoteText"/>
        <w:bidi w:val="0"/>
        <w:rPr>
          <w:rtl/>
        </w:rPr>
      </w:pPr>
      <w:r>
        <w:rPr>
          <w:rStyle w:val="FootnoteReference"/>
        </w:rPr>
        <w:footnoteRef/>
      </w:r>
      <w:r>
        <w:rPr>
          <w:rFonts w:cs="Times New Roman"/>
          <w:rtl/>
        </w:rPr>
        <w:t xml:space="preserve"> </w:t>
      </w:r>
      <w:r>
        <w:rPr>
          <w:rFonts w:cs="Times New Roman" w:hint="cs"/>
          <w:rtl/>
        </w:rPr>
        <w:t xml:space="preserve"> </w:t>
      </w:r>
      <w:r>
        <w:rPr>
          <w:rFonts w:cs="Times New Roman"/>
        </w:rPr>
        <w:t xml:space="preserve"> </w:t>
      </w:r>
      <w:r>
        <w:rPr>
          <w:rFonts w:cs="Times New Roman" w:hint="cs"/>
          <w:rtl/>
        </w:rPr>
        <w:t>האמורות</w:t>
      </w:r>
      <w:r>
        <w:rPr>
          <w:rFonts w:cs="Times New Roman"/>
        </w:rPr>
        <w:t xml:space="preserve"> ] </w:t>
      </w:r>
      <w:r>
        <w:rPr>
          <w:rFonts w:cs="Times New Roman" w:hint="cs"/>
        </w:rPr>
        <w:t>B</w:t>
      </w:r>
      <w:r>
        <w:rPr>
          <w:rFonts w:cs="Times New Roman"/>
        </w:rPr>
        <w:t>, M, R, V:</w:t>
      </w:r>
      <w:r>
        <w:rPr>
          <w:rFonts w:cs="Times New Roman" w:hint="cs"/>
          <w:rtl/>
        </w:rPr>
        <w:t xml:space="preserve"> האמורות בתורה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0485956"/>
      <w:docPartObj>
        <w:docPartGallery w:val="Page Numbers (Top of Page)"/>
        <w:docPartUnique/>
      </w:docPartObj>
    </w:sdtPr>
    <w:sdtEndPr/>
    <w:sdtContent>
      <w:p w14:paraId="1F4AD0A2" w14:textId="6D308E72" w:rsidR="007F628C" w:rsidRDefault="007F628C">
        <w:pPr>
          <w:pStyle w:val="Header"/>
        </w:pPr>
        <w:r>
          <w:fldChar w:fldCharType="begin"/>
        </w:r>
        <w:r>
          <w:instrText>PAGE   \* MERGEFORMAT</w:instrText>
        </w:r>
        <w:r>
          <w:fldChar w:fldCharType="separate"/>
        </w:r>
        <w:r w:rsidR="00603DB3" w:rsidRPr="00603DB3">
          <w:rPr>
            <w:noProof/>
            <w:rtl/>
            <w:lang w:val="it-IT"/>
          </w:rPr>
          <w:t>-</w:t>
        </w:r>
        <w:r w:rsidR="00603DB3">
          <w:rPr>
            <w:noProof/>
            <w:rtl/>
          </w:rPr>
          <w:t xml:space="preserve"> 1 -</w:t>
        </w:r>
        <w:r>
          <w:fldChar w:fldCharType="end"/>
        </w:r>
      </w:p>
    </w:sdtContent>
  </w:sdt>
  <w:p w14:paraId="14328BC1" w14:textId="77777777" w:rsidR="007F628C" w:rsidRDefault="007F62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62F86"/>
    <w:multiLevelType w:val="hybridMultilevel"/>
    <w:tmpl w:val="D2EC5D64"/>
    <w:lvl w:ilvl="0" w:tplc="B874D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676FA0"/>
    <w:multiLevelType w:val="hybridMultilevel"/>
    <w:tmpl w:val="147E9BC4"/>
    <w:lvl w:ilvl="0" w:tplc="B874D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removePersonalInformation/>
  <w:removeDateAndTime/>
  <w:doNotDisplayPageBoundaries/>
  <w:trackRevisions/>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ytTCwNDawMDK3MDJS0lEKTi0uzszPAymwqAUA1Jbr8iwAAAA="/>
  </w:docVars>
  <w:rsids>
    <w:rsidRoot w:val="00932831"/>
    <w:rsid w:val="000158D4"/>
    <w:rsid w:val="0002498C"/>
    <w:rsid w:val="00026FCA"/>
    <w:rsid w:val="000279DA"/>
    <w:rsid w:val="00030886"/>
    <w:rsid w:val="000413EC"/>
    <w:rsid w:val="00045878"/>
    <w:rsid w:val="00054F00"/>
    <w:rsid w:val="00065950"/>
    <w:rsid w:val="00067804"/>
    <w:rsid w:val="00071945"/>
    <w:rsid w:val="0007219E"/>
    <w:rsid w:val="00087778"/>
    <w:rsid w:val="000908F2"/>
    <w:rsid w:val="00090B7E"/>
    <w:rsid w:val="00094E5D"/>
    <w:rsid w:val="000A1B4B"/>
    <w:rsid w:val="000B6156"/>
    <w:rsid w:val="000B7902"/>
    <w:rsid w:val="000C3AA9"/>
    <w:rsid w:val="000C5635"/>
    <w:rsid w:val="000D02A8"/>
    <w:rsid w:val="000D651D"/>
    <w:rsid w:val="000D7866"/>
    <w:rsid w:val="000E507A"/>
    <w:rsid w:val="000F019B"/>
    <w:rsid w:val="000F5BF7"/>
    <w:rsid w:val="000F66AC"/>
    <w:rsid w:val="001054C8"/>
    <w:rsid w:val="00124486"/>
    <w:rsid w:val="00140E01"/>
    <w:rsid w:val="001438D5"/>
    <w:rsid w:val="001510FF"/>
    <w:rsid w:val="0015233B"/>
    <w:rsid w:val="00153BF9"/>
    <w:rsid w:val="00155F6F"/>
    <w:rsid w:val="001600FD"/>
    <w:rsid w:val="00181076"/>
    <w:rsid w:val="0018264C"/>
    <w:rsid w:val="00190A38"/>
    <w:rsid w:val="00194BBC"/>
    <w:rsid w:val="001A4953"/>
    <w:rsid w:val="001A59CA"/>
    <w:rsid w:val="001B6F60"/>
    <w:rsid w:val="001B76A1"/>
    <w:rsid w:val="001C5765"/>
    <w:rsid w:val="001C7B2B"/>
    <w:rsid w:val="001D577E"/>
    <w:rsid w:val="001E1CDE"/>
    <w:rsid w:val="001E38C4"/>
    <w:rsid w:val="001E505E"/>
    <w:rsid w:val="001F2617"/>
    <w:rsid w:val="00204C6E"/>
    <w:rsid w:val="002062DE"/>
    <w:rsid w:val="0020650D"/>
    <w:rsid w:val="00211CAF"/>
    <w:rsid w:val="002138CE"/>
    <w:rsid w:val="002163FB"/>
    <w:rsid w:val="002231F0"/>
    <w:rsid w:val="002270A9"/>
    <w:rsid w:val="00230A7B"/>
    <w:rsid w:val="00231A6E"/>
    <w:rsid w:val="00232746"/>
    <w:rsid w:val="00233A5B"/>
    <w:rsid w:val="002355D2"/>
    <w:rsid w:val="002445B7"/>
    <w:rsid w:val="002506B8"/>
    <w:rsid w:val="002554EE"/>
    <w:rsid w:val="00257D1A"/>
    <w:rsid w:val="00261D9F"/>
    <w:rsid w:val="002628A5"/>
    <w:rsid w:val="002647E8"/>
    <w:rsid w:val="002672DD"/>
    <w:rsid w:val="0027551B"/>
    <w:rsid w:val="00293B3D"/>
    <w:rsid w:val="002963ED"/>
    <w:rsid w:val="002A21FF"/>
    <w:rsid w:val="002B1F42"/>
    <w:rsid w:val="002B6CC3"/>
    <w:rsid w:val="002C7AB5"/>
    <w:rsid w:val="002D558A"/>
    <w:rsid w:val="002E6D5A"/>
    <w:rsid w:val="002E7B36"/>
    <w:rsid w:val="002F753E"/>
    <w:rsid w:val="00306976"/>
    <w:rsid w:val="00313C96"/>
    <w:rsid w:val="00316766"/>
    <w:rsid w:val="003256B0"/>
    <w:rsid w:val="0033408C"/>
    <w:rsid w:val="003364EA"/>
    <w:rsid w:val="00337D0E"/>
    <w:rsid w:val="003456DA"/>
    <w:rsid w:val="003634F6"/>
    <w:rsid w:val="00370D16"/>
    <w:rsid w:val="00385B04"/>
    <w:rsid w:val="0039361E"/>
    <w:rsid w:val="00394C2E"/>
    <w:rsid w:val="0039639D"/>
    <w:rsid w:val="003A2DC6"/>
    <w:rsid w:val="003A7F8E"/>
    <w:rsid w:val="003B16FB"/>
    <w:rsid w:val="003C0B89"/>
    <w:rsid w:val="003C1E15"/>
    <w:rsid w:val="003C675F"/>
    <w:rsid w:val="003D4325"/>
    <w:rsid w:val="003F5A20"/>
    <w:rsid w:val="00400019"/>
    <w:rsid w:val="00403651"/>
    <w:rsid w:val="004062B8"/>
    <w:rsid w:val="0041769C"/>
    <w:rsid w:val="00427A2A"/>
    <w:rsid w:val="00427EB7"/>
    <w:rsid w:val="0043678C"/>
    <w:rsid w:val="004411A8"/>
    <w:rsid w:val="0044199F"/>
    <w:rsid w:val="00461500"/>
    <w:rsid w:val="00464100"/>
    <w:rsid w:val="0046724F"/>
    <w:rsid w:val="00470EDE"/>
    <w:rsid w:val="004712C2"/>
    <w:rsid w:val="0047605C"/>
    <w:rsid w:val="0047629A"/>
    <w:rsid w:val="00490DF1"/>
    <w:rsid w:val="004970A9"/>
    <w:rsid w:val="004A7CAA"/>
    <w:rsid w:val="004B2DE6"/>
    <w:rsid w:val="004B3F94"/>
    <w:rsid w:val="004B6BB4"/>
    <w:rsid w:val="004C0940"/>
    <w:rsid w:val="004D0C87"/>
    <w:rsid w:val="004D12F2"/>
    <w:rsid w:val="004D38A7"/>
    <w:rsid w:val="004F18F3"/>
    <w:rsid w:val="004F1F4B"/>
    <w:rsid w:val="004F2037"/>
    <w:rsid w:val="00503059"/>
    <w:rsid w:val="00506015"/>
    <w:rsid w:val="00510B9E"/>
    <w:rsid w:val="00514D94"/>
    <w:rsid w:val="00516719"/>
    <w:rsid w:val="00525BE9"/>
    <w:rsid w:val="00526263"/>
    <w:rsid w:val="0053125C"/>
    <w:rsid w:val="005449B4"/>
    <w:rsid w:val="005524F2"/>
    <w:rsid w:val="00554A96"/>
    <w:rsid w:val="0055626B"/>
    <w:rsid w:val="005606BF"/>
    <w:rsid w:val="0056717E"/>
    <w:rsid w:val="00567794"/>
    <w:rsid w:val="0057306A"/>
    <w:rsid w:val="00575A8C"/>
    <w:rsid w:val="00580669"/>
    <w:rsid w:val="00593F7F"/>
    <w:rsid w:val="0059571C"/>
    <w:rsid w:val="005959F3"/>
    <w:rsid w:val="005A4F31"/>
    <w:rsid w:val="005C1493"/>
    <w:rsid w:val="005C63D4"/>
    <w:rsid w:val="005D22EF"/>
    <w:rsid w:val="005E5253"/>
    <w:rsid w:val="005F2A9F"/>
    <w:rsid w:val="005F69A9"/>
    <w:rsid w:val="006024C3"/>
    <w:rsid w:val="00603DB3"/>
    <w:rsid w:val="00604EB1"/>
    <w:rsid w:val="0060684B"/>
    <w:rsid w:val="0062206D"/>
    <w:rsid w:val="006224A9"/>
    <w:rsid w:val="00623BA6"/>
    <w:rsid w:val="0063582F"/>
    <w:rsid w:val="00640D7D"/>
    <w:rsid w:val="006448C8"/>
    <w:rsid w:val="0064757D"/>
    <w:rsid w:val="00652CEF"/>
    <w:rsid w:val="00656607"/>
    <w:rsid w:val="006A2B48"/>
    <w:rsid w:val="006A43C7"/>
    <w:rsid w:val="006A440A"/>
    <w:rsid w:val="006A707D"/>
    <w:rsid w:val="006D2953"/>
    <w:rsid w:val="006D63F2"/>
    <w:rsid w:val="006D6CF0"/>
    <w:rsid w:val="00703261"/>
    <w:rsid w:val="00710484"/>
    <w:rsid w:val="0071164A"/>
    <w:rsid w:val="00711763"/>
    <w:rsid w:val="007152A5"/>
    <w:rsid w:val="00723F1A"/>
    <w:rsid w:val="00740E77"/>
    <w:rsid w:val="0074783E"/>
    <w:rsid w:val="0075059E"/>
    <w:rsid w:val="00753518"/>
    <w:rsid w:val="007634B5"/>
    <w:rsid w:val="00766ECA"/>
    <w:rsid w:val="007757D6"/>
    <w:rsid w:val="007A4C4D"/>
    <w:rsid w:val="007B323B"/>
    <w:rsid w:val="007B6841"/>
    <w:rsid w:val="007B6C9F"/>
    <w:rsid w:val="007C516A"/>
    <w:rsid w:val="007C593C"/>
    <w:rsid w:val="007C7C60"/>
    <w:rsid w:val="007C7EF1"/>
    <w:rsid w:val="007E4B41"/>
    <w:rsid w:val="007E64F1"/>
    <w:rsid w:val="007F0444"/>
    <w:rsid w:val="007F1261"/>
    <w:rsid w:val="007F1F8C"/>
    <w:rsid w:val="007F571E"/>
    <w:rsid w:val="007F628C"/>
    <w:rsid w:val="00830C92"/>
    <w:rsid w:val="00830EC6"/>
    <w:rsid w:val="0083484C"/>
    <w:rsid w:val="00835DBF"/>
    <w:rsid w:val="0084682D"/>
    <w:rsid w:val="00847B4C"/>
    <w:rsid w:val="008509F1"/>
    <w:rsid w:val="00853FA7"/>
    <w:rsid w:val="00854032"/>
    <w:rsid w:val="00854717"/>
    <w:rsid w:val="00863A38"/>
    <w:rsid w:val="00867029"/>
    <w:rsid w:val="00872CCD"/>
    <w:rsid w:val="0087658D"/>
    <w:rsid w:val="008A26DF"/>
    <w:rsid w:val="008A5B5F"/>
    <w:rsid w:val="008B4802"/>
    <w:rsid w:val="008B49BF"/>
    <w:rsid w:val="008C014E"/>
    <w:rsid w:val="008C0662"/>
    <w:rsid w:val="008D27A4"/>
    <w:rsid w:val="008E7F6B"/>
    <w:rsid w:val="008F3E66"/>
    <w:rsid w:val="008F46E0"/>
    <w:rsid w:val="00902C94"/>
    <w:rsid w:val="00911412"/>
    <w:rsid w:val="0091510C"/>
    <w:rsid w:val="00916CEE"/>
    <w:rsid w:val="00922317"/>
    <w:rsid w:val="00926C66"/>
    <w:rsid w:val="00932831"/>
    <w:rsid w:val="00940371"/>
    <w:rsid w:val="00944BDD"/>
    <w:rsid w:val="009452C3"/>
    <w:rsid w:val="00952BEB"/>
    <w:rsid w:val="00962452"/>
    <w:rsid w:val="00964D55"/>
    <w:rsid w:val="00970A9C"/>
    <w:rsid w:val="009863BF"/>
    <w:rsid w:val="00992738"/>
    <w:rsid w:val="00997EC9"/>
    <w:rsid w:val="009A3893"/>
    <w:rsid w:val="009B046F"/>
    <w:rsid w:val="009C2287"/>
    <w:rsid w:val="009D11AE"/>
    <w:rsid w:val="009D5847"/>
    <w:rsid w:val="009D690A"/>
    <w:rsid w:val="009E09DA"/>
    <w:rsid w:val="009E0D83"/>
    <w:rsid w:val="009E50D3"/>
    <w:rsid w:val="009F7F65"/>
    <w:rsid w:val="00A0092C"/>
    <w:rsid w:val="00A01ACA"/>
    <w:rsid w:val="00A0414E"/>
    <w:rsid w:val="00A1311E"/>
    <w:rsid w:val="00A268E6"/>
    <w:rsid w:val="00A32737"/>
    <w:rsid w:val="00A36367"/>
    <w:rsid w:val="00A41333"/>
    <w:rsid w:val="00A43513"/>
    <w:rsid w:val="00A63DEF"/>
    <w:rsid w:val="00A66079"/>
    <w:rsid w:val="00A71C8A"/>
    <w:rsid w:val="00A74E87"/>
    <w:rsid w:val="00A80FAF"/>
    <w:rsid w:val="00A81B55"/>
    <w:rsid w:val="00A84879"/>
    <w:rsid w:val="00A9001C"/>
    <w:rsid w:val="00A91AB5"/>
    <w:rsid w:val="00A94392"/>
    <w:rsid w:val="00AA6E97"/>
    <w:rsid w:val="00AB6399"/>
    <w:rsid w:val="00AB7E5D"/>
    <w:rsid w:val="00AC708F"/>
    <w:rsid w:val="00AC790E"/>
    <w:rsid w:val="00AD2188"/>
    <w:rsid w:val="00AF2FE8"/>
    <w:rsid w:val="00AF7CD6"/>
    <w:rsid w:val="00B03B18"/>
    <w:rsid w:val="00B167FE"/>
    <w:rsid w:val="00B2146B"/>
    <w:rsid w:val="00B30072"/>
    <w:rsid w:val="00B34A54"/>
    <w:rsid w:val="00B354EF"/>
    <w:rsid w:val="00B35DE4"/>
    <w:rsid w:val="00B40D9C"/>
    <w:rsid w:val="00B451BE"/>
    <w:rsid w:val="00B47D77"/>
    <w:rsid w:val="00B53857"/>
    <w:rsid w:val="00B561C6"/>
    <w:rsid w:val="00B60ED3"/>
    <w:rsid w:val="00B66A85"/>
    <w:rsid w:val="00B732CE"/>
    <w:rsid w:val="00B90C08"/>
    <w:rsid w:val="00B92971"/>
    <w:rsid w:val="00BA0B7D"/>
    <w:rsid w:val="00BA25E0"/>
    <w:rsid w:val="00BA69FA"/>
    <w:rsid w:val="00BB5238"/>
    <w:rsid w:val="00BC1ABD"/>
    <w:rsid w:val="00BC25B7"/>
    <w:rsid w:val="00BC5273"/>
    <w:rsid w:val="00BC716E"/>
    <w:rsid w:val="00BD02F5"/>
    <w:rsid w:val="00BD1E2B"/>
    <w:rsid w:val="00BD3DFF"/>
    <w:rsid w:val="00BE18AB"/>
    <w:rsid w:val="00BF4BE9"/>
    <w:rsid w:val="00BF55AA"/>
    <w:rsid w:val="00C0732C"/>
    <w:rsid w:val="00C17EB1"/>
    <w:rsid w:val="00C2311A"/>
    <w:rsid w:val="00C24DDD"/>
    <w:rsid w:val="00C2518A"/>
    <w:rsid w:val="00C30BC1"/>
    <w:rsid w:val="00C3507E"/>
    <w:rsid w:val="00C44DF6"/>
    <w:rsid w:val="00C47221"/>
    <w:rsid w:val="00C47541"/>
    <w:rsid w:val="00C5352D"/>
    <w:rsid w:val="00C6050F"/>
    <w:rsid w:val="00C60F72"/>
    <w:rsid w:val="00C61237"/>
    <w:rsid w:val="00C725BE"/>
    <w:rsid w:val="00C739F5"/>
    <w:rsid w:val="00C822A9"/>
    <w:rsid w:val="00C838C6"/>
    <w:rsid w:val="00C85C3E"/>
    <w:rsid w:val="00C87371"/>
    <w:rsid w:val="00CA636E"/>
    <w:rsid w:val="00CB074F"/>
    <w:rsid w:val="00CB2638"/>
    <w:rsid w:val="00CD51D9"/>
    <w:rsid w:val="00CE22FA"/>
    <w:rsid w:val="00CF0B52"/>
    <w:rsid w:val="00CF1A51"/>
    <w:rsid w:val="00D1639D"/>
    <w:rsid w:val="00D410E7"/>
    <w:rsid w:val="00D512EB"/>
    <w:rsid w:val="00D522BD"/>
    <w:rsid w:val="00D52BAB"/>
    <w:rsid w:val="00D60F81"/>
    <w:rsid w:val="00D76000"/>
    <w:rsid w:val="00D85B2A"/>
    <w:rsid w:val="00D91916"/>
    <w:rsid w:val="00D92D20"/>
    <w:rsid w:val="00D930AC"/>
    <w:rsid w:val="00D94321"/>
    <w:rsid w:val="00D94721"/>
    <w:rsid w:val="00DA039D"/>
    <w:rsid w:val="00DB024A"/>
    <w:rsid w:val="00DB1362"/>
    <w:rsid w:val="00DB6CCF"/>
    <w:rsid w:val="00DD4FEC"/>
    <w:rsid w:val="00DE007A"/>
    <w:rsid w:val="00DF2116"/>
    <w:rsid w:val="00DF4B41"/>
    <w:rsid w:val="00DF58ED"/>
    <w:rsid w:val="00DF7244"/>
    <w:rsid w:val="00DF728B"/>
    <w:rsid w:val="00E055D7"/>
    <w:rsid w:val="00E06BDD"/>
    <w:rsid w:val="00E10A23"/>
    <w:rsid w:val="00E170BE"/>
    <w:rsid w:val="00E23154"/>
    <w:rsid w:val="00E3129A"/>
    <w:rsid w:val="00E31730"/>
    <w:rsid w:val="00E606FD"/>
    <w:rsid w:val="00E610FB"/>
    <w:rsid w:val="00E70D40"/>
    <w:rsid w:val="00E75BB1"/>
    <w:rsid w:val="00E777C2"/>
    <w:rsid w:val="00E90CCD"/>
    <w:rsid w:val="00E92F02"/>
    <w:rsid w:val="00E943C7"/>
    <w:rsid w:val="00E94992"/>
    <w:rsid w:val="00EA0763"/>
    <w:rsid w:val="00EC2D40"/>
    <w:rsid w:val="00EC4DE8"/>
    <w:rsid w:val="00EE1618"/>
    <w:rsid w:val="00EE2A68"/>
    <w:rsid w:val="00EE41E1"/>
    <w:rsid w:val="00F0064D"/>
    <w:rsid w:val="00F034D8"/>
    <w:rsid w:val="00F05FD6"/>
    <w:rsid w:val="00F07CD0"/>
    <w:rsid w:val="00F51215"/>
    <w:rsid w:val="00F560E9"/>
    <w:rsid w:val="00F5684D"/>
    <w:rsid w:val="00F6181C"/>
    <w:rsid w:val="00F77F98"/>
    <w:rsid w:val="00F84B71"/>
    <w:rsid w:val="00FA5C08"/>
    <w:rsid w:val="00FA6F6A"/>
    <w:rsid w:val="00FB464C"/>
    <w:rsid w:val="00FB4856"/>
    <w:rsid w:val="00FB6F42"/>
    <w:rsid w:val="00FC2A34"/>
    <w:rsid w:val="00FC464B"/>
    <w:rsid w:val="00FC61F6"/>
    <w:rsid w:val="00FF250D"/>
    <w:rsid w:val="00FF71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F1F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831"/>
    <w:pPr>
      <w:spacing w:line="240" w:lineRule="auto"/>
      <w:jc w:val="left"/>
    </w:pPr>
    <w:rPr>
      <w:rFonts w:ascii="Times New Roman" w:eastAsia="Times New Roman" w:hAnsi="Times New Roman" w:cs="Times New Roman"/>
      <w:sz w:val="24"/>
      <w:szCs w:val="24"/>
      <w:lang w:eastAsia="he-IL"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Hebrew">
    <w:name w:val="Normal Hebrew"/>
    <w:basedOn w:val="Normal"/>
    <w:link w:val="NormalHebrewChar"/>
    <w:qFormat/>
    <w:rsid w:val="00A36367"/>
    <w:pPr>
      <w:spacing w:line="360" w:lineRule="auto"/>
      <w:contextualSpacing/>
    </w:pPr>
    <w:rPr>
      <w:rFonts w:ascii="David" w:hAnsi="David" w:cs="David"/>
      <w:b/>
    </w:rPr>
  </w:style>
  <w:style w:type="character" w:customStyle="1" w:styleId="NormalHebrewChar">
    <w:name w:val="Normal Hebrew Char"/>
    <w:basedOn w:val="DefaultParagraphFont"/>
    <w:link w:val="NormalHebrew"/>
    <w:rsid w:val="00A36367"/>
    <w:rPr>
      <w:rFonts w:ascii="David" w:hAnsi="David" w:cs="David"/>
      <w:b/>
      <w:sz w:val="24"/>
      <w:szCs w:val="24"/>
      <w:lang w:bidi="he-IL"/>
    </w:rPr>
  </w:style>
  <w:style w:type="paragraph" w:styleId="FootnoteText">
    <w:name w:val="footnote text"/>
    <w:basedOn w:val="Normal"/>
    <w:link w:val="FootnoteTextChar"/>
    <w:uiPriority w:val="99"/>
    <w:semiHidden/>
    <w:unhideWhenUsed/>
    <w:rsid w:val="00A36367"/>
    <w:pPr>
      <w:spacing w:line="360" w:lineRule="auto"/>
    </w:pPr>
    <w:rPr>
      <w:rFonts w:ascii="David" w:eastAsia="David" w:hAnsi="David" w:cs="David"/>
      <w:sz w:val="20"/>
      <w:szCs w:val="20"/>
    </w:rPr>
  </w:style>
  <w:style w:type="character" w:customStyle="1" w:styleId="FootnoteTextChar">
    <w:name w:val="Footnote Text Char"/>
    <w:basedOn w:val="DefaultParagraphFont"/>
    <w:link w:val="FootnoteText"/>
    <w:uiPriority w:val="99"/>
    <w:semiHidden/>
    <w:rsid w:val="00A36367"/>
    <w:rPr>
      <w:rFonts w:ascii="David" w:eastAsia="David" w:hAnsi="David" w:cs="David"/>
      <w:sz w:val="20"/>
      <w:szCs w:val="20"/>
    </w:rPr>
  </w:style>
  <w:style w:type="character" w:styleId="FootnoteReference">
    <w:name w:val="footnote reference"/>
    <w:basedOn w:val="DefaultParagraphFont"/>
    <w:uiPriority w:val="99"/>
    <w:semiHidden/>
    <w:rsid w:val="00932831"/>
    <w:rPr>
      <w:rFonts w:cs="Times New Roman"/>
      <w:szCs w:val="20"/>
      <w:vertAlign w:val="superscript"/>
    </w:rPr>
  </w:style>
  <w:style w:type="character" w:styleId="PageNumber">
    <w:name w:val="page number"/>
    <w:basedOn w:val="DefaultParagraphFont"/>
    <w:semiHidden/>
    <w:rsid w:val="00932831"/>
  </w:style>
  <w:style w:type="paragraph" w:styleId="Footer">
    <w:name w:val="footer"/>
    <w:basedOn w:val="Normal"/>
    <w:link w:val="FooterChar"/>
    <w:semiHidden/>
    <w:rsid w:val="00932831"/>
    <w:pPr>
      <w:tabs>
        <w:tab w:val="center" w:pos="4320"/>
        <w:tab w:val="right" w:pos="8640"/>
      </w:tabs>
      <w:spacing w:line="360" w:lineRule="auto"/>
      <w:jc w:val="both"/>
    </w:pPr>
    <w:rPr>
      <w:rFonts w:cs="David"/>
      <w:szCs w:val="28"/>
    </w:rPr>
  </w:style>
  <w:style w:type="character" w:customStyle="1" w:styleId="FooterChar">
    <w:name w:val="Footer Char"/>
    <w:basedOn w:val="DefaultParagraphFont"/>
    <w:link w:val="Footer"/>
    <w:semiHidden/>
    <w:rsid w:val="00932831"/>
    <w:rPr>
      <w:rFonts w:ascii="Times New Roman" w:eastAsia="Times New Roman" w:hAnsi="Times New Roman" w:cs="David"/>
      <w:sz w:val="24"/>
      <w:szCs w:val="28"/>
      <w:lang w:eastAsia="he-IL" w:bidi="he-IL"/>
    </w:rPr>
  </w:style>
  <w:style w:type="paragraph" w:styleId="ListParagraph">
    <w:name w:val="List Paragraph"/>
    <w:basedOn w:val="Normal"/>
    <w:uiPriority w:val="34"/>
    <w:qFormat/>
    <w:rsid w:val="003256B0"/>
    <w:pPr>
      <w:spacing w:line="259" w:lineRule="auto"/>
      <w:ind w:left="720"/>
      <w:contextualSpacing/>
      <w:jc w:val="both"/>
    </w:pPr>
    <w:rPr>
      <w:rFonts w:asciiTheme="minorHAnsi" w:eastAsiaTheme="minorHAnsi" w:hAnsiTheme="minorHAnsi" w:cstheme="minorBidi"/>
      <w:sz w:val="22"/>
      <w:szCs w:val="22"/>
      <w:lang w:eastAsia="en-US" w:bidi="ar-SA"/>
    </w:rPr>
  </w:style>
  <w:style w:type="paragraph" w:styleId="BalloonText">
    <w:name w:val="Balloon Text"/>
    <w:basedOn w:val="Normal"/>
    <w:link w:val="BalloonTextChar"/>
    <w:uiPriority w:val="99"/>
    <w:semiHidden/>
    <w:unhideWhenUsed/>
    <w:rsid w:val="00A94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392"/>
    <w:rPr>
      <w:rFonts w:ascii="Segoe UI" w:eastAsia="Times New Roman" w:hAnsi="Segoe UI" w:cs="Segoe UI"/>
      <w:sz w:val="18"/>
      <w:szCs w:val="18"/>
      <w:lang w:eastAsia="he-IL" w:bidi="he-IL"/>
    </w:rPr>
  </w:style>
  <w:style w:type="paragraph" w:styleId="Header">
    <w:name w:val="header"/>
    <w:basedOn w:val="Normal"/>
    <w:link w:val="HeaderChar"/>
    <w:uiPriority w:val="99"/>
    <w:unhideWhenUsed/>
    <w:rsid w:val="00BC25B7"/>
    <w:pPr>
      <w:tabs>
        <w:tab w:val="center" w:pos="4819"/>
        <w:tab w:val="right" w:pos="9638"/>
      </w:tabs>
    </w:pPr>
  </w:style>
  <w:style w:type="character" w:customStyle="1" w:styleId="HeaderChar">
    <w:name w:val="Header Char"/>
    <w:basedOn w:val="DefaultParagraphFont"/>
    <w:link w:val="Header"/>
    <w:uiPriority w:val="99"/>
    <w:rsid w:val="00BC25B7"/>
    <w:rPr>
      <w:rFonts w:ascii="Times New Roman" w:eastAsia="Times New Roman" w:hAnsi="Times New Roman" w:cs="Times New Roman"/>
      <w:sz w:val="24"/>
      <w:szCs w:val="24"/>
      <w:lang w:eastAsia="he-IL" w:bidi="he-IL"/>
    </w:rPr>
  </w:style>
  <w:style w:type="character" w:styleId="CommentReference">
    <w:name w:val="annotation reference"/>
    <w:basedOn w:val="DefaultParagraphFont"/>
    <w:uiPriority w:val="99"/>
    <w:semiHidden/>
    <w:unhideWhenUsed/>
    <w:rsid w:val="002D558A"/>
    <w:rPr>
      <w:sz w:val="16"/>
      <w:szCs w:val="16"/>
    </w:rPr>
  </w:style>
  <w:style w:type="paragraph" w:styleId="CommentText">
    <w:name w:val="annotation text"/>
    <w:basedOn w:val="Normal"/>
    <w:link w:val="CommentTextChar"/>
    <w:uiPriority w:val="99"/>
    <w:semiHidden/>
    <w:unhideWhenUsed/>
    <w:rsid w:val="002D558A"/>
    <w:rPr>
      <w:sz w:val="20"/>
      <w:szCs w:val="20"/>
    </w:rPr>
  </w:style>
  <w:style w:type="character" w:customStyle="1" w:styleId="CommentTextChar">
    <w:name w:val="Comment Text Char"/>
    <w:basedOn w:val="DefaultParagraphFont"/>
    <w:link w:val="CommentText"/>
    <w:uiPriority w:val="99"/>
    <w:semiHidden/>
    <w:rsid w:val="002D558A"/>
    <w:rPr>
      <w:rFonts w:ascii="Times New Roman" w:eastAsia="Times New Roman" w:hAnsi="Times New Roman" w:cs="Times New Roman"/>
      <w:sz w:val="20"/>
      <w:szCs w:val="20"/>
      <w:lang w:eastAsia="he-IL" w:bidi="he-IL"/>
    </w:rPr>
  </w:style>
  <w:style w:type="paragraph" w:styleId="CommentSubject">
    <w:name w:val="annotation subject"/>
    <w:basedOn w:val="CommentText"/>
    <w:next w:val="CommentText"/>
    <w:link w:val="CommentSubjectChar"/>
    <w:uiPriority w:val="99"/>
    <w:semiHidden/>
    <w:unhideWhenUsed/>
    <w:rsid w:val="002D558A"/>
    <w:rPr>
      <w:b/>
      <w:bCs/>
    </w:rPr>
  </w:style>
  <w:style w:type="character" w:customStyle="1" w:styleId="CommentSubjectChar">
    <w:name w:val="Comment Subject Char"/>
    <w:basedOn w:val="CommentTextChar"/>
    <w:link w:val="CommentSubject"/>
    <w:uiPriority w:val="99"/>
    <w:semiHidden/>
    <w:rsid w:val="002D558A"/>
    <w:rPr>
      <w:rFonts w:ascii="Times New Roman" w:eastAsia="Times New Roman" w:hAnsi="Times New Roman" w:cs="Times New Roman"/>
      <w:b/>
      <w:bCs/>
      <w:sz w:val="20"/>
      <w:szCs w:val="20"/>
      <w:lang w:eastAsia="he-IL" w:bidi="he-IL"/>
    </w:rPr>
  </w:style>
  <w:style w:type="paragraph" w:styleId="Revision">
    <w:name w:val="Revision"/>
    <w:hidden/>
    <w:uiPriority w:val="99"/>
    <w:semiHidden/>
    <w:rsid w:val="002231F0"/>
    <w:pPr>
      <w:bidi w:val="0"/>
      <w:spacing w:line="240" w:lineRule="auto"/>
      <w:jc w:val="left"/>
    </w:pPr>
    <w:rPr>
      <w:rFonts w:ascii="Times New Roman" w:eastAsia="Times New Roman" w:hAnsi="Times New Roman" w:cs="Times New Roman"/>
      <w:sz w:val="24"/>
      <w:szCs w:val="24"/>
      <w:lang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45051">
      <w:bodyDiv w:val="1"/>
      <w:marLeft w:val="0"/>
      <w:marRight w:val="0"/>
      <w:marTop w:val="0"/>
      <w:marBottom w:val="0"/>
      <w:divBdr>
        <w:top w:val="none" w:sz="0" w:space="0" w:color="auto"/>
        <w:left w:val="none" w:sz="0" w:space="0" w:color="auto"/>
        <w:bottom w:val="none" w:sz="0" w:space="0" w:color="auto"/>
        <w:right w:val="none" w:sz="0" w:space="0" w:color="auto"/>
      </w:divBdr>
      <w:divsChild>
        <w:div w:id="1564947853">
          <w:marLeft w:val="0"/>
          <w:marRight w:val="0"/>
          <w:marTop w:val="0"/>
          <w:marBottom w:val="0"/>
          <w:divBdr>
            <w:top w:val="none" w:sz="0" w:space="0" w:color="auto"/>
            <w:left w:val="none" w:sz="0" w:space="0" w:color="auto"/>
            <w:bottom w:val="none" w:sz="0" w:space="0" w:color="auto"/>
            <w:right w:val="none" w:sz="0" w:space="0" w:color="auto"/>
          </w:divBdr>
          <w:divsChild>
            <w:div w:id="340471593">
              <w:marLeft w:val="0"/>
              <w:marRight w:val="0"/>
              <w:marTop w:val="0"/>
              <w:marBottom w:val="0"/>
              <w:divBdr>
                <w:top w:val="none" w:sz="0" w:space="0" w:color="auto"/>
                <w:left w:val="none" w:sz="0" w:space="0" w:color="auto"/>
                <w:bottom w:val="none" w:sz="0" w:space="0" w:color="auto"/>
                <w:right w:val="none" w:sz="0" w:space="0" w:color="auto"/>
              </w:divBdr>
            </w:div>
          </w:divsChild>
        </w:div>
        <w:div w:id="105975879">
          <w:marLeft w:val="0"/>
          <w:marRight w:val="0"/>
          <w:marTop w:val="0"/>
          <w:marBottom w:val="0"/>
          <w:divBdr>
            <w:top w:val="none" w:sz="0" w:space="0" w:color="auto"/>
            <w:left w:val="none" w:sz="0" w:space="0" w:color="auto"/>
            <w:bottom w:val="none" w:sz="0" w:space="0" w:color="auto"/>
            <w:right w:val="none" w:sz="0" w:space="0" w:color="auto"/>
          </w:divBdr>
          <w:divsChild>
            <w:div w:id="900671188">
              <w:marLeft w:val="0"/>
              <w:marRight w:val="0"/>
              <w:marTop w:val="0"/>
              <w:marBottom w:val="0"/>
              <w:divBdr>
                <w:top w:val="none" w:sz="0" w:space="0" w:color="auto"/>
                <w:left w:val="none" w:sz="0" w:space="0" w:color="auto"/>
                <w:bottom w:val="none" w:sz="0" w:space="0" w:color="auto"/>
                <w:right w:val="none" w:sz="0" w:space="0" w:color="auto"/>
              </w:divBdr>
              <w:divsChild>
                <w:div w:id="1222130777">
                  <w:marLeft w:val="0"/>
                  <w:marRight w:val="0"/>
                  <w:marTop w:val="375"/>
                  <w:marBottom w:val="375"/>
                  <w:divBdr>
                    <w:top w:val="none" w:sz="0" w:space="0" w:color="auto"/>
                    <w:left w:val="none" w:sz="0" w:space="0" w:color="auto"/>
                    <w:bottom w:val="none" w:sz="0" w:space="0" w:color="auto"/>
                    <w:right w:val="none" w:sz="0" w:space="0" w:color="auto"/>
                  </w:divBdr>
                  <w:divsChild>
                    <w:div w:id="575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4406">
              <w:marLeft w:val="0"/>
              <w:marRight w:val="0"/>
              <w:marTop w:val="0"/>
              <w:marBottom w:val="0"/>
              <w:divBdr>
                <w:top w:val="none" w:sz="0" w:space="0" w:color="auto"/>
                <w:left w:val="none" w:sz="0" w:space="0" w:color="auto"/>
                <w:bottom w:val="none" w:sz="0" w:space="0" w:color="auto"/>
                <w:right w:val="none" w:sz="0" w:space="0" w:color="auto"/>
              </w:divBdr>
              <w:divsChild>
                <w:div w:id="772743904">
                  <w:marLeft w:val="0"/>
                  <w:marRight w:val="0"/>
                  <w:marTop w:val="0"/>
                  <w:marBottom w:val="0"/>
                  <w:divBdr>
                    <w:top w:val="none" w:sz="0" w:space="0" w:color="auto"/>
                    <w:left w:val="none" w:sz="0" w:space="0" w:color="auto"/>
                    <w:bottom w:val="none" w:sz="0" w:space="0" w:color="auto"/>
                    <w:right w:val="none" w:sz="0" w:space="0" w:color="auto"/>
                  </w:divBdr>
                </w:div>
                <w:div w:id="469709717">
                  <w:marLeft w:val="0"/>
                  <w:marRight w:val="0"/>
                  <w:marTop w:val="0"/>
                  <w:marBottom w:val="0"/>
                  <w:divBdr>
                    <w:top w:val="none" w:sz="0" w:space="0" w:color="auto"/>
                    <w:left w:val="none" w:sz="0" w:space="0" w:color="auto"/>
                    <w:bottom w:val="none" w:sz="0" w:space="0" w:color="auto"/>
                    <w:right w:val="none" w:sz="0" w:space="0" w:color="auto"/>
                  </w:divBdr>
                </w:div>
                <w:div w:id="1545480302">
                  <w:marLeft w:val="0"/>
                  <w:marRight w:val="0"/>
                  <w:marTop w:val="0"/>
                  <w:marBottom w:val="0"/>
                  <w:divBdr>
                    <w:top w:val="none" w:sz="0" w:space="0" w:color="auto"/>
                    <w:left w:val="none" w:sz="0" w:space="0" w:color="auto"/>
                    <w:bottom w:val="none" w:sz="0" w:space="0" w:color="auto"/>
                    <w:right w:val="none" w:sz="0" w:space="0" w:color="auto"/>
                  </w:divBdr>
                </w:div>
                <w:div w:id="818066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485099110">
          <w:marLeft w:val="0"/>
          <w:marRight w:val="0"/>
          <w:marTop w:val="0"/>
          <w:marBottom w:val="0"/>
          <w:divBdr>
            <w:top w:val="none" w:sz="0" w:space="0" w:color="auto"/>
            <w:left w:val="none" w:sz="0" w:space="0" w:color="auto"/>
            <w:bottom w:val="none" w:sz="0" w:space="0" w:color="auto"/>
            <w:right w:val="none" w:sz="0" w:space="0" w:color="auto"/>
          </w:divBdr>
          <w:divsChild>
            <w:div w:id="576869546">
              <w:marLeft w:val="0"/>
              <w:marRight w:val="0"/>
              <w:marTop w:val="0"/>
              <w:marBottom w:val="0"/>
              <w:divBdr>
                <w:top w:val="none" w:sz="0" w:space="0" w:color="auto"/>
                <w:left w:val="none" w:sz="0" w:space="0" w:color="auto"/>
                <w:bottom w:val="none" w:sz="0" w:space="0" w:color="auto"/>
                <w:right w:val="none" w:sz="0" w:space="0" w:color="auto"/>
              </w:divBdr>
              <w:divsChild>
                <w:div w:id="1093740464">
                  <w:marLeft w:val="0"/>
                  <w:marRight w:val="0"/>
                  <w:marTop w:val="0"/>
                  <w:marBottom w:val="0"/>
                  <w:divBdr>
                    <w:top w:val="none" w:sz="0" w:space="0" w:color="auto"/>
                    <w:left w:val="none" w:sz="0" w:space="0" w:color="auto"/>
                    <w:bottom w:val="none" w:sz="0" w:space="0" w:color="auto"/>
                    <w:right w:val="none" w:sz="0" w:space="0" w:color="auto"/>
                  </w:divBdr>
                  <w:divsChild>
                    <w:div w:id="242689045">
                      <w:marLeft w:val="0"/>
                      <w:marRight w:val="0"/>
                      <w:marTop w:val="0"/>
                      <w:marBottom w:val="0"/>
                      <w:divBdr>
                        <w:top w:val="none" w:sz="0" w:space="0" w:color="auto"/>
                        <w:left w:val="none" w:sz="0" w:space="0" w:color="auto"/>
                        <w:bottom w:val="none" w:sz="0" w:space="0" w:color="auto"/>
                        <w:right w:val="none" w:sz="0" w:space="0" w:color="auto"/>
                      </w:divBdr>
                      <w:divsChild>
                        <w:div w:id="212234288">
                          <w:marLeft w:val="0"/>
                          <w:marRight w:val="0"/>
                          <w:marTop w:val="0"/>
                          <w:marBottom w:val="0"/>
                          <w:divBdr>
                            <w:top w:val="none" w:sz="0" w:space="0" w:color="auto"/>
                            <w:left w:val="none" w:sz="0" w:space="0" w:color="auto"/>
                            <w:bottom w:val="none" w:sz="0" w:space="0" w:color="auto"/>
                            <w:right w:val="none" w:sz="0" w:space="0" w:color="auto"/>
                          </w:divBdr>
                          <w:divsChild>
                            <w:div w:id="1955942479">
                              <w:marLeft w:val="0"/>
                              <w:marRight w:val="0"/>
                              <w:marTop w:val="0"/>
                              <w:marBottom w:val="0"/>
                              <w:divBdr>
                                <w:top w:val="none" w:sz="0" w:space="0" w:color="auto"/>
                                <w:left w:val="none" w:sz="0" w:space="0" w:color="auto"/>
                                <w:bottom w:val="none" w:sz="0" w:space="0" w:color="auto"/>
                                <w:right w:val="none" w:sz="0" w:space="0" w:color="auto"/>
                              </w:divBdr>
                              <w:divsChild>
                                <w:div w:id="763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465085">
      <w:bodyDiv w:val="1"/>
      <w:marLeft w:val="0"/>
      <w:marRight w:val="0"/>
      <w:marTop w:val="0"/>
      <w:marBottom w:val="0"/>
      <w:divBdr>
        <w:top w:val="none" w:sz="0" w:space="0" w:color="auto"/>
        <w:left w:val="none" w:sz="0" w:space="0" w:color="auto"/>
        <w:bottom w:val="none" w:sz="0" w:space="0" w:color="auto"/>
        <w:right w:val="none" w:sz="0" w:space="0" w:color="auto"/>
      </w:divBdr>
    </w:div>
    <w:div w:id="772625263">
      <w:bodyDiv w:val="1"/>
      <w:marLeft w:val="0"/>
      <w:marRight w:val="0"/>
      <w:marTop w:val="0"/>
      <w:marBottom w:val="0"/>
      <w:divBdr>
        <w:top w:val="none" w:sz="0" w:space="0" w:color="auto"/>
        <w:left w:val="none" w:sz="0" w:space="0" w:color="auto"/>
        <w:bottom w:val="none" w:sz="0" w:space="0" w:color="auto"/>
        <w:right w:val="none" w:sz="0" w:space="0" w:color="auto"/>
      </w:divBdr>
      <w:divsChild>
        <w:div w:id="1596354530">
          <w:marLeft w:val="0"/>
          <w:marRight w:val="0"/>
          <w:marTop w:val="0"/>
          <w:marBottom w:val="0"/>
          <w:divBdr>
            <w:top w:val="none" w:sz="0" w:space="0" w:color="auto"/>
            <w:left w:val="none" w:sz="0" w:space="0" w:color="auto"/>
            <w:bottom w:val="none" w:sz="0" w:space="0" w:color="auto"/>
            <w:right w:val="none" w:sz="0" w:space="0" w:color="auto"/>
          </w:divBdr>
          <w:divsChild>
            <w:div w:id="2113821708">
              <w:marLeft w:val="0"/>
              <w:marRight w:val="0"/>
              <w:marTop w:val="0"/>
              <w:marBottom w:val="0"/>
              <w:divBdr>
                <w:top w:val="none" w:sz="0" w:space="0" w:color="auto"/>
                <w:left w:val="none" w:sz="0" w:space="0" w:color="auto"/>
                <w:bottom w:val="none" w:sz="0" w:space="0" w:color="auto"/>
                <w:right w:val="none" w:sz="0" w:space="0" w:color="auto"/>
              </w:divBdr>
            </w:div>
          </w:divsChild>
        </w:div>
        <w:div w:id="344750255">
          <w:marLeft w:val="0"/>
          <w:marRight w:val="0"/>
          <w:marTop w:val="0"/>
          <w:marBottom w:val="0"/>
          <w:divBdr>
            <w:top w:val="none" w:sz="0" w:space="0" w:color="auto"/>
            <w:left w:val="none" w:sz="0" w:space="0" w:color="auto"/>
            <w:bottom w:val="none" w:sz="0" w:space="0" w:color="auto"/>
            <w:right w:val="none" w:sz="0" w:space="0" w:color="auto"/>
          </w:divBdr>
          <w:divsChild>
            <w:div w:id="2014456012">
              <w:marLeft w:val="0"/>
              <w:marRight w:val="0"/>
              <w:marTop w:val="0"/>
              <w:marBottom w:val="0"/>
              <w:divBdr>
                <w:top w:val="none" w:sz="0" w:space="0" w:color="auto"/>
                <w:left w:val="none" w:sz="0" w:space="0" w:color="auto"/>
                <w:bottom w:val="none" w:sz="0" w:space="0" w:color="auto"/>
                <w:right w:val="none" w:sz="0" w:space="0" w:color="auto"/>
              </w:divBdr>
              <w:divsChild>
                <w:div w:id="539900361">
                  <w:marLeft w:val="0"/>
                  <w:marRight w:val="0"/>
                  <w:marTop w:val="375"/>
                  <w:marBottom w:val="375"/>
                  <w:divBdr>
                    <w:top w:val="none" w:sz="0" w:space="0" w:color="auto"/>
                    <w:left w:val="none" w:sz="0" w:space="0" w:color="auto"/>
                    <w:bottom w:val="none" w:sz="0" w:space="0" w:color="auto"/>
                    <w:right w:val="none" w:sz="0" w:space="0" w:color="auto"/>
                  </w:divBdr>
                  <w:divsChild>
                    <w:div w:id="3038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7412">
              <w:marLeft w:val="0"/>
              <w:marRight w:val="0"/>
              <w:marTop w:val="0"/>
              <w:marBottom w:val="0"/>
              <w:divBdr>
                <w:top w:val="none" w:sz="0" w:space="0" w:color="auto"/>
                <w:left w:val="none" w:sz="0" w:space="0" w:color="auto"/>
                <w:bottom w:val="none" w:sz="0" w:space="0" w:color="auto"/>
                <w:right w:val="none" w:sz="0" w:space="0" w:color="auto"/>
              </w:divBdr>
              <w:divsChild>
                <w:div w:id="1292395001">
                  <w:marLeft w:val="0"/>
                  <w:marRight w:val="0"/>
                  <w:marTop w:val="0"/>
                  <w:marBottom w:val="0"/>
                  <w:divBdr>
                    <w:top w:val="none" w:sz="0" w:space="0" w:color="auto"/>
                    <w:left w:val="none" w:sz="0" w:space="0" w:color="auto"/>
                    <w:bottom w:val="none" w:sz="0" w:space="0" w:color="auto"/>
                    <w:right w:val="none" w:sz="0" w:space="0" w:color="auto"/>
                  </w:divBdr>
                </w:div>
                <w:div w:id="299386015">
                  <w:marLeft w:val="0"/>
                  <w:marRight w:val="0"/>
                  <w:marTop w:val="0"/>
                  <w:marBottom w:val="0"/>
                  <w:divBdr>
                    <w:top w:val="none" w:sz="0" w:space="0" w:color="auto"/>
                    <w:left w:val="none" w:sz="0" w:space="0" w:color="auto"/>
                    <w:bottom w:val="none" w:sz="0" w:space="0" w:color="auto"/>
                    <w:right w:val="none" w:sz="0" w:space="0" w:color="auto"/>
                  </w:divBdr>
                </w:div>
                <w:div w:id="1587038121">
                  <w:marLeft w:val="0"/>
                  <w:marRight w:val="0"/>
                  <w:marTop w:val="0"/>
                  <w:marBottom w:val="0"/>
                  <w:divBdr>
                    <w:top w:val="none" w:sz="0" w:space="0" w:color="auto"/>
                    <w:left w:val="none" w:sz="0" w:space="0" w:color="auto"/>
                    <w:bottom w:val="none" w:sz="0" w:space="0" w:color="auto"/>
                    <w:right w:val="none" w:sz="0" w:space="0" w:color="auto"/>
                  </w:divBdr>
                </w:div>
                <w:div w:id="20775136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339427924">
          <w:marLeft w:val="0"/>
          <w:marRight w:val="0"/>
          <w:marTop w:val="0"/>
          <w:marBottom w:val="0"/>
          <w:divBdr>
            <w:top w:val="none" w:sz="0" w:space="0" w:color="auto"/>
            <w:left w:val="none" w:sz="0" w:space="0" w:color="auto"/>
            <w:bottom w:val="none" w:sz="0" w:space="0" w:color="auto"/>
            <w:right w:val="none" w:sz="0" w:space="0" w:color="auto"/>
          </w:divBdr>
          <w:divsChild>
            <w:div w:id="178587470">
              <w:marLeft w:val="0"/>
              <w:marRight w:val="0"/>
              <w:marTop w:val="0"/>
              <w:marBottom w:val="0"/>
              <w:divBdr>
                <w:top w:val="none" w:sz="0" w:space="0" w:color="auto"/>
                <w:left w:val="none" w:sz="0" w:space="0" w:color="auto"/>
                <w:bottom w:val="none" w:sz="0" w:space="0" w:color="auto"/>
                <w:right w:val="none" w:sz="0" w:space="0" w:color="auto"/>
              </w:divBdr>
              <w:divsChild>
                <w:div w:id="1900435132">
                  <w:marLeft w:val="0"/>
                  <w:marRight w:val="0"/>
                  <w:marTop w:val="0"/>
                  <w:marBottom w:val="0"/>
                  <w:divBdr>
                    <w:top w:val="none" w:sz="0" w:space="0" w:color="auto"/>
                    <w:left w:val="none" w:sz="0" w:space="0" w:color="auto"/>
                    <w:bottom w:val="none" w:sz="0" w:space="0" w:color="auto"/>
                    <w:right w:val="none" w:sz="0" w:space="0" w:color="auto"/>
                  </w:divBdr>
                  <w:divsChild>
                    <w:div w:id="1775586489">
                      <w:marLeft w:val="0"/>
                      <w:marRight w:val="0"/>
                      <w:marTop w:val="0"/>
                      <w:marBottom w:val="0"/>
                      <w:divBdr>
                        <w:top w:val="none" w:sz="0" w:space="0" w:color="auto"/>
                        <w:left w:val="none" w:sz="0" w:space="0" w:color="auto"/>
                        <w:bottom w:val="none" w:sz="0" w:space="0" w:color="auto"/>
                        <w:right w:val="none" w:sz="0" w:space="0" w:color="auto"/>
                      </w:divBdr>
                      <w:divsChild>
                        <w:div w:id="625547135">
                          <w:marLeft w:val="0"/>
                          <w:marRight w:val="0"/>
                          <w:marTop w:val="0"/>
                          <w:marBottom w:val="0"/>
                          <w:divBdr>
                            <w:top w:val="none" w:sz="0" w:space="0" w:color="auto"/>
                            <w:left w:val="none" w:sz="0" w:space="0" w:color="auto"/>
                            <w:bottom w:val="none" w:sz="0" w:space="0" w:color="auto"/>
                            <w:right w:val="none" w:sz="0" w:space="0" w:color="auto"/>
                          </w:divBdr>
                          <w:divsChild>
                            <w:div w:id="1787193933">
                              <w:marLeft w:val="0"/>
                              <w:marRight w:val="0"/>
                              <w:marTop w:val="0"/>
                              <w:marBottom w:val="0"/>
                              <w:divBdr>
                                <w:top w:val="none" w:sz="0" w:space="0" w:color="auto"/>
                                <w:left w:val="none" w:sz="0" w:space="0" w:color="auto"/>
                                <w:bottom w:val="none" w:sz="0" w:space="0" w:color="auto"/>
                                <w:right w:val="none" w:sz="0" w:space="0" w:color="auto"/>
                              </w:divBdr>
                              <w:divsChild>
                                <w:div w:id="18419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99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1AEA0-2E34-4A9F-B055-8866D9E4F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3743</Words>
  <Characters>21337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2021-04-13T05:40:00Z</dcterms:created>
  <dcterms:modified xsi:type="dcterms:W3CDTF">2021-04-18T14:21:00Z</dcterms:modified>
</cp:coreProperties>
</file>