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FCB1" w14:textId="6EB27931" w:rsidR="00B72CFF" w:rsidRDefault="00063000" w:rsidP="00063000">
      <w:r>
        <w:t xml:space="preserve">&lt;H1&gt; </w:t>
      </w:r>
      <w:r w:rsidR="00B72CFF" w:rsidRPr="00063000">
        <w:t xml:space="preserve">Rabbi Meyuhas ben Elijah: New Perspectives on His Works, </w:t>
      </w:r>
      <w:r w:rsidR="000769B2" w:rsidRPr="00063000">
        <w:t>Geographical Provenance</w:t>
      </w:r>
      <w:r w:rsidR="00B72CFF" w:rsidRPr="00063000">
        <w:t>, and Chronology</w:t>
      </w:r>
      <w:r>
        <w:t xml:space="preserve"> </w:t>
      </w:r>
    </w:p>
    <w:p w14:paraId="4FE050D3" w14:textId="77777777" w:rsidR="00DB1244" w:rsidRDefault="00DB1244" w:rsidP="00063000"/>
    <w:p w14:paraId="0673EFE4" w14:textId="3167BDDD" w:rsidR="00B72CFF" w:rsidRDefault="00B72CFF" w:rsidP="00063000">
      <w:r w:rsidRPr="00063000">
        <w:t xml:space="preserve">Rabbi Meyuhas ben Elijah was a biblical exegete who lived in the Byzantine Empire in the first half of the </w:t>
      </w:r>
      <w:r w:rsidR="004B25CE">
        <w:t>previous</w:t>
      </w:r>
      <w:r w:rsidRPr="00063000">
        <w:t xml:space="preserve"> millennium. Very little is known about his life, and few studies have explored him and his exegetical works.</w:t>
      </w:r>
      <w:r w:rsidRPr="00063000">
        <w:rPr>
          <w:rStyle w:val="FootnoteReference"/>
          <w:rFonts w:cstheme="majorBidi"/>
          <w:szCs w:val="24"/>
        </w:rPr>
        <w:footnoteReference w:id="1"/>
      </w:r>
      <w:r w:rsidRPr="00063000">
        <w:t xml:space="preserve"> </w:t>
      </w:r>
      <w:r w:rsidR="004B25CE" w:rsidRPr="004B25CE">
        <w:t>A</w:t>
      </w:r>
      <w:r w:rsidRPr="004B25CE">
        <w:t xml:space="preserve"> major debate in scholarship </w:t>
      </w:r>
      <w:r w:rsidR="004B25CE" w:rsidRPr="004B25CE">
        <w:t>pertains</w:t>
      </w:r>
      <w:r w:rsidRPr="004B25CE">
        <w:t xml:space="preserve"> </w:t>
      </w:r>
      <w:r w:rsidR="004B25CE">
        <w:t xml:space="preserve">to </w:t>
      </w:r>
      <w:r w:rsidRPr="004B25CE">
        <w:t>the era in which he was active</w:t>
      </w:r>
      <w:r w:rsidRPr="00063000">
        <w:t>. The present article offers a new discussion of his geographical provenance, his works, and his biographical chronology</w:t>
      </w:r>
      <w:r w:rsidR="002267DE">
        <w:t>—</w:t>
      </w:r>
      <w:r w:rsidRPr="00063000">
        <w:t xml:space="preserve">offering both a reconsideration of previously </w:t>
      </w:r>
      <w:r w:rsidRPr="004B25CE">
        <w:t xml:space="preserve">discussed </w:t>
      </w:r>
      <w:r w:rsidR="004B25CE">
        <w:t>facts</w:t>
      </w:r>
      <w:r w:rsidRPr="004B25CE">
        <w:t xml:space="preserve"> as well as a </w:t>
      </w:r>
      <w:r w:rsidR="004B25CE" w:rsidRPr="004B25CE">
        <w:t>consideration</w:t>
      </w:r>
      <w:r w:rsidRPr="004B25CE">
        <w:t xml:space="preserve"> of </w:t>
      </w:r>
      <w:r w:rsidR="004B25CE">
        <w:t>new information.</w:t>
      </w:r>
    </w:p>
    <w:p w14:paraId="5D79819E" w14:textId="77777777" w:rsidR="00063000" w:rsidRPr="00063000" w:rsidRDefault="00063000" w:rsidP="00063000">
      <w:pPr>
        <w:rPr>
          <w:rtl/>
        </w:rPr>
      </w:pPr>
    </w:p>
    <w:p w14:paraId="28C6AC49" w14:textId="257D9894" w:rsidR="00B72CFF" w:rsidRDefault="00063000" w:rsidP="00063000">
      <w:r>
        <w:t xml:space="preserve">&lt;H2&gt; </w:t>
      </w:r>
      <w:r w:rsidR="00B72CFF" w:rsidRPr="00063000">
        <w:t>Geography</w:t>
      </w:r>
    </w:p>
    <w:p w14:paraId="5E5320BC" w14:textId="77777777" w:rsidR="00063000" w:rsidRPr="00063000" w:rsidRDefault="00063000" w:rsidP="00063000">
      <w:pPr>
        <w:rPr>
          <w:rtl/>
        </w:rPr>
      </w:pPr>
    </w:p>
    <w:p w14:paraId="68CC37AC" w14:textId="04A2DAD8" w:rsidR="00B72CFF" w:rsidRPr="00063000" w:rsidRDefault="004B25CE" w:rsidP="00063000">
      <w:pPr>
        <w:rPr>
          <w:rtl/>
        </w:rPr>
      </w:pPr>
      <w:r>
        <w:t>Scholars agree</w:t>
      </w:r>
      <w:r w:rsidR="00B72CFF" w:rsidRPr="00063000">
        <w:t xml:space="preserve"> that Rabbi Meyuhas hailed from a Greek speaking-country, i.e., from one of the territories of the Byzantine Empire</w:t>
      </w:r>
      <w:r w:rsidR="002267DE">
        <w:t>.</w:t>
      </w:r>
      <w:commentRangeStart w:id="0"/>
      <w:r w:rsidR="004C7FD3">
        <w:rPr>
          <w:rStyle w:val="FootnoteReference"/>
        </w:rPr>
        <w:footnoteReference w:id="2"/>
      </w:r>
      <w:r w:rsidR="00B72CFF" w:rsidRPr="00063000">
        <w:t xml:space="preserve"> </w:t>
      </w:r>
      <w:commentRangeEnd w:id="0"/>
      <w:r w:rsidR="001C6026">
        <w:rPr>
          <w:rStyle w:val="CommentReference"/>
        </w:rPr>
        <w:commentReference w:id="0"/>
      </w:r>
      <w:r w:rsidR="002267DE">
        <w:t>This</w:t>
      </w:r>
      <w:r w:rsidR="00B72CFF" w:rsidRPr="00063000">
        <w:t xml:space="preserve"> assumption</w:t>
      </w:r>
      <w:r w:rsidR="002267DE">
        <w:t xml:space="preserve"> is</w:t>
      </w:r>
      <w:r w:rsidR="00B72CFF" w:rsidRPr="00063000">
        <w:t xml:space="preserve"> supported by the following considerations: </w:t>
      </w:r>
    </w:p>
    <w:p w14:paraId="7D80A270" w14:textId="0B15DF76" w:rsidR="00B72CFF" w:rsidRPr="00063000" w:rsidRDefault="00B72CFF" w:rsidP="00063000">
      <w:pPr>
        <w:pStyle w:val="ListParagraph"/>
        <w:numPr>
          <w:ilvl w:val="0"/>
          <w:numId w:val="1"/>
        </w:numPr>
      </w:pPr>
      <w:r w:rsidRPr="00063000">
        <w:lastRenderedPageBreak/>
        <w:t>Rabbi Meyuhas uses Greek words throughout his commentary. For example: “‘He was a mighty [</w:t>
      </w:r>
      <w:commentRangeStart w:id="1"/>
      <w:proofErr w:type="spellStart"/>
      <w:r w:rsidR="00B32088" w:rsidRPr="004B25CE">
        <w:rPr>
          <w:rFonts w:hint="cs"/>
          <w:rtl/>
        </w:rPr>
        <w:t>גבור</w:t>
      </w:r>
      <w:commentRangeEnd w:id="1"/>
      <w:proofErr w:type="spellEnd"/>
      <w:r w:rsidR="002267DE">
        <w:rPr>
          <w:rStyle w:val="CommentReference"/>
          <w:rtl/>
        </w:rPr>
        <w:commentReference w:id="1"/>
      </w:r>
      <w:r w:rsidRPr="00063000">
        <w:t xml:space="preserve">] hunter’ [...] every [use of the word] </w:t>
      </w:r>
      <w:proofErr w:type="spellStart"/>
      <w:r w:rsidR="00B32088" w:rsidRPr="004B25CE">
        <w:rPr>
          <w:rFonts w:hint="cs"/>
          <w:rtl/>
        </w:rPr>
        <w:t>גבור</w:t>
      </w:r>
      <w:proofErr w:type="spellEnd"/>
      <w:r w:rsidRPr="00063000">
        <w:t xml:space="preserve"> is an expression of virility</w:t>
      </w:r>
      <w:r w:rsidR="004B25CE">
        <w:t>,</w:t>
      </w:r>
      <w:r w:rsidRPr="00063000">
        <w:t xml:space="preserve"> for a man is strong [...] and in Greek: </w:t>
      </w:r>
      <w:commentRangeStart w:id="2"/>
      <w:r w:rsidRPr="00063000">
        <w:rPr>
          <w:rtl/>
        </w:rPr>
        <w:t>אנדריאה</w:t>
      </w:r>
      <w:r w:rsidRPr="00063000">
        <w:t xml:space="preserve"> </w:t>
      </w:r>
      <w:commentRangeEnd w:id="2"/>
      <w:r w:rsidRPr="00063000">
        <w:rPr>
          <w:rStyle w:val="CommentReference"/>
          <w:sz w:val="24"/>
          <w:szCs w:val="24"/>
        </w:rPr>
        <w:commentReference w:id="2"/>
      </w:r>
      <w:r w:rsidRPr="00063000">
        <w:t>(</w:t>
      </w:r>
      <w:proofErr w:type="spellStart"/>
      <w:r w:rsidRPr="00063000">
        <w:t>ἀνδρεί</w:t>
      </w:r>
      <w:proofErr w:type="spellEnd"/>
      <w:r w:rsidRPr="00063000">
        <w:t>α)” (Gen 10:9);</w:t>
      </w:r>
      <w:r w:rsidRPr="00063000">
        <w:rPr>
          <w:rStyle w:val="FootnoteReference"/>
          <w:rFonts w:cstheme="majorBidi"/>
          <w:szCs w:val="24"/>
        </w:rPr>
        <w:footnoteReference w:id="3"/>
      </w:r>
      <w:r w:rsidRPr="00063000">
        <w:t xml:space="preserve"> “and it is an adornment [</w:t>
      </w:r>
      <w:r w:rsidR="00B32088">
        <w:rPr>
          <w:rFonts w:hint="cs"/>
          <w:rtl/>
        </w:rPr>
        <w:t>תכשיט</w:t>
      </w:r>
      <w:r w:rsidRPr="00063000">
        <w:t>] that resembles a cloak [</w:t>
      </w:r>
      <w:r w:rsidR="00565F84">
        <w:rPr>
          <w:rFonts w:hint="cs"/>
          <w:rtl/>
        </w:rPr>
        <w:t>חלוק</w:t>
      </w:r>
      <w:r w:rsidRPr="00063000">
        <w:t xml:space="preserve">] [...] that which is called in Greek </w:t>
      </w:r>
      <w:proofErr w:type="spellStart"/>
      <w:r w:rsidRPr="00063000">
        <w:rPr>
          <w:rtl/>
        </w:rPr>
        <w:t>איפילוריקין</w:t>
      </w:r>
      <w:proofErr w:type="spellEnd"/>
      <w:r w:rsidRPr="00063000">
        <w:t xml:space="preserve"> (ἐπ</w:t>
      </w:r>
      <w:proofErr w:type="spellStart"/>
      <w:r w:rsidRPr="00063000">
        <w:t>ιλώρικον</w:t>
      </w:r>
      <w:proofErr w:type="spellEnd"/>
      <w:r w:rsidRPr="00063000">
        <w:t>)” (Ex 28:31);</w:t>
      </w:r>
      <w:r w:rsidRPr="00063000">
        <w:rPr>
          <w:rStyle w:val="FootnoteReference"/>
          <w:rFonts w:cstheme="majorBidi"/>
          <w:szCs w:val="24"/>
        </w:rPr>
        <w:footnoteReference w:id="4"/>
      </w:r>
      <w:r w:rsidRPr="00063000">
        <w:t xml:space="preserve"> “</w:t>
      </w:r>
      <w:r w:rsidR="00B32088">
        <w:rPr>
          <w:rFonts w:hint="cs"/>
          <w:rtl/>
        </w:rPr>
        <w:t>נטף</w:t>
      </w:r>
      <w:r w:rsidRPr="00063000">
        <w:t xml:space="preserve"> is the resin that drips from the </w:t>
      </w:r>
      <w:r w:rsidR="00E47572">
        <w:rPr>
          <w:rFonts w:hint="cs"/>
          <w:rtl/>
        </w:rPr>
        <w:lastRenderedPageBreak/>
        <w:t>קטף</w:t>
      </w:r>
      <w:r w:rsidRPr="00063000">
        <w:t xml:space="preserve"> trees, and in Greek it is called </w:t>
      </w:r>
      <w:proofErr w:type="spellStart"/>
      <w:r w:rsidRPr="00063000">
        <w:rPr>
          <w:rtl/>
        </w:rPr>
        <w:t>בלסמון</w:t>
      </w:r>
      <w:proofErr w:type="spellEnd"/>
      <w:r w:rsidRPr="00063000">
        <w:t xml:space="preserve"> (β</w:t>
      </w:r>
      <w:proofErr w:type="spellStart"/>
      <w:r w:rsidRPr="00063000">
        <w:t>άλσ</w:t>
      </w:r>
      <w:proofErr w:type="spellEnd"/>
      <w:r w:rsidRPr="00063000">
        <w:t>αμον)” (Ex 30:34);</w:t>
      </w:r>
      <w:r w:rsidRPr="00063000">
        <w:rPr>
          <w:vertAlign w:val="superscript"/>
        </w:rPr>
        <w:footnoteReference w:id="5"/>
      </w:r>
      <w:r w:rsidRPr="00063000">
        <w:t xml:space="preserve"> “</w:t>
      </w:r>
      <w:r w:rsidR="00E47572">
        <w:rPr>
          <w:rFonts w:hint="cs"/>
          <w:rtl/>
        </w:rPr>
        <w:t>כסיל</w:t>
      </w:r>
      <w:r w:rsidRPr="00063000">
        <w:t xml:space="preserve"> is the Zodiac sign Gemini, and in Greek </w:t>
      </w:r>
      <w:r w:rsidR="004B25CE">
        <w:t xml:space="preserve">it </w:t>
      </w:r>
      <w:r w:rsidRPr="00063000">
        <w:t xml:space="preserve">is called </w:t>
      </w:r>
      <w:proofErr w:type="spellStart"/>
      <w:r w:rsidRPr="00063000">
        <w:rPr>
          <w:rtl/>
        </w:rPr>
        <w:t>שקיפרנאה</w:t>
      </w:r>
      <w:proofErr w:type="spellEnd"/>
      <w:r w:rsidRPr="00063000">
        <w:t xml:space="preserve"> (</w:t>
      </w:r>
      <w:proofErr w:type="spellStart"/>
      <w:r w:rsidRPr="00063000">
        <w:t>σχ</w:t>
      </w:r>
      <w:proofErr w:type="spellEnd"/>
      <w:r w:rsidRPr="00063000">
        <w:t>απερνεα)” (Job 9:9).</w:t>
      </w:r>
      <w:r w:rsidRPr="00063000">
        <w:rPr>
          <w:vertAlign w:val="superscript"/>
        </w:rPr>
        <w:footnoteReference w:id="6"/>
      </w:r>
      <w:r w:rsidRPr="00063000">
        <w:t xml:space="preserve"> </w:t>
      </w:r>
    </w:p>
    <w:p w14:paraId="4AE4A48A" w14:textId="2DE244B8" w:rsidR="00B72CFF" w:rsidRPr="00063000" w:rsidRDefault="00B72CFF" w:rsidP="00063000">
      <w:pPr>
        <w:pStyle w:val="ListParagraph"/>
        <w:numPr>
          <w:ilvl w:val="0"/>
          <w:numId w:val="1"/>
        </w:numPr>
        <w:rPr>
          <w:rtl/>
        </w:rPr>
      </w:pPr>
      <w:r w:rsidRPr="00063000">
        <w:t xml:space="preserve">Rabbi Meyuhas </w:t>
      </w:r>
      <w:r w:rsidR="004B25CE">
        <w:t>demonstrates</w:t>
      </w:r>
      <w:r w:rsidRPr="00063000">
        <w:t xml:space="preserve"> </w:t>
      </w:r>
      <w:r w:rsidR="004B25CE">
        <w:t>his</w:t>
      </w:r>
      <w:r w:rsidRPr="00063000">
        <w:t xml:space="preserve"> familiarity with Middle Eastern geography: “</w:t>
      </w:r>
      <w:proofErr w:type="spellStart"/>
      <w:r w:rsidR="008B01B6" w:rsidRPr="008B01B6">
        <w:rPr>
          <w:i/>
          <w:iCs/>
        </w:rPr>
        <w:t>Kitim</w:t>
      </w:r>
      <w:proofErr w:type="spellEnd"/>
      <w:r w:rsidR="008B01B6" w:rsidRPr="008B01B6">
        <w:rPr>
          <w:i/>
          <w:iCs/>
        </w:rPr>
        <w:t xml:space="preserve"> and </w:t>
      </w:r>
      <w:proofErr w:type="spellStart"/>
      <w:r w:rsidR="008B01B6" w:rsidRPr="008B01B6">
        <w:rPr>
          <w:i/>
          <w:iCs/>
        </w:rPr>
        <w:t>Dudanim</w:t>
      </w:r>
      <w:proofErr w:type="spellEnd"/>
      <w:r w:rsidR="002267DE">
        <w:t>—</w:t>
      </w:r>
      <w:r w:rsidRPr="00063000">
        <w:t xml:space="preserve">these are all islands. And I say that they are the Greek-speaking islands like Cyprus, Crete, Rhodes, and the like” (Gen 10:3). </w:t>
      </w:r>
    </w:p>
    <w:p w14:paraId="408913BB" w14:textId="77777777" w:rsidR="00B72CFF" w:rsidRPr="00063000" w:rsidRDefault="00B72CFF" w:rsidP="00063000">
      <w:pPr>
        <w:pStyle w:val="ListParagraph"/>
        <w:numPr>
          <w:ilvl w:val="0"/>
          <w:numId w:val="1"/>
        </w:numPr>
        <w:rPr>
          <w:rtl/>
        </w:rPr>
      </w:pPr>
      <w:r w:rsidRPr="00063000">
        <w:t>Rabbi Meyuhas discusses Greek clothing: “and similar [clothes] are worn by the priests of Greece” (Ex 28:6); “and similar [clothes] are worn by the priests of Greece, except that they do not wear a belt” (Ex 39:8).</w:t>
      </w:r>
    </w:p>
    <w:p w14:paraId="65C6BF5A" w14:textId="27B43C11" w:rsidR="00B72CFF" w:rsidRPr="00063000" w:rsidRDefault="00B72CFF" w:rsidP="00063000">
      <w:pPr>
        <w:pStyle w:val="ListParagraph"/>
        <w:numPr>
          <w:ilvl w:val="0"/>
          <w:numId w:val="1"/>
        </w:numPr>
      </w:pPr>
      <w:r w:rsidRPr="00063000">
        <w:lastRenderedPageBreak/>
        <w:t>Rabbi Meyuhas often reference</w:t>
      </w:r>
      <w:r w:rsidR="004B25CE">
        <w:t>s</w:t>
      </w:r>
      <w:r w:rsidRPr="00063000">
        <w:t xml:space="preserve"> the Greek character Chi in order to illustrate various points in his commentary: “</w:t>
      </w:r>
      <w:r w:rsidR="004B25CE" w:rsidRPr="004B25CE">
        <w:rPr>
          <w:i/>
          <w:iCs/>
        </w:rPr>
        <w:t>W</w:t>
      </w:r>
      <w:r w:rsidRPr="004B25CE">
        <w:rPr>
          <w:i/>
          <w:iCs/>
        </w:rPr>
        <w:t>hen they are mixed with oil</w:t>
      </w:r>
      <w:r w:rsidRPr="00063000">
        <w:t xml:space="preserve"> [...] </w:t>
      </w:r>
      <w:r w:rsidRPr="004B25CE">
        <w:rPr>
          <w:i/>
          <w:iCs/>
        </w:rPr>
        <w:t>anointed</w:t>
      </w:r>
      <w:r w:rsidRPr="004B25CE">
        <w:t>’</w:t>
      </w:r>
      <w:r w:rsidR="002267DE">
        <w:t>—</w:t>
      </w:r>
      <w:r w:rsidRPr="00063000">
        <w:t>one bakes them first and afterwards anoints them, like this</w:t>
      </w:r>
      <w:r w:rsidR="002267DE">
        <w:t>—</w:t>
      </w:r>
      <w:r w:rsidR="003D52A5" w:rsidRPr="00063000">
        <w:t>χ</w:t>
      </w:r>
      <w:r w:rsidR="002267DE">
        <w:t>—</w:t>
      </w:r>
      <w:r w:rsidRPr="00063000">
        <w:t>and it is a Greek Chi” (Ex 29:2); “</w:t>
      </w:r>
      <w:r w:rsidR="004B25CE">
        <w:rPr>
          <w:i/>
          <w:iCs/>
        </w:rPr>
        <w:t>A</w:t>
      </w:r>
      <w:r w:rsidRPr="004B25CE">
        <w:rPr>
          <w:i/>
          <w:iCs/>
        </w:rPr>
        <w:t>nd you shall pour the anointing oil on his head</w:t>
      </w:r>
      <w:r w:rsidR="004B25CE">
        <w:t>.</w:t>
      </w:r>
      <w:r w:rsidRPr="00063000">
        <w:t xml:space="preserve"> </w:t>
      </w:r>
      <w:r w:rsidR="004B25CE">
        <w:t>O</w:t>
      </w:r>
      <w:r w:rsidRPr="00063000">
        <w:t xml:space="preserve">il is poured on his head between his eyelids </w:t>
      </w:r>
      <w:r w:rsidR="00631815" w:rsidRPr="00063000">
        <w:t>[</w:t>
      </w:r>
      <w:r w:rsidR="00093CF1">
        <w:rPr>
          <w:rFonts w:hint="cs"/>
          <w:rtl/>
        </w:rPr>
        <w:t xml:space="preserve">ריסי </w:t>
      </w:r>
      <w:commentRangeStart w:id="3"/>
      <w:r w:rsidR="00093CF1">
        <w:rPr>
          <w:rFonts w:hint="cs"/>
          <w:rtl/>
        </w:rPr>
        <w:t>עיניו</w:t>
      </w:r>
      <w:commentRangeEnd w:id="3"/>
      <w:r w:rsidR="00093CF1">
        <w:rPr>
          <w:rStyle w:val="CommentReference"/>
          <w:rtl/>
        </w:rPr>
        <w:commentReference w:id="3"/>
      </w:r>
      <w:r w:rsidR="00631815" w:rsidRPr="00063000">
        <w:t>]</w:t>
      </w:r>
      <w:r w:rsidRPr="00063000">
        <w:t xml:space="preserve"> and he spreads it [</w:t>
      </w:r>
      <w:r w:rsidR="00093CF1">
        <w:rPr>
          <w:rFonts w:hint="cs"/>
          <w:rtl/>
        </w:rPr>
        <w:t>ממשיכו</w:t>
      </w:r>
      <w:r w:rsidRPr="00063000">
        <w:t>] in two directions in the shape of a Greek Chi.” (Ex 29:7)</w:t>
      </w:r>
      <w:r w:rsidR="004B25CE">
        <w:t>;</w:t>
      </w:r>
      <w:r w:rsidRPr="00063000">
        <w:t xml:space="preserve"> “the </w:t>
      </w:r>
      <w:r w:rsidR="00631815" w:rsidRPr="00063000">
        <w:t>anointing</w:t>
      </w:r>
      <w:r w:rsidRPr="00063000">
        <w:t xml:space="preserve"> of the tabernacle, the vessels, Aaron, and his children was done with a finger in the shape of a Greek Chi” (Ex 40:5); “but one bakes the wafers [</w:t>
      </w:r>
      <w:proofErr w:type="spellStart"/>
      <w:r w:rsidR="004B25CE">
        <w:rPr>
          <w:rFonts w:hint="cs"/>
          <w:rtl/>
        </w:rPr>
        <w:t>ה</w:t>
      </w:r>
      <w:r w:rsidR="00093CF1">
        <w:rPr>
          <w:rFonts w:hint="cs"/>
          <w:rtl/>
        </w:rPr>
        <w:t>רקיקין</w:t>
      </w:r>
      <w:proofErr w:type="spellEnd"/>
      <w:r w:rsidRPr="00063000">
        <w:t xml:space="preserve">] first and afterwards one </w:t>
      </w:r>
      <w:r w:rsidR="00631815" w:rsidRPr="00063000">
        <w:t>anoints</w:t>
      </w:r>
      <w:r w:rsidRPr="00063000">
        <w:t xml:space="preserve"> them in the shape of a Chi” (Lev 2:4).</w:t>
      </w:r>
      <w:r w:rsidRPr="00063000">
        <w:rPr>
          <w:rStyle w:val="FootnoteReference"/>
          <w:rFonts w:cstheme="majorBidi"/>
          <w:szCs w:val="24"/>
        </w:rPr>
        <w:footnoteReference w:id="7"/>
      </w:r>
    </w:p>
    <w:p w14:paraId="14A7D868" w14:textId="0F59461F" w:rsidR="00B72CFF" w:rsidRPr="00063000" w:rsidRDefault="00B72CFF" w:rsidP="00063000">
      <w:pPr>
        <w:pStyle w:val="ListParagraph"/>
        <w:numPr>
          <w:ilvl w:val="0"/>
          <w:numId w:val="1"/>
        </w:numPr>
      </w:pPr>
      <w:r w:rsidRPr="00063000">
        <w:lastRenderedPageBreak/>
        <w:t xml:space="preserve">Menahem </w:t>
      </w:r>
      <w:proofErr w:type="spellStart"/>
      <w:r w:rsidRPr="00063000">
        <w:t>Kahana</w:t>
      </w:r>
      <w:proofErr w:type="spellEnd"/>
      <w:r w:rsidR="003E4519">
        <w:t xml:space="preserve"> has</w:t>
      </w:r>
      <w:r w:rsidRPr="00063000">
        <w:t xml:space="preserve"> </w:t>
      </w:r>
      <w:r w:rsidR="00262FBF" w:rsidRPr="00063000">
        <w:t>pointed to</w:t>
      </w:r>
      <w:r w:rsidRPr="00063000">
        <w:t xml:space="preserve"> a number of unique</w:t>
      </w:r>
      <w:r w:rsidR="003D52A5" w:rsidRPr="00063000">
        <w:t xml:space="preserve"> </w:t>
      </w:r>
      <w:commentRangeStart w:id="4"/>
      <w:r w:rsidR="003D52A5" w:rsidRPr="00063000">
        <w:t>textual</w:t>
      </w:r>
      <w:r w:rsidRPr="00063000">
        <w:t xml:space="preserve"> variants </w:t>
      </w:r>
      <w:commentRangeEnd w:id="4"/>
      <w:r w:rsidR="006A6EA4">
        <w:rPr>
          <w:rStyle w:val="CommentReference"/>
        </w:rPr>
        <w:commentReference w:id="4"/>
      </w:r>
      <w:r w:rsidRPr="00063000">
        <w:t xml:space="preserve">from the </w:t>
      </w:r>
      <w:proofErr w:type="spellStart"/>
      <w:r w:rsidRPr="00063000">
        <w:t>Sifrei</w:t>
      </w:r>
      <w:proofErr w:type="spellEnd"/>
      <w:r w:rsidRPr="00063000">
        <w:t xml:space="preserve"> on Numbers which are </w:t>
      </w:r>
      <w:r w:rsidR="00B82B50">
        <w:t>cited</w:t>
      </w:r>
      <w:r w:rsidRPr="00063000">
        <w:t xml:space="preserve"> by Rabbi Meyuhas and two other Byzantine exegetes: </w:t>
      </w:r>
      <w:commentRangeStart w:id="5"/>
      <w:proofErr w:type="spellStart"/>
      <w:r w:rsidRPr="00063000">
        <w:t>Rabbenu</w:t>
      </w:r>
      <w:proofErr w:type="spellEnd"/>
      <w:r w:rsidRPr="00063000">
        <w:t xml:space="preserve"> Hillel </w:t>
      </w:r>
      <w:commentRangeEnd w:id="5"/>
      <w:r w:rsidR="003D52A5" w:rsidRPr="00063000">
        <w:rPr>
          <w:rStyle w:val="CommentReference"/>
          <w:sz w:val="24"/>
          <w:szCs w:val="24"/>
        </w:rPr>
        <w:commentReference w:id="5"/>
      </w:r>
      <w:r w:rsidRPr="00063000">
        <w:t xml:space="preserve">and Rabbi </w:t>
      </w:r>
      <w:proofErr w:type="spellStart"/>
      <w:r w:rsidRPr="00063000">
        <w:t>Tobiah</w:t>
      </w:r>
      <w:proofErr w:type="spellEnd"/>
      <w:r w:rsidRPr="00063000">
        <w:t xml:space="preserve"> ben Eliezer.</w:t>
      </w:r>
      <w:r w:rsidRPr="00063000">
        <w:rPr>
          <w:rStyle w:val="FootnoteReference"/>
          <w:rFonts w:cstheme="majorBidi"/>
          <w:szCs w:val="24"/>
        </w:rPr>
        <w:footnoteReference w:id="8"/>
      </w:r>
      <w:r w:rsidR="003D52A5" w:rsidRPr="00063000">
        <w:t xml:space="preserve"> It follows</w:t>
      </w:r>
      <w:r w:rsidRPr="00063000">
        <w:t xml:space="preserve"> that </w:t>
      </w:r>
      <w:r w:rsidR="003D52A5" w:rsidRPr="00063000">
        <w:t>a unique version of the midrash</w:t>
      </w:r>
      <w:r w:rsidR="00262FBF" w:rsidRPr="00063000">
        <w:t xml:space="preserve">ic text circulated </w:t>
      </w:r>
      <w:r w:rsidRPr="00063000">
        <w:t xml:space="preserve">in </w:t>
      </w:r>
      <w:r w:rsidR="00262FBF" w:rsidRPr="00063000">
        <w:t>Byzantium</w:t>
      </w:r>
      <w:r w:rsidR="00B82B50">
        <w:rPr>
          <w:rFonts w:hint="cs"/>
          <w:rtl/>
        </w:rPr>
        <w:t xml:space="preserve"> </w:t>
      </w:r>
      <w:r w:rsidR="00B82B50">
        <w:t xml:space="preserve">which was </w:t>
      </w:r>
      <w:r w:rsidRPr="00063000">
        <w:t>known only to the sages living within the empire’s borders.</w:t>
      </w:r>
    </w:p>
    <w:p w14:paraId="0625D92A" w14:textId="77777777" w:rsidR="00B72CFF" w:rsidRPr="00063000" w:rsidRDefault="00B72CFF" w:rsidP="00063000">
      <w:pPr>
        <w:rPr>
          <w:rtl/>
        </w:rPr>
      </w:pPr>
      <w:r w:rsidRPr="00063000">
        <w:t>In addition to evidence drawn from Rabbi Meyuhas’ works, we can further support his association with the Byzantine Empire from the following lines of evidence:</w:t>
      </w:r>
    </w:p>
    <w:p w14:paraId="7508C964" w14:textId="169697D4" w:rsidR="00B72CFF" w:rsidRPr="00063000" w:rsidRDefault="00B72CFF" w:rsidP="00063000">
      <w:pPr>
        <w:pStyle w:val="ListParagraph"/>
        <w:numPr>
          <w:ilvl w:val="0"/>
          <w:numId w:val="1"/>
        </w:numPr>
        <w:rPr>
          <w:rtl/>
        </w:rPr>
      </w:pPr>
      <w:r w:rsidRPr="00063000">
        <w:t xml:space="preserve">The copyist of the only extant </w:t>
      </w:r>
      <w:r w:rsidR="00262FBF" w:rsidRPr="00063000">
        <w:t>manuscript</w:t>
      </w:r>
      <w:r w:rsidRPr="00063000">
        <w:t xml:space="preserve"> of Rabbi </w:t>
      </w:r>
      <w:r w:rsidR="00262FBF" w:rsidRPr="00063000">
        <w:t>Meyuhas’</w:t>
      </w:r>
      <w:r w:rsidRPr="00063000">
        <w:t xml:space="preserve"> commentary on the Pentateuch</w:t>
      </w:r>
      <w:r w:rsidR="002267DE">
        <w:t>—</w:t>
      </w:r>
      <w:commentRangeStart w:id="6"/>
      <w:r w:rsidRPr="00B82B50">
        <w:rPr>
          <w:highlight w:val="cyan"/>
        </w:rPr>
        <w:t>Elijah</w:t>
      </w:r>
      <w:commentRangeEnd w:id="6"/>
      <w:r w:rsidR="002267DE">
        <w:rPr>
          <w:rStyle w:val="CommentReference"/>
        </w:rPr>
        <w:commentReference w:id="6"/>
      </w:r>
      <w:r w:rsidRPr="00B82B50">
        <w:rPr>
          <w:highlight w:val="cyan"/>
        </w:rPr>
        <w:t xml:space="preserve"> bar Rabbi </w:t>
      </w:r>
      <w:proofErr w:type="spellStart"/>
      <w:r w:rsidRPr="00B82B50">
        <w:rPr>
          <w:highlight w:val="cyan"/>
        </w:rPr>
        <w:t>El</w:t>
      </w:r>
      <w:r w:rsidR="00B82B50">
        <w:rPr>
          <w:highlight w:val="cyan"/>
        </w:rPr>
        <w:t>k</w:t>
      </w:r>
      <w:r w:rsidRPr="00B82B50">
        <w:rPr>
          <w:highlight w:val="cyan"/>
        </w:rPr>
        <w:t>ana</w:t>
      </w:r>
      <w:proofErr w:type="spellEnd"/>
      <w:r w:rsidR="002267DE">
        <w:t>—</w:t>
      </w:r>
      <w:r w:rsidRPr="00063000">
        <w:t xml:space="preserve">was a resident of the Greek city </w:t>
      </w:r>
      <w:proofErr w:type="spellStart"/>
      <w:r w:rsidR="00B82B50" w:rsidRPr="00B82B50">
        <w:rPr>
          <w:highlight w:val="cyan"/>
        </w:rPr>
        <w:t>Nicopolis</w:t>
      </w:r>
      <w:proofErr w:type="spellEnd"/>
      <w:r w:rsidRPr="00063000">
        <w:t>.</w:t>
      </w:r>
      <w:r w:rsidR="00DB1244">
        <w:t xml:space="preserve"> </w:t>
      </w:r>
      <w:r w:rsidR="00B82B50">
        <w:t>Likewise, t</w:t>
      </w:r>
      <w:r w:rsidRPr="00063000">
        <w:t>he copyist of Rabbi Meyuhas’ commentary on Job</w:t>
      </w:r>
      <w:r w:rsidR="002267DE">
        <w:t>—</w:t>
      </w:r>
      <w:r w:rsidRPr="00B82B50">
        <w:rPr>
          <w:highlight w:val="cyan"/>
        </w:rPr>
        <w:t xml:space="preserve">Abraham ben Moses </w:t>
      </w:r>
      <w:proofErr w:type="spellStart"/>
      <w:r w:rsidRPr="00B82B50">
        <w:rPr>
          <w:highlight w:val="cyan"/>
        </w:rPr>
        <w:t>Qalomiti</w:t>
      </w:r>
      <w:proofErr w:type="spellEnd"/>
      <w:r w:rsidR="002267DE">
        <w:t>—</w:t>
      </w:r>
      <w:r w:rsidRPr="00063000">
        <w:t xml:space="preserve">was also a resident of the Byzantine Empire. </w:t>
      </w:r>
    </w:p>
    <w:p w14:paraId="6D22F6D0" w14:textId="73D2633D" w:rsidR="00B72CFF" w:rsidRPr="00063000" w:rsidRDefault="00B72CFF" w:rsidP="00063000">
      <w:pPr>
        <w:pStyle w:val="ListParagraph"/>
        <w:numPr>
          <w:ilvl w:val="0"/>
          <w:numId w:val="1"/>
        </w:numPr>
        <w:rPr>
          <w:rtl/>
        </w:rPr>
      </w:pPr>
      <w:r w:rsidRPr="00063000">
        <w:t>All the late quotations of Rabbi Meyuha</w:t>
      </w:r>
      <w:r w:rsidR="00262FBF" w:rsidRPr="00063000">
        <w:t>s’</w:t>
      </w:r>
      <w:r w:rsidRPr="00063000">
        <w:t xml:space="preserve"> commentary appear in works of Byzantine provenance: Rabbi Elijah Mizrahi (c 1450</w:t>
      </w:r>
      <w:r w:rsidR="00262FBF" w:rsidRPr="00063000">
        <w:t>–</w:t>
      </w:r>
      <w:r w:rsidRPr="00063000">
        <w:t>1525)</w:t>
      </w:r>
      <w:r w:rsidR="00B82B50">
        <w:t>,</w:t>
      </w:r>
      <w:r w:rsidRPr="00063000">
        <w:t xml:space="preserve"> one of the prominent Jewish sages in Turkey at the time, mentions Rabbi Meyuhas three times</w:t>
      </w:r>
      <w:r w:rsidR="00262FBF" w:rsidRPr="00063000">
        <w:t>;</w:t>
      </w:r>
      <w:r w:rsidRPr="00063000">
        <w:rPr>
          <w:rStyle w:val="FootnoteReference"/>
          <w:rFonts w:cstheme="majorBidi"/>
          <w:szCs w:val="24"/>
        </w:rPr>
        <w:footnoteReference w:id="9"/>
      </w:r>
      <w:r w:rsidRPr="00063000">
        <w:t xml:space="preserve"> </w:t>
      </w:r>
      <w:r w:rsidR="00262FBF" w:rsidRPr="00063000">
        <w:t>a</w:t>
      </w:r>
      <w:r w:rsidRPr="00063000">
        <w:t xml:space="preserve"> </w:t>
      </w:r>
      <w:r w:rsidRPr="00063000">
        <w:lastRenderedPageBreak/>
        <w:t xml:space="preserve">Byzantine </w:t>
      </w:r>
      <w:r w:rsidR="003732C3">
        <w:t>midrashic</w:t>
      </w:r>
      <w:r w:rsidRPr="00063000">
        <w:t xml:space="preserve"> anthology dated to the fifteenth century mentions him twice</w:t>
      </w:r>
      <w:r w:rsidR="00262FBF" w:rsidRPr="00063000">
        <w:t>;</w:t>
      </w:r>
      <w:r w:rsidRPr="00063000">
        <w:rPr>
          <w:rStyle w:val="FootnoteReference"/>
          <w:rFonts w:cstheme="majorBidi"/>
          <w:szCs w:val="24"/>
        </w:rPr>
        <w:footnoteReference w:id="10"/>
      </w:r>
      <w:r w:rsidR="00262FBF" w:rsidRPr="00063000">
        <w:t>a</w:t>
      </w:r>
      <w:r w:rsidRPr="00063000">
        <w:t>n anonymous commentary on Genesis and Exodus, which also includes translations of biblical words into Greek, mentions a number of Byzantine sages, Rabbi Meyuhas among them.</w:t>
      </w:r>
      <w:r w:rsidRPr="00063000">
        <w:rPr>
          <w:rStyle w:val="FootnoteReference"/>
          <w:rFonts w:cstheme="majorBidi"/>
          <w:szCs w:val="24"/>
        </w:rPr>
        <w:footnoteReference w:id="11"/>
      </w:r>
    </w:p>
    <w:p w14:paraId="71638292" w14:textId="0A200FA9" w:rsidR="00B72CFF" w:rsidRPr="00063000" w:rsidRDefault="00262FBF" w:rsidP="00063000">
      <w:pPr>
        <w:pStyle w:val="ListParagraph"/>
        <w:numPr>
          <w:ilvl w:val="0"/>
          <w:numId w:val="1"/>
        </w:numPr>
      </w:pPr>
      <w:r w:rsidRPr="00063000">
        <w:t xml:space="preserve">Leopold </w:t>
      </w:r>
      <w:proofErr w:type="spellStart"/>
      <w:r w:rsidR="00B72CFF" w:rsidRPr="00063000">
        <w:t>Zunz</w:t>
      </w:r>
      <w:proofErr w:type="spellEnd"/>
      <w:r w:rsidR="00B72CFF" w:rsidRPr="00063000">
        <w:t xml:space="preserve"> </w:t>
      </w:r>
      <w:r w:rsidRPr="00063000">
        <w:t>asserted</w:t>
      </w:r>
      <w:r w:rsidR="00B72CFF" w:rsidRPr="00063000">
        <w:t xml:space="preserve"> that the name ‘Meyuhas’ is </w:t>
      </w:r>
      <w:r w:rsidRPr="00063000">
        <w:t>characteristically</w:t>
      </w:r>
      <w:r w:rsidR="00B72CFF" w:rsidRPr="00063000">
        <w:t xml:space="preserve"> </w:t>
      </w:r>
      <w:r w:rsidRPr="00063000">
        <w:t>Byzantine</w:t>
      </w:r>
      <w:r w:rsidR="00B72CFF" w:rsidRPr="00063000">
        <w:t xml:space="preserve">. </w:t>
      </w:r>
      <w:r w:rsidRPr="00063000">
        <w:t>Until the</w:t>
      </w:r>
      <w:r w:rsidR="00B72CFF" w:rsidRPr="00063000">
        <w:t xml:space="preserve"> fifteenth </w:t>
      </w:r>
      <w:r w:rsidRPr="00063000">
        <w:t>century</w:t>
      </w:r>
      <w:r w:rsidR="00B72CFF" w:rsidRPr="00063000">
        <w:t xml:space="preserve">, </w:t>
      </w:r>
      <w:r w:rsidRPr="00063000">
        <w:t>it</w:t>
      </w:r>
      <w:r w:rsidR="00B72CFF" w:rsidRPr="00063000">
        <w:t xml:space="preserve"> was </w:t>
      </w:r>
      <w:r w:rsidRPr="00063000">
        <w:t xml:space="preserve">apparently </w:t>
      </w:r>
      <w:r w:rsidR="00B72CFF" w:rsidRPr="00063000">
        <w:t xml:space="preserve">used as a first name. Besides </w:t>
      </w:r>
      <w:r w:rsidRPr="00063000">
        <w:t xml:space="preserve">Rabbi </w:t>
      </w:r>
      <w:r w:rsidR="00B72CFF" w:rsidRPr="00063000">
        <w:t xml:space="preserve">Meyuhas ben Elijah, </w:t>
      </w:r>
      <w:proofErr w:type="spellStart"/>
      <w:r w:rsidR="00B72CFF" w:rsidRPr="00063000">
        <w:t>Zunz</w:t>
      </w:r>
      <w:proofErr w:type="spellEnd"/>
      <w:r w:rsidR="00B72CFF" w:rsidRPr="00063000">
        <w:t xml:space="preserve"> also mentions Meyuhas </w:t>
      </w:r>
      <w:r w:rsidR="00341A75">
        <w:t>b</w:t>
      </w:r>
      <w:r w:rsidR="00B72CFF" w:rsidRPr="00063000">
        <w:t>en Judah from Candia who lived circa 1400. Later Meyuhas began to be used as a surname</w:t>
      </w:r>
      <w:r w:rsidR="00837C3A">
        <w:t>:</w:t>
      </w:r>
      <w:r w:rsidR="00B72CFF" w:rsidRPr="00063000">
        <w:t xml:space="preserve"> </w:t>
      </w:r>
      <w:r w:rsidR="00837C3A">
        <w:t>i</w:t>
      </w:r>
      <w:r w:rsidR="00B72CFF" w:rsidRPr="00063000">
        <w:t xml:space="preserve">n the sixteenth century, we know of a Samuel ben Joshua Meyuhas and a Phineas ben Sabbatai Meyuhas. Other figures bearing the name are known from the eighteenth century; all were residents of </w:t>
      </w:r>
      <w:commentRangeStart w:id="7"/>
      <w:r w:rsidR="00B72CFF" w:rsidRPr="00063000">
        <w:t xml:space="preserve">former </w:t>
      </w:r>
      <w:commentRangeEnd w:id="7"/>
      <w:r w:rsidRPr="00063000">
        <w:rPr>
          <w:rStyle w:val="CommentReference"/>
          <w:sz w:val="24"/>
          <w:szCs w:val="24"/>
        </w:rPr>
        <w:commentReference w:id="7"/>
      </w:r>
      <w:r w:rsidRPr="00063000">
        <w:t>Byzantine</w:t>
      </w:r>
      <w:r w:rsidR="00B72CFF" w:rsidRPr="00063000">
        <w:t xml:space="preserve"> lands.</w:t>
      </w:r>
      <w:r w:rsidR="00B72CFF" w:rsidRPr="00063000">
        <w:rPr>
          <w:rStyle w:val="FootnoteReference"/>
          <w:rFonts w:cstheme="majorBidi"/>
          <w:szCs w:val="24"/>
        </w:rPr>
        <w:footnoteReference w:id="12"/>
      </w:r>
      <w:r w:rsidRPr="00063000">
        <w:rPr>
          <w:rtl/>
        </w:rPr>
        <w:t xml:space="preserve"> </w:t>
      </w:r>
      <w:r w:rsidR="00B72CFF" w:rsidRPr="00063000">
        <w:t xml:space="preserve">Meyuhas seems to be a translation of the Greek name </w:t>
      </w:r>
      <w:proofErr w:type="spellStart"/>
      <w:r w:rsidR="00B72CFF" w:rsidRPr="00063000">
        <w:t>ευγενες</w:t>
      </w:r>
      <w:proofErr w:type="spellEnd"/>
      <w:r w:rsidR="00B72CFF" w:rsidRPr="00063000">
        <w:t>.</w:t>
      </w:r>
      <w:r w:rsidR="00B72CFF" w:rsidRPr="00063000">
        <w:rPr>
          <w:vertAlign w:val="superscript"/>
        </w:rPr>
        <w:footnoteReference w:id="13"/>
      </w:r>
    </w:p>
    <w:p w14:paraId="1195025E" w14:textId="455C7F0E" w:rsidR="00B72CFF" w:rsidRPr="00063000" w:rsidRDefault="00B72CFF" w:rsidP="00063000">
      <w:pPr>
        <w:rPr>
          <w:rtl/>
        </w:rPr>
      </w:pPr>
      <w:r w:rsidRPr="00063000">
        <w:lastRenderedPageBreak/>
        <w:t>Given the consensus regarding Rabbi Meyuhas’ Byzantine provenance, it is strange that he seemed to be versed not only in Greek but also</w:t>
      </w:r>
      <w:r w:rsidR="00262FBF" w:rsidRPr="00063000">
        <w:t xml:space="preserve"> in</w:t>
      </w:r>
      <w:r w:rsidRPr="00063000">
        <w:t xml:space="preserve"> Arabic. In his commentaries, </w:t>
      </w:r>
      <w:r w:rsidR="00341A75">
        <w:t>he</w:t>
      </w:r>
      <w:r w:rsidRPr="00063000">
        <w:t xml:space="preserve"> makes recourse of Arabic several times</w:t>
      </w:r>
      <w:r w:rsidR="00341A75">
        <w:t>;</w:t>
      </w:r>
      <w:r w:rsidRPr="00063000">
        <w:rPr>
          <w:rStyle w:val="FootnoteReference"/>
          <w:rFonts w:cstheme="majorBidi"/>
          <w:szCs w:val="24"/>
        </w:rPr>
        <w:footnoteReference w:id="14"/>
      </w:r>
      <w:r w:rsidRPr="00063000">
        <w:t xml:space="preserve"> </w:t>
      </w:r>
      <w:r w:rsidR="00341A75">
        <w:t>he</w:t>
      </w:r>
      <w:r w:rsidRPr="00063000">
        <w:t xml:space="preserve"> quotes the Arabic commentary of Rabbi Isaac ben Samuel five times</w:t>
      </w:r>
      <w:r w:rsidR="00341A75">
        <w:t>;</w:t>
      </w:r>
      <w:r w:rsidRPr="00063000">
        <w:rPr>
          <w:rStyle w:val="FootnoteReference"/>
          <w:rFonts w:cstheme="majorBidi"/>
          <w:szCs w:val="24"/>
        </w:rPr>
        <w:footnoteReference w:id="15"/>
      </w:r>
      <w:r w:rsidR="00262FBF" w:rsidRPr="00063000">
        <w:t xml:space="preserve"> </w:t>
      </w:r>
      <w:r w:rsidR="00341A75">
        <w:t>and</w:t>
      </w:r>
      <w:r w:rsidRPr="00063000">
        <w:t xml:space="preserve"> his linguistic approach</w:t>
      </w:r>
      <w:r w:rsidR="00262FBF" w:rsidRPr="00063000">
        <w:t xml:space="preserve"> to Hebrew</w:t>
      </w:r>
      <w:r w:rsidRPr="00063000">
        <w:t xml:space="preserve"> is clearly indebted </w:t>
      </w:r>
      <w:r w:rsidR="00262FBF" w:rsidRPr="00063000">
        <w:t>to Arabic grammar</w:t>
      </w:r>
      <w:r w:rsidRPr="00063000">
        <w:t>. For example, he uses terminology which reflect</w:t>
      </w:r>
      <w:r w:rsidR="00D33960" w:rsidRPr="00063000">
        <w:t>s</w:t>
      </w:r>
      <w:r w:rsidRPr="00063000">
        <w:t xml:space="preserve"> Arabic grammar</w:t>
      </w:r>
      <w:r w:rsidR="00D33960" w:rsidRPr="00063000">
        <w:t>:</w:t>
      </w:r>
      <w:r w:rsidR="00262FBF" w:rsidRPr="00063000">
        <w:t xml:space="preserve"> </w:t>
      </w:r>
      <w:proofErr w:type="spellStart"/>
      <w:r w:rsidR="00262FBF" w:rsidRPr="00063000">
        <w:rPr>
          <w:highlight w:val="magenta"/>
          <w:rtl/>
        </w:rPr>
        <w:t>מצדר</w:t>
      </w:r>
      <w:proofErr w:type="spellEnd"/>
      <w:r w:rsidRPr="00063000">
        <w:t xml:space="preserve"> </w:t>
      </w:r>
      <w:r w:rsidR="00837C3A">
        <w:t xml:space="preserve">(the verbal noun) </w:t>
      </w:r>
      <w:r w:rsidRPr="00063000">
        <w:t xml:space="preserve">and </w:t>
      </w:r>
      <w:r w:rsidRPr="00063000">
        <w:rPr>
          <w:highlight w:val="magenta"/>
          <w:rtl/>
        </w:rPr>
        <w:t>עתיד מקוצץ</w:t>
      </w:r>
      <w:r w:rsidRPr="00063000">
        <w:t xml:space="preserve"> which correspond to the equivalent concept in Arabic (</w:t>
      </w:r>
      <w:proofErr w:type="spellStart"/>
      <w:r w:rsidRPr="00063000">
        <w:rPr>
          <w:highlight w:val="magenta"/>
          <w:rtl/>
        </w:rPr>
        <w:t>אלמג</w:t>
      </w:r>
      <w:r w:rsidR="00262FBF" w:rsidRPr="00063000">
        <w:rPr>
          <w:highlight w:val="magenta"/>
          <w:rtl/>
        </w:rPr>
        <w:t>'</w:t>
      </w:r>
      <w:r w:rsidRPr="00063000">
        <w:rPr>
          <w:highlight w:val="magenta"/>
          <w:rtl/>
        </w:rPr>
        <w:t>זום</w:t>
      </w:r>
      <w:proofErr w:type="spellEnd"/>
      <w:r w:rsidRPr="00063000">
        <w:t>).</w:t>
      </w:r>
      <w:r w:rsidR="00D33960" w:rsidRPr="00063000">
        <w:rPr>
          <w:rStyle w:val="FootnoteReference"/>
          <w:rFonts w:cstheme="majorBidi"/>
          <w:szCs w:val="24"/>
        </w:rPr>
        <w:footnoteReference w:id="16"/>
      </w:r>
    </w:p>
    <w:p w14:paraId="1C889635" w14:textId="56750E4B" w:rsidR="00B72CFF" w:rsidRPr="00063000" w:rsidRDefault="00B72CFF" w:rsidP="00063000">
      <w:pPr>
        <w:rPr>
          <w:rtl/>
        </w:rPr>
      </w:pPr>
      <w:r w:rsidRPr="00063000">
        <w:t>The problem is that</w:t>
      </w:r>
      <w:r w:rsidR="00D33960" w:rsidRPr="00063000">
        <w:t>,</w:t>
      </w:r>
      <w:r w:rsidRPr="00063000">
        <w:t xml:space="preserve"> as a rule, Jews in the Byzantine Empire</w:t>
      </w:r>
      <w:r w:rsidR="002267DE">
        <w:t>—</w:t>
      </w:r>
      <w:r w:rsidRPr="00063000">
        <w:t xml:space="preserve">both </w:t>
      </w:r>
      <w:commentRangeStart w:id="8"/>
      <w:proofErr w:type="spellStart"/>
      <w:r w:rsidRPr="00063000">
        <w:t>Rabbinites</w:t>
      </w:r>
      <w:proofErr w:type="spellEnd"/>
      <w:r w:rsidRPr="00063000">
        <w:t xml:space="preserve"> </w:t>
      </w:r>
      <w:commentRangeEnd w:id="8"/>
      <w:r w:rsidR="00D33960" w:rsidRPr="00063000">
        <w:rPr>
          <w:rStyle w:val="CommentReference"/>
          <w:sz w:val="24"/>
          <w:szCs w:val="24"/>
        </w:rPr>
        <w:commentReference w:id="8"/>
      </w:r>
      <w:r w:rsidRPr="00063000">
        <w:t>and Karaites</w:t>
      </w:r>
      <w:r w:rsidR="002267DE">
        <w:t>—</w:t>
      </w:r>
      <w:r w:rsidRPr="00063000">
        <w:t>did not speak Arabic.</w:t>
      </w:r>
      <w:r w:rsidR="00B63556" w:rsidRPr="00B63556">
        <w:rPr>
          <w:vertAlign w:val="superscript"/>
        </w:rPr>
        <w:t xml:space="preserve"> </w:t>
      </w:r>
      <w:r w:rsidR="00B63556">
        <w:rPr>
          <w:rStyle w:val="FootnoteReference"/>
        </w:rPr>
        <w:footnoteReference w:id="17"/>
      </w:r>
      <w:r w:rsidR="00B05C88" w:rsidRPr="00063000">
        <w:rPr>
          <w:rtl/>
        </w:rPr>
        <w:t xml:space="preserve"> </w:t>
      </w:r>
      <w:r w:rsidRPr="00063000">
        <w:t xml:space="preserve">How can this </w:t>
      </w:r>
      <w:r w:rsidR="00B05C88" w:rsidRPr="00063000">
        <w:t>trend</w:t>
      </w:r>
      <w:r w:rsidRPr="00063000">
        <w:t xml:space="preserve"> be reconciled </w:t>
      </w:r>
      <w:r w:rsidR="00B05C88" w:rsidRPr="00063000">
        <w:t>with the information suggesting that</w:t>
      </w:r>
      <w:r w:rsidRPr="00063000">
        <w:t xml:space="preserve"> Rabbi Meyuhas lived in the Byzantine Empire yet was </w:t>
      </w:r>
      <w:r w:rsidRPr="00063000">
        <w:lastRenderedPageBreak/>
        <w:t xml:space="preserve">also versed in Arabic? Those scholars who identified Rabbi Meyuhas as Byzantine in origin did not address this issue. </w:t>
      </w:r>
    </w:p>
    <w:p w14:paraId="3EF742B9" w14:textId="32B8C9F9" w:rsidR="00B72CFF" w:rsidRPr="00063000" w:rsidRDefault="00B72CFF" w:rsidP="00063000">
      <w:pPr>
        <w:rPr>
          <w:rtl/>
        </w:rPr>
      </w:pPr>
      <w:r w:rsidRPr="00063000">
        <w:t xml:space="preserve">One possible way of resolving </w:t>
      </w:r>
      <w:r w:rsidR="00B05C88" w:rsidRPr="00063000">
        <w:t>the</w:t>
      </w:r>
      <w:r w:rsidRPr="00063000">
        <w:t xml:space="preserve"> difficulty is to propose that Rabbi Meyuhas grew up in an Arabic speaking country and later immigrated to the Byzantine Empire. </w:t>
      </w:r>
      <w:r w:rsidR="00B05C88" w:rsidRPr="00063000">
        <w:t xml:space="preserve">One can cite as </w:t>
      </w:r>
      <w:r w:rsidR="00800C21">
        <w:t xml:space="preserve">a </w:t>
      </w:r>
      <w:r w:rsidR="00B05C88" w:rsidRPr="00063000">
        <w:t>precedent the biography of the twelfth century exegete,</w:t>
      </w:r>
      <w:r w:rsidRPr="00063000">
        <w:t xml:space="preserve"> Rabbi Abraham Ibn Ezra. He was born in Toledo in the southern </w:t>
      </w:r>
      <w:r w:rsidR="00B05C88" w:rsidRPr="00063000">
        <w:t>Iberian Peninsula</w:t>
      </w:r>
      <w:r w:rsidRPr="00063000">
        <w:t xml:space="preserve">. At </w:t>
      </w:r>
      <w:r w:rsidR="00B05C88" w:rsidRPr="00063000">
        <w:t>age</w:t>
      </w:r>
      <w:r w:rsidRPr="00063000">
        <w:t xml:space="preserve"> 50, he left Spain and travelled to Christian lands, where he used his knowledge of Arabic in instruction and exegesis.</w:t>
      </w:r>
    </w:p>
    <w:p w14:paraId="2EC79A62" w14:textId="52F23CF8" w:rsidR="00B72CFF" w:rsidRPr="00063000" w:rsidRDefault="00B72CFF" w:rsidP="00063000">
      <w:pPr>
        <w:rPr>
          <w:rtl/>
        </w:rPr>
      </w:pPr>
      <w:r w:rsidRPr="00063000">
        <w:t xml:space="preserve">Another possibility is that Rabbi Meyuhas spent several years in an Arabic speaking country and there </w:t>
      </w:r>
      <w:r w:rsidR="00F3138A" w:rsidRPr="00063000">
        <w:t>acquainted</w:t>
      </w:r>
      <w:r w:rsidRPr="00063000">
        <w:t xml:space="preserve"> himself with the language and its grammatical principles. This has its precedent in the </w:t>
      </w:r>
      <w:r w:rsidR="005A7B3B" w:rsidRPr="00063000">
        <w:t>biography</w:t>
      </w:r>
      <w:r w:rsidRPr="00063000">
        <w:t xml:space="preserve"> of the French sage </w:t>
      </w:r>
      <w:r w:rsidRPr="005774D0">
        <w:t xml:space="preserve">Elazar ben </w:t>
      </w:r>
      <w:proofErr w:type="spellStart"/>
      <w:r w:rsidR="00837C3A" w:rsidRPr="00837C3A">
        <w:t>Mattityah</w:t>
      </w:r>
      <w:proofErr w:type="spellEnd"/>
      <w:r w:rsidR="00837C3A" w:rsidRPr="00837C3A">
        <w:t xml:space="preserve"> </w:t>
      </w:r>
      <w:r w:rsidRPr="00063000">
        <w:t xml:space="preserve">who learned Arabic after spending several years in </w:t>
      </w:r>
      <w:commentRangeStart w:id="9"/>
      <w:r w:rsidRPr="00063000">
        <w:t>Egypt</w:t>
      </w:r>
      <w:commentRangeEnd w:id="9"/>
      <w:r w:rsidR="00FA4BD9" w:rsidRPr="00063000">
        <w:rPr>
          <w:rStyle w:val="CommentReference"/>
          <w:sz w:val="24"/>
          <w:szCs w:val="24"/>
        </w:rPr>
        <w:commentReference w:id="9"/>
      </w:r>
      <w:r w:rsidRPr="00063000">
        <w:t>. Afterwards he moved to the Byzantine Empire and continued to use his knowledge of Arabic</w:t>
      </w:r>
      <w:r w:rsidR="005E617F" w:rsidRPr="00063000">
        <w:t xml:space="preserve"> there</w:t>
      </w:r>
      <w:r w:rsidRPr="00063000">
        <w:t>.</w:t>
      </w:r>
      <w:r w:rsidRPr="00063000">
        <w:rPr>
          <w:rStyle w:val="FootnoteReference"/>
          <w:rFonts w:cstheme="majorBidi"/>
          <w:szCs w:val="24"/>
        </w:rPr>
        <w:footnoteReference w:id="18"/>
      </w:r>
    </w:p>
    <w:p w14:paraId="3A7A8003" w14:textId="77777777" w:rsidR="00B72CFF" w:rsidRPr="00063000" w:rsidRDefault="00B72CFF" w:rsidP="00063000">
      <w:pPr>
        <w:rPr>
          <w:rtl/>
        </w:rPr>
      </w:pPr>
    </w:p>
    <w:p w14:paraId="088DC7D6" w14:textId="2271F70A" w:rsidR="00B72CFF" w:rsidRPr="00063000" w:rsidRDefault="00063000" w:rsidP="00063000">
      <w:pPr>
        <w:rPr>
          <w:rtl/>
        </w:rPr>
      </w:pPr>
      <w:r>
        <w:t xml:space="preserve">&lt;H2&gt; </w:t>
      </w:r>
      <w:r w:rsidR="00B72CFF" w:rsidRPr="00063000">
        <w:t>His Works</w:t>
      </w:r>
    </w:p>
    <w:p w14:paraId="423820ED" w14:textId="31CA0A1E" w:rsidR="00B72CFF" w:rsidRPr="00063000" w:rsidRDefault="00FA4BD9" w:rsidP="00063000">
      <w:pPr>
        <w:rPr>
          <w:rtl/>
        </w:rPr>
      </w:pPr>
      <w:r w:rsidRPr="00063000">
        <w:t xml:space="preserve">Prior to his commentaries on Scripture, </w:t>
      </w:r>
      <w:r w:rsidR="00B72CFF" w:rsidRPr="00063000">
        <w:t xml:space="preserve">Rabbi Meyuhas wrote a grammatical work called </w:t>
      </w:r>
      <w:r w:rsidR="00F26D76">
        <w:rPr>
          <w:rFonts w:hint="cs"/>
          <w:rtl/>
        </w:rPr>
        <w:t>ספר המידות</w:t>
      </w:r>
      <w:r w:rsidR="00837C3A">
        <w:t xml:space="preserve">, </w:t>
      </w:r>
      <w:r w:rsidR="00B72CFF" w:rsidRPr="00063000">
        <w:t xml:space="preserve">which is no longer extant. </w:t>
      </w:r>
      <w:r w:rsidRPr="00063000">
        <w:t>The work is mentioned</w:t>
      </w:r>
      <w:r w:rsidR="00B72CFF" w:rsidRPr="00063000">
        <w:t xml:space="preserve"> in his commentary on the Pentateuch twelve times, in his commentary on Job once, and in his commentary on Chronicles once.</w:t>
      </w:r>
      <w:r w:rsidR="00B72CFF" w:rsidRPr="00063000">
        <w:rPr>
          <w:vertAlign w:val="superscript"/>
        </w:rPr>
        <w:footnoteReference w:id="19"/>
      </w:r>
      <w:r w:rsidRPr="00063000">
        <w:t xml:space="preserve"> </w:t>
      </w:r>
      <w:r w:rsidR="00B72CFF" w:rsidRPr="00063000">
        <w:t xml:space="preserve">Based on his citations of the book, we can </w:t>
      </w:r>
      <w:r w:rsidR="00B72CFF" w:rsidRPr="00063000">
        <w:lastRenderedPageBreak/>
        <w:t xml:space="preserve">conclude that it </w:t>
      </w:r>
      <w:r w:rsidR="00837C3A">
        <w:t>contained</w:t>
      </w:r>
      <w:r w:rsidR="00B72CFF" w:rsidRPr="00063000">
        <w:t xml:space="preserve"> a systematic treatment of the rules of Hebrew </w:t>
      </w:r>
      <w:proofErr w:type="spellStart"/>
      <w:r w:rsidR="00B72CFF" w:rsidRPr="00063000">
        <w:t>vowelization</w:t>
      </w:r>
      <w:proofErr w:type="spellEnd"/>
      <w:r w:rsidR="00B72CFF" w:rsidRPr="00063000">
        <w:t xml:space="preserve"> and grammar, as well </w:t>
      </w:r>
      <w:commentRangeStart w:id="10"/>
      <w:r w:rsidR="00B72CFF" w:rsidRPr="00063000">
        <w:t xml:space="preserve">as </w:t>
      </w:r>
      <w:r w:rsidR="00837C3A">
        <w:t xml:space="preserve">the </w:t>
      </w:r>
      <w:r w:rsidR="00B72CFF" w:rsidRPr="00063000">
        <w:t>“</w:t>
      </w:r>
      <w:r w:rsidR="00837C3A">
        <w:rPr>
          <w:rFonts w:hint="cs"/>
          <w:rtl/>
        </w:rPr>
        <w:t>דרכי המקראות</w:t>
      </w:r>
      <w:r w:rsidR="00B72CFF" w:rsidRPr="00063000">
        <w:t>” which he revealed in Scripture</w:t>
      </w:r>
      <w:commentRangeEnd w:id="10"/>
      <w:r w:rsidRPr="00063000">
        <w:rPr>
          <w:rStyle w:val="CommentReference"/>
          <w:sz w:val="24"/>
          <w:szCs w:val="24"/>
          <w:rtl/>
        </w:rPr>
        <w:commentReference w:id="10"/>
      </w:r>
      <w:r w:rsidRPr="00063000">
        <w:t>.</w:t>
      </w:r>
    </w:p>
    <w:p w14:paraId="7E54092C" w14:textId="094EBB00" w:rsidR="00B72CFF" w:rsidRPr="00063000" w:rsidRDefault="00B72CFF" w:rsidP="00063000">
      <w:pPr>
        <w:rPr>
          <w:rtl/>
        </w:rPr>
      </w:pPr>
      <w:r w:rsidRPr="00063000">
        <w:t>Rabbi Meyuhas’ commentary on the Pentateuch is extant in only one manuscript.</w:t>
      </w:r>
      <w:r w:rsidRPr="00063000">
        <w:rPr>
          <w:vertAlign w:val="superscript"/>
        </w:rPr>
        <w:footnoteReference w:id="20"/>
      </w:r>
      <w:r w:rsidRPr="00063000">
        <w:t xml:space="preserve">According to the colophon, the copyist was </w:t>
      </w:r>
      <w:r w:rsidRPr="00063000">
        <w:rPr>
          <w:highlight w:val="yellow"/>
        </w:rPr>
        <w:t xml:space="preserve">Elijah ben Rabbi </w:t>
      </w:r>
      <w:proofErr w:type="spellStart"/>
      <w:r w:rsidRPr="00063000">
        <w:rPr>
          <w:highlight w:val="yellow"/>
        </w:rPr>
        <w:t>El</w:t>
      </w:r>
      <w:r w:rsidR="00837C3A">
        <w:rPr>
          <w:highlight w:val="yellow"/>
        </w:rPr>
        <w:t>k</w:t>
      </w:r>
      <w:r w:rsidRPr="00063000">
        <w:rPr>
          <w:highlight w:val="yellow"/>
        </w:rPr>
        <w:t>ana</w:t>
      </w:r>
      <w:proofErr w:type="spellEnd"/>
      <w:r w:rsidRPr="00063000">
        <w:t xml:space="preserve"> from </w:t>
      </w:r>
      <w:proofErr w:type="spellStart"/>
      <w:r w:rsidR="00837C3A" w:rsidRPr="002267DE">
        <w:rPr>
          <w:rFonts w:hint="cs"/>
          <w:highlight w:val="yellow"/>
        </w:rPr>
        <w:t>N</w:t>
      </w:r>
      <w:r w:rsidR="00837C3A" w:rsidRPr="002267DE">
        <w:rPr>
          <w:highlight w:val="yellow"/>
        </w:rPr>
        <w:t>icopolis</w:t>
      </w:r>
      <w:proofErr w:type="spellEnd"/>
      <w:r w:rsidRPr="00063000">
        <w:t xml:space="preserve">. The manuscript was completed on the </w:t>
      </w:r>
      <w:r w:rsidR="00FA4BD9" w:rsidRPr="00063000">
        <w:t>9</w:t>
      </w:r>
      <w:r w:rsidRPr="00063000">
        <w:t xml:space="preserve"> Nisan 5229 (1469).</w:t>
      </w:r>
      <w:r w:rsidRPr="00063000">
        <w:rPr>
          <w:vertAlign w:val="superscript"/>
        </w:rPr>
        <w:footnoteReference w:id="21"/>
      </w:r>
      <w:r w:rsidR="00FA4BD9" w:rsidRPr="00063000">
        <w:t xml:space="preserve"> </w:t>
      </w:r>
      <w:r w:rsidRPr="00063000">
        <w:t xml:space="preserve">All printed editions of Rabbi Meyuhas’ commentary </w:t>
      </w:r>
      <w:r w:rsidR="00FA4BD9" w:rsidRPr="00063000">
        <w:t>on the Pentateuch are</w:t>
      </w:r>
      <w:r w:rsidRPr="00063000">
        <w:t xml:space="preserve"> based on this manuscript</w:t>
      </w:r>
      <w:r w:rsidR="00FA4BD9" w:rsidRPr="00063000">
        <w:t>,</w:t>
      </w:r>
      <w:r w:rsidRPr="00063000">
        <w:rPr>
          <w:vertAlign w:val="superscript"/>
        </w:rPr>
        <w:footnoteReference w:id="22"/>
      </w:r>
      <w:r w:rsidR="00FA4BD9" w:rsidRPr="00063000">
        <w:t xml:space="preserve"> though the d</w:t>
      </w:r>
      <w:r w:rsidRPr="00063000">
        <w:t>ifferent editions are not identical in quality</w:t>
      </w:r>
      <w:r w:rsidR="00FA4BD9" w:rsidRPr="00063000">
        <w:t xml:space="preserve">, and </w:t>
      </w:r>
      <w:r w:rsidR="00837C3A">
        <w:t xml:space="preserve">a </w:t>
      </w:r>
      <w:r w:rsidR="00837C3A">
        <w:lastRenderedPageBreak/>
        <w:t>comparison</w:t>
      </w:r>
      <w:r w:rsidRPr="00063000">
        <w:t xml:space="preserve"> shows that not all scholars were careful to copy the text of the manuscript word for word</w:t>
      </w:r>
      <w:r w:rsidR="00837C3A">
        <w:t>.</w:t>
      </w:r>
      <w:r w:rsidRPr="00063000">
        <w:t xml:space="preserve"> I have personally found many cases in which the readings in the printed editions deviate from those appearing in the original </w:t>
      </w:r>
      <w:r w:rsidR="00FA4BD9" w:rsidRPr="00063000">
        <w:t>manuscript</w:t>
      </w:r>
      <w:r w:rsidRPr="00063000">
        <w:t xml:space="preserve">. </w:t>
      </w:r>
    </w:p>
    <w:p w14:paraId="78F0DE75" w14:textId="27E0280F" w:rsidR="00B72CFF" w:rsidRPr="00063000" w:rsidRDefault="00B72CFF" w:rsidP="00063000">
      <w:pPr>
        <w:rPr>
          <w:rtl/>
        </w:rPr>
      </w:pPr>
      <w:r w:rsidRPr="00063000">
        <w:t xml:space="preserve">Rabbi Meyuhas wrote commentaries on Job and Chronicles. They were preserved in a manuscript held by the Great Synagogue in Warsaw. The original manuscript did not survive the Second World War, but Greenup’s facsimiles of the commentary on Job are still available. </w:t>
      </w:r>
      <w:r w:rsidR="007D310D">
        <w:rPr>
          <w:rFonts w:hint="cs"/>
        </w:rPr>
        <w:t>F</w:t>
      </w:r>
      <w:r w:rsidR="007D310D">
        <w:t>urthermore</w:t>
      </w:r>
      <w:r w:rsidRPr="00063000">
        <w:t xml:space="preserve">, the entire manuscript was copied by hand by </w:t>
      </w:r>
      <w:r w:rsidR="00FA4BD9" w:rsidRPr="00AF4E08">
        <w:t>Samuel Poznanski</w:t>
      </w:r>
      <w:r w:rsidRPr="00063000">
        <w:t xml:space="preserve">. An edition of the </w:t>
      </w:r>
      <w:r w:rsidR="00FA4BD9" w:rsidRPr="00063000">
        <w:t>commentary</w:t>
      </w:r>
      <w:r w:rsidRPr="00063000">
        <w:t xml:space="preserve"> on Job, based on Greenup’s facsimiles, was published by Charles Ber </w:t>
      </w:r>
      <w:proofErr w:type="spellStart"/>
      <w:r w:rsidRPr="00063000">
        <w:t>Chavel</w:t>
      </w:r>
      <w:proofErr w:type="spellEnd"/>
      <w:r w:rsidRPr="00063000">
        <w:t xml:space="preserve"> in New York in 1970.</w:t>
      </w:r>
      <w:r w:rsidRPr="00063000">
        <w:rPr>
          <w:vertAlign w:val="superscript"/>
        </w:rPr>
        <w:footnoteReference w:id="23"/>
      </w:r>
      <w:r w:rsidR="00FA4BD9" w:rsidRPr="00063000">
        <w:t xml:space="preserve"> </w:t>
      </w:r>
      <w:r w:rsidRPr="00063000">
        <w:t xml:space="preserve">The commentary on Chronicles was first printed, based on </w:t>
      </w:r>
      <w:r w:rsidR="00FA4BD9" w:rsidRPr="00063000">
        <w:t>Poznanski’s</w:t>
      </w:r>
      <w:r w:rsidRPr="00063000">
        <w:t xml:space="preserve"> transcription</w:t>
      </w:r>
      <w:r w:rsidR="00837C3A">
        <w:t>,</w:t>
      </w:r>
      <w:r w:rsidRPr="00063000">
        <w:t xml:space="preserve"> in </w:t>
      </w:r>
      <w:r w:rsidR="000C32A9">
        <w:rPr>
          <w:rFonts w:hint="cs"/>
          <w:rtl/>
        </w:rPr>
        <w:t>מקראות גדולות הכתר</w:t>
      </w:r>
      <w:r w:rsidRPr="00063000">
        <w:t xml:space="preserve"> 2018. </w:t>
      </w:r>
    </w:p>
    <w:p w14:paraId="4B9329E9" w14:textId="766BD1AD" w:rsidR="00B72CFF" w:rsidRPr="00063000" w:rsidRDefault="00B72CFF" w:rsidP="00063000">
      <w:pPr>
        <w:rPr>
          <w:rtl/>
        </w:rPr>
      </w:pPr>
      <w:r w:rsidRPr="00063000">
        <w:t>From various other sources, one can conclude that Rabbi Meyuhas wrote additional commentaries on other books of Scripture.</w:t>
      </w:r>
      <w:r w:rsidR="00DB1244">
        <w:t xml:space="preserve"> </w:t>
      </w:r>
    </w:p>
    <w:p w14:paraId="67BBAFC7" w14:textId="187D844F" w:rsidR="00B72CFF" w:rsidRPr="00063000" w:rsidRDefault="00B72CFF" w:rsidP="00063000">
      <w:pPr>
        <w:rPr>
          <w:rtl/>
        </w:rPr>
      </w:pPr>
      <w:r w:rsidRPr="00063000">
        <w:t>In his commentary on Deuteronomy, Rabbi Meyuhas mentions a commentary on Joshua: “</w:t>
      </w:r>
      <w:r w:rsidR="000A004F">
        <w:rPr>
          <w:rFonts w:hint="cs"/>
        </w:rPr>
        <w:t>A</w:t>
      </w:r>
      <w:r w:rsidRPr="00063000">
        <w:t>nd we have already provided a thorough elucidation of the [tribal] borders and divisions in the Book of Joshua (</w:t>
      </w:r>
      <w:proofErr w:type="spellStart"/>
      <w:r w:rsidRPr="00063000">
        <w:t>Deut</w:t>
      </w:r>
      <w:proofErr w:type="spellEnd"/>
      <w:r w:rsidRPr="00063000">
        <w:t xml:space="preserve"> 33:7, </w:t>
      </w:r>
      <w:r w:rsidR="007A17DE">
        <w:t xml:space="preserve">appearing </w:t>
      </w:r>
      <w:r w:rsidRPr="00063000">
        <w:t xml:space="preserve">alongside a large map of the division of the Land of Israel between the various tribes). </w:t>
      </w:r>
    </w:p>
    <w:p w14:paraId="1C94AB86" w14:textId="40246F9D" w:rsidR="008873C4" w:rsidRPr="00063000" w:rsidRDefault="00B72CFF" w:rsidP="00063000">
      <w:pPr>
        <w:rPr>
          <w:highlight w:val="magenta"/>
        </w:rPr>
      </w:pPr>
      <w:r w:rsidRPr="00063000">
        <w:t xml:space="preserve">In a manuscript from the Cairo </w:t>
      </w:r>
      <w:r w:rsidR="00837C3A" w:rsidRPr="00063000">
        <w:t>Genizah</w:t>
      </w:r>
      <w:r w:rsidRPr="00063000">
        <w:t xml:space="preserve"> (F64143F) dated to the fifteenth century, I have found the following quotation: “</w:t>
      </w:r>
      <w:r w:rsidR="00396CE1" w:rsidRPr="00063000">
        <w:rPr>
          <w:highlight w:val="magenta"/>
          <w:rtl/>
        </w:rPr>
        <w:t>פי' רבינו מיוחס כי לא לקלים המרוץ (</w:t>
      </w:r>
      <w:proofErr w:type="spellStart"/>
      <w:r w:rsidR="00396CE1" w:rsidRPr="00063000">
        <w:rPr>
          <w:highlight w:val="magenta"/>
          <w:rtl/>
        </w:rPr>
        <w:t>קה</w:t>
      </w:r>
      <w:proofErr w:type="spellEnd"/>
      <w:r w:rsidR="00396CE1" w:rsidRPr="00063000">
        <w:rPr>
          <w:highlight w:val="magenta"/>
          <w:rtl/>
        </w:rPr>
        <w:t xml:space="preserve">' ט 11) - אין המריצה מתנה לקלים שכל זמן שירצה יהא רץ. וכן לא המלחמה </w:t>
      </w:r>
      <w:proofErr w:type="spellStart"/>
      <w:r w:rsidR="00396CE1" w:rsidRPr="00063000">
        <w:rPr>
          <w:highlight w:val="magenta"/>
          <w:rtl/>
        </w:rPr>
        <w:t>לגבורים</w:t>
      </w:r>
      <w:proofErr w:type="spellEnd"/>
      <w:r w:rsidR="00396CE1" w:rsidRPr="00063000">
        <w:rPr>
          <w:highlight w:val="magenta"/>
          <w:rtl/>
        </w:rPr>
        <w:t xml:space="preserve"> שכל זמן שירצה יהא נלחם. וכן הלחם לחכמים. וכן העושר לנבונים. וכן החן ליודעים.</w:t>
      </w:r>
      <w:r w:rsidR="00DB1244">
        <w:rPr>
          <w:highlight w:val="magenta"/>
          <w:rtl/>
        </w:rPr>
        <w:t xml:space="preserve"> </w:t>
      </w:r>
      <w:r w:rsidR="00396CE1" w:rsidRPr="00063000">
        <w:rPr>
          <w:highlight w:val="magenta"/>
          <w:rtl/>
        </w:rPr>
        <w:t xml:space="preserve">כי עת ופגע - אלא עת קשה ופגע רע יארע לכולם </w:t>
      </w:r>
      <w:r w:rsidR="00396CE1" w:rsidRPr="00063000">
        <w:rPr>
          <w:highlight w:val="magenta"/>
          <w:rtl/>
        </w:rPr>
        <w:lastRenderedPageBreak/>
        <w:t xml:space="preserve">ויכשלו </w:t>
      </w:r>
      <w:proofErr w:type="spellStart"/>
      <w:r w:rsidR="00396CE1" w:rsidRPr="00063000">
        <w:rPr>
          <w:highlight w:val="magenta"/>
          <w:rtl/>
        </w:rPr>
        <w:t>ויפולו</w:t>
      </w:r>
      <w:proofErr w:type="spellEnd"/>
      <w:r w:rsidR="00396CE1" w:rsidRPr="00063000">
        <w:rPr>
          <w:highlight w:val="magenta"/>
          <w:rtl/>
        </w:rPr>
        <w:t xml:space="preserve"> ולא ישכילו. הקל בריצתו נכשל ואינו יכול לרוץ. וכן </w:t>
      </w:r>
      <w:proofErr w:type="spellStart"/>
      <w:r w:rsidR="00396CE1" w:rsidRPr="00063000">
        <w:rPr>
          <w:highlight w:val="magenta"/>
          <w:rtl/>
        </w:rPr>
        <w:t>הגבור</w:t>
      </w:r>
      <w:proofErr w:type="spellEnd"/>
      <w:r w:rsidR="00396CE1" w:rsidRPr="00063000">
        <w:rPr>
          <w:highlight w:val="magenta"/>
          <w:rtl/>
        </w:rPr>
        <w:t xml:space="preserve"> נכשל במלחמה ונופל. וכן החכם </w:t>
      </w:r>
      <w:proofErr w:type="spellStart"/>
      <w:r w:rsidR="00396CE1" w:rsidRPr="00063000">
        <w:rPr>
          <w:highlight w:val="magenta"/>
          <w:rtl/>
        </w:rPr>
        <w:t>נסרחה</w:t>
      </w:r>
      <w:proofErr w:type="spellEnd"/>
      <w:r w:rsidR="00396CE1" w:rsidRPr="00063000">
        <w:rPr>
          <w:highlight w:val="magenta"/>
          <w:rtl/>
        </w:rPr>
        <w:t xml:space="preserve"> חכמתו ואין לו לחם. וכן לנבונים עושר. וכן ליודעים חן. כשיבוא </w:t>
      </w:r>
    </w:p>
    <w:p w14:paraId="265340DB" w14:textId="03C7A1BE" w:rsidR="00B72CFF" w:rsidRPr="00063000" w:rsidRDefault="00396CE1" w:rsidP="00063000">
      <w:pPr>
        <w:rPr>
          <w:rtl/>
        </w:rPr>
      </w:pPr>
      <w:r w:rsidRPr="00063000">
        <w:rPr>
          <w:highlight w:val="magenta"/>
          <w:rtl/>
        </w:rPr>
        <w:t xml:space="preserve">עתם ופגע שלהם, להודיעך </w:t>
      </w:r>
      <w:proofErr w:type="spellStart"/>
      <w:r w:rsidRPr="00063000">
        <w:rPr>
          <w:highlight w:val="magenta"/>
          <w:rtl/>
        </w:rPr>
        <w:t>שהכל</w:t>
      </w:r>
      <w:proofErr w:type="spellEnd"/>
      <w:r w:rsidRPr="00063000">
        <w:rPr>
          <w:highlight w:val="magenta"/>
          <w:rtl/>
        </w:rPr>
        <w:t xml:space="preserve"> ברשות המקום. כשירצה מרים את האדם. ומתי שירצה משפילו</w:t>
      </w:r>
      <w:r w:rsidRPr="00063000">
        <w:rPr>
          <w:rtl/>
        </w:rPr>
        <w:t xml:space="preserve"> </w:t>
      </w:r>
      <w:r w:rsidR="00B72CFF" w:rsidRPr="00063000">
        <w:t>(p. 31a-b). We can adduce from this excerpt that Rabbi Meyuhas composed a commentary on Ecclesiastes.</w:t>
      </w:r>
    </w:p>
    <w:p w14:paraId="62EBEA0C" w14:textId="3F5EE748" w:rsidR="00B72CFF" w:rsidRDefault="00B72CFF" w:rsidP="00063000">
      <w:r w:rsidRPr="00063000">
        <w:t>To summarize: Rabbi Meyuhas’ commentaries on the Pentateuch, Job, and Chronicles are extant. Evidence suggests that he also wrote commentaries on Joshua and Ecclesiastes. It is possible</w:t>
      </w:r>
      <w:r w:rsidR="00837C3A">
        <w:t>, of course,</w:t>
      </w:r>
      <w:r w:rsidRPr="00063000">
        <w:t xml:space="preserve"> that he wrote additional commentaries on Scripture that have not survived.</w:t>
      </w:r>
    </w:p>
    <w:p w14:paraId="3D86B962" w14:textId="77777777" w:rsidR="00063000" w:rsidRPr="00063000" w:rsidRDefault="00063000" w:rsidP="00063000">
      <w:pPr>
        <w:rPr>
          <w:rtl/>
        </w:rPr>
      </w:pPr>
    </w:p>
    <w:p w14:paraId="0F7EBC0F" w14:textId="019DBAFA" w:rsidR="00B72CFF" w:rsidRDefault="00063000" w:rsidP="00063000">
      <w:r>
        <w:t xml:space="preserve">&lt;H2&gt; </w:t>
      </w:r>
      <w:r w:rsidR="008873C4" w:rsidRPr="00063000">
        <w:t>Chronology</w:t>
      </w:r>
    </w:p>
    <w:p w14:paraId="1B1ACA76" w14:textId="77777777" w:rsidR="00063000" w:rsidRPr="00063000" w:rsidRDefault="00063000" w:rsidP="00063000">
      <w:pPr>
        <w:rPr>
          <w:rtl/>
        </w:rPr>
      </w:pPr>
    </w:p>
    <w:p w14:paraId="0C013BEE" w14:textId="2F8C4919" w:rsidR="00B72CFF" w:rsidRPr="00063000" w:rsidRDefault="00B72CFF" w:rsidP="00063000">
      <w:pPr>
        <w:rPr>
          <w:rtl/>
        </w:rPr>
      </w:pPr>
      <w:r w:rsidRPr="00063000">
        <w:t xml:space="preserve">Scholars have debated when Rabbi Meyuhas </w:t>
      </w:r>
      <w:r w:rsidR="00837C3A">
        <w:t>lived</w:t>
      </w:r>
      <w:r w:rsidR="008873C4" w:rsidRPr="00063000">
        <w:t>,</w:t>
      </w:r>
      <w:r w:rsidRPr="00063000">
        <w:t xml:space="preserve"> some posit</w:t>
      </w:r>
      <w:r w:rsidR="008873C4" w:rsidRPr="00063000">
        <w:t>ing</w:t>
      </w:r>
      <w:r w:rsidRPr="00063000">
        <w:t xml:space="preserve"> an early twelfth </w:t>
      </w:r>
      <w:r w:rsidR="008873C4" w:rsidRPr="00063000">
        <w:t>century</w:t>
      </w:r>
      <w:r w:rsidRPr="00063000">
        <w:t xml:space="preserve"> dating</w:t>
      </w:r>
      <w:r w:rsidR="008873C4" w:rsidRPr="00063000">
        <w:t xml:space="preserve">, </w:t>
      </w:r>
      <w:r w:rsidRPr="00063000">
        <w:t>others prefer</w:t>
      </w:r>
      <w:r w:rsidR="008873C4" w:rsidRPr="00063000">
        <w:t>ring</w:t>
      </w:r>
      <w:r w:rsidRPr="00063000">
        <w:t xml:space="preserve"> to postdate him as late as the fifteenth century. I will begin by reviewing the various scholarly views</w:t>
      </w:r>
      <w:r w:rsidR="008873C4" w:rsidRPr="00063000">
        <w:t xml:space="preserve"> on this issue. </w:t>
      </w:r>
    </w:p>
    <w:p w14:paraId="2664E0F2" w14:textId="78D73CD7" w:rsidR="00B72CFF" w:rsidRPr="00063000" w:rsidRDefault="006B42AC" w:rsidP="00063000">
      <w:pPr>
        <w:rPr>
          <w:rtl/>
        </w:rPr>
      </w:pPr>
      <w:proofErr w:type="spellStart"/>
      <w:r w:rsidRPr="00063000">
        <w:t>Margoliouth</w:t>
      </w:r>
      <w:proofErr w:type="spellEnd"/>
      <w:r w:rsidRPr="00063000">
        <w:t xml:space="preserve"> </w:t>
      </w:r>
      <w:r w:rsidR="00B72CFF" w:rsidRPr="00063000">
        <w:t>assumed that Rabbi Meyuhas lived in the twelfth century.</w:t>
      </w:r>
      <w:r w:rsidR="00B72CFF" w:rsidRPr="00063000">
        <w:rPr>
          <w:rStyle w:val="FootnoteReference"/>
          <w:rFonts w:cstheme="majorBidi"/>
          <w:szCs w:val="24"/>
        </w:rPr>
        <w:footnoteReference w:id="24"/>
      </w:r>
      <w:r w:rsidR="008873C4" w:rsidRPr="00063000">
        <w:t xml:space="preserve"> </w:t>
      </w:r>
      <w:r w:rsidR="00B72CFF" w:rsidRPr="00063000">
        <w:t>He pointed to the fact that the latest exegete whom Rabbi Meyuhas references in his commentary is Rabbi Abraham Ibn Ezra (1089</w:t>
      </w:r>
      <w:r w:rsidR="008873C4" w:rsidRPr="00063000">
        <w:t>–</w:t>
      </w:r>
      <w:r w:rsidR="00B72CFF" w:rsidRPr="00063000">
        <w:t>1164). The manner in which Rabbi Meyuhas cites Ibn Ezra</w:t>
      </w:r>
      <w:r w:rsidR="002267DE">
        <w:t>—</w:t>
      </w:r>
      <w:r w:rsidR="00B72CFF" w:rsidRPr="00063000">
        <w:t xml:space="preserve">“I have heard in the name of Abram </w:t>
      </w:r>
      <w:r w:rsidR="00837C3A">
        <w:t xml:space="preserve">[sic] </w:t>
      </w:r>
      <w:r w:rsidR="00B72CFF" w:rsidRPr="00063000">
        <w:t>ben Ezra” (Gen 11:3)</w:t>
      </w:r>
      <w:r w:rsidR="002267DE">
        <w:t>—</w:t>
      </w:r>
      <w:r w:rsidR="00B72CFF" w:rsidRPr="00063000">
        <w:t>suggests that Rabbi Meyuhas did not have Ibn Ezra’s commentary in writing.</w:t>
      </w:r>
      <w:r w:rsidR="00B72CFF" w:rsidRPr="00063000">
        <w:rPr>
          <w:vertAlign w:val="superscript"/>
        </w:rPr>
        <w:footnoteReference w:id="25"/>
      </w:r>
      <w:r w:rsidR="008873C4" w:rsidRPr="00063000">
        <w:t xml:space="preserve"> </w:t>
      </w:r>
      <w:proofErr w:type="spellStart"/>
      <w:r w:rsidRPr="00063000">
        <w:t>Margoliouth</w:t>
      </w:r>
      <w:proofErr w:type="spellEnd"/>
      <w:r w:rsidRPr="00063000">
        <w:t xml:space="preserve"> </w:t>
      </w:r>
      <w:r w:rsidR="008873C4" w:rsidRPr="00063000">
        <w:lastRenderedPageBreak/>
        <w:t>therefore</w:t>
      </w:r>
      <w:r w:rsidR="00B72CFF" w:rsidRPr="00063000">
        <w:t xml:space="preserve"> conclude</w:t>
      </w:r>
      <w:r w:rsidR="00837C3A">
        <w:t>d</w:t>
      </w:r>
      <w:r w:rsidR="00B72CFF" w:rsidRPr="00063000">
        <w:t xml:space="preserve"> that Rabbi Meyuhas was Ibn Ezra’s contemporary.</w:t>
      </w:r>
      <w:r w:rsidR="00B72CFF" w:rsidRPr="00063000">
        <w:rPr>
          <w:rStyle w:val="FootnoteReference"/>
          <w:rFonts w:cstheme="majorBidi"/>
          <w:szCs w:val="24"/>
        </w:rPr>
        <w:footnoteReference w:id="26"/>
      </w:r>
      <w:r w:rsidR="00B72CFF" w:rsidRPr="00063000">
        <w:t xml:space="preserve"> </w:t>
      </w:r>
      <w:proofErr w:type="spellStart"/>
      <w:r w:rsidR="00B72CFF" w:rsidRPr="00063000">
        <w:t>Guzik</w:t>
      </w:r>
      <w:proofErr w:type="spellEnd"/>
      <w:r w:rsidR="00B72CFF" w:rsidRPr="00063000">
        <w:t xml:space="preserve"> reached a similar conclusion (without quoting </w:t>
      </w:r>
      <w:proofErr w:type="spellStart"/>
      <w:r w:rsidR="00347EF8" w:rsidRPr="00063000">
        <w:t>Margoliouth</w:t>
      </w:r>
      <w:proofErr w:type="spellEnd"/>
      <w:r w:rsidR="00B72CFF" w:rsidRPr="00063000">
        <w:t xml:space="preserve">) based on a comparison between Rabbi Meyuhas and </w:t>
      </w:r>
      <w:proofErr w:type="spellStart"/>
      <w:r w:rsidR="00B72CFF" w:rsidRPr="00063000">
        <w:t>Tobiah</w:t>
      </w:r>
      <w:proofErr w:type="spellEnd"/>
      <w:r w:rsidR="00B72CFF" w:rsidRPr="00063000">
        <w:t xml:space="preserve"> ben Eliezer, author of </w:t>
      </w:r>
      <w:r w:rsidR="00AC42BA">
        <w:rPr>
          <w:rFonts w:hint="cs"/>
          <w:rtl/>
        </w:rPr>
        <w:t>לקח טוב</w:t>
      </w:r>
      <w:r w:rsidR="00B72CFF" w:rsidRPr="00063000">
        <w:t xml:space="preserve">, who lived at the turn of the twelfth </w:t>
      </w:r>
      <w:commentRangeStart w:id="11"/>
      <w:r w:rsidR="00B72CFF" w:rsidRPr="00063000">
        <w:t>century</w:t>
      </w:r>
      <w:commentRangeEnd w:id="11"/>
      <w:r w:rsidR="003B0917">
        <w:rPr>
          <w:rStyle w:val="CommentReference"/>
        </w:rPr>
        <w:commentReference w:id="11"/>
      </w:r>
      <w:r w:rsidR="00B72CFF" w:rsidRPr="00063000">
        <w:t>.</w:t>
      </w:r>
      <w:r w:rsidR="00244301">
        <w:rPr>
          <w:rStyle w:val="FootnoteReference"/>
        </w:rPr>
        <w:footnoteReference w:id="27"/>
      </w:r>
      <w:r w:rsidR="00B72CFF" w:rsidRPr="00063000">
        <w:t xml:space="preserve"> </w:t>
      </w:r>
    </w:p>
    <w:p w14:paraId="07166255" w14:textId="74E1C862" w:rsidR="00B72CFF" w:rsidRPr="00063000" w:rsidRDefault="00B72CFF" w:rsidP="00063000">
      <w:pPr>
        <w:rPr>
          <w:rtl/>
        </w:rPr>
      </w:pPr>
      <w:proofErr w:type="spellStart"/>
      <w:r w:rsidRPr="00063000">
        <w:t>Chavel</w:t>
      </w:r>
      <w:proofErr w:type="spellEnd"/>
      <w:r w:rsidRPr="00063000">
        <w:t xml:space="preserve"> posited that Rabbi Meyuhas’ commentary was written between the mid-thirteenth century and the mid-fourteenth century.</w:t>
      </w:r>
      <w:r w:rsidRPr="00063000">
        <w:rPr>
          <w:rStyle w:val="FootnoteReference"/>
          <w:rFonts w:cstheme="majorBidi"/>
          <w:szCs w:val="24"/>
        </w:rPr>
        <w:footnoteReference w:id="28"/>
      </w:r>
      <w:r w:rsidR="000E0EE8" w:rsidRPr="00063000">
        <w:t xml:space="preserve"> </w:t>
      </w:r>
      <w:r w:rsidRPr="00063000">
        <w:t>He based this on the fact that Rabbi Meyuhas’ writings leave “no allusion to any poverty or oppression in [the author’s] lifetime</w:t>
      </w:r>
      <w:r w:rsidR="00153362" w:rsidRPr="00063000">
        <w:t>,” making an earlier dating difficult since,</w:t>
      </w:r>
      <w:r w:rsidRPr="00063000">
        <w:t xml:space="preserve"> until the mid-thirteenth century, “the world treated the Jewish people with a heavy hand, truly devastating </w:t>
      </w:r>
      <w:r w:rsidRPr="00063000">
        <w:lastRenderedPageBreak/>
        <w:t>them with debasement and slavery.” This is a reasonable, albeit inconclusive claim</w:t>
      </w:r>
      <w:r w:rsidR="00383A98" w:rsidRPr="00063000">
        <w:t>:</w:t>
      </w:r>
      <w:r w:rsidRPr="00063000">
        <w:t xml:space="preserve"> a commentary on the Pentateuch need not necessarily reflect the circumstances of world Jewry during an exegete’s lifetime. </w:t>
      </w:r>
      <w:proofErr w:type="spellStart"/>
      <w:r w:rsidRPr="00063000">
        <w:t>Chavel</w:t>
      </w:r>
      <w:proofErr w:type="spellEnd"/>
      <w:r w:rsidRPr="00063000">
        <w:t xml:space="preserve"> further pointed to the fact that Rabbi Meyuhas </w:t>
      </w:r>
      <w:r w:rsidR="005A27BB" w:rsidRPr="00063000">
        <w:t>seems to</w:t>
      </w:r>
      <w:r w:rsidRPr="00063000">
        <w:t xml:space="preserve"> not </w:t>
      </w:r>
      <w:r w:rsidR="005A27BB" w:rsidRPr="00063000">
        <w:t>have been influenced</w:t>
      </w:r>
      <w:r w:rsidRPr="00063000">
        <w:t xml:space="preserve"> by the commentaries of Ibn Ezra, Nachmanides, and </w:t>
      </w:r>
      <w:proofErr w:type="spellStart"/>
      <w:r w:rsidRPr="00063000">
        <w:t>Rada</w:t>
      </w:r>
      <w:r w:rsidR="005A27BB" w:rsidRPr="00063000">
        <w:t>k</w:t>
      </w:r>
      <w:proofErr w:type="spellEnd"/>
      <w:r w:rsidRPr="00063000">
        <w:t xml:space="preserve">, exegetes who, according to </w:t>
      </w:r>
      <w:proofErr w:type="spellStart"/>
      <w:r w:rsidRPr="00063000">
        <w:t>Chavel</w:t>
      </w:r>
      <w:proofErr w:type="spellEnd"/>
      <w:r w:rsidRPr="00063000">
        <w:t xml:space="preserve">, were already known in Byzantium during the fifteenth century. </w:t>
      </w:r>
    </w:p>
    <w:p w14:paraId="00C7161F" w14:textId="7D5C6C46" w:rsidR="00B72CFF" w:rsidRPr="00063000" w:rsidRDefault="00B72CFF" w:rsidP="00063000">
      <w:pPr>
        <w:rPr>
          <w:rtl/>
        </w:rPr>
      </w:pPr>
      <w:r w:rsidRPr="00063000">
        <w:t>Ta-</w:t>
      </w:r>
      <w:proofErr w:type="spellStart"/>
      <w:r w:rsidRPr="00063000">
        <w:t>Shma</w:t>
      </w:r>
      <w:proofErr w:type="spellEnd"/>
      <w:r w:rsidRPr="00063000">
        <w:t xml:space="preserve"> maintained that Rabbi Meyuhas lived in the first half of the fourteenth century. He bases this on certain passages in Rabbi Meyuhas’ introduction to his commentary on the Pentateuch which, in Ta-</w:t>
      </w:r>
      <w:proofErr w:type="spellStart"/>
      <w:r w:rsidRPr="00063000">
        <w:t>Shma’s</w:t>
      </w:r>
      <w:proofErr w:type="spellEnd"/>
      <w:r w:rsidRPr="00063000">
        <w:t xml:space="preserve"> view, indicate the exegete’s acquaintance with the Zohar and the writings of Nachmanides.</w:t>
      </w:r>
      <w:r w:rsidRPr="00063000">
        <w:rPr>
          <w:rStyle w:val="FootnoteReference"/>
          <w:rFonts w:cstheme="majorBidi"/>
          <w:szCs w:val="24"/>
        </w:rPr>
        <w:footnoteReference w:id="29"/>
      </w:r>
      <w:r w:rsidRPr="00063000">
        <w:t xml:space="preserve"> I will address this claim below. </w:t>
      </w:r>
    </w:p>
    <w:p w14:paraId="06D4CE2A" w14:textId="1DCD5514" w:rsidR="00B72CFF" w:rsidRPr="00063000" w:rsidRDefault="00B72CFF" w:rsidP="001F36E4">
      <w:pPr>
        <w:rPr>
          <w:rtl/>
        </w:rPr>
      </w:pPr>
      <w:r w:rsidRPr="00063000">
        <w:t>Steinschneider maintained that Rabbi Meyuhas lived in the fifteenth century.</w:t>
      </w:r>
      <w:r w:rsidRPr="00063000">
        <w:rPr>
          <w:vertAlign w:val="superscript"/>
        </w:rPr>
        <w:footnoteReference w:id="30"/>
      </w:r>
      <w:r w:rsidR="005A27BB" w:rsidRPr="00063000">
        <w:t xml:space="preserve"> </w:t>
      </w:r>
      <w:r w:rsidRPr="00063000">
        <w:t xml:space="preserve">He based this on the </w:t>
      </w:r>
      <w:r w:rsidR="005A27BB" w:rsidRPr="00063000">
        <w:t>claim</w:t>
      </w:r>
      <w:r w:rsidRPr="00063000">
        <w:t xml:space="preserve"> that the only author to mention him is Rabbi Elijah Mizrahi</w:t>
      </w:r>
      <w:r w:rsidR="003B0917">
        <w:t xml:space="preserve">— </w:t>
      </w:r>
      <w:r w:rsidRPr="00063000">
        <w:t>who, as mentioned, live</w:t>
      </w:r>
      <w:r w:rsidR="003B0917">
        <w:t>d</w:t>
      </w:r>
      <w:r w:rsidRPr="00063000">
        <w:t xml:space="preserve"> at the turn of the sixteenth century,</w:t>
      </w:r>
      <w:r w:rsidRPr="00063000">
        <w:rPr>
          <w:rStyle w:val="FootnoteReference"/>
          <w:rFonts w:cstheme="majorBidi"/>
          <w:szCs w:val="24"/>
        </w:rPr>
        <w:footnoteReference w:id="31"/>
      </w:r>
      <w:r w:rsidR="003B0917">
        <w:t>—</w:t>
      </w:r>
      <w:r w:rsidRPr="00063000">
        <w:t xml:space="preserve">as well as the fact </w:t>
      </w:r>
      <w:r w:rsidRPr="00063000">
        <w:lastRenderedPageBreak/>
        <w:t>that the only extant manuscript of Rabbi Meyuhas’ works dates to 1469.</w:t>
      </w:r>
      <w:r w:rsidRPr="00063000">
        <w:rPr>
          <w:rStyle w:val="FootnoteReference"/>
          <w:rFonts w:cstheme="majorBidi"/>
          <w:szCs w:val="24"/>
        </w:rPr>
        <w:footnoteReference w:id="32"/>
      </w:r>
      <w:r w:rsidR="001B7174" w:rsidRPr="00063000">
        <w:t xml:space="preserve"> </w:t>
      </w:r>
      <w:r w:rsidRPr="00063000">
        <w:t xml:space="preserve">Neither of </w:t>
      </w:r>
      <w:r w:rsidR="001B7174" w:rsidRPr="00063000">
        <w:t>Steinschneider’s</w:t>
      </w:r>
      <w:r w:rsidRPr="00063000">
        <w:t xml:space="preserve"> claims constitutes definitive evidence for postdating Rabbi Meyuhas to the fifteenth century. The existence of only late citations and copies may certainly indicate a work’s lack of popularity, but not necessarily its date of its composition.</w:t>
      </w:r>
      <w:r w:rsidRPr="00063000">
        <w:rPr>
          <w:vertAlign w:val="superscript"/>
        </w:rPr>
        <w:footnoteReference w:id="33"/>
      </w:r>
      <w:r w:rsidRPr="00063000">
        <w:t xml:space="preserve"> </w:t>
      </w:r>
    </w:p>
    <w:p w14:paraId="6B3D2101" w14:textId="2A61FCAA" w:rsidR="00B72CFF" w:rsidRDefault="00B72CFF" w:rsidP="003B0917">
      <w:r w:rsidRPr="00063000">
        <w:t xml:space="preserve">As can be seen, scholarly discussions of Rabbi Meyuhas’ </w:t>
      </w:r>
      <w:r w:rsidR="00591F10" w:rsidRPr="00063000">
        <w:t>biographical chronology</w:t>
      </w:r>
      <w:r w:rsidRPr="00063000">
        <w:t xml:space="preserve"> </w:t>
      </w:r>
      <w:proofErr w:type="gramStart"/>
      <w:r w:rsidRPr="00063000">
        <w:t>are</w:t>
      </w:r>
      <w:proofErr w:type="gramEnd"/>
      <w:r w:rsidRPr="00063000">
        <w:t xml:space="preserve"> partial and limited. In order to approach a solution to </w:t>
      </w:r>
      <w:r w:rsidR="00591F10" w:rsidRPr="00063000">
        <w:t>this riddle</w:t>
      </w:r>
      <w:r w:rsidRPr="00063000">
        <w:t xml:space="preserve">, I propose considering </w:t>
      </w:r>
      <w:r w:rsidR="001F36E4">
        <w:t>the following factors</w:t>
      </w:r>
      <w:r w:rsidRPr="00063000">
        <w:t xml:space="preserve">: Rabbi Meyuhas’ sources; his grammatical system; </w:t>
      </w:r>
      <w:r w:rsidR="00591F10" w:rsidRPr="00063000">
        <w:t>the</w:t>
      </w:r>
      <w:r w:rsidRPr="00063000">
        <w:t xml:space="preserve"> references (or lack thereof) to philosophical and kabbalistic issues in his commentaries; and his exegetical style and method. As I will show, when these factors are </w:t>
      </w:r>
      <w:proofErr w:type="gramStart"/>
      <w:r w:rsidRPr="00063000">
        <w:t>taken into account</w:t>
      </w:r>
      <w:proofErr w:type="gramEnd"/>
      <w:r w:rsidRPr="00063000">
        <w:t xml:space="preserve">, </w:t>
      </w:r>
      <w:r w:rsidR="003B0917">
        <w:t>it is most plausible to date</w:t>
      </w:r>
      <w:r w:rsidRPr="00063000">
        <w:t xml:space="preserve"> </w:t>
      </w:r>
      <w:r w:rsidR="003B0917">
        <w:t>his</w:t>
      </w:r>
      <w:r w:rsidRPr="00063000">
        <w:t xml:space="preserve"> commentary to </w:t>
      </w:r>
      <w:r w:rsidR="003B0917">
        <w:t xml:space="preserve">the </w:t>
      </w:r>
      <w:r w:rsidRPr="00063000">
        <w:t>second half of the thirteenth century</w:t>
      </w:r>
      <w:r w:rsidR="003B0917">
        <w:t xml:space="preserve">. </w:t>
      </w:r>
    </w:p>
    <w:p w14:paraId="62374D34" w14:textId="77777777" w:rsidR="00063000" w:rsidRPr="00063000" w:rsidRDefault="00063000" w:rsidP="00063000">
      <w:pPr>
        <w:rPr>
          <w:rtl/>
        </w:rPr>
      </w:pPr>
    </w:p>
    <w:p w14:paraId="23281ABA" w14:textId="53C9CE2A" w:rsidR="00B72CFF" w:rsidRDefault="00063000" w:rsidP="00063000">
      <w:r>
        <w:t xml:space="preserve">&lt;H3&gt; </w:t>
      </w:r>
      <w:r w:rsidR="00B72CFF" w:rsidRPr="00063000">
        <w:t>Sources</w:t>
      </w:r>
      <w:r>
        <w:t>:</w:t>
      </w:r>
      <w:r w:rsidR="00B72CFF" w:rsidRPr="00063000">
        <w:t xml:space="preserve"> Rashi </w:t>
      </w:r>
    </w:p>
    <w:p w14:paraId="68390A1A" w14:textId="77777777" w:rsidR="00063000" w:rsidRPr="00063000" w:rsidRDefault="00063000" w:rsidP="00063000">
      <w:pPr>
        <w:rPr>
          <w:rtl/>
        </w:rPr>
      </w:pPr>
    </w:p>
    <w:p w14:paraId="549612AF" w14:textId="70D48E50" w:rsidR="00B72CFF" w:rsidRPr="00063000" w:rsidRDefault="00B72CFF" w:rsidP="00063000">
      <w:pPr>
        <w:rPr>
          <w:rtl/>
        </w:rPr>
      </w:pPr>
      <w:r w:rsidRPr="00063000">
        <w:lastRenderedPageBreak/>
        <w:t>Rashi lived from 1040 to 1105.</w:t>
      </w:r>
      <w:r w:rsidR="00DB1244">
        <w:t xml:space="preserve"> </w:t>
      </w:r>
      <w:r w:rsidRPr="00063000">
        <w:t>In his commentary on the Pentateuch, Rabbi Meyuhas mentions Rashi’s commentary nine times.</w:t>
      </w:r>
      <w:r w:rsidRPr="00063000">
        <w:rPr>
          <w:rStyle w:val="FootnoteReference"/>
          <w:rFonts w:cstheme="majorBidi"/>
          <w:szCs w:val="24"/>
        </w:rPr>
        <w:footnoteReference w:id="34"/>
      </w:r>
      <w:r w:rsidR="00D54309" w:rsidRPr="00063000">
        <w:t xml:space="preserve"> </w:t>
      </w:r>
      <w:r w:rsidRPr="00063000">
        <w:t>However, in all cases, he cites Rashi in paraphrase, and the references themselves are inaccurate and incomplete.</w:t>
      </w:r>
      <w:r w:rsidRPr="00063000">
        <w:rPr>
          <w:vertAlign w:val="superscript"/>
        </w:rPr>
        <w:footnoteReference w:id="35"/>
      </w:r>
      <w:r w:rsidR="00D54309" w:rsidRPr="00063000">
        <w:t xml:space="preserve"> </w:t>
      </w:r>
      <w:r w:rsidRPr="00063000">
        <w:t>It can thus be concluded that Rabbi Meyuhas was not properly acquainted with Rashi’s commentary. Presumably, Rashi’s commentary was, at some point, available to Rabbi Meyuhas and he presumably studied it,</w:t>
      </w:r>
      <w:r w:rsidR="00D54309" w:rsidRPr="00063000">
        <w:t xml:space="preserve"> but</w:t>
      </w:r>
      <w:r w:rsidRPr="00063000">
        <w:t xml:space="preserve"> when Rabbi Meyuhas wrote his </w:t>
      </w:r>
      <w:r w:rsidR="00D54309" w:rsidRPr="00063000">
        <w:t xml:space="preserve">own </w:t>
      </w:r>
      <w:r w:rsidRPr="00063000">
        <w:t xml:space="preserve">commentary it seems that Rashi’s </w:t>
      </w:r>
      <w:r w:rsidR="00D54309" w:rsidRPr="00063000">
        <w:t>text</w:t>
      </w:r>
      <w:r w:rsidRPr="00063000">
        <w:t xml:space="preserve"> was not in front of him and </w:t>
      </w:r>
      <w:r w:rsidR="00D54309" w:rsidRPr="00063000">
        <w:t>that he</w:t>
      </w:r>
      <w:r w:rsidRPr="00063000">
        <w:t xml:space="preserve"> relied on memory, integrating and citing whatever he could recall.</w:t>
      </w:r>
      <w:r w:rsidRPr="00063000">
        <w:rPr>
          <w:rStyle w:val="FootnoteReference"/>
          <w:rFonts w:cstheme="majorBidi"/>
          <w:szCs w:val="24"/>
        </w:rPr>
        <w:footnoteReference w:id="36"/>
      </w:r>
      <w:r w:rsidRPr="00063000">
        <w:t xml:space="preserve"> </w:t>
      </w:r>
    </w:p>
    <w:p w14:paraId="1C57977F" w14:textId="6158EBB1" w:rsidR="00B72CFF" w:rsidRPr="00063000" w:rsidRDefault="00B72CFF" w:rsidP="00063000">
      <w:pPr>
        <w:rPr>
          <w:rtl/>
        </w:rPr>
      </w:pPr>
      <w:r w:rsidRPr="00063000">
        <w:lastRenderedPageBreak/>
        <w:t xml:space="preserve">With these considerations in mind, we must inquire as to when Rashi’s commentaries arrived in Byzantium. The spread and reception of Rashi’s commentaries in Europe and the Middle East </w:t>
      </w:r>
      <w:r w:rsidR="003B0917">
        <w:t>have</w:t>
      </w:r>
      <w:r w:rsidRPr="00063000">
        <w:t xml:space="preserve"> yet to be treated in an exhaustive or comprehensive study. Nevertheless, in recent years, a number of studies have begun to broach the issue</w:t>
      </w:r>
      <w:r w:rsidR="003B0917">
        <w:t>,</w:t>
      </w:r>
      <w:r w:rsidRPr="00063000">
        <w:t xml:space="preserve"> </w:t>
      </w:r>
      <w:r w:rsidR="003B0917">
        <w:t>most</w:t>
      </w:r>
      <w:r w:rsidRPr="00063000">
        <w:t xml:space="preserve"> of them </w:t>
      </w:r>
      <w:r w:rsidR="003B0917">
        <w:t>focusing</w:t>
      </w:r>
      <w:r w:rsidRPr="00063000">
        <w:t xml:space="preserve"> on the reception of Rashi’s commentaries in Spain and </w:t>
      </w:r>
      <w:r w:rsidR="003B0917">
        <w:t>Germany</w:t>
      </w:r>
      <w:r w:rsidRPr="00063000">
        <w:t>.</w:t>
      </w:r>
      <w:r w:rsidRPr="00063000">
        <w:rPr>
          <w:rStyle w:val="FootnoteReference"/>
          <w:rFonts w:cstheme="majorBidi"/>
          <w:szCs w:val="24"/>
        </w:rPr>
        <w:footnoteReference w:id="37"/>
      </w:r>
      <w:r w:rsidRPr="00063000">
        <w:t xml:space="preserve">Very little has been written about the arrival of Rashi’s commentary in the </w:t>
      </w:r>
      <w:r w:rsidRPr="00063000">
        <w:lastRenderedPageBreak/>
        <w:t xml:space="preserve">Byzantine Empire and scholarly opinions remain divided over the issue. </w:t>
      </w:r>
      <w:proofErr w:type="spellStart"/>
      <w:r w:rsidR="001F36E4">
        <w:t>Sonne</w:t>
      </w:r>
      <w:proofErr w:type="spellEnd"/>
      <w:r w:rsidRPr="00063000">
        <w:t xml:space="preserve"> argued that Rashi’s commentaries arrived in Byzantium shortly after their composition</w:t>
      </w:r>
      <w:r w:rsidR="002267DE">
        <w:t>—</w:t>
      </w:r>
      <w:r w:rsidRPr="00063000">
        <w:t xml:space="preserve">i.e., at the beginning of the twelfth century. He did not, however, provide any </w:t>
      </w:r>
      <w:r w:rsidR="00D54309" w:rsidRPr="00063000">
        <w:t xml:space="preserve">evidence </w:t>
      </w:r>
      <w:r w:rsidRPr="00063000">
        <w:t>to support this claim.</w:t>
      </w:r>
      <w:r w:rsidRPr="00063000">
        <w:rPr>
          <w:vertAlign w:val="superscript"/>
        </w:rPr>
        <w:footnoteReference w:id="38"/>
      </w:r>
      <w:r w:rsidR="00D54309" w:rsidRPr="00063000">
        <w:t xml:space="preserve"> </w:t>
      </w:r>
      <w:r w:rsidRPr="00063000">
        <w:t>Lawee has examined the reception of Rashi’s commentary in the Byzantine Empire.</w:t>
      </w:r>
      <w:r w:rsidRPr="00063000">
        <w:rPr>
          <w:vertAlign w:val="superscript"/>
        </w:rPr>
        <w:footnoteReference w:id="39"/>
      </w:r>
      <w:r w:rsidRPr="00063000">
        <w:t xml:space="preserve"> Following studies that preceded him, he </w:t>
      </w:r>
      <w:r w:rsidR="00845E15" w:rsidRPr="00063000">
        <w:t>points to</w:t>
      </w:r>
      <w:r w:rsidRPr="00063000">
        <w:t xml:space="preserve"> a number of thirteenth and fourteenth century exegetes who reference Rashi’s commentaries on the Pentateuch, including the Karaite authors Aaron </w:t>
      </w:r>
      <w:r w:rsidR="00702207" w:rsidRPr="00063000">
        <w:t>b</w:t>
      </w:r>
      <w:r w:rsidRPr="00063000">
        <w:t>en Joseph (1250</w:t>
      </w:r>
      <w:r w:rsidR="00702207" w:rsidRPr="00063000">
        <w:t>–</w:t>
      </w:r>
      <w:r w:rsidRPr="00063000">
        <w:t xml:space="preserve">1320) and Aaron </w:t>
      </w:r>
      <w:r w:rsidR="00702207" w:rsidRPr="00063000">
        <w:lastRenderedPageBreak/>
        <w:t>b</w:t>
      </w:r>
      <w:r w:rsidRPr="00063000">
        <w:t>en Elijah (1320</w:t>
      </w:r>
      <w:r w:rsidR="00702207" w:rsidRPr="00063000">
        <w:t>–</w:t>
      </w:r>
      <w:r w:rsidRPr="00063000">
        <w:t>1369)</w:t>
      </w:r>
      <w:r w:rsidRPr="00063000">
        <w:rPr>
          <w:vertAlign w:val="superscript"/>
        </w:rPr>
        <w:footnoteReference w:id="40"/>
      </w:r>
      <w:r w:rsidRPr="00063000">
        <w:t xml:space="preserve"> and the </w:t>
      </w:r>
      <w:proofErr w:type="spellStart"/>
      <w:r w:rsidRPr="00063000">
        <w:t>Rabbinite</w:t>
      </w:r>
      <w:proofErr w:type="spellEnd"/>
      <w:r w:rsidRPr="00063000">
        <w:t xml:space="preserve"> authors </w:t>
      </w:r>
      <w:proofErr w:type="spellStart"/>
      <w:r w:rsidRPr="00063000">
        <w:rPr>
          <w:highlight w:val="yellow"/>
        </w:rPr>
        <w:t>Shemarya</w:t>
      </w:r>
      <w:proofErr w:type="spellEnd"/>
      <w:r w:rsidRPr="00063000">
        <w:rPr>
          <w:highlight w:val="yellow"/>
        </w:rPr>
        <w:t xml:space="preserve"> ben Elijah Ha</w:t>
      </w:r>
      <w:r w:rsidR="003B0917">
        <w:rPr>
          <w:highlight w:val="yellow"/>
        </w:rPr>
        <w:t>-</w:t>
      </w:r>
      <w:proofErr w:type="spellStart"/>
      <w:r w:rsidR="003B0917">
        <w:rPr>
          <w:highlight w:val="yellow"/>
        </w:rPr>
        <w:t>Ikrity</w:t>
      </w:r>
      <w:proofErr w:type="spellEnd"/>
      <w:r w:rsidR="003B0917">
        <w:rPr>
          <w:highlight w:val="yellow"/>
        </w:rPr>
        <w:t xml:space="preserve"> </w:t>
      </w:r>
      <w:r w:rsidRPr="00063000">
        <w:t>(1280</w:t>
      </w:r>
      <w:r w:rsidR="00702207" w:rsidRPr="00063000">
        <w:t>–</w:t>
      </w:r>
      <w:r w:rsidRPr="00063000">
        <w:t xml:space="preserve">c. 1350) and </w:t>
      </w:r>
      <w:r w:rsidRPr="00063000">
        <w:rPr>
          <w:highlight w:val="yellow"/>
        </w:rPr>
        <w:t>A</w:t>
      </w:r>
      <w:r w:rsidR="00F46742" w:rsidRPr="00063000">
        <w:rPr>
          <w:highlight w:val="yellow"/>
        </w:rPr>
        <w:t>b</w:t>
      </w:r>
      <w:r w:rsidRPr="00063000">
        <w:rPr>
          <w:highlight w:val="yellow"/>
        </w:rPr>
        <w:t xml:space="preserve">raham </w:t>
      </w:r>
      <w:commentRangeStart w:id="12"/>
      <w:proofErr w:type="spellStart"/>
      <w:r w:rsidRPr="00063000">
        <w:rPr>
          <w:highlight w:val="yellow"/>
        </w:rPr>
        <w:t>Qarimi</w:t>
      </w:r>
      <w:proofErr w:type="spellEnd"/>
      <w:r w:rsidRPr="00063000">
        <w:t xml:space="preserve"> </w:t>
      </w:r>
      <w:commentRangeEnd w:id="12"/>
      <w:r w:rsidR="003B0917">
        <w:rPr>
          <w:rStyle w:val="CommentReference"/>
        </w:rPr>
        <w:commentReference w:id="12"/>
      </w:r>
      <w:r w:rsidRPr="00063000">
        <w:t>(mid-fourteenth century).</w:t>
      </w:r>
      <w:r w:rsidRPr="00063000">
        <w:rPr>
          <w:vertAlign w:val="superscript"/>
        </w:rPr>
        <w:footnoteReference w:id="41"/>
      </w:r>
      <w:r w:rsidR="00F46742" w:rsidRPr="00063000">
        <w:t xml:space="preserve"> Lawee</w:t>
      </w:r>
      <w:r w:rsidRPr="00063000">
        <w:t xml:space="preserve"> concludes that Rashi’s commentary on the Pentateuch did not arrive in the Byzantine Empire before the thirteenth century. </w:t>
      </w:r>
    </w:p>
    <w:p w14:paraId="675BA765" w14:textId="4E435830" w:rsidR="00B72CFF" w:rsidRPr="00063000" w:rsidRDefault="00B72CFF" w:rsidP="00063000">
      <w:pPr>
        <w:rPr>
          <w:rtl/>
        </w:rPr>
      </w:pPr>
      <w:r w:rsidRPr="00063000">
        <w:t xml:space="preserve">However, there are several lines of evidence that support an earlier dating of the arrival of Rashi’s commentary in Byzantium: </w:t>
      </w:r>
      <w:r w:rsidR="003B0917">
        <w:rPr>
          <w:rFonts w:hint="cs"/>
          <w:rtl/>
        </w:rPr>
        <w:t xml:space="preserve">ספר </w:t>
      </w:r>
      <w:proofErr w:type="spellStart"/>
      <w:r w:rsidR="003B0917">
        <w:rPr>
          <w:rFonts w:hint="cs"/>
          <w:rtl/>
        </w:rPr>
        <w:t>רושינו</w:t>
      </w:r>
      <w:proofErr w:type="spellEnd"/>
      <w:r w:rsidRPr="00063000">
        <w:t xml:space="preserve"> by Rabbi Samuel </w:t>
      </w:r>
      <w:proofErr w:type="spellStart"/>
      <w:r w:rsidRPr="00063000">
        <w:t>Roshano</w:t>
      </w:r>
      <w:proofErr w:type="spellEnd"/>
      <w:r w:rsidRPr="00063000">
        <w:t>, written in the first half of the twelfth century, either in southern Italy or Greece, includes several references to Rashi’s commentary on the Pentateuch.</w:t>
      </w:r>
      <w:r w:rsidRPr="00063000">
        <w:rPr>
          <w:vertAlign w:val="superscript"/>
        </w:rPr>
        <w:footnoteReference w:id="42"/>
      </w:r>
      <w:r w:rsidR="005042C5" w:rsidRPr="00063000">
        <w:t xml:space="preserve"> </w:t>
      </w:r>
      <w:r w:rsidRPr="00063000">
        <w:t>Ta-</w:t>
      </w:r>
      <w:proofErr w:type="spellStart"/>
      <w:r w:rsidRPr="00063000">
        <w:t>Shma</w:t>
      </w:r>
      <w:proofErr w:type="spellEnd"/>
      <w:r w:rsidRPr="00063000">
        <w:t xml:space="preserve"> even suggested that the author wrote a supercommentary on Rashi</w:t>
      </w:r>
      <w:r w:rsidR="003B0917">
        <w:t>;</w:t>
      </w:r>
      <w:r w:rsidRPr="00063000">
        <w:rPr>
          <w:vertAlign w:val="superscript"/>
        </w:rPr>
        <w:footnoteReference w:id="43"/>
      </w:r>
      <w:r w:rsidR="003B0917">
        <w:t xml:space="preserve"> </w:t>
      </w:r>
      <w:r w:rsidRPr="00063000">
        <w:t xml:space="preserve">some have </w:t>
      </w:r>
      <w:r w:rsidRPr="00063000">
        <w:lastRenderedPageBreak/>
        <w:t>argued that Rabbi Menahem ben Solomon</w:t>
      </w:r>
      <w:r w:rsidR="005042C5" w:rsidRPr="00063000">
        <w:t xml:space="preserve">, twelfth century author of </w:t>
      </w:r>
      <w:r w:rsidR="003B0917">
        <w:rPr>
          <w:rFonts w:hint="cs"/>
          <w:rtl/>
        </w:rPr>
        <w:t>שכל טוב</w:t>
      </w:r>
      <w:r w:rsidR="005042C5" w:rsidRPr="00063000">
        <w:t xml:space="preserve">, </w:t>
      </w:r>
      <w:r w:rsidRPr="00063000">
        <w:t>was familiar with Rashi’s commentary;</w:t>
      </w:r>
      <w:r w:rsidRPr="00063000">
        <w:rPr>
          <w:vertAlign w:val="superscript"/>
        </w:rPr>
        <w:footnoteReference w:id="44"/>
      </w:r>
      <w:r w:rsidRPr="00063000">
        <w:t xml:space="preserve"> at the beginning of the thirteenth century, Rashi’s commentary found its way into the hands of Rabbi Abraham Maimonides (1186</w:t>
      </w:r>
      <w:r w:rsidR="00DB4665" w:rsidRPr="00063000">
        <w:t>–</w:t>
      </w:r>
      <w:r w:rsidRPr="00063000">
        <w:t>1237) in the Land of Israel and he quotes it at least twice;</w:t>
      </w:r>
      <w:r w:rsidRPr="00063000">
        <w:rPr>
          <w:vertAlign w:val="superscript"/>
        </w:rPr>
        <w:footnoteReference w:id="45"/>
      </w:r>
      <w:r w:rsidRPr="00063000">
        <w:t xml:space="preserve"> Mann published a Genizah fragment</w:t>
      </w:r>
      <w:r w:rsidR="00223F45">
        <w:t>,</w:t>
      </w:r>
      <w:r w:rsidRPr="00063000">
        <w:t xml:space="preserve"> which he date</w:t>
      </w:r>
      <w:r w:rsidR="00223F45">
        <w:t>d</w:t>
      </w:r>
      <w:r w:rsidRPr="00063000">
        <w:t xml:space="preserve"> to the thirteenth century</w:t>
      </w:r>
      <w:r w:rsidR="00223F45">
        <w:t>,</w:t>
      </w:r>
      <w:r w:rsidRPr="00063000">
        <w:t xml:space="preserve"> and which includes a </w:t>
      </w:r>
      <w:r w:rsidR="00CD453E" w:rsidRPr="00063000">
        <w:t xml:space="preserve">mixture of interpretations </w:t>
      </w:r>
      <w:r w:rsidRPr="00063000">
        <w:t>from the commentaries of Rashi and Rabbi Meyuhas ben Eliezer (</w:t>
      </w:r>
      <w:r w:rsidR="00223F45">
        <w:rPr>
          <w:rFonts w:hint="cs"/>
          <w:rtl/>
        </w:rPr>
        <w:t>לקח טוב</w:t>
      </w:r>
      <w:r w:rsidRPr="00063000">
        <w:t>)</w:t>
      </w:r>
      <w:commentRangeStart w:id="13"/>
      <w:r w:rsidRPr="00063000">
        <w:t>.</w:t>
      </w:r>
      <w:commentRangeEnd w:id="13"/>
      <w:r w:rsidR="00CD453E" w:rsidRPr="00063000">
        <w:rPr>
          <w:rStyle w:val="CommentReference"/>
          <w:sz w:val="24"/>
          <w:szCs w:val="24"/>
          <w:rtl/>
        </w:rPr>
        <w:commentReference w:id="13"/>
      </w:r>
      <w:r w:rsidRPr="00063000">
        <w:rPr>
          <w:vertAlign w:val="superscript"/>
        </w:rPr>
        <w:footnoteReference w:id="46"/>
      </w:r>
      <w:r w:rsidRPr="00063000">
        <w:t>This information</w:t>
      </w:r>
      <w:r w:rsidR="002267DE">
        <w:t>—</w:t>
      </w:r>
      <w:r w:rsidRPr="00063000">
        <w:t xml:space="preserve">when added to the list of thirteenth century Karaite sages who, as discussed by Lawee, </w:t>
      </w:r>
      <w:r w:rsidR="00F51D2D" w:rsidRPr="00063000">
        <w:t>availed themselves of</w:t>
      </w:r>
      <w:r w:rsidRPr="00063000">
        <w:t xml:space="preserve"> Rashi’s commentary</w:t>
      </w:r>
      <w:r w:rsidR="002267DE">
        <w:t>—</w:t>
      </w:r>
      <w:r w:rsidRPr="00063000">
        <w:t>suggest</w:t>
      </w:r>
      <w:r w:rsidR="00890EFF" w:rsidRPr="00063000">
        <w:t>s</w:t>
      </w:r>
      <w:r w:rsidRPr="00063000">
        <w:t xml:space="preserve"> that in the twelfth and thirteenth centuries, Rashi’s commentary was not unknown in Byzantium even if its distribution was somewhat limited. </w:t>
      </w:r>
      <w:r w:rsidR="00C50AD0" w:rsidRPr="00063000">
        <w:t>It thus follows that</w:t>
      </w:r>
      <w:r w:rsidR="00FE5E91" w:rsidRPr="00063000">
        <w:t xml:space="preserve"> while</w:t>
      </w:r>
      <w:r w:rsidRPr="00063000">
        <w:t xml:space="preserve"> Rashi’s commentary was not extant in dozens of </w:t>
      </w:r>
      <w:r w:rsidR="00762C0A" w:rsidRPr="00063000">
        <w:lastRenderedPageBreak/>
        <w:t>manuscripts</w:t>
      </w:r>
      <w:r w:rsidRPr="00063000">
        <w:t xml:space="preserve"> as in Western Europe, it is likely that some individual copies did indeed make their way to Byzantium in the twelfth and thirteenth centuries, one of which reached Rabbi Meyuhas. It is this which he refers to when he mentions Rashi’s commentary on the Pentateuch.</w:t>
      </w:r>
    </w:p>
    <w:p w14:paraId="41259E97" w14:textId="77777777" w:rsidR="00063000" w:rsidRDefault="00B72CFF" w:rsidP="00063000">
      <w:r w:rsidRPr="00063000">
        <w:t>In summary, during the twelfth century we find few references to Rashi’s commentary on the Pentateuch in Byzantium. In the fourteenth century, however, Rashi’s commentary had already become well known in Byzantium, having achieved wide circulation and being the subject of many, extensive citations and references. Therefore, it can be presumed that Rabbi Meyuhas wrote his commentary after the twelfth century but before the fourteenth.</w:t>
      </w:r>
    </w:p>
    <w:p w14:paraId="4231B9BD" w14:textId="1BC36849" w:rsidR="00B72CFF" w:rsidRDefault="00DB1244" w:rsidP="00063000">
      <w:r>
        <w:t xml:space="preserve"> </w:t>
      </w:r>
    </w:p>
    <w:p w14:paraId="08AF5EA8" w14:textId="5B41E198" w:rsidR="00B72CFF" w:rsidRDefault="00063000" w:rsidP="00063000">
      <w:r>
        <w:t xml:space="preserve">&lt;H3&gt; </w:t>
      </w:r>
      <w:r w:rsidR="00B72CFF" w:rsidRPr="00063000">
        <w:t>Sources: Rabbi Judah He-Hasid</w:t>
      </w:r>
    </w:p>
    <w:p w14:paraId="09785CCA" w14:textId="77777777" w:rsidR="00063000" w:rsidRPr="00063000" w:rsidRDefault="00063000" w:rsidP="00063000">
      <w:pPr>
        <w:rPr>
          <w:rtl/>
        </w:rPr>
      </w:pPr>
    </w:p>
    <w:p w14:paraId="4ACF0216" w14:textId="20FE5B78" w:rsidR="00B72CFF" w:rsidRPr="00063000" w:rsidRDefault="00B72CFF" w:rsidP="00063000">
      <w:pPr>
        <w:rPr>
          <w:rtl/>
        </w:rPr>
      </w:pPr>
      <w:r w:rsidRPr="00063000">
        <w:t>Rabbi Judah He-Hasid (c 1150</w:t>
      </w:r>
      <w:r w:rsidR="006B2225">
        <w:t>–</w:t>
      </w:r>
      <w:r w:rsidRPr="00063000">
        <w:t>1217)</w:t>
      </w:r>
      <w:r w:rsidR="00B04F42" w:rsidRPr="00063000">
        <w:t xml:space="preserve">, </w:t>
      </w:r>
      <w:r w:rsidRPr="00063000">
        <w:t xml:space="preserve">one of the most prominent figures of </w:t>
      </w:r>
      <w:commentRangeStart w:id="14"/>
      <w:r w:rsidRPr="00063000">
        <w:t xml:space="preserve">medieval </w:t>
      </w:r>
      <w:commentRangeEnd w:id="14"/>
      <w:r w:rsidR="00B04F42" w:rsidRPr="00063000">
        <w:rPr>
          <w:rStyle w:val="CommentReference"/>
          <w:sz w:val="24"/>
          <w:szCs w:val="24"/>
        </w:rPr>
        <w:commentReference w:id="14"/>
      </w:r>
      <w:r w:rsidRPr="00063000">
        <w:t>German Jewry</w:t>
      </w:r>
      <w:r w:rsidR="00B04F42" w:rsidRPr="00063000">
        <w:t xml:space="preserve">, </w:t>
      </w:r>
      <w:r w:rsidRPr="00063000">
        <w:rPr>
          <w:rStyle w:val="FootnoteReference"/>
          <w:rFonts w:cstheme="majorBidi"/>
          <w:szCs w:val="24"/>
        </w:rPr>
        <w:footnoteReference w:id="47"/>
      </w:r>
      <w:r w:rsidR="00B04F42" w:rsidRPr="00063000">
        <w:t xml:space="preserve"> is </w:t>
      </w:r>
      <w:r w:rsidRPr="00063000">
        <w:t>mentioned explicitly in Rabbi Meyuhas’ commentary on Ex</w:t>
      </w:r>
      <w:r w:rsidR="006B2225">
        <w:t>odus</w:t>
      </w:r>
      <w:r w:rsidRPr="00063000">
        <w:t xml:space="preserve"> 32:16: “</w:t>
      </w:r>
      <w:r w:rsidRPr="006B2225">
        <w:rPr>
          <w:i/>
          <w:iCs/>
        </w:rPr>
        <w:t>Now [the tablets] were the work of God</w:t>
      </w:r>
      <w:r w:rsidR="002267DE">
        <w:t>—</w:t>
      </w:r>
      <w:r w:rsidRPr="00063000">
        <w:t xml:space="preserve">from the six days of Creation. And our rabbis said that they were [hewn] from the sapphire of the Throne of Glory. And Rabbi Judah He-Hasid rendered </w:t>
      </w:r>
      <w:r w:rsidR="006B2225">
        <w:rPr>
          <w:rFonts w:hint="cs"/>
          <w:rtl/>
        </w:rPr>
        <w:t>לוחות</w:t>
      </w:r>
      <w:r w:rsidRPr="00063000">
        <w:t xml:space="preserve"> [tablets]</w:t>
      </w:r>
      <w:r w:rsidR="00F15F89">
        <w:t>,</w:t>
      </w:r>
      <w:r w:rsidRPr="00063000">
        <w:t xml:space="preserve"> using </w:t>
      </w:r>
      <w:proofErr w:type="spellStart"/>
      <w:r w:rsidRPr="00063000">
        <w:t>Atbash</w:t>
      </w:r>
      <w:proofErr w:type="spellEnd"/>
      <w:r w:rsidR="00F15F89">
        <w:t>,</w:t>
      </w:r>
      <w:r w:rsidRPr="00063000">
        <w:t xml:space="preserve"> as </w:t>
      </w:r>
      <w:proofErr w:type="spellStart"/>
      <w:r w:rsidR="006B2225">
        <w:rPr>
          <w:rFonts w:hint="cs"/>
          <w:rtl/>
        </w:rPr>
        <w:t>כסא</w:t>
      </w:r>
      <w:proofErr w:type="spellEnd"/>
      <w:r w:rsidRPr="00063000">
        <w:t xml:space="preserve"> [throne].”</w:t>
      </w:r>
      <w:r w:rsidRPr="00063000">
        <w:rPr>
          <w:vertAlign w:val="superscript"/>
        </w:rPr>
        <w:footnoteReference w:id="48"/>
      </w:r>
      <w:r w:rsidR="00121FA9" w:rsidRPr="00063000">
        <w:t xml:space="preserve"> </w:t>
      </w:r>
      <w:r w:rsidRPr="00063000">
        <w:t xml:space="preserve">No </w:t>
      </w:r>
      <w:r w:rsidRPr="00063000">
        <w:lastRenderedPageBreak/>
        <w:t>systematic commentary on the Pentateuch penned by Rabbi Judah has reached us.</w:t>
      </w:r>
      <w:r w:rsidRPr="00063000">
        <w:rPr>
          <w:rStyle w:val="FootnoteReference"/>
          <w:rFonts w:cstheme="majorBidi"/>
          <w:szCs w:val="24"/>
        </w:rPr>
        <w:footnoteReference w:id="49"/>
      </w:r>
      <w:r w:rsidR="00121FA9" w:rsidRPr="00063000">
        <w:t xml:space="preserve"> The aforementioned </w:t>
      </w:r>
      <w:r w:rsidR="008F7E21">
        <w:t>numerological derivation</w:t>
      </w:r>
      <w:r w:rsidRPr="00063000">
        <w:t xml:space="preserve"> does not appear in the collection of interpretations on the Pentateuch compiled and written by one of Rabbi Judah’s sons, Rabbi Moses </w:t>
      </w:r>
      <w:proofErr w:type="spellStart"/>
      <w:r w:rsidRPr="00063000">
        <w:t>Zaltman</w:t>
      </w:r>
      <w:proofErr w:type="spellEnd"/>
      <w:r w:rsidRPr="00063000">
        <w:t>.</w:t>
      </w:r>
      <w:r w:rsidRPr="00063000">
        <w:rPr>
          <w:vertAlign w:val="superscript"/>
        </w:rPr>
        <w:footnoteReference w:id="50"/>
      </w:r>
      <w:r w:rsidR="00121FA9" w:rsidRPr="00063000">
        <w:t xml:space="preserve"> </w:t>
      </w:r>
      <w:r w:rsidRPr="00063000">
        <w:t xml:space="preserve">It does, however, appear in the Rabbi Judah’s treatise </w:t>
      </w:r>
      <w:r w:rsidR="008F7E21">
        <w:rPr>
          <w:rFonts w:hint="cs"/>
          <w:rtl/>
        </w:rPr>
        <w:t>טעמי מסורת המקרא</w:t>
      </w:r>
      <w:r w:rsidRPr="00063000">
        <w:t xml:space="preserve"> as well as </w:t>
      </w:r>
      <w:r w:rsidR="008F7E21">
        <w:rPr>
          <w:rFonts w:hint="cs"/>
          <w:rtl/>
        </w:rPr>
        <w:t xml:space="preserve">ספר </w:t>
      </w:r>
      <w:proofErr w:type="spellStart"/>
      <w:r w:rsidR="008F7E21">
        <w:rPr>
          <w:rFonts w:hint="cs"/>
          <w:rtl/>
        </w:rPr>
        <w:t>גימטריאות</w:t>
      </w:r>
      <w:proofErr w:type="spellEnd"/>
      <w:r w:rsidR="00F51B8A">
        <w:t>, an anthology of</w:t>
      </w:r>
      <w:r w:rsidRPr="00063000">
        <w:t xml:space="preserve"> interpretations originating from </w:t>
      </w:r>
      <w:r w:rsidR="00E43BA9">
        <w:t>Rabbi Judah’s</w:t>
      </w:r>
      <w:r w:rsidRPr="00063000">
        <w:t xml:space="preserve"> school.</w:t>
      </w:r>
      <w:r w:rsidRPr="00063000">
        <w:rPr>
          <w:rStyle w:val="FootnoteReference"/>
          <w:rFonts w:cstheme="majorBidi"/>
          <w:szCs w:val="24"/>
        </w:rPr>
        <w:footnoteReference w:id="51"/>
      </w:r>
      <w:r w:rsidR="00121FA9" w:rsidRPr="00063000">
        <w:t xml:space="preserve"> </w:t>
      </w:r>
      <w:r w:rsidRPr="00063000">
        <w:t>There is no reason to question the authenticity of the citation</w:t>
      </w:r>
      <w:r w:rsidR="00121FA9" w:rsidRPr="00063000">
        <w:t xml:space="preserve"> brought by Rabbi Meyuhas</w:t>
      </w:r>
      <w:r w:rsidRPr="00063000">
        <w:t xml:space="preserve">. That being said, the fact that only a single reference to </w:t>
      </w:r>
      <w:r w:rsidR="00AF305E">
        <w:lastRenderedPageBreak/>
        <w:t xml:space="preserve">Rabbi </w:t>
      </w:r>
      <w:r w:rsidRPr="00063000">
        <w:t xml:space="preserve">Judah </w:t>
      </w:r>
      <w:r w:rsidR="00CB1067" w:rsidRPr="00063000">
        <w:t>h</w:t>
      </w:r>
      <w:r w:rsidRPr="00063000">
        <w:t>e-</w:t>
      </w:r>
      <w:r w:rsidR="00CB1067" w:rsidRPr="00063000">
        <w:t>H</w:t>
      </w:r>
      <w:r w:rsidRPr="00063000">
        <w:t xml:space="preserve">asid appears throughout Rabbi Meyuhas’ commentaries </w:t>
      </w:r>
      <w:proofErr w:type="gramStart"/>
      <w:r w:rsidRPr="00063000">
        <w:t>suggests</w:t>
      </w:r>
      <w:proofErr w:type="gramEnd"/>
      <w:r w:rsidRPr="00063000">
        <w:t xml:space="preserve"> that this particular interpretation was conveyed to him orally. When and how did the interpretations of Rabbi Judah reach Byzantium? We have no clear answer to this question.</w:t>
      </w:r>
      <w:r w:rsidR="00DB1244">
        <w:t xml:space="preserve"> </w:t>
      </w:r>
      <w:r w:rsidRPr="00063000">
        <w:t>We do, however, know that about thirty years before his death, Rabbi Judah travelled from his hometown of Speyer to Regensburg in eastern Germany.</w:t>
      </w:r>
      <w:r w:rsidRPr="00063000">
        <w:rPr>
          <w:rStyle w:val="FootnoteReference"/>
          <w:rFonts w:cstheme="majorBidi"/>
          <w:szCs w:val="24"/>
        </w:rPr>
        <w:footnoteReference w:id="52"/>
      </w:r>
      <w:r w:rsidR="00616113" w:rsidRPr="00063000">
        <w:t xml:space="preserve"> </w:t>
      </w:r>
      <w:r w:rsidRPr="00063000">
        <w:t xml:space="preserve">Likewise, one of Rabbi Judah’s students, who was responsible for the dissemination of his teachings was </w:t>
      </w:r>
      <w:r w:rsidRPr="00063000">
        <w:rPr>
          <w:highlight w:val="yellow"/>
        </w:rPr>
        <w:t>Rabbi Isaac from Russia</w:t>
      </w:r>
      <w:r w:rsidRPr="00063000">
        <w:t>.</w:t>
      </w:r>
      <w:r w:rsidRPr="00063000">
        <w:rPr>
          <w:rStyle w:val="FootnoteReference"/>
          <w:rFonts w:cstheme="majorBidi"/>
          <w:szCs w:val="24"/>
        </w:rPr>
        <w:footnoteReference w:id="53"/>
      </w:r>
      <w:r w:rsidRPr="00063000">
        <w:t xml:space="preserve">The movement eastward and the tutelage of students in Eastern Europe may have facilitated the spread of Rabbi Judah’s interpretations to Byzantium through hear-say. Regardless of the particular route the interpretation took, its appearance in Rabbi Meyuhas’ commentary </w:t>
      </w:r>
      <w:r w:rsidR="00AF305E">
        <w:t>provides</w:t>
      </w:r>
      <w:r w:rsidRPr="00063000">
        <w:t xml:space="preserve"> </w:t>
      </w:r>
      <w:r w:rsidRPr="00063000">
        <w:lastRenderedPageBreak/>
        <w:t xml:space="preserve">a </w:t>
      </w:r>
      <w:r w:rsidR="006709AE" w:rsidRPr="00063000">
        <w:t xml:space="preserve">clear </w:t>
      </w:r>
      <w:r w:rsidRPr="00063000">
        <w:t xml:space="preserve">terminus post </w:t>
      </w:r>
      <w:proofErr w:type="spellStart"/>
      <w:r w:rsidRPr="00063000">
        <w:t>quem</w:t>
      </w:r>
      <w:proofErr w:type="spellEnd"/>
      <w:r w:rsidR="00AF305E">
        <w:t xml:space="preserve"> for its composition</w:t>
      </w:r>
      <w:r w:rsidR="006709AE" w:rsidRPr="00063000">
        <w:t>: the</w:t>
      </w:r>
      <w:r w:rsidRPr="00063000">
        <w:t xml:space="preserve"> second quarter of the thirteenth century.</w:t>
      </w:r>
    </w:p>
    <w:p w14:paraId="484B7182" w14:textId="0A6AA517" w:rsidR="00063000" w:rsidRDefault="00063000" w:rsidP="00063000">
      <w:r>
        <w:t>&lt;H3&gt;</w:t>
      </w:r>
    </w:p>
    <w:p w14:paraId="028FE288" w14:textId="384C09F2" w:rsidR="00B72CFF" w:rsidRDefault="00B72CFF" w:rsidP="00063000">
      <w:r w:rsidRPr="00063000">
        <w:t>Sources: Ibn Ezra</w:t>
      </w:r>
    </w:p>
    <w:p w14:paraId="5826514B" w14:textId="77777777" w:rsidR="00063000" w:rsidRPr="00063000" w:rsidRDefault="00063000" w:rsidP="00063000">
      <w:pPr>
        <w:rPr>
          <w:rtl/>
        </w:rPr>
      </w:pPr>
    </w:p>
    <w:p w14:paraId="64F23B65" w14:textId="12E01B15" w:rsidR="00B72CFF" w:rsidRPr="00063000" w:rsidRDefault="00B72CFF" w:rsidP="00063000">
      <w:pPr>
        <w:rPr>
          <w:rtl/>
        </w:rPr>
      </w:pPr>
      <w:r w:rsidRPr="00063000">
        <w:t xml:space="preserve">As mentioned above, </w:t>
      </w:r>
      <w:proofErr w:type="spellStart"/>
      <w:r w:rsidR="00AF305E" w:rsidRPr="00063000">
        <w:t>Margoliouth</w:t>
      </w:r>
      <w:proofErr w:type="spellEnd"/>
      <w:r w:rsidR="00AF305E" w:rsidRPr="00063000">
        <w:t xml:space="preserve"> </w:t>
      </w:r>
      <w:r w:rsidRPr="00063000">
        <w:t xml:space="preserve">drew attention to the one reference to Ibn Ezra in Rabbi Meyuhas’ commentary: “I have heard in the name of Abraham ben Ezra” (Gen 11:3). </w:t>
      </w:r>
      <w:proofErr w:type="spellStart"/>
      <w:r w:rsidR="00AF305E" w:rsidRPr="00063000">
        <w:t>Margoliouth</w:t>
      </w:r>
      <w:proofErr w:type="spellEnd"/>
      <w:r w:rsidR="00AF305E" w:rsidRPr="00063000">
        <w:t xml:space="preserve"> </w:t>
      </w:r>
      <w:r w:rsidRPr="00063000">
        <w:t xml:space="preserve">concluded from this wording, that Rabbi Meyuhas did not actually see Ibn Ezra’s commentary. It should be further emphasized that Rabbi Meyuhas does not refer to Ibn Ezra with the title “Rabbi” or “our rabbi,” implying that at the time </w:t>
      </w:r>
      <w:r w:rsidR="00AF305E">
        <w:t xml:space="preserve">the </w:t>
      </w:r>
      <w:r w:rsidRPr="00063000">
        <w:t>commentary was written, Ibn Ezra’s reputation had yet to precede him.</w:t>
      </w:r>
    </w:p>
    <w:p w14:paraId="3BDD702E" w14:textId="1C5DC452" w:rsidR="00B72CFF" w:rsidRPr="00063000" w:rsidRDefault="00C001AC" w:rsidP="00063000">
      <w:pPr>
        <w:rPr>
          <w:rtl/>
        </w:rPr>
      </w:pPr>
      <w:r w:rsidRPr="00063000">
        <w:t>As in our discussion of Rashi</w:t>
      </w:r>
      <w:r w:rsidR="00B72CFF" w:rsidRPr="00063000">
        <w:t>, we must inquire as to when Ibn Ezra’s commentaries arrived in Byzantium. De Lange maintained that Ibn Ezra’s commentaries reached the Middle East as early as the twelfth century. He cites three arguments to support this assertion: first, Ibn Ezra is cited by Rabbi Meyuhas.</w:t>
      </w:r>
      <w:r w:rsidR="00B72CFF" w:rsidRPr="00063000">
        <w:rPr>
          <w:vertAlign w:val="superscript"/>
        </w:rPr>
        <w:footnoteReference w:id="54"/>
      </w:r>
      <w:r w:rsidR="00B72CFF" w:rsidRPr="00063000">
        <w:t xml:space="preserve"> This proof, of course, depends on the </w:t>
      </w:r>
      <w:r w:rsidR="00DF366A" w:rsidRPr="00063000">
        <w:t>biographical chronology</w:t>
      </w:r>
      <w:r w:rsidR="00B72CFF" w:rsidRPr="00063000">
        <w:t xml:space="preserve"> of Rabbi Meyuhas, the </w:t>
      </w:r>
      <w:r w:rsidR="0048464F" w:rsidRPr="00063000">
        <w:t>question at hand,</w:t>
      </w:r>
      <w:r w:rsidR="00B72CFF" w:rsidRPr="00063000">
        <w:t xml:space="preserve"> and it falls apart if we are to postdate Rabbi Meyuhas</w:t>
      </w:r>
      <w:r w:rsidR="00AF305E">
        <w:t xml:space="preserve"> to a later era.</w:t>
      </w:r>
      <w:r w:rsidR="00B72CFF" w:rsidRPr="00063000">
        <w:t xml:space="preserve"> De Lange’s second proof is based on the familiarity of Karaite exegete </w:t>
      </w:r>
      <w:r w:rsidR="00B72CFF" w:rsidRPr="00063000">
        <w:rPr>
          <w:highlight w:val="yellow"/>
        </w:rPr>
        <w:t xml:space="preserve">Judah </w:t>
      </w:r>
      <w:proofErr w:type="spellStart"/>
      <w:r w:rsidR="00B72CFF" w:rsidRPr="00063000">
        <w:rPr>
          <w:highlight w:val="yellow"/>
        </w:rPr>
        <w:t>Hadas</w:t>
      </w:r>
      <w:r w:rsidR="007716E5" w:rsidRPr="00063000">
        <w:rPr>
          <w:highlight w:val="yellow"/>
        </w:rPr>
        <w:t>s</w:t>
      </w:r>
      <w:r w:rsidR="00B72CFF" w:rsidRPr="00063000">
        <w:rPr>
          <w:highlight w:val="yellow"/>
        </w:rPr>
        <w:t>i</w:t>
      </w:r>
      <w:proofErr w:type="spellEnd"/>
      <w:r w:rsidR="00B72CFF" w:rsidRPr="00063000">
        <w:t xml:space="preserve"> (who wrote </w:t>
      </w:r>
      <w:r w:rsidR="00AF305E">
        <w:rPr>
          <w:rFonts w:hint="cs"/>
          <w:rtl/>
        </w:rPr>
        <w:t>אשכול הכופר</w:t>
      </w:r>
      <w:r w:rsidR="00B72CFF" w:rsidRPr="00063000">
        <w:rPr>
          <w:i/>
          <w:iCs/>
        </w:rPr>
        <w:t xml:space="preserve"> </w:t>
      </w:r>
      <w:r w:rsidR="00B72CFF" w:rsidRPr="00063000">
        <w:t xml:space="preserve">in 1148) with Ibn Ezra’s writings. </w:t>
      </w:r>
      <w:r w:rsidR="00AF305E" w:rsidRPr="00063000">
        <w:t xml:space="preserve">De Lange </w:t>
      </w:r>
      <w:r w:rsidR="00B72CFF" w:rsidRPr="00063000">
        <w:t xml:space="preserve">does not, however, cite any evidence to demonstrate that </w:t>
      </w:r>
      <w:proofErr w:type="spellStart"/>
      <w:r w:rsidR="00B72CFF" w:rsidRPr="00AF305E">
        <w:rPr>
          <w:highlight w:val="yellow"/>
        </w:rPr>
        <w:t>Hadassi</w:t>
      </w:r>
      <w:proofErr w:type="spellEnd"/>
      <w:r w:rsidR="00B72CFF" w:rsidRPr="00063000">
        <w:t xml:space="preserve"> was familiar with Ibn Ezra’s commentaries on the Pentateuch, some of which</w:t>
      </w:r>
      <w:r w:rsidR="007716E5" w:rsidRPr="00063000">
        <w:t xml:space="preserve"> were</w:t>
      </w:r>
      <w:r w:rsidR="00B72CFF" w:rsidRPr="00063000">
        <w:t xml:space="preserve"> written very close to the time of </w:t>
      </w:r>
      <w:r w:rsidR="00AF305E">
        <w:rPr>
          <w:rFonts w:hint="cs"/>
          <w:rtl/>
        </w:rPr>
        <w:t>אשכול הכופר</w:t>
      </w:r>
      <w:r w:rsidR="00B72CFF" w:rsidRPr="00063000">
        <w:t xml:space="preserve">, others </w:t>
      </w:r>
      <w:r w:rsidR="00B72CFF" w:rsidRPr="00063000">
        <w:lastRenderedPageBreak/>
        <w:t xml:space="preserve">shortly afterwards, and thus </w:t>
      </w:r>
      <w:r w:rsidR="00AF305E">
        <w:t>could</w:t>
      </w:r>
      <w:r w:rsidR="00B72CFF" w:rsidRPr="00063000">
        <w:t xml:space="preserve"> not </w:t>
      </w:r>
      <w:r w:rsidR="00AF305E">
        <w:t>have reached</w:t>
      </w:r>
      <w:r w:rsidR="00B72CFF" w:rsidRPr="00063000">
        <w:t xml:space="preserve"> </w:t>
      </w:r>
      <w:proofErr w:type="spellStart"/>
      <w:r w:rsidR="00B72CFF" w:rsidRPr="00D8194A">
        <w:rPr>
          <w:highlight w:val="yellow"/>
        </w:rPr>
        <w:t>Hadassi</w:t>
      </w:r>
      <w:proofErr w:type="spellEnd"/>
      <w:r w:rsidR="00B72CFF" w:rsidRPr="00063000">
        <w:t xml:space="preserve"> when he wrote his book.</w:t>
      </w:r>
      <w:r w:rsidR="00B72CFF" w:rsidRPr="00063000">
        <w:rPr>
          <w:vertAlign w:val="superscript"/>
        </w:rPr>
        <w:footnoteReference w:id="55"/>
      </w:r>
      <w:r w:rsidR="007716E5" w:rsidRPr="00063000">
        <w:t xml:space="preserve"> </w:t>
      </w:r>
      <w:r w:rsidR="00B72CFF" w:rsidRPr="00063000">
        <w:t xml:space="preserve">The third proof offered by De Lange is the testimony of </w:t>
      </w:r>
      <w:r w:rsidR="00B72CFF" w:rsidRPr="003E62E8">
        <w:t xml:space="preserve">Rabbi Judah </w:t>
      </w:r>
      <w:r w:rsidR="003E62E8" w:rsidRPr="003E62E8">
        <w:rPr>
          <w:rFonts w:hint="cs"/>
        </w:rPr>
        <w:t>M</w:t>
      </w:r>
      <w:r w:rsidR="003E62E8">
        <w:t>o</w:t>
      </w:r>
      <w:r w:rsidR="003E62E8" w:rsidRPr="003E62E8">
        <w:t>sconi</w:t>
      </w:r>
      <w:r w:rsidR="00DB1244">
        <w:t xml:space="preserve"> </w:t>
      </w:r>
      <w:r w:rsidR="00B72CFF" w:rsidRPr="00063000">
        <w:t xml:space="preserve">regarding a lost supercommentary on Ibn Ezra composed </w:t>
      </w:r>
      <w:commentRangeStart w:id="16"/>
      <w:r w:rsidR="00B72CFF" w:rsidRPr="003E62E8">
        <w:rPr>
          <w:highlight w:val="yellow"/>
        </w:rPr>
        <w:t>by Rabbi Abishai of Bulgaria</w:t>
      </w:r>
      <w:r w:rsidR="00B72CFF" w:rsidRPr="00063000">
        <w:t xml:space="preserve"> </w:t>
      </w:r>
      <w:commentRangeEnd w:id="16"/>
      <w:r w:rsidR="003E62E8">
        <w:rPr>
          <w:rStyle w:val="CommentReference"/>
        </w:rPr>
        <w:commentReference w:id="16"/>
      </w:r>
      <w:r w:rsidR="00B72CFF" w:rsidRPr="00063000">
        <w:t xml:space="preserve">who, </w:t>
      </w:r>
      <w:commentRangeStart w:id="17"/>
      <w:r w:rsidR="00B72CFF" w:rsidRPr="00063000">
        <w:t>it was claimed</w:t>
      </w:r>
      <w:commentRangeEnd w:id="17"/>
      <w:r w:rsidR="007716E5" w:rsidRPr="00063000">
        <w:rPr>
          <w:rStyle w:val="CommentReference"/>
          <w:sz w:val="24"/>
          <w:szCs w:val="24"/>
        </w:rPr>
        <w:commentReference w:id="17"/>
      </w:r>
      <w:r w:rsidR="00B72CFF" w:rsidRPr="00063000">
        <w:t>, was a contemporary of Ibn Ezra. This proof collapses in light of the fact that recently Rabbi Abishai has been shown to be a fourteenth century exegete.</w:t>
      </w:r>
      <w:r w:rsidR="00B72CFF" w:rsidRPr="00063000">
        <w:rPr>
          <w:rStyle w:val="FootnoteReference"/>
          <w:rFonts w:cstheme="majorBidi"/>
          <w:szCs w:val="24"/>
        </w:rPr>
        <w:footnoteReference w:id="56"/>
      </w:r>
      <w:r w:rsidR="00B72CFF" w:rsidRPr="00063000">
        <w:t xml:space="preserve"> Thus, there</w:t>
      </w:r>
      <w:r w:rsidR="004B1EAD" w:rsidRPr="00063000">
        <w:t xml:space="preserve"> remains</w:t>
      </w:r>
      <w:r w:rsidR="00B72CFF" w:rsidRPr="00063000">
        <w:t xml:space="preserve"> no basis for De Lange’s assertion that Ibn Ezra’s commentaries were extant in Byzantium during the twelfth century.</w:t>
      </w:r>
    </w:p>
    <w:p w14:paraId="39256110" w14:textId="66FFCD5C" w:rsidR="00B72CFF" w:rsidRPr="00063000" w:rsidRDefault="00B72CFF" w:rsidP="00063000">
      <w:pPr>
        <w:rPr>
          <w:rtl/>
        </w:rPr>
      </w:pPr>
      <w:r w:rsidRPr="00063000">
        <w:lastRenderedPageBreak/>
        <w:t xml:space="preserve">It is, however, clear that from the mid-thirteenth century and throughout the fourteenth century and onwards, Ibn Ezra’s commentary became one of the most popular, widely-distributed, and influential works in the </w:t>
      </w:r>
      <w:commentRangeStart w:id="18"/>
      <w:r w:rsidR="004B1EAD" w:rsidRPr="00063000">
        <w:t>Middle East</w:t>
      </w:r>
      <w:commentRangeEnd w:id="18"/>
      <w:r w:rsidR="004B1EAD" w:rsidRPr="00063000">
        <w:rPr>
          <w:rStyle w:val="CommentReference"/>
          <w:sz w:val="24"/>
          <w:szCs w:val="24"/>
        </w:rPr>
        <w:commentReference w:id="18"/>
      </w:r>
      <w:r w:rsidRPr="00063000">
        <w:t>.</w:t>
      </w:r>
      <w:r w:rsidR="00DB1244">
        <w:t xml:space="preserve"> </w:t>
      </w:r>
      <w:r w:rsidRPr="00063000">
        <w:t>For many, Ibn Ezra was the ultimate commentator and his views were tantamount to canon.</w:t>
      </w:r>
      <w:r w:rsidRPr="00063000">
        <w:rPr>
          <w:rStyle w:val="FootnoteReference"/>
          <w:rFonts w:cstheme="majorBidi"/>
          <w:szCs w:val="24"/>
        </w:rPr>
        <w:footnoteReference w:id="57"/>
      </w:r>
      <w:r w:rsidRPr="00063000">
        <w:t xml:space="preserve"> </w:t>
      </w:r>
    </w:p>
    <w:p w14:paraId="6A09802C" w14:textId="1862B742" w:rsidR="00B72CFF" w:rsidRPr="00063000" w:rsidRDefault="00B72CFF" w:rsidP="00063000">
      <w:pPr>
        <w:rPr>
          <w:rtl/>
        </w:rPr>
      </w:pPr>
      <w:r w:rsidRPr="00063000">
        <w:t xml:space="preserve">There are a number of lines of evidence supporting this assertion: in the last quarter of the thirteenth century </w:t>
      </w:r>
      <w:r w:rsidRPr="00063000">
        <w:rPr>
          <w:highlight w:val="yellow"/>
        </w:rPr>
        <w:t xml:space="preserve">Elazar ben </w:t>
      </w:r>
      <w:proofErr w:type="spellStart"/>
      <w:r w:rsidRPr="00063000">
        <w:rPr>
          <w:highlight w:val="yellow"/>
        </w:rPr>
        <w:t>Matittya</w:t>
      </w:r>
      <w:r w:rsidR="00FC319F">
        <w:rPr>
          <w:highlight w:val="yellow"/>
        </w:rPr>
        <w:t>h</w:t>
      </w:r>
      <w:proofErr w:type="spellEnd"/>
      <w:r w:rsidRPr="00063000">
        <w:rPr>
          <w:highlight w:val="yellow"/>
        </w:rPr>
        <w:t xml:space="preserve"> Ha</w:t>
      </w:r>
      <w:r w:rsidR="00FC319F">
        <w:rPr>
          <w:highlight w:val="yellow"/>
        </w:rPr>
        <w:t>-</w:t>
      </w:r>
      <w:proofErr w:type="spellStart"/>
      <w:r w:rsidR="00FC319F">
        <w:rPr>
          <w:highlight w:val="yellow"/>
        </w:rPr>
        <w:t>Y</w:t>
      </w:r>
      <w:r w:rsidRPr="00063000">
        <w:rPr>
          <w:highlight w:val="yellow"/>
        </w:rPr>
        <w:t>it</w:t>
      </w:r>
      <w:r w:rsidR="00FC319F">
        <w:rPr>
          <w:highlight w:val="yellow"/>
        </w:rPr>
        <w:t>z</w:t>
      </w:r>
      <w:r w:rsidRPr="00063000">
        <w:rPr>
          <w:highlight w:val="yellow"/>
        </w:rPr>
        <w:t>hari</w:t>
      </w:r>
      <w:proofErr w:type="spellEnd"/>
      <w:r w:rsidRPr="00063000">
        <w:t xml:space="preserve">, </w:t>
      </w:r>
      <w:r w:rsidR="004B1EAD" w:rsidRPr="00063000">
        <w:t>a resident of</w:t>
      </w:r>
      <w:r w:rsidRPr="00063000">
        <w:t xml:space="preserve"> Byzantium, composed a comprehensive supercommentary on Ibn Ezra;</w:t>
      </w:r>
      <w:r w:rsidRPr="00063000">
        <w:rPr>
          <w:rStyle w:val="FootnoteReference"/>
          <w:rFonts w:cstheme="majorBidi"/>
          <w:szCs w:val="24"/>
        </w:rPr>
        <w:footnoteReference w:id="58"/>
      </w:r>
      <w:r w:rsidRPr="00063000">
        <w:t xml:space="preserve"> anonymous</w:t>
      </w:r>
      <w:r w:rsidR="004B1EAD" w:rsidRPr="00063000">
        <w:t xml:space="preserve"> thirteenth century</w:t>
      </w:r>
      <w:r w:rsidRPr="00063000">
        <w:t xml:space="preserve"> commentaries on the Pentateuch and Proverbs</w:t>
      </w:r>
      <w:r w:rsidR="004B1EAD" w:rsidRPr="00063000">
        <w:t xml:space="preserve"> </w:t>
      </w:r>
      <w:r w:rsidRPr="00063000">
        <w:t>mention Ibn Ezra’s commentaries;</w:t>
      </w:r>
      <w:r w:rsidR="001E01E2">
        <w:rPr>
          <w:rStyle w:val="FootnoteReference"/>
        </w:rPr>
        <w:footnoteReference w:id="59"/>
      </w:r>
      <w:r w:rsidR="004B1EAD" w:rsidRPr="00063000">
        <w:t xml:space="preserve"> </w:t>
      </w:r>
      <w:r w:rsidRPr="00063000">
        <w:t xml:space="preserve">Ibn Ezra had a heavy influence on the thirteenth century Karaite, </w:t>
      </w:r>
      <w:r w:rsidRPr="00063000">
        <w:lastRenderedPageBreak/>
        <w:t>Aaron ben Joseph and the fourteenth century Karaite, Aaron ben Elijah;</w:t>
      </w:r>
      <w:r w:rsidRPr="00063000">
        <w:rPr>
          <w:rStyle w:val="FootnoteReference"/>
          <w:rFonts w:cstheme="majorBidi"/>
          <w:szCs w:val="24"/>
        </w:rPr>
        <w:footnoteReference w:id="60"/>
      </w:r>
      <w:r w:rsidR="004B1EAD" w:rsidRPr="00063000">
        <w:t xml:space="preserve"> </w:t>
      </w:r>
      <w:r w:rsidRPr="00063000">
        <w:t>a manuscript that contains Ibn Ezra’s commentary on the Pentateuch was copied in Byzantium by Elijah ben Joseph in 1308;</w:t>
      </w:r>
      <w:r w:rsidRPr="00063000">
        <w:rPr>
          <w:vertAlign w:val="superscript"/>
        </w:rPr>
        <w:footnoteReference w:id="61"/>
      </w:r>
      <w:r w:rsidR="004B1EAD" w:rsidRPr="00063000">
        <w:t xml:space="preserve"> </w:t>
      </w:r>
      <w:r w:rsidRPr="00063000">
        <w:t xml:space="preserve">other manuscripts which include Ibn Ezra’s commentary on the Pentateuch were copied in Byzantium and are dated to </w:t>
      </w:r>
      <w:r w:rsidRPr="00063000">
        <w:lastRenderedPageBreak/>
        <w:t>1367 and 1387;</w:t>
      </w:r>
      <w:r w:rsidRPr="00063000">
        <w:rPr>
          <w:rStyle w:val="FootnoteReference"/>
          <w:rFonts w:cstheme="majorBidi"/>
          <w:szCs w:val="24"/>
        </w:rPr>
        <w:footnoteReference w:id="62"/>
      </w:r>
      <w:r w:rsidR="004B1EAD" w:rsidRPr="00063000">
        <w:t xml:space="preserve"> </w:t>
      </w:r>
      <w:r w:rsidRPr="00063000">
        <w:t xml:space="preserve">Rabbi </w:t>
      </w:r>
      <w:r w:rsidRPr="00651FFB">
        <w:t xml:space="preserve">Judah ibn </w:t>
      </w:r>
      <w:r w:rsidR="003E62E8">
        <w:t>Mosconi</w:t>
      </w:r>
      <w:r w:rsidRPr="00063000">
        <w:t xml:space="preserve"> lists the supercommentaries on Ibn Ezra that were written in Byzantium during the fourteenth century</w:t>
      </w:r>
      <w:r w:rsidR="002267DE">
        <w:t>—</w:t>
      </w:r>
      <w:r w:rsidRPr="00063000">
        <w:t xml:space="preserve">these include that of Rabbi </w:t>
      </w:r>
      <w:r w:rsidRPr="003E62E8">
        <w:rPr>
          <w:highlight w:val="yellow"/>
        </w:rPr>
        <w:t>Abishai of Bulgaria</w:t>
      </w:r>
      <w:r w:rsidRPr="00063000">
        <w:t>;</w:t>
      </w:r>
      <w:r w:rsidRPr="00063000">
        <w:rPr>
          <w:rStyle w:val="FootnoteReference"/>
          <w:rFonts w:cstheme="majorBidi"/>
          <w:szCs w:val="24"/>
        </w:rPr>
        <w:footnoteReference w:id="63"/>
      </w:r>
      <w:r w:rsidRPr="00063000">
        <w:t xml:space="preserve"> </w:t>
      </w:r>
      <w:r w:rsidRPr="00C425A2">
        <w:t xml:space="preserve">Rabbi </w:t>
      </w:r>
      <w:proofErr w:type="spellStart"/>
      <w:r w:rsidRPr="00C425A2">
        <w:t>Shemarya</w:t>
      </w:r>
      <w:proofErr w:type="spellEnd"/>
      <w:r w:rsidRPr="00C425A2">
        <w:t xml:space="preserve"> </w:t>
      </w:r>
      <w:r w:rsidR="003B0917" w:rsidRPr="00C425A2">
        <w:t>Ha</w:t>
      </w:r>
      <w:r w:rsidR="003B0917" w:rsidRPr="001F36E4">
        <w:t>-</w:t>
      </w:r>
      <w:proofErr w:type="spellStart"/>
      <w:r w:rsidR="003B0917" w:rsidRPr="001F36E4">
        <w:t>Ikrity</w:t>
      </w:r>
      <w:proofErr w:type="spellEnd"/>
      <w:r w:rsidRPr="00063000">
        <w:t xml:space="preserve">; Rabbi Caleb </w:t>
      </w:r>
      <w:proofErr w:type="spellStart"/>
      <w:r w:rsidRPr="00063000">
        <w:rPr>
          <w:highlight w:val="yellow"/>
          <w:rtl/>
        </w:rPr>
        <w:t>קורשינוש</w:t>
      </w:r>
      <w:proofErr w:type="spellEnd"/>
      <w:r w:rsidRPr="00063000">
        <w:t xml:space="preserve"> of Constantinople and Rabbi David </w:t>
      </w:r>
      <w:proofErr w:type="spellStart"/>
      <w:r w:rsidRPr="00063000">
        <w:rPr>
          <w:highlight w:val="yellow"/>
          <w:rtl/>
        </w:rPr>
        <w:t>פרדליאון</w:t>
      </w:r>
      <w:proofErr w:type="spellEnd"/>
      <w:r w:rsidR="00DB1244">
        <w:t xml:space="preserve"> </w:t>
      </w:r>
      <w:r w:rsidRPr="00063000">
        <w:t>of Constantinople.</w:t>
      </w:r>
      <w:r w:rsidR="0060444E">
        <w:rPr>
          <w:rStyle w:val="FootnoteReference"/>
        </w:rPr>
        <w:footnoteReference w:id="64"/>
      </w:r>
      <w:r w:rsidR="004B1EAD" w:rsidRPr="00063000">
        <w:rPr>
          <w:rtl/>
        </w:rPr>
        <w:t xml:space="preserve"> </w:t>
      </w:r>
      <w:r w:rsidRPr="00063000">
        <w:t xml:space="preserve">To these should be added the </w:t>
      </w:r>
      <w:r w:rsidR="004B1EAD" w:rsidRPr="00063000">
        <w:t>supercommentary</w:t>
      </w:r>
      <w:r w:rsidRPr="00063000">
        <w:t xml:space="preserve"> of </w:t>
      </w:r>
      <w:r w:rsidR="003E62E8">
        <w:t>Mosconi</w:t>
      </w:r>
      <w:r w:rsidRPr="00063000">
        <w:t xml:space="preserve"> himself which was written in Mallorca from 1361;</w:t>
      </w:r>
      <w:r w:rsidRPr="00063000">
        <w:rPr>
          <w:rStyle w:val="FootnoteReference"/>
          <w:rFonts w:cstheme="majorBidi"/>
          <w:szCs w:val="24"/>
        </w:rPr>
        <w:footnoteReference w:id="65"/>
      </w:r>
      <w:r w:rsidRPr="00063000">
        <w:t xml:space="preserve"> other commentaries on the Pentateuch written during these periods reference Ibn Ezra’s commentaries, some showing the exegete great veneration, such as that of </w:t>
      </w:r>
      <w:r w:rsidRPr="00C425A2">
        <w:rPr>
          <w:highlight w:val="yellow"/>
        </w:rPr>
        <w:t xml:space="preserve">Rabbi Abraham </w:t>
      </w:r>
      <w:r w:rsidR="00C425A2" w:rsidRPr="00C425A2">
        <w:rPr>
          <w:highlight w:val="yellow"/>
        </w:rPr>
        <w:t>Karimi</w:t>
      </w:r>
      <w:r w:rsidRPr="00063000">
        <w:t xml:space="preserve"> which was written in 1358,</w:t>
      </w:r>
      <w:r w:rsidRPr="00063000">
        <w:rPr>
          <w:vertAlign w:val="superscript"/>
        </w:rPr>
        <w:footnoteReference w:id="66"/>
      </w:r>
      <w:r w:rsidRPr="00063000">
        <w:t xml:space="preserve"> and the commentary on the </w:t>
      </w:r>
      <w:r w:rsidRPr="00063000">
        <w:lastRenderedPageBreak/>
        <w:t>Pentateuch written by the anonymous</w:t>
      </w:r>
      <w:proofErr w:type="spellStart"/>
      <w:r w:rsidRPr="00063000">
        <w:rPr>
          <w:highlight w:val="yellow"/>
          <w:rtl/>
        </w:rPr>
        <w:t>אבש”יף</w:t>
      </w:r>
      <w:proofErr w:type="spellEnd"/>
      <w:r w:rsidR="004B1EAD" w:rsidRPr="00063000">
        <w:rPr>
          <w:rtl/>
        </w:rPr>
        <w:t xml:space="preserve"> </w:t>
      </w:r>
      <w:r w:rsidR="00C425A2">
        <w:t>,</w:t>
      </w:r>
      <w:r w:rsidR="004B1EAD" w:rsidRPr="00063000">
        <w:t xml:space="preserve"> </w:t>
      </w:r>
      <w:r w:rsidR="004B1EAD" w:rsidRPr="00063000">
        <w:rPr>
          <w:rStyle w:val="FootnoteReference"/>
          <w:rFonts w:cstheme="majorBidi"/>
          <w:szCs w:val="24"/>
        </w:rPr>
        <w:footnoteReference w:id="67"/>
      </w:r>
      <w:r w:rsidR="004B1EAD" w:rsidRPr="00063000">
        <w:t xml:space="preserve"> and</w:t>
      </w:r>
      <w:r w:rsidRPr="00063000">
        <w:t xml:space="preserve"> some with a more critical attitude, such as that of </w:t>
      </w:r>
      <w:r w:rsidRPr="001F36E4">
        <w:t xml:space="preserve">Rabbi </w:t>
      </w:r>
      <w:proofErr w:type="spellStart"/>
      <w:r w:rsidRPr="001F36E4">
        <w:t>Shemarya</w:t>
      </w:r>
      <w:proofErr w:type="spellEnd"/>
      <w:r w:rsidRPr="001F36E4">
        <w:t xml:space="preserve"> </w:t>
      </w:r>
      <w:r w:rsidR="001F36E4" w:rsidRPr="001F36E4">
        <w:t>Ha-</w:t>
      </w:r>
      <w:proofErr w:type="spellStart"/>
      <w:r w:rsidR="001F36E4" w:rsidRPr="001F36E4">
        <w:t>Ikrity</w:t>
      </w:r>
      <w:proofErr w:type="spellEnd"/>
      <w:r w:rsidRPr="00063000">
        <w:t>;</w:t>
      </w:r>
      <w:r w:rsidRPr="00063000">
        <w:rPr>
          <w:rStyle w:val="FootnoteReference"/>
          <w:rFonts w:cstheme="majorBidi"/>
          <w:szCs w:val="24"/>
        </w:rPr>
        <w:footnoteReference w:id="68"/>
      </w:r>
      <w:r w:rsidRPr="00063000">
        <w:t xml:space="preserve"> Ibn Ezra was also </w:t>
      </w:r>
      <w:r w:rsidR="00E66CAB">
        <w:t>greatly respected</w:t>
      </w:r>
      <w:r w:rsidRPr="00063000">
        <w:t xml:space="preserve"> in </w:t>
      </w:r>
      <w:r w:rsidR="004B1EAD" w:rsidRPr="00063000">
        <w:t>contemporaneous</w:t>
      </w:r>
      <w:r w:rsidRPr="00063000">
        <w:t xml:space="preserve"> </w:t>
      </w:r>
      <w:r w:rsidR="00E66CAB">
        <w:t>works</w:t>
      </w:r>
      <w:r w:rsidRPr="00063000">
        <w:t xml:space="preserve"> belonging to other genres such as the kabbalistic-philosophical work </w:t>
      </w:r>
      <w:r w:rsidR="00CB4FB6">
        <w:rPr>
          <w:rFonts w:hint="cs"/>
          <w:rtl/>
        </w:rPr>
        <w:t>אבן ספיר</w:t>
      </w:r>
      <w:r w:rsidRPr="00063000">
        <w:rPr>
          <w:i/>
          <w:iCs/>
        </w:rPr>
        <w:t xml:space="preserve"> </w:t>
      </w:r>
      <w:r w:rsidRPr="00063000">
        <w:t xml:space="preserve">of </w:t>
      </w:r>
      <w:proofErr w:type="spellStart"/>
      <w:r w:rsidR="00651FFB" w:rsidRPr="00651FFB">
        <w:t>Elnathan</w:t>
      </w:r>
      <w:proofErr w:type="spellEnd"/>
      <w:r w:rsidR="00651FFB" w:rsidRPr="00651FFB">
        <w:t xml:space="preserve"> b</w:t>
      </w:r>
      <w:r w:rsidR="00536A56">
        <w:t>en</w:t>
      </w:r>
      <w:r w:rsidR="00651FFB" w:rsidRPr="00651FFB">
        <w:t xml:space="preserve"> Moses </w:t>
      </w:r>
      <w:proofErr w:type="spellStart"/>
      <w:r w:rsidR="00651FFB" w:rsidRPr="00651FFB">
        <w:t>Kalkish</w:t>
      </w:r>
      <w:proofErr w:type="spellEnd"/>
      <w:r w:rsidR="00651FFB">
        <w:t xml:space="preserve"> </w:t>
      </w:r>
      <w:r w:rsidRPr="00063000">
        <w:t>which was written in 1367;</w:t>
      </w:r>
      <w:r w:rsidRPr="00063000">
        <w:rPr>
          <w:rStyle w:val="FootnoteReference"/>
          <w:rFonts w:cstheme="majorBidi"/>
          <w:szCs w:val="24"/>
        </w:rPr>
        <w:footnoteReference w:id="69"/>
      </w:r>
      <w:r w:rsidRPr="00063000">
        <w:t xml:space="preserve"> as well as works written at the beginning of the fifteenth century such as the supercommentary on Rashi written by Rabbi </w:t>
      </w:r>
      <w:proofErr w:type="spellStart"/>
      <w:r w:rsidRPr="00063000">
        <w:t>Dosa</w:t>
      </w:r>
      <w:proofErr w:type="spellEnd"/>
      <w:r w:rsidRPr="00063000">
        <w:t xml:space="preserve"> </w:t>
      </w:r>
      <w:commentRangeStart w:id="19"/>
      <w:proofErr w:type="spellStart"/>
      <w:r w:rsidRPr="00063000">
        <w:rPr>
          <w:rtl/>
        </w:rPr>
        <w:t>מוידיש</w:t>
      </w:r>
      <w:commentRangeEnd w:id="19"/>
      <w:proofErr w:type="spellEnd"/>
      <w:r w:rsidR="00726CF8" w:rsidRPr="00063000">
        <w:rPr>
          <w:rStyle w:val="CommentReference"/>
          <w:sz w:val="24"/>
          <w:szCs w:val="24"/>
        </w:rPr>
        <w:commentReference w:id="19"/>
      </w:r>
      <w:r w:rsidRPr="00063000">
        <w:t>;</w:t>
      </w:r>
      <w:r w:rsidRPr="00063000">
        <w:rPr>
          <w:vertAlign w:val="superscript"/>
        </w:rPr>
        <w:footnoteReference w:id="70"/>
      </w:r>
      <w:r w:rsidRPr="00063000">
        <w:t xml:space="preserve"> the polemical work </w:t>
      </w:r>
      <w:r w:rsidR="001F36E4">
        <w:rPr>
          <w:rFonts w:hint="cs"/>
          <w:rtl/>
        </w:rPr>
        <w:t>מנחת קנאות</w:t>
      </w:r>
      <w:r w:rsidRPr="00063000">
        <w:t xml:space="preserve"> penned by Rabbi Zacharia ben Moses was mostly dedicated to </w:t>
      </w:r>
      <w:r w:rsidRPr="00063000">
        <w:lastRenderedPageBreak/>
        <w:t>defending Ibn Ezra from the criticisms of Nachmanides;</w:t>
      </w:r>
      <w:r w:rsidRPr="00063000">
        <w:rPr>
          <w:rStyle w:val="FootnoteReference"/>
          <w:rFonts w:cstheme="majorBidi"/>
          <w:szCs w:val="24"/>
        </w:rPr>
        <w:footnoteReference w:id="71"/>
      </w:r>
      <w:r w:rsidRPr="00063000">
        <w:t xml:space="preserve"> as well as an anonymous-allegorical commentary on the Pentateuch. </w:t>
      </w:r>
      <w:r w:rsidRPr="00063000">
        <w:rPr>
          <w:rStyle w:val="FootnoteReference"/>
          <w:rFonts w:cstheme="majorBidi"/>
          <w:szCs w:val="24"/>
        </w:rPr>
        <w:footnoteReference w:id="72"/>
      </w:r>
      <w:r w:rsidR="009D40CE" w:rsidRPr="00063000">
        <w:t xml:space="preserve"> </w:t>
      </w:r>
      <w:r w:rsidRPr="00063000">
        <w:t xml:space="preserve">Towards the end of the fifteenth century, a group of sages with a </w:t>
      </w:r>
      <w:r w:rsidR="009D40CE" w:rsidRPr="00063000">
        <w:t>shared</w:t>
      </w:r>
      <w:r w:rsidRPr="00063000">
        <w:t xml:space="preserve"> ideological </w:t>
      </w:r>
      <w:r w:rsidR="009D40CE" w:rsidRPr="00063000">
        <w:t>orientation</w:t>
      </w:r>
      <w:r w:rsidRPr="00063000">
        <w:t xml:space="preserve"> united around the study of </w:t>
      </w:r>
      <w:r w:rsidR="009D40CE" w:rsidRPr="00063000">
        <w:t>Ibn Ezra’s commentaries and esoteric teachings</w:t>
      </w:r>
      <w:r w:rsidRPr="00063000">
        <w:t xml:space="preserve">. It included Rabbi Mordecai ben Elazar </w:t>
      </w:r>
      <w:proofErr w:type="spellStart"/>
      <w:r w:rsidR="00EB573F">
        <w:t>Comtino</w:t>
      </w:r>
      <w:proofErr w:type="spellEnd"/>
      <w:r w:rsidRPr="00063000">
        <w:t xml:space="preserve">, Rabbi Ephraim ben Gershon; Rabbi Sabbatai ben </w:t>
      </w:r>
      <w:proofErr w:type="spellStart"/>
      <w:r w:rsidRPr="00063000">
        <w:t>Malkiel</w:t>
      </w:r>
      <w:proofErr w:type="spellEnd"/>
      <w:r w:rsidRPr="00063000">
        <w:t xml:space="preserve"> </w:t>
      </w:r>
      <w:r w:rsidR="00572082" w:rsidRPr="00063000">
        <w:t>h</w:t>
      </w:r>
      <w:r w:rsidRPr="00063000">
        <w:t>a</w:t>
      </w:r>
      <w:r w:rsidR="00572082" w:rsidRPr="00063000">
        <w:t>-K</w:t>
      </w:r>
      <w:r w:rsidRPr="00063000">
        <w:t>ohen and Rabbi Menahem ben Moses Tamar.</w:t>
      </w:r>
      <w:r w:rsidRPr="00063000">
        <w:rPr>
          <w:rStyle w:val="FootnoteReference"/>
          <w:rFonts w:cstheme="majorBidi"/>
          <w:szCs w:val="24"/>
        </w:rPr>
        <w:footnoteReference w:id="73"/>
      </w:r>
    </w:p>
    <w:p w14:paraId="0986FE44" w14:textId="5B4728CF" w:rsidR="00B72CFF" w:rsidRPr="00063000" w:rsidRDefault="00161D2E" w:rsidP="00063000">
      <w:pPr>
        <w:rPr>
          <w:rtl/>
        </w:rPr>
      </w:pPr>
      <w:r w:rsidRPr="00063000">
        <w:t>If we contrast</w:t>
      </w:r>
      <w:r w:rsidR="00B72CFF" w:rsidRPr="00063000">
        <w:t xml:space="preserve"> the wide distribution and heav</w:t>
      </w:r>
      <w:r w:rsidR="00E66CAB">
        <w:t>y</w:t>
      </w:r>
      <w:r w:rsidR="00B72CFF" w:rsidRPr="00063000">
        <w:t xml:space="preserve"> influence of Ibn Ezra describe</w:t>
      </w:r>
      <w:r w:rsidRPr="00063000">
        <w:t>d</w:t>
      </w:r>
      <w:r w:rsidR="00B72CFF" w:rsidRPr="00063000">
        <w:t xml:space="preserve"> above, </w:t>
      </w:r>
      <w:r w:rsidRPr="00063000">
        <w:t>to</w:t>
      </w:r>
      <w:r w:rsidR="00B72CFF" w:rsidRPr="00063000">
        <w:t xml:space="preserve"> </w:t>
      </w:r>
      <w:r w:rsidRPr="00063000">
        <w:t>its</w:t>
      </w:r>
      <w:r w:rsidR="00B72CFF" w:rsidRPr="00063000">
        <w:t xml:space="preserve"> almost complete omission </w:t>
      </w:r>
      <w:r w:rsidRPr="00063000">
        <w:t>from</w:t>
      </w:r>
      <w:r w:rsidR="00B72CFF" w:rsidRPr="00063000">
        <w:t xml:space="preserve"> Rabbi Meyuhas’ commentaries, the possibility that Rabbi Meyuhas was active in the fourteenth or fifteenth centuries</w:t>
      </w:r>
      <w:r w:rsidRPr="00063000">
        <w:t xml:space="preserve"> appears untenable</w:t>
      </w:r>
      <w:r w:rsidR="00B72CFF" w:rsidRPr="00063000">
        <w:t xml:space="preserve">. Had Rabbi Meyuhas been active during these centuries, it would be inconceivable for him to </w:t>
      </w:r>
      <w:r w:rsidR="00E66CAB">
        <w:t>so thoroughly</w:t>
      </w:r>
      <w:r w:rsidR="00B72CFF" w:rsidRPr="00063000">
        <w:t xml:space="preserve"> ignore Ibn Ezra’s writings</w:t>
      </w:r>
      <w:r w:rsidR="001B0331" w:rsidRPr="00063000">
        <w:t xml:space="preserve"> in the way he does</w:t>
      </w:r>
      <w:r w:rsidR="00B72CFF" w:rsidRPr="00063000">
        <w:t xml:space="preserve">. Thus, theories that propose pushing back Rabbi Meyuhas’ activity to an era before the spread of Ibn Ezra’s commentaries in Byzantium, should be accepted. </w:t>
      </w:r>
    </w:p>
    <w:p w14:paraId="77C932E2" w14:textId="7A7AE2DD" w:rsidR="00063000" w:rsidRDefault="00063000" w:rsidP="00063000">
      <w:r>
        <w:t>&lt;H3&gt;</w:t>
      </w:r>
    </w:p>
    <w:p w14:paraId="1AD527DC" w14:textId="575E2D3F" w:rsidR="00B72CFF" w:rsidRDefault="00B72CFF" w:rsidP="00063000">
      <w:r w:rsidRPr="00063000">
        <w:t>Grammatical System</w:t>
      </w:r>
      <w:r w:rsidRPr="00063000">
        <w:rPr>
          <w:vertAlign w:val="superscript"/>
        </w:rPr>
        <w:footnoteReference w:id="74"/>
      </w:r>
    </w:p>
    <w:p w14:paraId="52FAB88E" w14:textId="77777777" w:rsidR="00063000" w:rsidRPr="00063000" w:rsidRDefault="00063000" w:rsidP="00063000">
      <w:pPr>
        <w:rPr>
          <w:rtl/>
        </w:rPr>
      </w:pPr>
    </w:p>
    <w:p w14:paraId="7E66DC63" w14:textId="5F2E1D39" w:rsidR="00B72CFF" w:rsidRPr="00063000" w:rsidRDefault="00B72CFF" w:rsidP="00063000">
      <w:pPr>
        <w:rPr>
          <w:rtl/>
        </w:rPr>
      </w:pPr>
      <w:r w:rsidRPr="00063000">
        <w:lastRenderedPageBreak/>
        <w:t xml:space="preserve">Rabbi Meyuhas dealt with all aspects of biblical Hebrew and his commentary incorporates grammatical discussions pertaining to various linguistic subjects including pronunciation, </w:t>
      </w:r>
      <w:commentRangeStart w:id="20"/>
      <w:r w:rsidRPr="00063000">
        <w:t>word formation</w:t>
      </w:r>
      <w:commentRangeEnd w:id="20"/>
      <w:r w:rsidR="008F0497" w:rsidRPr="00063000">
        <w:rPr>
          <w:rStyle w:val="CommentReference"/>
          <w:sz w:val="24"/>
          <w:szCs w:val="24"/>
        </w:rPr>
        <w:commentReference w:id="20"/>
      </w:r>
      <w:r w:rsidRPr="00063000">
        <w:t>, and syntax.</w:t>
      </w:r>
      <w:r w:rsidR="00DB1244">
        <w:t xml:space="preserve"> </w:t>
      </w:r>
      <w:r w:rsidRPr="00063000">
        <w:t xml:space="preserve">The scope of these discussions is </w:t>
      </w:r>
      <w:proofErr w:type="gramStart"/>
      <w:r w:rsidRPr="00063000">
        <w:t>broad</w:t>
      </w:r>
      <w:proofErr w:type="gramEnd"/>
      <w:r w:rsidRPr="00063000">
        <w:t xml:space="preserve"> and the discussions are extremely varied. In this regard, Rabbi Meyuhas was different from most commentators who devoted little attention to grammatical </w:t>
      </w:r>
      <w:r w:rsidR="00CA3C9E" w:rsidRPr="00063000">
        <w:t>issues and</w:t>
      </w:r>
      <w:r w:rsidRPr="00063000">
        <w:t xml:space="preserve"> were usually more focused on lexicography. Rabbi Meyuhas’ grammatical approach draws inspiration from </w:t>
      </w:r>
      <w:r w:rsidR="00EF3D5F">
        <w:t>Spanish grammarian</w:t>
      </w:r>
      <w:r w:rsidRPr="00063000">
        <w:t xml:space="preserve"> Rabbi Judah </w:t>
      </w:r>
      <w:proofErr w:type="spellStart"/>
      <w:r w:rsidRPr="00063000">
        <w:t>Hayyuj</w:t>
      </w:r>
      <w:proofErr w:type="spellEnd"/>
      <w:r w:rsidRPr="00063000">
        <w:t xml:space="preserve"> and his disciples. </w:t>
      </w:r>
      <w:r w:rsidR="00820675">
        <w:t>Rabbi Meyuhas’</w:t>
      </w:r>
      <w:r w:rsidRPr="00063000">
        <w:t xml:space="preserve"> verbal analysis is based on </w:t>
      </w:r>
      <w:proofErr w:type="spellStart"/>
      <w:r w:rsidRPr="00063000">
        <w:t>Hayyuj’s</w:t>
      </w:r>
      <w:proofErr w:type="spellEnd"/>
      <w:r w:rsidRPr="00063000">
        <w:t xml:space="preserve"> triconsonantal root system </w:t>
      </w:r>
      <w:commentRangeStart w:id="21"/>
      <w:r w:rsidRPr="00063000">
        <w:t xml:space="preserve">as is his analysis of noun forms. </w:t>
      </w:r>
      <w:commentRangeEnd w:id="21"/>
      <w:r w:rsidR="00CA3C9E" w:rsidRPr="00063000">
        <w:rPr>
          <w:rStyle w:val="CommentReference"/>
          <w:sz w:val="24"/>
          <w:szCs w:val="24"/>
          <w:rtl/>
        </w:rPr>
        <w:commentReference w:id="21"/>
      </w:r>
      <w:r w:rsidR="00820675">
        <w:t>His</w:t>
      </w:r>
      <w:r w:rsidRPr="00063000">
        <w:t xml:space="preserve"> terminology also reflects </w:t>
      </w:r>
      <w:r w:rsidR="004E5011">
        <w:t>this</w:t>
      </w:r>
      <w:r w:rsidRPr="00063000">
        <w:t xml:space="preserve"> system: he distinguishes betwee</w:t>
      </w:r>
      <w:r w:rsidR="00E66CAB">
        <w:t xml:space="preserve">n different </w:t>
      </w:r>
      <w:r w:rsidR="00E66CAB">
        <w:rPr>
          <w:rFonts w:hint="cs"/>
          <w:rtl/>
        </w:rPr>
        <w:t>גזרות הפועל</w:t>
      </w:r>
      <w:r w:rsidR="00E66CAB">
        <w:t xml:space="preserve"> (root systems) in the Spanish style.</w:t>
      </w:r>
    </w:p>
    <w:p w14:paraId="4B21CE61" w14:textId="0E13358B" w:rsidR="00B72CFF" w:rsidRDefault="00DF7E11" w:rsidP="00063000">
      <w:r>
        <w:t>The</w:t>
      </w:r>
      <w:r w:rsidR="00B72CFF" w:rsidRPr="00063000">
        <w:t xml:space="preserve"> names </w:t>
      </w:r>
      <w:r w:rsidR="00812BDE">
        <w:t>given to verb forms</w:t>
      </w:r>
      <w:r w:rsidR="00B72CFF" w:rsidRPr="00063000">
        <w:t xml:space="preserve"> </w:t>
      </w:r>
      <w:r>
        <w:t>are generally ascribed to</w:t>
      </w:r>
      <w:r w:rsidR="00B72CFF" w:rsidRPr="00063000">
        <w:t xml:space="preserve"> Rabbi Joseph Kimhi (1105</w:t>
      </w:r>
      <w:r w:rsidR="00375E05" w:rsidRPr="00063000">
        <w:rPr>
          <w:rtl/>
        </w:rPr>
        <w:t>–</w:t>
      </w:r>
      <w:r w:rsidR="00B72CFF" w:rsidRPr="00063000">
        <w:t xml:space="preserve"> c. 1170).</w:t>
      </w:r>
      <w:r w:rsidR="00B72CFF" w:rsidRPr="00063000">
        <w:rPr>
          <w:vertAlign w:val="superscript"/>
        </w:rPr>
        <w:footnoteReference w:id="75"/>
      </w:r>
      <w:r w:rsidR="00375E05" w:rsidRPr="00063000">
        <w:rPr>
          <w:rtl/>
        </w:rPr>
        <w:t xml:space="preserve"> </w:t>
      </w:r>
      <w:r w:rsidR="00B72CFF" w:rsidRPr="00063000">
        <w:t xml:space="preserve">The main disseminator of </w:t>
      </w:r>
      <w:r w:rsidR="00D46B2B">
        <w:t>this</w:t>
      </w:r>
      <w:r w:rsidR="00B72CFF" w:rsidRPr="00063000">
        <w:t xml:space="preserve"> system was his son Rabbi David Kimhi </w:t>
      </w:r>
      <w:r w:rsidR="00D46B2B">
        <w:t>(</w:t>
      </w:r>
      <w:proofErr w:type="spellStart"/>
      <w:r w:rsidR="00D46B2B">
        <w:t>Radak</w:t>
      </w:r>
      <w:proofErr w:type="spellEnd"/>
      <w:r w:rsidR="00D46B2B">
        <w:t xml:space="preserve"> </w:t>
      </w:r>
      <w:r w:rsidR="00B72CFF" w:rsidRPr="00063000">
        <w:t>1160</w:t>
      </w:r>
      <w:r w:rsidR="00375E05" w:rsidRPr="00063000">
        <w:rPr>
          <w:rtl/>
        </w:rPr>
        <w:t>–</w:t>
      </w:r>
      <w:r w:rsidR="00B72CFF" w:rsidRPr="00063000">
        <w:t>c. 1235) whose literary influence was extensive and whose grammatical works, composed in circa 1205, quickly spread throughout Europe.</w:t>
      </w:r>
      <w:r w:rsidR="00B72CFF" w:rsidRPr="00063000">
        <w:rPr>
          <w:vertAlign w:val="superscript"/>
        </w:rPr>
        <w:footnoteReference w:id="76"/>
      </w:r>
      <w:r w:rsidR="00B72CFF" w:rsidRPr="00063000">
        <w:t xml:space="preserve">All the verbal forms appear in Rabbi Meyuhas’ commentary with their full names dozens of times. This being the case, we can adduce that </w:t>
      </w:r>
      <w:r w:rsidR="00375E05" w:rsidRPr="00063000">
        <w:t>Rabbi Meyuhas</w:t>
      </w:r>
      <w:r w:rsidR="00B72CFF" w:rsidRPr="00063000">
        <w:t xml:space="preserve"> was not active prior to the period of the </w:t>
      </w:r>
      <w:proofErr w:type="spellStart"/>
      <w:r w:rsidR="00B72CFF" w:rsidRPr="00063000">
        <w:t>Kimhis</w:t>
      </w:r>
      <w:proofErr w:type="spellEnd"/>
      <w:r w:rsidR="00B72CFF" w:rsidRPr="00063000">
        <w:t xml:space="preserve">, and therefore we can establish the terminus post </w:t>
      </w:r>
      <w:proofErr w:type="spellStart"/>
      <w:r w:rsidR="00B72CFF" w:rsidRPr="00063000">
        <w:t>quem</w:t>
      </w:r>
      <w:proofErr w:type="spellEnd"/>
      <w:r w:rsidR="00B72CFF" w:rsidRPr="00063000">
        <w:t xml:space="preserve"> of his commentary to the twelfth century. It is likely that he derived the verbal forms from </w:t>
      </w:r>
      <w:r w:rsidR="00B72CFF" w:rsidRPr="00063000">
        <w:lastRenderedPageBreak/>
        <w:t xml:space="preserve">the grammatical treatises of </w:t>
      </w:r>
      <w:proofErr w:type="spellStart"/>
      <w:r w:rsidR="00B72CFF" w:rsidRPr="00063000">
        <w:t>Rada</w:t>
      </w:r>
      <w:r w:rsidR="00D80ABA" w:rsidRPr="00063000">
        <w:t>k</w:t>
      </w:r>
      <w:proofErr w:type="spellEnd"/>
      <w:r w:rsidR="00B72CFF" w:rsidRPr="00063000">
        <w:t xml:space="preserve"> which arrived in Byzantium during the thirteenth century.</w:t>
      </w:r>
    </w:p>
    <w:p w14:paraId="11BC6985" w14:textId="5ECB208D" w:rsidR="00063000" w:rsidRPr="00063000" w:rsidRDefault="00063000" w:rsidP="00063000">
      <w:pPr>
        <w:rPr>
          <w:rtl/>
        </w:rPr>
      </w:pPr>
      <w:r>
        <w:t>&lt;H3&gt;</w:t>
      </w:r>
    </w:p>
    <w:p w14:paraId="6AF7485C" w14:textId="31ACA1A8" w:rsidR="00B72CFF" w:rsidRDefault="00B72CFF" w:rsidP="00063000">
      <w:r w:rsidRPr="00063000">
        <w:t xml:space="preserve">References to Philosophy and Maimonides </w:t>
      </w:r>
    </w:p>
    <w:p w14:paraId="46C27B1B" w14:textId="77777777" w:rsidR="00063000" w:rsidRPr="00063000" w:rsidRDefault="00063000" w:rsidP="00063000">
      <w:pPr>
        <w:rPr>
          <w:rtl/>
        </w:rPr>
      </w:pPr>
    </w:p>
    <w:p w14:paraId="2B9FEB8E" w14:textId="4F2A87F9" w:rsidR="00B72CFF" w:rsidRPr="00063000" w:rsidRDefault="00B72CFF" w:rsidP="00063000">
      <w:pPr>
        <w:rPr>
          <w:rtl/>
        </w:rPr>
      </w:pPr>
      <w:r w:rsidRPr="00063000">
        <w:t xml:space="preserve">The conquest of Constantinople by the Latin crusaders in 1204, led to a growing interest </w:t>
      </w:r>
      <w:r w:rsidR="00B13F06" w:rsidRPr="00063000">
        <w:t xml:space="preserve">in Western philosophy and theology </w:t>
      </w:r>
      <w:r w:rsidRPr="00063000">
        <w:t xml:space="preserve">among Byzantine scholars. This holds true </w:t>
      </w:r>
      <w:r w:rsidR="00B13F06" w:rsidRPr="00063000">
        <w:t xml:space="preserve">for </w:t>
      </w:r>
      <w:r w:rsidRPr="00063000">
        <w:t>Christian</w:t>
      </w:r>
      <w:r w:rsidRPr="00063000">
        <w:rPr>
          <w:rStyle w:val="FootnoteReference"/>
          <w:rFonts w:cstheme="majorBidi"/>
          <w:szCs w:val="24"/>
        </w:rPr>
        <w:footnoteReference w:id="77"/>
      </w:r>
      <w:r w:rsidRPr="00063000">
        <w:t xml:space="preserve"> </w:t>
      </w:r>
      <w:r w:rsidR="00B13F06" w:rsidRPr="00063000">
        <w:t>and</w:t>
      </w:r>
      <w:r w:rsidRPr="00063000">
        <w:t xml:space="preserve"> Jewish scholars</w:t>
      </w:r>
      <w:r w:rsidR="00B13F06" w:rsidRPr="00063000">
        <w:t xml:space="preserve"> alike.</w:t>
      </w:r>
      <w:r w:rsidRPr="00063000">
        <w:rPr>
          <w:rStyle w:val="FootnoteReference"/>
          <w:rFonts w:cstheme="majorBidi"/>
          <w:szCs w:val="24"/>
        </w:rPr>
        <w:footnoteReference w:id="78"/>
      </w:r>
      <w:r w:rsidR="00847D94" w:rsidRPr="00063000">
        <w:t xml:space="preserve"> While at</w:t>
      </w:r>
      <w:r w:rsidRPr="00063000">
        <w:t xml:space="preserve"> first, the interest was relatively limited</w:t>
      </w:r>
      <w:r w:rsidR="00847D94" w:rsidRPr="00063000">
        <w:t>,</w:t>
      </w:r>
      <w:r w:rsidRPr="00063000">
        <w:t xml:space="preserve"> by the fourteenth and fifteenth centuries</w:t>
      </w:r>
      <w:r w:rsidR="001547F9" w:rsidRPr="00063000">
        <w:t>,</w:t>
      </w:r>
      <w:r w:rsidRPr="00063000">
        <w:t xml:space="preserve"> philosophy had won the hearts of Byzantine scholars, and philosophical writing among Byzantine Jewry became </w:t>
      </w:r>
      <w:r w:rsidR="000D263F">
        <w:t>common</w:t>
      </w:r>
      <w:r w:rsidRPr="00063000">
        <w:t xml:space="preserve"> and widely accepted. </w:t>
      </w:r>
      <w:commentRangeStart w:id="22"/>
      <w:r w:rsidR="000D263F">
        <w:t>Subjects addressed included</w:t>
      </w:r>
      <w:r w:rsidRPr="00063000">
        <w:t xml:space="preserve"> logic, philosophy, </w:t>
      </w:r>
      <w:r w:rsidR="00EF24B4">
        <w:t xml:space="preserve">and </w:t>
      </w:r>
      <w:r w:rsidRPr="00063000">
        <w:t>the sciences</w:t>
      </w:r>
      <w:commentRangeEnd w:id="22"/>
      <w:r w:rsidR="00EF24B4">
        <w:rPr>
          <w:rStyle w:val="CommentReference"/>
        </w:rPr>
        <w:commentReference w:id="22"/>
      </w:r>
      <w:r w:rsidRPr="000D263F">
        <w:t>.</w:t>
      </w:r>
      <w:r w:rsidRPr="000D263F">
        <w:rPr>
          <w:vertAlign w:val="superscript"/>
        </w:rPr>
        <w:footnoteReference w:id="79"/>
      </w:r>
      <w:r w:rsidRPr="00063000">
        <w:t>In many cases these Byzantine works were in dialogue with the writings of Maimonides.</w:t>
      </w:r>
      <w:r w:rsidRPr="00063000">
        <w:rPr>
          <w:rStyle w:val="FootnoteReference"/>
          <w:rFonts w:cstheme="majorBidi"/>
          <w:szCs w:val="24"/>
        </w:rPr>
        <w:footnoteReference w:id="80"/>
      </w:r>
      <w:r w:rsidRPr="00063000">
        <w:t xml:space="preserve"> </w:t>
      </w:r>
    </w:p>
    <w:p w14:paraId="311C836C" w14:textId="5B5516D1" w:rsidR="00B72CFF" w:rsidRDefault="004B36FD" w:rsidP="00063000">
      <w:r>
        <w:lastRenderedPageBreak/>
        <w:t>No indication of this</w:t>
      </w:r>
      <w:r w:rsidR="00260F17" w:rsidRPr="00063000">
        <w:t xml:space="preserve"> process </w:t>
      </w:r>
      <w:r>
        <w:t>appears in</w:t>
      </w:r>
      <w:r w:rsidR="00B72CFF" w:rsidRPr="00063000">
        <w:t xml:space="preserve"> Rabbi Meyuhas’ commentaries.</w:t>
      </w:r>
      <w:r w:rsidR="00DB1244">
        <w:t xml:space="preserve"> </w:t>
      </w:r>
      <w:r w:rsidR="00B72CFF" w:rsidRPr="00063000">
        <w:t xml:space="preserve">He </w:t>
      </w:r>
      <w:r w:rsidR="00F6129F" w:rsidRPr="00063000">
        <w:t>neither</w:t>
      </w:r>
      <w:r w:rsidR="00B72CFF" w:rsidRPr="00063000">
        <w:t xml:space="preserve"> reference</w:t>
      </w:r>
      <w:r w:rsidR="00F6129F" w:rsidRPr="00063000">
        <w:t>s</w:t>
      </w:r>
      <w:r w:rsidR="00B72CFF" w:rsidRPr="00063000">
        <w:t xml:space="preserve"> philosophy </w:t>
      </w:r>
      <w:r w:rsidR="00F6129F" w:rsidRPr="00063000">
        <w:t>and</w:t>
      </w:r>
      <w:r w:rsidR="00B72CFF" w:rsidRPr="00063000">
        <w:t xml:space="preserve"> the sciences </w:t>
      </w:r>
      <w:r w:rsidR="00F6129F" w:rsidRPr="00063000">
        <w:t xml:space="preserve">nor the </w:t>
      </w:r>
      <w:r w:rsidR="00B72CFF" w:rsidRPr="00063000">
        <w:t xml:space="preserve">writings of Maimonides. It is difficult to assume that </w:t>
      </w:r>
      <w:r w:rsidR="00F6129F" w:rsidRPr="00063000">
        <w:t>were</w:t>
      </w:r>
      <w:r w:rsidR="00B72CFF" w:rsidRPr="00063000">
        <w:t xml:space="preserve"> Rabbi Meyuhas alive in the fourteenth or fifteenth centuries he would have completely ignored the </w:t>
      </w:r>
      <w:r w:rsidR="00F6129F" w:rsidRPr="00063000">
        <w:t xml:space="preserve">flourishing </w:t>
      </w:r>
      <w:r w:rsidR="00B72CFF" w:rsidRPr="00063000">
        <w:t xml:space="preserve">philosophical literature </w:t>
      </w:r>
      <w:r w:rsidR="00F6129F" w:rsidRPr="00063000">
        <w:t>of his</w:t>
      </w:r>
      <w:r w:rsidR="00B72CFF" w:rsidRPr="00063000">
        <w:t xml:space="preserve"> </w:t>
      </w:r>
      <w:r w:rsidR="00F6129F" w:rsidRPr="00063000">
        <w:t>contemporary Byzantine coreligionists</w:t>
      </w:r>
      <w:r w:rsidR="00B72CFF" w:rsidRPr="00063000">
        <w:t>. This reinforces the argument that Rabbi Meyuhas composed his commentary before the spread of philosophical literature in Byzantium, i.e., prior to the fourteenth century.</w:t>
      </w:r>
      <w:r w:rsidR="00DB1244">
        <w:t xml:space="preserve"> </w:t>
      </w:r>
    </w:p>
    <w:p w14:paraId="5D517B84" w14:textId="77777777" w:rsidR="00063000" w:rsidRDefault="00063000" w:rsidP="00063000"/>
    <w:p w14:paraId="740E4295" w14:textId="572937F3" w:rsidR="00063000" w:rsidRPr="00063000" w:rsidRDefault="00063000" w:rsidP="00063000">
      <w:pPr>
        <w:rPr>
          <w:rtl/>
        </w:rPr>
      </w:pPr>
      <w:r>
        <w:t>&lt;H3&gt;</w:t>
      </w:r>
    </w:p>
    <w:p w14:paraId="2DEAA219" w14:textId="6354585E" w:rsidR="00B72CFF" w:rsidRDefault="00B72CFF" w:rsidP="00063000">
      <w:r w:rsidRPr="00063000">
        <w:t>References to Jewish Mysticism</w:t>
      </w:r>
    </w:p>
    <w:p w14:paraId="35CEE7FD" w14:textId="77777777" w:rsidR="00063000" w:rsidRPr="00063000" w:rsidRDefault="00063000" w:rsidP="00063000">
      <w:pPr>
        <w:rPr>
          <w:rtl/>
        </w:rPr>
      </w:pPr>
    </w:p>
    <w:p w14:paraId="1D596716" w14:textId="52E5EB88" w:rsidR="00B72CFF" w:rsidRPr="00063000" w:rsidRDefault="00B72CFF" w:rsidP="00063000">
      <w:pPr>
        <w:rPr>
          <w:rtl/>
        </w:rPr>
      </w:pPr>
      <w:r w:rsidRPr="00063000">
        <w:t xml:space="preserve">Parallel to the inroads </w:t>
      </w:r>
      <w:r w:rsidR="009710F9" w:rsidRPr="00063000">
        <w:t>made by</w:t>
      </w:r>
      <w:r w:rsidRPr="00063000">
        <w:t xml:space="preserve"> philosophy into Byzantine </w:t>
      </w:r>
      <w:r w:rsidR="009710F9" w:rsidRPr="00063000">
        <w:t>Jewish literature</w:t>
      </w:r>
      <w:r w:rsidRPr="00063000">
        <w:t xml:space="preserve">, was the reception of Kabbalah. This was due in part to the arrival of Rabbi Abraham Abulafia </w:t>
      </w:r>
      <w:r w:rsidRPr="00063000">
        <w:lastRenderedPageBreak/>
        <w:t>in Byzantium.</w:t>
      </w:r>
      <w:r w:rsidRPr="00063000">
        <w:rPr>
          <w:vertAlign w:val="superscript"/>
        </w:rPr>
        <w:footnoteReference w:id="81"/>
      </w:r>
      <w:r w:rsidR="005D36F0" w:rsidRPr="00063000">
        <w:t xml:space="preserve"> </w:t>
      </w:r>
      <w:r w:rsidRPr="00063000">
        <w:t>In his commentary, Rabbi Meyuhas makes almost no reference to esoteric teachings, further supporting the conclusions proposed above.</w:t>
      </w:r>
      <w:r w:rsidRPr="00063000">
        <w:rPr>
          <w:rStyle w:val="FootnoteReference"/>
          <w:rFonts w:cstheme="majorBidi"/>
          <w:szCs w:val="24"/>
        </w:rPr>
        <w:footnoteReference w:id="82"/>
      </w:r>
      <w:r w:rsidRPr="00063000">
        <w:t xml:space="preserve"> </w:t>
      </w:r>
    </w:p>
    <w:p w14:paraId="09D46DD8" w14:textId="679E7F31" w:rsidR="00B72CFF" w:rsidRPr="00063000" w:rsidRDefault="00A81D16" w:rsidP="00063000">
      <w:pPr>
        <w:rPr>
          <w:rtl/>
        </w:rPr>
      </w:pPr>
      <w:r w:rsidRPr="00063000">
        <w:t>In</w:t>
      </w:r>
      <w:r w:rsidR="00B72CFF" w:rsidRPr="00063000">
        <w:t xml:space="preserve"> the introduction to his commentary, Rabbi Meyuhas</w:t>
      </w:r>
      <w:r w:rsidRPr="00063000">
        <w:t xml:space="preserve"> does, however,</w:t>
      </w:r>
      <w:r w:rsidR="00B72CFF" w:rsidRPr="00063000">
        <w:t xml:space="preserve"> make three statements related to Jewish mysticism.</w:t>
      </w:r>
      <w:r w:rsidR="00B72CFF" w:rsidRPr="00063000">
        <w:rPr>
          <w:rStyle w:val="FootnoteReference"/>
          <w:rFonts w:cstheme="majorBidi"/>
          <w:szCs w:val="24"/>
        </w:rPr>
        <w:footnoteReference w:id="83"/>
      </w:r>
      <w:r w:rsidRPr="00063000">
        <w:t xml:space="preserve"> </w:t>
      </w:r>
      <w:r w:rsidR="00B72CFF" w:rsidRPr="00063000">
        <w:t xml:space="preserve">He opens his introduction with a list of midrashic statements about the exegetical methodologies adopted by the Sages in the Midrash. He mentions, and exemplifies, the </w:t>
      </w:r>
      <w:r w:rsidR="004B36FD">
        <w:t>midrashic exegetical techniques of inverted word order (</w:t>
      </w:r>
      <w:r w:rsidR="004B36FD">
        <w:rPr>
          <w:rFonts w:hint="cs"/>
          <w:rtl/>
        </w:rPr>
        <w:t xml:space="preserve">מקרא </w:t>
      </w:r>
      <w:commentRangeStart w:id="23"/>
      <w:r w:rsidR="004B36FD">
        <w:rPr>
          <w:rFonts w:hint="cs"/>
          <w:rtl/>
        </w:rPr>
        <w:t>מסורס</w:t>
      </w:r>
      <w:r w:rsidR="004B36FD">
        <w:t>), abridgment (</w:t>
      </w:r>
      <w:r w:rsidR="004B36FD">
        <w:rPr>
          <w:rFonts w:hint="cs"/>
          <w:rtl/>
        </w:rPr>
        <w:t>מקרא קצר</w:t>
      </w:r>
      <w:r w:rsidR="004B36FD">
        <w:t>), and omission (</w:t>
      </w:r>
      <w:r w:rsidR="004B36FD">
        <w:rPr>
          <w:rFonts w:hint="cs"/>
          <w:rtl/>
        </w:rPr>
        <w:t>מקרא מקוצץ</w:t>
      </w:r>
      <w:r w:rsidR="004B36FD">
        <w:t xml:space="preserve">), as well as extra or missing letters, “redundant” verses, reading </w:t>
      </w:r>
      <w:r w:rsidR="008360F8">
        <w:t>versus writing, and inverted chronological order.</w:t>
      </w:r>
      <w:r w:rsidR="004B36FD">
        <w:t xml:space="preserve"> </w:t>
      </w:r>
      <w:commentRangeEnd w:id="23"/>
      <w:r w:rsidR="004B36FD">
        <w:rPr>
          <w:rStyle w:val="CommentReference"/>
        </w:rPr>
        <w:commentReference w:id="23"/>
      </w:r>
      <w:r w:rsidR="00B72CFF" w:rsidRPr="00063000">
        <w:t xml:space="preserve">The presentation of these principles underlies </w:t>
      </w:r>
      <w:r w:rsidR="001767B7">
        <w:t>Rabbi Meyuhas’</w:t>
      </w:r>
      <w:r w:rsidR="00B72CFF" w:rsidRPr="00063000">
        <w:t xml:space="preserve"> emphatic claim that the way the Pentateuch expresses itself </w:t>
      </w:r>
      <w:r w:rsidR="008A3A7F" w:rsidRPr="00063000">
        <w:t>is so problematic that</w:t>
      </w:r>
      <w:r w:rsidR="00B72CFF" w:rsidRPr="00063000">
        <w:t xml:space="preserve"> “if one of us would speak such words, he would be mocked and derided among us!” In other words: how could God give his prophets such a poorly-written book? Rabbi Meyuhas offers two answers.</w:t>
      </w:r>
      <w:r w:rsidR="00DB1244">
        <w:t xml:space="preserve"> </w:t>
      </w:r>
      <w:r w:rsidR="00B72CFF" w:rsidRPr="00063000">
        <w:t>The first is based on the simple-sense of Scripture and does not concern us at present.</w:t>
      </w:r>
      <w:r w:rsidR="00DB1244">
        <w:t xml:space="preserve"> </w:t>
      </w:r>
      <w:r w:rsidR="00B72CFF" w:rsidRPr="00063000">
        <w:t xml:space="preserve">The second, however, is based on mystical teachings. Rabbi Meyuhas cites three </w:t>
      </w:r>
      <w:r w:rsidR="00AF690E">
        <w:t>notions</w:t>
      </w:r>
      <w:commentRangeStart w:id="24"/>
      <w:r w:rsidR="00B72CFF" w:rsidRPr="00063000">
        <w:t xml:space="preserve"> </w:t>
      </w:r>
      <w:commentRangeEnd w:id="24"/>
      <w:r w:rsidR="00AF690E">
        <w:rPr>
          <w:rStyle w:val="CommentReference"/>
        </w:rPr>
        <w:commentReference w:id="24"/>
      </w:r>
      <w:r w:rsidR="00AF690E">
        <w:t>mentioned by</w:t>
      </w:r>
      <w:r w:rsidR="00B72CFF" w:rsidRPr="00063000">
        <w:t xml:space="preserve"> his exegetical predecessors: the idea that “the entire Torah is a combination of the Holy One Blessed is He’s names”; the idea that there is no distinction in importance between “I am the Lord your God” (Ex 20:2) and “</w:t>
      </w:r>
      <w:proofErr w:type="spellStart"/>
      <w:r w:rsidR="00B72CFF" w:rsidRPr="00063000">
        <w:t>Timna</w:t>
      </w:r>
      <w:proofErr w:type="spellEnd"/>
      <w:r w:rsidR="00B72CFF" w:rsidRPr="00063000">
        <w:t xml:space="preserve"> was a concubine” (Gen 36:12); and </w:t>
      </w:r>
      <w:r w:rsidR="00B72CFF" w:rsidRPr="0051318F">
        <w:t xml:space="preserve">the </w:t>
      </w:r>
      <w:r w:rsidR="00B72CFF" w:rsidRPr="0051318F">
        <w:lastRenderedPageBreak/>
        <w:t>esoteric teachings associated with the passage “</w:t>
      </w:r>
      <w:r w:rsidR="00103D0E">
        <w:t>T</w:t>
      </w:r>
      <w:r w:rsidR="00B72CFF" w:rsidRPr="0051318F">
        <w:t>hese are the kings who reigned in the Land of Edom” (Gen 36:31).</w:t>
      </w:r>
      <w:r w:rsidR="00B72CFF" w:rsidRPr="00063000">
        <w:t xml:space="preserve"> Based on these </w:t>
      </w:r>
      <w:r w:rsidR="00103D0E">
        <w:t>ideas</w:t>
      </w:r>
      <w:r w:rsidR="000A23F9" w:rsidRPr="00063000">
        <w:t xml:space="preserve">, Rabbi Meyuhas </w:t>
      </w:r>
      <w:r w:rsidR="00B72CFF" w:rsidRPr="00063000">
        <w:t>argued that the ostensibly “problematic” wording of the Pentateuch not only allows for the midrashic readings predicated on the simple sense of the text, but also the reading of the Pentateuch</w:t>
      </w:r>
      <w:r w:rsidR="00440F5E">
        <w:t>’</w:t>
      </w:r>
      <w:r w:rsidR="00B72CFF" w:rsidRPr="00063000">
        <w:t>s esoteric layers.</w:t>
      </w:r>
      <w:r w:rsidR="00B72CFF" w:rsidRPr="00063000">
        <w:rPr>
          <w:rStyle w:val="FootnoteReference"/>
          <w:rFonts w:cstheme="majorBidi"/>
          <w:szCs w:val="24"/>
        </w:rPr>
        <w:footnoteReference w:id="84"/>
      </w:r>
    </w:p>
    <w:p w14:paraId="3586A972" w14:textId="3D8E77B8" w:rsidR="00B72CFF" w:rsidRPr="00063000" w:rsidRDefault="00B72CFF" w:rsidP="00063000">
      <w:pPr>
        <w:rPr>
          <w:rtl/>
        </w:rPr>
      </w:pPr>
      <w:r w:rsidRPr="00063000">
        <w:t>From whom did Rabbi Meyuhas derive these ideas? As mentioned, Ta-</w:t>
      </w:r>
      <w:proofErr w:type="spellStart"/>
      <w:r w:rsidRPr="00063000">
        <w:t>Shma</w:t>
      </w:r>
      <w:proofErr w:type="spellEnd"/>
      <w:r w:rsidRPr="00063000">
        <w:t xml:space="preserve"> argued that the first </w:t>
      </w:r>
      <w:r w:rsidR="00103D0E">
        <w:t>notion</w:t>
      </w:r>
      <w:r w:rsidRPr="00063000">
        <w:t xml:space="preserve"> is drawn from Nachmanides and the third from the Zohar. Since the writings of Nachmanides and the Zohar were composed in the thirteenth century, Ta-</w:t>
      </w:r>
      <w:proofErr w:type="spellStart"/>
      <w:r w:rsidRPr="00063000">
        <w:t>Shma</w:t>
      </w:r>
      <w:proofErr w:type="spellEnd"/>
      <w:r w:rsidRPr="00063000">
        <w:t xml:space="preserve"> suggested dating Rabbi Meyuhas’ activity to the fourteenth century.</w:t>
      </w:r>
      <w:r w:rsidRPr="00063000">
        <w:rPr>
          <w:rStyle w:val="FootnoteReference"/>
          <w:rFonts w:cstheme="majorBidi"/>
          <w:szCs w:val="24"/>
        </w:rPr>
        <w:footnoteReference w:id="85"/>
      </w:r>
      <w:r w:rsidR="0013225A" w:rsidRPr="00063000">
        <w:t xml:space="preserve"> </w:t>
      </w:r>
      <w:r w:rsidRPr="00063000">
        <w:t>I think, however, that this argument need not necessarily be accepted.</w:t>
      </w:r>
    </w:p>
    <w:p w14:paraId="0A1F5A2D" w14:textId="7EB5DAE5" w:rsidR="00B72CFF" w:rsidRPr="00063000" w:rsidRDefault="00B72CFF" w:rsidP="00063000">
      <w:pPr>
        <w:rPr>
          <w:rtl/>
        </w:rPr>
      </w:pPr>
      <w:r w:rsidRPr="00063000">
        <w:t xml:space="preserve">The first </w:t>
      </w:r>
      <w:r w:rsidR="00103D0E">
        <w:t>notion</w:t>
      </w:r>
      <w:r w:rsidRPr="00063000">
        <w:t xml:space="preserve"> does indeed appear in the writings of Nachmanides: “but we have a tradition that the entire Pentateuch, from </w:t>
      </w:r>
      <w:r w:rsidRPr="00440F5E">
        <w:rPr>
          <w:i/>
          <w:iCs/>
        </w:rPr>
        <w:t>In the beginning</w:t>
      </w:r>
      <w:r w:rsidRPr="00063000">
        <w:t xml:space="preserve"> until </w:t>
      </w:r>
      <w:r w:rsidRPr="00440F5E">
        <w:rPr>
          <w:i/>
          <w:iCs/>
        </w:rPr>
        <w:t>before the eyes of all of Israel</w:t>
      </w:r>
      <w:r w:rsidRPr="00063000">
        <w:t xml:space="preserve"> is all [divine] names”;</w:t>
      </w:r>
      <w:r w:rsidRPr="00063000">
        <w:rPr>
          <w:rStyle w:val="FootnoteReference"/>
          <w:rFonts w:cstheme="majorBidi"/>
          <w:szCs w:val="24"/>
        </w:rPr>
        <w:footnoteReference w:id="86"/>
      </w:r>
      <w:r w:rsidR="00CF3FC9" w:rsidRPr="00063000">
        <w:t xml:space="preserve"> </w:t>
      </w:r>
      <w:r w:rsidRPr="00063000">
        <w:t>“we further have a true tradition that the entire Pentateuch is names of the Holy One Blessed is He.”</w:t>
      </w:r>
      <w:r w:rsidRPr="00063000">
        <w:rPr>
          <w:rStyle w:val="FootnoteReference"/>
          <w:rFonts w:cstheme="majorBidi"/>
          <w:szCs w:val="24"/>
        </w:rPr>
        <w:footnoteReference w:id="87"/>
      </w:r>
      <w:r w:rsidR="003C2029" w:rsidRPr="00063000">
        <w:t xml:space="preserve"> </w:t>
      </w:r>
      <w:r w:rsidRPr="00063000">
        <w:t>Ta-</w:t>
      </w:r>
      <w:proofErr w:type="spellStart"/>
      <w:r w:rsidRPr="00063000">
        <w:t>Shma</w:t>
      </w:r>
      <w:proofErr w:type="spellEnd"/>
      <w:r w:rsidR="009A34E1" w:rsidRPr="00063000">
        <w:t>, thus conclude</w:t>
      </w:r>
      <w:r w:rsidR="00103D0E">
        <w:t>d</w:t>
      </w:r>
      <w:r w:rsidR="009A34E1" w:rsidRPr="00063000">
        <w:t>,</w:t>
      </w:r>
      <w:r w:rsidRPr="00063000">
        <w:t xml:space="preserve"> “there is no doubt that [Rabbi Meyuhas] is making clear and unambiguous usage of </w:t>
      </w:r>
      <w:r w:rsidRPr="00063000">
        <w:lastRenderedPageBreak/>
        <w:t>Nachmanides.”</w:t>
      </w:r>
      <w:r w:rsidRPr="00063000">
        <w:rPr>
          <w:vertAlign w:val="superscript"/>
        </w:rPr>
        <w:footnoteReference w:id="88"/>
      </w:r>
      <w:r w:rsidR="00FA745E" w:rsidRPr="00063000">
        <w:t xml:space="preserve"> </w:t>
      </w:r>
      <w:r w:rsidRPr="00063000">
        <w:t xml:space="preserve">However, </w:t>
      </w:r>
      <w:r w:rsidR="00103D0E">
        <w:t>if we accept</w:t>
      </w:r>
      <w:r w:rsidRPr="00063000">
        <w:t xml:space="preserve"> Nachmanides’ own explicit claim that he was relying on an earlier tradition, </w:t>
      </w:r>
      <w:r w:rsidR="00103D0E">
        <w:t>the idea can be said to originate in</w:t>
      </w:r>
      <w:r w:rsidRPr="00063000">
        <w:t xml:space="preserve"> earlier sources</w:t>
      </w:r>
      <w:r w:rsidR="00103D0E">
        <w:t xml:space="preserve">, which may very </w:t>
      </w:r>
      <w:r w:rsidR="003D1878" w:rsidRPr="00063000">
        <w:t>well have</w:t>
      </w:r>
      <w:r w:rsidRPr="00063000">
        <w:t xml:space="preserve"> been used by Rabbi Meyuhas</w:t>
      </w:r>
      <w:r w:rsidR="007F3156">
        <w:t xml:space="preserve"> without Nachmanides intercession</w:t>
      </w:r>
      <w:r w:rsidRPr="00063000">
        <w:t>.</w:t>
      </w:r>
      <w:r w:rsidRPr="00063000">
        <w:rPr>
          <w:vertAlign w:val="superscript"/>
        </w:rPr>
        <w:footnoteReference w:id="89"/>
      </w:r>
      <w:r w:rsidRPr="00063000">
        <w:t xml:space="preserve"> </w:t>
      </w:r>
    </w:p>
    <w:p w14:paraId="6FD32911" w14:textId="15EF4FF6" w:rsidR="00B72CFF" w:rsidRPr="00063000" w:rsidRDefault="00B72CFF" w:rsidP="00063000">
      <w:pPr>
        <w:rPr>
          <w:rtl/>
        </w:rPr>
      </w:pPr>
      <w:r w:rsidRPr="00063000">
        <w:t xml:space="preserve">The second </w:t>
      </w:r>
      <w:r w:rsidR="00E063D6">
        <w:t>notion</w:t>
      </w:r>
      <w:r w:rsidRPr="00063000">
        <w:t xml:space="preserve"> is best known from its use in the writings of Maimonides: “And there is no difference between </w:t>
      </w:r>
      <w:r w:rsidRPr="00440F5E">
        <w:rPr>
          <w:i/>
          <w:iCs/>
        </w:rPr>
        <w:t xml:space="preserve">And the sons of Cham were Kush and </w:t>
      </w:r>
      <w:proofErr w:type="spellStart"/>
      <w:r w:rsidRPr="00440F5E">
        <w:rPr>
          <w:i/>
          <w:iCs/>
        </w:rPr>
        <w:t>Mitsrayim</w:t>
      </w:r>
      <w:proofErr w:type="spellEnd"/>
      <w:r w:rsidRPr="00063000">
        <w:t xml:space="preserve"> (</w:t>
      </w:r>
      <w:r w:rsidR="00706D13" w:rsidRPr="00063000">
        <w:t>Gen</w:t>
      </w:r>
      <w:r w:rsidRPr="00063000">
        <w:t xml:space="preserve"> 10:6), </w:t>
      </w:r>
      <w:r w:rsidRPr="00440F5E">
        <w:rPr>
          <w:i/>
          <w:iCs/>
        </w:rPr>
        <w:t>and his wife</w:t>
      </w:r>
      <w:r w:rsidR="00440F5E" w:rsidRPr="00440F5E">
        <w:rPr>
          <w:i/>
          <w:iCs/>
        </w:rPr>
        <w:t>’</w:t>
      </w:r>
      <w:r w:rsidRPr="00440F5E">
        <w:rPr>
          <w:i/>
          <w:iCs/>
        </w:rPr>
        <w:t xml:space="preserve">s name was </w:t>
      </w:r>
      <w:proofErr w:type="spellStart"/>
      <w:r w:rsidRPr="00440F5E">
        <w:rPr>
          <w:i/>
          <w:iCs/>
        </w:rPr>
        <w:t>Meheitabel</w:t>
      </w:r>
      <w:proofErr w:type="spellEnd"/>
      <w:r w:rsidRPr="00063000">
        <w:t>” (</w:t>
      </w:r>
      <w:r w:rsidR="00706D13" w:rsidRPr="00063000">
        <w:t>Gen</w:t>
      </w:r>
      <w:r w:rsidRPr="00063000">
        <w:t xml:space="preserve"> 36:39)</w:t>
      </w:r>
      <w:r w:rsidR="00E063D6">
        <w:rPr>
          <w:rFonts w:hint="cs"/>
          <w:rtl/>
        </w:rPr>
        <w:t xml:space="preserve"> </w:t>
      </w:r>
      <w:r w:rsidRPr="00063000">
        <w:t>(</w:t>
      </w:r>
      <w:r w:rsidR="00706D13" w:rsidRPr="00063000">
        <w:t>Gen</w:t>
      </w:r>
      <w:r w:rsidRPr="00063000">
        <w:t xml:space="preserve"> 36:12) [on the one hand] and </w:t>
      </w:r>
      <w:r w:rsidRPr="00440F5E">
        <w:rPr>
          <w:i/>
          <w:iCs/>
        </w:rPr>
        <w:t>I am the Lord, your God</w:t>
      </w:r>
      <w:r w:rsidRPr="00063000">
        <w:t xml:space="preserve"> (</w:t>
      </w:r>
      <w:r w:rsidR="00706D13" w:rsidRPr="00063000">
        <w:t>Ex</w:t>
      </w:r>
      <w:r w:rsidRPr="00063000">
        <w:t xml:space="preserve"> 20:2) and </w:t>
      </w:r>
      <w:r w:rsidRPr="00E063D6">
        <w:rPr>
          <w:i/>
          <w:iCs/>
        </w:rPr>
        <w:t>Hear</w:t>
      </w:r>
      <w:r w:rsidR="00E063D6" w:rsidRPr="00E063D6">
        <w:rPr>
          <w:i/>
          <w:iCs/>
        </w:rPr>
        <w:t xml:space="preserve"> O</w:t>
      </w:r>
      <w:r w:rsidRPr="00E063D6">
        <w:rPr>
          <w:i/>
          <w:iCs/>
        </w:rPr>
        <w:t xml:space="preserve"> Israel</w:t>
      </w:r>
      <w:r w:rsidRPr="00063000">
        <w:t xml:space="preserve"> (</w:t>
      </w:r>
      <w:proofErr w:type="spellStart"/>
      <w:r w:rsidR="00E063D6">
        <w:t>Deut</w:t>
      </w:r>
      <w:proofErr w:type="spellEnd"/>
      <w:r w:rsidRPr="00063000">
        <w:t xml:space="preserve"> 6:4) [on the other]; since they are all from the mouth of the Almighty and it is all the Torah of God</w:t>
      </w:r>
      <w:r w:rsidR="002267DE">
        <w:t>—</w:t>
      </w:r>
      <w:r w:rsidRPr="00063000">
        <w:t>complete, pure</w:t>
      </w:r>
      <w:r w:rsidR="00613F10" w:rsidRPr="00063000">
        <w:t>,</w:t>
      </w:r>
      <w:r w:rsidRPr="00063000">
        <w:t xml:space="preserve"> and holy truth.”</w:t>
      </w:r>
      <w:r w:rsidRPr="00063000">
        <w:rPr>
          <w:rStyle w:val="FootnoteReference"/>
          <w:rFonts w:cstheme="majorBidi"/>
          <w:szCs w:val="24"/>
        </w:rPr>
        <w:footnoteReference w:id="90"/>
      </w:r>
      <w:r w:rsidRPr="00063000">
        <w:t xml:space="preserve">Above we noted that Maimonides’ writings began to arrive in Byzantium in the thirteenth century. Rabbi Meyuhas’ commentary </w:t>
      </w:r>
      <w:r w:rsidRPr="00063000">
        <w:lastRenderedPageBreak/>
        <w:t xml:space="preserve">however evinces no trace of Maimonidean influence. Rabbi Meyuhas notably compares the verse “I am the </w:t>
      </w:r>
      <w:r w:rsidR="00415395" w:rsidRPr="00063000">
        <w:t>L</w:t>
      </w:r>
      <w:r w:rsidRPr="00063000">
        <w:t xml:space="preserve">ord your </w:t>
      </w:r>
      <w:r w:rsidR="00415395" w:rsidRPr="00063000">
        <w:t>G</w:t>
      </w:r>
      <w:r w:rsidRPr="00063000">
        <w:t xml:space="preserve">od” (Ex 20:2) to the verse “And </w:t>
      </w:r>
      <w:proofErr w:type="spellStart"/>
      <w:r w:rsidRPr="00063000">
        <w:t>Timnah</w:t>
      </w:r>
      <w:proofErr w:type="spellEnd"/>
      <w:r w:rsidRPr="00063000">
        <w:t xml:space="preserve"> was his concubine” (Gen 36:12). The first verse indeed appears in Maimonides writings, though the second does not. </w:t>
      </w:r>
      <w:r w:rsidR="00152D91" w:rsidRPr="00063000">
        <w:t>Thus,</w:t>
      </w:r>
      <w:r w:rsidRPr="00063000">
        <w:t xml:space="preserve"> </w:t>
      </w:r>
      <w:r w:rsidR="00E063D6">
        <w:t>Rabbi Meyuhas’ articulation of this idea does not represent a direct</w:t>
      </w:r>
      <w:r w:rsidRPr="00063000">
        <w:t xml:space="preserve"> citation of Maimonides and it is, therefore, possible that certain interpretations of Maimonides were conveyed to Rabbi Meyuhas orally, these serving as the basis of </w:t>
      </w:r>
      <w:r w:rsidR="004B31BF" w:rsidRPr="00063000">
        <w:t>these particular</w:t>
      </w:r>
      <w:r w:rsidRPr="00063000">
        <w:t xml:space="preserve"> references.</w:t>
      </w:r>
      <w:r w:rsidR="00DB1244">
        <w:t xml:space="preserve"> </w:t>
      </w:r>
      <w:r w:rsidRPr="00063000">
        <w:t xml:space="preserve">It should be further borne in mind, however, that this </w:t>
      </w:r>
      <w:r w:rsidR="00BA3319">
        <w:t>notion</w:t>
      </w:r>
      <w:r w:rsidRPr="00063000">
        <w:t xml:space="preserve"> was also common among </w:t>
      </w:r>
      <w:r w:rsidRPr="00BA3319">
        <w:t xml:space="preserve">the Spanish </w:t>
      </w:r>
      <w:r w:rsidR="00BA3319" w:rsidRPr="00BA3319">
        <w:t>kabbalists</w:t>
      </w:r>
      <w:r w:rsidRPr="00BA3319">
        <w:t xml:space="preserve"> before </w:t>
      </w:r>
      <w:commentRangeStart w:id="25"/>
      <w:r w:rsidRPr="00BA3319">
        <w:t>Maimonides</w:t>
      </w:r>
      <w:commentRangeEnd w:id="25"/>
      <w:r w:rsidR="00BA3319">
        <w:rPr>
          <w:rStyle w:val="CommentReference"/>
        </w:rPr>
        <w:commentReference w:id="25"/>
      </w:r>
      <w:r w:rsidRPr="00063000">
        <w:t>.</w:t>
      </w:r>
      <w:r w:rsidRPr="00063000">
        <w:rPr>
          <w:rStyle w:val="FootnoteReference"/>
          <w:rFonts w:cstheme="majorBidi"/>
          <w:szCs w:val="24"/>
        </w:rPr>
        <w:footnoteReference w:id="91"/>
      </w:r>
      <w:r w:rsidRPr="00063000">
        <w:t xml:space="preserve"> </w:t>
      </w:r>
      <w:r w:rsidR="00A5098A" w:rsidRPr="00063000">
        <w:t>Indeed</w:t>
      </w:r>
      <w:r w:rsidRPr="00063000">
        <w:t>, the verses cited by Rabbi Meyuhas are more similar to those quoted by the Spanish kabbalists</w:t>
      </w:r>
      <w:r w:rsidR="00D8337E">
        <w:t>, and it</w:t>
      </w:r>
      <w:r w:rsidRPr="00063000">
        <w:t xml:space="preserve"> is</w:t>
      </w:r>
      <w:r w:rsidR="00D8337E">
        <w:t>, therefore,</w:t>
      </w:r>
      <w:r w:rsidRPr="00063000">
        <w:t xml:space="preserve"> quite likely that this </w:t>
      </w:r>
      <w:r w:rsidR="00D8337E">
        <w:t>notion</w:t>
      </w:r>
      <w:r w:rsidRPr="00063000">
        <w:t xml:space="preserve"> too was conveyed to Rabbi Meyuhas through some Spanish channel.</w:t>
      </w:r>
    </w:p>
    <w:p w14:paraId="12DB5E46" w14:textId="1B3F8515" w:rsidR="00B72CFF" w:rsidRPr="00063000" w:rsidRDefault="00B72CFF" w:rsidP="00063000">
      <w:pPr>
        <w:rPr>
          <w:rtl/>
        </w:rPr>
      </w:pPr>
      <w:r w:rsidRPr="00063000">
        <w:lastRenderedPageBreak/>
        <w:t xml:space="preserve">The third </w:t>
      </w:r>
      <w:r w:rsidR="00D8337E">
        <w:t>notion</w:t>
      </w:r>
      <w:r w:rsidRPr="00063000">
        <w:t xml:space="preserve"> has parallels in the Zohar. For this reason, Ta-</w:t>
      </w:r>
      <w:proofErr w:type="spellStart"/>
      <w:r w:rsidRPr="00063000">
        <w:t>Shma</w:t>
      </w:r>
      <w:proofErr w:type="spellEnd"/>
      <w:r w:rsidRPr="00063000">
        <w:t xml:space="preserve"> assumed that Rabbi Meyuhas “studied the Zohar and alluded to it in the introduction to his commentary.” The assumption that Rabbi Meyuhas was familiar with the Zohar is problematic. Ta-</w:t>
      </w:r>
      <w:proofErr w:type="spellStart"/>
      <w:r w:rsidRPr="00063000">
        <w:t>Shma</w:t>
      </w:r>
      <w:proofErr w:type="spellEnd"/>
      <w:r w:rsidRPr="00063000">
        <w:t xml:space="preserve"> himself admitted that there are no further indications in the commentary, that Rabbi Meyuhas used the Zohar. In my opinion, this fact seriously undermines his claim</w:t>
      </w:r>
      <w:r w:rsidR="002267DE">
        <w:t>—</w:t>
      </w:r>
      <w:r w:rsidRPr="00063000">
        <w:t xml:space="preserve">had Rabbi Meyuhas been exposed to the Zohar, we would expect some reference to it </w:t>
      </w:r>
      <w:r w:rsidR="00A5098A" w:rsidRPr="00063000">
        <w:t>within the body of his</w:t>
      </w:r>
      <w:r w:rsidRPr="00063000">
        <w:t xml:space="preserve"> commentary. Here as well, there are earlier sources that mention this idea, and it may be that Rabbi Meyuhas and the Zohar simply shared a common source.</w:t>
      </w:r>
      <w:r w:rsidRPr="00063000">
        <w:rPr>
          <w:vertAlign w:val="superscript"/>
        </w:rPr>
        <w:footnoteReference w:id="92"/>
      </w:r>
    </w:p>
    <w:p w14:paraId="04BC68E4" w14:textId="0EE52304" w:rsidR="00B72CFF" w:rsidRDefault="00B72CFF" w:rsidP="00063000">
      <w:r w:rsidRPr="00063000">
        <w:lastRenderedPageBreak/>
        <w:t xml:space="preserve">The conclusions drawn from the references in Rabbi Meyuhas’ introduction to his commentary on the Pentateuch is that the commentary’s terminus post </w:t>
      </w:r>
      <w:commentRangeStart w:id="26"/>
      <w:proofErr w:type="spellStart"/>
      <w:r w:rsidRPr="00063000">
        <w:t>quem</w:t>
      </w:r>
      <w:proofErr w:type="spellEnd"/>
      <w:r w:rsidRPr="00063000">
        <w:t xml:space="preserve"> is the second half of the thirteenth century</w:t>
      </w:r>
      <w:commentRangeEnd w:id="26"/>
      <w:r w:rsidR="002F013C">
        <w:rPr>
          <w:rStyle w:val="CommentReference"/>
          <w:rtl/>
        </w:rPr>
        <w:commentReference w:id="26"/>
      </w:r>
      <w:r w:rsidRPr="00063000">
        <w:t>. There is, however, no need to postdate its composition to the fourteenth century.</w:t>
      </w:r>
    </w:p>
    <w:p w14:paraId="1A2451EF" w14:textId="77777777" w:rsidR="00C137F1" w:rsidRPr="00063000" w:rsidRDefault="00C137F1" w:rsidP="00063000">
      <w:pPr>
        <w:rPr>
          <w:rtl/>
        </w:rPr>
      </w:pPr>
    </w:p>
    <w:p w14:paraId="4B4B466D" w14:textId="20944FA8" w:rsidR="00C137F1" w:rsidRDefault="00C137F1" w:rsidP="00C137F1">
      <w:r>
        <w:t>&lt;H3&gt;</w:t>
      </w:r>
    </w:p>
    <w:p w14:paraId="4B10B4EA" w14:textId="74C0A70F" w:rsidR="00B72CFF" w:rsidRDefault="00B72CFF" w:rsidP="00C137F1">
      <w:r w:rsidRPr="00063000">
        <w:t>Style and Exegetical Method</w:t>
      </w:r>
    </w:p>
    <w:p w14:paraId="1DD5F226" w14:textId="77777777" w:rsidR="00C137F1" w:rsidRPr="00063000" w:rsidRDefault="00C137F1" w:rsidP="00C137F1">
      <w:pPr>
        <w:rPr>
          <w:rtl/>
        </w:rPr>
      </w:pPr>
    </w:p>
    <w:p w14:paraId="77E28323" w14:textId="29C22BD5" w:rsidR="00C137F1" w:rsidRDefault="00B72CFF" w:rsidP="002F013C">
      <w:r w:rsidRPr="00063000">
        <w:t>The considerations I will discuss presently, are, when taken by themselves, incapable of providing definitive answers as to the chronology of Rabbi Meyuhas’ commentaries. They are brought here only to further reinforce the chronological considerations offered above.</w:t>
      </w:r>
    </w:p>
    <w:p w14:paraId="3DA2F4FB" w14:textId="56222229" w:rsidR="00C137F1" w:rsidRDefault="002F013C" w:rsidP="002F013C">
      <w:r>
        <w:t xml:space="preserve">A. </w:t>
      </w:r>
      <w:r w:rsidR="00B72CFF" w:rsidRPr="00C137F1">
        <w:t>Rabbi Meyuhas’ Style</w:t>
      </w:r>
      <w:r>
        <w:t>:</w:t>
      </w:r>
      <w:r w:rsidR="00B72CFF" w:rsidRPr="00C137F1">
        <w:t xml:space="preserve"> Short and Concise</w:t>
      </w:r>
      <w:r w:rsidR="00BD0D07" w:rsidRPr="00C137F1">
        <w:t>.</w:t>
      </w:r>
      <w:r w:rsidR="00B72CFF" w:rsidRPr="00C137F1">
        <w:t xml:space="preserve"> </w:t>
      </w:r>
      <w:r w:rsidR="00B72CFF" w:rsidRPr="00063000">
        <w:t xml:space="preserve">This is most prominent in his interpretations of the simple sense of Scripture, but also in his interpretations that revolve around the statements of the classical sages and their halakhic rulings. There are no needless repetitions, and the writing is </w:t>
      </w:r>
      <w:r w:rsidR="00BD0D07" w:rsidRPr="00063000">
        <w:t>terse</w:t>
      </w:r>
      <w:r w:rsidR="00B72CFF" w:rsidRPr="00063000">
        <w:t xml:space="preserve"> and laconic. This is very much different from the more verbose Jewish-Byzantine style that prevailed at the end of </w:t>
      </w:r>
      <w:r w:rsidR="00B72CFF" w:rsidRPr="00063000">
        <w:lastRenderedPageBreak/>
        <w:t>the Middle Ages, and which has been characterized as being comprised of</w:t>
      </w:r>
      <w:r>
        <w:rPr>
          <w:rFonts w:hint="cs"/>
          <w:rtl/>
        </w:rPr>
        <w:t xml:space="preserve"> </w:t>
      </w:r>
      <w:r w:rsidR="00F94DD4" w:rsidRPr="00063000">
        <w:t>“</w:t>
      </w:r>
      <w:r>
        <w:t>w</w:t>
      </w:r>
      <w:r w:rsidR="00F94DD4" w:rsidRPr="00063000">
        <w:t>ordy and verbose explanations […] often predisposed to tiring elaboration and reiteration</w:t>
      </w:r>
      <w:commentRangeStart w:id="27"/>
      <w:r w:rsidR="00F94DD4" w:rsidRPr="00063000">
        <w:t>.”</w:t>
      </w:r>
      <w:r w:rsidR="00B72CFF" w:rsidRPr="00063000">
        <w:rPr>
          <w:rStyle w:val="FootnoteReference"/>
          <w:rFonts w:cstheme="majorBidi"/>
          <w:szCs w:val="24"/>
        </w:rPr>
        <w:footnoteReference w:id="93"/>
      </w:r>
      <w:commentRangeEnd w:id="27"/>
      <w:r w:rsidR="00F94DD4" w:rsidRPr="00063000">
        <w:rPr>
          <w:rStyle w:val="CommentReference"/>
          <w:sz w:val="24"/>
          <w:szCs w:val="24"/>
        </w:rPr>
        <w:commentReference w:id="27"/>
      </w:r>
    </w:p>
    <w:p w14:paraId="0CD882AB" w14:textId="3113CCA1" w:rsidR="00B72CFF" w:rsidRPr="00063000" w:rsidRDefault="002F013C" w:rsidP="00063000">
      <w:pPr>
        <w:rPr>
          <w:rtl/>
        </w:rPr>
      </w:pPr>
      <w:r w:rsidRPr="002F013C">
        <w:t xml:space="preserve">B. </w:t>
      </w:r>
      <w:r w:rsidR="00B72CFF" w:rsidRPr="002F013C">
        <w:t>The first exegetes in Western Europe</w:t>
      </w:r>
      <w:r w:rsidR="0089464C" w:rsidRPr="002F013C">
        <w:t>,</w:t>
      </w:r>
      <w:r w:rsidR="00F94DD4" w:rsidRPr="002F013C">
        <w:t xml:space="preserve"> </w:t>
      </w:r>
      <w:r w:rsidR="00B72CFF" w:rsidRPr="002F013C">
        <w:t>Rashi, Rabbi Joseph</w:t>
      </w:r>
      <w:r w:rsidR="00B72CFF" w:rsidRPr="00063000">
        <w:t xml:space="preserve"> Kimhi (</w:t>
      </w:r>
      <w:r w:rsidR="007A6493" w:rsidRPr="00063000">
        <w:t>Rik</w:t>
      </w:r>
      <w:r w:rsidR="00B72CFF" w:rsidRPr="00063000">
        <w:t xml:space="preserve">), and </w:t>
      </w:r>
      <w:proofErr w:type="spellStart"/>
      <w:r w:rsidR="00B72CFF" w:rsidRPr="00063000">
        <w:t>Rashbam</w:t>
      </w:r>
      <w:proofErr w:type="spellEnd"/>
      <w:r w:rsidR="00B72CFF" w:rsidRPr="00063000">
        <w:t xml:space="preserve"> wrote their commentaries </w:t>
      </w:r>
      <w:r>
        <w:t xml:space="preserve">verse </w:t>
      </w:r>
      <w:r w:rsidR="00B72CFF" w:rsidRPr="00063000">
        <w:t>by verse, using a short lemma (</w:t>
      </w:r>
      <w:r>
        <w:rPr>
          <w:rFonts w:hint="cs"/>
          <w:rtl/>
        </w:rPr>
        <w:t>דיבור המתחיל</w:t>
      </w:r>
      <w:r w:rsidR="00B72CFF" w:rsidRPr="00063000">
        <w:t>)</w:t>
      </w:r>
      <w:r>
        <w:t xml:space="preserve"> to introduce each interpretation</w:t>
      </w:r>
      <w:r w:rsidR="00B72CFF" w:rsidRPr="00063000">
        <w:t xml:space="preserve">. </w:t>
      </w:r>
      <w:r w:rsidR="004F21D3">
        <w:rPr>
          <w:rFonts w:hint="cs"/>
        </w:rPr>
        <w:t>S</w:t>
      </w:r>
      <w:r w:rsidR="004F21D3">
        <w:t>eldomly</w:t>
      </w:r>
      <w:r w:rsidR="00B72CFF" w:rsidRPr="00063000">
        <w:t xml:space="preserve"> </w:t>
      </w:r>
      <w:r w:rsidR="004F21D3">
        <w:t>delving</w:t>
      </w:r>
      <w:r w:rsidR="00B72CFF" w:rsidRPr="00063000">
        <w:t xml:space="preserve"> into extensive or comprehensive discussions of a </w:t>
      </w:r>
      <w:r w:rsidR="009E259B" w:rsidRPr="00063000">
        <w:t>single</w:t>
      </w:r>
      <w:r w:rsidR="00B72CFF" w:rsidRPr="00063000">
        <w:t xml:space="preserve"> topic</w:t>
      </w:r>
      <w:r w:rsidR="004F21D3">
        <w:t>,</w:t>
      </w:r>
      <w:r w:rsidR="00B72CFF" w:rsidRPr="00063000">
        <w:t xml:space="preserve"> </w:t>
      </w:r>
      <w:r w:rsidR="004F21D3">
        <w:t>t</w:t>
      </w:r>
      <w:r w:rsidR="00B72CFF" w:rsidRPr="00063000">
        <w:t xml:space="preserve">heir primary objective was to bridge the gap between the ancient biblical text and </w:t>
      </w:r>
      <w:r w:rsidR="00C319E0">
        <w:t xml:space="preserve">its </w:t>
      </w:r>
      <w:r w:rsidR="00B72CFF" w:rsidRPr="00063000">
        <w:t>later readers who had trouble understanding it due to the distance in time and place.</w:t>
      </w:r>
      <w:r w:rsidR="00DB1244">
        <w:t xml:space="preserve"> </w:t>
      </w:r>
      <w:r w:rsidR="00B72CFF" w:rsidRPr="00063000">
        <w:t xml:space="preserve">After </w:t>
      </w:r>
      <w:r w:rsidR="00711A9F" w:rsidRPr="00063000">
        <w:t>these earlier commentators</w:t>
      </w:r>
      <w:r w:rsidR="00B72CFF" w:rsidRPr="00063000">
        <w:t xml:space="preserve"> had laid </w:t>
      </w:r>
      <w:r w:rsidR="00711A9F" w:rsidRPr="00063000">
        <w:t>the</w:t>
      </w:r>
      <w:r w:rsidR="00B72CFF" w:rsidRPr="00063000">
        <w:t xml:space="preserve"> preliminary</w:t>
      </w:r>
      <w:r w:rsidR="00711A9F" w:rsidRPr="00063000">
        <w:t>,</w:t>
      </w:r>
      <w:r w:rsidR="00B72CFF" w:rsidRPr="00063000">
        <w:t xml:space="preserve"> exegetical groundwork, their successors could free themselves from the necessity of interpreting each verse in </w:t>
      </w:r>
      <w:r w:rsidR="009E3276" w:rsidRPr="00063000">
        <w:t>turn and</w:t>
      </w:r>
      <w:r w:rsidR="00B72CFF" w:rsidRPr="00063000">
        <w:t xml:space="preserve"> could choose specific verses and subjects upon which to expand their discussion. This trend can already be detected in the commentaries of Ibn Ezra, </w:t>
      </w:r>
      <w:proofErr w:type="spellStart"/>
      <w:r w:rsidR="00B72CFF" w:rsidRPr="00063000">
        <w:t>Ri</w:t>
      </w:r>
      <w:r w:rsidR="001356F7" w:rsidRPr="00063000">
        <w:t>v</w:t>
      </w:r>
      <w:r w:rsidR="00B72CFF" w:rsidRPr="00063000">
        <w:t>ash</w:t>
      </w:r>
      <w:proofErr w:type="spellEnd"/>
      <w:r w:rsidR="00B72CFF" w:rsidRPr="00063000">
        <w:t xml:space="preserve">, and </w:t>
      </w:r>
      <w:proofErr w:type="spellStart"/>
      <w:r w:rsidR="00B72CFF" w:rsidRPr="00063000">
        <w:t>Rada</w:t>
      </w:r>
      <w:r w:rsidR="001356F7" w:rsidRPr="00063000">
        <w:t>k</w:t>
      </w:r>
      <w:proofErr w:type="spellEnd"/>
      <w:r w:rsidR="00B72CFF" w:rsidRPr="00063000">
        <w:t xml:space="preserve"> who often expanded their discussions beyond the narrow confines of the biblical text. </w:t>
      </w:r>
      <w:r w:rsidR="004A09A6" w:rsidRPr="00063000">
        <w:t>It</w:t>
      </w:r>
      <w:r w:rsidR="00B72CFF" w:rsidRPr="00063000">
        <w:t xml:space="preserve"> is most prominent in the commentaries of the thirteenth century exegetes such as Nachmanides</w:t>
      </w:r>
      <w:r w:rsidR="00586964">
        <w:rPr>
          <w:rFonts w:hint="cs"/>
          <w:rtl/>
        </w:rPr>
        <w:t xml:space="preserve"> </w:t>
      </w:r>
      <w:r w:rsidR="00586964">
        <w:t xml:space="preserve">and </w:t>
      </w:r>
      <w:r w:rsidR="00B72CFF" w:rsidRPr="00063000">
        <w:t xml:space="preserve">Rabbi </w:t>
      </w:r>
      <w:proofErr w:type="spellStart"/>
      <w:r w:rsidR="00B72CFF" w:rsidRPr="00063000">
        <w:t>Bahya</w:t>
      </w:r>
      <w:proofErr w:type="spellEnd"/>
      <w:r w:rsidR="00B72CFF" w:rsidRPr="00063000">
        <w:t xml:space="preserve"> ben Asher in Spain, and the commentaries of the </w:t>
      </w:r>
      <w:proofErr w:type="spellStart"/>
      <w:r w:rsidR="00B72CFF" w:rsidRPr="00063000">
        <w:t>Tosafists</w:t>
      </w:r>
      <w:proofErr w:type="spellEnd"/>
      <w:r w:rsidR="00B72CFF" w:rsidRPr="00063000">
        <w:t xml:space="preserve"> in France and Germany such as</w:t>
      </w:r>
      <w:r w:rsidR="00CC0137">
        <w:t xml:space="preserve"> those of</w:t>
      </w:r>
      <w:r w:rsidR="00B72CFF" w:rsidRPr="00063000">
        <w:t xml:space="preserve"> </w:t>
      </w:r>
      <w:proofErr w:type="spellStart"/>
      <w:r w:rsidR="00B72CFF" w:rsidRPr="00063000">
        <w:t>Hizquni</w:t>
      </w:r>
      <w:proofErr w:type="spellEnd"/>
      <w:r w:rsidR="00B72CFF" w:rsidRPr="00063000">
        <w:t xml:space="preserve">, Rabbi Haim </w:t>
      </w:r>
      <w:proofErr w:type="spellStart"/>
      <w:r w:rsidR="00B72CFF" w:rsidRPr="00063000">
        <w:t>Paltiel</w:t>
      </w:r>
      <w:proofErr w:type="spellEnd"/>
      <w:r w:rsidR="00B72CFF" w:rsidRPr="00063000">
        <w:t>, and Ri</w:t>
      </w:r>
      <w:r w:rsidR="00724B9B" w:rsidRPr="00063000">
        <w:t>v</w:t>
      </w:r>
      <w:r w:rsidR="00B72CFF" w:rsidRPr="00063000">
        <w:t>a (</w:t>
      </w:r>
      <w:r w:rsidR="00586964">
        <w:rPr>
          <w:rFonts w:hint="cs"/>
          <w:rtl/>
        </w:rPr>
        <w:t>מנחת יהודה</w:t>
      </w:r>
      <w:r w:rsidR="00B72CFF" w:rsidRPr="00063000">
        <w:t xml:space="preserve">) and their </w:t>
      </w:r>
      <w:r w:rsidR="00724B9B" w:rsidRPr="00063000">
        <w:t>associates.</w:t>
      </w:r>
    </w:p>
    <w:p w14:paraId="69198354" w14:textId="028ECF3D" w:rsidR="00B72CFF" w:rsidRPr="00063000" w:rsidRDefault="00562D20" w:rsidP="00063000">
      <w:pPr>
        <w:rPr>
          <w:rtl/>
        </w:rPr>
      </w:pPr>
      <w:r>
        <w:t>It is abundantly clear</w:t>
      </w:r>
      <w:r w:rsidR="00B72CFF" w:rsidRPr="00063000">
        <w:t xml:space="preserve">, that </w:t>
      </w:r>
      <w:r>
        <w:t>Rabbi Meyuhas’ commentary</w:t>
      </w:r>
      <w:r w:rsidR="00B72CFF" w:rsidRPr="00063000">
        <w:t xml:space="preserve"> is </w:t>
      </w:r>
      <w:r>
        <w:t xml:space="preserve">stylistically </w:t>
      </w:r>
      <w:r w:rsidR="00B72CFF" w:rsidRPr="00063000">
        <w:t xml:space="preserve">most akin to the </w:t>
      </w:r>
      <w:r>
        <w:t>works of the earlier exegetes</w:t>
      </w:r>
      <w:r w:rsidR="000D52EC" w:rsidRPr="00063000">
        <w:t>: h</w:t>
      </w:r>
      <w:r w:rsidR="00B72CFF" w:rsidRPr="00063000">
        <w:t xml:space="preserve">e interprets individual verses one after another, employing the </w:t>
      </w:r>
      <w:r w:rsidR="000D52EC" w:rsidRPr="00063000">
        <w:t>convention</w:t>
      </w:r>
      <w:r w:rsidR="00B72CFF" w:rsidRPr="00063000">
        <w:t xml:space="preserve"> of the </w:t>
      </w:r>
      <w:r>
        <w:rPr>
          <w:rFonts w:hint="cs"/>
          <w:rtl/>
        </w:rPr>
        <w:t>דיבור המתחיל</w:t>
      </w:r>
      <w:r w:rsidR="00B72CFF" w:rsidRPr="00063000">
        <w:t>. It appears that his exegetical goal</w:t>
      </w:r>
      <w:r w:rsidR="002267DE">
        <w:t>—</w:t>
      </w:r>
      <w:r w:rsidR="00B72CFF" w:rsidRPr="00063000">
        <w:lastRenderedPageBreak/>
        <w:t xml:space="preserve">primarily in his </w:t>
      </w:r>
      <w:r w:rsidR="00B0175C">
        <w:t xml:space="preserve">simple-sense </w:t>
      </w:r>
      <w:r w:rsidR="000D52EC" w:rsidRPr="00063000">
        <w:t>interpretations</w:t>
      </w:r>
      <w:r w:rsidR="002267DE">
        <w:t>—</w:t>
      </w:r>
      <w:r w:rsidR="00B72CFF" w:rsidRPr="00063000">
        <w:t xml:space="preserve">was to bridge the gap between the biblical text and </w:t>
      </w:r>
      <w:r w:rsidR="00EF64C3" w:rsidRPr="00063000">
        <w:t>its readers in his own day and age</w:t>
      </w:r>
      <w:r w:rsidR="00B72CFF" w:rsidRPr="00063000">
        <w:t xml:space="preserve">. He was not yet ready to allow himself to delve into more comprehensive or broad discussions. </w:t>
      </w:r>
    </w:p>
    <w:p w14:paraId="12D029F9" w14:textId="4E9A8863" w:rsidR="00B72CFF" w:rsidRPr="00063000" w:rsidRDefault="00AB3999" w:rsidP="00063000">
      <w:pPr>
        <w:rPr>
          <w:rtl/>
        </w:rPr>
      </w:pPr>
      <w:r w:rsidRPr="00562D20">
        <w:t>C</w:t>
      </w:r>
      <w:r w:rsidR="00B72CFF" w:rsidRPr="00562D20">
        <w:t>. Most medieval exegetes adopted the principle of Scripture’s</w:t>
      </w:r>
      <w:r w:rsidR="00B72CFF" w:rsidRPr="00063000">
        <w:t xml:space="preserve"> polysemy when it came to describing the relationship between the</w:t>
      </w:r>
      <w:r w:rsidR="00562D20">
        <w:t xml:space="preserve"> simple </w:t>
      </w:r>
      <w:r w:rsidR="00632213" w:rsidRPr="00063000">
        <w:t>sense</w:t>
      </w:r>
      <w:r w:rsidR="00B72CFF" w:rsidRPr="00063000">
        <w:t xml:space="preserve"> and </w:t>
      </w:r>
      <w:r w:rsidR="00562D20">
        <w:t>homiletical-midrashic</w:t>
      </w:r>
      <w:r w:rsidR="00B72CFF" w:rsidRPr="00063000">
        <w:t xml:space="preserve"> sense of Scripture.</w:t>
      </w:r>
      <w:r w:rsidR="00B72CFF" w:rsidRPr="00063000">
        <w:rPr>
          <w:rStyle w:val="FootnoteReference"/>
          <w:rFonts w:cstheme="majorBidi"/>
          <w:szCs w:val="24"/>
        </w:rPr>
        <w:footnoteReference w:id="94"/>
      </w:r>
      <w:r w:rsidR="000A423A" w:rsidRPr="00063000">
        <w:t xml:space="preserve"> </w:t>
      </w:r>
      <w:r w:rsidR="00B72CFF" w:rsidRPr="00063000">
        <w:t xml:space="preserve">However, when it came to </w:t>
      </w:r>
      <w:r w:rsidR="00316453">
        <w:t xml:space="preserve">discussions </w:t>
      </w:r>
      <w:r w:rsidR="00911EE2">
        <w:t>pertaining only to the</w:t>
      </w:r>
      <w:r w:rsidR="00B72CFF" w:rsidRPr="00063000">
        <w:t xml:space="preserve"> </w:t>
      </w:r>
      <w:r w:rsidR="00316453">
        <w:t>simple sense</w:t>
      </w:r>
      <w:r w:rsidR="00B72CFF" w:rsidRPr="00063000">
        <w:t xml:space="preserve"> of Scripture, earlier exegetes (such as Rashi, </w:t>
      </w:r>
      <w:proofErr w:type="spellStart"/>
      <w:r w:rsidR="00B72CFF" w:rsidRPr="00063000">
        <w:t>Rashbam</w:t>
      </w:r>
      <w:proofErr w:type="spellEnd"/>
      <w:r w:rsidR="00B72CFF" w:rsidRPr="00063000">
        <w:t xml:space="preserve">, and Ibn Ezra) consistently offered a single interpretation and did not entertain the possibility of multiple valid interpretations of Scripture’s simple </w:t>
      </w:r>
      <w:r w:rsidR="006F06DC" w:rsidRPr="00063000">
        <w:t>meaning</w:t>
      </w:r>
      <w:r w:rsidR="00B72CFF" w:rsidRPr="00063000">
        <w:t xml:space="preserve">. The publication of </w:t>
      </w:r>
      <w:proofErr w:type="spellStart"/>
      <w:r w:rsidR="00B72CFF" w:rsidRPr="00063000">
        <w:t>Rivash’s</w:t>
      </w:r>
      <w:proofErr w:type="spellEnd"/>
      <w:r w:rsidR="00B72CFF" w:rsidRPr="00063000">
        <w:t xml:space="preserve"> commentary on the Pentateuch at the beginning of the thirteenth century sparked a revolution among biblical exegetes who began to apply the principle of polysemy to the simple</w:t>
      </w:r>
      <w:r w:rsidR="001549E0">
        <w:t xml:space="preserve"> sense</w:t>
      </w:r>
      <w:r w:rsidR="00B72CFF" w:rsidRPr="00063000">
        <w:t xml:space="preserve"> of Scripture </w:t>
      </w:r>
      <w:r w:rsidR="00681301" w:rsidRPr="00063000">
        <w:t xml:space="preserve">as well, offering </w:t>
      </w:r>
      <w:r w:rsidR="00B72CFF" w:rsidRPr="00063000">
        <w:t xml:space="preserve">more than one </w:t>
      </w:r>
      <w:r w:rsidR="00681301" w:rsidRPr="00063000">
        <w:t xml:space="preserve">possible </w:t>
      </w:r>
      <w:r w:rsidR="00B72CFF" w:rsidRPr="00063000">
        <w:t>interpretation</w:t>
      </w:r>
      <w:r w:rsidR="001549E0">
        <w:t xml:space="preserve"> for any given verse.</w:t>
      </w:r>
      <w:r w:rsidR="00B72CFF" w:rsidRPr="00063000">
        <w:rPr>
          <w:rStyle w:val="FootnoteReference"/>
          <w:rFonts w:cstheme="majorBidi"/>
          <w:szCs w:val="24"/>
        </w:rPr>
        <w:footnoteReference w:id="95"/>
      </w:r>
      <w:r w:rsidR="00681301" w:rsidRPr="00063000">
        <w:t xml:space="preserve"> </w:t>
      </w:r>
      <w:r w:rsidR="00B72CFF" w:rsidRPr="00063000">
        <w:t xml:space="preserve">Rabbi Meyuhas adopts the principle of polysemy insofar as the relationship between </w:t>
      </w:r>
      <w:r w:rsidR="001549E0">
        <w:t>the simple sense and homiletical sense</w:t>
      </w:r>
      <w:r w:rsidR="00B72CFF" w:rsidRPr="00063000">
        <w:t xml:space="preserve"> is concerned. However, on the level of the simple </w:t>
      </w:r>
      <w:r w:rsidR="001549E0">
        <w:t>sense</w:t>
      </w:r>
      <w:r w:rsidR="00B72CFF" w:rsidRPr="00063000">
        <w:t xml:space="preserve"> of Scripture, he consistently offers only one interpretation.</w:t>
      </w:r>
      <w:r w:rsidR="00DB1244">
        <w:t xml:space="preserve"> </w:t>
      </w:r>
      <w:r w:rsidR="00B72CFF" w:rsidRPr="00063000">
        <w:t xml:space="preserve">In this respect as well, </w:t>
      </w:r>
      <w:proofErr w:type="spellStart"/>
      <w:r w:rsidR="00B72CFF" w:rsidRPr="00063000">
        <w:t>Rivash’s</w:t>
      </w:r>
      <w:proofErr w:type="spellEnd"/>
      <w:r w:rsidR="00B72CFF" w:rsidRPr="00063000">
        <w:t xml:space="preserve"> commentary is more similar to those of the earlier exegetes than the later ones. </w:t>
      </w:r>
    </w:p>
    <w:p w14:paraId="56E703FB" w14:textId="0220DAED" w:rsidR="00B72CFF" w:rsidRPr="00063000" w:rsidRDefault="00B72CFF" w:rsidP="00063000">
      <w:pPr>
        <w:rPr>
          <w:rtl/>
        </w:rPr>
      </w:pPr>
      <w:r w:rsidRPr="001549E0">
        <w:t xml:space="preserve">D. Scholars have </w:t>
      </w:r>
      <w:r w:rsidR="001549E0">
        <w:t>drawn attention</w:t>
      </w:r>
      <w:r w:rsidRPr="001549E0">
        <w:t xml:space="preserve"> to the fact that the fourteenth century represented a nadir for </w:t>
      </w:r>
      <w:proofErr w:type="spellStart"/>
      <w:r w:rsidRPr="001549E0">
        <w:t>talmudic</w:t>
      </w:r>
      <w:proofErr w:type="spellEnd"/>
      <w:r w:rsidRPr="001549E0">
        <w:t xml:space="preserve"> learning in Byzantium. We have no Byzantine exegesis on the halakhic</w:t>
      </w:r>
      <w:r w:rsidRPr="00063000">
        <w:t xml:space="preserve"> segments of the Talmud from this century; most preferred to study </w:t>
      </w:r>
      <w:r w:rsidR="007F3F44" w:rsidRPr="00063000">
        <w:t xml:space="preserve">Rabbi </w:t>
      </w:r>
      <w:proofErr w:type="spellStart"/>
      <w:r w:rsidR="007F3F44" w:rsidRPr="00063000">
        <w:t>Alfasi’s</w:t>
      </w:r>
      <w:proofErr w:type="spellEnd"/>
      <w:r w:rsidR="007F3F44" w:rsidRPr="00063000">
        <w:t xml:space="preserve"> </w:t>
      </w:r>
      <w:r w:rsidR="001549E0" w:rsidRPr="001549E0">
        <w:rPr>
          <w:rFonts w:hint="cs"/>
          <w:rtl/>
        </w:rPr>
        <w:t>הלכות גדולות</w:t>
      </w:r>
      <w:r w:rsidRPr="00063000">
        <w:t xml:space="preserve">, Maimonides’ </w:t>
      </w:r>
      <w:proofErr w:type="spellStart"/>
      <w:r w:rsidRPr="00063000">
        <w:rPr>
          <w:i/>
          <w:iCs/>
        </w:rPr>
        <w:t>Mishneh</w:t>
      </w:r>
      <w:proofErr w:type="spellEnd"/>
      <w:r w:rsidRPr="00063000">
        <w:rPr>
          <w:i/>
          <w:iCs/>
        </w:rPr>
        <w:t xml:space="preserve"> Torah</w:t>
      </w:r>
      <w:r w:rsidRPr="00063000">
        <w:t xml:space="preserve">, </w:t>
      </w:r>
      <w:commentRangeStart w:id="28"/>
      <w:r w:rsidR="001549E0">
        <w:t>mitzvot compendiums</w:t>
      </w:r>
      <w:commentRangeEnd w:id="28"/>
      <w:r w:rsidR="001549E0">
        <w:rPr>
          <w:rStyle w:val="CommentReference"/>
        </w:rPr>
        <w:commentReference w:id="28"/>
      </w:r>
      <w:r w:rsidR="001549E0">
        <w:t xml:space="preserve">, </w:t>
      </w:r>
      <w:r w:rsidRPr="00063000">
        <w:t xml:space="preserve">and </w:t>
      </w:r>
      <w:commentRangeStart w:id="29"/>
      <w:r w:rsidR="001549E0">
        <w:rPr>
          <w:rFonts w:hint="cs"/>
          <w:rtl/>
        </w:rPr>
        <w:lastRenderedPageBreak/>
        <w:t xml:space="preserve">שאילתות </w:t>
      </w:r>
      <w:proofErr w:type="spellStart"/>
      <w:r w:rsidR="001549E0">
        <w:rPr>
          <w:rFonts w:hint="cs"/>
          <w:rtl/>
        </w:rPr>
        <w:t>דרב</w:t>
      </w:r>
      <w:proofErr w:type="spellEnd"/>
      <w:r w:rsidR="001549E0">
        <w:rPr>
          <w:rFonts w:hint="cs"/>
          <w:rtl/>
        </w:rPr>
        <w:t xml:space="preserve"> אחא</w:t>
      </w:r>
      <w:commentRangeEnd w:id="29"/>
      <w:r w:rsidR="001549E0">
        <w:rPr>
          <w:rStyle w:val="CommentReference"/>
        </w:rPr>
        <w:commentReference w:id="29"/>
      </w:r>
      <w:r w:rsidRPr="00063000">
        <w:t>.</w:t>
      </w:r>
      <w:r w:rsidRPr="00063000">
        <w:rPr>
          <w:rStyle w:val="FootnoteReference"/>
          <w:rFonts w:cstheme="majorBidi"/>
          <w:szCs w:val="24"/>
        </w:rPr>
        <w:footnoteReference w:id="96"/>
      </w:r>
      <w:r w:rsidR="007F3F44" w:rsidRPr="00063000">
        <w:t xml:space="preserve"> </w:t>
      </w:r>
      <w:r w:rsidRPr="00063000">
        <w:t xml:space="preserve">For example, </w:t>
      </w:r>
      <w:r w:rsidRPr="001549E0">
        <w:t xml:space="preserve">Rabbi </w:t>
      </w:r>
      <w:proofErr w:type="spellStart"/>
      <w:r w:rsidRPr="001549E0">
        <w:t>Shemary</w:t>
      </w:r>
      <w:r w:rsidR="001549E0" w:rsidRPr="001549E0">
        <w:t>a</w:t>
      </w:r>
      <w:proofErr w:type="spellEnd"/>
      <w:r w:rsidRPr="001549E0">
        <w:t xml:space="preserve"> ben Elijah </w:t>
      </w:r>
      <w:r w:rsidR="001549E0" w:rsidRPr="001549E0">
        <w:rPr>
          <w:rFonts w:hint="cs"/>
        </w:rPr>
        <w:t>H</w:t>
      </w:r>
      <w:r w:rsidR="001549E0" w:rsidRPr="001549E0">
        <w:t>a-</w:t>
      </w:r>
      <w:proofErr w:type="spellStart"/>
      <w:r w:rsidR="001549E0" w:rsidRPr="001549E0">
        <w:t>Ikrity</w:t>
      </w:r>
      <w:proofErr w:type="spellEnd"/>
      <w:r w:rsidRPr="00063000">
        <w:t xml:space="preserve"> wrote </w:t>
      </w:r>
      <w:r w:rsidR="00671F40" w:rsidRPr="00063000">
        <w:t xml:space="preserve">only </w:t>
      </w:r>
      <w:r w:rsidRPr="00063000">
        <w:t xml:space="preserve">commentaries on the </w:t>
      </w:r>
      <w:proofErr w:type="spellStart"/>
      <w:r w:rsidRPr="00063000">
        <w:t>aggadic</w:t>
      </w:r>
      <w:proofErr w:type="spellEnd"/>
      <w:r w:rsidRPr="00063000">
        <w:t xml:space="preserve"> sections of the Talmud. Likewise, Rabbi Johanan </w:t>
      </w:r>
      <w:proofErr w:type="spellStart"/>
      <w:r w:rsidRPr="00063000">
        <w:rPr>
          <w:highlight w:val="yellow"/>
          <w:rtl/>
        </w:rPr>
        <w:t>מאוכרידה</w:t>
      </w:r>
      <w:proofErr w:type="spellEnd"/>
      <w:r w:rsidRPr="00063000">
        <w:t xml:space="preserve"> wrote in the introduction to his commentary on </w:t>
      </w:r>
      <w:r w:rsidR="001549E0">
        <w:rPr>
          <w:rFonts w:hint="cs"/>
          <w:rtl/>
        </w:rPr>
        <w:t>שאילתות</w:t>
      </w:r>
      <w:r w:rsidRPr="00063000">
        <w:t xml:space="preserve"> “due to the </w:t>
      </w:r>
      <w:r w:rsidR="00294627" w:rsidRPr="00063000">
        <w:t xml:space="preserve">toil of these days and the oppression of these times, the men of our generation are not capable of studying the books of the Talmud and the words of the earlier authorities, and they yearn to study the </w:t>
      </w:r>
      <w:r w:rsidR="00EB6C63">
        <w:rPr>
          <w:rFonts w:hint="cs"/>
          <w:rtl/>
        </w:rPr>
        <w:t>שאילתות</w:t>
      </w:r>
      <w:r w:rsidR="00294627" w:rsidRPr="00063000">
        <w:t xml:space="preserve"> of Rabbi </w:t>
      </w:r>
      <w:proofErr w:type="spellStart"/>
      <w:r w:rsidR="00294627" w:rsidRPr="00063000">
        <w:t>Ahai</w:t>
      </w:r>
      <w:proofErr w:type="spellEnd"/>
      <w:r w:rsidR="00294627" w:rsidRPr="00063000">
        <w:t xml:space="preserve"> Gaon of </w:t>
      </w:r>
      <w:proofErr w:type="spellStart"/>
      <w:r w:rsidR="00294627" w:rsidRPr="00063000">
        <w:t>Shabha</w:t>
      </w:r>
      <w:proofErr w:type="spellEnd"/>
      <w:r w:rsidR="00294627" w:rsidRPr="00063000">
        <w:t xml:space="preserve"> and thus to fulfill their obligation [of Torah study]</w:t>
      </w:r>
      <w:r w:rsidRPr="00063000">
        <w:t>.”</w:t>
      </w:r>
      <w:r w:rsidRPr="00063000">
        <w:rPr>
          <w:rStyle w:val="FootnoteReference"/>
          <w:rFonts w:cstheme="majorBidi"/>
          <w:szCs w:val="24"/>
        </w:rPr>
        <w:footnoteReference w:id="97"/>
      </w:r>
      <w:r w:rsidR="00294627" w:rsidRPr="00063000">
        <w:t xml:space="preserve"> </w:t>
      </w:r>
      <w:r w:rsidRPr="00063000">
        <w:t xml:space="preserve">By contrast, Rabbi Meyuhas dedicates no small amount of attention to the classical literature of the Sages, and his commentary is filled with excerpts and citations of materials from the Mishnah and Talmud. </w:t>
      </w:r>
    </w:p>
    <w:p w14:paraId="01B6360F" w14:textId="2A9E9303" w:rsidR="00B72CFF" w:rsidRDefault="00B72CFF" w:rsidP="00063000">
      <w:r w:rsidRPr="00063000">
        <w:t>These four considerations further reinforce our assertion that Rabbi Meyuhas wrote his commentary prior to the fourteenth century.</w:t>
      </w:r>
    </w:p>
    <w:p w14:paraId="207A97AF" w14:textId="1A19D3E4" w:rsidR="0089464C" w:rsidRDefault="0089464C" w:rsidP="00063000"/>
    <w:p w14:paraId="6BE297F5" w14:textId="59604A04" w:rsidR="0089464C" w:rsidRPr="00063000" w:rsidRDefault="0089464C" w:rsidP="00063000">
      <w:pPr>
        <w:rPr>
          <w:rtl/>
        </w:rPr>
      </w:pPr>
      <w:r>
        <w:t>&lt;H2&gt;</w:t>
      </w:r>
    </w:p>
    <w:p w14:paraId="4644999E" w14:textId="5E047403" w:rsidR="00B72CFF" w:rsidRDefault="00B72CFF" w:rsidP="00063000">
      <w:pPr>
        <w:rPr>
          <w:rStyle w:val="Heading1Char"/>
        </w:rPr>
      </w:pPr>
      <w:r w:rsidRPr="00063000">
        <w:rPr>
          <w:rStyle w:val="Heading1Char"/>
        </w:rPr>
        <w:t>Summary</w:t>
      </w:r>
    </w:p>
    <w:p w14:paraId="6BE37AE4" w14:textId="77777777" w:rsidR="0089464C" w:rsidRPr="00063000" w:rsidRDefault="0089464C" w:rsidP="00063000">
      <w:pPr>
        <w:rPr>
          <w:rtl/>
        </w:rPr>
      </w:pPr>
    </w:p>
    <w:p w14:paraId="50C616C5" w14:textId="2D69DF5D" w:rsidR="00B72CFF" w:rsidRPr="00063000" w:rsidRDefault="00B72CFF" w:rsidP="00063000">
      <w:pPr>
        <w:rPr>
          <w:rtl/>
        </w:rPr>
      </w:pPr>
      <w:r w:rsidRPr="00063000">
        <w:t>While Rabbi Meyuhas hailed from the Byzantine Empire, his knowledge of Arabic, seems to indicate close ties</w:t>
      </w:r>
      <w:r w:rsidR="002267DE">
        <w:t>—</w:t>
      </w:r>
      <w:r w:rsidRPr="00063000">
        <w:t>at some stage in his life</w:t>
      </w:r>
      <w:r w:rsidR="002267DE">
        <w:t>—</w:t>
      </w:r>
      <w:r w:rsidRPr="00063000">
        <w:t>with an Arabic speaking count</w:t>
      </w:r>
      <w:r w:rsidR="00CF7B5A">
        <w:t>r</w:t>
      </w:r>
      <w:r w:rsidRPr="00063000">
        <w:t>y.</w:t>
      </w:r>
      <w:r w:rsidR="00DB1244">
        <w:t xml:space="preserve"> </w:t>
      </w:r>
      <w:r w:rsidRPr="00063000">
        <w:t>His oeuvre was comprised of grammatical treatises and commentaries on Scripture.</w:t>
      </w:r>
      <w:r w:rsidR="00DB1244">
        <w:t xml:space="preserve"> </w:t>
      </w:r>
    </w:p>
    <w:p w14:paraId="5A646246" w14:textId="4294879C" w:rsidR="00B72CFF" w:rsidRPr="00063000" w:rsidRDefault="00B72CFF" w:rsidP="00063000">
      <w:r w:rsidRPr="00063000">
        <w:t>In terms of his life-chronology</w:t>
      </w:r>
      <w:r w:rsidR="002267DE">
        <w:t>—</w:t>
      </w:r>
      <w:r w:rsidRPr="00063000">
        <w:t xml:space="preserve">a </w:t>
      </w:r>
      <w:r w:rsidR="00CF7B5A">
        <w:t xml:space="preserve">mid-thirteenth century </w:t>
      </w:r>
      <w:r w:rsidRPr="00063000">
        <w:t xml:space="preserve">terminus post </w:t>
      </w:r>
      <w:proofErr w:type="spellStart"/>
      <w:r w:rsidRPr="00063000">
        <w:t>quem</w:t>
      </w:r>
      <w:proofErr w:type="spellEnd"/>
      <w:r w:rsidRPr="00063000">
        <w:t xml:space="preserve"> can be established based on the following </w:t>
      </w:r>
      <w:r w:rsidR="00CF7B5A">
        <w:t>considerations</w:t>
      </w:r>
      <w:r w:rsidRPr="00063000">
        <w:t xml:space="preserve">: a single citation of Rabbi Judah he-Hasid; his grammatical system which is based on the writings of Rabbi Joseph Kimhi </w:t>
      </w:r>
      <w:r w:rsidRPr="00063000">
        <w:lastRenderedPageBreak/>
        <w:t xml:space="preserve">and </w:t>
      </w:r>
      <w:proofErr w:type="spellStart"/>
      <w:r w:rsidRPr="00063000">
        <w:t>Rada</w:t>
      </w:r>
      <w:r w:rsidR="0063561B" w:rsidRPr="00063000">
        <w:t>k</w:t>
      </w:r>
      <w:proofErr w:type="spellEnd"/>
      <w:r w:rsidRPr="00063000">
        <w:t xml:space="preserve">; </w:t>
      </w:r>
      <w:r w:rsidR="0063561B" w:rsidRPr="00063000">
        <w:t xml:space="preserve">and </w:t>
      </w:r>
      <w:r w:rsidRPr="00063000">
        <w:t xml:space="preserve">three </w:t>
      </w:r>
      <w:r w:rsidR="00CF7B5A">
        <w:t>notions</w:t>
      </w:r>
      <w:r w:rsidRPr="00063000">
        <w:t xml:space="preserve"> in the introduction to his commentary that are associated with </w:t>
      </w:r>
      <w:commentRangeStart w:id="30"/>
      <w:r w:rsidR="002267DE">
        <w:t>Kabbalah</w:t>
      </w:r>
      <w:commentRangeEnd w:id="30"/>
      <w:r w:rsidR="002267DE">
        <w:rPr>
          <w:rStyle w:val="CommentReference"/>
        </w:rPr>
        <w:commentReference w:id="30"/>
      </w:r>
      <w:r w:rsidRPr="00063000">
        <w:t>.</w:t>
      </w:r>
      <w:r w:rsidR="00DB1244">
        <w:t xml:space="preserve"> </w:t>
      </w:r>
      <w:r w:rsidRPr="00063000">
        <w:t xml:space="preserve">On the other </w:t>
      </w:r>
      <w:r w:rsidR="0063561B" w:rsidRPr="00063000">
        <w:t>hand,</w:t>
      </w:r>
      <w:r w:rsidRPr="00063000">
        <w:t xml:space="preserve"> it seems that he </w:t>
      </w:r>
      <w:r w:rsidR="002F4094" w:rsidRPr="00063000">
        <w:t>could</w:t>
      </w:r>
      <w:r w:rsidRPr="00063000">
        <w:t xml:space="preserve"> not</w:t>
      </w:r>
      <w:r w:rsidR="002F4094" w:rsidRPr="00063000">
        <w:t xml:space="preserve"> have been</w:t>
      </w:r>
      <w:r w:rsidRPr="00063000">
        <w:t xml:space="preserve"> active </w:t>
      </w:r>
      <w:r w:rsidR="009B6509" w:rsidRPr="00063000">
        <w:t>in</w:t>
      </w:r>
      <w:r w:rsidRPr="00063000">
        <w:t xml:space="preserve"> the fourteenth century due to the following considerations: his limited familiarity with Rashi’s commentaries on Scripture; his lack of familiarity with the commentaries of Ibn Ezra; </w:t>
      </w:r>
      <w:r w:rsidR="00B27FDE" w:rsidRPr="00063000">
        <w:t>the</w:t>
      </w:r>
      <w:r w:rsidRPr="00063000">
        <w:t xml:space="preserve"> lack of references to philosophy, the writings of Maimonides, and</w:t>
      </w:r>
      <w:r w:rsidR="00DB1244">
        <w:t xml:space="preserve"> </w:t>
      </w:r>
      <w:r w:rsidRPr="00063000">
        <w:t>Kabbalah</w:t>
      </w:r>
      <w:r w:rsidR="002267DE">
        <w:t>—</w:t>
      </w:r>
      <w:r w:rsidRPr="00063000">
        <w:t xml:space="preserve">all of which were widely disseminated in Byzantium during </w:t>
      </w:r>
      <w:r w:rsidR="00B27FDE" w:rsidRPr="00063000">
        <w:t>the fourteenth century</w:t>
      </w:r>
      <w:r w:rsidRPr="00063000">
        <w:t xml:space="preserve">. It follows that Rabbi Meyuhas composed his commentaries on the Pentateuch during the </w:t>
      </w:r>
      <w:r w:rsidR="005A595A" w:rsidRPr="00063000">
        <w:t>latter</w:t>
      </w:r>
      <w:r w:rsidRPr="00063000">
        <w:t xml:space="preserve"> half of the thirteenth century.</w:t>
      </w:r>
    </w:p>
    <w:p w14:paraId="6C6E731D" w14:textId="77777777" w:rsidR="00B17E42" w:rsidRPr="00063000" w:rsidRDefault="00B17E42" w:rsidP="00063000"/>
    <w:sectPr w:rsidR="00B17E42" w:rsidRPr="00063000" w:rsidSect="007716E5">
      <w:headerReference w:type="default"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i Kallenbach" w:date="2019-08-30T19:48:00Z" w:initials="AK">
    <w:p w14:paraId="5A358A40" w14:textId="0E17CF73" w:rsidR="001C6026" w:rsidRDefault="001C6026">
      <w:pPr>
        <w:pStyle w:val="CommentText"/>
      </w:pPr>
      <w:r>
        <w:rPr>
          <w:rStyle w:val="CommentReference"/>
        </w:rPr>
        <w:annotationRef/>
      </w:r>
      <w:r>
        <w:t xml:space="preserve">Journal guidelines stipulate that titles of Hebrew books and articles should neither be transliterated nor translated but rather, simply, left in Hebrew. I have highlighted in green every time a Hebrew title has been rendered in English. The author is kindly asked to fill in the original Hebrew title in Hebrew characters. </w:t>
      </w:r>
    </w:p>
  </w:comment>
  <w:comment w:id="1" w:author="Avi Kallenbach" w:date="2019-08-30T19:33:00Z" w:initials="AK">
    <w:p w14:paraId="69108A51" w14:textId="25F66F6E" w:rsidR="002267DE" w:rsidRDefault="002267DE">
      <w:pPr>
        <w:pStyle w:val="CommentText"/>
      </w:pPr>
      <w:r>
        <w:rPr>
          <w:rStyle w:val="CommentReference"/>
        </w:rPr>
        <w:annotationRef/>
      </w:r>
      <w:r>
        <w:t>The stylesheet discourages the use of transliteration. You will see that I have tried to follow this throughout.</w:t>
      </w:r>
      <w:r w:rsidR="00DB1244">
        <w:t xml:space="preserve"> </w:t>
      </w:r>
    </w:p>
  </w:comment>
  <w:comment w:id="2" w:author="Avi Kallenbach" w:date="2019-08-22T17:18:00Z" w:initials="AK">
    <w:p w14:paraId="581B080C" w14:textId="77777777" w:rsidR="00316453" w:rsidRDefault="00316453" w:rsidP="00063000">
      <w:pPr>
        <w:pStyle w:val="CommentText"/>
      </w:pPr>
      <w:r>
        <w:rPr>
          <w:rStyle w:val="CommentReference"/>
        </w:rPr>
        <w:annotationRef/>
      </w:r>
      <w:r>
        <w:t xml:space="preserve">Wasn’t sure whether or not to include the original Hebrew spelling. Consider including just the Greek. </w:t>
      </w:r>
    </w:p>
  </w:comment>
  <w:comment w:id="3" w:author="Avi Kallenbach" w:date="2019-08-23T21:30:00Z" w:initials="AK">
    <w:p w14:paraId="2CF1A42B" w14:textId="77777777" w:rsidR="00316453" w:rsidRDefault="00316453" w:rsidP="00093CF1">
      <w:pPr>
        <w:pStyle w:val="CommentText"/>
        <w:rPr>
          <w:rStyle w:val="CommentReference"/>
          <w:rtl/>
        </w:rPr>
      </w:pPr>
      <w:r>
        <w:rPr>
          <w:rStyle w:val="CommentReference"/>
        </w:rPr>
        <w:annotationRef/>
      </w:r>
      <w:r>
        <w:rPr>
          <w:rStyle w:val="CommentReference"/>
        </w:rPr>
        <w:annotationRef/>
      </w:r>
      <w:r>
        <w:rPr>
          <w:rStyle w:val="CommentReference"/>
          <w:rFonts w:hint="cs"/>
          <w:rtl/>
        </w:rPr>
        <w:t>ריסי עיניים</w:t>
      </w:r>
    </w:p>
    <w:p w14:paraId="4D33C708" w14:textId="77777777" w:rsidR="00316453" w:rsidRDefault="00316453" w:rsidP="00093CF1">
      <w:pPr>
        <w:pStyle w:val="CommentText"/>
      </w:pPr>
      <w:r>
        <w:rPr>
          <w:rStyle w:val="CommentReference"/>
        </w:rPr>
        <w:t>Or eyelashes. Though from the description it seems like he’s referring to eyebrows? Is that possible.</w:t>
      </w:r>
    </w:p>
    <w:p w14:paraId="5E57A878" w14:textId="63E6EBD1" w:rsidR="00316453" w:rsidRDefault="00316453">
      <w:pPr>
        <w:pStyle w:val="CommentText"/>
      </w:pPr>
    </w:p>
  </w:comment>
  <w:comment w:id="4" w:author="Avi Kallenbach" w:date="2019-08-30T17:46:00Z" w:initials="AK">
    <w:p w14:paraId="16ECA35D" w14:textId="77777777" w:rsidR="00316453" w:rsidRDefault="00316453">
      <w:pPr>
        <w:pStyle w:val="CommentText"/>
        <w:rPr>
          <w:rtl/>
        </w:rPr>
      </w:pPr>
      <w:r>
        <w:rPr>
          <w:rStyle w:val="CommentReference"/>
        </w:rPr>
        <w:annotationRef/>
      </w:r>
      <w:r>
        <w:rPr>
          <w:rFonts w:hint="cs"/>
          <w:rtl/>
        </w:rPr>
        <w:t xml:space="preserve">נוסחאות </w:t>
      </w:r>
      <w:proofErr w:type="spellStart"/>
      <w:r>
        <w:rPr>
          <w:rFonts w:hint="cs"/>
          <w:rtl/>
        </w:rPr>
        <w:t>יחידאות</w:t>
      </w:r>
      <w:proofErr w:type="spellEnd"/>
    </w:p>
    <w:p w14:paraId="6A3B7D8F" w14:textId="5C10129B" w:rsidR="00316453" w:rsidRDefault="00316453" w:rsidP="006A6EA4">
      <w:pPr>
        <w:pStyle w:val="CommentText"/>
        <w:bidi/>
        <w:rPr>
          <w:rtl/>
        </w:rPr>
      </w:pPr>
      <w:r>
        <w:rPr>
          <w:rFonts w:hint="cs"/>
          <w:rtl/>
        </w:rPr>
        <w:t xml:space="preserve">הכוונה לנוסח במובן של </w:t>
      </w:r>
      <w:r>
        <w:t>version</w:t>
      </w:r>
      <w:r w:rsidR="00DB1244">
        <w:rPr>
          <w:rtl/>
        </w:rPr>
        <w:t xml:space="preserve"> </w:t>
      </w:r>
      <w:r>
        <w:rPr>
          <w:rFonts w:hint="cs"/>
          <w:rtl/>
        </w:rPr>
        <w:t>שלם או לכמה ניסוחים במקומות בודדים?</w:t>
      </w:r>
    </w:p>
  </w:comment>
  <w:comment w:id="5" w:author="Avi Kallenbach" w:date="2019-08-22T17:31:00Z" w:initials="AK">
    <w:p w14:paraId="6D98916E" w14:textId="2E6DAADF" w:rsidR="00316453" w:rsidRDefault="00316453" w:rsidP="00063000">
      <w:pPr>
        <w:pStyle w:val="CommentText"/>
      </w:pPr>
      <w:r>
        <w:rPr>
          <w:rStyle w:val="CommentReference"/>
        </w:rPr>
        <w:annotationRef/>
      </w:r>
      <w:r>
        <w:t>Hillel ben Eliakim?</w:t>
      </w:r>
    </w:p>
  </w:comment>
  <w:comment w:id="6" w:author="Avi Kallenbach" w:date="2019-08-30T19:35:00Z" w:initials="AK">
    <w:p w14:paraId="7B7D5E6B" w14:textId="79D8EA14" w:rsidR="002267DE" w:rsidRDefault="002267DE">
      <w:pPr>
        <w:pStyle w:val="CommentText"/>
      </w:pPr>
      <w:r>
        <w:rPr>
          <w:rStyle w:val="CommentReference"/>
        </w:rPr>
        <w:annotationRef/>
      </w:r>
      <w:r>
        <w:t xml:space="preserve">I was often uncertain how to write names in </w:t>
      </w:r>
      <w:proofErr w:type="gramStart"/>
      <w:r>
        <w:t>English</w:t>
      </w:r>
      <w:proofErr w:type="gramEnd"/>
      <w:r>
        <w:t xml:space="preserve"> so I have highlighted. </w:t>
      </w:r>
    </w:p>
  </w:comment>
  <w:comment w:id="7" w:author="Avi Kallenbach" w:date="2019-08-22T17:35:00Z" w:initials="AK">
    <w:p w14:paraId="2563E4F3" w14:textId="3D0A6A67" w:rsidR="00316453" w:rsidRDefault="00316453" w:rsidP="00063000">
      <w:pPr>
        <w:pStyle w:val="CommentText"/>
        <w:rPr>
          <w:rtl/>
        </w:rPr>
      </w:pPr>
      <w:r>
        <w:rPr>
          <w:rStyle w:val="CommentReference"/>
        </w:rPr>
        <w:annotationRef/>
      </w:r>
      <w:r>
        <w:rPr>
          <w:rFonts w:hint="cs"/>
          <w:rtl/>
        </w:rPr>
        <w:t>כי אז כבר לא היה ביזנטי</w:t>
      </w:r>
    </w:p>
  </w:comment>
  <w:comment w:id="8" w:author="Avi Kallenbach" w:date="2019-08-22T17:41:00Z" w:initials="AK">
    <w:p w14:paraId="164F0F69" w14:textId="705EF70A" w:rsidR="00316453" w:rsidRDefault="00316453" w:rsidP="00063000">
      <w:pPr>
        <w:pStyle w:val="CommentText"/>
      </w:pPr>
      <w:r>
        <w:rPr>
          <w:rStyle w:val="CommentReference"/>
        </w:rPr>
        <w:annotationRef/>
      </w:r>
      <w:r>
        <w:rPr>
          <w:rFonts w:hint="cs"/>
          <w:rtl/>
        </w:rPr>
        <w:t>במקור: יהודים וקראים</w:t>
      </w:r>
    </w:p>
  </w:comment>
  <w:comment w:id="9" w:author="Avi Kallenbach" w:date="2019-08-22T17:44:00Z" w:initials="AK">
    <w:p w14:paraId="777486AF" w14:textId="666C57A1" w:rsidR="00316453" w:rsidRDefault="00316453" w:rsidP="00063000">
      <w:pPr>
        <w:pStyle w:val="CommentText"/>
        <w:rPr>
          <w:rtl/>
        </w:rPr>
      </w:pPr>
      <w:r>
        <w:rPr>
          <w:rStyle w:val="CommentReference"/>
        </w:rPr>
        <w:annotationRef/>
      </w:r>
      <w:r>
        <w:rPr>
          <w:rFonts w:hint="cs"/>
          <w:rtl/>
        </w:rPr>
        <w:t>האם הוא נולד במקור בביזנטיון?</w:t>
      </w:r>
      <w:r>
        <w:rPr>
          <w:rFonts w:hint="cs"/>
        </w:rPr>
        <w:t xml:space="preserve"> </w:t>
      </w:r>
    </w:p>
  </w:comment>
  <w:comment w:id="10" w:author="Avi Kallenbach" w:date="2019-08-22T17:47:00Z" w:initials="AK">
    <w:p w14:paraId="03556F9D" w14:textId="74347106" w:rsidR="00316453" w:rsidRDefault="00316453" w:rsidP="00063000">
      <w:pPr>
        <w:pStyle w:val="CommentText"/>
      </w:pPr>
      <w:r>
        <w:rPr>
          <w:rStyle w:val="CommentReference"/>
        </w:rPr>
        <w:annotationRef/>
      </w:r>
      <w:r>
        <w:rPr>
          <w:rStyle w:val="CommentReference"/>
          <w:rFonts w:hint="cs"/>
          <w:rtl/>
        </w:rPr>
        <w:t>לא ברור לי למה הכוונה</w:t>
      </w:r>
    </w:p>
  </w:comment>
  <w:comment w:id="11" w:author="Avi Kallenbach" w:date="2019-08-30T18:03:00Z" w:initials="AK">
    <w:p w14:paraId="5AF2997A" w14:textId="56FABFCA" w:rsidR="00316453" w:rsidRDefault="00316453">
      <w:pPr>
        <w:pStyle w:val="CommentText"/>
        <w:rPr>
          <w:rtl/>
        </w:rPr>
      </w:pPr>
      <w:r>
        <w:rPr>
          <w:rStyle w:val="CommentReference"/>
        </w:rPr>
        <w:annotationRef/>
      </w:r>
      <w:r>
        <w:rPr>
          <w:rStyle w:val="CommentReference"/>
          <w:rFonts w:hint="cs"/>
          <w:rtl/>
        </w:rPr>
        <w:t>אני לא מבין מהי ההשוואה?</w:t>
      </w:r>
    </w:p>
  </w:comment>
  <w:comment w:id="12" w:author="Avi Kallenbach" w:date="2019-08-30T18:10:00Z" w:initials="AK">
    <w:p w14:paraId="3CA2D6A9" w14:textId="64593167" w:rsidR="00316453" w:rsidRDefault="00316453">
      <w:pPr>
        <w:pStyle w:val="CommentText"/>
      </w:pPr>
      <w:r>
        <w:rPr>
          <w:rStyle w:val="CommentReference"/>
        </w:rPr>
        <w:annotationRef/>
      </w:r>
      <w:r>
        <w:t>Or the Crimean?</w:t>
      </w:r>
    </w:p>
  </w:comment>
  <w:comment w:id="13" w:author="Avi Kallenbach" w:date="2019-08-22T18:06:00Z" w:initials="AK">
    <w:p w14:paraId="3697A44E" w14:textId="77777777" w:rsidR="00316453" w:rsidRDefault="00316453" w:rsidP="00063000">
      <w:pPr>
        <w:pStyle w:val="CommentText"/>
      </w:pPr>
      <w:r>
        <w:rPr>
          <w:rStyle w:val="CommentReference"/>
        </w:rPr>
        <w:annotationRef/>
      </w:r>
      <w:r w:rsidRPr="0074668A">
        <w:rPr>
          <w:rFonts w:hint="cs"/>
          <w:rtl/>
        </w:rPr>
        <w:t>ובו שילוב של פירושי רש"י עם פירושי ר' מיוחס בן אליעזר (לקח טוב</w:t>
      </w:r>
    </w:p>
    <w:p w14:paraId="4341A5AB" w14:textId="77777777" w:rsidR="00316453" w:rsidRDefault="00316453" w:rsidP="00063000">
      <w:pPr>
        <w:pStyle w:val="CommentText"/>
      </w:pPr>
    </w:p>
    <w:p w14:paraId="64F4B322" w14:textId="7B90A1CD" w:rsidR="00316453" w:rsidRDefault="00316453" w:rsidP="00063000">
      <w:pPr>
        <w:pStyle w:val="CommentText"/>
        <w:rPr>
          <w:rtl/>
        </w:rPr>
      </w:pPr>
      <w:r>
        <w:rPr>
          <w:rFonts w:hint="cs"/>
          <w:rtl/>
        </w:rPr>
        <w:t xml:space="preserve">למה בדיוק הכוונה "שילוב של פירושי רש"י עם". </w:t>
      </w:r>
    </w:p>
  </w:comment>
  <w:comment w:id="14" w:author="Avi Kallenbach" w:date="2019-08-22T18:08:00Z" w:initials="AK">
    <w:p w14:paraId="61195F0C" w14:textId="172F54D4" w:rsidR="00316453" w:rsidRDefault="00316453" w:rsidP="00063000">
      <w:pPr>
        <w:pStyle w:val="CommentText"/>
      </w:pPr>
      <w:r>
        <w:rPr>
          <w:rStyle w:val="CommentReference"/>
        </w:rPr>
        <w:annotationRef/>
      </w:r>
      <w:r>
        <w:t>I added</w:t>
      </w:r>
    </w:p>
  </w:comment>
  <w:comment w:id="16" w:author="Avi Kallenbach" w:date="2019-08-30T23:29:00Z" w:initials="AK">
    <w:p w14:paraId="63D51E49" w14:textId="62B43ECA" w:rsidR="003E62E8" w:rsidRDefault="003E62E8">
      <w:pPr>
        <w:pStyle w:val="CommentText"/>
      </w:pPr>
      <w:r>
        <w:rPr>
          <w:rStyle w:val="CommentReference"/>
        </w:rPr>
        <w:annotationRef/>
      </w:r>
      <w:r>
        <w:rPr>
          <w:rStyle w:val="CommentReference"/>
        </w:rPr>
        <w:t xml:space="preserve">Abishai of </w:t>
      </w:r>
      <w:proofErr w:type="spellStart"/>
      <w:r>
        <w:rPr>
          <w:rStyle w:val="CommentReference"/>
        </w:rPr>
        <w:t>Sagori</w:t>
      </w:r>
      <w:proofErr w:type="spellEnd"/>
      <w:r>
        <w:rPr>
          <w:rStyle w:val="CommentReference"/>
        </w:rPr>
        <w:t>?</w:t>
      </w:r>
    </w:p>
  </w:comment>
  <w:comment w:id="17" w:author="Avi Kallenbach" w:date="2019-08-22T18:16:00Z" w:initials="AK">
    <w:p w14:paraId="0859B04D" w14:textId="6FFCB78E" w:rsidR="00316453" w:rsidRDefault="00316453" w:rsidP="00063000">
      <w:pPr>
        <w:pStyle w:val="CommentText"/>
      </w:pPr>
      <w:r>
        <w:rPr>
          <w:rStyle w:val="CommentReference"/>
        </w:rPr>
        <w:annotationRef/>
      </w:r>
      <w:r>
        <w:rPr>
          <w:rFonts w:hint="cs"/>
          <w:rtl/>
        </w:rPr>
        <w:t>מי טען?</w:t>
      </w:r>
      <w:r>
        <w:rPr>
          <w:rFonts w:hint="cs"/>
        </w:rPr>
        <w:t xml:space="preserve"> </w:t>
      </w:r>
      <w:r>
        <w:rPr>
          <w:rFonts w:hint="cs"/>
          <w:rtl/>
        </w:rPr>
        <w:t xml:space="preserve">דה </w:t>
      </w:r>
      <w:proofErr w:type="spellStart"/>
      <w:r>
        <w:rPr>
          <w:rFonts w:hint="cs"/>
          <w:rtl/>
        </w:rPr>
        <w:t>לנג</w:t>
      </w:r>
      <w:proofErr w:type="spellEnd"/>
      <w:r>
        <w:rPr>
          <w:rFonts w:hint="cs"/>
          <w:rtl/>
        </w:rPr>
        <w:t>?</w:t>
      </w:r>
    </w:p>
  </w:comment>
  <w:comment w:id="18" w:author="Avi Kallenbach" w:date="2019-08-22T18:28:00Z" w:initials="AK">
    <w:p w14:paraId="28324B16" w14:textId="5FE6F191" w:rsidR="00316453" w:rsidRDefault="00316453" w:rsidP="00063000">
      <w:pPr>
        <w:pStyle w:val="CommentText"/>
        <w:rPr>
          <w:rtl/>
        </w:rPr>
      </w:pPr>
      <w:r>
        <w:rPr>
          <w:rStyle w:val="CommentReference"/>
        </w:rPr>
        <w:annotationRef/>
      </w:r>
      <w:r>
        <w:rPr>
          <w:rFonts w:hint="cs"/>
          <w:rtl/>
        </w:rPr>
        <w:t>במקור: במזרח הים התיכון</w:t>
      </w:r>
    </w:p>
  </w:comment>
  <w:comment w:id="19" w:author="Avi Kallenbach" w:date="2019-08-22T18:32:00Z" w:initials="AK">
    <w:p w14:paraId="338C9B23" w14:textId="3E2C9631" w:rsidR="00316453" w:rsidRDefault="00316453" w:rsidP="00063000">
      <w:pPr>
        <w:pStyle w:val="CommentText"/>
      </w:pPr>
      <w:r>
        <w:rPr>
          <w:rStyle w:val="CommentReference"/>
        </w:rPr>
        <w:annotationRef/>
      </w:r>
      <w:proofErr w:type="spellStart"/>
      <w:r>
        <w:t>Devidas</w:t>
      </w:r>
      <w:proofErr w:type="spellEnd"/>
      <w:r>
        <w:t>?</w:t>
      </w:r>
    </w:p>
  </w:comment>
  <w:comment w:id="20" w:author="Avi Kallenbach" w:date="2019-08-22T18:35:00Z" w:initials="AK">
    <w:p w14:paraId="4E8CF2D0" w14:textId="6DC11EA5" w:rsidR="00316453" w:rsidRDefault="00316453" w:rsidP="00063000">
      <w:pPr>
        <w:pStyle w:val="CommentText"/>
      </w:pPr>
      <w:r>
        <w:rPr>
          <w:rStyle w:val="CommentReference"/>
        </w:rPr>
        <w:annotationRef/>
      </w:r>
      <w:r>
        <w:rPr>
          <w:rFonts w:hint="cs"/>
          <w:rtl/>
        </w:rPr>
        <w:t>תצורה</w:t>
      </w:r>
    </w:p>
  </w:comment>
  <w:comment w:id="21" w:author="Avi Kallenbach" w:date="2019-08-22T18:35:00Z" w:initials="AK">
    <w:p w14:paraId="1B937F9E" w14:textId="04938839" w:rsidR="00316453" w:rsidRDefault="00316453" w:rsidP="00063000">
      <w:pPr>
        <w:pStyle w:val="CommentText"/>
      </w:pPr>
      <w:r>
        <w:rPr>
          <w:rStyle w:val="CommentReference"/>
        </w:rPr>
        <w:annotationRef/>
      </w:r>
    </w:p>
  </w:comment>
  <w:comment w:id="22" w:author="Avi Kallenbach" w:date="2019-08-30T18:51:00Z" w:initials="AK">
    <w:p w14:paraId="2DAF47E1" w14:textId="6D7BA60D" w:rsidR="00316453" w:rsidRDefault="00316453" w:rsidP="005112D7">
      <w:pPr>
        <w:pStyle w:val="CommentText"/>
      </w:pPr>
      <w:r>
        <w:rPr>
          <w:rStyle w:val="CommentReference"/>
        </w:rPr>
        <w:annotationRef/>
      </w:r>
      <w:r>
        <w:t xml:space="preserve">Slightly shortened sentence. </w:t>
      </w:r>
    </w:p>
  </w:comment>
  <w:comment w:id="23" w:author="Avi Kallenbach" w:date="2019-08-30T18:58:00Z" w:initials="AK">
    <w:p w14:paraId="7D839657" w14:textId="5138C693" w:rsidR="00316453" w:rsidRDefault="00316453">
      <w:pPr>
        <w:pStyle w:val="CommentText"/>
      </w:pPr>
      <w:r>
        <w:rPr>
          <w:rStyle w:val="CommentReference"/>
        </w:rPr>
        <w:annotationRef/>
      </w:r>
      <w:r>
        <w:t xml:space="preserve">Not sure about these, please confirm. </w:t>
      </w:r>
    </w:p>
  </w:comment>
  <w:comment w:id="24" w:author="Avi Kallenbach" w:date="2019-08-30T18:59:00Z" w:initials="AK">
    <w:p w14:paraId="1CEA18DC" w14:textId="77777777" w:rsidR="00316453" w:rsidRDefault="00316453" w:rsidP="00AF690E">
      <w:pPr>
        <w:pStyle w:val="CommentText"/>
      </w:pPr>
      <w:r>
        <w:rPr>
          <w:rStyle w:val="CommentReference"/>
        </w:rPr>
        <w:annotationRef/>
      </w:r>
      <w:r>
        <w:rPr>
          <w:rFonts w:hint="cs"/>
          <w:rtl/>
        </w:rPr>
        <w:t>היגדים</w:t>
      </w:r>
    </w:p>
    <w:p w14:paraId="129837B1" w14:textId="202061B3" w:rsidR="00316453" w:rsidRDefault="00316453" w:rsidP="00AF690E">
      <w:pPr>
        <w:pStyle w:val="CommentText"/>
      </w:pPr>
    </w:p>
  </w:comment>
  <w:comment w:id="25" w:author="Avi Kallenbach" w:date="2019-08-30T19:08:00Z" w:initials="AK">
    <w:p w14:paraId="775A32F8" w14:textId="77777777" w:rsidR="00316453" w:rsidRDefault="00316453">
      <w:pPr>
        <w:pStyle w:val="CommentText"/>
        <w:rPr>
          <w:rtl/>
        </w:rPr>
      </w:pPr>
      <w:r>
        <w:rPr>
          <w:rStyle w:val="CommentReference"/>
        </w:rPr>
        <w:annotationRef/>
      </w:r>
      <w:r>
        <w:rPr>
          <w:rFonts w:hint="cs"/>
          <w:rtl/>
        </w:rPr>
        <w:t xml:space="preserve">אך למעשה, גם היגד זה נפוץ בקרב בעלי הסוד הספרדיים </w:t>
      </w:r>
      <w:r w:rsidRPr="00D8337E">
        <w:rPr>
          <w:rFonts w:hint="cs"/>
          <w:b/>
          <w:bCs/>
          <w:rtl/>
        </w:rPr>
        <w:t>שקדמו לרמב"ם</w:t>
      </w:r>
    </w:p>
    <w:p w14:paraId="07B64B77" w14:textId="77777777" w:rsidR="00316453" w:rsidRDefault="00316453">
      <w:pPr>
        <w:pStyle w:val="CommentText"/>
        <w:rPr>
          <w:rtl/>
        </w:rPr>
      </w:pPr>
    </w:p>
    <w:p w14:paraId="21596BF5" w14:textId="65C8EC94" w:rsidR="00316453" w:rsidRDefault="00316453" w:rsidP="00D8337E">
      <w:pPr>
        <w:pStyle w:val="CommentText"/>
        <w:bidi/>
        <w:rPr>
          <w:rtl/>
        </w:rPr>
      </w:pPr>
      <w:r>
        <w:rPr>
          <w:rFonts w:hint="cs"/>
          <w:rtl/>
        </w:rPr>
        <w:t>אתה מצטט מקובלים שחיו אחרי הרמב"ם..?</w:t>
      </w:r>
      <w:r w:rsidR="00DB1244">
        <w:rPr>
          <w:rtl/>
        </w:rPr>
        <w:t xml:space="preserve"> </w:t>
      </w:r>
      <w:r>
        <w:rPr>
          <w:rFonts w:hint="cs"/>
          <w:rtl/>
        </w:rPr>
        <w:t>(ר' עזרא ור' עזריאל מגרונה...)</w:t>
      </w:r>
    </w:p>
  </w:comment>
  <w:comment w:id="26" w:author="Avi Kallenbach" w:date="2019-08-30T19:12:00Z" w:initials="AK">
    <w:p w14:paraId="077D0B80" w14:textId="70EEDDED" w:rsidR="00316453" w:rsidRDefault="00316453">
      <w:pPr>
        <w:pStyle w:val="CommentText"/>
      </w:pPr>
      <w:r>
        <w:rPr>
          <w:rStyle w:val="CommentReference"/>
        </w:rPr>
        <w:annotationRef/>
      </w:r>
      <w:r>
        <w:rPr>
          <w:rStyle w:val="CommentReference"/>
          <w:rFonts w:hint="cs"/>
          <w:rtl/>
        </w:rPr>
        <w:t>אני לא מבין. מה בתוך פסקה זו מונע תיארוך מוקדם?</w:t>
      </w:r>
    </w:p>
  </w:comment>
  <w:comment w:id="27" w:author="Avi Kallenbach" w:date="2019-08-22T18:48:00Z" w:initials="AK">
    <w:p w14:paraId="0F90E317" w14:textId="60F8BF09" w:rsidR="00316453" w:rsidRDefault="00316453" w:rsidP="00063000">
      <w:pPr>
        <w:pStyle w:val="CommentText"/>
      </w:pPr>
      <w:r>
        <w:rPr>
          <w:rStyle w:val="CommentReference"/>
        </w:rPr>
        <w:annotationRef/>
      </w:r>
      <w:r>
        <w:rPr>
          <w:rtl/>
        </w:rPr>
        <w:t>ב"הסברים דחוסים, מנופחים, ורחבי מבע ויריעה[…] נוטה פעמים רבות להארכה ולחזרה מייגעות</w:t>
      </w:r>
    </w:p>
  </w:comment>
  <w:comment w:id="28" w:author="Avi Kallenbach" w:date="2019-08-30T19:22:00Z" w:initials="AK">
    <w:p w14:paraId="57FCD9C4" w14:textId="1AE4C652" w:rsidR="001549E0" w:rsidRDefault="001549E0">
      <w:pPr>
        <w:pStyle w:val="CommentText"/>
        <w:rPr>
          <w:rtl/>
        </w:rPr>
      </w:pPr>
      <w:r>
        <w:rPr>
          <w:rStyle w:val="CommentReference"/>
        </w:rPr>
        <w:annotationRef/>
      </w:r>
      <w:r>
        <w:rPr>
          <w:rFonts w:hint="cs"/>
          <w:rtl/>
        </w:rPr>
        <w:t>ספרי מצות</w:t>
      </w:r>
    </w:p>
  </w:comment>
  <w:comment w:id="29" w:author="Avi Kallenbach" w:date="2019-08-30T19:29:00Z" w:initials="AK">
    <w:p w14:paraId="1109510E" w14:textId="230CA74F" w:rsidR="001549E0" w:rsidRDefault="001549E0">
      <w:pPr>
        <w:pStyle w:val="CommentText"/>
      </w:pPr>
      <w:r>
        <w:rPr>
          <w:rStyle w:val="CommentReference"/>
        </w:rPr>
        <w:annotationRef/>
      </w:r>
      <w:r>
        <w:t>Yes?</w:t>
      </w:r>
    </w:p>
  </w:comment>
  <w:comment w:id="30" w:author="Avi Kallenbach" w:date="2019-08-30T19:31:00Z" w:initials="AK">
    <w:p w14:paraId="0576477C" w14:textId="77777777" w:rsidR="002267DE" w:rsidRDefault="002267DE">
      <w:pPr>
        <w:pStyle w:val="CommentText"/>
        <w:rPr>
          <w:rtl/>
        </w:rPr>
      </w:pPr>
      <w:r>
        <w:rPr>
          <w:rStyle w:val="CommentReference"/>
        </w:rPr>
        <w:annotationRef/>
      </w:r>
      <w:r>
        <w:rPr>
          <w:rFonts w:hint="cs"/>
          <w:rtl/>
        </w:rPr>
        <w:t>תורת הסוד</w:t>
      </w:r>
    </w:p>
    <w:p w14:paraId="58506146" w14:textId="686E4316" w:rsidR="002267DE" w:rsidRDefault="002267DE">
      <w:pPr>
        <w:pStyle w:val="CommentText"/>
        <w:rPr>
          <w:rtl/>
        </w:rPr>
      </w:pPr>
      <w:r>
        <w:rPr>
          <w:rFonts w:hint="cs"/>
          <w:rtl/>
        </w:rPr>
        <w:t>שוב אני לא מבין כל כך את הראיה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358A40" w15:done="0"/>
  <w15:commentEx w15:paraId="69108A51" w15:done="0"/>
  <w15:commentEx w15:paraId="581B080C" w15:done="0"/>
  <w15:commentEx w15:paraId="5E57A878" w15:done="0"/>
  <w15:commentEx w15:paraId="6A3B7D8F" w15:done="0"/>
  <w15:commentEx w15:paraId="6D98916E" w15:done="0"/>
  <w15:commentEx w15:paraId="7B7D5E6B" w15:done="0"/>
  <w15:commentEx w15:paraId="2563E4F3" w15:done="0"/>
  <w15:commentEx w15:paraId="164F0F69" w15:done="0"/>
  <w15:commentEx w15:paraId="777486AF" w15:done="0"/>
  <w15:commentEx w15:paraId="03556F9D" w15:done="0"/>
  <w15:commentEx w15:paraId="5AF2997A" w15:done="0"/>
  <w15:commentEx w15:paraId="3CA2D6A9" w15:done="0"/>
  <w15:commentEx w15:paraId="64F4B322" w15:done="0"/>
  <w15:commentEx w15:paraId="61195F0C" w15:done="0"/>
  <w15:commentEx w15:paraId="63D51E49" w15:done="0"/>
  <w15:commentEx w15:paraId="0859B04D" w15:done="0"/>
  <w15:commentEx w15:paraId="28324B16" w15:done="0"/>
  <w15:commentEx w15:paraId="338C9B23" w15:done="0"/>
  <w15:commentEx w15:paraId="4E8CF2D0" w15:done="0"/>
  <w15:commentEx w15:paraId="1B937F9E" w15:done="0"/>
  <w15:commentEx w15:paraId="2DAF47E1" w15:done="0"/>
  <w15:commentEx w15:paraId="7D839657" w15:done="0"/>
  <w15:commentEx w15:paraId="129837B1" w15:done="0"/>
  <w15:commentEx w15:paraId="21596BF5" w15:done="0"/>
  <w15:commentEx w15:paraId="077D0B80" w15:done="0"/>
  <w15:commentEx w15:paraId="0F90E317" w15:done="0"/>
  <w15:commentEx w15:paraId="57FCD9C4" w15:done="0"/>
  <w15:commentEx w15:paraId="1109510E" w15:done="0"/>
  <w15:commentEx w15:paraId="585061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58A40" w16cid:durableId="2113FBF5"/>
  <w16cid:commentId w16cid:paraId="69108A51" w16cid:durableId="2113F89E"/>
  <w16cid:commentId w16cid:paraId="581B080C" w16cid:durableId="21094CD6"/>
  <w16cid:commentId w16cid:paraId="5E57A878" w16cid:durableId="210AD978"/>
  <w16cid:commentId w16cid:paraId="6A3B7D8F" w16cid:durableId="2113DF6E"/>
  <w16cid:commentId w16cid:paraId="6D98916E" w16cid:durableId="21094FDB"/>
  <w16cid:commentId w16cid:paraId="7B7D5E6B" w16cid:durableId="2113F912"/>
  <w16cid:commentId w16cid:paraId="2563E4F3" w16cid:durableId="210950F8"/>
  <w16cid:commentId w16cid:paraId="164F0F69" w16cid:durableId="21095258"/>
  <w16cid:commentId w16cid:paraId="777486AF" w16cid:durableId="21095305"/>
  <w16cid:commentId w16cid:paraId="03556F9D" w16cid:durableId="210953C5"/>
  <w16cid:commentId w16cid:paraId="5AF2997A" w16cid:durableId="2113E37F"/>
  <w16cid:commentId w16cid:paraId="3CA2D6A9" w16cid:durableId="2113E511"/>
  <w16cid:commentId w16cid:paraId="64F4B322" w16cid:durableId="21095810"/>
  <w16cid:commentId w16cid:paraId="61195F0C" w16cid:durableId="210958B9"/>
  <w16cid:commentId w16cid:paraId="63D51E49" w16cid:durableId="21142FC1"/>
  <w16cid:commentId w16cid:paraId="0859B04D" w16cid:durableId="21095A6B"/>
  <w16cid:commentId w16cid:paraId="28324B16" w16cid:durableId="21095D5F"/>
  <w16cid:commentId w16cid:paraId="338C9B23" w16cid:durableId="21095E51"/>
  <w16cid:commentId w16cid:paraId="4E8CF2D0" w16cid:durableId="21095EDD"/>
  <w16cid:commentId w16cid:paraId="1B937F9E" w16cid:durableId="21095EFB"/>
  <w16cid:commentId w16cid:paraId="2DAF47E1" w16cid:durableId="2113EEA3"/>
  <w16cid:commentId w16cid:paraId="7D839657" w16cid:durableId="2113F03A"/>
  <w16cid:commentId w16cid:paraId="129837B1" w16cid:durableId="2113F09F"/>
  <w16cid:commentId w16cid:paraId="21596BF5" w16cid:durableId="2113F2B4"/>
  <w16cid:commentId w16cid:paraId="077D0B80" w16cid:durableId="2113F38C"/>
  <w16cid:commentId w16cid:paraId="0F90E317" w16cid:durableId="21096218"/>
  <w16cid:commentId w16cid:paraId="57FCD9C4" w16cid:durableId="2113F5E7"/>
  <w16cid:commentId w16cid:paraId="1109510E" w16cid:durableId="2113F784"/>
  <w16cid:commentId w16cid:paraId="58506146" w16cid:durableId="2113F7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EED94" w14:textId="77777777" w:rsidR="00A81E1C" w:rsidRDefault="00A81E1C" w:rsidP="00063000">
      <w:r>
        <w:separator/>
      </w:r>
    </w:p>
  </w:endnote>
  <w:endnote w:type="continuationSeparator" w:id="0">
    <w:p w14:paraId="29C7DAC8" w14:textId="77777777" w:rsidR="00A81E1C" w:rsidRDefault="00A81E1C" w:rsidP="0006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9959" w14:textId="43A91BA9" w:rsidR="00316453" w:rsidRDefault="00316453" w:rsidP="00063000">
    <w:pPr>
      <w:pStyle w:val="Footer"/>
    </w:pPr>
  </w:p>
  <w:p w14:paraId="7121DC8C" w14:textId="77777777" w:rsidR="00316453" w:rsidRDefault="00316453" w:rsidP="00063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11BB9" w14:textId="77777777" w:rsidR="00A81E1C" w:rsidRDefault="00A81E1C" w:rsidP="00063000">
      <w:r>
        <w:separator/>
      </w:r>
    </w:p>
  </w:footnote>
  <w:footnote w:type="continuationSeparator" w:id="0">
    <w:p w14:paraId="4BFE9EAF" w14:textId="77777777" w:rsidR="00A81E1C" w:rsidRDefault="00A81E1C" w:rsidP="00063000">
      <w:r>
        <w:continuationSeparator/>
      </w:r>
    </w:p>
  </w:footnote>
  <w:footnote w:id="1">
    <w:p w14:paraId="20108E6D" w14:textId="5222B152" w:rsidR="00316453" w:rsidRPr="00063000" w:rsidRDefault="00316453" w:rsidP="004C7FD3">
      <w:pPr>
        <w:pStyle w:val="FootnoteText"/>
        <w:rPr>
          <w:rtl/>
        </w:rPr>
      </w:pPr>
      <w:r w:rsidRPr="00063000">
        <w:rPr>
          <w:rStyle w:val="FootnoteReference"/>
          <w:rFonts w:cstheme="majorBidi"/>
          <w:szCs w:val="24"/>
        </w:rPr>
        <w:footnoteRef/>
      </w:r>
      <w:r w:rsidRPr="00063000">
        <w:t xml:space="preserve"> The main studies that discuss Rabbi Meyuhas will be cited in the footnotes of this article.</w:t>
      </w:r>
    </w:p>
  </w:footnote>
  <w:footnote w:id="2">
    <w:p w14:paraId="2D46A60B" w14:textId="58A34DEF" w:rsidR="004C7FD3" w:rsidRDefault="004C7FD3" w:rsidP="001C6026">
      <w:pPr>
        <w:pStyle w:val="FootnoteText"/>
      </w:pPr>
      <w:r>
        <w:rPr>
          <w:rStyle w:val="FootnoteReference"/>
        </w:rPr>
        <w:footnoteRef/>
      </w:r>
      <w:r>
        <w:t xml:space="preserve"> </w:t>
      </w:r>
      <w:r w:rsidR="001C6026" w:rsidRPr="00063000">
        <w:t xml:space="preserve">Of the earlier studies, it bears mentioning: Leopold </w:t>
      </w:r>
      <w:proofErr w:type="spellStart"/>
      <w:r w:rsidR="001C6026" w:rsidRPr="00063000">
        <w:t>Zunz</w:t>
      </w:r>
      <w:proofErr w:type="spellEnd"/>
      <w:r w:rsidR="001C6026" w:rsidRPr="00063000">
        <w:t xml:space="preserve">, </w:t>
      </w:r>
      <w:proofErr w:type="spellStart"/>
      <w:r w:rsidR="001C6026" w:rsidRPr="00063000">
        <w:rPr>
          <w:i/>
          <w:iCs/>
        </w:rPr>
        <w:t>Literaturgeschichte</w:t>
      </w:r>
      <w:proofErr w:type="spellEnd"/>
      <w:r w:rsidR="001C6026" w:rsidRPr="00063000">
        <w:rPr>
          <w:i/>
          <w:iCs/>
        </w:rPr>
        <w:t xml:space="preserve"> der </w:t>
      </w:r>
      <w:proofErr w:type="spellStart"/>
      <w:r w:rsidR="001C6026" w:rsidRPr="00063000">
        <w:rPr>
          <w:i/>
          <w:iCs/>
        </w:rPr>
        <w:t>synagogalen</w:t>
      </w:r>
      <w:proofErr w:type="spellEnd"/>
      <w:r w:rsidR="001C6026" w:rsidRPr="00063000">
        <w:rPr>
          <w:i/>
          <w:iCs/>
        </w:rPr>
        <w:t xml:space="preserve"> </w:t>
      </w:r>
      <w:proofErr w:type="spellStart"/>
      <w:r w:rsidR="001C6026" w:rsidRPr="00063000">
        <w:rPr>
          <w:i/>
          <w:iCs/>
        </w:rPr>
        <w:t>Poesie</w:t>
      </w:r>
      <w:proofErr w:type="spellEnd"/>
      <w:r w:rsidR="001C6026" w:rsidRPr="00063000">
        <w:t xml:space="preserve"> (Berlin: L. </w:t>
      </w:r>
      <w:proofErr w:type="spellStart"/>
      <w:r w:rsidR="001C6026" w:rsidRPr="00063000">
        <w:t>Gerschel</w:t>
      </w:r>
      <w:proofErr w:type="spellEnd"/>
      <w:r w:rsidR="001C6026" w:rsidRPr="00063000">
        <w:t xml:space="preserve"> </w:t>
      </w:r>
      <w:proofErr w:type="spellStart"/>
      <w:r w:rsidR="001C6026" w:rsidRPr="00063000">
        <w:t>Verlagsbuchhandlung</w:t>
      </w:r>
      <w:proofErr w:type="spellEnd"/>
      <w:r w:rsidR="001C6026" w:rsidRPr="00063000">
        <w:t xml:space="preserve">, 1865), 386; George </w:t>
      </w:r>
      <w:proofErr w:type="spellStart"/>
      <w:r w:rsidR="001C6026" w:rsidRPr="00063000">
        <w:t>Margoliouth</w:t>
      </w:r>
      <w:proofErr w:type="spellEnd"/>
      <w:r w:rsidR="001C6026" w:rsidRPr="00063000">
        <w:t xml:space="preserve">, </w:t>
      </w:r>
      <w:r w:rsidR="001C6026" w:rsidRPr="00063000">
        <w:rPr>
          <w:i/>
          <w:iCs/>
        </w:rPr>
        <w:t>Catalogue of the Hebrew and Samaritan Manuscripts In the British Museum</w:t>
      </w:r>
      <w:r w:rsidR="001C6026" w:rsidRPr="00063000">
        <w:t>, (London: British Museum, 1965)</w:t>
      </w:r>
      <w:r w:rsidR="001C6026">
        <w:t xml:space="preserve"> 1:</w:t>
      </w:r>
      <w:r w:rsidR="001C6026" w:rsidRPr="00063000">
        <w:t xml:space="preserve">152; Moritz Steinschneider, “Catalogue of the Hebrew and Samaritan Manuscripts In the British Museum by G. </w:t>
      </w:r>
      <w:proofErr w:type="spellStart"/>
      <w:r w:rsidR="001C6026" w:rsidRPr="00063000">
        <w:t>Margoliouth</w:t>
      </w:r>
      <w:proofErr w:type="spellEnd"/>
      <w:r w:rsidR="001C6026" w:rsidRPr="00063000">
        <w:t xml:space="preserve">,” </w:t>
      </w:r>
      <w:r w:rsidR="001C6026" w:rsidRPr="00063000">
        <w:rPr>
          <w:i/>
          <w:iCs/>
        </w:rPr>
        <w:t>OLZ</w:t>
      </w:r>
      <w:r w:rsidR="001C6026" w:rsidRPr="00063000">
        <w:t xml:space="preserve"> 3 (1900)</w:t>
      </w:r>
      <w:r w:rsidR="001C6026">
        <w:t>:</w:t>
      </w:r>
      <w:r w:rsidR="001C6026" w:rsidRPr="00063000">
        <w:t xml:space="preserve"> 429; Samuel Poznanski, </w:t>
      </w:r>
      <w:r w:rsidR="001C6026">
        <w:t>“</w:t>
      </w:r>
      <w:proofErr w:type="spellStart"/>
      <w:r w:rsidR="001C6026" w:rsidRPr="00063000">
        <w:t>Meyouhas</w:t>
      </w:r>
      <w:proofErr w:type="spellEnd"/>
      <w:r w:rsidR="001C6026">
        <w:t>,”</w:t>
      </w:r>
      <w:r w:rsidR="001C6026" w:rsidRPr="00063000">
        <w:t xml:space="preserve"> </w:t>
      </w:r>
      <w:r w:rsidR="001C6026" w:rsidRPr="00063000">
        <w:rPr>
          <w:i/>
          <w:iCs/>
        </w:rPr>
        <w:t>REJ</w:t>
      </w:r>
      <w:r w:rsidR="001C6026" w:rsidRPr="00063000">
        <w:t xml:space="preserve"> 41 (1900)</w:t>
      </w:r>
      <w:r w:rsidR="001C6026">
        <w:t>:</w:t>
      </w:r>
      <w:r w:rsidR="001C6026" w:rsidRPr="00063000">
        <w:t xml:space="preserve"> 303; Samuel Poznanski, </w:t>
      </w:r>
      <w:r w:rsidR="001C6026">
        <w:t>“</w:t>
      </w:r>
      <w:r w:rsidR="001C6026" w:rsidRPr="00063000">
        <w:t>The Commentary of Rabbi Meyuhas b Elijah on the Pentateuch,</w:t>
      </w:r>
      <w:r w:rsidR="001C6026">
        <w:t xml:space="preserve">” </w:t>
      </w:r>
      <w:r w:rsidR="001C6026" w:rsidRPr="00063000">
        <w:rPr>
          <w:i/>
          <w:iCs/>
        </w:rPr>
        <w:t>REJ</w:t>
      </w:r>
      <w:r w:rsidR="001C6026" w:rsidRPr="00063000">
        <w:t xml:space="preserve"> 60 (1910)</w:t>
      </w:r>
      <w:r w:rsidR="001C6026">
        <w:t>:</w:t>
      </w:r>
      <w:r w:rsidR="001C6026" w:rsidRPr="00063000">
        <w:t xml:space="preserve"> 155; Samuel Krauss, </w:t>
      </w:r>
      <w:proofErr w:type="spellStart"/>
      <w:r w:rsidR="001C6026" w:rsidRPr="00063000">
        <w:rPr>
          <w:i/>
          <w:iCs/>
        </w:rPr>
        <w:t>Studien</w:t>
      </w:r>
      <w:proofErr w:type="spellEnd"/>
      <w:r w:rsidR="001C6026" w:rsidRPr="00063000">
        <w:rPr>
          <w:i/>
          <w:iCs/>
        </w:rPr>
        <w:t xml:space="preserve"> </w:t>
      </w:r>
      <w:proofErr w:type="spellStart"/>
      <w:r w:rsidR="001C6026" w:rsidRPr="00063000">
        <w:rPr>
          <w:i/>
          <w:iCs/>
        </w:rPr>
        <w:t>zur</w:t>
      </w:r>
      <w:proofErr w:type="spellEnd"/>
      <w:r w:rsidR="001C6026" w:rsidRPr="00063000">
        <w:rPr>
          <w:i/>
          <w:iCs/>
        </w:rPr>
        <w:t xml:space="preserve"> </w:t>
      </w:r>
      <w:proofErr w:type="spellStart"/>
      <w:r w:rsidR="001C6026" w:rsidRPr="00063000">
        <w:rPr>
          <w:i/>
          <w:iCs/>
        </w:rPr>
        <w:t>Byzantinisch-Jüdischen</w:t>
      </w:r>
      <w:proofErr w:type="spellEnd"/>
      <w:r w:rsidR="001C6026" w:rsidRPr="00063000">
        <w:rPr>
          <w:i/>
          <w:iCs/>
        </w:rPr>
        <w:t xml:space="preserve"> </w:t>
      </w:r>
      <w:proofErr w:type="spellStart"/>
      <w:r w:rsidR="001C6026" w:rsidRPr="00063000">
        <w:rPr>
          <w:i/>
          <w:iCs/>
        </w:rPr>
        <w:t>Geschichte</w:t>
      </w:r>
      <w:proofErr w:type="spellEnd"/>
      <w:r w:rsidR="001C6026" w:rsidRPr="00063000">
        <w:t xml:space="preserve"> (Leipzig: G. </w:t>
      </w:r>
      <w:proofErr w:type="spellStart"/>
      <w:r w:rsidR="001C6026" w:rsidRPr="00063000">
        <w:t>Fock</w:t>
      </w:r>
      <w:proofErr w:type="spellEnd"/>
      <w:r w:rsidR="001C6026" w:rsidRPr="00063000">
        <w:t xml:space="preserve">, 1914), 137; </w:t>
      </w:r>
      <w:r w:rsidR="009920F9" w:rsidRPr="00063000">
        <w:t>Albert William Greenup</w:t>
      </w:r>
      <w:r w:rsidR="00E919FE">
        <w:t>, introduction to</w:t>
      </w:r>
      <w:r w:rsidR="009920F9">
        <w:t xml:space="preserve"> </w:t>
      </w:r>
      <w:r w:rsidR="001C6026" w:rsidRPr="001C6026">
        <w:rPr>
          <w:i/>
          <w:iCs/>
          <w:highlight w:val="green"/>
        </w:rPr>
        <w:t>The Commentary of Rabbi Meyuhas B. Elijah on the Pentateuch (Exodus)</w:t>
      </w:r>
      <w:r w:rsidR="00E919FE">
        <w:t xml:space="preserve">, ed. </w:t>
      </w:r>
      <w:r w:rsidR="00E919FE" w:rsidRPr="00063000">
        <w:t>Albert William Greenup</w:t>
      </w:r>
      <w:r w:rsidR="00E919FE" w:rsidRPr="00063000">
        <w:t xml:space="preserve"> </w:t>
      </w:r>
      <w:r w:rsidR="001C6026" w:rsidRPr="00063000">
        <w:t xml:space="preserve">(Budapest: </w:t>
      </w:r>
      <w:proofErr w:type="spellStart"/>
      <w:r w:rsidR="001C6026" w:rsidRPr="00063000">
        <w:t>Typis</w:t>
      </w:r>
      <w:proofErr w:type="spellEnd"/>
      <w:r w:rsidR="001C6026" w:rsidRPr="00063000">
        <w:t xml:space="preserve"> Kohn </w:t>
      </w:r>
      <w:proofErr w:type="spellStart"/>
      <w:r w:rsidR="001C6026" w:rsidRPr="00063000">
        <w:t>Mor</w:t>
      </w:r>
      <w:proofErr w:type="spellEnd"/>
      <w:r w:rsidR="001C6026" w:rsidRPr="00063000">
        <w:t>, 1929)</w:t>
      </w:r>
      <w:r w:rsidR="001C6026">
        <w:t>,</w:t>
      </w:r>
      <w:r w:rsidR="001C6026" w:rsidRPr="00063000">
        <w:t xml:space="preserve"> 2</w:t>
      </w:r>
      <w:r w:rsidR="001C6026">
        <w:t>.</w:t>
      </w:r>
    </w:p>
  </w:footnote>
  <w:footnote w:id="3">
    <w:p w14:paraId="1DB01797" w14:textId="1AAAEEC3" w:rsidR="00316453" w:rsidRPr="00063000" w:rsidRDefault="00316453" w:rsidP="004C7FD3">
      <w:pPr>
        <w:pStyle w:val="FootnoteText"/>
        <w:rPr>
          <w:rtl/>
        </w:rPr>
      </w:pPr>
      <w:r w:rsidRPr="00063000">
        <w:rPr>
          <w:rStyle w:val="FootnoteReference"/>
          <w:rFonts w:cstheme="majorBidi"/>
          <w:szCs w:val="24"/>
        </w:rPr>
        <w:footnoteRef/>
      </w:r>
      <w:r w:rsidRPr="00063000">
        <w:t xml:space="preserve"> I.e., virility. See </w:t>
      </w:r>
      <w:proofErr w:type="spellStart"/>
      <w:r w:rsidRPr="00063000">
        <w:t>Evangelinus</w:t>
      </w:r>
      <w:proofErr w:type="spellEnd"/>
      <w:r w:rsidRPr="00063000">
        <w:t xml:space="preserve"> </w:t>
      </w:r>
      <w:proofErr w:type="spellStart"/>
      <w:r w:rsidRPr="00063000">
        <w:t>Apostolides</w:t>
      </w:r>
      <w:proofErr w:type="spellEnd"/>
      <w:r>
        <w:t xml:space="preserve"> </w:t>
      </w:r>
      <w:r w:rsidRPr="004E5E99">
        <w:t xml:space="preserve">Sophocles, </w:t>
      </w:r>
      <w:r w:rsidRPr="00063000">
        <w:rPr>
          <w:i/>
          <w:iCs/>
        </w:rPr>
        <w:t xml:space="preserve">Greek </w:t>
      </w:r>
      <w:r>
        <w:rPr>
          <w:i/>
          <w:iCs/>
        </w:rPr>
        <w:t>L</w:t>
      </w:r>
      <w:r w:rsidRPr="00063000">
        <w:rPr>
          <w:i/>
          <w:iCs/>
        </w:rPr>
        <w:t xml:space="preserve">exicon of the Roman and Byzantine </w:t>
      </w:r>
      <w:r>
        <w:rPr>
          <w:i/>
          <w:iCs/>
        </w:rPr>
        <w:t>P</w:t>
      </w:r>
      <w:r w:rsidRPr="00063000">
        <w:rPr>
          <w:i/>
          <w:iCs/>
        </w:rPr>
        <w:t>eriods (from B.C. 146 to A.D. 1100)</w:t>
      </w:r>
      <w:r w:rsidRPr="00063000">
        <w:t xml:space="preserve"> (New York:</w:t>
      </w:r>
      <w:r w:rsidR="009920F9">
        <w:t xml:space="preserve"> </w:t>
      </w:r>
      <w:r w:rsidRPr="00063000">
        <w:t>C. Scribner</w:t>
      </w:r>
      <w:r>
        <w:t>’</w:t>
      </w:r>
      <w:r w:rsidRPr="00063000">
        <w:t xml:space="preserve">s </w:t>
      </w:r>
      <w:r>
        <w:t>S</w:t>
      </w:r>
      <w:r w:rsidRPr="00063000">
        <w:t xml:space="preserve">ons, </w:t>
      </w:r>
      <w:r w:rsidRPr="004E5E99">
        <w:t>190</w:t>
      </w:r>
      <w:r>
        <w:t>0)</w:t>
      </w:r>
      <w:r w:rsidRPr="00063000">
        <w:t>, 158.</w:t>
      </w:r>
    </w:p>
  </w:footnote>
  <w:footnote w:id="4">
    <w:p w14:paraId="0785CB35" w14:textId="6A294229" w:rsidR="00316453" w:rsidRPr="00063000" w:rsidRDefault="00316453" w:rsidP="004C7FD3">
      <w:pPr>
        <w:pStyle w:val="FootnoteText"/>
        <w:rPr>
          <w:rtl/>
        </w:rPr>
      </w:pPr>
      <w:r w:rsidRPr="00063000">
        <w:rPr>
          <w:rStyle w:val="FootnoteReference"/>
          <w:rFonts w:cstheme="majorBidi"/>
          <w:szCs w:val="24"/>
        </w:rPr>
        <w:footnoteRef/>
      </w:r>
      <w:r w:rsidRPr="00063000">
        <w:t xml:space="preserve"> A garment worn over a cuirass. See Sophocles, </w:t>
      </w:r>
      <w:r w:rsidRPr="00063000">
        <w:rPr>
          <w:i/>
          <w:iCs/>
        </w:rPr>
        <w:t xml:space="preserve">Greek </w:t>
      </w:r>
      <w:r w:rsidRPr="004E5E99">
        <w:rPr>
          <w:i/>
          <w:iCs/>
        </w:rPr>
        <w:t>Lexicon</w:t>
      </w:r>
      <w:r>
        <w:t xml:space="preserve">, </w:t>
      </w:r>
      <w:r w:rsidRPr="004E5E99">
        <w:t>505</w:t>
      </w:r>
      <w:r w:rsidRPr="00063000">
        <w:t xml:space="preserve">. This is a common Byzantine military term that is attested beginning in the tenth century. For a discussion of this word and its meaning, see Maria </w:t>
      </w:r>
      <w:proofErr w:type="spellStart"/>
      <w:r w:rsidRPr="00063000">
        <w:t>Parani</w:t>
      </w:r>
      <w:proofErr w:type="spellEnd"/>
      <w:r w:rsidRPr="00063000">
        <w:t xml:space="preserve">, “Intercultural </w:t>
      </w:r>
      <w:r>
        <w:t>E</w:t>
      </w:r>
      <w:r w:rsidRPr="00063000">
        <w:t xml:space="preserve">xchange in the </w:t>
      </w:r>
      <w:r>
        <w:t>F</w:t>
      </w:r>
      <w:r w:rsidRPr="00063000">
        <w:t xml:space="preserve">ield of </w:t>
      </w:r>
      <w:r>
        <w:t>M</w:t>
      </w:r>
      <w:r w:rsidRPr="00063000">
        <w:t xml:space="preserve">aterial </w:t>
      </w:r>
      <w:r>
        <w:t>C</w:t>
      </w:r>
      <w:r w:rsidRPr="00063000">
        <w:t xml:space="preserve">ulture in the Eastern Mediterranean: </w:t>
      </w:r>
      <w:r>
        <w:t>T</w:t>
      </w:r>
      <w:r w:rsidRPr="00063000">
        <w:t xml:space="preserve">he </w:t>
      </w:r>
      <w:r>
        <w:t>E</w:t>
      </w:r>
      <w:r w:rsidRPr="00063000">
        <w:t xml:space="preserve">vidence of Byzantine </w:t>
      </w:r>
      <w:r>
        <w:t>L</w:t>
      </w:r>
      <w:r w:rsidRPr="00063000">
        <w:t xml:space="preserve">egal </w:t>
      </w:r>
      <w:r>
        <w:t>D</w:t>
      </w:r>
      <w:r w:rsidRPr="00063000">
        <w:t xml:space="preserve">ocuments (11th to 15th </w:t>
      </w:r>
      <w:r>
        <w:t>C</w:t>
      </w:r>
      <w:r w:rsidRPr="00063000">
        <w:t>enturies)</w:t>
      </w:r>
      <w:r>
        <w:t>,</w:t>
      </w:r>
      <w:r w:rsidRPr="00063000">
        <w:t>”</w:t>
      </w:r>
      <w:r>
        <w:t xml:space="preserve"> in</w:t>
      </w:r>
      <w:r w:rsidRPr="00063000">
        <w:t xml:space="preserve"> </w:t>
      </w:r>
      <w:proofErr w:type="spellStart"/>
      <w:r w:rsidRPr="00063000">
        <w:rPr>
          <w:i/>
          <w:iCs/>
        </w:rPr>
        <w:t>Diplomatics</w:t>
      </w:r>
      <w:proofErr w:type="spellEnd"/>
      <w:r w:rsidRPr="00063000">
        <w:rPr>
          <w:i/>
          <w:iCs/>
        </w:rPr>
        <w:t xml:space="preserve"> in the Eastern Mediterranean, 1000-1500: Aspects of Cross-Cultural Communication</w:t>
      </w:r>
      <w:r w:rsidRPr="00063000">
        <w:t xml:space="preserve">, ed. </w:t>
      </w:r>
      <w:r w:rsidR="009920F9" w:rsidRPr="009920F9">
        <w:t xml:space="preserve">Alexander </w:t>
      </w:r>
      <w:r w:rsidRPr="00063000">
        <w:t xml:space="preserve">D. </w:t>
      </w:r>
      <w:proofErr w:type="spellStart"/>
      <w:r w:rsidRPr="00063000">
        <w:t>Beihammer</w:t>
      </w:r>
      <w:proofErr w:type="spellEnd"/>
      <w:r w:rsidRPr="00063000">
        <w:t>, M</w:t>
      </w:r>
      <w:r w:rsidR="009920F9">
        <w:t>aria</w:t>
      </w:r>
      <w:r w:rsidRPr="00063000">
        <w:t xml:space="preserve"> G. </w:t>
      </w:r>
      <w:proofErr w:type="spellStart"/>
      <w:r w:rsidRPr="00063000">
        <w:t>Parani</w:t>
      </w:r>
      <w:proofErr w:type="spellEnd"/>
      <w:r>
        <w:t>,</w:t>
      </w:r>
      <w:r w:rsidRPr="00063000">
        <w:t xml:space="preserve"> and C</w:t>
      </w:r>
      <w:r w:rsidR="009920F9">
        <w:t>hris</w:t>
      </w:r>
      <w:r w:rsidRPr="00063000">
        <w:t xml:space="preserve"> D. </w:t>
      </w:r>
      <w:proofErr w:type="spellStart"/>
      <w:r w:rsidRPr="00063000">
        <w:t>Schabel</w:t>
      </w:r>
      <w:proofErr w:type="spellEnd"/>
      <w:r w:rsidRPr="00063000">
        <w:t>, (Leiden and Boston: Brill, 2008), 360–62.</w:t>
      </w:r>
    </w:p>
  </w:footnote>
  <w:footnote w:id="5">
    <w:p w14:paraId="32D17171" w14:textId="7E9F9828" w:rsidR="00316453" w:rsidRPr="00063000" w:rsidRDefault="00316453" w:rsidP="004C7FD3">
      <w:pPr>
        <w:pStyle w:val="FootnoteText"/>
        <w:rPr>
          <w:rtl/>
        </w:rPr>
      </w:pPr>
      <w:r w:rsidRPr="00063000">
        <w:rPr>
          <w:rStyle w:val="FootnoteReference"/>
          <w:rFonts w:cstheme="majorBidi"/>
          <w:szCs w:val="24"/>
        </w:rPr>
        <w:footnoteRef/>
      </w:r>
      <w:r w:rsidRPr="00063000">
        <w:t xml:space="preserve"> Meaning: the grove of a balsam tree. See Sophocles, </w:t>
      </w:r>
      <w:r w:rsidRPr="00063000">
        <w:rPr>
          <w:i/>
          <w:iCs/>
        </w:rPr>
        <w:t xml:space="preserve">Greek </w:t>
      </w:r>
      <w:r w:rsidRPr="004E5E99">
        <w:rPr>
          <w:i/>
          <w:iCs/>
        </w:rPr>
        <w:t>Lexicon</w:t>
      </w:r>
      <w:r>
        <w:t xml:space="preserve">, </w:t>
      </w:r>
      <w:r w:rsidRPr="00063000">
        <w:t>296.</w:t>
      </w:r>
    </w:p>
  </w:footnote>
  <w:footnote w:id="6">
    <w:p w14:paraId="36B79BB1" w14:textId="4296E30D" w:rsidR="00316453" w:rsidRPr="00063000" w:rsidRDefault="00316453" w:rsidP="009920F9">
      <w:pPr>
        <w:pStyle w:val="FootnoteText"/>
      </w:pPr>
      <w:r w:rsidRPr="00063000">
        <w:rPr>
          <w:rStyle w:val="FootnoteReference"/>
          <w:rFonts w:cstheme="majorBidi"/>
          <w:szCs w:val="24"/>
        </w:rPr>
        <w:footnoteRef/>
      </w:r>
      <w:r w:rsidRPr="00063000">
        <w:t xml:space="preserve"> It is unclear to which constellation Rabbi Meyuhas </w:t>
      </w:r>
      <w:r>
        <w:t>refers</w:t>
      </w:r>
      <w:r w:rsidRPr="00063000">
        <w:t>. He may be referring to either Scorpio or Orion. For attempts to identify the constellation, see</w:t>
      </w:r>
      <w:r w:rsidR="009920F9">
        <w:t xml:space="preserve"> </w:t>
      </w:r>
      <w:r w:rsidRPr="00063000">
        <w:t xml:space="preserve">Samuel Poznanski, </w:t>
      </w:r>
      <w:r>
        <w:t>“</w:t>
      </w:r>
      <w:proofErr w:type="spellStart"/>
      <w:r w:rsidRPr="00063000">
        <w:rPr>
          <w:rtl/>
        </w:rPr>
        <w:t>שקיפרנא</w:t>
      </w:r>
      <w:proofErr w:type="spellEnd"/>
      <w:r w:rsidRPr="00063000">
        <w:t xml:space="preserve"> </w:t>
      </w:r>
      <w:r>
        <w:t xml:space="preserve">und </w:t>
      </w:r>
      <w:proofErr w:type="spellStart"/>
      <w:r w:rsidRPr="00063000">
        <w:rPr>
          <w:rtl/>
        </w:rPr>
        <w:t>דרמודנא</w:t>
      </w:r>
      <w:proofErr w:type="spellEnd"/>
      <w:r>
        <w:t>,”</w:t>
      </w:r>
      <w:r w:rsidRPr="00063000">
        <w:t xml:space="preserve"> </w:t>
      </w:r>
      <w:proofErr w:type="spellStart"/>
      <w:r w:rsidRPr="00063000">
        <w:rPr>
          <w:i/>
          <w:iCs/>
        </w:rPr>
        <w:t>ZfHB</w:t>
      </w:r>
      <w:proofErr w:type="spellEnd"/>
      <w:r w:rsidRPr="00063000">
        <w:t xml:space="preserve"> 17 (1914)</w:t>
      </w:r>
      <w:r>
        <w:t>:</w:t>
      </w:r>
      <w:r w:rsidRPr="00063000">
        <w:t xml:space="preserve"> 18–19.</w:t>
      </w:r>
    </w:p>
    <w:p w14:paraId="3CDC9B5C" w14:textId="3AA662E4" w:rsidR="00316453" w:rsidRPr="00063000" w:rsidRDefault="00316453" w:rsidP="004C7FD3">
      <w:pPr>
        <w:pStyle w:val="FootnoteText"/>
        <w:rPr>
          <w:rtl/>
        </w:rPr>
      </w:pPr>
      <w:r w:rsidRPr="00063000">
        <w:t xml:space="preserve">My thanks to </w:t>
      </w:r>
      <w:r w:rsidRPr="00005427">
        <w:rPr>
          <w:highlight w:val="yellow"/>
        </w:rPr>
        <w:t xml:space="preserve">Dr. Alexei </w:t>
      </w:r>
      <w:proofErr w:type="spellStart"/>
      <w:r w:rsidRPr="00005427">
        <w:rPr>
          <w:highlight w:val="yellow"/>
        </w:rPr>
        <w:t>Yudisky</w:t>
      </w:r>
      <w:proofErr w:type="spellEnd"/>
      <w:r w:rsidRPr="00005427">
        <w:rPr>
          <w:highlight w:val="yellow"/>
        </w:rPr>
        <w:t xml:space="preserve"> </w:t>
      </w:r>
      <w:r w:rsidRPr="009920F9">
        <w:t xml:space="preserve">and </w:t>
      </w:r>
      <w:r w:rsidRPr="00803294">
        <w:t xml:space="preserve">Saskia Donitz </w:t>
      </w:r>
      <w:r w:rsidRPr="00063000">
        <w:t>for their assistance in understanding the Greek words cited. Greek (</w:t>
      </w:r>
      <w:r w:rsidRPr="00005427">
        <w:rPr>
          <w:rFonts w:hint="cs"/>
          <w:rtl/>
        </w:rPr>
        <w:t>לשון יון</w:t>
      </w:r>
      <w:r w:rsidRPr="00063000">
        <w:t>) is also mentioned in Rabbi Meyuhas’ commentary on Gen 9:27: “</w:t>
      </w:r>
      <w:r w:rsidRPr="00005427">
        <w:rPr>
          <w:i/>
          <w:iCs/>
        </w:rPr>
        <w:t>and let him live in the tents of Shem</w:t>
      </w:r>
      <w:r>
        <w:rPr>
          <w:rFonts w:hint="cs"/>
          <w:rtl/>
        </w:rPr>
        <w:t>—</w:t>
      </w:r>
      <w:r w:rsidRPr="00063000">
        <w:t>this is the Holy Temple. And [according to] the midrash of our Sages (</w:t>
      </w:r>
      <w:r>
        <w:t>b.</w:t>
      </w:r>
      <w:r w:rsidRPr="00063000">
        <w:t xml:space="preserve"> </w:t>
      </w:r>
      <w:proofErr w:type="spellStart"/>
      <w:r w:rsidRPr="00063000">
        <w:t>Megilla</w:t>
      </w:r>
      <w:proofErr w:type="spellEnd"/>
      <w:r w:rsidRPr="00063000">
        <w:t xml:space="preserve"> 9b) some of the beauty [</w:t>
      </w:r>
      <w:proofErr w:type="spellStart"/>
      <w:r>
        <w:rPr>
          <w:rFonts w:hint="cs"/>
          <w:rtl/>
        </w:rPr>
        <w:t>יפיות</w:t>
      </w:r>
      <w:proofErr w:type="spellEnd"/>
      <w:r w:rsidRPr="00063000">
        <w:t>] of Japheth shall be in the tents of Shem, and this refers to Greek, and based on this [verse, the Sages] permitted writing a Torah [scroll] in Greek.” For a discussion of the use of Greek to interpret biblical words among the sages of the Byzantine Empire, see Israel M. Ta-</w:t>
      </w:r>
      <w:proofErr w:type="spellStart"/>
      <w:r w:rsidRPr="00063000">
        <w:t>Shma</w:t>
      </w:r>
      <w:proofErr w:type="spellEnd"/>
      <w:r w:rsidRPr="00063000">
        <w:t xml:space="preserve">, </w:t>
      </w:r>
      <w:r w:rsidRPr="001E579B">
        <w:rPr>
          <w:i/>
          <w:iCs/>
          <w:highlight w:val="green"/>
        </w:rPr>
        <w:t>Studies in Medieval Rabbinic Literature, Part 3: Italy and Byzantium</w:t>
      </w:r>
      <w:r w:rsidRPr="00063000">
        <w:t xml:space="preserve"> (Jerusalem: Bialik Institute, 2005), 203</w:t>
      </w:r>
      <w:r>
        <w:t xml:space="preserve">; </w:t>
      </w:r>
      <w:r w:rsidR="009920F9" w:rsidRPr="00063000">
        <w:t xml:space="preserve">Aaron </w:t>
      </w:r>
      <w:proofErr w:type="spellStart"/>
      <w:r w:rsidR="009920F9" w:rsidRPr="00063000">
        <w:t>Ahrend</w:t>
      </w:r>
      <w:proofErr w:type="spellEnd"/>
      <w:r w:rsidR="009920F9">
        <w:t>, ed.</w:t>
      </w:r>
      <w:r w:rsidR="009920F9" w:rsidRPr="00063000">
        <w:t xml:space="preserve"> </w:t>
      </w:r>
      <w:proofErr w:type="spellStart"/>
      <w:r w:rsidRPr="001E579B">
        <w:rPr>
          <w:i/>
          <w:iCs/>
          <w:highlight w:val="green"/>
        </w:rPr>
        <w:t>Elef</w:t>
      </w:r>
      <w:proofErr w:type="spellEnd"/>
      <w:r w:rsidRPr="001E579B">
        <w:rPr>
          <w:i/>
          <w:iCs/>
          <w:highlight w:val="green"/>
        </w:rPr>
        <w:t xml:space="preserve"> Ha-Magen: The Commentary of Rabbi </w:t>
      </w:r>
      <w:proofErr w:type="spellStart"/>
      <w:r w:rsidRPr="001E579B">
        <w:rPr>
          <w:i/>
          <w:iCs/>
          <w:highlight w:val="green"/>
        </w:rPr>
        <w:t>Shemariah</w:t>
      </w:r>
      <w:proofErr w:type="spellEnd"/>
      <w:r w:rsidRPr="001E579B">
        <w:rPr>
          <w:i/>
          <w:iCs/>
          <w:highlight w:val="green"/>
        </w:rPr>
        <w:t xml:space="preserve"> Ben </w:t>
      </w:r>
      <w:proofErr w:type="spellStart"/>
      <w:r w:rsidRPr="001E579B">
        <w:rPr>
          <w:i/>
          <w:iCs/>
          <w:highlight w:val="green"/>
        </w:rPr>
        <w:t>Eliahu</w:t>
      </w:r>
      <w:proofErr w:type="spellEnd"/>
      <w:r w:rsidRPr="001E579B">
        <w:rPr>
          <w:i/>
          <w:iCs/>
          <w:highlight w:val="green"/>
        </w:rPr>
        <w:t xml:space="preserve"> Ha-</w:t>
      </w:r>
      <w:proofErr w:type="spellStart"/>
      <w:r w:rsidRPr="001E579B">
        <w:rPr>
          <w:i/>
          <w:iCs/>
          <w:highlight w:val="green"/>
        </w:rPr>
        <w:t>Ikriti</w:t>
      </w:r>
      <w:proofErr w:type="spellEnd"/>
      <w:r w:rsidRPr="001E579B">
        <w:rPr>
          <w:i/>
          <w:iCs/>
          <w:highlight w:val="green"/>
        </w:rPr>
        <w:t xml:space="preserve"> on the </w:t>
      </w:r>
      <w:proofErr w:type="spellStart"/>
      <w:r w:rsidRPr="001E579B">
        <w:rPr>
          <w:i/>
          <w:iCs/>
          <w:highlight w:val="green"/>
        </w:rPr>
        <w:t>Aggadoth</w:t>
      </w:r>
      <w:proofErr w:type="spellEnd"/>
      <w:r w:rsidRPr="001E579B">
        <w:rPr>
          <w:i/>
          <w:iCs/>
          <w:highlight w:val="green"/>
        </w:rPr>
        <w:t xml:space="preserve"> of Tractate </w:t>
      </w:r>
      <w:proofErr w:type="spellStart"/>
      <w:r w:rsidRPr="001E579B">
        <w:rPr>
          <w:i/>
          <w:iCs/>
          <w:highlight w:val="green"/>
        </w:rPr>
        <w:t>Megilla</w:t>
      </w:r>
      <w:proofErr w:type="spellEnd"/>
      <w:r w:rsidR="009920F9">
        <w:t xml:space="preserve"> </w:t>
      </w:r>
      <w:r w:rsidRPr="00063000">
        <w:t xml:space="preserve">(Jerusalem: </w:t>
      </w:r>
      <w:proofErr w:type="spellStart"/>
      <w:r w:rsidRPr="00063000">
        <w:t>Mekize</w:t>
      </w:r>
      <w:proofErr w:type="spellEnd"/>
      <w:r w:rsidRPr="00063000">
        <w:t xml:space="preserve"> </w:t>
      </w:r>
      <w:proofErr w:type="spellStart"/>
      <w:r w:rsidRPr="00063000">
        <w:t>Nirdamim</w:t>
      </w:r>
      <w:proofErr w:type="spellEnd"/>
      <w:r w:rsidRPr="00063000">
        <w:t>, 2002), 21.</w:t>
      </w:r>
    </w:p>
  </w:footnote>
  <w:footnote w:id="7">
    <w:p w14:paraId="7640EBE4" w14:textId="24D3C123" w:rsidR="00316453" w:rsidRPr="00063000" w:rsidRDefault="00316453" w:rsidP="004C7FD3">
      <w:pPr>
        <w:pStyle w:val="FootnoteText"/>
        <w:rPr>
          <w:rtl/>
        </w:rPr>
      </w:pPr>
      <w:r w:rsidRPr="00063000">
        <w:t>The Chi is also mentioned in the Mishnah</w:t>
      </w:r>
      <w:r>
        <w:t>—</w:t>
      </w:r>
      <w:r w:rsidRPr="00063000">
        <w:t>“the wafers [are] anointed. How did he anoint them? In the form of a ‘Chi’” (</w:t>
      </w:r>
      <w:r>
        <w:t xml:space="preserve">m. </w:t>
      </w:r>
      <w:proofErr w:type="spellStart"/>
      <w:r w:rsidRPr="00063000">
        <w:t>Menahot</w:t>
      </w:r>
      <w:proofErr w:type="spellEnd"/>
      <w:r w:rsidRPr="00063000">
        <w:t xml:space="preserve"> 6:3); “A mat whose reeds stretched lengthwise is insusceptible to uncleanness; But the </w:t>
      </w:r>
      <w:r w:rsidR="00C817F1">
        <w:rPr>
          <w:rFonts w:hint="cs"/>
        </w:rPr>
        <w:t>S</w:t>
      </w:r>
      <w:r w:rsidRPr="00063000">
        <w:t xml:space="preserve">ages rule: only if they lay in the shape of a </w:t>
      </w:r>
      <w:r w:rsidR="00C817F1">
        <w:rPr>
          <w:rFonts w:hint="cs"/>
        </w:rPr>
        <w:t>C</w:t>
      </w:r>
      <w:r w:rsidRPr="00063000">
        <w:t>hi”</w:t>
      </w:r>
      <w:r>
        <w:t>—</w:t>
      </w:r>
      <w:r w:rsidRPr="00063000">
        <w:t>as well as in other tannaitic sources.</w:t>
      </w:r>
      <w:r w:rsidR="00DB1244">
        <w:t xml:space="preserve"> </w:t>
      </w:r>
      <w:r w:rsidRPr="00063000">
        <w:t xml:space="preserve">The impression from these references is that the </w:t>
      </w:r>
      <w:r w:rsidR="00AE2A9E">
        <w:rPr>
          <w:rFonts w:hint="cs"/>
        </w:rPr>
        <w:t>S</w:t>
      </w:r>
      <w:r w:rsidRPr="00063000">
        <w:t>ages of the Mishnah, who lived in the Land of Israel</w:t>
      </w:r>
      <w:r>
        <w:t xml:space="preserve"> and </w:t>
      </w:r>
      <w:r w:rsidRPr="00063000">
        <w:t>spoke Greek, knew full well what a Chi was.</w:t>
      </w:r>
      <w:r w:rsidR="00DB1244">
        <w:t xml:space="preserve"> </w:t>
      </w:r>
      <w:r w:rsidRPr="00063000">
        <w:t xml:space="preserve">By contrast, the </w:t>
      </w:r>
      <w:r>
        <w:t>s</w:t>
      </w:r>
      <w:r w:rsidRPr="00063000">
        <w:t>ages of the Babylonian Talmud</w:t>
      </w:r>
      <w:r>
        <w:t xml:space="preserve">, </w:t>
      </w:r>
      <w:r w:rsidRPr="00063000">
        <w:t xml:space="preserve">who did not speak Greek, </w:t>
      </w:r>
      <w:r>
        <w:t>were forced to raise</w:t>
      </w:r>
      <w:r w:rsidRPr="00063000">
        <w:t xml:space="preserve"> various ideas as to the word’s precise implication: “</w:t>
      </w:r>
      <w:r>
        <w:t>W</w:t>
      </w:r>
      <w:r w:rsidRPr="00063000">
        <w:t xml:space="preserve">hat does ‘in the shape of a chi’ mean? Rav </w:t>
      </w:r>
      <w:proofErr w:type="spellStart"/>
      <w:r w:rsidRPr="00063000">
        <w:t>Menashya</w:t>
      </w:r>
      <w:proofErr w:type="spellEnd"/>
      <w:r w:rsidRPr="00063000">
        <w:t xml:space="preserve"> bar </w:t>
      </w:r>
      <w:proofErr w:type="spellStart"/>
      <w:r w:rsidRPr="00063000">
        <w:t>Gada</w:t>
      </w:r>
      <w:proofErr w:type="spellEnd"/>
      <w:r w:rsidRPr="00063000">
        <w:t xml:space="preserve"> said</w:t>
      </w:r>
      <w:r w:rsidR="000769F2">
        <w:rPr>
          <w:rFonts w:hint="cs"/>
          <w:rtl/>
        </w:rPr>
        <w:t>:</w:t>
      </w:r>
      <w:r w:rsidRPr="00063000">
        <w:t xml:space="preserve"> in the shape of a Greek </w:t>
      </w:r>
      <w:proofErr w:type="spellStart"/>
      <w:r w:rsidRPr="00A3522C">
        <w:rPr>
          <w:i/>
          <w:iCs/>
        </w:rPr>
        <w:t>Kaf</w:t>
      </w:r>
      <w:proofErr w:type="spellEnd"/>
      <w:r w:rsidRPr="00063000">
        <w:t>” (</w:t>
      </w:r>
      <w:r>
        <w:t>b.</w:t>
      </w:r>
      <w:r w:rsidRPr="00063000">
        <w:t xml:space="preserve"> </w:t>
      </w:r>
      <w:proofErr w:type="spellStart"/>
      <w:r w:rsidRPr="00063000">
        <w:t>Horayot</w:t>
      </w:r>
      <w:proofErr w:type="spellEnd"/>
      <w:r w:rsidRPr="00063000">
        <w:t xml:space="preserve"> 12a); “what does ‘in the shape of a chi’ mean? Rav </w:t>
      </w:r>
      <w:proofErr w:type="spellStart"/>
      <w:r w:rsidRPr="00063000">
        <w:t>Kahana</w:t>
      </w:r>
      <w:proofErr w:type="spellEnd"/>
      <w:r w:rsidRPr="00063000">
        <w:t xml:space="preserve"> said, in the shape of a Greek Chi.” (</w:t>
      </w:r>
      <w:r>
        <w:t>b.</w:t>
      </w:r>
      <w:r w:rsidRPr="00063000">
        <w:t xml:space="preserve"> </w:t>
      </w:r>
      <w:proofErr w:type="spellStart"/>
      <w:r w:rsidRPr="00063000">
        <w:t>Menahot</w:t>
      </w:r>
      <w:proofErr w:type="spellEnd"/>
      <w:r w:rsidRPr="00063000">
        <w:t xml:space="preserve"> 75a). </w:t>
      </w:r>
      <w:r>
        <w:t>M</w:t>
      </w:r>
      <w:r w:rsidRPr="00063000">
        <w:t xml:space="preserve">edieval exegetes who lived outside of the Byzantine Empire </w:t>
      </w:r>
      <w:r>
        <w:t>were completely unacquainted with the implication of the word</w:t>
      </w:r>
      <w:r w:rsidRPr="00063000">
        <w:t xml:space="preserve">. See for example: “The </w:t>
      </w:r>
      <w:r>
        <w:rPr>
          <w:rFonts w:hint="cs"/>
          <w:rtl/>
        </w:rPr>
        <w:t>קונטרס</w:t>
      </w:r>
      <w:r w:rsidRPr="00063000">
        <w:t xml:space="preserve"> [Rashi]</w:t>
      </w:r>
      <w:r>
        <w:t xml:space="preserve"> </w:t>
      </w:r>
      <w:r w:rsidRPr="00A3522C">
        <w:rPr>
          <w:color w:val="FF0000"/>
          <w:highlight w:val="yellow"/>
        </w:rPr>
        <w:t>[yes?]</w:t>
      </w:r>
      <w:r w:rsidRPr="00A3522C">
        <w:rPr>
          <w:color w:val="FF0000"/>
        </w:rPr>
        <w:t xml:space="preserve"> </w:t>
      </w:r>
      <w:r w:rsidRPr="00063000">
        <w:t xml:space="preserve">drew the shape of a </w:t>
      </w:r>
      <w:r w:rsidRPr="00A3522C">
        <w:rPr>
          <w:rFonts w:hint="cs"/>
          <w:i/>
          <w:iCs/>
        </w:rPr>
        <w:t>T</w:t>
      </w:r>
      <w:r w:rsidRPr="00A3522C">
        <w:rPr>
          <w:i/>
          <w:iCs/>
        </w:rPr>
        <w:t>et</w:t>
      </w:r>
      <w:r w:rsidRPr="00063000">
        <w:t xml:space="preserve">. And in [his] commentaries on the Pentateuch, he explained that it was a </w:t>
      </w:r>
      <w:r w:rsidRPr="00A3522C">
        <w:rPr>
          <w:i/>
          <w:iCs/>
        </w:rPr>
        <w:t>Gimel</w:t>
      </w:r>
      <w:r w:rsidRPr="00063000">
        <w:t xml:space="preserve">. And some interpret </w:t>
      </w:r>
      <w:r>
        <w:t xml:space="preserve">that it is </w:t>
      </w:r>
      <w:r w:rsidRPr="00063000">
        <w:t xml:space="preserve">like the shape of a </w:t>
      </w:r>
      <w:r w:rsidRPr="00A3522C">
        <w:rPr>
          <w:i/>
          <w:iCs/>
        </w:rPr>
        <w:t>Nun</w:t>
      </w:r>
      <w:r w:rsidRPr="00063000">
        <w:t xml:space="preserve"> or the shape of a </w:t>
      </w:r>
      <w:proofErr w:type="spellStart"/>
      <w:r w:rsidRPr="00A3522C">
        <w:rPr>
          <w:i/>
          <w:iCs/>
        </w:rPr>
        <w:t>Kaf</w:t>
      </w:r>
      <w:proofErr w:type="spellEnd"/>
      <w:r w:rsidRPr="00063000">
        <w:t>. And Arukh interprets [...]</w:t>
      </w:r>
      <w:r w:rsidR="000769F2">
        <w:t>.</w:t>
      </w:r>
      <w:r w:rsidRPr="00063000">
        <w:t>” (</w:t>
      </w:r>
      <w:r>
        <w:t>b.</w:t>
      </w:r>
      <w:r w:rsidRPr="00063000">
        <w:t xml:space="preserve"> </w:t>
      </w:r>
      <w:proofErr w:type="spellStart"/>
      <w:r w:rsidRPr="00063000">
        <w:t>Menahot</w:t>
      </w:r>
      <w:proofErr w:type="spellEnd"/>
      <w:r w:rsidRPr="00063000">
        <w:t xml:space="preserve"> 75a, </w:t>
      </w:r>
      <w:proofErr w:type="spellStart"/>
      <w:r w:rsidRPr="00063000">
        <w:t>Tosafot</w:t>
      </w:r>
      <w:proofErr w:type="spellEnd"/>
      <w:r w:rsidRPr="00063000">
        <w:t xml:space="preserve">, </w:t>
      </w:r>
      <w:proofErr w:type="spellStart"/>
      <w:r w:rsidRPr="00063000">
        <w:t>s.v.</w:t>
      </w:r>
      <w:proofErr w:type="spellEnd"/>
      <w:r w:rsidRPr="00063000">
        <w:t xml:space="preserve"> </w:t>
      </w:r>
      <w:r>
        <w:rPr>
          <w:rFonts w:hint="cs"/>
          <w:rtl/>
        </w:rPr>
        <w:t>כמין כי</w:t>
      </w:r>
      <w:r w:rsidRPr="00A3522C">
        <w:t>)</w:t>
      </w:r>
      <w:r w:rsidRPr="00063000">
        <w:rPr>
          <w:i/>
          <w:iCs/>
        </w:rPr>
        <w:t xml:space="preserve">. </w:t>
      </w:r>
      <w:r w:rsidRPr="00063000">
        <w:t xml:space="preserve">See Saul Lieberman, </w:t>
      </w:r>
      <w:proofErr w:type="spellStart"/>
      <w:r w:rsidRPr="00652026">
        <w:rPr>
          <w:i/>
          <w:iCs/>
          <w:highlight w:val="green"/>
        </w:rPr>
        <w:t>Tosefta</w:t>
      </w:r>
      <w:proofErr w:type="spellEnd"/>
      <w:r w:rsidRPr="00652026">
        <w:rPr>
          <w:i/>
          <w:iCs/>
          <w:highlight w:val="green"/>
        </w:rPr>
        <w:t xml:space="preserve"> Ki-</w:t>
      </w:r>
      <w:proofErr w:type="spellStart"/>
      <w:r w:rsidRPr="00652026">
        <w:rPr>
          <w:i/>
          <w:iCs/>
          <w:highlight w:val="green"/>
        </w:rPr>
        <w:t>fshutah</w:t>
      </w:r>
      <w:proofErr w:type="spellEnd"/>
      <w:r w:rsidRPr="00652026">
        <w:rPr>
          <w:i/>
          <w:iCs/>
          <w:highlight w:val="green"/>
        </w:rPr>
        <w:t xml:space="preserve"> - A Comprehensive Commentary on the </w:t>
      </w:r>
      <w:proofErr w:type="spellStart"/>
      <w:r w:rsidRPr="00652026">
        <w:rPr>
          <w:i/>
          <w:iCs/>
          <w:highlight w:val="green"/>
        </w:rPr>
        <w:t>Tosefta</w:t>
      </w:r>
      <w:proofErr w:type="spellEnd"/>
      <w:r w:rsidRPr="00652026">
        <w:rPr>
          <w:i/>
          <w:iCs/>
          <w:highlight w:val="green"/>
        </w:rPr>
        <w:t xml:space="preserve">, Part I Order </w:t>
      </w:r>
      <w:proofErr w:type="spellStart"/>
      <w:r w:rsidRPr="00652026">
        <w:rPr>
          <w:i/>
          <w:iCs/>
          <w:highlight w:val="green"/>
        </w:rPr>
        <w:t>Zeraim</w:t>
      </w:r>
      <w:proofErr w:type="spellEnd"/>
      <w:r w:rsidRPr="00063000">
        <w:t xml:space="preserve"> (New York: JTS</w:t>
      </w:r>
      <w:r w:rsidR="000769F2">
        <w:t xml:space="preserve"> </w:t>
      </w:r>
      <w:r w:rsidR="000769F2" w:rsidRPr="000769F2">
        <w:rPr>
          <w:color w:val="FF0000"/>
          <w:highlight w:val="yellow"/>
        </w:rPr>
        <w:t>[or JPS?]</w:t>
      </w:r>
      <w:r w:rsidRPr="000769F2">
        <w:rPr>
          <w:color w:val="FF0000"/>
          <w:highlight w:val="yellow"/>
        </w:rPr>
        <w:t>,</w:t>
      </w:r>
      <w:r w:rsidRPr="000769F2">
        <w:rPr>
          <w:color w:val="FF0000"/>
        </w:rPr>
        <w:t xml:space="preserve"> </w:t>
      </w:r>
      <w:r w:rsidRPr="00063000">
        <w:t xml:space="preserve">1955), 345–46 and </w:t>
      </w:r>
      <w:proofErr w:type="spellStart"/>
      <w:r w:rsidRPr="00063000">
        <w:t>n</w:t>
      </w:r>
      <w:r w:rsidR="000769F2">
        <w:t>n</w:t>
      </w:r>
      <w:proofErr w:type="spellEnd"/>
      <w:r w:rsidRPr="00063000">
        <w:t>. 39, 41</w:t>
      </w:r>
      <w:r>
        <w:t xml:space="preserve">. </w:t>
      </w:r>
      <w:r w:rsidRPr="00063000">
        <w:t>Unlike these commentators, Rabbi Meyuhas was very much familiar with the Greek letter.</w:t>
      </w:r>
      <w:r w:rsidRPr="00063000">
        <w:rPr>
          <w:rtl/>
        </w:rPr>
        <w:t xml:space="preserve"> </w:t>
      </w:r>
    </w:p>
  </w:footnote>
  <w:footnote w:id="8">
    <w:p w14:paraId="33A67101" w14:textId="046B6109" w:rsidR="00316453" w:rsidRPr="00063000" w:rsidRDefault="00316453" w:rsidP="004C7FD3">
      <w:pPr>
        <w:pStyle w:val="FootnoteText"/>
      </w:pPr>
      <w:r w:rsidRPr="00063000">
        <w:rPr>
          <w:rStyle w:val="FootnoteReference"/>
          <w:rFonts w:cstheme="majorBidi"/>
          <w:szCs w:val="24"/>
        </w:rPr>
        <w:footnoteRef/>
      </w:r>
      <w:r w:rsidRPr="00063000">
        <w:t xml:space="preserve"> Menahem </w:t>
      </w:r>
      <w:proofErr w:type="spellStart"/>
      <w:r w:rsidRPr="00063000">
        <w:t>Kahana</w:t>
      </w:r>
      <w:proofErr w:type="spellEnd"/>
      <w:r w:rsidRPr="00063000">
        <w:t xml:space="preserve">, </w:t>
      </w:r>
      <w:r>
        <w:t>“</w:t>
      </w:r>
      <w:r w:rsidRPr="00652026">
        <w:rPr>
          <w:highlight w:val="green"/>
        </w:rPr>
        <w:t xml:space="preserve">Prolegomena to a New Edition of the </w:t>
      </w:r>
      <w:proofErr w:type="spellStart"/>
      <w:r w:rsidRPr="00652026">
        <w:rPr>
          <w:highlight w:val="green"/>
        </w:rPr>
        <w:t>Sifre</w:t>
      </w:r>
      <w:proofErr w:type="spellEnd"/>
      <w:r w:rsidRPr="00652026">
        <w:rPr>
          <w:highlight w:val="green"/>
        </w:rPr>
        <w:t xml:space="preserve"> on Numbers</w:t>
      </w:r>
      <w:r>
        <w:t>”</w:t>
      </w:r>
      <w:r w:rsidRPr="00063000">
        <w:t xml:space="preserve"> (PhD. Diss., Hebrew University, 1982), 254–61</w:t>
      </w:r>
      <w:r>
        <w:t>.</w:t>
      </w:r>
    </w:p>
  </w:footnote>
  <w:footnote w:id="9">
    <w:p w14:paraId="134A11DA" w14:textId="793AB073"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 xml:space="preserve">Lev 11:38; Num 7:16; </w:t>
      </w:r>
      <w:proofErr w:type="spellStart"/>
      <w:r w:rsidRPr="00063000">
        <w:t>Deut</w:t>
      </w:r>
      <w:proofErr w:type="spellEnd"/>
      <w:r w:rsidRPr="00063000">
        <w:t xml:space="preserve"> 1:46. </w:t>
      </w:r>
      <w:r>
        <w:t>The contents of these three</w:t>
      </w:r>
      <w:r w:rsidRPr="00063000">
        <w:t xml:space="preserve"> citations appear ad verbatim in the extant version of Rabbi Meyuhas’ commentary. It therefore, may very well be </w:t>
      </w:r>
      <w:r>
        <w:t>that</w:t>
      </w:r>
      <w:r w:rsidRPr="00063000">
        <w:t xml:space="preserve"> the one surviving manuscript of Rabbi Meyuhas’ commentary is the same one </w:t>
      </w:r>
      <w:r w:rsidR="000769F2">
        <w:t xml:space="preserve">that was </w:t>
      </w:r>
      <w:r w:rsidRPr="00063000">
        <w:t>used by Rabbi Elijah Mizrahi.</w:t>
      </w:r>
    </w:p>
  </w:footnote>
  <w:footnote w:id="10">
    <w:p w14:paraId="1B9B8D8C" w14:textId="5A3EB138"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The manuscript is part of the Cairo Genizah collection. It is written in Byzantine-Sephardic script and includes a collection of homilies, traditions, and ethical discussions (F64143).</w:t>
      </w:r>
      <w:r w:rsidR="00DB1244">
        <w:t xml:space="preserve"> </w:t>
      </w:r>
      <w:r w:rsidRPr="00063000">
        <w:t>The first citation on folios 23r</w:t>
      </w:r>
      <w:r>
        <w:t>–</w:t>
      </w:r>
      <w:r w:rsidRPr="00063000">
        <w:t>23v appears (with some small changes) in the printed edition of Rabbi Meyuhas’ commentary on Leviticus 19:14. The second citation, on folios 31r-31v</w:t>
      </w:r>
      <w:r w:rsidR="000769F2">
        <w:t>,</w:t>
      </w:r>
      <w:r w:rsidRPr="00063000">
        <w:t xml:space="preserve"> seems to be taken from Rabbi Meyuhas’ lost commentary on Ecclesiastes. See below.</w:t>
      </w:r>
      <w:r w:rsidRPr="00063000">
        <w:rPr>
          <w:rtl/>
        </w:rPr>
        <w:t xml:space="preserve"> </w:t>
      </w:r>
    </w:p>
  </w:footnote>
  <w:footnote w:id="11">
    <w:p w14:paraId="3991F3EC" w14:textId="029A67A0" w:rsidR="00316453" w:rsidRPr="00063000" w:rsidRDefault="00316453" w:rsidP="004C7FD3">
      <w:pPr>
        <w:pStyle w:val="FootnoteText"/>
      </w:pPr>
      <w:r w:rsidRPr="00063000">
        <w:rPr>
          <w:rStyle w:val="FootnoteReference"/>
          <w:rFonts w:cstheme="majorBidi"/>
          <w:szCs w:val="24"/>
        </w:rPr>
        <w:footnoteRef/>
      </w:r>
      <w:r w:rsidRPr="00063000">
        <w:t xml:space="preserve">The manuscript is part of the Cairo Genizah collection (F19583). Other Byzantine sages mentioned in this manuscript </w:t>
      </w:r>
      <w:r w:rsidR="000769F2">
        <w:t>include</w:t>
      </w:r>
      <w:r w:rsidRPr="00063000">
        <w:t xml:space="preserve">: Rabbi Jacob ben Reuben and Rabbi </w:t>
      </w:r>
      <w:proofErr w:type="spellStart"/>
      <w:r w:rsidRPr="00063000">
        <w:t>Tobiah</w:t>
      </w:r>
      <w:proofErr w:type="spellEnd"/>
      <w:r w:rsidRPr="00063000">
        <w:t xml:space="preserve"> ben Eliezer.</w:t>
      </w:r>
      <w:r w:rsidRPr="00063000">
        <w:rPr>
          <w:rtl/>
        </w:rPr>
        <w:t xml:space="preserve"> </w:t>
      </w:r>
    </w:p>
  </w:footnote>
  <w:footnote w:id="12">
    <w:p w14:paraId="2F478A30" w14:textId="73876B8B" w:rsidR="00316453" w:rsidRPr="00063000" w:rsidRDefault="00316453" w:rsidP="004C7FD3">
      <w:pPr>
        <w:pStyle w:val="FootnoteText"/>
        <w:rPr>
          <w:rtl/>
        </w:rPr>
      </w:pPr>
      <w:r w:rsidRPr="00063000">
        <w:rPr>
          <w:rStyle w:val="FootnoteReference"/>
          <w:rFonts w:cstheme="majorBidi"/>
          <w:szCs w:val="24"/>
        </w:rPr>
        <w:footnoteRef/>
      </w:r>
      <w:r w:rsidRPr="00063000">
        <w:t xml:space="preserve"> </w:t>
      </w:r>
      <w:proofErr w:type="spellStart"/>
      <w:r w:rsidRPr="00063000">
        <w:t>Zunz</w:t>
      </w:r>
      <w:proofErr w:type="spellEnd"/>
      <w:r w:rsidRPr="00063000">
        <w:t xml:space="preserve">, </w:t>
      </w:r>
      <w:proofErr w:type="spellStart"/>
      <w:r w:rsidRPr="000769F2">
        <w:rPr>
          <w:i/>
          <w:iCs/>
        </w:rPr>
        <w:t>Literaturgeschichte</w:t>
      </w:r>
      <w:proofErr w:type="spellEnd"/>
      <w:r w:rsidRPr="000769F2">
        <w:rPr>
          <w:i/>
          <w:iCs/>
        </w:rPr>
        <w:t xml:space="preserve"> der </w:t>
      </w:r>
      <w:proofErr w:type="spellStart"/>
      <w:r w:rsidRPr="000769F2">
        <w:rPr>
          <w:i/>
          <w:iCs/>
        </w:rPr>
        <w:t>synagogalen</w:t>
      </w:r>
      <w:proofErr w:type="spellEnd"/>
      <w:r w:rsidRPr="000769F2">
        <w:rPr>
          <w:i/>
          <w:iCs/>
        </w:rPr>
        <w:t xml:space="preserve"> </w:t>
      </w:r>
      <w:proofErr w:type="spellStart"/>
      <w:r w:rsidRPr="000769F2">
        <w:rPr>
          <w:i/>
          <w:iCs/>
        </w:rPr>
        <w:t>Poesie</w:t>
      </w:r>
      <w:proofErr w:type="spellEnd"/>
      <w:r w:rsidRPr="00063000">
        <w:t>, 386</w:t>
      </w:r>
      <w:r>
        <w:t>–</w:t>
      </w:r>
      <w:r w:rsidRPr="00063000">
        <w:t xml:space="preserve">87. </w:t>
      </w:r>
    </w:p>
  </w:footnote>
  <w:footnote w:id="13">
    <w:p w14:paraId="668D2B07" w14:textId="6F7C345C" w:rsidR="00316453" w:rsidRPr="00063000" w:rsidRDefault="00316453" w:rsidP="004C7FD3">
      <w:pPr>
        <w:pStyle w:val="FootnoteText"/>
      </w:pPr>
      <w:r w:rsidRPr="00063000">
        <w:rPr>
          <w:rStyle w:val="FootnoteReference"/>
          <w:rFonts w:cstheme="majorBidi"/>
          <w:szCs w:val="24"/>
        </w:rPr>
        <w:footnoteRef/>
      </w:r>
      <w:r>
        <w:t xml:space="preserve"> </w:t>
      </w:r>
      <w:r w:rsidRPr="00063000">
        <w:t xml:space="preserve">Like the Hebrew, it means “good family.” My thanks to Professor </w:t>
      </w:r>
      <w:r w:rsidR="007643B3" w:rsidRPr="007643B3">
        <w:t xml:space="preserve">Aaron </w:t>
      </w:r>
      <w:proofErr w:type="spellStart"/>
      <w:r w:rsidR="007643B3" w:rsidRPr="007643B3">
        <w:t>Demsky</w:t>
      </w:r>
      <w:proofErr w:type="spellEnd"/>
      <w:r w:rsidR="007643B3">
        <w:t xml:space="preserve"> </w:t>
      </w:r>
      <w:r w:rsidRPr="00063000">
        <w:t xml:space="preserve">for bringing this to my </w:t>
      </w:r>
      <w:r w:rsidR="007643B3">
        <w:t>attention.</w:t>
      </w:r>
    </w:p>
  </w:footnote>
  <w:footnote w:id="14">
    <w:p w14:paraId="50B89258" w14:textId="7034E444" w:rsidR="00316453" w:rsidRPr="00063000" w:rsidRDefault="00316453" w:rsidP="004C7FD3">
      <w:pPr>
        <w:pStyle w:val="FootnoteText"/>
      </w:pPr>
      <w:r w:rsidRPr="00063000">
        <w:rPr>
          <w:rStyle w:val="FootnoteReference"/>
          <w:rFonts w:cstheme="majorBidi"/>
          <w:szCs w:val="24"/>
        </w:rPr>
        <w:footnoteRef/>
      </w:r>
      <w:r>
        <w:t xml:space="preserve"> </w:t>
      </w:r>
      <w:r w:rsidRPr="00063000">
        <w:t>For example: “</w:t>
      </w:r>
      <w:r>
        <w:rPr>
          <w:rFonts w:hint="cs"/>
          <w:rtl/>
        </w:rPr>
        <w:t>כביר</w:t>
      </w:r>
      <w:r w:rsidR="00DC1A8D">
        <w:t>. I</w:t>
      </w:r>
      <w:r w:rsidRPr="00063000">
        <w:t>n Arabic this means large and strong” (Job 8:2).</w:t>
      </w:r>
    </w:p>
  </w:footnote>
  <w:footnote w:id="15">
    <w:p w14:paraId="53D31BE6" w14:textId="4F971132" w:rsidR="00316453" w:rsidRPr="00063000" w:rsidRDefault="00316453" w:rsidP="004C7FD3">
      <w:pPr>
        <w:pStyle w:val="FootnoteText"/>
        <w:rPr>
          <w:rtl/>
        </w:rPr>
      </w:pPr>
      <w:r w:rsidRPr="00063000">
        <w:rPr>
          <w:rStyle w:val="FootnoteReference"/>
          <w:rFonts w:cstheme="majorBidi"/>
          <w:szCs w:val="24"/>
        </w:rPr>
        <w:footnoteRef/>
      </w:r>
      <w:r>
        <w:rPr>
          <w:rFonts w:hint="cs"/>
          <w:rtl/>
        </w:rPr>
        <w:t xml:space="preserve"> </w:t>
      </w:r>
      <w:r w:rsidRPr="00063000">
        <w:t xml:space="preserve">Gen 18:6; Lev 18:23; 20:16; Num 22:31; 1 </w:t>
      </w:r>
      <w:proofErr w:type="spellStart"/>
      <w:r w:rsidRPr="00063000">
        <w:t>Chr</w:t>
      </w:r>
      <w:proofErr w:type="spellEnd"/>
      <w:r w:rsidRPr="00063000">
        <w:t xml:space="preserve"> 21:7. In all five instances, Rabbi Isaac proposes an interpretation of a difficult word by making recourse to Aramaic.</w:t>
      </w:r>
      <w:r w:rsidR="00DB1244">
        <w:t xml:space="preserve"> </w:t>
      </w:r>
      <w:r w:rsidRPr="00063000">
        <w:t>Based on these citations, we can cautiously propose that besides his famous commentaries on the Former Prophets, Rabbi Isaac also wrote a commentary on the Pentateuch</w:t>
      </w:r>
      <w:r>
        <w:rPr>
          <w:rFonts w:hint="eastAsia"/>
          <w:rtl/>
        </w:rPr>
        <w:t>—</w:t>
      </w:r>
      <w:r w:rsidRPr="00063000">
        <w:t xml:space="preserve">a possibility, that has yet to be considered in scholarship. For a discussion of Rabbi Isaac ben Samuel, see Uriel Simon, </w:t>
      </w:r>
      <w:r>
        <w:t>“</w:t>
      </w:r>
      <w:r w:rsidRPr="00063000">
        <w:t xml:space="preserve">The </w:t>
      </w:r>
      <w:r>
        <w:t>C</w:t>
      </w:r>
      <w:r w:rsidRPr="00063000">
        <w:t>ontribution of R. Isaac b. Samuel Al-</w:t>
      </w:r>
      <w:proofErr w:type="spellStart"/>
      <w:r w:rsidRPr="00063000">
        <w:t>Kansi</w:t>
      </w:r>
      <w:proofErr w:type="spellEnd"/>
      <w:r w:rsidRPr="00063000">
        <w:t xml:space="preserve"> to the Spanish School of Biblical Interpretation</w:t>
      </w:r>
      <w:r>
        <w:t>,”</w:t>
      </w:r>
      <w:r w:rsidRPr="00063000">
        <w:t xml:space="preserve"> </w:t>
      </w:r>
      <w:r w:rsidRPr="00063000">
        <w:rPr>
          <w:i/>
          <w:iCs/>
        </w:rPr>
        <w:t>JJS</w:t>
      </w:r>
      <w:r w:rsidRPr="00063000">
        <w:t xml:space="preserve"> 34 (1983)</w:t>
      </w:r>
      <w:r>
        <w:t>:</w:t>
      </w:r>
      <w:r w:rsidRPr="00063000">
        <w:t xml:space="preserve"> 171–78.</w:t>
      </w:r>
    </w:p>
  </w:footnote>
  <w:footnote w:id="16">
    <w:p w14:paraId="14799070" w14:textId="7D2A90EF" w:rsidR="00316453" w:rsidRPr="00063000" w:rsidRDefault="00316453" w:rsidP="004C7FD3">
      <w:pPr>
        <w:pStyle w:val="FootnoteText"/>
      </w:pPr>
      <w:r w:rsidRPr="00063000">
        <w:rPr>
          <w:rStyle w:val="FootnoteReference"/>
          <w:rFonts w:cstheme="majorBidi"/>
          <w:szCs w:val="24"/>
        </w:rPr>
        <w:footnoteRef/>
      </w:r>
      <w:r w:rsidRPr="00063000">
        <w:rPr>
          <w:rtl/>
        </w:rPr>
        <w:t xml:space="preserve"> </w:t>
      </w:r>
      <w:r w:rsidRPr="00BA5DCD">
        <w:t xml:space="preserve">My thanks to </w:t>
      </w:r>
      <w:r w:rsidRPr="00BA5DCD">
        <w:rPr>
          <w:highlight w:val="yellow"/>
        </w:rPr>
        <w:t xml:space="preserve">Dr. </w:t>
      </w:r>
      <w:proofErr w:type="spellStart"/>
      <w:r w:rsidRPr="00BA5DCD">
        <w:rPr>
          <w:highlight w:val="yellow"/>
        </w:rPr>
        <w:t>Hanokh</w:t>
      </w:r>
      <w:proofErr w:type="spellEnd"/>
      <w:r w:rsidRPr="00BA5DCD">
        <w:rPr>
          <w:highlight w:val="yellow"/>
        </w:rPr>
        <w:t xml:space="preserve"> Gamliel</w:t>
      </w:r>
      <w:r w:rsidRPr="00BA5DCD">
        <w:t xml:space="preserve"> who brought this issue to my attention.</w:t>
      </w:r>
      <w:r w:rsidR="002267DE">
        <w:t xml:space="preserve"> For a discussion of </w:t>
      </w:r>
      <w:r w:rsidR="002267DE" w:rsidRPr="000725E9">
        <w:rPr>
          <w:rFonts w:hint="cs"/>
          <w:sz w:val="22"/>
          <w:szCs w:val="22"/>
          <w:highlight w:val="magenta"/>
          <w:rtl/>
        </w:rPr>
        <w:t>מקוצץ</w:t>
      </w:r>
      <w:r w:rsidR="002267DE">
        <w:rPr>
          <w:sz w:val="22"/>
          <w:szCs w:val="22"/>
        </w:rPr>
        <w:t xml:space="preserve"> and </w:t>
      </w:r>
      <w:proofErr w:type="spellStart"/>
      <w:r w:rsidR="002267DE" w:rsidRPr="000725E9">
        <w:rPr>
          <w:rFonts w:hint="cs"/>
          <w:sz w:val="22"/>
          <w:szCs w:val="22"/>
          <w:highlight w:val="magenta"/>
          <w:rtl/>
        </w:rPr>
        <w:t>מוצדר</w:t>
      </w:r>
      <w:proofErr w:type="spellEnd"/>
      <w:r w:rsidR="002267DE">
        <w:rPr>
          <w:sz w:val="22"/>
          <w:szCs w:val="22"/>
        </w:rPr>
        <w:t xml:space="preserve"> in Arabic, see Poznanski, “</w:t>
      </w:r>
      <w:proofErr w:type="spellStart"/>
      <w:r w:rsidR="002267DE">
        <w:rPr>
          <w:sz w:val="22"/>
          <w:szCs w:val="22"/>
        </w:rPr>
        <w:t>Meyouhas</w:t>
      </w:r>
      <w:proofErr w:type="spellEnd"/>
      <w:r w:rsidR="002267DE">
        <w:rPr>
          <w:sz w:val="22"/>
          <w:szCs w:val="22"/>
        </w:rPr>
        <w:t>,” 303.</w:t>
      </w:r>
    </w:p>
  </w:footnote>
  <w:footnote w:id="17">
    <w:p w14:paraId="323B03CF" w14:textId="76B2B3C4" w:rsidR="00316453" w:rsidRDefault="00316453" w:rsidP="004C7FD3">
      <w:pPr>
        <w:pStyle w:val="FootnoteText"/>
      </w:pPr>
      <w:r>
        <w:rPr>
          <w:rStyle w:val="FootnoteReference"/>
        </w:rPr>
        <w:footnoteRef/>
      </w:r>
      <w:r>
        <w:t xml:space="preserve"> </w:t>
      </w:r>
      <w:r w:rsidRPr="00063000">
        <w:t xml:space="preserve">See for example, </w:t>
      </w:r>
      <w:proofErr w:type="spellStart"/>
      <w:r w:rsidRPr="00063000">
        <w:t>Zvi</w:t>
      </w:r>
      <w:proofErr w:type="spellEnd"/>
      <w:r w:rsidRPr="00063000">
        <w:t xml:space="preserve"> </w:t>
      </w:r>
      <w:proofErr w:type="spellStart"/>
      <w:r w:rsidRPr="00063000">
        <w:t>Ankori</w:t>
      </w:r>
      <w:proofErr w:type="spellEnd"/>
      <w:r w:rsidRPr="00063000">
        <w:t>,</w:t>
      </w:r>
      <w:r w:rsidRPr="00063000">
        <w:rPr>
          <w:i/>
          <w:iCs/>
        </w:rPr>
        <w:t xml:space="preserve"> Karaites in Byzantium</w:t>
      </w:r>
      <w:r>
        <w:t xml:space="preserve">: </w:t>
      </w:r>
      <w:r w:rsidRPr="00063000">
        <w:rPr>
          <w:i/>
          <w:iCs/>
        </w:rPr>
        <w:t>The Formative Years 970–1100</w:t>
      </w:r>
      <w:r w:rsidRPr="00063000">
        <w:t xml:space="preserve"> (New York: Columbia University Press, 1959), 190–93.</w:t>
      </w:r>
    </w:p>
  </w:footnote>
  <w:footnote w:id="18">
    <w:p w14:paraId="54549998" w14:textId="45DB52DD" w:rsidR="00316453" w:rsidRPr="00063000" w:rsidRDefault="00316453" w:rsidP="004C7FD3">
      <w:pPr>
        <w:pStyle w:val="FootnoteText"/>
      </w:pPr>
      <w:r w:rsidRPr="00063000">
        <w:rPr>
          <w:rStyle w:val="FootnoteReference"/>
          <w:rFonts w:cstheme="majorBidi"/>
          <w:szCs w:val="24"/>
        </w:rPr>
        <w:footnoteRef/>
      </w:r>
      <w:r w:rsidRPr="00063000">
        <w:t xml:space="preserve"> Abraham David, </w:t>
      </w:r>
      <w:r>
        <w:t>“</w:t>
      </w:r>
      <w:r w:rsidRPr="00B63556">
        <w:rPr>
          <w:highlight w:val="green"/>
        </w:rPr>
        <w:t xml:space="preserve">On the Life of R. Elazar ben he-Hasid R. </w:t>
      </w:r>
      <w:proofErr w:type="spellStart"/>
      <w:r w:rsidRPr="00B63556">
        <w:rPr>
          <w:highlight w:val="green"/>
        </w:rPr>
        <w:t>Mattityah</w:t>
      </w:r>
      <w:proofErr w:type="spellEnd"/>
      <w:r w:rsidRPr="00B63556">
        <w:rPr>
          <w:highlight w:val="green"/>
        </w:rPr>
        <w:t xml:space="preserve"> - a Sage of Eretz Israel(?) in the 13</w:t>
      </w:r>
      <w:r w:rsidRPr="00B63556">
        <w:rPr>
          <w:highlight w:val="green"/>
          <w:vertAlign w:val="superscript"/>
        </w:rPr>
        <w:t>th</w:t>
      </w:r>
      <w:r w:rsidRPr="00B63556">
        <w:rPr>
          <w:highlight w:val="green"/>
        </w:rPr>
        <w:t xml:space="preserve"> Century</w:t>
      </w:r>
      <w:r w:rsidRPr="00063000">
        <w:t>,</w:t>
      </w:r>
      <w:r>
        <w:t>”</w:t>
      </w:r>
      <w:r w:rsidRPr="00063000">
        <w:t xml:space="preserve"> </w:t>
      </w:r>
      <w:proofErr w:type="spellStart"/>
      <w:r w:rsidRPr="00063000">
        <w:rPr>
          <w:i/>
          <w:iCs/>
        </w:rPr>
        <w:t>Kiryat</w:t>
      </w:r>
      <w:proofErr w:type="spellEnd"/>
      <w:r w:rsidRPr="00063000">
        <w:rPr>
          <w:i/>
          <w:iCs/>
        </w:rPr>
        <w:t xml:space="preserve"> </w:t>
      </w:r>
      <w:proofErr w:type="spellStart"/>
      <w:r w:rsidRPr="00063000">
        <w:rPr>
          <w:i/>
          <w:iCs/>
        </w:rPr>
        <w:t>Sefer</w:t>
      </w:r>
      <w:proofErr w:type="spellEnd"/>
      <w:r w:rsidRPr="00063000">
        <w:t xml:space="preserve"> 63 (1990–1991)</w:t>
      </w:r>
      <w:r>
        <w:t>:</w:t>
      </w:r>
      <w:r w:rsidRPr="00063000">
        <w:t xml:space="preserve"> 997–98</w:t>
      </w:r>
      <w:r>
        <w:t>.</w:t>
      </w:r>
    </w:p>
  </w:footnote>
  <w:footnote w:id="19">
    <w:p w14:paraId="4C952C8B" w14:textId="5321C9FC"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 xml:space="preserve">Gen 1:1; 2:4; 5:2; 6:9 (twice); 23:20; 24:21; 21:25; 43:11; Num 14:14; </w:t>
      </w:r>
      <w:proofErr w:type="spellStart"/>
      <w:r w:rsidRPr="00063000">
        <w:t>Deut</w:t>
      </w:r>
      <w:proofErr w:type="spellEnd"/>
      <w:r w:rsidRPr="00063000">
        <w:t xml:space="preserve"> 32:2; 32:8; Job 4:7; </w:t>
      </w:r>
      <w:r>
        <w:t xml:space="preserve">2 </w:t>
      </w:r>
      <w:proofErr w:type="spellStart"/>
      <w:r>
        <w:t>Chr</w:t>
      </w:r>
      <w:proofErr w:type="spellEnd"/>
      <w:r w:rsidRPr="00063000">
        <w:t xml:space="preserve"> 34:24</w:t>
      </w:r>
      <w:r>
        <w:t>.</w:t>
      </w:r>
    </w:p>
  </w:footnote>
  <w:footnote w:id="20">
    <w:p w14:paraId="11DA9F8C" w14:textId="2E61BE3B" w:rsidR="00316453" w:rsidRPr="00063000" w:rsidRDefault="00316453" w:rsidP="004C7FD3">
      <w:pPr>
        <w:pStyle w:val="FootnoteText"/>
        <w:rPr>
          <w:rtl/>
        </w:rPr>
      </w:pPr>
      <w:r w:rsidRPr="00063000">
        <w:rPr>
          <w:rStyle w:val="FootnoteReference"/>
          <w:rFonts w:cstheme="majorBidi"/>
          <w:szCs w:val="24"/>
        </w:rPr>
        <w:footnoteRef/>
      </w:r>
      <w:r>
        <w:t xml:space="preserve"> Ms.</w:t>
      </w:r>
      <w:r w:rsidRPr="00063000">
        <w:t xml:space="preserve"> </w:t>
      </w:r>
      <w:r>
        <w:t xml:space="preserve">London, </w:t>
      </w:r>
      <w:r w:rsidRPr="00063000">
        <w:t>British Library</w:t>
      </w:r>
      <w:r>
        <w:t xml:space="preserve">, </w:t>
      </w:r>
      <w:r w:rsidRPr="00063000">
        <w:t>Add. 19970</w:t>
      </w:r>
      <w:r w:rsidRPr="00063000">
        <w:rPr>
          <w:rtl/>
        </w:rPr>
        <w:t xml:space="preserve"> </w:t>
      </w:r>
      <w:r>
        <w:t>(F</w:t>
      </w:r>
      <w:r w:rsidRPr="00063000">
        <w:t xml:space="preserve">5015). The page numbers </w:t>
      </w:r>
      <w:r>
        <w:t>are indicated at</w:t>
      </w:r>
      <w:r w:rsidRPr="00063000">
        <w:t xml:space="preserve"> the top of </w:t>
      </w:r>
      <w:r>
        <w:t>each</w:t>
      </w:r>
      <w:r w:rsidRPr="00063000">
        <w:t xml:space="preserve"> recto </w:t>
      </w:r>
      <w:r>
        <w:t>in</w:t>
      </w:r>
      <w:r w:rsidRPr="00063000">
        <w:t xml:space="preserve"> both </w:t>
      </w:r>
      <w:r>
        <w:t xml:space="preserve">Hebrew </w:t>
      </w:r>
      <w:r w:rsidRPr="00063000">
        <w:t>letters and</w:t>
      </w:r>
      <w:r>
        <w:t xml:space="preserve"> Arabic</w:t>
      </w:r>
      <w:r w:rsidRPr="00063000">
        <w:t xml:space="preserve"> </w:t>
      </w:r>
      <w:r>
        <w:t>numerals</w:t>
      </w:r>
      <w:r w:rsidR="000725E9">
        <w:t>.</w:t>
      </w:r>
      <w:r w:rsidRPr="00063000">
        <w:t xml:space="preserve"> </w:t>
      </w:r>
      <w:r w:rsidR="000725E9">
        <w:t>T</w:t>
      </w:r>
      <w:r w:rsidRPr="00063000">
        <w:t>he numbers reach 257</w:t>
      </w:r>
      <w:r>
        <w:t xml:space="preserve"> in total</w:t>
      </w:r>
      <w:r w:rsidRPr="00063000">
        <w:t>, the letters 267.</w:t>
      </w:r>
      <w:r w:rsidR="00DB1244">
        <w:t xml:space="preserve"> </w:t>
      </w:r>
      <w:r w:rsidRPr="00063000">
        <w:t>The discrepancy between</w:t>
      </w:r>
      <w:r>
        <w:t xml:space="preserve"> the</w:t>
      </w:r>
      <w:r w:rsidRPr="00063000">
        <w:t xml:space="preserve"> counts is a result of a</w:t>
      </w:r>
      <w:r>
        <w:t>n erroneous</w:t>
      </w:r>
      <w:r w:rsidRPr="00063000">
        <w:t xml:space="preserve"> skip in the letter counting (the letters skip from 229 to 240).</w:t>
      </w:r>
    </w:p>
  </w:footnote>
  <w:footnote w:id="21">
    <w:p w14:paraId="0B27898A" w14:textId="1DD79918" w:rsidR="00316453" w:rsidRPr="00063000" w:rsidRDefault="00316453" w:rsidP="004C7FD3">
      <w:pPr>
        <w:pStyle w:val="FootnoteText"/>
      </w:pPr>
      <w:r w:rsidRPr="00063000">
        <w:rPr>
          <w:rStyle w:val="FootnoteReference"/>
          <w:rFonts w:cstheme="majorBidi"/>
          <w:szCs w:val="24"/>
        </w:rPr>
        <w:footnoteRef/>
      </w:r>
      <w:r>
        <w:t xml:space="preserve"> It</w:t>
      </w:r>
      <w:r w:rsidRPr="00063000">
        <w:t xml:space="preserve"> appears that the manuscript was</w:t>
      </w:r>
      <w:r>
        <w:t xml:space="preserve">, in fact, </w:t>
      </w:r>
      <w:r w:rsidRPr="00063000">
        <w:t>copied by three different scribes, a point I hope to discuss elsewhere.</w:t>
      </w:r>
    </w:p>
  </w:footnote>
  <w:footnote w:id="22">
    <w:p w14:paraId="06D43825" w14:textId="6995A53D" w:rsidR="00316453" w:rsidRPr="00063000" w:rsidRDefault="00316453" w:rsidP="004C7FD3">
      <w:pPr>
        <w:pStyle w:val="FootnoteText"/>
      </w:pPr>
      <w:r w:rsidRPr="00063000">
        <w:rPr>
          <w:rStyle w:val="FootnoteReference"/>
          <w:rFonts w:cstheme="majorBidi"/>
          <w:szCs w:val="24"/>
        </w:rPr>
        <w:footnoteRef/>
      </w:r>
      <w:r>
        <w:t xml:space="preserve"> </w:t>
      </w:r>
      <w:r w:rsidRPr="00063000">
        <w:t xml:space="preserve">The commentary on Genesis was published by Albert William Greenup and C.H. </w:t>
      </w:r>
      <w:proofErr w:type="spellStart"/>
      <w:r w:rsidRPr="00063000">
        <w:t>Titterton</w:t>
      </w:r>
      <w:proofErr w:type="spellEnd"/>
      <w:r w:rsidRPr="00063000">
        <w:t xml:space="preserve"> in London 1909</w:t>
      </w:r>
      <w:r w:rsidR="00D536F0">
        <w:t>.</w:t>
      </w:r>
      <w:r w:rsidRPr="00063000">
        <w:t xml:space="preserve"> </w:t>
      </w:r>
      <w:r w:rsidR="00D536F0">
        <w:t>T</w:t>
      </w:r>
      <w:r w:rsidRPr="00063000">
        <w:t>he commentary on Exodus was printed by Albert William Greenup in Budapest in 1929</w:t>
      </w:r>
      <w:r w:rsidR="00614749">
        <w:t>.</w:t>
      </w:r>
      <w:r w:rsidRPr="00063000">
        <w:t xml:space="preserve"> </w:t>
      </w:r>
      <w:r w:rsidR="00614749">
        <w:t>T</w:t>
      </w:r>
      <w:r w:rsidRPr="00063000">
        <w:t>he commentary on Leviticus was printed twice, once by Yehiel Micha</w:t>
      </w:r>
      <w:r>
        <w:t>e</w:t>
      </w:r>
      <w:r w:rsidRPr="00063000">
        <w:t>l Katz in New York in 1997 and again by Yitzchak Har-</w:t>
      </w:r>
      <w:proofErr w:type="spellStart"/>
      <w:r w:rsidRPr="00063000">
        <w:t>Shoshanim</w:t>
      </w:r>
      <w:proofErr w:type="spellEnd"/>
      <w:r w:rsidRPr="00063000">
        <w:t xml:space="preserve"> in </w:t>
      </w:r>
      <w:proofErr w:type="spellStart"/>
      <w:r w:rsidRPr="00063000">
        <w:t>Bnei</w:t>
      </w:r>
      <w:proofErr w:type="spellEnd"/>
      <w:r w:rsidRPr="00063000">
        <w:t xml:space="preserve"> </w:t>
      </w:r>
      <w:proofErr w:type="spellStart"/>
      <w:r w:rsidRPr="00063000">
        <w:t>Brak</w:t>
      </w:r>
      <w:proofErr w:type="spellEnd"/>
      <w:r w:rsidR="00581BC5">
        <w:t xml:space="preserve"> in</w:t>
      </w:r>
      <w:r w:rsidRPr="00063000">
        <w:t xml:space="preserve"> 2005.</w:t>
      </w:r>
      <w:r w:rsidR="00DB1244">
        <w:t xml:space="preserve"> </w:t>
      </w:r>
      <w:r w:rsidRPr="00063000">
        <w:t xml:space="preserve">The second printer was unaware of </w:t>
      </w:r>
      <w:r w:rsidR="00F74596">
        <w:t>existence of the earlier edition.</w:t>
      </w:r>
      <w:r w:rsidRPr="00063000">
        <w:t xml:space="preserve"> </w:t>
      </w:r>
      <w:r w:rsidR="00F74596">
        <w:t>S</w:t>
      </w:r>
      <w:r w:rsidRPr="00063000">
        <w:t xml:space="preserve">ee </w:t>
      </w:r>
      <w:r w:rsidR="00F74596" w:rsidRPr="00063000">
        <w:t>Yitzchak Har-</w:t>
      </w:r>
      <w:proofErr w:type="spellStart"/>
      <w:r w:rsidR="00F74596" w:rsidRPr="00063000">
        <w:t>Shoshanim</w:t>
      </w:r>
      <w:proofErr w:type="spellEnd"/>
      <w:r w:rsidR="00F74596">
        <w:t>, ed.</w:t>
      </w:r>
      <w:r w:rsidR="00F74596" w:rsidRPr="007A571E">
        <w:rPr>
          <w:i/>
          <w:iCs/>
          <w:highlight w:val="green"/>
        </w:rPr>
        <w:t xml:space="preserve"> </w:t>
      </w:r>
      <w:r w:rsidRPr="007A571E">
        <w:rPr>
          <w:i/>
          <w:iCs/>
          <w:highlight w:val="green"/>
        </w:rPr>
        <w:t>The Commentary of Rabbi Meyuhas on Leviticus</w:t>
      </w:r>
      <w:r w:rsidR="00DC0097">
        <w:t xml:space="preserve"> </w:t>
      </w:r>
      <w:r w:rsidRPr="00063000">
        <w:t>(</w:t>
      </w:r>
      <w:proofErr w:type="spellStart"/>
      <w:r>
        <w:t>Bnei</w:t>
      </w:r>
      <w:proofErr w:type="spellEnd"/>
      <w:r w:rsidRPr="00063000">
        <w:t xml:space="preserve"> </w:t>
      </w:r>
      <w:proofErr w:type="spellStart"/>
      <w:r w:rsidRPr="00063000">
        <w:t>Brak</w:t>
      </w:r>
      <w:proofErr w:type="spellEnd"/>
      <w:r w:rsidRPr="00063000">
        <w:t>, 2005), 3, 5</w:t>
      </w:r>
      <w:r>
        <w:t xml:space="preserve">. </w:t>
      </w:r>
      <w:r w:rsidRPr="00063000">
        <w:t>Brin, who wrote a critique of the second edition, was also unaware of the first. See Gershon Brin, “</w:t>
      </w:r>
      <w:r w:rsidRPr="007A571E">
        <w:rPr>
          <w:highlight w:val="green"/>
          <w:rtl/>
        </w:rPr>
        <w:t>עם הופעת הפירוש לספר ויקרא של ר'</w:t>
      </w:r>
      <w:r>
        <w:rPr>
          <w:rFonts w:hint="cs"/>
          <w:highlight w:val="green"/>
          <w:rtl/>
        </w:rPr>
        <w:t xml:space="preserve"> </w:t>
      </w:r>
      <w:r w:rsidRPr="007A571E">
        <w:rPr>
          <w:highlight w:val="green"/>
          <w:rtl/>
        </w:rPr>
        <w:t xml:space="preserve">מיוחס </w:t>
      </w:r>
      <w:proofErr w:type="spellStart"/>
      <w:r w:rsidRPr="007A571E">
        <w:rPr>
          <w:highlight w:val="green"/>
          <w:rtl/>
        </w:rPr>
        <w:t>ב"ר</w:t>
      </w:r>
      <w:proofErr w:type="spellEnd"/>
      <w:r w:rsidRPr="007A571E">
        <w:rPr>
          <w:highlight w:val="green"/>
          <w:rtl/>
        </w:rPr>
        <w:t xml:space="preserve"> אליהו</w:t>
      </w:r>
      <w:r w:rsidR="00FF56F0">
        <w:t>,</w:t>
      </w:r>
      <w:r w:rsidRPr="00063000">
        <w:t xml:space="preserve">” </w:t>
      </w:r>
      <w:r w:rsidRPr="00063000">
        <w:rPr>
          <w:i/>
          <w:iCs/>
        </w:rPr>
        <w:t xml:space="preserve">Sinai </w:t>
      </w:r>
      <w:r w:rsidRPr="00063000">
        <w:t xml:space="preserve">140 (2007): 125. The commentary on Numbers was printed by Shlomo </w:t>
      </w:r>
      <w:proofErr w:type="spellStart"/>
      <w:r w:rsidRPr="00A4714C">
        <w:rPr>
          <w:highlight w:val="yellow"/>
        </w:rPr>
        <w:t>Feerleich</w:t>
      </w:r>
      <w:proofErr w:type="spellEnd"/>
      <w:r w:rsidRPr="00063000">
        <w:t xml:space="preserve"> in Jerusalem in 1977. The commentary on Deuteronomy was printed by Yehiel Micha</w:t>
      </w:r>
      <w:r>
        <w:t>e</w:t>
      </w:r>
      <w:r w:rsidRPr="00063000">
        <w:t>l Katz in Jerusalem</w:t>
      </w:r>
      <w:r w:rsidR="00F82C6F">
        <w:t xml:space="preserve"> in</w:t>
      </w:r>
      <w:r w:rsidRPr="00063000">
        <w:t xml:space="preserve"> 1968.</w:t>
      </w:r>
      <w:r w:rsidR="00DB1244">
        <w:t xml:space="preserve"> </w:t>
      </w:r>
    </w:p>
  </w:footnote>
  <w:footnote w:id="23">
    <w:p w14:paraId="167AA216" w14:textId="7713C5BB" w:rsidR="00316453" w:rsidRPr="00063000" w:rsidRDefault="00316453" w:rsidP="004C7FD3">
      <w:pPr>
        <w:pStyle w:val="FootnoteText"/>
        <w:rPr>
          <w:rtl/>
        </w:rPr>
      </w:pPr>
      <w:r w:rsidRPr="00063000">
        <w:rPr>
          <w:rStyle w:val="FootnoteReference"/>
          <w:rFonts w:cstheme="majorBidi"/>
          <w:szCs w:val="24"/>
        </w:rPr>
        <w:footnoteRef/>
      </w:r>
      <w:r w:rsidRPr="00063000">
        <w:t xml:space="preserve"> See Charles B. </w:t>
      </w:r>
      <w:proofErr w:type="spellStart"/>
      <w:r w:rsidRPr="00063000">
        <w:t>Chavel</w:t>
      </w:r>
      <w:proofErr w:type="spellEnd"/>
      <w:r w:rsidRPr="00063000">
        <w:t xml:space="preserve">, </w:t>
      </w:r>
      <w:r w:rsidR="00F82C6F" w:rsidRPr="00F82C6F">
        <w:t xml:space="preserve">introduction to </w:t>
      </w:r>
      <w:r w:rsidRPr="00D87187">
        <w:rPr>
          <w:i/>
          <w:iCs/>
          <w:highlight w:val="green"/>
        </w:rPr>
        <w:t xml:space="preserve">A Commentary on the Book of Job by </w:t>
      </w:r>
      <w:proofErr w:type="spellStart"/>
      <w:r w:rsidRPr="00D87187">
        <w:rPr>
          <w:i/>
          <w:iCs/>
          <w:highlight w:val="green"/>
        </w:rPr>
        <w:t>Rabbenu</w:t>
      </w:r>
      <w:proofErr w:type="spellEnd"/>
      <w:r w:rsidRPr="00D87187">
        <w:rPr>
          <w:i/>
          <w:iCs/>
          <w:highlight w:val="green"/>
        </w:rPr>
        <w:t xml:space="preserve"> </w:t>
      </w:r>
      <w:proofErr w:type="spellStart"/>
      <w:r w:rsidRPr="00D87187">
        <w:rPr>
          <w:i/>
          <w:iCs/>
          <w:highlight w:val="green"/>
        </w:rPr>
        <w:t>Meyuchos</w:t>
      </w:r>
      <w:proofErr w:type="spellEnd"/>
      <w:r w:rsidRPr="00D87187">
        <w:rPr>
          <w:i/>
          <w:iCs/>
          <w:highlight w:val="green"/>
        </w:rPr>
        <w:t xml:space="preserve"> ben Eliyahu</w:t>
      </w:r>
      <w:r w:rsidRPr="00D87187">
        <w:rPr>
          <w:highlight w:val="green"/>
        </w:rPr>
        <w:t>,</w:t>
      </w:r>
      <w:r w:rsidRPr="00063000">
        <w:t xml:space="preserve"> ed. Charles B. </w:t>
      </w:r>
      <w:proofErr w:type="spellStart"/>
      <w:r w:rsidRPr="00063000">
        <w:t>Chavel</w:t>
      </w:r>
      <w:proofErr w:type="spellEnd"/>
      <w:r w:rsidRPr="00063000">
        <w:t xml:space="preserve"> (New York: Philipp </w:t>
      </w:r>
      <w:proofErr w:type="spellStart"/>
      <w:r w:rsidRPr="00063000">
        <w:t>Feldheim</w:t>
      </w:r>
      <w:proofErr w:type="spellEnd"/>
      <w:r w:rsidRPr="00063000">
        <w:t xml:space="preserve"> Inc., 1969), 6–7</w:t>
      </w:r>
      <w:r>
        <w:t>.</w:t>
      </w:r>
    </w:p>
  </w:footnote>
  <w:footnote w:id="24">
    <w:p w14:paraId="79A8D3C5" w14:textId="53D0CBC9" w:rsidR="00316453" w:rsidRPr="00063000" w:rsidRDefault="00316453" w:rsidP="004C7FD3">
      <w:pPr>
        <w:pStyle w:val="FootnoteText"/>
        <w:rPr>
          <w:rtl/>
        </w:rPr>
      </w:pPr>
      <w:r w:rsidRPr="00063000">
        <w:rPr>
          <w:rStyle w:val="FootnoteReference"/>
          <w:rFonts w:cstheme="majorBidi"/>
          <w:szCs w:val="24"/>
        </w:rPr>
        <w:footnoteRef/>
      </w:r>
      <w:r>
        <w:t xml:space="preserve"> </w:t>
      </w:r>
      <w:proofErr w:type="spellStart"/>
      <w:r w:rsidRPr="00063000">
        <w:t>Margoliouth</w:t>
      </w:r>
      <w:proofErr w:type="spellEnd"/>
      <w:r w:rsidRPr="00063000">
        <w:t xml:space="preserve">, </w:t>
      </w:r>
      <w:r w:rsidRPr="005965A0">
        <w:rPr>
          <w:i/>
          <w:iCs/>
        </w:rPr>
        <w:t>Catalogue of the Hebrew and Samaritan Manuscripts</w:t>
      </w:r>
      <w:r>
        <w:t>, 152</w:t>
      </w:r>
      <w:r w:rsidRPr="00063000">
        <w:t>.</w:t>
      </w:r>
      <w:r w:rsidRPr="00063000">
        <w:rPr>
          <w:rtl/>
        </w:rPr>
        <w:t xml:space="preserve"> </w:t>
      </w:r>
    </w:p>
  </w:footnote>
  <w:footnote w:id="25">
    <w:p w14:paraId="5CD12C18" w14:textId="348EA7D5" w:rsidR="00316453" w:rsidRPr="00063000" w:rsidRDefault="00316453" w:rsidP="004C7FD3">
      <w:pPr>
        <w:pStyle w:val="FootnoteText"/>
      </w:pPr>
      <w:r w:rsidRPr="00063000">
        <w:rPr>
          <w:rStyle w:val="FootnoteReference"/>
          <w:rFonts w:cstheme="majorBidi"/>
          <w:szCs w:val="24"/>
        </w:rPr>
        <w:footnoteRef/>
      </w:r>
      <w:proofErr w:type="spellStart"/>
      <w:r w:rsidRPr="00063000">
        <w:t>Margoliouth</w:t>
      </w:r>
      <w:proofErr w:type="spellEnd"/>
      <w:r w:rsidRPr="00063000">
        <w:t xml:space="preserve"> claimed that the interpretation cited in the name of Ibn Ezra does not appear in his extant commentaries. </w:t>
      </w:r>
      <w:proofErr w:type="spellStart"/>
      <w:r w:rsidRPr="00063000">
        <w:t>Freis</w:t>
      </w:r>
      <w:proofErr w:type="spellEnd"/>
      <w:r w:rsidRPr="00063000">
        <w:t xml:space="preserve"> suggested a minor emendation of the text which would indeed make </w:t>
      </w:r>
      <w:r w:rsidR="000A3274">
        <w:t>a</w:t>
      </w:r>
      <w:r w:rsidRPr="00063000">
        <w:t xml:space="preserve"> reference to a passage in Ibn Ezra’s commentary on the Pentateuch. See Aron </w:t>
      </w:r>
      <w:proofErr w:type="spellStart"/>
      <w:r w:rsidRPr="00063000">
        <w:t>Freis</w:t>
      </w:r>
      <w:proofErr w:type="spellEnd"/>
      <w:r w:rsidRPr="00063000">
        <w:t>, “</w:t>
      </w:r>
      <w:r w:rsidRPr="008713B8">
        <w:rPr>
          <w:highlight w:val="green"/>
          <w:rtl/>
        </w:rPr>
        <w:t>ביאור שני מקומות קשים בפירוש ר'</w:t>
      </w:r>
      <w:r w:rsidR="00F63934">
        <w:rPr>
          <w:rFonts w:hint="cs"/>
          <w:highlight w:val="green"/>
          <w:rtl/>
        </w:rPr>
        <w:t xml:space="preserve"> </w:t>
      </w:r>
      <w:r w:rsidRPr="008713B8">
        <w:rPr>
          <w:highlight w:val="green"/>
          <w:rtl/>
        </w:rPr>
        <w:t>מיוחס לתורה</w:t>
      </w:r>
      <w:r w:rsidRPr="00063000">
        <w:t xml:space="preserve">,” </w:t>
      </w:r>
      <w:r w:rsidRPr="00063000">
        <w:rPr>
          <w:i/>
          <w:iCs/>
        </w:rPr>
        <w:t>Moriah</w:t>
      </w:r>
      <w:r w:rsidRPr="00063000">
        <w:t xml:space="preserve"> 199-200 (1991): 115</w:t>
      </w:r>
      <w:r>
        <w:t>–</w:t>
      </w:r>
      <w:r w:rsidRPr="00063000">
        <w:t>16.</w:t>
      </w:r>
      <w:r w:rsidR="00DB1244">
        <w:t xml:space="preserve"> </w:t>
      </w:r>
    </w:p>
  </w:footnote>
  <w:footnote w:id="26">
    <w:p w14:paraId="5F95748D" w14:textId="237CD691" w:rsidR="00316453" w:rsidRPr="00063000" w:rsidRDefault="00316453" w:rsidP="004C7FD3">
      <w:pPr>
        <w:pStyle w:val="FootnoteText"/>
      </w:pPr>
      <w:r w:rsidRPr="00063000">
        <w:rPr>
          <w:rStyle w:val="FootnoteReference"/>
          <w:rFonts w:cstheme="majorBidi"/>
          <w:szCs w:val="24"/>
        </w:rPr>
        <w:footnoteRef/>
      </w:r>
      <w:r>
        <w:t xml:space="preserve"> </w:t>
      </w:r>
      <w:r w:rsidRPr="00AF4E08">
        <w:t>Poznanski</w:t>
      </w:r>
      <w:r w:rsidRPr="00063000">
        <w:t xml:space="preserve"> and Greenup accepted his view. See </w:t>
      </w:r>
      <w:r w:rsidRPr="00AF4E08">
        <w:t>Poznanski</w:t>
      </w:r>
      <w:r>
        <w:t>, “</w:t>
      </w:r>
      <w:r w:rsidRPr="00063000">
        <w:t>The Commentary of Rabbi Meyuhas</w:t>
      </w:r>
      <w:r>
        <w:t>,”</w:t>
      </w:r>
      <w:r w:rsidRPr="00063000">
        <w:t xml:space="preserve"> 303. </w:t>
      </w:r>
      <w:r w:rsidR="00E919FE" w:rsidRPr="00063000">
        <w:t>Greenup</w:t>
      </w:r>
      <w:r w:rsidR="00E919FE">
        <w:t xml:space="preserve">, introduction to </w:t>
      </w:r>
      <w:r w:rsidR="00E919FE" w:rsidRPr="001C6026">
        <w:rPr>
          <w:i/>
          <w:iCs/>
          <w:highlight w:val="green"/>
        </w:rPr>
        <w:t xml:space="preserve">The Commentary of Rabbi Meyuhas B. Elijah </w:t>
      </w:r>
      <w:r w:rsidR="00E919FE">
        <w:t xml:space="preserve">. </w:t>
      </w:r>
      <w:r w:rsidRPr="00063000">
        <w:t>Katz concurred and added that “[Rabbi Meyuhas’] exegetical method and his writing style constitute evidence, in and of themselves, that our sage lived in the twelfth century.” See Michael Katz</w:t>
      </w:r>
      <w:r w:rsidR="00590968">
        <w:t xml:space="preserve">, </w:t>
      </w:r>
      <w:r w:rsidR="00590968" w:rsidRPr="00590968">
        <w:t>i</w:t>
      </w:r>
      <w:r w:rsidRPr="00590968">
        <w:t>ntroduction</w:t>
      </w:r>
      <w:r w:rsidR="00590968" w:rsidRPr="00590968">
        <w:t xml:space="preserve"> to </w:t>
      </w:r>
      <w:r w:rsidRPr="007436C6">
        <w:rPr>
          <w:i/>
          <w:iCs/>
          <w:highlight w:val="green"/>
        </w:rPr>
        <w:t>Commentary on Deuteronomy</w:t>
      </w:r>
      <w:r w:rsidRPr="007436C6">
        <w:rPr>
          <w:highlight w:val="green"/>
        </w:rPr>
        <w:t xml:space="preserve">, </w:t>
      </w:r>
      <w:proofErr w:type="spellStart"/>
      <w:r w:rsidRPr="007436C6">
        <w:rPr>
          <w:highlight w:val="green"/>
        </w:rPr>
        <w:t>Rabbenu</w:t>
      </w:r>
      <w:proofErr w:type="spellEnd"/>
      <w:r w:rsidRPr="007436C6">
        <w:rPr>
          <w:highlight w:val="green"/>
        </w:rPr>
        <w:t xml:space="preserve"> Meyuhas ben Elijah</w:t>
      </w:r>
      <w:r w:rsidRPr="00063000">
        <w:t xml:space="preserve">, ed. Michael Katz (Jerusalem: Mossad </w:t>
      </w:r>
      <w:proofErr w:type="spellStart"/>
      <w:r w:rsidRPr="00063000">
        <w:t>Harav</w:t>
      </w:r>
      <w:proofErr w:type="spellEnd"/>
      <w:r w:rsidRPr="00063000">
        <w:t xml:space="preserve"> Kook, 1968), 10–11</w:t>
      </w:r>
      <w:r>
        <w:t>.</w:t>
      </w:r>
    </w:p>
  </w:footnote>
  <w:footnote w:id="27">
    <w:p w14:paraId="744601D5" w14:textId="24A541D1" w:rsidR="00244301" w:rsidRDefault="00244301">
      <w:pPr>
        <w:pStyle w:val="FootnoteText"/>
      </w:pPr>
      <w:r>
        <w:rPr>
          <w:rStyle w:val="FootnoteReference"/>
        </w:rPr>
        <w:footnoteRef/>
      </w:r>
      <w:r>
        <w:t xml:space="preserve"> </w:t>
      </w:r>
      <w:r w:rsidRPr="00244301">
        <w:t xml:space="preserve">See Joseph </w:t>
      </w:r>
      <w:proofErr w:type="spellStart"/>
      <w:r w:rsidRPr="00244301">
        <w:t>Guzik</w:t>
      </w:r>
      <w:proofErr w:type="spellEnd"/>
      <w:r w:rsidRPr="00244301">
        <w:t xml:space="preserve">, </w:t>
      </w:r>
      <w:r>
        <w:t>“</w:t>
      </w:r>
      <w:r w:rsidRPr="00244301">
        <w:rPr>
          <w:highlight w:val="green"/>
        </w:rPr>
        <w:t xml:space="preserve">The Commentary of R. </w:t>
      </w:r>
      <w:proofErr w:type="spellStart"/>
      <w:r w:rsidRPr="00244301">
        <w:rPr>
          <w:highlight w:val="green"/>
        </w:rPr>
        <w:t>Meyuchas</w:t>
      </w:r>
      <w:proofErr w:type="spellEnd"/>
      <w:r w:rsidRPr="00244301">
        <w:rPr>
          <w:highlight w:val="green"/>
        </w:rPr>
        <w:t xml:space="preserve"> ben Eliyahu on the Pentateuch,</w:t>
      </w:r>
      <w:r w:rsidRPr="00244301">
        <w:rPr>
          <w:highlight w:val="green"/>
        </w:rPr>
        <w:t>”</w:t>
      </w:r>
      <w:r>
        <w:t xml:space="preserve"> in</w:t>
      </w:r>
      <w:r w:rsidRPr="00244301">
        <w:t xml:space="preserve"> </w:t>
      </w:r>
      <w:r w:rsidRPr="00244301">
        <w:rPr>
          <w:i/>
          <w:iCs/>
          <w:highlight w:val="green"/>
        </w:rPr>
        <w:t>The Abraham Weiss Jubilee Volume</w:t>
      </w:r>
      <w:r w:rsidRPr="00244301">
        <w:t>, ed.</w:t>
      </w:r>
      <w:r>
        <w:t xml:space="preserve"> </w:t>
      </w:r>
      <w:r w:rsidRPr="00244301">
        <w:t xml:space="preserve">Samuel </w:t>
      </w:r>
      <w:proofErr w:type="spellStart"/>
      <w:r w:rsidRPr="00244301">
        <w:t>Balkin</w:t>
      </w:r>
      <w:proofErr w:type="spellEnd"/>
      <w:r w:rsidRPr="00244301">
        <w:t xml:space="preserve"> (New York: </w:t>
      </w:r>
      <w:proofErr w:type="spellStart"/>
      <w:r w:rsidRPr="00244301">
        <w:t>Shulsinger</w:t>
      </w:r>
      <w:proofErr w:type="spellEnd"/>
      <w:r w:rsidRPr="00244301">
        <w:t xml:space="preserve"> Bros., 1964), 249</w:t>
      </w:r>
      <w:r>
        <w:t>.</w:t>
      </w:r>
      <w:r w:rsidR="00A209BA">
        <w:t xml:space="preserve"> </w:t>
      </w:r>
      <w:r w:rsidR="00A209BA" w:rsidRPr="00A209BA">
        <w:t xml:space="preserve">It should be noted that all of these scholars seem to have missed a reference to a </w:t>
      </w:r>
      <w:r w:rsidR="001903EA">
        <w:t>sage living after</w:t>
      </w:r>
      <w:r w:rsidR="00A209BA" w:rsidRPr="00A209BA">
        <w:t xml:space="preserve"> Ibn Ezra, namely Rabbi Judah he-Hasid. (c. 1150-1217)</w:t>
      </w:r>
      <w:r w:rsidR="00F52E86">
        <w:t xml:space="preserve">, who </w:t>
      </w:r>
      <w:r w:rsidR="00A209BA" w:rsidRPr="00A209BA">
        <w:t>is mentioned by Rabbi Meyuhas in Ex 32:16</w:t>
      </w:r>
      <w:r w:rsidR="007B07A8">
        <w:t>. S</w:t>
      </w:r>
      <w:r w:rsidR="00A209BA" w:rsidRPr="00A209BA">
        <w:t>ee below.</w:t>
      </w:r>
    </w:p>
  </w:footnote>
  <w:footnote w:id="28">
    <w:p w14:paraId="03A52B47" w14:textId="56C4FB86" w:rsidR="00316453" w:rsidRPr="00063000" w:rsidRDefault="00316453" w:rsidP="004C7FD3">
      <w:pPr>
        <w:pStyle w:val="FootnoteText"/>
        <w:rPr>
          <w:rtl/>
        </w:rPr>
      </w:pPr>
      <w:r w:rsidRPr="00063000">
        <w:rPr>
          <w:rStyle w:val="FootnoteReference"/>
          <w:rFonts w:cstheme="majorBidi"/>
          <w:szCs w:val="24"/>
        </w:rPr>
        <w:footnoteRef/>
      </w:r>
      <w:r>
        <w:t xml:space="preserve"> </w:t>
      </w:r>
      <w:proofErr w:type="spellStart"/>
      <w:r w:rsidR="00590968" w:rsidRPr="00063000">
        <w:t>Chavel</w:t>
      </w:r>
      <w:proofErr w:type="spellEnd"/>
      <w:r w:rsidR="00590968" w:rsidRPr="00063000">
        <w:t xml:space="preserve">, </w:t>
      </w:r>
      <w:r w:rsidR="00590968" w:rsidRPr="00F82C6F">
        <w:t xml:space="preserve">introduction to </w:t>
      </w:r>
      <w:r w:rsidR="00590968" w:rsidRPr="00D87187">
        <w:rPr>
          <w:i/>
          <w:iCs/>
          <w:highlight w:val="green"/>
        </w:rPr>
        <w:t xml:space="preserve">A Commentary on the Book of Job </w:t>
      </w:r>
      <w:r w:rsidR="00590968">
        <w:t xml:space="preserve">, </w:t>
      </w:r>
      <w:r w:rsidRPr="00063000">
        <w:t>3</w:t>
      </w:r>
      <w:r>
        <w:t>–</w:t>
      </w:r>
      <w:r w:rsidRPr="00063000">
        <w:t>4.</w:t>
      </w:r>
      <w:r w:rsidRPr="00063000">
        <w:rPr>
          <w:rtl/>
        </w:rPr>
        <w:t xml:space="preserve"> </w:t>
      </w:r>
    </w:p>
  </w:footnote>
  <w:footnote w:id="29">
    <w:p w14:paraId="727A0567" w14:textId="5378AA5C" w:rsidR="00316453" w:rsidRPr="00063000" w:rsidRDefault="00316453" w:rsidP="004C7FD3">
      <w:pPr>
        <w:pStyle w:val="FootnoteText"/>
      </w:pPr>
      <w:r w:rsidRPr="00063000">
        <w:rPr>
          <w:rStyle w:val="FootnoteReference"/>
          <w:rFonts w:cstheme="majorBidi"/>
          <w:szCs w:val="24"/>
        </w:rPr>
        <w:footnoteRef/>
      </w:r>
      <w:r w:rsidRPr="00063000">
        <w:t xml:space="preserve"> Israel M. Ta-</w:t>
      </w:r>
      <w:proofErr w:type="spellStart"/>
      <w:r w:rsidRPr="00063000">
        <w:t>Shma</w:t>
      </w:r>
      <w:proofErr w:type="spellEnd"/>
      <w:r w:rsidRPr="00063000">
        <w:t xml:space="preserve">, </w:t>
      </w:r>
      <w:r w:rsidRPr="00A73992">
        <w:rPr>
          <w:i/>
          <w:iCs/>
          <w:highlight w:val="green"/>
        </w:rPr>
        <w:t>Ha-</w:t>
      </w:r>
      <w:proofErr w:type="spellStart"/>
      <w:r w:rsidRPr="00A73992">
        <w:rPr>
          <w:i/>
          <w:iCs/>
          <w:highlight w:val="green"/>
        </w:rPr>
        <w:t>Nigle</w:t>
      </w:r>
      <w:proofErr w:type="spellEnd"/>
      <w:r w:rsidRPr="00A73992">
        <w:rPr>
          <w:i/>
          <w:iCs/>
          <w:highlight w:val="green"/>
        </w:rPr>
        <w:t xml:space="preserve"> She-</w:t>
      </w:r>
      <w:proofErr w:type="spellStart"/>
      <w:r w:rsidRPr="00A73992">
        <w:rPr>
          <w:i/>
          <w:iCs/>
          <w:highlight w:val="green"/>
        </w:rPr>
        <w:t>Banistar</w:t>
      </w:r>
      <w:proofErr w:type="spellEnd"/>
      <w:r w:rsidRPr="00A73992">
        <w:rPr>
          <w:i/>
          <w:iCs/>
          <w:highlight w:val="green"/>
        </w:rPr>
        <w:t xml:space="preserve"> - The Halachic Residue in the Zohar, A Contribution to the Study of the Zohar</w:t>
      </w:r>
      <w:r w:rsidRPr="00063000">
        <w:t xml:space="preserve"> (Tel Aviv: </w:t>
      </w:r>
      <w:proofErr w:type="spellStart"/>
      <w:r w:rsidRPr="00063000">
        <w:t>Hakibbutz</w:t>
      </w:r>
      <w:proofErr w:type="spellEnd"/>
      <w:r w:rsidRPr="00063000">
        <w:t xml:space="preserve"> </w:t>
      </w:r>
      <w:proofErr w:type="spellStart"/>
      <w:r w:rsidRPr="00063000">
        <w:t>Hameuchad</w:t>
      </w:r>
      <w:proofErr w:type="spellEnd"/>
      <w:r w:rsidRPr="00063000">
        <w:t xml:space="preserve"> Publishing H</w:t>
      </w:r>
      <w:r w:rsidR="00151CD2">
        <w:t>o</w:t>
      </w:r>
      <w:r w:rsidRPr="00063000">
        <w:t>use, 2001), 100–101</w:t>
      </w:r>
      <w:r>
        <w:t xml:space="preserve">. </w:t>
      </w:r>
      <w:r w:rsidRPr="00063000">
        <w:t xml:space="preserve">This dating has been adopted by Eric Lawee, </w:t>
      </w:r>
      <w:r w:rsidRPr="00F72300">
        <w:rPr>
          <w:highlight w:val="green"/>
        </w:rPr>
        <w:t xml:space="preserve">“Maimonides in the Eastern Mediterranean: The Case of Rashi's </w:t>
      </w:r>
      <w:r w:rsidR="009D02C3">
        <w:rPr>
          <w:highlight w:val="green"/>
        </w:rPr>
        <w:t>‘</w:t>
      </w:r>
      <w:r w:rsidRPr="00F72300">
        <w:rPr>
          <w:highlight w:val="green"/>
        </w:rPr>
        <w:t>Resisting Readers</w:t>
      </w:r>
      <w:r w:rsidR="009D02C3">
        <w:rPr>
          <w:highlight w:val="green"/>
        </w:rPr>
        <w:t>’</w:t>
      </w:r>
      <w:r w:rsidRPr="00F72300">
        <w:rPr>
          <w:highlight w:val="green"/>
        </w:rPr>
        <w:t xml:space="preserve">,” </w:t>
      </w:r>
      <w:r w:rsidR="001428A1" w:rsidRPr="001428A1">
        <w:t xml:space="preserve">in </w:t>
      </w:r>
      <w:r w:rsidRPr="00F72300">
        <w:rPr>
          <w:i/>
          <w:iCs/>
          <w:highlight w:val="green"/>
        </w:rPr>
        <w:t>Maimonides - Conservatism, Originality, Revolution</w:t>
      </w:r>
      <w:r w:rsidRPr="00063000">
        <w:t>, ed</w:t>
      </w:r>
      <w:r>
        <w:t>.</w:t>
      </w:r>
      <w:r w:rsidRPr="00063000">
        <w:t xml:space="preserve"> </w:t>
      </w:r>
      <w:proofErr w:type="spellStart"/>
      <w:r w:rsidRPr="00063000">
        <w:t>Aviezer</w:t>
      </w:r>
      <w:proofErr w:type="spellEnd"/>
      <w:r w:rsidRPr="00063000">
        <w:t xml:space="preserve"> </w:t>
      </w:r>
      <w:proofErr w:type="spellStart"/>
      <w:r w:rsidRPr="00063000">
        <w:t>Ravitzky</w:t>
      </w:r>
      <w:proofErr w:type="spellEnd"/>
      <w:r w:rsidRPr="00063000">
        <w:t xml:space="preserve"> (Jerusalem: Zalman </w:t>
      </w:r>
      <w:proofErr w:type="spellStart"/>
      <w:r w:rsidRPr="00063000">
        <w:t>Shazar</w:t>
      </w:r>
      <w:proofErr w:type="spellEnd"/>
      <w:r w:rsidRPr="00063000">
        <w:t xml:space="preserve"> Center, 2008), 599</w:t>
      </w:r>
      <w:r>
        <w:t xml:space="preserve">; </w:t>
      </w:r>
      <w:proofErr w:type="spellStart"/>
      <w:r w:rsidRPr="00063000">
        <w:t>Dov</w:t>
      </w:r>
      <w:proofErr w:type="spellEnd"/>
      <w:r w:rsidRPr="00063000">
        <w:t xml:space="preserve"> Schwartz, </w:t>
      </w:r>
      <w:r w:rsidRPr="00F72300">
        <w:rPr>
          <w:i/>
          <w:iCs/>
          <w:highlight w:val="green"/>
        </w:rPr>
        <w:t>Jewish Thought in Byzantium in the Late Middle Ages</w:t>
      </w:r>
      <w:r w:rsidRPr="00063000">
        <w:t xml:space="preserve"> (Jerusalem: </w:t>
      </w:r>
      <w:proofErr w:type="spellStart"/>
      <w:r w:rsidRPr="00063000">
        <w:t>Magnes</w:t>
      </w:r>
      <w:proofErr w:type="spellEnd"/>
      <w:r w:rsidRPr="00063000">
        <w:t xml:space="preserve"> Press, 2016), 264, 272</w:t>
      </w:r>
      <w:r>
        <w:t>.</w:t>
      </w:r>
    </w:p>
  </w:footnote>
  <w:footnote w:id="30">
    <w:p w14:paraId="4E2E2C9D" w14:textId="15CC707D" w:rsidR="00316453" w:rsidRPr="00063000" w:rsidRDefault="00316453" w:rsidP="004C7FD3">
      <w:pPr>
        <w:pStyle w:val="FootnoteText"/>
      </w:pPr>
      <w:r w:rsidRPr="00063000">
        <w:rPr>
          <w:rStyle w:val="FootnoteReference"/>
          <w:rFonts w:cstheme="majorBidi"/>
          <w:szCs w:val="24"/>
        </w:rPr>
        <w:footnoteRef/>
      </w:r>
      <w:r>
        <w:t xml:space="preserve"> </w:t>
      </w:r>
      <w:r w:rsidRPr="00063000">
        <w:t xml:space="preserve">Steinschneider, </w:t>
      </w:r>
      <w:r>
        <w:t>“</w:t>
      </w:r>
      <w:r w:rsidRPr="00063000">
        <w:t>Catalogue of the Hebrew and Samaritan Manuscripts,</w:t>
      </w:r>
      <w:r>
        <w:t>”</w:t>
      </w:r>
      <w:r w:rsidRPr="00063000">
        <w:t xml:space="preserve"> 429. </w:t>
      </w:r>
    </w:p>
  </w:footnote>
  <w:footnote w:id="31">
    <w:p w14:paraId="5C7267F6" w14:textId="5F041BF6"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As mentioned above, several citations of Rabbi Meyuhas exist, unknown to Steinschneider, also hailing from the territories of the Byzantine Empire.</w:t>
      </w:r>
      <w:r w:rsidRPr="00063000">
        <w:rPr>
          <w:rtl/>
        </w:rPr>
        <w:t xml:space="preserve"> </w:t>
      </w:r>
    </w:p>
  </w:footnote>
  <w:footnote w:id="32">
    <w:p w14:paraId="2C0B3BE8" w14:textId="1AE5178D"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 xml:space="preserve">Greenup quotes another argument from Steinschneider in favor of post-dating the work: Rabbi Meyuhas’ use of the grammatical terms </w:t>
      </w:r>
      <w:r>
        <w:rPr>
          <w:rFonts w:hint="cs"/>
          <w:rtl/>
        </w:rPr>
        <w:t>בנין הופעל</w:t>
      </w:r>
      <w:r w:rsidRPr="00063000">
        <w:rPr>
          <w:i/>
          <w:iCs/>
        </w:rPr>
        <w:t xml:space="preserve"> </w:t>
      </w:r>
      <w:r w:rsidRPr="00063000">
        <w:t xml:space="preserve">and </w:t>
      </w:r>
      <w:r>
        <w:rPr>
          <w:rFonts w:hint="cs"/>
          <w:rtl/>
        </w:rPr>
        <w:t>בנין פועל</w:t>
      </w:r>
      <w:r w:rsidRPr="00063000">
        <w:rPr>
          <w:i/>
          <w:iCs/>
        </w:rPr>
        <w:t xml:space="preserve">, </w:t>
      </w:r>
      <w:r w:rsidRPr="00063000">
        <w:t xml:space="preserve">which, he argued, only became widespread due to the grammatical works of the Kimhi family. See </w:t>
      </w:r>
      <w:r w:rsidR="00D7404E" w:rsidRPr="00063000">
        <w:t>Greenup</w:t>
      </w:r>
      <w:r w:rsidR="00D7404E">
        <w:t xml:space="preserve">, introduction to </w:t>
      </w:r>
      <w:r w:rsidR="00D7404E" w:rsidRPr="001C6026">
        <w:rPr>
          <w:i/>
          <w:iCs/>
          <w:highlight w:val="green"/>
        </w:rPr>
        <w:t xml:space="preserve">The Commentary of Rabbi Meyuhas B. Elijah </w:t>
      </w:r>
      <w:r w:rsidR="00D7404E">
        <w:t xml:space="preserve">, </w:t>
      </w:r>
      <w:r w:rsidRPr="00063000">
        <w:t>3. I have not found any such claim in the writings of Steinschneider himself. Regardless the argument must be addressed, as I will do below.</w:t>
      </w:r>
    </w:p>
  </w:footnote>
  <w:footnote w:id="33">
    <w:p w14:paraId="46061091" w14:textId="52B73990" w:rsidR="00316453" w:rsidRPr="00063000" w:rsidRDefault="00316453" w:rsidP="004C7FD3">
      <w:pPr>
        <w:pStyle w:val="FootnoteText"/>
      </w:pPr>
      <w:r w:rsidRPr="00063000">
        <w:rPr>
          <w:rStyle w:val="FootnoteReference"/>
          <w:rFonts w:cstheme="majorBidi"/>
          <w:szCs w:val="24"/>
        </w:rPr>
        <w:footnoteRef/>
      </w:r>
      <w:r>
        <w:t xml:space="preserve"> </w:t>
      </w:r>
      <w:r w:rsidRPr="00063000">
        <w:t xml:space="preserve">For the criteria for determining the extent and influence of biblical commentaries composed between the eleventh and thirteenth centuries, see: Jonathan Jacobs, </w:t>
      </w:r>
      <w:proofErr w:type="spellStart"/>
      <w:r w:rsidRPr="00C408D4">
        <w:rPr>
          <w:i/>
          <w:iCs/>
          <w:highlight w:val="green"/>
        </w:rPr>
        <w:t>Bekhor</w:t>
      </w:r>
      <w:proofErr w:type="spellEnd"/>
      <w:r w:rsidRPr="00C408D4">
        <w:rPr>
          <w:i/>
          <w:iCs/>
          <w:highlight w:val="green"/>
        </w:rPr>
        <w:t xml:space="preserve"> </w:t>
      </w:r>
      <w:proofErr w:type="spellStart"/>
      <w:r w:rsidRPr="00C408D4">
        <w:rPr>
          <w:i/>
          <w:iCs/>
          <w:highlight w:val="green"/>
        </w:rPr>
        <w:t>Shoro</w:t>
      </w:r>
      <w:proofErr w:type="spellEnd"/>
      <w:r w:rsidRPr="00C408D4">
        <w:rPr>
          <w:i/>
          <w:iCs/>
          <w:highlight w:val="green"/>
        </w:rPr>
        <w:t xml:space="preserve"> </w:t>
      </w:r>
      <w:proofErr w:type="spellStart"/>
      <w:r w:rsidRPr="00C408D4">
        <w:rPr>
          <w:i/>
          <w:iCs/>
          <w:highlight w:val="green"/>
        </w:rPr>
        <w:t>Hadar</w:t>
      </w:r>
      <w:proofErr w:type="spellEnd"/>
      <w:r w:rsidRPr="00C408D4">
        <w:rPr>
          <w:i/>
          <w:iCs/>
          <w:highlight w:val="green"/>
        </w:rPr>
        <w:t xml:space="preserve"> Lo - R. Joseph </w:t>
      </w:r>
      <w:proofErr w:type="spellStart"/>
      <w:r w:rsidRPr="00C408D4">
        <w:rPr>
          <w:i/>
          <w:iCs/>
          <w:highlight w:val="green"/>
        </w:rPr>
        <w:t>Bekhor</w:t>
      </w:r>
      <w:proofErr w:type="spellEnd"/>
      <w:r w:rsidRPr="00C408D4">
        <w:rPr>
          <w:i/>
          <w:iCs/>
          <w:highlight w:val="green"/>
        </w:rPr>
        <w:t xml:space="preserve"> Shor between Continuity and Innovation</w:t>
      </w:r>
      <w:r w:rsidRPr="00063000">
        <w:rPr>
          <w:i/>
          <w:iCs/>
        </w:rPr>
        <w:t xml:space="preserve"> </w:t>
      </w:r>
      <w:r w:rsidRPr="00063000">
        <w:t xml:space="preserve">(Jerusalem: </w:t>
      </w:r>
      <w:proofErr w:type="spellStart"/>
      <w:r w:rsidRPr="00063000">
        <w:t>Magnes</w:t>
      </w:r>
      <w:proofErr w:type="spellEnd"/>
      <w:r w:rsidR="00DF3035">
        <w:t xml:space="preserve"> Press</w:t>
      </w:r>
      <w:r w:rsidRPr="00063000">
        <w:t>, 2017), 286</w:t>
      </w:r>
      <w:r>
        <w:t>.</w:t>
      </w:r>
    </w:p>
  </w:footnote>
  <w:footnote w:id="34">
    <w:p w14:paraId="71B669FB" w14:textId="572C5DFE" w:rsidR="00316453" w:rsidRPr="00063000" w:rsidRDefault="00316453" w:rsidP="004C7FD3">
      <w:pPr>
        <w:pStyle w:val="FootnoteText"/>
      </w:pPr>
      <w:r w:rsidRPr="00063000">
        <w:rPr>
          <w:rStyle w:val="FootnoteReference"/>
          <w:rFonts w:cstheme="majorBidi"/>
          <w:szCs w:val="24"/>
        </w:rPr>
        <w:footnoteRef/>
      </w:r>
      <w:r w:rsidR="009D02C3">
        <w:t xml:space="preserve"> </w:t>
      </w:r>
      <w:r w:rsidRPr="00063000">
        <w:t>Gen 1:22; 4:18</w:t>
      </w:r>
      <w:r w:rsidR="00DF3035">
        <w:t>;</w:t>
      </w:r>
      <w:r w:rsidRPr="00063000">
        <w:t xml:space="preserve"> 6:14; 23:16; 25:25; 30:23; Ex 8:5; 28:6; </w:t>
      </w:r>
      <w:proofErr w:type="spellStart"/>
      <w:r w:rsidRPr="00063000">
        <w:t>Deut</w:t>
      </w:r>
      <w:proofErr w:type="spellEnd"/>
      <w:r w:rsidRPr="00063000">
        <w:t xml:space="preserve"> 28:37. Furthermore, in his commentary on Job, Rabbi Meyuhas references Rashi’s commentaries on Job three times. See Job 3:5; 33:7; 39:21.</w:t>
      </w:r>
    </w:p>
  </w:footnote>
  <w:footnote w:id="35">
    <w:p w14:paraId="7E0CC42E" w14:textId="4E13C3D1"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I have dedicated a separate study to Rabbi Meyuhas’ attitude towards Rashi which is forthcoming. Here I will present my conclusions in brief</w:t>
      </w:r>
      <w:r>
        <w:t>:</w:t>
      </w:r>
      <w:r w:rsidR="00DB1244">
        <w:t xml:space="preserve"> </w:t>
      </w:r>
      <w:r w:rsidR="00DF3035">
        <w:t>I</w:t>
      </w:r>
      <w:r>
        <w:t>n</w:t>
      </w:r>
      <w:r w:rsidRPr="00063000">
        <w:t xml:space="preserve"> one instance (Gen 36:22)</w:t>
      </w:r>
      <w:r w:rsidR="00DF3035">
        <w:t>,</w:t>
      </w:r>
      <w:r w:rsidRPr="00063000">
        <w:t xml:space="preserve"> Rabbi Meyuhas </w:t>
      </w:r>
      <w:r>
        <w:t>quotes</w:t>
      </w:r>
      <w:r w:rsidRPr="00063000">
        <w:t xml:space="preserve"> Rashi </w:t>
      </w:r>
      <w:r>
        <w:t>ad verbatim</w:t>
      </w:r>
      <w:r w:rsidRPr="00063000">
        <w:t>. He concludes this excerpt with the words “the language of Rashi, his memory for a blessing.” The passage cited appears in the margins of the manuscript (written by an identical hand but with different ink). It is, therefore, likely a late addition. That the unique formula “the language of Rashi” (</w:t>
      </w:r>
      <w:r>
        <w:rPr>
          <w:rFonts w:hint="cs"/>
          <w:rtl/>
        </w:rPr>
        <w:t>לשון רש"י</w:t>
      </w:r>
      <w:r w:rsidRPr="00063000">
        <w:t>) is unattested elsewhere</w:t>
      </w:r>
      <w:r w:rsidR="00DF3035">
        <w:t xml:space="preserve"> in the commentary</w:t>
      </w:r>
      <w:r w:rsidRPr="00063000">
        <w:t xml:space="preserve">, reinforces the hypothesis that the passage was not penned by Rabbi Meyuhas himself. If we nevertheless wish to uphold the passage’s authenticity, it can be surmised that when Rashi’s commentary was available to Rabbi Meyuhas, he or one of his students may have copied this particular interpretation, and </w:t>
      </w:r>
      <w:r>
        <w:t>he was</w:t>
      </w:r>
      <w:r w:rsidRPr="00063000">
        <w:t>, therefore, able to cite it with precision.</w:t>
      </w:r>
    </w:p>
  </w:footnote>
  <w:footnote w:id="36">
    <w:p w14:paraId="4ACF1E9C" w14:textId="6B018023" w:rsidR="00316453" w:rsidRPr="00063000" w:rsidRDefault="00316453" w:rsidP="004C7FD3">
      <w:pPr>
        <w:pStyle w:val="FootnoteText"/>
        <w:rPr>
          <w:rtl/>
        </w:rPr>
      </w:pPr>
      <w:r w:rsidRPr="00063000">
        <w:rPr>
          <w:rStyle w:val="FootnoteReference"/>
          <w:rFonts w:cstheme="majorBidi"/>
          <w:szCs w:val="24"/>
        </w:rPr>
        <w:footnoteRef/>
      </w:r>
      <w:r>
        <w:t xml:space="preserve"> </w:t>
      </w:r>
      <w:proofErr w:type="spellStart"/>
      <w:r w:rsidRPr="00063000">
        <w:t>Chavel</w:t>
      </w:r>
      <w:proofErr w:type="spellEnd"/>
      <w:r w:rsidRPr="00063000">
        <w:t xml:space="preserve"> has pointed to a similar phenomenon in Rabbi Meyuhas’ commentary on Job. See </w:t>
      </w:r>
      <w:proofErr w:type="spellStart"/>
      <w:r w:rsidR="00627FA4" w:rsidRPr="00063000">
        <w:t>Chavel</w:t>
      </w:r>
      <w:proofErr w:type="spellEnd"/>
      <w:r w:rsidR="00627FA4" w:rsidRPr="00063000">
        <w:t xml:space="preserve">, </w:t>
      </w:r>
      <w:r w:rsidR="00627FA4" w:rsidRPr="00F82C6F">
        <w:t xml:space="preserve">introduction to </w:t>
      </w:r>
      <w:r w:rsidR="00627FA4" w:rsidRPr="00D87187">
        <w:rPr>
          <w:i/>
          <w:iCs/>
          <w:highlight w:val="green"/>
        </w:rPr>
        <w:t>A Commentary on the Book of Job</w:t>
      </w:r>
      <w:r w:rsidR="00627FA4">
        <w:t>,</w:t>
      </w:r>
      <w:r w:rsidR="00DB1244">
        <w:t xml:space="preserve"> </w:t>
      </w:r>
      <w:r w:rsidRPr="00063000">
        <w:t xml:space="preserve">5. Citation from memory was a common practice in medieval exegesis. See Elazar Touitou, </w:t>
      </w:r>
      <w:r w:rsidRPr="006D19D2">
        <w:rPr>
          <w:i/>
          <w:iCs/>
          <w:highlight w:val="green"/>
        </w:rPr>
        <w:t>Exegesis in Perpetual Motion - Studies in the Pentateuchal Commentary of Rabbi Samuel Ben Meir</w:t>
      </w:r>
      <w:r w:rsidRPr="00063000">
        <w:t xml:space="preserve"> (Ramat Gan: Bar-Ilan University Press, 2003), 92–97; Eran </w:t>
      </w:r>
      <w:proofErr w:type="spellStart"/>
      <w:r w:rsidRPr="00063000">
        <w:t>Viezel</w:t>
      </w:r>
      <w:proofErr w:type="spellEnd"/>
      <w:r w:rsidRPr="00063000">
        <w:t xml:space="preserve">, </w:t>
      </w:r>
      <w:r w:rsidRPr="006D19D2">
        <w:rPr>
          <w:i/>
          <w:iCs/>
          <w:highlight w:val="green"/>
        </w:rPr>
        <w:t>The Commentary on Chronicles Attributed to Rashi</w:t>
      </w:r>
      <w:r w:rsidRPr="00063000">
        <w:t xml:space="preserve"> (Jerusalem: </w:t>
      </w:r>
      <w:proofErr w:type="spellStart"/>
      <w:r w:rsidRPr="00063000">
        <w:t>Magnes</w:t>
      </w:r>
      <w:proofErr w:type="spellEnd"/>
      <w:r w:rsidR="00DF3035">
        <w:t xml:space="preserve"> Press</w:t>
      </w:r>
      <w:r w:rsidRPr="00063000">
        <w:t>, 2010), 43, 144–46</w:t>
      </w:r>
      <w:r>
        <w:t>.</w:t>
      </w:r>
    </w:p>
  </w:footnote>
  <w:footnote w:id="37">
    <w:p w14:paraId="06D610EE" w14:textId="461C6A42" w:rsidR="00316453" w:rsidRPr="00063000" w:rsidRDefault="00316453" w:rsidP="004C7FD3">
      <w:pPr>
        <w:pStyle w:val="FootnoteText"/>
      </w:pPr>
      <w:r w:rsidRPr="00063000">
        <w:rPr>
          <w:rStyle w:val="FootnoteReference"/>
          <w:rFonts w:cstheme="majorBidi"/>
          <w:szCs w:val="24"/>
        </w:rPr>
        <w:footnoteRef/>
      </w:r>
      <w:r>
        <w:t xml:space="preserve"> </w:t>
      </w:r>
      <w:proofErr w:type="spellStart"/>
      <w:r w:rsidRPr="00063000">
        <w:t>Pankover</w:t>
      </w:r>
      <w:proofErr w:type="spellEnd"/>
      <w:r w:rsidRPr="00063000">
        <w:t xml:space="preserve"> has explored the historical stages that led to the adoption of Rashi’s commentary as a substitute for the reading of the Targum alongside the weekly Torah-portion. See Jordan S. </w:t>
      </w:r>
      <w:proofErr w:type="spellStart"/>
      <w:r w:rsidRPr="00063000">
        <w:t>Pankower</w:t>
      </w:r>
      <w:proofErr w:type="spellEnd"/>
      <w:r w:rsidRPr="00063000">
        <w:t xml:space="preserve">, </w:t>
      </w:r>
      <w:r>
        <w:t>“</w:t>
      </w:r>
      <w:r w:rsidRPr="00A83AD2">
        <w:rPr>
          <w:highlight w:val="green"/>
        </w:rPr>
        <w:t>The Canonization of Rashi's Commentary on the Pentateuch</w:t>
      </w:r>
      <w:r w:rsidRPr="00063000">
        <w:t>,</w:t>
      </w:r>
      <w:r>
        <w:t>”</w:t>
      </w:r>
      <w:r w:rsidRPr="00063000">
        <w:t xml:space="preserve"> in </w:t>
      </w:r>
      <w:r w:rsidRPr="00A83AD2">
        <w:rPr>
          <w:i/>
          <w:iCs/>
          <w:highlight w:val="green"/>
        </w:rPr>
        <w:t>Study and Knowledge in Jewish Thought</w:t>
      </w:r>
      <w:r w:rsidRPr="00063000">
        <w:t xml:space="preserve">, ed. Howard </w:t>
      </w:r>
      <w:proofErr w:type="spellStart"/>
      <w:r w:rsidRPr="00063000">
        <w:t>Kreisel</w:t>
      </w:r>
      <w:proofErr w:type="spellEnd"/>
      <w:r w:rsidRPr="00063000">
        <w:t xml:space="preserve"> (Beer-Sheva: Ben-Gurion University, 2006)</w:t>
      </w:r>
      <w:r>
        <w:t>,</w:t>
      </w:r>
      <w:r w:rsidRPr="00063000">
        <w:t xml:space="preserve"> 123–146. See also Chayim </w:t>
      </w:r>
      <w:proofErr w:type="spellStart"/>
      <w:r w:rsidRPr="00063000">
        <w:t>Talbi</w:t>
      </w:r>
      <w:proofErr w:type="spellEnd"/>
      <w:r w:rsidRPr="00063000">
        <w:t xml:space="preserve">, </w:t>
      </w:r>
      <w:r>
        <w:t>“</w:t>
      </w:r>
      <w:r w:rsidRPr="00A83AD2">
        <w:rPr>
          <w:highlight w:val="green"/>
        </w:rPr>
        <w:t>Towards a History of the Weekly Reading of the Torah: Reading the Text Twice and the Translation Once</w:t>
      </w:r>
      <w:r w:rsidRPr="00063000">
        <w:t>,</w:t>
      </w:r>
      <w:r>
        <w:t>”</w:t>
      </w:r>
      <w:r w:rsidRPr="00063000">
        <w:t xml:space="preserve"> </w:t>
      </w:r>
      <w:proofErr w:type="spellStart"/>
      <w:r w:rsidRPr="00063000">
        <w:rPr>
          <w:i/>
          <w:iCs/>
        </w:rPr>
        <w:t>Kenishta</w:t>
      </w:r>
      <w:proofErr w:type="spellEnd"/>
      <w:r w:rsidRPr="00063000">
        <w:t xml:space="preserve"> 4 (2010)</w:t>
      </w:r>
      <w:r>
        <w:t>:</w:t>
      </w:r>
      <w:r w:rsidRPr="00063000">
        <w:t xml:space="preserve"> 183–87. </w:t>
      </w:r>
      <w:r w:rsidRPr="0012630B">
        <w:t xml:space="preserve">Gross </w:t>
      </w:r>
      <w:r w:rsidR="00D03688" w:rsidRPr="0012630B">
        <w:t>had described</w:t>
      </w:r>
      <w:r w:rsidRPr="0012630B">
        <w:t xml:space="preserve"> the gradual </w:t>
      </w:r>
      <w:r w:rsidR="00D03688" w:rsidRPr="0012630B">
        <w:t>reception</w:t>
      </w:r>
      <w:r w:rsidRPr="0012630B">
        <w:t xml:space="preserve"> of Rashi’s commentary in Spain</w:t>
      </w:r>
      <w:r w:rsidR="002267DE" w:rsidRPr="0012630B">
        <w:t>—</w:t>
      </w:r>
      <w:r w:rsidRPr="0012630B">
        <w:t xml:space="preserve">from some </w:t>
      </w:r>
      <w:r w:rsidR="00EA6965" w:rsidRPr="0012630B">
        <w:t>degree of opposition</w:t>
      </w:r>
      <w:r w:rsidRPr="0012630B">
        <w:t xml:space="preserve"> over the course of the twelfth century </w:t>
      </w:r>
      <w:r w:rsidR="0012630B" w:rsidRPr="0012630B">
        <w:t>to a host of</w:t>
      </w:r>
      <w:r w:rsidRPr="0012630B">
        <w:t xml:space="preserve"> supercommentaries </w:t>
      </w:r>
      <w:r w:rsidR="0012630B" w:rsidRPr="0012630B">
        <w:t xml:space="preserve">being produced </w:t>
      </w:r>
      <w:r w:rsidRPr="0012630B">
        <w:t>in the fourteenth.</w:t>
      </w:r>
      <w:r w:rsidRPr="00063000">
        <w:t xml:space="preserve"> See Avraham Gross, </w:t>
      </w:r>
      <w:r>
        <w:t>“</w:t>
      </w:r>
      <w:r w:rsidRPr="00A83AD2">
        <w:rPr>
          <w:highlight w:val="green"/>
        </w:rPr>
        <w:t>Spanish Jewry and Rashi's Commentary on the Pentateuch</w:t>
      </w:r>
      <w:r>
        <w:t>,”</w:t>
      </w:r>
      <w:r w:rsidRPr="00063000">
        <w:t xml:space="preserve"> </w:t>
      </w:r>
      <w:r>
        <w:t xml:space="preserve">in </w:t>
      </w:r>
      <w:r w:rsidRPr="00A83AD2">
        <w:rPr>
          <w:i/>
          <w:iCs/>
          <w:highlight w:val="green"/>
        </w:rPr>
        <w:t>Rashi</w:t>
      </w:r>
      <w:r w:rsidRPr="00A83AD2">
        <w:rPr>
          <w:highlight w:val="green"/>
        </w:rPr>
        <w:t xml:space="preserve"> </w:t>
      </w:r>
      <w:r w:rsidRPr="00A83AD2">
        <w:rPr>
          <w:i/>
          <w:iCs/>
          <w:highlight w:val="green"/>
        </w:rPr>
        <w:t>Studies</w:t>
      </w:r>
      <w:r w:rsidRPr="00063000">
        <w:t>, ed</w:t>
      </w:r>
      <w:r>
        <w:t>.</w:t>
      </w:r>
      <w:r w:rsidRPr="00063000">
        <w:t xml:space="preserve"> </w:t>
      </w:r>
      <w:proofErr w:type="spellStart"/>
      <w:r w:rsidRPr="00063000">
        <w:t>Zvi</w:t>
      </w:r>
      <w:proofErr w:type="spellEnd"/>
      <w:r w:rsidRPr="00063000">
        <w:t xml:space="preserve"> Arie Steinfeld (Jerusalem: Bar Ilan University Press, 1993), 27–55. In recent years, Eric Lawee has published a series of important articles that review the history of biblical supercommentaries in general, with special emphasis on the supercommentaries composed on Rashi. In doing so, he has made a</w:t>
      </w:r>
      <w:r>
        <w:t xml:space="preserve">n </w:t>
      </w:r>
      <w:r w:rsidRPr="00063000">
        <w:t xml:space="preserve">important contribution to our understanding of </w:t>
      </w:r>
      <w:r w:rsidR="0031224B">
        <w:t xml:space="preserve">the </w:t>
      </w:r>
      <w:r w:rsidRPr="00063000">
        <w:t>reception of Rashi’s commentaries. Two of Lawee’s articles</w:t>
      </w:r>
      <w:r>
        <w:t xml:space="preserve"> explore the</w:t>
      </w:r>
      <w:r w:rsidRPr="00063000">
        <w:t xml:space="preserve"> dissemination of Rashi’s commentaries in Western Europe. In the one article, </w:t>
      </w:r>
      <w:r w:rsidR="0094761D">
        <w:t>Lawee</w:t>
      </w:r>
      <w:r w:rsidRPr="00063000">
        <w:t xml:space="preserve"> described the process by which Rashi’s commentary was received in Spain, </w:t>
      </w:r>
      <w:r w:rsidRPr="00995807">
        <w:t>noting, among other things, that Rash</w:t>
      </w:r>
      <w:r>
        <w:t xml:space="preserve">i </w:t>
      </w:r>
      <w:r w:rsidRPr="00063000">
        <w:t xml:space="preserve">seems to have been recognized as an important commentator in Spain only towards the end of the twelfth century. See Eric Lawee, </w:t>
      </w:r>
      <w:r>
        <w:t>“</w:t>
      </w:r>
      <w:r w:rsidRPr="00063000">
        <w:t xml:space="preserve">The Reception of Rashi's </w:t>
      </w:r>
      <w:r w:rsidRPr="00063000">
        <w:rPr>
          <w:i/>
          <w:iCs/>
        </w:rPr>
        <w:t>Commentary on the Torah</w:t>
      </w:r>
      <w:r w:rsidRPr="00063000">
        <w:t xml:space="preserve"> in Spain: The Case of Adam's Mating with the Animals</w:t>
      </w:r>
      <w:r>
        <w:t xml:space="preserve">,” </w:t>
      </w:r>
      <w:r w:rsidRPr="00063000">
        <w:rPr>
          <w:i/>
          <w:iCs/>
        </w:rPr>
        <w:t>JQR</w:t>
      </w:r>
      <w:r w:rsidRPr="00063000">
        <w:t xml:space="preserve"> 97 (2007)</w:t>
      </w:r>
      <w:r>
        <w:t>:</w:t>
      </w:r>
      <w:r w:rsidRPr="00063000">
        <w:t xml:space="preserve"> 36–44. In his other article, Lawee offers an extensive and detailed review of the rabbinic literature in France and Germany, pointing to three distinct chronological attitudes towards the study of Scripture in general and Rashi’s commentaries specifically.</w:t>
      </w:r>
      <w:r w:rsidR="00DB1244">
        <w:t xml:space="preserve"> </w:t>
      </w:r>
      <w:r w:rsidRPr="00063000">
        <w:t xml:space="preserve">See Eric Lawee, </w:t>
      </w:r>
      <w:r>
        <w:t>“</w:t>
      </w:r>
      <w:r w:rsidRPr="00063000">
        <w:t xml:space="preserve">Biblical Scholarship in Late Medieval </w:t>
      </w:r>
      <w:proofErr w:type="spellStart"/>
      <w:r w:rsidRPr="00063000">
        <w:t>Ashkenaz</w:t>
      </w:r>
      <w:proofErr w:type="spellEnd"/>
      <w:r w:rsidRPr="00063000">
        <w:t>: The Turn to Rashi Supercommentary</w:t>
      </w:r>
      <w:r>
        <w:t>,”</w:t>
      </w:r>
      <w:r w:rsidRPr="00063000">
        <w:t xml:space="preserve"> </w:t>
      </w:r>
      <w:r w:rsidRPr="00063000">
        <w:rPr>
          <w:i/>
          <w:iCs/>
        </w:rPr>
        <w:t>HUCA</w:t>
      </w:r>
      <w:r w:rsidRPr="00063000">
        <w:t xml:space="preserve"> 86 (2015)</w:t>
      </w:r>
      <w:r>
        <w:t>:</w:t>
      </w:r>
      <w:r w:rsidRPr="00063000">
        <w:t xml:space="preserve"> 265–303.</w:t>
      </w:r>
    </w:p>
  </w:footnote>
  <w:footnote w:id="38">
    <w:p w14:paraId="5D542E29" w14:textId="641BF41A" w:rsidR="00316453" w:rsidRPr="00063000" w:rsidRDefault="00316453" w:rsidP="004C7FD3">
      <w:pPr>
        <w:pStyle w:val="FootnoteText"/>
      </w:pPr>
      <w:r w:rsidRPr="00063000">
        <w:rPr>
          <w:rStyle w:val="FootnoteReference"/>
          <w:rFonts w:cstheme="majorBidi"/>
          <w:szCs w:val="24"/>
        </w:rPr>
        <w:footnoteRef/>
      </w:r>
      <w:r w:rsidRPr="00063000">
        <w:t xml:space="preserve"> Isaiah </w:t>
      </w:r>
      <w:proofErr w:type="spellStart"/>
      <w:r w:rsidRPr="00063000">
        <w:t>Sonne</w:t>
      </w:r>
      <w:proofErr w:type="spellEnd"/>
      <w:r w:rsidRPr="00063000">
        <w:t>,</w:t>
      </w:r>
      <w:r w:rsidR="00DB1244">
        <w:t xml:space="preserve"> </w:t>
      </w:r>
      <w:r>
        <w:t>“</w:t>
      </w:r>
      <w:r w:rsidRPr="00063000">
        <w:rPr>
          <w:rtl/>
        </w:rPr>
        <w:t>לביקורת הטקסט של פירוש רש"י על התורה</w:t>
      </w:r>
      <w:r>
        <w:t>,”</w:t>
      </w:r>
      <w:r w:rsidR="00DB1244">
        <w:t xml:space="preserve"> </w:t>
      </w:r>
      <w:r w:rsidRPr="00063000">
        <w:rPr>
          <w:i/>
          <w:iCs/>
        </w:rPr>
        <w:t>HUCA</w:t>
      </w:r>
      <w:r w:rsidRPr="00063000">
        <w:t xml:space="preserve"> 15 (1940)</w:t>
      </w:r>
      <w:r>
        <w:t>:</w:t>
      </w:r>
      <w:r w:rsidRPr="00063000">
        <w:t xml:space="preserve"> 37–56.</w:t>
      </w:r>
      <w:r w:rsidRPr="00063000">
        <w:rPr>
          <w:rtl/>
        </w:rPr>
        <w:t xml:space="preserve"> </w:t>
      </w:r>
    </w:p>
  </w:footnote>
  <w:footnote w:id="39">
    <w:p w14:paraId="017BC17A" w14:textId="0C276A88" w:rsidR="00316453" w:rsidRPr="00063000" w:rsidRDefault="00316453" w:rsidP="004C7FD3">
      <w:pPr>
        <w:pStyle w:val="FootnoteText"/>
      </w:pPr>
      <w:r w:rsidRPr="00063000">
        <w:rPr>
          <w:rStyle w:val="FootnoteReference"/>
          <w:rFonts w:cstheme="majorBidi"/>
          <w:szCs w:val="24"/>
        </w:rPr>
        <w:footnoteRef/>
      </w:r>
      <w:r>
        <w:t xml:space="preserve"> </w:t>
      </w:r>
      <w:r w:rsidRPr="00063000">
        <w:t>Lawee, “</w:t>
      </w:r>
      <w:r w:rsidRPr="00063000">
        <w:rPr>
          <w:rtl/>
        </w:rPr>
        <w:t>הרמב</w:t>
      </w:r>
      <w:r>
        <w:rPr>
          <w:rFonts w:hint="cs"/>
          <w:rtl/>
        </w:rPr>
        <w:t>"</w:t>
      </w:r>
      <w:r w:rsidRPr="00063000">
        <w:rPr>
          <w:rtl/>
        </w:rPr>
        <w:t>ם במזרח</w:t>
      </w:r>
      <w:r>
        <w:t>.”</w:t>
      </w:r>
    </w:p>
  </w:footnote>
  <w:footnote w:id="40">
    <w:p w14:paraId="03BA0BFD" w14:textId="358F59D7"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 xml:space="preserve">For a discussion of Aaron ben Joseph’s </w:t>
      </w:r>
      <w:r>
        <w:t>acquaintance</w:t>
      </w:r>
      <w:r w:rsidRPr="00063000">
        <w:t xml:space="preserve"> with Rashi</w:t>
      </w:r>
      <w:r>
        <w:t>’s commentary</w:t>
      </w:r>
      <w:r w:rsidRPr="00063000">
        <w:t xml:space="preserve">, see </w:t>
      </w:r>
      <w:proofErr w:type="spellStart"/>
      <w:r w:rsidRPr="00063000">
        <w:t>Elkana</w:t>
      </w:r>
      <w:proofErr w:type="spellEnd"/>
      <w:r w:rsidRPr="00063000">
        <w:t xml:space="preserve"> </w:t>
      </w:r>
      <w:proofErr w:type="spellStart"/>
      <w:r w:rsidRPr="00063000">
        <w:t>Bilik</w:t>
      </w:r>
      <w:proofErr w:type="spellEnd"/>
      <w:r w:rsidR="009D02C3">
        <w:t>,</w:t>
      </w:r>
      <w:r>
        <w:t xml:space="preserve"> “</w:t>
      </w:r>
      <w:r w:rsidRPr="00063000">
        <w:rPr>
          <w:rtl/>
        </w:rPr>
        <w:t>רש"י בספר המבחר</w:t>
      </w:r>
      <w:r>
        <w:t>,”</w:t>
      </w:r>
      <w:r w:rsidR="00DB1244">
        <w:t xml:space="preserve"> </w:t>
      </w:r>
      <w:r w:rsidRPr="00063000">
        <w:rPr>
          <w:i/>
          <w:iCs/>
        </w:rPr>
        <w:t xml:space="preserve">Beit </w:t>
      </w:r>
      <w:proofErr w:type="spellStart"/>
      <w:r w:rsidRPr="00063000">
        <w:rPr>
          <w:i/>
          <w:iCs/>
        </w:rPr>
        <w:t>Mikra</w:t>
      </w:r>
      <w:proofErr w:type="spellEnd"/>
      <w:r w:rsidRPr="00063000">
        <w:t xml:space="preserve"> 1 (1956)</w:t>
      </w:r>
      <w:r>
        <w:t>:</w:t>
      </w:r>
      <w:r w:rsidRPr="00063000">
        <w:t xml:space="preserve"> 9–13; Paul Fenton, </w:t>
      </w:r>
      <w:r>
        <w:t>“</w:t>
      </w:r>
      <w:r w:rsidRPr="00063000">
        <w:t xml:space="preserve">De </w:t>
      </w:r>
      <w:proofErr w:type="spellStart"/>
      <w:r w:rsidRPr="00063000">
        <w:t>quelques</w:t>
      </w:r>
      <w:proofErr w:type="spellEnd"/>
      <w:r w:rsidRPr="00063000">
        <w:t xml:space="preserve"> attitudes </w:t>
      </w:r>
      <w:proofErr w:type="spellStart"/>
      <w:r w:rsidRPr="00063000">
        <w:t>qaraites</w:t>
      </w:r>
      <w:proofErr w:type="spellEnd"/>
      <w:r w:rsidRPr="00063000">
        <w:t xml:space="preserve"> </w:t>
      </w:r>
      <w:proofErr w:type="spellStart"/>
      <w:r w:rsidRPr="00063000">
        <w:t>enver</w:t>
      </w:r>
      <w:proofErr w:type="spellEnd"/>
      <w:r w:rsidRPr="00063000">
        <w:t xml:space="preserve"> la </w:t>
      </w:r>
      <w:proofErr w:type="spellStart"/>
      <w:r w:rsidRPr="00063000">
        <w:t>Qabbale</w:t>
      </w:r>
      <w:proofErr w:type="spellEnd"/>
      <w:r>
        <w:t>,”</w:t>
      </w:r>
      <w:r w:rsidRPr="00063000">
        <w:t xml:space="preserve"> </w:t>
      </w:r>
      <w:r w:rsidRPr="00063000">
        <w:rPr>
          <w:i/>
          <w:iCs/>
        </w:rPr>
        <w:t>REJ</w:t>
      </w:r>
      <w:r w:rsidRPr="00063000">
        <w:t xml:space="preserve"> 142 (1983)</w:t>
      </w:r>
      <w:r>
        <w:t>:</w:t>
      </w:r>
      <w:r w:rsidRPr="00063000">
        <w:t xml:space="preserve"> 7 and n. 10. For a discussion of Aaron ben Elijah’s familiarity with Rashi’s commentary, see Lawee, “</w:t>
      </w:r>
      <w:r w:rsidRPr="00063000">
        <w:rPr>
          <w:rtl/>
        </w:rPr>
        <w:t>הרמב</w:t>
      </w:r>
      <w:r>
        <w:rPr>
          <w:rFonts w:hint="cs"/>
          <w:rtl/>
        </w:rPr>
        <w:t>"</w:t>
      </w:r>
      <w:r w:rsidRPr="00063000">
        <w:rPr>
          <w:rtl/>
        </w:rPr>
        <w:t>ם במזרח</w:t>
      </w:r>
      <w:r>
        <w:t>,”</w:t>
      </w:r>
      <w:r w:rsidRPr="00063000">
        <w:t xml:space="preserve"> 602. </w:t>
      </w:r>
    </w:p>
  </w:footnote>
  <w:footnote w:id="41">
    <w:p w14:paraId="136A91E6" w14:textId="734A196C" w:rsidR="00316453" w:rsidRPr="00063000" w:rsidRDefault="00316453" w:rsidP="004C7FD3">
      <w:pPr>
        <w:pStyle w:val="FootnoteText"/>
      </w:pPr>
      <w:r w:rsidRPr="00063000">
        <w:rPr>
          <w:rStyle w:val="FootnoteReference"/>
          <w:rFonts w:cstheme="majorBidi"/>
          <w:szCs w:val="24"/>
        </w:rPr>
        <w:footnoteRef/>
      </w:r>
      <w:r w:rsidRPr="00063000">
        <w:t xml:space="preserve">On </w:t>
      </w:r>
      <w:proofErr w:type="spellStart"/>
      <w:r w:rsidRPr="00063000">
        <w:t>Shemarya</w:t>
      </w:r>
      <w:proofErr w:type="spellEnd"/>
      <w:r w:rsidRPr="00063000">
        <w:t xml:space="preserve"> ben Elijah and Abraham </w:t>
      </w:r>
      <w:proofErr w:type="spellStart"/>
      <w:r w:rsidRPr="003B0917">
        <w:rPr>
          <w:highlight w:val="yellow"/>
        </w:rPr>
        <w:t>Qarimi’s</w:t>
      </w:r>
      <w:proofErr w:type="spellEnd"/>
      <w:r w:rsidRPr="00063000">
        <w:t xml:space="preserve"> acquaintance with Rashi, see Lawee, “</w:t>
      </w:r>
      <w:r w:rsidRPr="00063000">
        <w:rPr>
          <w:rtl/>
        </w:rPr>
        <w:t>הרמב</w:t>
      </w:r>
      <w:r>
        <w:rPr>
          <w:rFonts w:hint="cs"/>
          <w:rtl/>
        </w:rPr>
        <w:t>"</w:t>
      </w:r>
      <w:r w:rsidRPr="00063000">
        <w:rPr>
          <w:rtl/>
        </w:rPr>
        <w:t>ם במזרח</w:t>
      </w:r>
      <w:r>
        <w:t>,”</w:t>
      </w:r>
      <w:r w:rsidRPr="00063000">
        <w:t xml:space="preserve"> 599</w:t>
      </w:r>
      <w:r>
        <w:t>–</w:t>
      </w:r>
      <w:r w:rsidRPr="00063000">
        <w:t>601.</w:t>
      </w:r>
    </w:p>
  </w:footnote>
  <w:footnote w:id="42">
    <w:p w14:paraId="7A6BF13C" w14:textId="6132F1D5" w:rsidR="00316453" w:rsidRPr="00063000" w:rsidRDefault="00316453" w:rsidP="004C7FD3">
      <w:pPr>
        <w:pStyle w:val="FootnoteText"/>
      </w:pPr>
      <w:r w:rsidRPr="00063000">
        <w:rPr>
          <w:rStyle w:val="FootnoteReference"/>
          <w:rFonts w:cstheme="majorBidi"/>
          <w:szCs w:val="24"/>
        </w:rPr>
        <w:footnoteRef/>
      </w:r>
      <w:r>
        <w:t xml:space="preserve"> </w:t>
      </w:r>
      <w:r w:rsidRPr="00063000">
        <w:t xml:space="preserve">Weiss believed that Rashi’s commentary </w:t>
      </w:r>
      <w:r>
        <w:t>exerted a profound</w:t>
      </w:r>
      <w:r w:rsidRPr="00063000">
        <w:t xml:space="preserve"> </w:t>
      </w:r>
      <w:r>
        <w:t>influence</w:t>
      </w:r>
      <w:r w:rsidRPr="00063000">
        <w:t xml:space="preserve"> on the author</w:t>
      </w:r>
      <w:r>
        <w:t>:</w:t>
      </w:r>
      <w:r w:rsidRPr="00063000">
        <w:t xml:space="preserve"> “the number of times that he uses Rashi’s commentary are beyond count.” See </w:t>
      </w:r>
      <w:r w:rsidR="009D02C3">
        <w:t xml:space="preserve">Moshe Weiss, introduction to </w:t>
      </w:r>
      <w:proofErr w:type="spellStart"/>
      <w:r w:rsidRPr="009245CB">
        <w:rPr>
          <w:i/>
          <w:iCs/>
          <w:highlight w:val="green"/>
        </w:rPr>
        <w:t>Sefer</w:t>
      </w:r>
      <w:proofErr w:type="spellEnd"/>
      <w:r w:rsidRPr="009245CB">
        <w:rPr>
          <w:i/>
          <w:iCs/>
          <w:highlight w:val="green"/>
        </w:rPr>
        <w:t xml:space="preserve"> </w:t>
      </w:r>
      <w:proofErr w:type="spellStart"/>
      <w:r w:rsidRPr="009245CB">
        <w:rPr>
          <w:i/>
          <w:iCs/>
          <w:highlight w:val="green"/>
        </w:rPr>
        <w:t>Rushino</w:t>
      </w:r>
      <w:proofErr w:type="spellEnd"/>
      <w:r w:rsidRPr="009245CB">
        <w:rPr>
          <w:i/>
          <w:iCs/>
          <w:highlight w:val="green"/>
        </w:rPr>
        <w:t xml:space="preserve"> of Rabbi Samuel of </w:t>
      </w:r>
      <w:proofErr w:type="spellStart"/>
      <w:r w:rsidRPr="009245CB">
        <w:rPr>
          <w:i/>
          <w:iCs/>
          <w:highlight w:val="green"/>
        </w:rPr>
        <w:t>Roshano</w:t>
      </w:r>
      <w:proofErr w:type="spellEnd"/>
      <w:r w:rsidRPr="009245CB">
        <w:rPr>
          <w:i/>
          <w:iCs/>
          <w:highlight w:val="green"/>
        </w:rPr>
        <w:t xml:space="preserve"> – Genesis</w:t>
      </w:r>
      <w:r>
        <w:t>, ed.</w:t>
      </w:r>
      <w:r w:rsidRPr="00063000">
        <w:t xml:space="preserve"> Moshe Weiss (Jerusalem: Mossad </w:t>
      </w:r>
      <w:proofErr w:type="spellStart"/>
      <w:r w:rsidRPr="00063000">
        <w:t>Harav</w:t>
      </w:r>
      <w:proofErr w:type="spellEnd"/>
      <w:r w:rsidRPr="00063000">
        <w:t xml:space="preserve"> Kook, 1976), 15–16. By contrast, Ta-</w:t>
      </w:r>
      <w:proofErr w:type="spellStart"/>
      <w:r w:rsidRPr="00063000">
        <w:t>Shma</w:t>
      </w:r>
      <w:proofErr w:type="spellEnd"/>
      <w:r w:rsidRPr="00063000">
        <w:t xml:space="preserve"> claimed that Rashi’s commentary reached Rabbi </w:t>
      </w:r>
      <w:proofErr w:type="spellStart"/>
      <w:r w:rsidRPr="00063000">
        <w:t>Rushino</w:t>
      </w:r>
      <w:proofErr w:type="spellEnd"/>
      <w:r w:rsidRPr="00063000">
        <w:t xml:space="preserve"> only late in </w:t>
      </w:r>
      <w:r>
        <w:t>the latter’s</w:t>
      </w:r>
      <w:r w:rsidRPr="00063000">
        <w:t xml:space="preserve"> exegetical career and that even then, </w:t>
      </w:r>
      <w:proofErr w:type="spellStart"/>
      <w:r>
        <w:t>Rushino</w:t>
      </w:r>
      <w:proofErr w:type="spellEnd"/>
      <w:r w:rsidRPr="00063000">
        <w:t xml:space="preserve"> only </w:t>
      </w:r>
      <w:r>
        <w:t>made minor use of it</w:t>
      </w:r>
      <w:r w:rsidRPr="00063000">
        <w:t>. See Ta-</w:t>
      </w:r>
      <w:proofErr w:type="spellStart"/>
      <w:r w:rsidRPr="00063000">
        <w:t>Shma</w:t>
      </w:r>
      <w:proofErr w:type="spellEnd"/>
      <w:r w:rsidRPr="00063000">
        <w:t xml:space="preserve">, </w:t>
      </w:r>
      <w:r w:rsidRPr="00026F68">
        <w:rPr>
          <w:highlight w:val="green"/>
          <w:rtl/>
        </w:rPr>
        <w:t>איטליה</w:t>
      </w:r>
      <w:r w:rsidRPr="00063000">
        <w:t>, 298.</w:t>
      </w:r>
    </w:p>
  </w:footnote>
  <w:footnote w:id="43">
    <w:p w14:paraId="1A129313" w14:textId="5BAB3E34" w:rsidR="00316453" w:rsidRPr="00063000" w:rsidRDefault="00316453" w:rsidP="004C7FD3">
      <w:pPr>
        <w:pStyle w:val="FootnoteText"/>
      </w:pPr>
      <w:r w:rsidRPr="00063000">
        <w:rPr>
          <w:rStyle w:val="FootnoteReference"/>
          <w:rFonts w:cstheme="majorBidi"/>
          <w:szCs w:val="24"/>
        </w:rPr>
        <w:footnoteRef/>
      </w:r>
      <w:r w:rsidR="00495A8F">
        <w:t xml:space="preserve"> </w:t>
      </w:r>
      <w:r w:rsidRPr="00063000">
        <w:t>Ta-</w:t>
      </w:r>
      <w:proofErr w:type="spellStart"/>
      <w:r w:rsidRPr="00063000">
        <w:t>Shma</w:t>
      </w:r>
      <w:proofErr w:type="spellEnd"/>
      <w:r w:rsidRPr="00063000">
        <w:t xml:space="preserve">, </w:t>
      </w:r>
      <w:r w:rsidRPr="00026F68">
        <w:rPr>
          <w:highlight w:val="green"/>
          <w:rtl/>
        </w:rPr>
        <w:t>איטליה</w:t>
      </w:r>
      <w:r w:rsidRPr="00063000">
        <w:t>, 311</w:t>
      </w:r>
      <w:r>
        <w:t>–</w:t>
      </w:r>
      <w:r w:rsidRPr="00063000">
        <w:t>12.</w:t>
      </w:r>
    </w:p>
  </w:footnote>
  <w:footnote w:id="44">
    <w:p w14:paraId="55A10AC1" w14:textId="719DA302" w:rsidR="00316453" w:rsidRPr="00063000" w:rsidRDefault="00316453" w:rsidP="004C7FD3">
      <w:pPr>
        <w:pStyle w:val="FootnoteText"/>
        <w:rPr>
          <w:rtl/>
        </w:rPr>
      </w:pPr>
      <w:r w:rsidRPr="00063000">
        <w:rPr>
          <w:rStyle w:val="FootnoteReference"/>
          <w:rFonts w:cstheme="majorBidi"/>
          <w:szCs w:val="24"/>
        </w:rPr>
        <w:footnoteRef/>
      </w:r>
      <w:r w:rsidRPr="00063000">
        <w:t xml:space="preserve"> Jacob </w:t>
      </w:r>
      <w:proofErr w:type="spellStart"/>
      <w:r w:rsidRPr="00063000">
        <w:t>Elbaum</w:t>
      </w:r>
      <w:proofErr w:type="spellEnd"/>
      <w:r w:rsidRPr="00063000">
        <w:t>, “</w:t>
      </w:r>
      <w:r w:rsidRPr="00F34850">
        <w:rPr>
          <w:highlight w:val="green"/>
        </w:rPr>
        <w:t xml:space="preserve">The Anthology </w:t>
      </w:r>
      <w:proofErr w:type="spellStart"/>
      <w:r w:rsidRPr="00F34850">
        <w:rPr>
          <w:highlight w:val="green"/>
        </w:rPr>
        <w:t>Sekhel</w:t>
      </w:r>
      <w:proofErr w:type="spellEnd"/>
      <w:r w:rsidRPr="00F34850">
        <w:rPr>
          <w:highlight w:val="green"/>
        </w:rPr>
        <w:t xml:space="preserve"> Tov: </w:t>
      </w:r>
      <w:proofErr w:type="spellStart"/>
      <w:r w:rsidRPr="00F34850">
        <w:rPr>
          <w:highlight w:val="green"/>
        </w:rPr>
        <w:t>Derash</w:t>
      </w:r>
      <w:proofErr w:type="spellEnd"/>
      <w:r w:rsidRPr="00F34850">
        <w:rPr>
          <w:highlight w:val="green"/>
        </w:rPr>
        <w:t xml:space="preserve">, Peshat and the Issue of the Redactor (the </w:t>
      </w:r>
      <w:proofErr w:type="spellStart"/>
      <w:r w:rsidRPr="00F34850">
        <w:rPr>
          <w:highlight w:val="green"/>
        </w:rPr>
        <w:t>sadran</w:t>
      </w:r>
      <w:proofErr w:type="spellEnd"/>
      <w:r w:rsidRPr="00F34850">
        <w:rPr>
          <w:highlight w:val="green"/>
        </w:rPr>
        <w:t>),”</w:t>
      </w:r>
      <w:r>
        <w:t xml:space="preserve"> in</w:t>
      </w:r>
      <w:r w:rsidRPr="00063000">
        <w:t xml:space="preserve"> </w:t>
      </w:r>
      <w:r w:rsidRPr="00F34850">
        <w:rPr>
          <w:highlight w:val="green"/>
        </w:rPr>
        <w:t>A Word Fitly Spoken: Studies in Medieval Exegesis of the Hebrew Bible and the Qur'ān Presented to Haggai ben-</w:t>
      </w:r>
      <w:proofErr w:type="spellStart"/>
      <w:r w:rsidRPr="00F34850">
        <w:rPr>
          <w:highlight w:val="green"/>
        </w:rPr>
        <w:t>Shammai</w:t>
      </w:r>
      <w:proofErr w:type="spellEnd"/>
      <w:r w:rsidRPr="00063000">
        <w:t>, ed. Moshe Bar-Asher et. al. (Jerusalem: Ben-</w:t>
      </w:r>
      <w:proofErr w:type="spellStart"/>
      <w:r w:rsidRPr="00063000">
        <w:t>Zvi</w:t>
      </w:r>
      <w:proofErr w:type="spellEnd"/>
      <w:r w:rsidRPr="00063000">
        <w:t xml:space="preserve"> Institute, 2007), 74 n.</w:t>
      </w:r>
      <w:r>
        <w:t xml:space="preserve"> 8.</w:t>
      </w:r>
      <w:r w:rsidRPr="00063000">
        <w:t xml:space="preserve"> </w:t>
      </w:r>
      <w:r>
        <w:t>According</w:t>
      </w:r>
      <w:r w:rsidRPr="00063000">
        <w:t xml:space="preserve"> to Buber and </w:t>
      </w:r>
      <w:proofErr w:type="spellStart"/>
      <w:r w:rsidRPr="00063000">
        <w:t>Lokshin</w:t>
      </w:r>
      <w:proofErr w:type="spellEnd"/>
      <w:r w:rsidRPr="00063000">
        <w:t xml:space="preserve">, </w:t>
      </w:r>
      <w:r>
        <w:t>Rabbi Menahem</w:t>
      </w:r>
      <w:r w:rsidRPr="00063000">
        <w:t xml:space="preserve"> was not familiar with Rashi’s commentary</w:t>
      </w:r>
      <w:r>
        <w:t xml:space="preserve"> at all</w:t>
      </w:r>
      <w:r w:rsidRPr="00063000">
        <w:t xml:space="preserve">. See </w:t>
      </w:r>
      <w:r w:rsidR="00495A8F" w:rsidRPr="00063000">
        <w:t xml:space="preserve">Shlomo Buber </w:t>
      </w:r>
      <w:r w:rsidR="00495A8F">
        <w:t xml:space="preserve">introduction to </w:t>
      </w:r>
      <w:r w:rsidRPr="00063000">
        <w:t xml:space="preserve">Menahem ben Solomon, </w:t>
      </w:r>
      <w:r>
        <w:rPr>
          <w:rFonts w:hint="cs"/>
          <w:rtl/>
        </w:rPr>
        <w:t>מדרש שכל טוב</w:t>
      </w:r>
      <w:r w:rsidRPr="00063000">
        <w:t xml:space="preserve">, ed. Shlomo Buber (Berlin: </w:t>
      </w:r>
      <w:proofErr w:type="spellStart"/>
      <w:r w:rsidRPr="00063000">
        <w:t>Itzkowsky</w:t>
      </w:r>
      <w:proofErr w:type="spellEnd"/>
      <w:r w:rsidRPr="00063000">
        <w:t>, 1900–1901), 14</w:t>
      </w:r>
      <w:r>
        <w:t>;</w:t>
      </w:r>
      <w:r w:rsidRPr="00063000">
        <w:t xml:space="preserve"> Martin I. </w:t>
      </w:r>
      <w:proofErr w:type="spellStart"/>
      <w:r w:rsidRPr="00063000">
        <w:t>Lockshin</w:t>
      </w:r>
      <w:proofErr w:type="spellEnd"/>
      <w:r w:rsidRPr="00063000">
        <w:t xml:space="preserve">, </w:t>
      </w:r>
      <w:r>
        <w:t>“</w:t>
      </w:r>
      <w:r w:rsidRPr="003F6977">
        <w:rPr>
          <w:highlight w:val="green"/>
        </w:rPr>
        <w:t xml:space="preserve">The Connection between R. Samuel ben Meir's Torah Commentary and Midrash </w:t>
      </w:r>
      <w:proofErr w:type="spellStart"/>
      <w:r w:rsidRPr="003F6977">
        <w:rPr>
          <w:highlight w:val="green"/>
        </w:rPr>
        <w:t>Sekhel</w:t>
      </w:r>
      <w:proofErr w:type="spellEnd"/>
      <w:r w:rsidRPr="003F6977">
        <w:rPr>
          <w:highlight w:val="green"/>
        </w:rPr>
        <w:t xml:space="preserve"> Tov</w:t>
      </w:r>
      <w:r w:rsidRPr="00063000">
        <w:t>,</w:t>
      </w:r>
      <w:r>
        <w:t>”</w:t>
      </w:r>
      <w:r w:rsidR="00DB1244">
        <w:t xml:space="preserve"> </w:t>
      </w:r>
      <w:r w:rsidR="00AA1624">
        <w:t xml:space="preserve">in </w:t>
      </w:r>
      <w:r w:rsidRPr="00AA1624">
        <w:rPr>
          <w:i/>
          <w:iCs/>
          <w:highlight w:val="green"/>
        </w:rPr>
        <w:t>Proceedings of the Eleventh World Congress of Jewish Studies, the Bible and its World</w:t>
      </w:r>
      <w:r w:rsidRPr="00063000">
        <w:t xml:space="preserve"> (Jerusalem: World Union of Jewish Studies, 1994), 140</w:t>
      </w:r>
      <w:r>
        <w:t>.</w:t>
      </w:r>
    </w:p>
  </w:footnote>
  <w:footnote w:id="45">
    <w:p w14:paraId="1E267990" w14:textId="65B2BADA" w:rsidR="00316453" w:rsidRPr="00063000" w:rsidRDefault="00316453" w:rsidP="004C7FD3">
      <w:pPr>
        <w:pStyle w:val="FootnoteText"/>
      </w:pPr>
      <w:r w:rsidRPr="00063000">
        <w:rPr>
          <w:rStyle w:val="FootnoteReference"/>
          <w:rFonts w:cstheme="majorBidi"/>
          <w:szCs w:val="24"/>
        </w:rPr>
        <w:footnoteRef/>
      </w:r>
      <w:r w:rsidRPr="00063000">
        <w:t xml:space="preserve"> Lawee, “</w:t>
      </w:r>
      <w:r w:rsidRPr="00063000">
        <w:rPr>
          <w:rtl/>
        </w:rPr>
        <w:t>הרמב</w:t>
      </w:r>
      <w:r>
        <w:rPr>
          <w:rFonts w:hint="cs"/>
          <w:rtl/>
        </w:rPr>
        <w:t>"</w:t>
      </w:r>
      <w:r w:rsidRPr="00063000">
        <w:rPr>
          <w:rtl/>
        </w:rPr>
        <w:t>ם במזרח</w:t>
      </w:r>
      <w:r>
        <w:t>,”</w:t>
      </w:r>
      <w:r w:rsidRPr="00063000">
        <w:t xml:space="preserve"> 598, n. 11.</w:t>
      </w:r>
    </w:p>
  </w:footnote>
  <w:footnote w:id="46">
    <w:p w14:paraId="45124EEC" w14:textId="556391E2" w:rsidR="00316453" w:rsidRPr="00063000" w:rsidRDefault="00316453" w:rsidP="004C7FD3">
      <w:pPr>
        <w:pStyle w:val="FootnoteText"/>
        <w:rPr>
          <w:rtl/>
        </w:rPr>
      </w:pPr>
      <w:r w:rsidRPr="00063000">
        <w:rPr>
          <w:rStyle w:val="FootnoteReference"/>
          <w:rFonts w:cstheme="majorBidi"/>
          <w:szCs w:val="24"/>
        </w:rPr>
        <w:footnoteRef/>
      </w:r>
      <w:r w:rsidRPr="00063000">
        <w:t xml:space="preserve"> See Jacob Mann, </w:t>
      </w:r>
      <w:r>
        <w:t>“</w:t>
      </w:r>
      <w:r w:rsidRPr="00063000">
        <w:t xml:space="preserve">A Commentary to the Pentateuch </w:t>
      </w:r>
      <w:r>
        <w:t>a la</w:t>
      </w:r>
      <w:r w:rsidRPr="00063000">
        <w:t xml:space="preserve"> Rashi</w:t>
      </w:r>
      <w:r>
        <w:t>’s,”</w:t>
      </w:r>
      <w:r w:rsidRPr="00063000">
        <w:t xml:space="preserve"> </w:t>
      </w:r>
      <w:r w:rsidRPr="00063000">
        <w:rPr>
          <w:i/>
          <w:iCs/>
        </w:rPr>
        <w:t>HUCA</w:t>
      </w:r>
      <w:r w:rsidRPr="00063000">
        <w:t xml:space="preserve"> 15 (1940)</w:t>
      </w:r>
      <w:r>
        <w:t>:</w:t>
      </w:r>
      <w:r w:rsidRPr="00063000">
        <w:t xml:space="preserve"> 497–527.</w:t>
      </w:r>
      <w:r w:rsidRPr="00063000">
        <w:rPr>
          <w:rtl/>
        </w:rPr>
        <w:t xml:space="preserve"> </w:t>
      </w:r>
    </w:p>
  </w:footnote>
  <w:footnote w:id="47">
    <w:p w14:paraId="6A6A83C1" w14:textId="386364EE" w:rsidR="00316453" w:rsidRPr="00063000" w:rsidRDefault="00316453" w:rsidP="004C7FD3">
      <w:pPr>
        <w:pStyle w:val="FootnoteText"/>
      </w:pPr>
      <w:r w:rsidRPr="00063000">
        <w:rPr>
          <w:rStyle w:val="FootnoteReference"/>
          <w:rFonts w:cstheme="majorBidi"/>
          <w:szCs w:val="24"/>
        </w:rPr>
        <w:footnoteRef/>
      </w:r>
      <w:r>
        <w:t xml:space="preserve"> On</w:t>
      </w:r>
      <w:r w:rsidRPr="00063000">
        <w:t xml:space="preserve"> his life and works, see Joseph Dan, </w:t>
      </w:r>
      <w:r>
        <w:rPr>
          <w:rFonts w:hint="cs"/>
          <w:rtl/>
        </w:rPr>
        <w:t>רבי יהודה החסיד</w:t>
      </w:r>
      <w:r w:rsidRPr="00063000">
        <w:t xml:space="preserve"> (Jerusalem</w:t>
      </w:r>
      <w:r>
        <w:t>:</w:t>
      </w:r>
      <w:r w:rsidRPr="00063000">
        <w:t xml:space="preserve"> Zalman </w:t>
      </w:r>
      <w:proofErr w:type="spellStart"/>
      <w:r w:rsidRPr="00063000">
        <w:t>Shazar</w:t>
      </w:r>
      <w:proofErr w:type="spellEnd"/>
      <w:r w:rsidRPr="00063000">
        <w:t xml:space="preserve"> Center, 2006), 11–24.</w:t>
      </w:r>
    </w:p>
  </w:footnote>
  <w:footnote w:id="48">
    <w:p w14:paraId="134D8305" w14:textId="2F8A2732"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 xml:space="preserve">The reference to Judah He-Hasid was mentioned already by </w:t>
      </w:r>
      <w:proofErr w:type="spellStart"/>
      <w:r w:rsidR="0066658F" w:rsidRPr="00063000">
        <w:t>Chavel</w:t>
      </w:r>
      <w:proofErr w:type="spellEnd"/>
      <w:r w:rsidR="0066658F" w:rsidRPr="00063000">
        <w:t xml:space="preserve">, </w:t>
      </w:r>
      <w:r w:rsidR="0066658F" w:rsidRPr="00F82C6F">
        <w:t xml:space="preserve">introduction to </w:t>
      </w:r>
      <w:r w:rsidR="0066658F" w:rsidRPr="0066658F">
        <w:rPr>
          <w:i/>
          <w:iCs/>
          <w:highlight w:val="green"/>
        </w:rPr>
        <w:t>A Commentar</w:t>
      </w:r>
      <w:r w:rsidR="0066658F" w:rsidRPr="0066658F">
        <w:rPr>
          <w:i/>
          <w:iCs/>
          <w:highlight w:val="green"/>
        </w:rPr>
        <w:t>y on the Book of Job</w:t>
      </w:r>
      <w:r w:rsidR="0066658F">
        <w:t xml:space="preserve">, </w:t>
      </w:r>
      <w:r w:rsidRPr="0066658F">
        <w:t>4</w:t>
      </w:r>
      <w:r w:rsidRPr="00063000">
        <w:t>, n. 12.</w:t>
      </w:r>
    </w:p>
  </w:footnote>
  <w:footnote w:id="49">
    <w:p w14:paraId="1B448EE4" w14:textId="1BC4B3AB" w:rsidR="00316453" w:rsidRPr="00063000" w:rsidRDefault="00316453" w:rsidP="004C7FD3">
      <w:pPr>
        <w:pStyle w:val="FootnoteText"/>
      </w:pPr>
      <w:r w:rsidRPr="00063000">
        <w:rPr>
          <w:rStyle w:val="FootnoteReference"/>
          <w:rFonts w:cstheme="majorBidi"/>
          <w:szCs w:val="24"/>
        </w:rPr>
        <w:footnoteRef/>
      </w:r>
      <w:r>
        <w:t xml:space="preserve"> </w:t>
      </w:r>
      <w:proofErr w:type="spellStart"/>
      <w:r w:rsidRPr="00063000">
        <w:t>Freimann</w:t>
      </w:r>
      <w:proofErr w:type="spellEnd"/>
      <w:r w:rsidRPr="00063000">
        <w:t xml:space="preserve"> and Marcus have argued that Rabbi Judah wrote his own commentary on the Pentateuch. It is, however, difficult to substantiate this hypothesis. See</w:t>
      </w:r>
      <w:r w:rsidR="0046443A">
        <w:t xml:space="preserve"> </w:t>
      </w:r>
      <w:proofErr w:type="spellStart"/>
      <w:r w:rsidR="0046443A" w:rsidRPr="00063000">
        <w:t>Jehuda</w:t>
      </w:r>
      <w:proofErr w:type="spellEnd"/>
      <w:r w:rsidR="0046443A" w:rsidRPr="00063000">
        <w:t xml:space="preserve"> </w:t>
      </w:r>
      <w:proofErr w:type="spellStart"/>
      <w:r w:rsidR="0046443A" w:rsidRPr="00063000">
        <w:t>Wistinetzki</w:t>
      </w:r>
      <w:proofErr w:type="spellEnd"/>
      <w:r w:rsidR="0046443A">
        <w:t>, introduction to</w:t>
      </w:r>
      <w:r w:rsidRPr="00063000">
        <w:t xml:space="preserve"> </w:t>
      </w:r>
      <w:r>
        <w:rPr>
          <w:rFonts w:hint="cs"/>
          <w:rtl/>
        </w:rPr>
        <w:t>ספר חסידים</w:t>
      </w:r>
      <w:r w:rsidRPr="00063000">
        <w:t xml:space="preserve">, ed. </w:t>
      </w:r>
      <w:proofErr w:type="spellStart"/>
      <w:r w:rsidRPr="00063000">
        <w:t>Jehuda</w:t>
      </w:r>
      <w:proofErr w:type="spellEnd"/>
      <w:r w:rsidRPr="00063000">
        <w:t xml:space="preserve"> </w:t>
      </w:r>
      <w:proofErr w:type="spellStart"/>
      <w:r w:rsidRPr="00063000">
        <w:t>Wistinetzki</w:t>
      </w:r>
      <w:proofErr w:type="spellEnd"/>
      <w:r w:rsidRPr="00063000">
        <w:t xml:space="preserve">, (Frankfurt: </w:t>
      </w:r>
      <w:proofErr w:type="spellStart"/>
      <w:r w:rsidRPr="00063000">
        <w:t>Vahermann</w:t>
      </w:r>
      <w:proofErr w:type="spellEnd"/>
      <w:r w:rsidRPr="00063000">
        <w:t>, 1924),7</w:t>
      </w:r>
      <w:r>
        <w:t xml:space="preserve">; </w:t>
      </w:r>
      <w:r w:rsidRPr="00063000">
        <w:t xml:space="preserve">Ivan G. Marcus, </w:t>
      </w:r>
      <w:r>
        <w:t>“</w:t>
      </w:r>
      <w:r w:rsidRPr="00E36BD3">
        <w:rPr>
          <w:highlight w:val="green"/>
        </w:rPr>
        <w:t>Exegesis for the Few and for the Many: Judah He-</w:t>
      </w:r>
      <w:proofErr w:type="spellStart"/>
      <w:r w:rsidRPr="00E36BD3">
        <w:rPr>
          <w:highlight w:val="green"/>
        </w:rPr>
        <w:t>hasid's</w:t>
      </w:r>
      <w:proofErr w:type="spellEnd"/>
      <w:r w:rsidRPr="00E36BD3">
        <w:rPr>
          <w:highlight w:val="green"/>
        </w:rPr>
        <w:t xml:space="preserve"> Biblical Commentaries,</w:t>
      </w:r>
      <w:r>
        <w:t>”</w:t>
      </w:r>
      <w:r w:rsidRPr="00063000">
        <w:t xml:space="preserve"> </w:t>
      </w:r>
      <w:r w:rsidRPr="00063000">
        <w:rPr>
          <w:i/>
          <w:iCs/>
        </w:rPr>
        <w:t>Jerusalem Studies in Jewish Thought</w:t>
      </w:r>
      <w:r w:rsidRPr="00063000">
        <w:t xml:space="preserve"> 8 (1989)</w:t>
      </w:r>
      <w:r>
        <w:t>:</w:t>
      </w:r>
      <w:r w:rsidRPr="00063000">
        <w:t xml:space="preserve"> 9–10. According to Abrams, Rabbi Judah </w:t>
      </w:r>
      <w:r w:rsidR="00653722">
        <w:t>h</w:t>
      </w:r>
      <w:r w:rsidRPr="00063000">
        <w:t>e-</w:t>
      </w:r>
      <w:r w:rsidR="00653722">
        <w:t>H</w:t>
      </w:r>
      <w:r w:rsidRPr="00063000">
        <w:t xml:space="preserve">asid did not write a commentary on the Pentateuch, see </w:t>
      </w:r>
      <w:r w:rsidR="00143A6D">
        <w:t>Daniel Abrams and Israel Ta-</w:t>
      </w:r>
      <w:proofErr w:type="spellStart"/>
      <w:r w:rsidR="00143A6D">
        <w:t>Shma</w:t>
      </w:r>
      <w:proofErr w:type="spellEnd"/>
      <w:r w:rsidR="00143A6D">
        <w:t xml:space="preserve">, introduction to </w:t>
      </w:r>
      <w:proofErr w:type="spellStart"/>
      <w:r w:rsidRPr="00730799">
        <w:rPr>
          <w:i/>
          <w:iCs/>
          <w:highlight w:val="green"/>
        </w:rPr>
        <w:t>Sefer</w:t>
      </w:r>
      <w:proofErr w:type="spellEnd"/>
      <w:r w:rsidRPr="00730799">
        <w:rPr>
          <w:i/>
          <w:iCs/>
          <w:highlight w:val="green"/>
        </w:rPr>
        <w:t xml:space="preserve"> </w:t>
      </w:r>
      <w:proofErr w:type="spellStart"/>
      <w:r w:rsidRPr="00730799">
        <w:rPr>
          <w:i/>
          <w:iCs/>
          <w:highlight w:val="green"/>
        </w:rPr>
        <w:t>Gematriot</w:t>
      </w:r>
      <w:proofErr w:type="spellEnd"/>
      <w:r w:rsidRPr="00730799">
        <w:rPr>
          <w:i/>
          <w:iCs/>
          <w:highlight w:val="green"/>
        </w:rPr>
        <w:t xml:space="preserve"> of R. Judah the Pious - Facsimile edition of a Unique Manuscript</w:t>
      </w:r>
      <w:r w:rsidRPr="00063000">
        <w:t xml:space="preserve"> (Los Angeles: Cherub Press, 1998), 1</w:t>
      </w:r>
      <w:r>
        <w:t xml:space="preserve">. </w:t>
      </w:r>
    </w:p>
  </w:footnote>
  <w:footnote w:id="50">
    <w:p w14:paraId="0CF8CCEA" w14:textId="022C3D39" w:rsidR="00316453" w:rsidRPr="00063000" w:rsidRDefault="00316453" w:rsidP="004C7FD3">
      <w:pPr>
        <w:pStyle w:val="FootnoteText"/>
      </w:pPr>
      <w:r w:rsidRPr="00063000">
        <w:rPr>
          <w:rStyle w:val="FootnoteReference"/>
          <w:rFonts w:cstheme="majorBidi"/>
          <w:szCs w:val="24"/>
        </w:rPr>
        <w:footnoteRef/>
      </w:r>
      <w:r>
        <w:t xml:space="preserve"> </w:t>
      </w:r>
      <w:r w:rsidRPr="00063000">
        <w:rPr>
          <w:rtl/>
        </w:rPr>
        <w:t xml:space="preserve">פרושי התורה </w:t>
      </w:r>
      <w:proofErr w:type="spellStart"/>
      <w:r w:rsidRPr="00063000">
        <w:rPr>
          <w:rtl/>
        </w:rPr>
        <w:t>לר</w:t>
      </w:r>
      <w:proofErr w:type="spellEnd"/>
      <w:r w:rsidRPr="00063000">
        <w:rPr>
          <w:rtl/>
        </w:rPr>
        <w:t>' יהודה החסיד</w:t>
      </w:r>
      <w:r>
        <w:t>,</w:t>
      </w:r>
      <w:r>
        <w:rPr>
          <w:rFonts w:hint="cs"/>
        </w:rPr>
        <w:t xml:space="preserve"> </w:t>
      </w:r>
      <w:r>
        <w:t xml:space="preserve">ed. </w:t>
      </w:r>
      <w:r w:rsidRPr="004C6EAF">
        <w:rPr>
          <w:highlight w:val="yellow"/>
        </w:rPr>
        <w:t xml:space="preserve">Yitshak Shimshon </w:t>
      </w:r>
      <w:proofErr w:type="spellStart"/>
      <w:r w:rsidRPr="004C6EAF">
        <w:rPr>
          <w:highlight w:val="yellow"/>
        </w:rPr>
        <w:t>Langa</w:t>
      </w:r>
      <w:proofErr w:type="spellEnd"/>
      <w:r w:rsidRPr="00063000">
        <w:t xml:space="preserve"> </w:t>
      </w:r>
      <w:r>
        <w:t xml:space="preserve">(Jerusalem: </w:t>
      </w:r>
      <w:r w:rsidRPr="004C6EAF">
        <w:rPr>
          <w:color w:val="FF0000"/>
          <w:highlight w:val="yellow"/>
        </w:rPr>
        <w:t>PUBLISHER</w:t>
      </w:r>
      <w:r>
        <w:t>, 1975).</w:t>
      </w:r>
      <w:bookmarkStart w:id="15" w:name="_GoBack"/>
      <w:bookmarkEnd w:id="15"/>
    </w:p>
  </w:footnote>
  <w:footnote w:id="51">
    <w:p w14:paraId="3FD9D35F" w14:textId="578A4C8F"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 xml:space="preserve">See </w:t>
      </w:r>
      <w:r w:rsidRPr="00063000">
        <w:rPr>
          <w:rtl/>
        </w:rPr>
        <w:t xml:space="preserve">טעמי מסורת המקרא </w:t>
      </w:r>
      <w:proofErr w:type="spellStart"/>
      <w:r w:rsidRPr="00063000">
        <w:rPr>
          <w:rtl/>
        </w:rPr>
        <w:t>לר</w:t>
      </w:r>
      <w:proofErr w:type="spellEnd"/>
      <w:r w:rsidRPr="00063000">
        <w:rPr>
          <w:rtl/>
        </w:rPr>
        <w:t>' יהודה החסיד</w:t>
      </w:r>
      <w:r w:rsidRPr="00063000">
        <w:t xml:space="preserve">, ed. </w:t>
      </w:r>
      <w:r w:rsidRPr="004C6EAF">
        <w:rPr>
          <w:highlight w:val="yellow"/>
        </w:rPr>
        <w:t xml:space="preserve">Yitshak Shimshon </w:t>
      </w:r>
      <w:proofErr w:type="spellStart"/>
      <w:r w:rsidRPr="004C6EAF">
        <w:rPr>
          <w:highlight w:val="yellow"/>
        </w:rPr>
        <w:t>Langa</w:t>
      </w:r>
      <w:proofErr w:type="spellEnd"/>
      <w:r w:rsidRPr="00063000">
        <w:t xml:space="preserve"> (Jerusalem: </w:t>
      </w:r>
      <w:r w:rsidRPr="004C6EAF">
        <w:rPr>
          <w:color w:val="FF0000"/>
          <w:highlight w:val="yellow"/>
        </w:rPr>
        <w:t>PUBLISHER</w:t>
      </w:r>
      <w:r w:rsidRPr="00063000">
        <w:t xml:space="preserve">, 1981), 68 (on </w:t>
      </w:r>
      <w:proofErr w:type="spellStart"/>
      <w:r w:rsidRPr="00063000">
        <w:t>Deut</w:t>
      </w:r>
      <w:proofErr w:type="spellEnd"/>
      <w:r w:rsidRPr="00063000">
        <w:t xml:space="preserve"> 4:13); </w:t>
      </w:r>
      <w:r>
        <w:rPr>
          <w:rFonts w:hint="cs"/>
          <w:rtl/>
        </w:rPr>
        <w:t xml:space="preserve">ספר </w:t>
      </w:r>
      <w:proofErr w:type="spellStart"/>
      <w:r w:rsidRPr="00063000">
        <w:rPr>
          <w:rtl/>
        </w:rPr>
        <w:t>גימטריאות</w:t>
      </w:r>
      <w:proofErr w:type="spellEnd"/>
      <w:r>
        <w:rPr>
          <w:rFonts w:hint="cs"/>
          <w:rtl/>
        </w:rPr>
        <w:t xml:space="preserve"> </w:t>
      </w:r>
      <w:proofErr w:type="spellStart"/>
      <w:r>
        <w:rPr>
          <w:rFonts w:hint="cs"/>
          <w:rtl/>
        </w:rPr>
        <w:t>לר</w:t>
      </w:r>
      <w:proofErr w:type="spellEnd"/>
      <w:r>
        <w:rPr>
          <w:rFonts w:hint="cs"/>
          <w:rtl/>
        </w:rPr>
        <w:t>' יהודה החסיד</w:t>
      </w:r>
      <w:r w:rsidRPr="00063000">
        <w:t xml:space="preserve">, ed. Jacob Israel </w:t>
      </w:r>
      <w:proofErr w:type="spellStart"/>
      <w:r w:rsidRPr="00063000">
        <w:t>Setel</w:t>
      </w:r>
      <w:proofErr w:type="spellEnd"/>
      <w:r w:rsidRPr="00063000">
        <w:t xml:space="preserve"> (Jerusalem</w:t>
      </w:r>
      <w:r>
        <w:t xml:space="preserve">: </w:t>
      </w:r>
      <w:r w:rsidRPr="004C6EAF">
        <w:rPr>
          <w:color w:val="FF0000"/>
          <w:highlight w:val="yellow"/>
        </w:rPr>
        <w:t>PUBLISHER</w:t>
      </w:r>
      <w:r w:rsidRPr="00063000">
        <w:t xml:space="preserve"> 2005), 158</w:t>
      </w:r>
      <w:r>
        <w:t xml:space="preserve">. </w:t>
      </w:r>
      <w:r w:rsidRPr="00063000">
        <w:t xml:space="preserve">This teaching appears in several other books associated with Rabbi Judah and his circle. See </w:t>
      </w:r>
      <w:r w:rsidRPr="00063000">
        <w:rPr>
          <w:rtl/>
        </w:rPr>
        <w:t xml:space="preserve">ספר </w:t>
      </w:r>
      <w:proofErr w:type="spellStart"/>
      <w:r w:rsidRPr="00063000">
        <w:rPr>
          <w:rtl/>
        </w:rPr>
        <w:t>גימטריאות</w:t>
      </w:r>
      <w:proofErr w:type="spellEnd"/>
      <w:r w:rsidRPr="00063000">
        <w:t>, 59.</w:t>
      </w:r>
      <w:r w:rsidR="00DB1244">
        <w:t xml:space="preserve"> </w:t>
      </w:r>
      <w:r w:rsidRPr="00063000">
        <w:t xml:space="preserve">My many thanks to Rabbi Jacob Israel </w:t>
      </w:r>
      <w:proofErr w:type="spellStart"/>
      <w:r w:rsidRPr="00063000">
        <w:t>Stel</w:t>
      </w:r>
      <w:proofErr w:type="spellEnd"/>
      <w:r w:rsidRPr="00063000">
        <w:t xml:space="preserve"> who assisted me in finding the references to write this note. </w:t>
      </w:r>
    </w:p>
  </w:footnote>
  <w:footnote w:id="52">
    <w:p w14:paraId="228EBD5A" w14:textId="4DF76319" w:rsidR="00316453" w:rsidRPr="00063000" w:rsidRDefault="00316453" w:rsidP="004C7FD3">
      <w:pPr>
        <w:pStyle w:val="FootnoteText"/>
      </w:pPr>
      <w:r w:rsidRPr="00063000">
        <w:rPr>
          <w:rStyle w:val="FootnoteReference"/>
          <w:rFonts w:cstheme="majorBidi"/>
          <w:szCs w:val="24"/>
        </w:rPr>
        <w:footnoteRef/>
      </w:r>
      <w:r>
        <w:t xml:space="preserve"> </w:t>
      </w:r>
      <w:r w:rsidRPr="00063000">
        <w:t xml:space="preserve">Some </w:t>
      </w:r>
      <w:r>
        <w:t>have suggested</w:t>
      </w:r>
      <w:r w:rsidRPr="00063000">
        <w:t xml:space="preserve"> </w:t>
      </w:r>
      <w:r>
        <w:t>that</w:t>
      </w:r>
      <w:r w:rsidRPr="00063000">
        <w:t xml:space="preserve"> Rabbi Judah’s migration was related to economic </w:t>
      </w:r>
      <w:r w:rsidR="00F24C05">
        <w:t>prospects and the desire for more secure living conditions</w:t>
      </w:r>
      <w:r w:rsidR="000E3A50">
        <w:t xml:space="preserve"> </w:t>
      </w:r>
      <w:r w:rsidR="000E3A50" w:rsidRPr="000E3A50">
        <w:rPr>
          <w:color w:val="FF0000"/>
          <w:highlight w:val="yellow"/>
        </w:rPr>
        <w:t>[expanded a bit please confirm]</w:t>
      </w:r>
      <w:r w:rsidRPr="000E3A50">
        <w:rPr>
          <w:color w:val="FF0000"/>
          <w:highlight w:val="yellow"/>
        </w:rPr>
        <w:t>.</w:t>
      </w:r>
      <w:r w:rsidRPr="000E3A50">
        <w:rPr>
          <w:color w:val="FF0000"/>
        </w:rPr>
        <w:t xml:space="preserve"> </w:t>
      </w:r>
      <w:r w:rsidRPr="00063000">
        <w:t>According to Ta-</w:t>
      </w:r>
      <w:proofErr w:type="spellStart"/>
      <w:r w:rsidRPr="00063000">
        <w:t>Shma</w:t>
      </w:r>
      <w:proofErr w:type="spellEnd"/>
      <w:r>
        <w:t>,</w:t>
      </w:r>
      <w:r w:rsidRPr="00063000">
        <w:t xml:space="preserve"> a group of German </w:t>
      </w:r>
      <w:r>
        <w:t>pietists</w:t>
      </w:r>
      <w:r w:rsidRPr="00063000">
        <w:t xml:space="preserve"> made plans to settle new territories in Eastern Europe, and that perhaps </w:t>
      </w:r>
      <w:r>
        <w:t>it</w:t>
      </w:r>
      <w:r w:rsidRPr="00063000">
        <w:t xml:space="preserve"> was </w:t>
      </w:r>
      <w:r>
        <w:t>this that</w:t>
      </w:r>
      <w:r w:rsidRPr="00063000">
        <w:t xml:space="preserve"> motivated their teacher to move as well. See Israel M. Ta-</w:t>
      </w:r>
      <w:proofErr w:type="spellStart"/>
      <w:r w:rsidRPr="00063000">
        <w:t>Shma</w:t>
      </w:r>
      <w:proofErr w:type="spellEnd"/>
      <w:r w:rsidRPr="00063000">
        <w:t xml:space="preserve">, </w:t>
      </w:r>
      <w:r w:rsidRPr="006530A3">
        <w:rPr>
          <w:i/>
          <w:iCs/>
          <w:highlight w:val="green"/>
        </w:rPr>
        <w:t>Studies in Medieval Rabbinic Literature, Part 1:Germany</w:t>
      </w:r>
      <w:r w:rsidRPr="00063000">
        <w:t xml:space="preserve"> (Jerusalem: Bialik Institute, 2004), 251–52 and n. 82</w:t>
      </w:r>
      <w:r>
        <w:t xml:space="preserve">. </w:t>
      </w:r>
      <w:r w:rsidRPr="00063000">
        <w:t xml:space="preserve">According to </w:t>
      </w:r>
      <w:proofErr w:type="spellStart"/>
      <w:r w:rsidRPr="00063000">
        <w:t>Shoham</w:t>
      </w:r>
      <w:proofErr w:type="spellEnd"/>
      <w:r w:rsidRPr="00063000">
        <w:t xml:space="preserve">-Steiner the account of Rabbi Judah’s migration to Eastern Europe is actually referring to the journey of his father, Rabbi Samuel. See Ephraim </w:t>
      </w:r>
      <w:proofErr w:type="spellStart"/>
      <w:r w:rsidRPr="00063000">
        <w:t>Shoham</w:t>
      </w:r>
      <w:proofErr w:type="spellEnd"/>
      <w:r w:rsidRPr="00063000">
        <w:t xml:space="preserve">-Steiner, </w:t>
      </w:r>
      <w:r>
        <w:t>“</w:t>
      </w:r>
      <w:r w:rsidRPr="00BC6DE6">
        <w:rPr>
          <w:highlight w:val="green"/>
        </w:rPr>
        <w:t xml:space="preserve">From Speyer to Regensburg: Reexamining the Migration of the Pietistic </w:t>
      </w:r>
      <w:proofErr w:type="spellStart"/>
      <w:r w:rsidRPr="00BC6DE6">
        <w:rPr>
          <w:highlight w:val="green"/>
        </w:rPr>
        <w:t>Kalonymides</w:t>
      </w:r>
      <w:proofErr w:type="spellEnd"/>
      <w:r w:rsidRPr="00BC6DE6">
        <w:rPr>
          <w:highlight w:val="green"/>
        </w:rPr>
        <w:t xml:space="preserve"> from the Rhineland to the Danube</w:t>
      </w:r>
      <w:r>
        <w:t>,”</w:t>
      </w:r>
      <w:r w:rsidRPr="00063000">
        <w:t xml:space="preserve"> </w:t>
      </w:r>
      <w:r w:rsidRPr="00063000">
        <w:rPr>
          <w:i/>
          <w:iCs/>
        </w:rPr>
        <w:t>Zion</w:t>
      </w:r>
      <w:r w:rsidRPr="00063000">
        <w:t xml:space="preserve"> 81 (2016)</w:t>
      </w:r>
      <w:r>
        <w:t>:</w:t>
      </w:r>
      <w:r w:rsidRPr="00063000">
        <w:t xml:space="preserve"> 149–176</w:t>
      </w:r>
      <w:r>
        <w:t>.</w:t>
      </w:r>
    </w:p>
  </w:footnote>
  <w:footnote w:id="53">
    <w:p w14:paraId="5902F75E" w14:textId="4A054E80" w:rsidR="00316453" w:rsidRPr="00063000" w:rsidRDefault="00316453" w:rsidP="004C7FD3">
      <w:pPr>
        <w:pStyle w:val="FootnoteText"/>
        <w:rPr>
          <w:rtl/>
        </w:rPr>
      </w:pPr>
      <w:r w:rsidRPr="00063000">
        <w:rPr>
          <w:rStyle w:val="FootnoteReference"/>
          <w:rFonts w:cstheme="majorBidi"/>
          <w:szCs w:val="24"/>
        </w:rPr>
        <w:footnoteRef/>
      </w:r>
      <w:r w:rsidRPr="00063000">
        <w:t xml:space="preserve"> For a discussion of the group of sages headed by </w:t>
      </w:r>
      <w:r w:rsidRPr="00BE17F6">
        <w:rPr>
          <w:highlight w:val="yellow"/>
        </w:rPr>
        <w:t>Rabbi Isaac of Russia</w:t>
      </w:r>
      <w:r w:rsidRPr="00063000">
        <w:t xml:space="preserve">, and which included among its member </w:t>
      </w:r>
      <w:r w:rsidRPr="00E80E54">
        <w:rPr>
          <w:highlight w:val="yellow"/>
        </w:rPr>
        <w:t>Rabbi Mordechai of Poland and Rabbi Isaac of Poland</w:t>
      </w:r>
      <w:r w:rsidRPr="00063000">
        <w:t>, see Ta-</w:t>
      </w:r>
      <w:proofErr w:type="spellStart"/>
      <w:r w:rsidRPr="00063000">
        <w:t>Shma</w:t>
      </w:r>
      <w:proofErr w:type="spellEnd"/>
      <w:r w:rsidRPr="00063000">
        <w:t xml:space="preserve">, </w:t>
      </w:r>
      <w:r w:rsidRPr="00E80E54">
        <w:rPr>
          <w:highlight w:val="green"/>
          <w:rtl/>
        </w:rPr>
        <w:t>גרמניה</w:t>
      </w:r>
      <w:r w:rsidRPr="00063000">
        <w:t>, 245</w:t>
      </w:r>
      <w:r>
        <w:t>–</w:t>
      </w:r>
      <w:r w:rsidRPr="00063000">
        <w:t>47.</w:t>
      </w:r>
    </w:p>
  </w:footnote>
  <w:footnote w:id="54">
    <w:p w14:paraId="61D8AA89" w14:textId="7D0C7295" w:rsidR="00316453" w:rsidRPr="00063000" w:rsidRDefault="00316453" w:rsidP="004C7FD3">
      <w:pPr>
        <w:pStyle w:val="FootnoteText"/>
        <w:rPr>
          <w:rtl/>
        </w:rPr>
      </w:pPr>
      <w:r w:rsidRPr="00063000">
        <w:rPr>
          <w:rStyle w:val="FootnoteReference"/>
          <w:rFonts w:cstheme="majorBidi"/>
          <w:szCs w:val="24"/>
        </w:rPr>
        <w:footnoteRef/>
      </w:r>
      <w:r w:rsidRPr="00063000">
        <w:t xml:space="preserve"> Nicolas De Lange, </w:t>
      </w:r>
      <w:r>
        <w:t>“</w:t>
      </w:r>
      <w:r w:rsidRPr="00063000">
        <w:t>Abraham Ibn Ezra and Byzantium</w:t>
      </w:r>
      <w:r>
        <w:t>,” in</w:t>
      </w:r>
      <w:r w:rsidRPr="00063000">
        <w:t xml:space="preserve"> </w:t>
      </w:r>
      <w:r w:rsidRPr="00063000">
        <w:rPr>
          <w:i/>
          <w:iCs/>
        </w:rPr>
        <w:t>Abraham Ibn Ezra and his Age</w:t>
      </w:r>
      <w:r w:rsidRPr="006A7A58">
        <w:t>,</w:t>
      </w:r>
      <w:r w:rsidRPr="00063000">
        <w:t xml:space="preserve"> </w:t>
      </w:r>
      <w:r>
        <w:t>e</w:t>
      </w:r>
      <w:r w:rsidRPr="00063000">
        <w:t xml:space="preserve">d. Fernando Diaz Esteban (Madrid: </w:t>
      </w:r>
      <w:proofErr w:type="spellStart"/>
      <w:r w:rsidRPr="00063000">
        <w:t>Asociacion</w:t>
      </w:r>
      <w:proofErr w:type="spellEnd"/>
      <w:r w:rsidRPr="00063000">
        <w:t xml:space="preserve"> Espanola de Orientalists, 1990), 183.</w:t>
      </w:r>
    </w:p>
  </w:footnote>
  <w:footnote w:id="55">
    <w:p w14:paraId="50133E5B" w14:textId="18CBD7AF"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 xml:space="preserve">This is what Professor Daniel Lasker informed me in response to my question (December 2018). Some maintain that </w:t>
      </w:r>
      <w:proofErr w:type="spellStart"/>
      <w:r w:rsidRPr="00063000">
        <w:t>Hadassi</w:t>
      </w:r>
      <w:proofErr w:type="spellEnd"/>
      <w:r w:rsidRPr="00063000">
        <w:t xml:space="preserve"> was familiar with Ibn Ezra’s books </w:t>
      </w:r>
      <w:r>
        <w:rPr>
          <w:rFonts w:hint="cs"/>
          <w:rtl/>
        </w:rPr>
        <w:t>ערוגות הבושם</w:t>
      </w:r>
      <w:r w:rsidRPr="00063000">
        <w:rPr>
          <w:i/>
          <w:iCs/>
        </w:rPr>
        <w:t xml:space="preserve"> </w:t>
      </w:r>
      <w:r w:rsidRPr="00063000">
        <w:t xml:space="preserve">and </w:t>
      </w:r>
      <w:r>
        <w:rPr>
          <w:rFonts w:hint="cs"/>
          <w:rtl/>
        </w:rPr>
        <w:t>פרדס החכמה</w:t>
      </w:r>
      <w:r w:rsidRPr="00063000">
        <w:rPr>
          <w:i/>
          <w:iCs/>
        </w:rPr>
        <w:t xml:space="preserve"> </w:t>
      </w:r>
      <w:r w:rsidRPr="00063000">
        <w:t xml:space="preserve">which were written earlier. See Daniel J. Lasker, </w:t>
      </w:r>
      <w:r w:rsidRPr="00063000">
        <w:rPr>
          <w:i/>
          <w:iCs/>
        </w:rPr>
        <w:t xml:space="preserve">From Judah </w:t>
      </w:r>
      <w:proofErr w:type="spellStart"/>
      <w:r w:rsidRPr="00063000">
        <w:rPr>
          <w:i/>
          <w:iCs/>
        </w:rPr>
        <w:t>Hadassi</w:t>
      </w:r>
      <w:proofErr w:type="spellEnd"/>
      <w:r w:rsidRPr="00063000">
        <w:rPr>
          <w:i/>
          <w:iCs/>
        </w:rPr>
        <w:t xml:space="preserve"> to Elijah </w:t>
      </w:r>
      <w:proofErr w:type="spellStart"/>
      <w:r w:rsidRPr="00063000">
        <w:rPr>
          <w:i/>
          <w:iCs/>
        </w:rPr>
        <w:t>Bashyatchi</w:t>
      </w:r>
      <w:proofErr w:type="spellEnd"/>
      <w:r>
        <w:rPr>
          <w:i/>
          <w:iCs/>
        </w:rPr>
        <w:t xml:space="preserve">: </w:t>
      </w:r>
      <w:r w:rsidRPr="00063000">
        <w:rPr>
          <w:i/>
          <w:iCs/>
        </w:rPr>
        <w:t>Studies in Late Medieval Karaite Philosophy</w:t>
      </w:r>
      <w:r w:rsidRPr="00063000">
        <w:t xml:space="preserve"> (Leiden-Boston: Brill, 2008), 48 n. 39. For the date of the composition of Ibn Ezra’s commentaries on the Pentateuch, see Uriel Simon</w:t>
      </w:r>
      <w:r w:rsidR="003E62E8">
        <w:t xml:space="preserve">, </w:t>
      </w:r>
      <w:r>
        <w:t>ed.</w:t>
      </w:r>
      <w:r w:rsidR="00DB1244">
        <w:t xml:space="preserve"> </w:t>
      </w:r>
      <w:r>
        <w:t>“</w:t>
      </w:r>
      <w:r w:rsidRPr="00063000">
        <w:rPr>
          <w:rtl/>
        </w:rPr>
        <w:t>ר' אברהם אבן עזרא - הפירוש הקצר לתורה, הפירוש הארוך לבראשית ושמות וקטעי הפירוש שבעל-פה לבראשית</w:t>
      </w:r>
      <w:r>
        <w:t>” in</w:t>
      </w:r>
      <w:r w:rsidRPr="00063000">
        <w:t xml:space="preserve"> </w:t>
      </w:r>
      <w:r>
        <w:rPr>
          <w:rFonts w:hint="cs"/>
          <w:rtl/>
        </w:rPr>
        <w:t>מקראות גדולות הכתר: שמות</w:t>
      </w:r>
      <w:r>
        <w:t>,</w:t>
      </w:r>
      <w:r w:rsidRPr="00063000">
        <w:t xml:space="preserve"> </w:t>
      </w:r>
      <w:r>
        <w:t>e</w:t>
      </w:r>
      <w:r w:rsidRPr="00063000">
        <w:t xml:space="preserve">d. Menachem Cohen (Jerusalem: Bar-Ilan University Press, 2012), </w:t>
      </w:r>
      <w:r>
        <w:t>1:</w:t>
      </w:r>
      <w:r w:rsidRPr="00063000">
        <w:t>10–22</w:t>
      </w:r>
      <w:r>
        <w:t>.</w:t>
      </w:r>
      <w:r w:rsidRPr="00063000">
        <w:t xml:space="preserve"> </w:t>
      </w:r>
      <w:proofErr w:type="spellStart"/>
      <w:r w:rsidRPr="00063000">
        <w:t>Itamar</w:t>
      </w:r>
      <w:proofErr w:type="spellEnd"/>
      <w:r w:rsidRPr="00063000">
        <w:t xml:space="preserve"> Kislev, </w:t>
      </w:r>
      <w:r>
        <w:t>“</w:t>
      </w:r>
      <w:r w:rsidRPr="00063000">
        <w:t>The Relationship between the Torah Commentaries Composed by R. Abraham Ibn Ezra in France and the Significance of his Relationship for the Biographical Chronology of the Commentator</w:t>
      </w:r>
      <w:r>
        <w:t xml:space="preserve">,” </w:t>
      </w:r>
      <w:r w:rsidRPr="00063000">
        <w:rPr>
          <w:i/>
          <w:iCs/>
        </w:rPr>
        <w:t>JJS</w:t>
      </w:r>
      <w:r w:rsidRPr="00063000">
        <w:t xml:space="preserve"> 60 (2009)</w:t>
      </w:r>
      <w:r>
        <w:rPr>
          <w:rFonts w:hint="cs"/>
          <w:rtl/>
        </w:rPr>
        <w:t>:</w:t>
      </w:r>
      <w:r w:rsidRPr="00063000">
        <w:t xml:space="preserve"> 282–97.</w:t>
      </w:r>
      <w:r w:rsidRPr="00063000">
        <w:rPr>
          <w:rtl/>
        </w:rPr>
        <w:t xml:space="preserve"> </w:t>
      </w:r>
    </w:p>
  </w:footnote>
  <w:footnote w:id="56">
    <w:p w14:paraId="0D4C1B2E" w14:textId="3FFA48E7" w:rsidR="00316453" w:rsidRPr="006F4484" w:rsidRDefault="00316453" w:rsidP="004C7FD3">
      <w:pPr>
        <w:pStyle w:val="FootnoteText"/>
        <w:rPr>
          <w:i/>
          <w:iCs/>
        </w:rPr>
      </w:pPr>
      <w:r w:rsidRPr="00063000">
        <w:rPr>
          <w:rStyle w:val="FootnoteReference"/>
          <w:rFonts w:cstheme="majorBidi"/>
          <w:szCs w:val="24"/>
        </w:rPr>
        <w:footnoteRef/>
      </w:r>
      <w:r>
        <w:rPr>
          <w:rFonts w:hint="cs"/>
          <w:rtl/>
        </w:rPr>
        <w:t xml:space="preserve"> </w:t>
      </w:r>
      <w:proofErr w:type="spellStart"/>
      <w:r w:rsidR="003E62E8" w:rsidRPr="003E62E8">
        <w:t>Friedländer</w:t>
      </w:r>
      <w:proofErr w:type="spellEnd"/>
      <w:r w:rsidR="003E62E8" w:rsidRPr="003E62E8">
        <w:t xml:space="preserve"> </w:t>
      </w:r>
      <w:r w:rsidRPr="00063000">
        <w:t xml:space="preserve">already questioned the authenticity of </w:t>
      </w:r>
      <w:r w:rsidR="003E62E8">
        <w:t>Mosconi’s</w:t>
      </w:r>
      <w:r w:rsidRPr="00063000">
        <w:t xml:space="preserve"> testimony. See Michael </w:t>
      </w:r>
      <w:proofErr w:type="spellStart"/>
      <w:r w:rsidR="003E62E8" w:rsidRPr="003E62E8">
        <w:t>Friedländer</w:t>
      </w:r>
      <w:proofErr w:type="spellEnd"/>
      <w:r w:rsidRPr="00063000">
        <w:t xml:space="preserve">, </w:t>
      </w:r>
      <w:r w:rsidRPr="00063000">
        <w:rPr>
          <w:i/>
          <w:iCs/>
        </w:rPr>
        <w:t>Essays on the Writings of Abraham Ibn Ezra</w:t>
      </w:r>
      <w:r w:rsidRPr="00063000">
        <w:t xml:space="preserve"> (London: </w:t>
      </w:r>
      <w:proofErr w:type="spellStart"/>
      <w:r w:rsidRPr="00063000">
        <w:t>Trubner</w:t>
      </w:r>
      <w:proofErr w:type="spellEnd"/>
      <w:r w:rsidRPr="00063000">
        <w:t xml:space="preserve"> and </w:t>
      </w:r>
      <w:r>
        <w:rPr>
          <w:rFonts w:hint="cs"/>
        </w:rPr>
        <w:t>C</w:t>
      </w:r>
      <w:r w:rsidRPr="00063000">
        <w:t>o., 1877), 214–15. For a discussion of the chronology of Rabbi Abishai, see Ta-</w:t>
      </w:r>
      <w:proofErr w:type="spellStart"/>
      <w:r w:rsidRPr="00063000">
        <w:t>Shma</w:t>
      </w:r>
      <w:proofErr w:type="spellEnd"/>
      <w:r w:rsidRPr="00063000">
        <w:t xml:space="preserve">, </w:t>
      </w:r>
      <w:r w:rsidRPr="00741BB8">
        <w:rPr>
          <w:highlight w:val="green"/>
          <w:rtl/>
        </w:rPr>
        <w:t>איטליה</w:t>
      </w:r>
      <w:r w:rsidRPr="00063000">
        <w:t>,</w:t>
      </w:r>
      <w:r>
        <w:rPr>
          <w:rFonts w:hint="cs"/>
          <w:rtl/>
        </w:rPr>
        <w:t xml:space="preserve"> 17</w:t>
      </w:r>
      <w:r w:rsidRPr="00063000">
        <w:t xml:space="preserve">; Uriel Simon, </w:t>
      </w:r>
      <w:r w:rsidRPr="00741BB8">
        <w:rPr>
          <w:i/>
          <w:iCs/>
          <w:highlight w:val="green"/>
        </w:rPr>
        <w:t>The Ear Discerns Words - Studies in Ibn Ezra's Exegetical Methodology</w:t>
      </w:r>
      <w:r w:rsidRPr="00063000">
        <w:t xml:space="preserve"> (Ramat Gan</w:t>
      </w:r>
      <w:r>
        <w:t>:</w:t>
      </w:r>
      <w:r w:rsidRPr="00063000">
        <w:t xml:space="preserve"> Bar-Ilan University Press, 2013), 377–78; </w:t>
      </w:r>
      <w:r w:rsidR="003E62E8">
        <w:rPr>
          <w:rFonts w:hint="cs"/>
        </w:rPr>
        <w:t>H</w:t>
      </w:r>
      <w:r w:rsidR="003E62E8">
        <w:t xml:space="preserve">oward </w:t>
      </w:r>
      <w:proofErr w:type="spellStart"/>
      <w:r w:rsidR="003E62E8">
        <w:t>Kreisel</w:t>
      </w:r>
      <w:proofErr w:type="spellEnd"/>
      <w:r w:rsidR="003E62E8">
        <w:t xml:space="preserve">, introduction to </w:t>
      </w:r>
      <w:r w:rsidRPr="00803A30">
        <w:rPr>
          <w:i/>
          <w:iCs/>
          <w:highlight w:val="green"/>
        </w:rPr>
        <w:t>Five Early Commentators on R. Abraham Ibn Ezra - The Earliest Supercommentaries on Ibn Ezra’s Commentary</w:t>
      </w:r>
      <w:r w:rsidRPr="00063000">
        <w:t>, ed</w:t>
      </w:r>
      <w:r>
        <w:t>.</w:t>
      </w:r>
      <w:r w:rsidRPr="00063000">
        <w:t xml:space="preserve"> Howard </w:t>
      </w:r>
      <w:proofErr w:type="spellStart"/>
      <w:r w:rsidRPr="00063000">
        <w:t>Kreisel</w:t>
      </w:r>
      <w:proofErr w:type="spellEnd"/>
      <w:r w:rsidRPr="00063000">
        <w:t xml:space="preserve"> (Beer Sheva: Ben-Gurion University Press, 2017), 18</w:t>
      </w:r>
      <w:r>
        <w:t>.</w:t>
      </w:r>
    </w:p>
  </w:footnote>
  <w:footnote w:id="57">
    <w:p w14:paraId="3BBB5953" w14:textId="694C7114" w:rsidR="00316453" w:rsidRPr="00063000" w:rsidRDefault="00316453" w:rsidP="004C7FD3">
      <w:pPr>
        <w:pStyle w:val="FootnoteText"/>
        <w:rPr>
          <w:rtl/>
        </w:rPr>
      </w:pPr>
      <w:r w:rsidRPr="00063000">
        <w:rPr>
          <w:rStyle w:val="FootnoteReference"/>
          <w:rFonts w:cstheme="majorBidi"/>
          <w:szCs w:val="24"/>
        </w:rPr>
        <w:footnoteRef/>
      </w:r>
      <w:r w:rsidRPr="00063000">
        <w:t xml:space="preserve"> Daniel Frank, </w:t>
      </w:r>
      <w:r>
        <w:t>“</w:t>
      </w:r>
      <w:r w:rsidRPr="00063000">
        <w:t xml:space="preserve">Abraham Ibn Ezra and the Karaite Exegetes </w:t>
      </w:r>
      <w:proofErr w:type="spellStart"/>
      <w:r w:rsidRPr="00063000">
        <w:t>Aharon</w:t>
      </w:r>
      <w:proofErr w:type="spellEnd"/>
      <w:r w:rsidRPr="00063000">
        <w:t xml:space="preserve"> ben Joseph and </w:t>
      </w:r>
      <w:proofErr w:type="spellStart"/>
      <w:r w:rsidRPr="00063000">
        <w:t>Aharon</w:t>
      </w:r>
      <w:proofErr w:type="spellEnd"/>
      <w:r w:rsidRPr="00063000">
        <w:t xml:space="preserve"> ben Elijah</w:t>
      </w:r>
      <w:r>
        <w:t>,”</w:t>
      </w:r>
      <w:r w:rsidRPr="00063000">
        <w:t xml:space="preserve"> </w:t>
      </w:r>
      <w:r>
        <w:t xml:space="preserve">in </w:t>
      </w:r>
      <w:r w:rsidRPr="00063000">
        <w:rPr>
          <w:i/>
          <w:iCs/>
        </w:rPr>
        <w:t>Abraham Ibn Ezra and his Age</w:t>
      </w:r>
      <w:r w:rsidRPr="00063000">
        <w:t xml:space="preserve">, ed. Fernando Diaz Esteban (Madrid: </w:t>
      </w:r>
      <w:proofErr w:type="spellStart"/>
      <w:r w:rsidRPr="00063000">
        <w:t>Asociacion</w:t>
      </w:r>
      <w:proofErr w:type="spellEnd"/>
      <w:r w:rsidRPr="00063000">
        <w:t xml:space="preserve"> Espanola de Orientalists, 1990), 99; </w:t>
      </w:r>
      <w:proofErr w:type="spellStart"/>
      <w:r w:rsidRPr="00063000">
        <w:t>Dov</w:t>
      </w:r>
      <w:proofErr w:type="spellEnd"/>
      <w:r w:rsidRPr="00063000">
        <w:t xml:space="preserve"> Schwartz, </w:t>
      </w:r>
      <w:r w:rsidRPr="00BB6B8F">
        <w:rPr>
          <w:i/>
          <w:iCs/>
          <w:highlight w:val="green"/>
        </w:rPr>
        <w:t>Amulets, Properties and Rationalism in Medieval Jewish Thought</w:t>
      </w:r>
      <w:r w:rsidRPr="00063000">
        <w:t xml:space="preserve"> (Jerusalem: Bar Ilan University, 2004), 148–</w:t>
      </w:r>
      <w:r>
        <w:t>49.</w:t>
      </w:r>
    </w:p>
  </w:footnote>
  <w:footnote w:id="58">
    <w:p w14:paraId="1D5EA609" w14:textId="3A2B6269" w:rsidR="00316453" w:rsidRPr="00063000" w:rsidRDefault="00316453" w:rsidP="004C7FD3">
      <w:pPr>
        <w:pStyle w:val="FootnoteText"/>
        <w:rPr>
          <w:rtl/>
        </w:rPr>
      </w:pPr>
      <w:r w:rsidRPr="00063000">
        <w:rPr>
          <w:rStyle w:val="FootnoteReference"/>
          <w:rFonts w:cstheme="majorBidi"/>
          <w:szCs w:val="24"/>
        </w:rPr>
        <w:footnoteRef/>
      </w:r>
      <w:r w:rsidRPr="00063000">
        <w:t xml:space="preserve">Simon, </w:t>
      </w:r>
      <w:r w:rsidRPr="00BB6B8F">
        <w:rPr>
          <w:highlight w:val="green"/>
          <w:rtl/>
        </w:rPr>
        <w:t>אזן</w:t>
      </w:r>
      <w:r w:rsidRPr="00063000">
        <w:t>, 388</w:t>
      </w:r>
      <w:r>
        <w:t>–95</w:t>
      </w:r>
      <w:r w:rsidRPr="00063000">
        <w:t xml:space="preserve">; </w:t>
      </w:r>
      <w:proofErr w:type="spellStart"/>
      <w:r w:rsidRPr="00063000">
        <w:t>Orly</w:t>
      </w:r>
      <w:proofErr w:type="spellEnd"/>
      <w:r w:rsidRPr="00063000">
        <w:t xml:space="preserve"> </w:t>
      </w:r>
      <w:proofErr w:type="spellStart"/>
      <w:r w:rsidRPr="00063000">
        <w:t>Shoshan</w:t>
      </w:r>
      <w:proofErr w:type="spellEnd"/>
      <w:r w:rsidRPr="00063000">
        <w:t xml:space="preserve">, </w:t>
      </w:r>
      <w:r>
        <w:t>“</w:t>
      </w:r>
      <w:r>
        <w:rPr>
          <w:rFonts w:hint="cs"/>
          <w:rtl/>
        </w:rPr>
        <w:t xml:space="preserve">ר' אלעזר בן </w:t>
      </w:r>
      <w:proofErr w:type="spellStart"/>
      <w:r>
        <w:rPr>
          <w:rFonts w:hint="cs"/>
          <w:rtl/>
        </w:rPr>
        <w:t>מתתיה</w:t>
      </w:r>
      <w:proofErr w:type="spellEnd"/>
      <w:r>
        <w:t>,”</w:t>
      </w:r>
      <w:r w:rsidRPr="00063000">
        <w:t xml:space="preserve"> </w:t>
      </w:r>
      <w:r>
        <w:t xml:space="preserve">in </w:t>
      </w:r>
      <w:r w:rsidRPr="00BB6B8F">
        <w:rPr>
          <w:i/>
          <w:iCs/>
          <w:highlight w:val="green"/>
        </w:rPr>
        <w:t>Five Early Commentators on R. Abraham Ibn Ezra - The Earliest Supercommentaries on Ibn Ezra's Commentary</w:t>
      </w:r>
      <w:r w:rsidRPr="00063000">
        <w:t>, ed</w:t>
      </w:r>
      <w:r>
        <w:t>.</w:t>
      </w:r>
      <w:r w:rsidRPr="00063000">
        <w:t xml:space="preserve"> Howard </w:t>
      </w:r>
      <w:proofErr w:type="spellStart"/>
      <w:r w:rsidRPr="00063000">
        <w:t>Kreisel</w:t>
      </w:r>
      <w:proofErr w:type="spellEnd"/>
      <w:r w:rsidRPr="00063000">
        <w:t xml:space="preserve"> (Beer Sheva: Ben-Gurion University Press, 2017), 39–43</w:t>
      </w:r>
      <w:r>
        <w:t xml:space="preserve">. </w:t>
      </w:r>
    </w:p>
  </w:footnote>
  <w:footnote w:id="59">
    <w:p w14:paraId="4E75E020" w14:textId="207D917F" w:rsidR="00316453" w:rsidRDefault="00316453" w:rsidP="004C7FD3">
      <w:pPr>
        <w:pStyle w:val="FootnoteText"/>
      </w:pPr>
      <w:r>
        <w:rPr>
          <w:rStyle w:val="FootnoteReference"/>
        </w:rPr>
        <w:footnoteRef/>
      </w:r>
      <w:r>
        <w:t xml:space="preserve"> </w:t>
      </w:r>
      <w:r w:rsidRPr="00063000">
        <w:t>Mann, “</w:t>
      </w:r>
      <w:r w:rsidRPr="00063000">
        <w:rPr>
          <w:rtl/>
        </w:rPr>
        <w:t>פירושי לתורה</w:t>
      </w:r>
      <w:r w:rsidRPr="00063000">
        <w:t>,”</w:t>
      </w:r>
      <w:r>
        <w:t xml:space="preserve"> 499</w:t>
      </w:r>
      <w:r w:rsidRPr="00063000">
        <w:t xml:space="preserve">; Ariel </w:t>
      </w:r>
      <w:proofErr w:type="spellStart"/>
      <w:r w:rsidRPr="00063000">
        <w:t>Avini</w:t>
      </w:r>
      <w:proofErr w:type="spellEnd"/>
      <w:r w:rsidRPr="00063000">
        <w:t xml:space="preserve"> “</w:t>
      </w:r>
      <w:r>
        <w:rPr>
          <w:rFonts w:hint="cs"/>
          <w:rtl/>
        </w:rPr>
        <w:t>פ</w:t>
      </w:r>
      <w:r w:rsidRPr="00063000">
        <w:rPr>
          <w:rtl/>
        </w:rPr>
        <w:t>ירוש על ספר משלי ממחבר בלתי נודע (כנראה מחכמי ביזנטיון מתקופת הראשונים</w:t>
      </w:r>
      <w:r>
        <w:rPr>
          <w:rFonts w:hint="cs"/>
          <w:rtl/>
        </w:rPr>
        <w:t>)</w:t>
      </w:r>
      <w:r w:rsidRPr="00063000">
        <w:t xml:space="preserve">,” </w:t>
      </w:r>
      <w:proofErr w:type="spellStart"/>
      <w:r w:rsidRPr="00063000">
        <w:rPr>
          <w:i/>
          <w:iCs/>
        </w:rPr>
        <w:t>Hitzei</w:t>
      </w:r>
      <w:proofErr w:type="spellEnd"/>
      <w:r w:rsidRPr="00063000">
        <w:rPr>
          <w:i/>
          <w:iCs/>
        </w:rPr>
        <w:t xml:space="preserve"> </w:t>
      </w:r>
      <w:proofErr w:type="spellStart"/>
      <w:r w:rsidRPr="00063000">
        <w:rPr>
          <w:i/>
          <w:iCs/>
        </w:rPr>
        <w:t>Giborim</w:t>
      </w:r>
      <w:proofErr w:type="spellEnd"/>
      <w:r w:rsidRPr="00063000">
        <w:rPr>
          <w:i/>
          <w:iCs/>
        </w:rPr>
        <w:t xml:space="preserve"> </w:t>
      </w:r>
      <w:r w:rsidRPr="00063000">
        <w:t>10 (2017)</w:t>
      </w:r>
      <w:r>
        <w:t>:</w:t>
      </w:r>
      <w:r w:rsidRPr="00063000">
        <w:t xml:space="preserve"> 155</w:t>
      </w:r>
      <w:r>
        <w:t>–</w:t>
      </w:r>
      <w:r w:rsidRPr="00063000">
        <w:t>56.</w:t>
      </w:r>
      <w:r w:rsidR="00DB1244">
        <w:t xml:space="preserve"> </w:t>
      </w:r>
      <w:r w:rsidRPr="00063000">
        <w:t xml:space="preserve">The commentary on Proverbs is dated according to two manuscript copied in 1285. See </w:t>
      </w:r>
      <w:r>
        <w:rPr>
          <w:rFonts w:hint="cs"/>
          <w:rtl/>
        </w:rPr>
        <w:t>פ</w:t>
      </w:r>
      <w:r w:rsidRPr="00063000">
        <w:rPr>
          <w:rtl/>
        </w:rPr>
        <w:t>ירוש על ספר משלי</w:t>
      </w:r>
      <w:r>
        <w:t xml:space="preserve">, </w:t>
      </w:r>
      <w:r w:rsidRPr="00063000">
        <w:t xml:space="preserve">152. It should be noted that Rabbi Isaiah di </w:t>
      </w:r>
      <w:proofErr w:type="spellStart"/>
      <w:r w:rsidRPr="00063000">
        <w:t>Trani</w:t>
      </w:r>
      <w:proofErr w:type="spellEnd"/>
      <w:r w:rsidRPr="00063000">
        <w:t xml:space="preserve"> also availed himself of Ibn Ezra’s commentaries. </w:t>
      </w:r>
      <w:r w:rsidR="00817C65">
        <w:t>While he</w:t>
      </w:r>
      <w:r w:rsidRPr="00063000">
        <w:t xml:space="preserve"> mentions </w:t>
      </w:r>
      <w:r w:rsidR="003E62E8">
        <w:t>Ibn Ezra</w:t>
      </w:r>
      <w:r w:rsidRPr="00063000">
        <w:t xml:space="preserve"> explicitly only on a few occasions (e.g., 1 Samuel 4:19; Psalms 5:1; Ecclesiastes 1:14)</w:t>
      </w:r>
      <w:r w:rsidR="00455FB3">
        <w:t xml:space="preserve">, he </w:t>
      </w:r>
      <w:r w:rsidRPr="00063000">
        <w:t xml:space="preserve">relied on him many times without citing him by name. See, for example, Ilan </w:t>
      </w:r>
      <w:proofErr w:type="spellStart"/>
      <w:r w:rsidRPr="00063000">
        <w:t>Eldar</w:t>
      </w:r>
      <w:proofErr w:type="spellEnd"/>
      <w:r w:rsidRPr="00063000">
        <w:t xml:space="preserve">, </w:t>
      </w:r>
      <w:r w:rsidRPr="00F555E0">
        <w:rPr>
          <w:i/>
          <w:iCs/>
          <w:highlight w:val="green"/>
        </w:rPr>
        <w:t>Hebrew Language Study in the Middle Ages - Texts and Studies</w:t>
      </w:r>
      <w:r w:rsidRPr="00063000">
        <w:t xml:space="preserve"> (Jerusalem: </w:t>
      </w:r>
      <w:proofErr w:type="spellStart"/>
      <w:r w:rsidRPr="00063000">
        <w:t>Magnes</w:t>
      </w:r>
      <w:proofErr w:type="spellEnd"/>
      <w:r w:rsidR="00DF3035">
        <w:t xml:space="preserve"> Press</w:t>
      </w:r>
      <w:r w:rsidRPr="00063000">
        <w:t>, 2016), 175–</w:t>
      </w:r>
      <w:r>
        <w:t>76.</w:t>
      </w:r>
      <w:r w:rsidRPr="00063000">
        <w:t xml:space="preserve"> However, because di </w:t>
      </w:r>
      <w:proofErr w:type="spellStart"/>
      <w:r w:rsidRPr="00063000">
        <w:t>Trani</w:t>
      </w:r>
      <w:proofErr w:type="spellEnd"/>
      <w:r w:rsidRPr="00063000">
        <w:t xml:space="preserve"> lived in Rome, where Ibn Ezra wrote some of his commentaries, and was educated in Germany, where Ibn Ezra’s commentaries were </w:t>
      </w:r>
      <w:r>
        <w:t>widely circulated</w:t>
      </w:r>
      <w:r w:rsidRPr="00063000">
        <w:t xml:space="preserve">, this usage cannot be adduced as evidence to support the </w:t>
      </w:r>
      <w:r w:rsidR="004213E7">
        <w:t xml:space="preserve">notion that </w:t>
      </w:r>
      <w:r w:rsidRPr="00063000">
        <w:t xml:space="preserve">Ibn Ezra’s commentaries </w:t>
      </w:r>
      <w:r w:rsidR="004213E7">
        <w:t>were, at that time, circulating in</w:t>
      </w:r>
      <w:r w:rsidRPr="00063000">
        <w:t xml:space="preserve"> the eastern provinces of the Byzantine Empire. The same can be said about the references to Ibn Ezra in the writings of Emanuel of Rome (1261-c. 1321): </w:t>
      </w:r>
      <w:r>
        <w:rPr>
          <w:rFonts w:hint="cs"/>
          <w:rtl/>
        </w:rPr>
        <w:t>מחברות עמנואל</w:t>
      </w:r>
      <w:r w:rsidRPr="00063000">
        <w:t>; the grammatical work</w:t>
      </w:r>
      <w:r>
        <w:t xml:space="preserve">, </w:t>
      </w:r>
      <w:r>
        <w:rPr>
          <w:rFonts w:hint="cs"/>
          <w:rtl/>
        </w:rPr>
        <w:t>אבן בוחן</w:t>
      </w:r>
      <w:r>
        <w:t>, a</w:t>
      </w:r>
      <w:r w:rsidRPr="00063000">
        <w:t>nd his commentaries on Scripture.</w:t>
      </w:r>
    </w:p>
  </w:footnote>
  <w:footnote w:id="60">
    <w:p w14:paraId="53DDCA06" w14:textId="73950942" w:rsidR="00316453" w:rsidRPr="00063000" w:rsidRDefault="00316453" w:rsidP="004C7FD3">
      <w:pPr>
        <w:pStyle w:val="FootnoteText"/>
      </w:pPr>
      <w:r w:rsidRPr="00063000">
        <w:rPr>
          <w:rStyle w:val="FootnoteReference"/>
          <w:rFonts w:cstheme="majorBidi"/>
          <w:szCs w:val="24"/>
        </w:rPr>
        <w:footnoteRef/>
      </w:r>
      <w:r>
        <w:t xml:space="preserve"> </w:t>
      </w:r>
      <w:r w:rsidRPr="00063000">
        <w:t xml:space="preserve">Frank </w:t>
      </w:r>
      <w:r>
        <w:t>“</w:t>
      </w:r>
      <w:r w:rsidRPr="00063000">
        <w:t>Abraham Ibn Ezra and the Karaite Exegetes</w:t>
      </w:r>
      <w:r>
        <w:t xml:space="preserve">.” </w:t>
      </w:r>
      <w:r w:rsidRPr="00063000">
        <w:t xml:space="preserve">The importance of Ibn Ezra in Karaite exegesis led some Karaite sages in the fifteenth century to claim that he was the student of </w:t>
      </w:r>
      <w:proofErr w:type="spellStart"/>
      <w:r w:rsidRPr="00063000">
        <w:t>Yefet</w:t>
      </w:r>
      <w:proofErr w:type="spellEnd"/>
      <w:r w:rsidRPr="00063000">
        <w:t xml:space="preserve"> ben Ali, the greatest of the Karaite Scriptural exegetes. See </w:t>
      </w:r>
      <w:proofErr w:type="spellStart"/>
      <w:r w:rsidRPr="00063000">
        <w:t>Zvi</w:t>
      </w:r>
      <w:proofErr w:type="spellEnd"/>
      <w:r w:rsidRPr="00063000">
        <w:t xml:space="preserve"> </w:t>
      </w:r>
      <w:proofErr w:type="spellStart"/>
      <w:r w:rsidRPr="00063000">
        <w:t>Ankori</w:t>
      </w:r>
      <w:proofErr w:type="spellEnd"/>
      <w:r w:rsidRPr="00063000">
        <w:t xml:space="preserve">, </w:t>
      </w:r>
      <w:r>
        <w:t>“</w:t>
      </w:r>
      <w:r w:rsidRPr="00E568AF">
        <w:rPr>
          <w:highlight w:val="green"/>
        </w:rPr>
        <w:t xml:space="preserve">Elijah </w:t>
      </w:r>
      <w:proofErr w:type="spellStart"/>
      <w:r w:rsidRPr="00E568AF">
        <w:rPr>
          <w:highlight w:val="green"/>
        </w:rPr>
        <w:t>Bashyachi</w:t>
      </w:r>
      <w:proofErr w:type="spellEnd"/>
      <w:r w:rsidRPr="00E568AF">
        <w:rPr>
          <w:highlight w:val="green"/>
        </w:rPr>
        <w:t xml:space="preserve">: An Inquiry into his Traditions Concerning the Beginnings of </w:t>
      </w:r>
      <w:proofErr w:type="spellStart"/>
      <w:r w:rsidRPr="00E568AF">
        <w:rPr>
          <w:highlight w:val="green"/>
        </w:rPr>
        <w:t>Karaism</w:t>
      </w:r>
      <w:proofErr w:type="spellEnd"/>
      <w:r w:rsidRPr="00E568AF">
        <w:rPr>
          <w:highlight w:val="green"/>
        </w:rPr>
        <w:t xml:space="preserve"> in Byzantium</w:t>
      </w:r>
      <w:r>
        <w:t>,”</w:t>
      </w:r>
      <w:r w:rsidRPr="00063000">
        <w:t xml:space="preserve"> </w:t>
      </w:r>
      <w:proofErr w:type="spellStart"/>
      <w:r w:rsidRPr="00063000">
        <w:rPr>
          <w:i/>
          <w:iCs/>
        </w:rPr>
        <w:t>Tarbiz</w:t>
      </w:r>
      <w:proofErr w:type="spellEnd"/>
      <w:r w:rsidRPr="00063000">
        <w:t xml:space="preserve"> 25 (1955)</w:t>
      </w:r>
      <w:r>
        <w:t xml:space="preserve">: </w:t>
      </w:r>
      <w:r w:rsidRPr="00063000">
        <w:t>60–61</w:t>
      </w:r>
      <w:r>
        <w:t xml:space="preserve">. </w:t>
      </w:r>
    </w:p>
  </w:footnote>
  <w:footnote w:id="61">
    <w:p w14:paraId="7E9C399E" w14:textId="6682879F" w:rsidR="00316453" w:rsidRPr="00063000" w:rsidRDefault="00316453" w:rsidP="004C7FD3">
      <w:pPr>
        <w:pStyle w:val="FootnoteText"/>
      </w:pPr>
      <w:r w:rsidRPr="00063000">
        <w:rPr>
          <w:rStyle w:val="FootnoteReference"/>
          <w:rFonts w:cstheme="majorBidi"/>
          <w:szCs w:val="24"/>
        </w:rPr>
        <w:footnoteRef/>
      </w:r>
      <w:r>
        <w:t xml:space="preserve"> </w:t>
      </w:r>
      <w:r w:rsidRPr="00063000">
        <w:t>De Lange, “Abraham Ibn Ezra and Byzantium,”</w:t>
      </w:r>
      <w:r>
        <w:t xml:space="preserve"> 184</w:t>
      </w:r>
      <w:r w:rsidRPr="00063000">
        <w:t>.</w:t>
      </w:r>
    </w:p>
  </w:footnote>
  <w:footnote w:id="62">
    <w:p w14:paraId="4A5B62C0" w14:textId="4D0F3F70" w:rsidR="00316453" w:rsidRPr="00063000" w:rsidRDefault="00316453" w:rsidP="004C7FD3">
      <w:pPr>
        <w:pStyle w:val="FootnoteText"/>
      </w:pPr>
      <w:r w:rsidRPr="00063000">
        <w:rPr>
          <w:rStyle w:val="FootnoteReference"/>
          <w:rFonts w:cstheme="majorBidi"/>
          <w:szCs w:val="24"/>
        </w:rPr>
        <w:footnoteRef/>
      </w:r>
      <w:r>
        <w:t xml:space="preserve"> </w:t>
      </w:r>
      <w:r w:rsidRPr="00063000">
        <w:t>De Lange, “Abraham Ibn Ezra and Byzantium,”</w:t>
      </w:r>
      <w:r>
        <w:t xml:space="preserve"> </w:t>
      </w:r>
      <w:r w:rsidRPr="00063000">
        <w:t xml:space="preserve">190. Ibn Ezra’s astronomical works were also copied during these years. See Steven B. Bowman, </w:t>
      </w:r>
      <w:r w:rsidRPr="00063000">
        <w:rPr>
          <w:i/>
          <w:iCs/>
        </w:rPr>
        <w:t>The Jews of Byzantium</w:t>
      </w:r>
      <w:r w:rsidR="0060444E">
        <w:rPr>
          <w:i/>
          <w:iCs/>
        </w:rPr>
        <w:t>:</w:t>
      </w:r>
      <w:r w:rsidRPr="00063000">
        <w:rPr>
          <w:i/>
          <w:iCs/>
        </w:rPr>
        <w:t xml:space="preserve"> 1204–1453</w:t>
      </w:r>
      <w:r w:rsidRPr="00063000">
        <w:t xml:space="preserve"> (Alabama: University of Alabama Press, 1985), 134 and n</w:t>
      </w:r>
      <w:r>
        <w:t>.</w:t>
      </w:r>
      <w:r w:rsidRPr="00063000">
        <w:t xml:space="preserve"> 12.</w:t>
      </w:r>
    </w:p>
  </w:footnote>
  <w:footnote w:id="63">
    <w:p w14:paraId="2EE83F6F" w14:textId="4B9D99BA"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For its dating, see above n. 56.</w:t>
      </w:r>
    </w:p>
  </w:footnote>
  <w:footnote w:id="64">
    <w:p w14:paraId="2199D91E" w14:textId="7F18E599" w:rsidR="0060444E" w:rsidRDefault="0060444E" w:rsidP="0060444E">
      <w:pPr>
        <w:pStyle w:val="FootnoteText"/>
      </w:pPr>
      <w:r>
        <w:rPr>
          <w:rStyle w:val="FootnoteReference"/>
        </w:rPr>
        <w:footnoteRef/>
      </w:r>
      <w:r>
        <w:t xml:space="preserve"> </w:t>
      </w:r>
      <w:r w:rsidRPr="00063000">
        <w:t xml:space="preserve">Simon, </w:t>
      </w:r>
      <w:r w:rsidRPr="002F1EF7">
        <w:rPr>
          <w:highlight w:val="green"/>
          <w:rtl/>
        </w:rPr>
        <w:t>אזן</w:t>
      </w:r>
      <w:r w:rsidRPr="00063000">
        <w:t>,</w:t>
      </w:r>
      <w:r>
        <w:t xml:space="preserve"> 379–</w:t>
      </w:r>
      <w:r w:rsidRPr="00063000">
        <w:t xml:space="preserve">381; Tamas </w:t>
      </w:r>
      <w:proofErr w:type="spellStart"/>
      <w:r w:rsidRPr="00063000">
        <w:t>Visi</w:t>
      </w:r>
      <w:proofErr w:type="spellEnd"/>
      <w:r w:rsidRPr="00063000">
        <w:t xml:space="preserve">, </w:t>
      </w:r>
      <w:r>
        <w:t>“</w:t>
      </w:r>
      <w:r w:rsidRPr="00063000">
        <w:t xml:space="preserve">Ibn Ezra, A Maimonidean Authority: The Evidence of the Early </w:t>
      </w:r>
      <w:proofErr w:type="gramStart"/>
      <w:r w:rsidRPr="00063000">
        <w:t>Ibn</w:t>
      </w:r>
      <w:proofErr w:type="gramEnd"/>
      <w:r w:rsidRPr="00063000">
        <w:t xml:space="preserve"> Ezra Supercommentaries</w:t>
      </w:r>
      <w:r>
        <w:t>,” in</w:t>
      </w:r>
      <w:r w:rsidRPr="00063000">
        <w:t xml:space="preserve"> </w:t>
      </w:r>
      <w:r w:rsidRPr="00063000">
        <w:rPr>
          <w:i/>
          <w:iCs/>
        </w:rPr>
        <w:t xml:space="preserve">The Cultures of </w:t>
      </w:r>
      <w:proofErr w:type="spellStart"/>
      <w:r w:rsidRPr="00063000">
        <w:rPr>
          <w:i/>
          <w:iCs/>
        </w:rPr>
        <w:t>Maimonideanism</w:t>
      </w:r>
      <w:proofErr w:type="spellEnd"/>
      <w:r>
        <w:rPr>
          <w:i/>
          <w:iCs/>
        </w:rPr>
        <w:t>:</w:t>
      </w:r>
      <w:r w:rsidRPr="00063000">
        <w:rPr>
          <w:i/>
          <w:iCs/>
        </w:rPr>
        <w:t xml:space="preserve"> New Approaches to the History of Jewish Thought</w:t>
      </w:r>
      <w:r w:rsidRPr="001920FC">
        <w:t>,</w:t>
      </w:r>
      <w:r w:rsidRPr="00063000">
        <w:t xml:space="preserve"> ed</w:t>
      </w:r>
      <w:r>
        <w:t>.</w:t>
      </w:r>
      <w:r w:rsidRPr="00063000">
        <w:t xml:space="preserve"> James Robinson (Leiden: Brill</w:t>
      </w:r>
      <w:r>
        <w:t>,</w:t>
      </w:r>
      <w:r w:rsidRPr="00063000">
        <w:t xml:space="preserve"> 2009), 124–25.</w:t>
      </w:r>
    </w:p>
  </w:footnote>
  <w:footnote w:id="65">
    <w:p w14:paraId="20CB82E8" w14:textId="49963513" w:rsidR="00316453" w:rsidRPr="00063000" w:rsidRDefault="00316453" w:rsidP="004C7FD3">
      <w:pPr>
        <w:pStyle w:val="FootnoteText"/>
        <w:rPr>
          <w:rtl/>
        </w:rPr>
      </w:pPr>
      <w:r w:rsidRPr="00063000">
        <w:rPr>
          <w:rStyle w:val="FootnoteReference"/>
          <w:rFonts w:cstheme="majorBidi"/>
          <w:szCs w:val="24"/>
        </w:rPr>
        <w:footnoteRef/>
      </w:r>
      <w:r w:rsidRPr="00063000">
        <w:t xml:space="preserve">Schwartz, </w:t>
      </w:r>
      <w:r w:rsidRPr="00063000">
        <w:rPr>
          <w:rtl/>
        </w:rPr>
        <w:t>המחשבה היהודית בביזנטיון</w:t>
      </w:r>
      <w:r w:rsidRPr="00063000">
        <w:t>,</w:t>
      </w:r>
      <w:r>
        <w:t xml:space="preserve"> 424–</w:t>
      </w:r>
      <w:r w:rsidRPr="00063000">
        <w:t>65.</w:t>
      </w:r>
    </w:p>
  </w:footnote>
  <w:footnote w:id="66">
    <w:p w14:paraId="3A69C35E" w14:textId="14C5B608" w:rsidR="00316453" w:rsidRPr="00063000" w:rsidRDefault="00316453" w:rsidP="004C7FD3">
      <w:pPr>
        <w:pStyle w:val="FootnoteText"/>
      </w:pPr>
      <w:r w:rsidRPr="00063000">
        <w:rPr>
          <w:rStyle w:val="FootnoteReference"/>
          <w:rFonts w:cstheme="majorBidi"/>
          <w:szCs w:val="24"/>
        </w:rPr>
        <w:footnoteRef/>
      </w:r>
      <w:r w:rsidRPr="00063000">
        <w:t xml:space="preserve">Aaron </w:t>
      </w:r>
      <w:proofErr w:type="spellStart"/>
      <w:r w:rsidRPr="00063000">
        <w:t>Ahrend</w:t>
      </w:r>
      <w:proofErr w:type="spellEnd"/>
      <w:r w:rsidRPr="00063000">
        <w:t xml:space="preserve">, </w:t>
      </w:r>
      <w:r>
        <w:t>“</w:t>
      </w:r>
      <w:r w:rsidRPr="00370D3E">
        <w:rPr>
          <w:highlight w:val="green"/>
        </w:rPr>
        <w:t xml:space="preserve">Rabbi </w:t>
      </w:r>
      <w:proofErr w:type="spellStart"/>
      <w:r w:rsidRPr="00370D3E">
        <w:rPr>
          <w:highlight w:val="green"/>
        </w:rPr>
        <w:t>Shemariah</w:t>
      </w:r>
      <w:proofErr w:type="spellEnd"/>
      <w:r w:rsidRPr="00370D3E">
        <w:rPr>
          <w:highlight w:val="green"/>
        </w:rPr>
        <w:t xml:space="preserve"> Ben-Elijah </w:t>
      </w:r>
      <w:proofErr w:type="spellStart"/>
      <w:r w:rsidRPr="00370D3E">
        <w:rPr>
          <w:highlight w:val="green"/>
        </w:rPr>
        <w:t>Ikriti's</w:t>
      </w:r>
      <w:proofErr w:type="spellEnd"/>
      <w:r w:rsidRPr="00370D3E">
        <w:rPr>
          <w:highlight w:val="green"/>
        </w:rPr>
        <w:t xml:space="preserve"> Commentary to the Book of Esther,”</w:t>
      </w:r>
      <w:r w:rsidRPr="00063000">
        <w:t xml:space="preserve"> </w:t>
      </w:r>
      <w:r>
        <w:t xml:space="preserve">in </w:t>
      </w:r>
      <w:r w:rsidRPr="00370D3E">
        <w:rPr>
          <w:i/>
          <w:iCs/>
          <w:highlight w:val="green"/>
        </w:rPr>
        <w:t xml:space="preserve">Professor Moshe </w:t>
      </w:r>
      <w:proofErr w:type="spellStart"/>
      <w:r w:rsidRPr="00370D3E">
        <w:rPr>
          <w:i/>
          <w:iCs/>
          <w:highlight w:val="green"/>
        </w:rPr>
        <w:t>Ahrend</w:t>
      </w:r>
      <w:proofErr w:type="spellEnd"/>
      <w:r w:rsidRPr="00370D3E">
        <w:rPr>
          <w:i/>
          <w:iCs/>
          <w:highlight w:val="green"/>
        </w:rPr>
        <w:t xml:space="preserve"> Festschrift</w:t>
      </w:r>
      <w:r w:rsidRPr="00063000">
        <w:t>, ed.</w:t>
      </w:r>
      <w:r w:rsidR="00DB1244">
        <w:t xml:space="preserve"> </w:t>
      </w:r>
      <w:proofErr w:type="spellStart"/>
      <w:r w:rsidRPr="00063000">
        <w:t>Dov</w:t>
      </w:r>
      <w:proofErr w:type="spellEnd"/>
      <w:r w:rsidRPr="00063000">
        <w:t xml:space="preserve"> Rappel (Jerusalem: Touro College, 1996), 39 and n. 20; </w:t>
      </w:r>
      <w:proofErr w:type="spellStart"/>
      <w:r w:rsidRPr="00063000">
        <w:t>Dov</w:t>
      </w:r>
      <w:proofErr w:type="spellEnd"/>
      <w:r w:rsidRPr="00063000">
        <w:t xml:space="preserve"> Schwartz, </w:t>
      </w:r>
      <w:r>
        <w:t>“</w:t>
      </w:r>
      <w:r w:rsidRPr="00370D3E">
        <w:rPr>
          <w:highlight w:val="green"/>
        </w:rPr>
        <w:t xml:space="preserve">Remnants of Rabbi </w:t>
      </w:r>
      <w:proofErr w:type="spellStart"/>
      <w:r w:rsidRPr="00370D3E">
        <w:rPr>
          <w:highlight w:val="green"/>
        </w:rPr>
        <w:t>Shemariya</w:t>
      </w:r>
      <w:proofErr w:type="spellEnd"/>
      <w:r w:rsidRPr="00370D3E">
        <w:rPr>
          <w:highlight w:val="green"/>
        </w:rPr>
        <w:t xml:space="preserve"> ha-</w:t>
      </w:r>
      <w:proofErr w:type="spellStart"/>
      <w:r w:rsidRPr="00370D3E">
        <w:rPr>
          <w:highlight w:val="green"/>
        </w:rPr>
        <w:t>Ikriti's</w:t>
      </w:r>
      <w:proofErr w:type="spellEnd"/>
      <w:r w:rsidRPr="00370D3E">
        <w:rPr>
          <w:highlight w:val="green"/>
        </w:rPr>
        <w:t xml:space="preserve"> Commentary on the Torah</w:t>
      </w:r>
      <w:r>
        <w:t>,”</w:t>
      </w:r>
      <w:r w:rsidRPr="00063000">
        <w:t xml:space="preserve"> </w:t>
      </w:r>
      <w:proofErr w:type="spellStart"/>
      <w:r w:rsidRPr="00063000">
        <w:rPr>
          <w:i/>
          <w:iCs/>
        </w:rPr>
        <w:t>Alei</w:t>
      </w:r>
      <w:proofErr w:type="spellEnd"/>
      <w:r w:rsidRPr="00063000">
        <w:rPr>
          <w:i/>
          <w:iCs/>
        </w:rPr>
        <w:t xml:space="preserve"> </w:t>
      </w:r>
      <w:proofErr w:type="spellStart"/>
      <w:r w:rsidRPr="00063000">
        <w:rPr>
          <w:i/>
          <w:iCs/>
        </w:rPr>
        <w:t>Sefer</w:t>
      </w:r>
      <w:proofErr w:type="spellEnd"/>
      <w:r w:rsidRPr="00063000">
        <w:t xml:space="preserve"> 26–27 (2017)</w:t>
      </w:r>
      <w:r>
        <w:t xml:space="preserve">: </w:t>
      </w:r>
      <w:r w:rsidRPr="00063000">
        <w:t>97</w:t>
      </w:r>
      <w:r>
        <w:t xml:space="preserve">. </w:t>
      </w:r>
      <w:r w:rsidRPr="00063000">
        <w:t xml:space="preserve">Other contemporaneous exegetes who were influenced by Ibn Ezra’s commentaries include Rabbi </w:t>
      </w:r>
      <w:r w:rsidR="00651FFB">
        <w:t>“</w:t>
      </w:r>
      <w:proofErr w:type="spellStart"/>
      <w:r w:rsidR="00651FFB">
        <w:t>Avishai</w:t>
      </w:r>
      <w:proofErr w:type="spellEnd"/>
      <w:r w:rsidR="00651FFB">
        <w:t>”</w:t>
      </w:r>
      <w:r w:rsidRPr="00063000">
        <w:t xml:space="preserve"> author of the commentary </w:t>
      </w:r>
      <w:r>
        <w:rPr>
          <w:rFonts w:hint="cs"/>
          <w:rtl/>
        </w:rPr>
        <w:t>יורה דעה</w:t>
      </w:r>
      <w:r w:rsidRPr="00063000">
        <w:rPr>
          <w:i/>
          <w:iCs/>
        </w:rPr>
        <w:t xml:space="preserve"> </w:t>
      </w:r>
      <w:r w:rsidRPr="00063000">
        <w:t xml:space="preserve">on the Pentateuch and </w:t>
      </w:r>
      <w:r w:rsidRPr="00651FFB">
        <w:t xml:space="preserve">Rabbi </w:t>
      </w:r>
      <w:proofErr w:type="spellStart"/>
      <w:r w:rsidR="00651FFB" w:rsidRPr="00651FFB">
        <w:t>Elnathan</w:t>
      </w:r>
      <w:proofErr w:type="spellEnd"/>
      <w:r w:rsidR="00651FFB" w:rsidRPr="00651FFB">
        <w:t xml:space="preserve"> b. Moses </w:t>
      </w:r>
      <w:proofErr w:type="spellStart"/>
      <w:r w:rsidR="00651FFB" w:rsidRPr="00651FFB">
        <w:t>Kalkish</w:t>
      </w:r>
      <w:proofErr w:type="spellEnd"/>
      <w:r w:rsidRPr="00063000">
        <w:t xml:space="preserve">. See </w:t>
      </w:r>
      <w:proofErr w:type="spellStart"/>
      <w:r w:rsidRPr="00063000">
        <w:t>Dov</w:t>
      </w:r>
      <w:proofErr w:type="spellEnd"/>
      <w:r w:rsidRPr="00063000">
        <w:t xml:space="preserve"> Schwartz, </w:t>
      </w:r>
      <w:r w:rsidRPr="003763EA">
        <w:rPr>
          <w:i/>
          <w:iCs/>
          <w:highlight w:val="green"/>
        </w:rPr>
        <w:t>Astral Magic in Medieval Jewish Thought</w:t>
      </w:r>
      <w:r w:rsidRPr="00063000">
        <w:t xml:space="preserve"> (Jerusalem: Bar Ilan University Press, 1999), 200–205</w:t>
      </w:r>
      <w:r>
        <w:t xml:space="preserve"> </w:t>
      </w:r>
      <w:r w:rsidRPr="003763EA">
        <w:rPr>
          <w:color w:val="FF0000"/>
          <w:highlight w:val="yellow"/>
        </w:rPr>
        <w:t>[</w:t>
      </w:r>
      <w:r w:rsidRPr="003763EA">
        <w:rPr>
          <w:rFonts w:hint="cs"/>
          <w:color w:val="FF0000"/>
          <w:highlight w:val="yellow"/>
          <w:rtl/>
        </w:rPr>
        <w:t xml:space="preserve">תרגום של ספר זה יצא </w:t>
      </w:r>
      <w:hyperlink r:id="rId1" w:history="1">
        <w:r w:rsidRPr="00651FFB">
          <w:rPr>
            <w:rStyle w:val="Hyperlink"/>
            <w:rFonts w:hint="cs"/>
            <w:highlight w:val="yellow"/>
            <w:rtl/>
          </w:rPr>
          <w:t>באנגלית</w:t>
        </w:r>
      </w:hyperlink>
      <w:r w:rsidRPr="003763EA">
        <w:rPr>
          <w:color w:val="FF0000"/>
          <w:highlight w:val="yellow"/>
        </w:rPr>
        <w:t>].</w:t>
      </w:r>
    </w:p>
  </w:footnote>
  <w:footnote w:id="67">
    <w:p w14:paraId="667D38A3" w14:textId="036CFCAD" w:rsidR="00316453" w:rsidRPr="00063000" w:rsidRDefault="00316453" w:rsidP="004C7FD3">
      <w:pPr>
        <w:pStyle w:val="FootnoteText"/>
        <w:rPr>
          <w:rtl/>
        </w:rPr>
      </w:pPr>
      <w:r w:rsidRPr="00063000">
        <w:rPr>
          <w:rStyle w:val="FootnoteReference"/>
          <w:rFonts w:cstheme="majorBidi"/>
          <w:szCs w:val="24"/>
        </w:rPr>
        <w:footnoteRef/>
      </w:r>
      <w:r w:rsidRPr="00063000">
        <w:t xml:space="preserve">See </w:t>
      </w:r>
      <w:proofErr w:type="spellStart"/>
      <w:r w:rsidRPr="00063000">
        <w:t>Dov</w:t>
      </w:r>
      <w:proofErr w:type="spellEnd"/>
      <w:r w:rsidRPr="00063000">
        <w:t xml:space="preserve"> Schwartz,</w:t>
      </w:r>
      <w:r>
        <w:t xml:space="preserve"> “</w:t>
      </w:r>
      <w:r>
        <w:rPr>
          <w:rFonts w:hint="cs"/>
          <w:rtl/>
        </w:rPr>
        <w:t>'</w:t>
      </w:r>
      <w:r w:rsidRPr="00063000">
        <w:rPr>
          <w:rtl/>
        </w:rPr>
        <w:t xml:space="preserve">משרת משה' </w:t>
      </w:r>
      <w:proofErr w:type="spellStart"/>
      <w:r w:rsidRPr="00063000">
        <w:rPr>
          <w:rtl/>
        </w:rPr>
        <w:t>לר</w:t>
      </w:r>
      <w:proofErr w:type="spellEnd"/>
      <w:r w:rsidRPr="00063000">
        <w:rPr>
          <w:rtl/>
        </w:rPr>
        <w:t xml:space="preserve">' </w:t>
      </w:r>
      <w:proofErr w:type="spellStart"/>
      <w:r w:rsidRPr="00063000">
        <w:rPr>
          <w:rtl/>
        </w:rPr>
        <w:t>קלונימוס</w:t>
      </w:r>
      <w:proofErr w:type="spellEnd"/>
      <w:r>
        <w:t>,”</w:t>
      </w:r>
      <w:r w:rsidRPr="00063000">
        <w:t xml:space="preserve"> </w:t>
      </w:r>
      <w:proofErr w:type="spellStart"/>
      <w:r w:rsidRPr="00063000">
        <w:rPr>
          <w:i/>
          <w:iCs/>
        </w:rPr>
        <w:t>Kobez</w:t>
      </w:r>
      <w:proofErr w:type="spellEnd"/>
      <w:r w:rsidRPr="00063000">
        <w:rPr>
          <w:i/>
          <w:iCs/>
        </w:rPr>
        <w:t xml:space="preserve"> Al </w:t>
      </w:r>
      <w:proofErr w:type="spellStart"/>
      <w:r w:rsidRPr="00063000">
        <w:rPr>
          <w:i/>
          <w:iCs/>
        </w:rPr>
        <w:t>Yad</w:t>
      </w:r>
      <w:proofErr w:type="spellEnd"/>
      <w:r w:rsidRPr="00063000">
        <w:t xml:space="preserve"> </w:t>
      </w:r>
      <w:proofErr w:type="spellStart"/>
      <w:r>
        <w:t>n.s</w:t>
      </w:r>
      <w:proofErr w:type="spellEnd"/>
      <w:r>
        <w:t xml:space="preserve">. </w:t>
      </w:r>
      <w:r w:rsidRPr="00063000">
        <w:t xml:space="preserve">14 </w:t>
      </w:r>
      <w:r>
        <w:t>(</w:t>
      </w:r>
      <w:r w:rsidRPr="00063000">
        <w:t>1998)</w:t>
      </w:r>
      <w:r>
        <w:t>:</w:t>
      </w:r>
      <w:r w:rsidRPr="00063000">
        <w:t xml:space="preserve"> 343–47</w:t>
      </w:r>
      <w:r>
        <w:t>.</w:t>
      </w:r>
    </w:p>
  </w:footnote>
  <w:footnote w:id="68">
    <w:p w14:paraId="5F6E8C80" w14:textId="3394398B" w:rsidR="00316453" w:rsidRPr="00063000" w:rsidRDefault="00316453" w:rsidP="004C7FD3">
      <w:pPr>
        <w:pStyle w:val="FootnoteText"/>
        <w:rPr>
          <w:rtl/>
        </w:rPr>
      </w:pPr>
      <w:r w:rsidRPr="00063000">
        <w:rPr>
          <w:rStyle w:val="FootnoteReference"/>
          <w:rFonts w:cstheme="majorBidi"/>
          <w:szCs w:val="24"/>
        </w:rPr>
        <w:footnoteRef/>
      </w:r>
      <w:r w:rsidRPr="00063000">
        <w:t xml:space="preserve">Ibn Ezra’s influence can be detected in the writing of Rabbi </w:t>
      </w:r>
      <w:proofErr w:type="spellStart"/>
      <w:r w:rsidRPr="00063000">
        <w:t>Shemarya</w:t>
      </w:r>
      <w:proofErr w:type="spellEnd"/>
      <w:r w:rsidRPr="00063000">
        <w:t xml:space="preserve">. Furthermore, Rabbi Judah </w:t>
      </w:r>
      <w:r w:rsidR="003E62E8">
        <w:t>Mosconi</w:t>
      </w:r>
      <w:r w:rsidRPr="00063000">
        <w:t xml:space="preserve"> notes that </w:t>
      </w:r>
      <w:proofErr w:type="spellStart"/>
      <w:r w:rsidRPr="00063000">
        <w:t>Shemarya</w:t>
      </w:r>
      <w:proofErr w:type="spellEnd"/>
      <w:r w:rsidRPr="00063000">
        <w:t xml:space="preserve"> encouraged him to study Ibn Ezra’s commentaries. See for example, Saskia Donitz, </w:t>
      </w:r>
      <w:r>
        <w:t>“</w:t>
      </w:r>
      <w:proofErr w:type="spellStart"/>
      <w:r w:rsidRPr="00063000">
        <w:t>Shemarya</w:t>
      </w:r>
      <w:proofErr w:type="spellEnd"/>
      <w:r w:rsidRPr="00063000">
        <w:t xml:space="preserve"> ha-</w:t>
      </w:r>
      <w:proofErr w:type="spellStart"/>
      <w:r w:rsidRPr="00063000">
        <w:t>Ikrity</w:t>
      </w:r>
      <w:proofErr w:type="spellEnd"/>
      <w:r w:rsidRPr="00063000">
        <w:t xml:space="preserve"> and the Karaite Exegetical Challenge</w:t>
      </w:r>
      <w:r>
        <w:t>,” in</w:t>
      </w:r>
      <w:r w:rsidRPr="00063000">
        <w:t xml:space="preserve"> </w:t>
      </w:r>
      <w:r w:rsidRPr="00063000">
        <w:rPr>
          <w:i/>
          <w:iCs/>
        </w:rPr>
        <w:t xml:space="preserve">Exegesis and Poetry in Medieval Karaite and </w:t>
      </w:r>
      <w:proofErr w:type="spellStart"/>
      <w:r w:rsidRPr="00063000">
        <w:rPr>
          <w:i/>
          <w:iCs/>
        </w:rPr>
        <w:t>Rabbanite</w:t>
      </w:r>
      <w:proofErr w:type="spellEnd"/>
      <w:r w:rsidRPr="00063000">
        <w:rPr>
          <w:i/>
          <w:iCs/>
        </w:rPr>
        <w:t xml:space="preserve"> Texts</w:t>
      </w:r>
      <w:r w:rsidRPr="00063000">
        <w:t xml:space="preserve">, eds. Joachim </w:t>
      </w:r>
      <w:proofErr w:type="spellStart"/>
      <w:r w:rsidRPr="00063000">
        <w:t>Yeshaya</w:t>
      </w:r>
      <w:proofErr w:type="spellEnd"/>
      <w:r w:rsidRPr="00063000">
        <w:t xml:space="preserve"> and Elisabeth Hollander (Leiden-Boston: Brill</w:t>
      </w:r>
      <w:r>
        <w:t>,</w:t>
      </w:r>
      <w:r w:rsidRPr="00063000">
        <w:t xml:space="preserve"> 2017), 234–236. Conversely, one can find in his </w:t>
      </w:r>
      <w:proofErr w:type="gramStart"/>
      <w:r w:rsidRPr="00063000">
        <w:t>commentaries</w:t>
      </w:r>
      <w:proofErr w:type="gramEnd"/>
      <w:r w:rsidRPr="00063000">
        <w:t xml:space="preserve"> criticism of Ibn Ezra. See </w:t>
      </w:r>
      <w:proofErr w:type="spellStart"/>
      <w:r w:rsidRPr="00063000">
        <w:t>Ahrend</w:t>
      </w:r>
      <w:proofErr w:type="spellEnd"/>
      <w:r w:rsidRPr="00063000">
        <w:t xml:space="preserve">, </w:t>
      </w:r>
      <w:r w:rsidRPr="00B55493">
        <w:rPr>
          <w:highlight w:val="green"/>
          <w:rtl/>
        </w:rPr>
        <w:t>אלף המגן</w:t>
      </w:r>
      <w:r w:rsidRPr="00063000">
        <w:t>, 53; Schwartz, “</w:t>
      </w:r>
      <w:r w:rsidRPr="00B55493">
        <w:rPr>
          <w:highlight w:val="green"/>
          <w:rtl/>
        </w:rPr>
        <w:t>שרידים</w:t>
      </w:r>
      <w:r w:rsidRPr="00063000">
        <w:t>,” 97.</w:t>
      </w:r>
    </w:p>
  </w:footnote>
  <w:footnote w:id="69">
    <w:p w14:paraId="2F10E40A" w14:textId="29FD731B" w:rsidR="00316453" w:rsidRPr="00063000" w:rsidRDefault="00316453" w:rsidP="004C7FD3">
      <w:pPr>
        <w:pStyle w:val="FootnoteText"/>
        <w:rPr>
          <w:rtl/>
        </w:rPr>
      </w:pPr>
      <w:r w:rsidRPr="00063000">
        <w:rPr>
          <w:rStyle w:val="FootnoteReference"/>
          <w:rFonts w:cstheme="majorBidi"/>
          <w:szCs w:val="24"/>
        </w:rPr>
        <w:footnoteRef/>
      </w:r>
      <w:r w:rsidRPr="00063000">
        <w:t xml:space="preserve"> </w:t>
      </w:r>
      <w:proofErr w:type="spellStart"/>
      <w:r w:rsidR="00651FFB">
        <w:t>Dov</w:t>
      </w:r>
      <w:proofErr w:type="spellEnd"/>
      <w:r w:rsidR="00651FFB">
        <w:t xml:space="preserve"> Schwartz, introduction to </w:t>
      </w:r>
      <w:r w:rsidRPr="008C63ED">
        <w:rPr>
          <w:highlight w:val="green"/>
        </w:rPr>
        <w:t xml:space="preserve">Commentary on </w:t>
      </w:r>
      <w:proofErr w:type="spellStart"/>
      <w:r w:rsidRPr="008C63ED">
        <w:rPr>
          <w:highlight w:val="green"/>
        </w:rPr>
        <w:t>Yesod</w:t>
      </w:r>
      <w:proofErr w:type="spellEnd"/>
      <w:r w:rsidRPr="008C63ED">
        <w:rPr>
          <w:highlight w:val="green"/>
        </w:rPr>
        <w:t xml:space="preserve"> Mora - The Commentary of </w:t>
      </w:r>
      <w:proofErr w:type="spellStart"/>
      <w:r w:rsidRPr="008C63ED">
        <w:rPr>
          <w:highlight w:val="green"/>
        </w:rPr>
        <w:t>Mordekhai</w:t>
      </w:r>
      <w:proofErr w:type="spellEnd"/>
      <w:r w:rsidRPr="008C63ED">
        <w:rPr>
          <w:highlight w:val="green"/>
        </w:rPr>
        <w:t xml:space="preserve"> ben Eliezer </w:t>
      </w:r>
      <w:proofErr w:type="spellStart"/>
      <w:r w:rsidRPr="008C63ED">
        <w:rPr>
          <w:highlight w:val="green"/>
        </w:rPr>
        <w:t>Komtiyano</w:t>
      </w:r>
      <w:proofErr w:type="spellEnd"/>
      <w:r w:rsidRPr="008C63ED">
        <w:rPr>
          <w:highlight w:val="green"/>
        </w:rPr>
        <w:t xml:space="preserve"> on R. Abraham Ibn Ezra's </w:t>
      </w:r>
      <w:proofErr w:type="spellStart"/>
      <w:r w:rsidRPr="008C63ED">
        <w:rPr>
          <w:highlight w:val="green"/>
        </w:rPr>
        <w:t>Yesod</w:t>
      </w:r>
      <w:proofErr w:type="spellEnd"/>
      <w:r w:rsidRPr="008C63ED">
        <w:rPr>
          <w:highlight w:val="green"/>
        </w:rPr>
        <w:t xml:space="preserve"> Mora</w:t>
      </w:r>
      <w:r w:rsidRPr="00063000">
        <w:t xml:space="preserve">, ed. </w:t>
      </w:r>
      <w:proofErr w:type="spellStart"/>
      <w:r w:rsidRPr="00063000">
        <w:t>Dov</w:t>
      </w:r>
      <w:proofErr w:type="spellEnd"/>
      <w:r w:rsidRPr="00063000">
        <w:t xml:space="preserve"> Schwartz (Jerusalem: Bar-Ilan University Press, 2010), 16, 22–23</w:t>
      </w:r>
      <w:r>
        <w:t>.</w:t>
      </w:r>
    </w:p>
  </w:footnote>
  <w:footnote w:id="70">
    <w:p w14:paraId="36092FCC" w14:textId="12FF5195" w:rsidR="00316453" w:rsidRPr="00063000" w:rsidRDefault="00316453" w:rsidP="004C7FD3">
      <w:pPr>
        <w:pStyle w:val="FootnoteText"/>
        <w:rPr>
          <w:rtl/>
        </w:rPr>
      </w:pPr>
      <w:r w:rsidRPr="00063000">
        <w:rPr>
          <w:rStyle w:val="FootnoteReference"/>
          <w:rFonts w:cstheme="majorBidi"/>
          <w:szCs w:val="24"/>
        </w:rPr>
        <w:footnoteRef/>
      </w:r>
      <w:r w:rsidR="00DB1244">
        <w:t xml:space="preserve"> </w:t>
      </w:r>
      <w:r w:rsidRPr="00063000">
        <w:t xml:space="preserve">Shlomo </w:t>
      </w:r>
      <w:proofErr w:type="spellStart"/>
      <w:r w:rsidRPr="00063000">
        <w:t>Shpitzer</w:t>
      </w:r>
      <w:proofErr w:type="spellEnd"/>
      <w:r w:rsidRPr="00063000">
        <w:t xml:space="preserve">, </w:t>
      </w:r>
      <w:r>
        <w:t>“</w:t>
      </w:r>
      <w:r w:rsidRPr="00063000">
        <w:rPr>
          <w:rtl/>
        </w:rPr>
        <w:t xml:space="preserve">ידיעות על רבי </w:t>
      </w:r>
      <w:proofErr w:type="spellStart"/>
      <w:r w:rsidRPr="00063000">
        <w:rPr>
          <w:rtl/>
        </w:rPr>
        <w:t>דוסא</w:t>
      </w:r>
      <w:proofErr w:type="spellEnd"/>
      <w:r w:rsidRPr="00063000">
        <w:rPr>
          <w:rtl/>
        </w:rPr>
        <w:t xml:space="preserve"> היווני מחיבורו על התורה</w:t>
      </w:r>
      <w:r>
        <w:t>,” in</w:t>
      </w:r>
      <w:r w:rsidRPr="00063000">
        <w:t xml:space="preserve"> </w:t>
      </w:r>
      <w:r w:rsidRPr="008C63ED">
        <w:rPr>
          <w:i/>
          <w:iCs/>
          <w:highlight w:val="green"/>
        </w:rPr>
        <w:t>Studies in memory of the Rishon Le-Zion R. Yitzhak Nissim</w:t>
      </w:r>
      <w:r>
        <w:t xml:space="preserve">, </w:t>
      </w:r>
      <w:r w:rsidRPr="00063000">
        <w:t xml:space="preserve">ed. Meir Benayahu (Jerusalem: </w:t>
      </w:r>
      <w:proofErr w:type="spellStart"/>
      <w:r w:rsidRPr="00063000">
        <w:t>Yad</w:t>
      </w:r>
      <w:proofErr w:type="spellEnd"/>
      <w:r w:rsidRPr="00063000">
        <w:t xml:space="preserve"> </w:t>
      </w:r>
      <w:proofErr w:type="spellStart"/>
      <w:r w:rsidRPr="00063000">
        <w:t>Harav</w:t>
      </w:r>
      <w:proofErr w:type="spellEnd"/>
      <w:r w:rsidRPr="00063000">
        <w:t xml:space="preserve"> Nissim, 1985), </w:t>
      </w:r>
      <w:r>
        <w:t>4:</w:t>
      </w:r>
      <w:r w:rsidRPr="00063000">
        <w:t>183</w:t>
      </w:r>
      <w:r>
        <w:t>.</w:t>
      </w:r>
    </w:p>
  </w:footnote>
  <w:footnote w:id="71">
    <w:p w14:paraId="197B689F" w14:textId="04251939" w:rsidR="00316453" w:rsidRPr="00063000" w:rsidRDefault="00316453" w:rsidP="004C7FD3">
      <w:pPr>
        <w:pStyle w:val="FootnoteText"/>
        <w:rPr>
          <w:rtl/>
        </w:rPr>
      </w:pPr>
      <w:r w:rsidRPr="00063000">
        <w:rPr>
          <w:rStyle w:val="FootnoteReference"/>
          <w:rFonts w:cstheme="majorBidi"/>
          <w:szCs w:val="24"/>
        </w:rPr>
        <w:footnoteRef/>
      </w:r>
      <w:r w:rsidRPr="00063000">
        <w:t xml:space="preserve"> Eli </w:t>
      </w:r>
      <w:proofErr w:type="spellStart"/>
      <w:r w:rsidRPr="00063000">
        <w:t>Gurfinkel</w:t>
      </w:r>
      <w:proofErr w:type="spellEnd"/>
      <w:r w:rsidRPr="00063000">
        <w:t xml:space="preserve">, </w:t>
      </w:r>
      <w:r>
        <w:t>“</w:t>
      </w:r>
      <w:r w:rsidRPr="00063000">
        <w:rPr>
          <w:rtl/>
        </w:rPr>
        <w:t xml:space="preserve">מנחת קנאות </w:t>
      </w:r>
      <w:proofErr w:type="spellStart"/>
      <w:r w:rsidRPr="00063000">
        <w:rPr>
          <w:rtl/>
        </w:rPr>
        <w:t>לר</w:t>
      </w:r>
      <w:proofErr w:type="spellEnd"/>
      <w:r w:rsidRPr="00063000">
        <w:rPr>
          <w:rtl/>
        </w:rPr>
        <w:t xml:space="preserve">' זכריה בן משה הכהן </w:t>
      </w:r>
      <w:proofErr w:type="spellStart"/>
      <w:r w:rsidRPr="00063000">
        <w:rPr>
          <w:rtl/>
        </w:rPr>
        <w:t>מקנדיאה</w:t>
      </w:r>
      <w:proofErr w:type="spellEnd"/>
      <w:r>
        <w:t>,”</w:t>
      </w:r>
      <w:r w:rsidRPr="00063000">
        <w:t xml:space="preserve"> </w:t>
      </w:r>
      <w:proofErr w:type="spellStart"/>
      <w:r w:rsidRPr="00063000">
        <w:rPr>
          <w:i/>
          <w:iCs/>
        </w:rPr>
        <w:t>Kobez</w:t>
      </w:r>
      <w:proofErr w:type="spellEnd"/>
      <w:r w:rsidRPr="00063000">
        <w:rPr>
          <w:i/>
          <w:iCs/>
        </w:rPr>
        <w:t xml:space="preserve"> Al </w:t>
      </w:r>
      <w:proofErr w:type="spellStart"/>
      <w:r>
        <w:rPr>
          <w:i/>
          <w:iCs/>
        </w:rPr>
        <w:t>Yad</w:t>
      </w:r>
      <w:proofErr w:type="spellEnd"/>
      <w:r w:rsidRPr="00063000">
        <w:t xml:space="preserve"> </w:t>
      </w:r>
      <w:proofErr w:type="spellStart"/>
      <w:r>
        <w:t>n.s</w:t>
      </w:r>
      <w:proofErr w:type="spellEnd"/>
      <w:r>
        <w:t>. 20</w:t>
      </w:r>
      <w:r w:rsidR="00DB1244">
        <w:t xml:space="preserve"> </w:t>
      </w:r>
      <w:r w:rsidRPr="00063000">
        <w:t>(2010)</w:t>
      </w:r>
      <w:r w:rsidR="00EB573F">
        <w:t>:</w:t>
      </w:r>
      <w:r w:rsidRPr="00063000">
        <w:t xml:space="preserve"> 125–279</w:t>
      </w:r>
      <w:r>
        <w:t>.</w:t>
      </w:r>
    </w:p>
  </w:footnote>
  <w:footnote w:id="72">
    <w:p w14:paraId="2E69687D" w14:textId="4EB9B450" w:rsidR="00316453" w:rsidRPr="00063000" w:rsidRDefault="00316453" w:rsidP="004C7FD3">
      <w:pPr>
        <w:pStyle w:val="FootnoteText"/>
      </w:pPr>
      <w:r w:rsidRPr="00063000">
        <w:rPr>
          <w:rStyle w:val="FootnoteReference"/>
          <w:rFonts w:cstheme="majorBidi"/>
          <w:szCs w:val="24"/>
        </w:rPr>
        <w:footnoteRef/>
      </w:r>
      <w:r w:rsidRPr="00063000">
        <w:t xml:space="preserve"> Rebecca Kneller, </w:t>
      </w:r>
      <w:r w:rsidRPr="00D57FD1">
        <w:rPr>
          <w:highlight w:val="green"/>
        </w:rPr>
        <w:t>“A Flood of Logic: An Anonymous Allegoric Interpretation of the Flood Story,”</w:t>
      </w:r>
      <w:r>
        <w:t xml:space="preserve"> in</w:t>
      </w:r>
      <w:r w:rsidRPr="00063000">
        <w:t xml:space="preserve"> </w:t>
      </w:r>
      <w:r w:rsidRPr="00D57FD1">
        <w:rPr>
          <w:i/>
          <w:iCs/>
          <w:highlight w:val="green"/>
        </w:rPr>
        <w:t>A Tribute to Hannah - Jubilee Book in Honor of Hannah Kasher</w:t>
      </w:r>
      <w:r w:rsidRPr="00D57FD1">
        <w:rPr>
          <w:highlight w:val="green"/>
        </w:rPr>
        <w:t>,</w:t>
      </w:r>
      <w:r w:rsidRPr="00063000">
        <w:t xml:space="preserve"> eds. Avi </w:t>
      </w:r>
      <w:proofErr w:type="spellStart"/>
      <w:r w:rsidRPr="00063000">
        <w:t>Elqayam</w:t>
      </w:r>
      <w:proofErr w:type="spellEnd"/>
      <w:r>
        <w:t xml:space="preserve"> and</w:t>
      </w:r>
      <w:r w:rsidRPr="00063000">
        <w:t xml:space="preserve"> Ariel Malachi (Tel Aviv: </w:t>
      </w:r>
      <w:proofErr w:type="spellStart"/>
      <w:r w:rsidRPr="00063000">
        <w:t>Idra</w:t>
      </w:r>
      <w:proofErr w:type="spellEnd"/>
      <w:r w:rsidRPr="00063000">
        <w:t xml:space="preserve"> Publishing, 2018), 375</w:t>
      </w:r>
      <w:r>
        <w:t xml:space="preserve">. </w:t>
      </w:r>
    </w:p>
  </w:footnote>
  <w:footnote w:id="73">
    <w:p w14:paraId="1CDA5D40" w14:textId="128A6D91" w:rsidR="00316453" w:rsidRPr="00063000" w:rsidRDefault="00316453" w:rsidP="004C7FD3">
      <w:pPr>
        <w:pStyle w:val="FootnoteText"/>
        <w:rPr>
          <w:rtl/>
        </w:rPr>
      </w:pPr>
      <w:r w:rsidRPr="00063000">
        <w:rPr>
          <w:rStyle w:val="FootnoteReference"/>
          <w:rFonts w:cstheme="majorBidi"/>
          <w:szCs w:val="24"/>
        </w:rPr>
        <w:footnoteRef/>
      </w:r>
      <w:r w:rsidRPr="00063000">
        <w:t xml:space="preserve">See for example, Shlomo </w:t>
      </w:r>
      <w:proofErr w:type="spellStart"/>
      <w:r w:rsidRPr="00063000">
        <w:t>Rozanis</w:t>
      </w:r>
      <w:proofErr w:type="spellEnd"/>
      <w:r w:rsidRPr="00063000">
        <w:t xml:space="preserve">, </w:t>
      </w:r>
      <w:r w:rsidRPr="00063000">
        <w:rPr>
          <w:rtl/>
        </w:rPr>
        <w:t xml:space="preserve">דברי ימי ישראל </w:t>
      </w:r>
      <w:proofErr w:type="spellStart"/>
      <w:r w:rsidRPr="00063000">
        <w:rPr>
          <w:rtl/>
        </w:rPr>
        <w:t>בתוגרמה</w:t>
      </w:r>
      <w:proofErr w:type="spellEnd"/>
      <w:r w:rsidRPr="00063000">
        <w:t xml:space="preserve"> (Tel Aviv: </w:t>
      </w:r>
      <w:proofErr w:type="spellStart"/>
      <w:r w:rsidRPr="00063000">
        <w:t>Dvir</w:t>
      </w:r>
      <w:proofErr w:type="spellEnd"/>
      <w:r w:rsidRPr="00063000">
        <w:t xml:space="preserve">, 1930), </w:t>
      </w:r>
      <w:r>
        <w:t>1:</w:t>
      </w:r>
      <w:r w:rsidRPr="00063000">
        <w:t>26–33</w:t>
      </w:r>
      <w:r>
        <w:t xml:space="preserve">. </w:t>
      </w:r>
    </w:p>
  </w:footnote>
  <w:footnote w:id="74">
    <w:p w14:paraId="003831ED" w14:textId="77777777" w:rsidR="00316453" w:rsidRPr="00063000" w:rsidRDefault="00316453" w:rsidP="004C7FD3">
      <w:pPr>
        <w:pStyle w:val="FootnoteText"/>
        <w:rPr>
          <w:rtl/>
        </w:rPr>
      </w:pPr>
      <w:r w:rsidRPr="00063000">
        <w:rPr>
          <w:rStyle w:val="FootnoteReference"/>
          <w:rFonts w:cstheme="majorBidi"/>
          <w:szCs w:val="24"/>
        </w:rPr>
        <w:footnoteRef/>
      </w:r>
      <w:r w:rsidRPr="00063000">
        <w:t xml:space="preserve">My thanks to </w:t>
      </w:r>
      <w:proofErr w:type="spellStart"/>
      <w:r w:rsidRPr="00A74399">
        <w:rPr>
          <w:highlight w:val="yellow"/>
        </w:rPr>
        <w:t>Hanokh</w:t>
      </w:r>
      <w:proofErr w:type="spellEnd"/>
      <w:r w:rsidRPr="00A74399">
        <w:rPr>
          <w:highlight w:val="yellow"/>
        </w:rPr>
        <w:t xml:space="preserve"> Gamliel</w:t>
      </w:r>
      <w:r w:rsidRPr="00063000">
        <w:t xml:space="preserve"> who assisted me in formulating this section.</w:t>
      </w:r>
      <w:r w:rsidRPr="00063000">
        <w:rPr>
          <w:rtl/>
        </w:rPr>
        <w:t xml:space="preserve"> </w:t>
      </w:r>
    </w:p>
  </w:footnote>
  <w:footnote w:id="75">
    <w:p w14:paraId="06E00421" w14:textId="30C9ADC1" w:rsidR="00316453" w:rsidRPr="00063000" w:rsidRDefault="00316453" w:rsidP="004C7FD3">
      <w:pPr>
        <w:pStyle w:val="FootnoteText"/>
        <w:rPr>
          <w:rtl/>
        </w:rPr>
      </w:pPr>
      <w:r w:rsidRPr="00063000">
        <w:rPr>
          <w:rStyle w:val="FootnoteReference"/>
          <w:rFonts w:cstheme="majorBidi"/>
          <w:szCs w:val="24"/>
        </w:rPr>
        <w:footnoteRef/>
      </w:r>
      <w:r>
        <w:t xml:space="preserve"> </w:t>
      </w:r>
      <w:proofErr w:type="spellStart"/>
      <w:r w:rsidRPr="00063000">
        <w:t>Eldar</w:t>
      </w:r>
      <w:proofErr w:type="spellEnd"/>
      <w:r w:rsidRPr="00063000">
        <w:t xml:space="preserve">, </w:t>
      </w:r>
      <w:r w:rsidRPr="00063000">
        <w:rPr>
          <w:rtl/>
        </w:rPr>
        <w:t>בלשנות העברית בימה</w:t>
      </w:r>
      <w:r>
        <w:rPr>
          <w:rFonts w:hint="cs"/>
          <w:rtl/>
        </w:rPr>
        <w:t>"</w:t>
      </w:r>
      <w:r w:rsidRPr="00063000">
        <w:rPr>
          <w:rtl/>
        </w:rPr>
        <w:t>ב</w:t>
      </w:r>
      <w:r w:rsidRPr="00063000">
        <w:t>, 261</w:t>
      </w:r>
      <w:r>
        <w:t>–</w:t>
      </w:r>
      <w:r w:rsidRPr="00063000">
        <w:t>62.</w:t>
      </w:r>
      <w:r w:rsidRPr="00063000">
        <w:rPr>
          <w:rtl/>
        </w:rPr>
        <w:t xml:space="preserve"> </w:t>
      </w:r>
    </w:p>
  </w:footnote>
  <w:footnote w:id="76">
    <w:p w14:paraId="5B0B0DDA" w14:textId="42C6F2C3" w:rsidR="00316453" w:rsidRPr="00063000" w:rsidRDefault="00316453" w:rsidP="004C7FD3">
      <w:pPr>
        <w:pStyle w:val="FootnoteText"/>
        <w:rPr>
          <w:rtl/>
        </w:rPr>
      </w:pPr>
      <w:r w:rsidRPr="00063000">
        <w:rPr>
          <w:rStyle w:val="FootnoteReference"/>
          <w:rFonts w:cstheme="majorBidi"/>
          <w:szCs w:val="24"/>
        </w:rPr>
        <w:footnoteRef/>
      </w:r>
      <w:r w:rsidRPr="00063000">
        <w:t xml:space="preserve">Of all the grammatical works penned during the Middle Ages, those of </w:t>
      </w:r>
      <w:proofErr w:type="spellStart"/>
      <w:r w:rsidRPr="00063000">
        <w:t>Rada</w:t>
      </w:r>
      <w:r>
        <w:t>k</w:t>
      </w:r>
      <w:proofErr w:type="spellEnd"/>
      <w:r w:rsidRPr="00063000">
        <w:t xml:space="preserve"> were the most common. See </w:t>
      </w:r>
      <w:proofErr w:type="spellStart"/>
      <w:r w:rsidRPr="00063000">
        <w:t>Aharon</w:t>
      </w:r>
      <w:proofErr w:type="spellEnd"/>
      <w:r w:rsidRPr="00063000">
        <w:t xml:space="preserve"> </w:t>
      </w:r>
      <w:proofErr w:type="spellStart"/>
      <w:r w:rsidRPr="00063000">
        <w:t>Maman</w:t>
      </w:r>
      <w:proofErr w:type="spellEnd"/>
      <w:r w:rsidRPr="00063000">
        <w:t xml:space="preserve">, </w:t>
      </w:r>
      <w:proofErr w:type="spellStart"/>
      <w:r w:rsidRPr="00063000">
        <w:rPr>
          <w:i/>
          <w:iCs/>
        </w:rPr>
        <w:t>Otzrot</w:t>
      </w:r>
      <w:proofErr w:type="spellEnd"/>
      <w:r w:rsidRPr="00063000">
        <w:rPr>
          <w:i/>
          <w:iCs/>
        </w:rPr>
        <w:t xml:space="preserve"> Lashon</w:t>
      </w:r>
      <w:r>
        <w:rPr>
          <w:i/>
          <w:iCs/>
        </w:rPr>
        <w:t xml:space="preserve">: </w:t>
      </w:r>
      <w:r w:rsidRPr="00063000">
        <w:rPr>
          <w:i/>
          <w:iCs/>
        </w:rPr>
        <w:t>The Hebrew Philology Manuscripts and Genizah Fragments in the Library of the JTS of America</w:t>
      </w:r>
      <w:r w:rsidRPr="00063000">
        <w:t xml:space="preserve"> (New York and Jerusalem: JTS</w:t>
      </w:r>
      <w:r w:rsidR="00EB573F">
        <w:t xml:space="preserve"> </w:t>
      </w:r>
      <w:r w:rsidR="00EB573F" w:rsidRPr="00EB573F">
        <w:rPr>
          <w:highlight w:val="yellow"/>
        </w:rPr>
        <w:t>[</w:t>
      </w:r>
      <w:r w:rsidR="00EB573F" w:rsidRPr="00EB573F">
        <w:rPr>
          <w:color w:val="FF0000"/>
          <w:highlight w:val="yellow"/>
        </w:rPr>
        <w:t>JPS?]</w:t>
      </w:r>
      <w:r w:rsidRPr="00EB573F">
        <w:rPr>
          <w:color w:val="FF0000"/>
          <w:highlight w:val="yellow"/>
        </w:rPr>
        <w:t>,</w:t>
      </w:r>
      <w:r w:rsidRPr="00EB573F">
        <w:rPr>
          <w:color w:val="FF0000"/>
        </w:rPr>
        <w:t xml:space="preserve"> </w:t>
      </w:r>
      <w:r w:rsidRPr="00063000">
        <w:t xml:space="preserve">2006), 18–21; Ilan </w:t>
      </w:r>
      <w:proofErr w:type="spellStart"/>
      <w:r w:rsidRPr="00063000">
        <w:t>Eldar</w:t>
      </w:r>
      <w:proofErr w:type="spellEnd"/>
      <w:r w:rsidRPr="00063000">
        <w:t xml:space="preserve">, </w:t>
      </w:r>
      <w:r w:rsidRPr="002C0284">
        <w:rPr>
          <w:i/>
          <w:iCs/>
          <w:highlight w:val="green"/>
        </w:rPr>
        <w:t>Hebrew Language Study in Medieval Spain</w:t>
      </w:r>
      <w:r w:rsidRPr="00063000">
        <w:t xml:space="preserve"> (</w:t>
      </w:r>
      <w:r>
        <w:t>Jerusalem</w:t>
      </w:r>
      <w:r w:rsidRPr="00063000">
        <w:t>: The Academy of the Hebrew Language, 2014), 153–54</w:t>
      </w:r>
      <w:r>
        <w:t>.</w:t>
      </w:r>
    </w:p>
  </w:footnote>
  <w:footnote w:id="77">
    <w:p w14:paraId="521F3E53" w14:textId="6B23724E" w:rsidR="00316453" w:rsidRPr="00063000" w:rsidRDefault="00316453" w:rsidP="004C7FD3">
      <w:pPr>
        <w:pStyle w:val="FootnoteText"/>
        <w:rPr>
          <w:rtl/>
        </w:rPr>
      </w:pPr>
      <w:r w:rsidRPr="00063000">
        <w:rPr>
          <w:rStyle w:val="FootnoteReference"/>
          <w:rFonts w:cstheme="majorBidi"/>
          <w:szCs w:val="24"/>
        </w:rPr>
        <w:footnoteRef/>
      </w:r>
      <w:r w:rsidRPr="00063000">
        <w:t xml:space="preserve"> Edmund </w:t>
      </w:r>
      <w:proofErr w:type="spellStart"/>
      <w:r w:rsidRPr="00063000">
        <w:t>Fryde</w:t>
      </w:r>
      <w:proofErr w:type="spellEnd"/>
      <w:r w:rsidRPr="00063000">
        <w:t xml:space="preserve">, </w:t>
      </w:r>
      <w:r w:rsidRPr="00063000">
        <w:rPr>
          <w:i/>
          <w:iCs/>
        </w:rPr>
        <w:t xml:space="preserve">The Early </w:t>
      </w:r>
      <w:proofErr w:type="spellStart"/>
      <w:r w:rsidRPr="00063000">
        <w:rPr>
          <w:i/>
          <w:iCs/>
        </w:rPr>
        <w:t>Palaeologan</w:t>
      </w:r>
      <w:proofErr w:type="spellEnd"/>
      <w:r w:rsidRPr="00063000">
        <w:rPr>
          <w:i/>
          <w:iCs/>
        </w:rPr>
        <w:t xml:space="preserve"> Renaissance (1261</w:t>
      </w:r>
      <w:r>
        <w:rPr>
          <w:i/>
          <w:iCs/>
        </w:rPr>
        <w:t>–</w:t>
      </w:r>
      <w:r w:rsidRPr="00063000">
        <w:rPr>
          <w:i/>
          <w:iCs/>
        </w:rPr>
        <w:t>c. 1360)</w:t>
      </w:r>
      <w:r w:rsidRPr="00063000">
        <w:t xml:space="preserve"> (Leiden-Boston: Brill, 2000), 183–212; </w:t>
      </w:r>
      <w:r w:rsidRPr="00151F40">
        <w:rPr>
          <w:sz w:val="22"/>
          <w:szCs w:val="22"/>
        </w:rPr>
        <w:t>Saskia Donitz</w:t>
      </w:r>
      <w:r w:rsidRPr="00063000">
        <w:t xml:space="preserve">, </w:t>
      </w:r>
      <w:r>
        <w:t>“</w:t>
      </w:r>
      <w:proofErr w:type="spellStart"/>
      <w:r w:rsidRPr="00063000">
        <w:t>Shemarya</w:t>
      </w:r>
      <w:proofErr w:type="spellEnd"/>
      <w:r w:rsidRPr="00063000">
        <w:t xml:space="preserve"> ha-</w:t>
      </w:r>
      <w:proofErr w:type="spellStart"/>
      <w:r w:rsidRPr="00063000">
        <w:t>Ikrity</w:t>
      </w:r>
      <w:proofErr w:type="spellEnd"/>
      <w:r>
        <w:t>,”</w:t>
      </w:r>
      <w:r w:rsidRPr="00063000">
        <w:rPr>
          <w:rtl/>
        </w:rPr>
        <w:t xml:space="preserve"> </w:t>
      </w:r>
      <w:r w:rsidRPr="00063000">
        <w:t>231.</w:t>
      </w:r>
    </w:p>
  </w:footnote>
  <w:footnote w:id="78">
    <w:p w14:paraId="13A6D46A" w14:textId="4FFBD755" w:rsidR="00316453" w:rsidRPr="00063000" w:rsidRDefault="00316453" w:rsidP="004C7FD3">
      <w:pPr>
        <w:pStyle w:val="FootnoteText"/>
        <w:rPr>
          <w:rtl/>
        </w:rPr>
      </w:pPr>
      <w:r w:rsidRPr="00063000">
        <w:rPr>
          <w:rStyle w:val="FootnoteReference"/>
          <w:rFonts w:cstheme="majorBidi"/>
          <w:szCs w:val="24"/>
        </w:rPr>
        <w:footnoteRef/>
      </w:r>
      <w:r w:rsidRPr="00063000">
        <w:t xml:space="preserve"> Steven Bowman, </w:t>
      </w:r>
      <w:r w:rsidR="00E05981">
        <w:t>“</w:t>
      </w:r>
      <w:r w:rsidRPr="00063000">
        <w:t>Survival in Decline</w:t>
      </w:r>
      <w:r w:rsidR="00E05981">
        <w:t xml:space="preserve">: </w:t>
      </w:r>
      <w:r w:rsidRPr="00063000">
        <w:t>Romaniote Jewry Post-1204,</w:t>
      </w:r>
      <w:r w:rsidR="00E05981">
        <w:t>”</w:t>
      </w:r>
      <w:r w:rsidRPr="00063000">
        <w:t xml:space="preserve"> </w:t>
      </w:r>
      <w:r w:rsidRPr="00063000">
        <w:rPr>
          <w:i/>
          <w:iCs/>
        </w:rPr>
        <w:t>Jews in Byzantium: Dialectics of Minority and Majority Cultures</w:t>
      </w:r>
      <w:r w:rsidRPr="00063000">
        <w:t>, ed. R</w:t>
      </w:r>
      <w:r w:rsidR="009122F2">
        <w:t xml:space="preserve">obert </w:t>
      </w:r>
      <w:proofErr w:type="spellStart"/>
      <w:r w:rsidRPr="00063000">
        <w:t>Bonfil</w:t>
      </w:r>
      <w:proofErr w:type="spellEnd"/>
      <w:r w:rsidRPr="00063000">
        <w:t xml:space="preserve"> </w:t>
      </w:r>
      <w:r w:rsidRPr="009122F2">
        <w:t xml:space="preserve">et </w:t>
      </w:r>
      <w:r w:rsidR="009122F2" w:rsidRPr="009122F2">
        <w:t>al</w:t>
      </w:r>
      <w:r w:rsidRPr="009122F2">
        <w:t>.</w:t>
      </w:r>
      <w:r w:rsidRPr="00063000">
        <w:t xml:space="preserve"> (Leiden-Boston: Brill, 2012), 115–123; </w:t>
      </w:r>
      <w:r w:rsidRPr="00151F40">
        <w:rPr>
          <w:sz w:val="22"/>
          <w:szCs w:val="22"/>
        </w:rPr>
        <w:t>Donitz</w:t>
      </w:r>
      <w:r w:rsidRPr="00063000">
        <w:t xml:space="preserve">, </w:t>
      </w:r>
      <w:r>
        <w:t>“</w:t>
      </w:r>
      <w:proofErr w:type="spellStart"/>
      <w:r w:rsidRPr="00063000">
        <w:t>Shemarya</w:t>
      </w:r>
      <w:proofErr w:type="spellEnd"/>
      <w:r w:rsidRPr="00063000">
        <w:t xml:space="preserve"> ha-</w:t>
      </w:r>
      <w:proofErr w:type="spellStart"/>
      <w:r w:rsidRPr="00063000">
        <w:t>Ikrity</w:t>
      </w:r>
      <w:proofErr w:type="spellEnd"/>
      <w:r>
        <w:t>,”</w:t>
      </w:r>
      <w:r w:rsidRPr="00063000">
        <w:rPr>
          <w:rtl/>
        </w:rPr>
        <w:t xml:space="preserve"> </w:t>
      </w:r>
      <w:r w:rsidRPr="00063000">
        <w:t>231.</w:t>
      </w:r>
    </w:p>
  </w:footnote>
  <w:footnote w:id="79">
    <w:p w14:paraId="022FAD52" w14:textId="5B6FC802" w:rsidR="00316453" w:rsidRPr="00063000" w:rsidRDefault="00316453" w:rsidP="004C7FD3">
      <w:pPr>
        <w:pStyle w:val="FootnoteText"/>
        <w:rPr>
          <w:rtl/>
        </w:rPr>
      </w:pPr>
      <w:r w:rsidRPr="00063000">
        <w:rPr>
          <w:rStyle w:val="FootnoteReference"/>
          <w:rFonts w:cstheme="majorBidi"/>
          <w:szCs w:val="24"/>
        </w:rPr>
        <w:footnoteRef/>
      </w:r>
      <w:r w:rsidRPr="00063000">
        <w:t xml:space="preserve"> Shalom Rosenberg, “Logic and Ontology in Jewish Philosophy of the 14th Century” (PhD Diss., Hebrew University, 1974), 35–36, 94–101</w:t>
      </w:r>
      <w:r>
        <w:t>.</w:t>
      </w:r>
    </w:p>
  </w:footnote>
  <w:footnote w:id="80">
    <w:p w14:paraId="7A18C8D9" w14:textId="64C6BC08" w:rsidR="00316453" w:rsidRPr="00063000" w:rsidRDefault="00316453" w:rsidP="00063000">
      <w:r w:rsidRPr="00063000">
        <w:rPr>
          <w:rStyle w:val="FootnoteReference"/>
          <w:rFonts w:cstheme="majorBidi"/>
          <w:szCs w:val="24"/>
        </w:rPr>
        <w:footnoteRef/>
      </w:r>
      <w:r w:rsidRPr="00063000">
        <w:t xml:space="preserve">Maimonides writings reached Byzantium in the mid-thirteenth century (in Hebrew translation). See Frank, </w:t>
      </w:r>
      <w:r>
        <w:t>“</w:t>
      </w:r>
      <w:r w:rsidRPr="00063000">
        <w:t>Abraham Ibn Ezra and the Karaite Exegetes</w:t>
      </w:r>
      <w:r>
        <w:t>,” 99</w:t>
      </w:r>
      <w:r w:rsidRPr="00063000">
        <w:t xml:space="preserve">. For the influence of Maimonides on the Jewish exegetes of Byzantium, see </w:t>
      </w:r>
      <w:proofErr w:type="spellStart"/>
      <w:r w:rsidRPr="00063000">
        <w:t>Ahrend</w:t>
      </w:r>
      <w:proofErr w:type="spellEnd"/>
      <w:r w:rsidRPr="00063000">
        <w:t xml:space="preserve">, </w:t>
      </w:r>
      <w:r w:rsidRPr="00063000">
        <w:rPr>
          <w:rtl/>
        </w:rPr>
        <w:t>אלף המגן</w:t>
      </w:r>
      <w:r w:rsidRPr="00063000">
        <w:t>,</w:t>
      </w:r>
      <w:r w:rsidR="00DB1244">
        <w:t xml:space="preserve"> </w:t>
      </w:r>
      <w:r w:rsidRPr="00063000">
        <w:t>39</w:t>
      </w:r>
      <w:r>
        <w:t>–</w:t>
      </w:r>
      <w:r w:rsidRPr="00063000">
        <w:t>40; Lawee, “</w:t>
      </w:r>
      <w:r w:rsidRPr="00063000">
        <w:rPr>
          <w:rtl/>
        </w:rPr>
        <w:t>הרמב</w:t>
      </w:r>
      <w:r>
        <w:rPr>
          <w:rFonts w:hint="cs"/>
          <w:rtl/>
        </w:rPr>
        <w:t>"</w:t>
      </w:r>
      <w:r w:rsidRPr="00063000">
        <w:rPr>
          <w:rtl/>
        </w:rPr>
        <w:t>ם במזרח</w:t>
      </w:r>
      <w:r w:rsidRPr="00063000">
        <w:t xml:space="preserve">.” On the influence of Maimonides’ teachings upon the Karaites of Byzantium, see Nathan </w:t>
      </w:r>
      <w:proofErr w:type="spellStart"/>
      <w:r w:rsidRPr="00063000">
        <w:t>Shur</w:t>
      </w:r>
      <w:proofErr w:type="spellEnd"/>
      <w:r w:rsidRPr="00063000">
        <w:t xml:space="preserve">, </w:t>
      </w:r>
      <w:r w:rsidRPr="005F56F4">
        <w:rPr>
          <w:i/>
          <w:iCs/>
          <w:highlight w:val="green"/>
        </w:rPr>
        <w:t>The History of the Karaites</w:t>
      </w:r>
      <w:r w:rsidRPr="00063000">
        <w:t xml:space="preserve"> (Jerusalem: Bialik Institute, 2003), 86–88</w:t>
      </w:r>
      <w:r>
        <w:rPr>
          <w:rFonts w:hint="cs"/>
          <w:rtl/>
        </w:rPr>
        <w:t>;</w:t>
      </w:r>
      <w:r>
        <w:rPr>
          <w:rFonts w:hint="cs"/>
        </w:rPr>
        <w:t xml:space="preserve"> </w:t>
      </w:r>
      <w:r w:rsidRPr="00063000">
        <w:t xml:space="preserve">Daniel J. Lasker, </w:t>
      </w:r>
      <w:r>
        <w:t>“</w:t>
      </w:r>
      <w:r w:rsidRPr="00C369E5">
        <w:rPr>
          <w:highlight w:val="green"/>
        </w:rPr>
        <w:t xml:space="preserve">Maimonides Influence on the Philosophy of Elijah </w:t>
      </w:r>
      <w:proofErr w:type="spellStart"/>
      <w:r w:rsidRPr="00C369E5">
        <w:rPr>
          <w:highlight w:val="green"/>
        </w:rPr>
        <w:t>Bashyazi</w:t>
      </w:r>
      <w:proofErr w:type="spellEnd"/>
      <w:r w:rsidRPr="00C369E5">
        <w:rPr>
          <w:highlight w:val="green"/>
        </w:rPr>
        <w:t xml:space="preserve"> the Karaite,”</w:t>
      </w:r>
      <w:r w:rsidR="00DB1244">
        <w:t xml:space="preserve"> </w:t>
      </w:r>
      <w:r w:rsidRPr="00063000">
        <w:rPr>
          <w:i/>
          <w:iCs/>
        </w:rPr>
        <w:t>Jerusalem Studies in Jewish Thought</w:t>
      </w:r>
      <w:r w:rsidRPr="00063000">
        <w:t xml:space="preserve"> 3 (1984)</w:t>
      </w:r>
      <w:r>
        <w:t>:</w:t>
      </w:r>
      <w:r w:rsidRPr="00063000">
        <w:t xml:space="preserve"> 405–25</w:t>
      </w:r>
      <w:r>
        <w:t xml:space="preserve">; </w:t>
      </w:r>
      <w:r w:rsidRPr="00063000">
        <w:t xml:space="preserve">Daniel J. Lasker, </w:t>
      </w:r>
      <w:r>
        <w:t>“</w:t>
      </w:r>
      <w:r w:rsidRPr="00C369E5">
        <w:rPr>
          <w:highlight w:val="green"/>
        </w:rPr>
        <w:t>Nature and Science According to Aaron ben Elijah the Karaite</w:t>
      </w:r>
      <w:r>
        <w:t>,”</w:t>
      </w:r>
      <w:r w:rsidRPr="00063000">
        <w:t xml:space="preserve"> </w:t>
      </w:r>
      <w:proofErr w:type="spellStart"/>
      <w:r w:rsidRPr="00063000">
        <w:rPr>
          <w:i/>
          <w:iCs/>
        </w:rPr>
        <w:t>Daat</w:t>
      </w:r>
      <w:proofErr w:type="spellEnd"/>
      <w:r w:rsidRPr="00063000">
        <w:t xml:space="preserve"> 17 (1986)</w:t>
      </w:r>
      <w:r>
        <w:t>:</w:t>
      </w:r>
      <w:r w:rsidRPr="00063000">
        <w:t xml:space="preserve"> 33–42; Daniel. J. Lasker, </w:t>
      </w:r>
      <w:r>
        <w:t>“</w:t>
      </w:r>
      <w:r w:rsidRPr="00063000">
        <w:t xml:space="preserve">Maimonides and the Karaites: From Critic to Cultural </w:t>
      </w:r>
      <w:r>
        <w:t>H</w:t>
      </w:r>
      <w:r w:rsidRPr="00063000">
        <w:t>ero</w:t>
      </w:r>
      <w:r>
        <w:t>,”</w:t>
      </w:r>
      <w:r w:rsidRPr="00063000">
        <w:t xml:space="preserve"> </w:t>
      </w:r>
      <w:r>
        <w:t xml:space="preserve">in </w:t>
      </w:r>
      <w:proofErr w:type="spellStart"/>
      <w:r w:rsidRPr="00063000">
        <w:rPr>
          <w:i/>
          <w:iCs/>
        </w:rPr>
        <w:t>Maimónides</w:t>
      </w:r>
      <w:proofErr w:type="spellEnd"/>
      <w:r w:rsidRPr="00063000">
        <w:rPr>
          <w:i/>
          <w:iCs/>
        </w:rPr>
        <w:t xml:space="preserve"> y </w:t>
      </w:r>
      <w:proofErr w:type="spellStart"/>
      <w:r w:rsidRPr="00063000">
        <w:rPr>
          <w:i/>
          <w:iCs/>
        </w:rPr>
        <w:t>su</w:t>
      </w:r>
      <w:proofErr w:type="spellEnd"/>
      <w:r w:rsidRPr="00063000">
        <w:rPr>
          <w:i/>
          <w:iCs/>
        </w:rPr>
        <w:t xml:space="preserve"> </w:t>
      </w:r>
      <w:proofErr w:type="spellStart"/>
      <w:r w:rsidRPr="00063000">
        <w:rPr>
          <w:i/>
          <w:iCs/>
        </w:rPr>
        <w:t>época</w:t>
      </w:r>
      <w:proofErr w:type="spellEnd"/>
      <w:r w:rsidRPr="00063000">
        <w:t xml:space="preserve">, ed. Carlos del Valle Rodríguez </w:t>
      </w:r>
      <w:r w:rsidRPr="00984903">
        <w:t>et al.</w:t>
      </w:r>
      <w:r w:rsidRPr="00063000">
        <w:t xml:space="preserve"> (Madrid: Sociedad </w:t>
      </w:r>
      <w:proofErr w:type="spellStart"/>
      <w:r w:rsidRPr="00063000">
        <w:t>Estatal</w:t>
      </w:r>
      <w:proofErr w:type="spellEnd"/>
      <w:r w:rsidRPr="00063000">
        <w:t xml:space="preserve"> de </w:t>
      </w:r>
      <w:proofErr w:type="spellStart"/>
      <w:r w:rsidRPr="00063000">
        <w:t>Conmemoraciones</w:t>
      </w:r>
      <w:proofErr w:type="spellEnd"/>
      <w:r w:rsidRPr="00063000">
        <w:t xml:space="preserve"> </w:t>
      </w:r>
      <w:proofErr w:type="spellStart"/>
      <w:r w:rsidRPr="00063000">
        <w:t>Culturales</w:t>
      </w:r>
      <w:proofErr w:type="spellEnd"/>
      <w:r w:rsidRPr="00063000">
        <w:t>, 2007), 311–25.</w:t>
      </w:r>
      <w:r w:rsidRPr="00063000">
        <w:rPr>
          <w:rtl/>
        </w:rPr>
        <w:t xml:space="preserve"> </w:t>
      </w:r>
    </w:p>
  </w:footnote>
  <w:footnote w:id="81">
    <w:p w14:paraId="23DE3787" w14:textId="471C4607" w:rsidR="00316453" w:rsidRPr="004F1617" w:rsidRDefault="00316453" w:rsidP="004C7FD3">
      <w:pPr>
        <w:pStyle w:val="FootnoteText"/>
        <w:rPr>
          <w:color w:val="FF0000"/>
        </w:rPr>
      </w:pPr>
      <w:r w:rsidRPr="00063000">
        <w:rPr>
          <w:rStyle w:val="FootnoteReference"/>
          <w:rFonts w:cstheme="majorBidi"/>
          <w:szCs w:val="24"/>
        </w:rPr>
        <w:footnoteRef/>
      </w:r>
      <w:r>
        <w:t xml:space="preserve"> </w:t>
      </w:r>
      <w:r w:rsidRPr="00063000">
        <w:t xml:space="preserve">Moshe </w:t>
      </w:r>
      <w:proofErr w:type="spellStart"/>
      <w:r w:rsidRPr="00063000">
        <w:t>Idel</w:t>
      </w:r>
      <w:proofErr w:type="spellEnd"/>
      <w:r w:rsidRPr="00063000">
        <w:t>, “</w:t>
      </w:r>
      <w:r w:rsidRPr="00063000">
        <w:rPr>
          <w:rtl/>
        </w:rPr>
        <w:t xml:space="preserve">הקבלה </w:t>
      </w:r>
      <w:proofErr w:type="spellStart"/>
      <w:r w:rsidRPr="00063000">
        <w:rPr>
          <w:rtl/>
        </w:rPr>
        <w:t>באיזור</w:t>
      </w:r>
      <w:proofErr w:type="spellEnd"/>
      <w:r w:rsidRPr="00063000">
        <w:rPr>
          <w:rtl/>
        </w:rPr>
        <w:t xml:space="preserve"> הביזאנטי עיונים ראשונים</w:t>
      </w:r>
      <w:r w:rsidRPr="00063000">
        <w:t xml:space="preserve">,” </w:t>
      </w:r>
      <w:r w:rsidRPr="004F1617">
        <w:rPr>
          <w:i/>
          <w:iCs/>
        </w:rPr>
        <w:t>Kabbalah</w:t>
      </w:r>
      <w:r w:rsidRPr="00063000">
        <w:t xml:space="preserve"> 18 (2008)</w:t>
      </w:r>
      <w:r>
        <w:t xml:space="preserve">: </w:t>
      </w:r>
      <w:r w:rsidRPr="00063000">
        <w:t>197–208.</w:t>
      </w:r>
      <w:r>
        <w:t xml:space="preserve"> </w:t>
      </w:r>
      <w:r w:rsidRPr="004F1617">
        <w:rPr>
          <w:color w:val="FF0000"/>
          <w:highlight w:val="yellow"/>
        </w:rPr>
        <w:t>[there exists an English version of this article].</w:t>
      </w:r>
      <w:r w:rsidRPr="004F1617">
        <w:rPr>
          <w:color w:val="FF0000"/>
        </w:rPr>
        <w:t xml:space="preserve"> </w:t>
      </w:r>
    </w:p>
  </w:footnote>
  <w:footnote w:id="82">
    <w:p w14:paraId="1F0508D7" w14:textId="26597597" w:rsidR="00316453" w:rsidRPr="00063000" w:rsidRDefault="00316453" w:rsidP="004C7FD3">
      <w:pPr>
        <w:pStyle w:val="FootnoteText"/>
      </w:pPr>
      <w:r w:rsidRPr="00063000">
        <w:rPr>
          <w:rStyle w:val="FootnoteReference"/>
          <w:rFonts w:cstheme="majorBidi"/>
          <w:szCs w:val="24"/>
        </w:rPr>
        <w:footnoteRef/>
      </w:r>
      <w:r>
        <w:t xml:space="preserve"> </w:t>
      </w:r>
      <w:r w:rsidRPr="00063000">
        <w:t xml:space="preserve">There is a single reference to </w:t>
      </w:r>
      <w:proofErr w:type="spellStart"/>
      <w:r w:rsidRPr="004B0FF9">
        <w:rPr>
          <w:i/>
          <w:iCs/>
        </w:rPr>
        <w:t>Sefer</w:t>
      </w:r>
      <w:proofErr w:type="spellEnd"/>
      <w:r w:rsidRPr="004B0FF9">
        <w:rPr>
          <w:i/>
          <w:iCs/>
        </w:rPr>
        <w:t xml:space="preserve"> </w:t>
      </w:r>
      <w:proofErr w:type="spellStart"/>
      <w:r w:rsidRPr="004B0FF9">
        <w:rPr>
          <w:i/>
          <w:iCs/>
        </w:rPr>
        <w:t>Yetsira</w:t>
      </w:r>
      <w:proofErr w:type="spellEnd"/>
      <w:r w:rsidR="00DB1244">
        <w:rPr>
          <w:rFonts w:hint="cs"/>
        </w:rPr>
        <w:t xml:space="preserve"> </w:t>
      </w:r>
      <w:r>
        <w:t xml:space="preserve">and </w:t>
      </w:r>
      <w:r w:rsidRPr="00063000">
        <w:t>the Account of Creation (Gen 1:1)</w:t>
      </w:r>
      <w:r>
        <w:t xml:space="preserve"> as well as reference to</w:t>
      </w:r>
      <w:r w:rsidRPr="00063000">
        <w:t xml:space="preserve"> the Account of the Chariot (Gen 5:24).</w:t>
      </w:r>
    </w:p>
  </w:footnote>
  <w:footnote w:id="83">
    <w:p w14:paraId="1F30EEEF" w14:textId="7B39AD46"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I have written a dedicated study of Rabbi Meyuhas’ introduction to the Pentateuch which is forthcoming.</w:t>
      </w:r>
    </w:p>
  </w:footnote>
  <w:footnote w:id="84">
    <w:p w14:paraId="334AFD99" w14:textId="11E13CC2" w:rsidR="00316453" w:rsidRPr="00063000" w:rsidRDefault="00316453" w:rsidP="004C7FD3">
      <w:pPr>
        <w:pStyle w:val="FootnoteText"/>
        <w:rPr>
          <w:rtl/>
        </w:rPr>
      </w:pPr>
      <w:r w:rsidRPr="00063000">
        <w:rPr>
          <w:rStyle w:val="FootnoteReference"/>
          <w:rFonts w:cstheme="majorBidi"/>
          <w:szCs w:val="24"/>
        </w:rPr>
        <w:footnoteRef/>
      </w:r>
      <w:r w:rsidRPr="00063000">
        <w:t>Ta-</w:t>
      </w:r>
      <w:proofErr w:type="spellStart"/>
      <w:r w:rsidRPr="00063000">
        <w:t>Shma</w:t>
      </w:r>
      <w:proofErr w:type="spellEnd"/>
      <w:r w:rsidRPr="00063000">
        <w:t xml:space="preserve"> wrote about this extensively: Ta-</w:t>
      </w:r>
      <w:proofErr w:type="spellStart"/>
      <w:r w:rsidRPr="00063000">
        <w:t>Shma</w:t>
      </w:r>
      <w:proofErr w:type="spellEnd"/>
      <w:r w:rsidRPr="00063000">
        <w:t xml:space="preserve">, </w:t>
      </w:r>
      <w:r w:rsidRPr="004B0FF9">
        <w:rPr>
          <w:highlight w:val="green"/>
          <w:rtl/>
        </w:rPr>
        <w:t>איטליה</w:t>
      </w:r>
      <w:r w:rsidRPr="00063000">
        <w:t>, 217.</w:t>
      </w:r>
      <w:r w:rsidRPr="00063000">
        <w:rPr>
          <w:rtl/>
        </w:rPr>
        <w:t xml:space="preserve"> </w:t>
      </w:r>
    </w:p>
  </w:footnote>
  <w:footnote w:id="85">
    <w:p w14:paraId="5EEFA7F4" w14:textId="05B074E5" w:rsidR="00316453" w:rsidRPr="00063000" w:rsidRDefault="00316453" w:rsidP="004C7FD3">
      <w:pPr>
        <w:pStyle w:val="FootnoteText"/>
        <w:rPr>
          <w:rtl/>
        </w:rPr>
      </w:pPr>
      <w:r w:rsidRPr="00063000">
        <w:rPr>
          <w:rStyle w:val="FootnoteReference"/>
          <w:rFonts w:cstheme="majorBidi"/>
          <w:szCs w:val="24"/>
        </w:rPr>
        <w:footnoteRef/>
      </w:r>
      <w:r w:rsidRPr="00063000">
        <w:t>Ta-</w:t>
      </w:r>
      <w:proofErr w:type="spellStart"/>
      <w:r w:rsidRPr="00063000">
        <w:t>Shma</w:t>
      </w:r>
      <w:proofErr w:type="spellEnd"/>
      <w:r w:rsidRPr="00063000">
        <w:t xml:space="preserve">, </w:t>
      </w:r>
      <w:r w:rsidRPr="001D6418">
        <w:rPr>
          <w:rtl/>
        </w:rPr>
        <w:t>הנגלה שבנסתר</w:t>
      </w:r>
      <w:r w:rsidRPr="00063000">
        <w:t>, 100</w:t>
      </w:r>
      <w:r>
        <w:t>–</w:t>
      </w:r>
      <w:r w:rsidRPr="00063000">
        <w:t>101.</w:t>
      </w:r>
    </w:p>
  </w:footnote>
  <w:footnote w:id="86">
    <w:p w14:paraId="2B0B1F86" w14:textId="3622D033" w:rsidR="00316453" w:rsidRPr="00063000" w:rsidRDefault="00316453" w:rsidP="004C7FD3">
      <w:pPr>
        <w:pStyle w:val="FootnoteText"/>
      </w:pPr>
      <w:r w:rsidRPr="00063000">
        <w:rPr>
          <w:rStyle w:val="FootnoteReference"/>
          <w:rFonts w:cstheme="majorBidi"/>
          <w:szCs w:val="24"/>
        </w:rPr>
        <w:footnoteRef/>
      </w:r>
      <w:r w:rsidRPr="00063000">
        <w:t xml:space="preserve"> </w:t>
      </w:r>
      <w:r w:rsidRPr="004B0FF9">
        <w:rPr>
          <w:i/>
          <w:iCs/>
          <w:highlight w:val="green"/>
        </w:rPr>
        <w:t>The</w:t>
      </w:r>
      <w:r w:rsidRPr="004B0FF9">
        <w:rPr>
          <w:highlight w:val="green"/>
        </w:rPr>
        <w:t xml:space="preserve"> </w:t>
      </w:r>
      <w:r w:rsidRPr="004B0FF9">
        <w:rPr>
          <w:i/>
          <w:iCs/>
          <w:highlight w:val="green"/>
        </w:rPr>
        <w:t xml:space="preserve">writings of </w:t>
      </w:r>
      <w:proofErr w:type="spellStart"/>
      <w:r w:rsidRPr="004B0FF9">
        <w:rPr>
          <w:i/>
          <w:iCs/>
          <w:highlight w:val="green"/>
        </w:rPr>
        <w:t>Nahmanides</w:t>
      </w:r>
      <w:proofErr w:type="spellEnd"/>
      <w:r w:rsidRPr="00063000">
        <w:t xml:space="preserve">, ed. Charles B. </w:t>
      </w:r>
      <w:proofErr w:type="spellStart"/>
      <w:r w:rsidRPr="00063000">
        <w:t>Chavel</w:t>
      </w:r>
      <w:proofErr w:type="spellEnd"/>
      <w:r w:rsidRPr="00063000">
        <w:t xml:space="preserve"> (Jerusalem: </w:t>
      </w:r>
      <w:proofErr w:type="spellStart"/>
      <w:r w:rsidRPr="00063000">
        <w:t>Mosad</w:t>
      </w:r>
      <w:proofErr w:type="spellEnd"/>
      <w:r w:rsidRPr="00063000">
        <w:t xml:space="preserve"> </w:t>
      </w:r>
      <w:proofErr w:type="spellStart"/>
      <w:r w:rsidRPr="00063000">
        <w:t>Harav</w:t>
      </w:r>
      <w:proofErr w:type="spellEnd"/>
      <w:r w:rsidRPr="00063000">
        <w:t xml:space="preserve"> Kook, 1963), 167</w:t>
      </w:r>
      <w:r>
        <w:t>.</w:t>
      </w:r>
    </w:p>
  </w:footnote>
  <w:footnote w:id="87">
    <w:p w14:paraId="64C51006" w14:textId="295DE009" w:rsidR="00316453" w:rsidRPr="00063000" w:rsidRDefault="00316453" w:rsidP="004C7FD3">
      <w:pPr>
        <w:pStyle w:val="FootnoteText"/>
      </w:pPr>
      <w:r w:rsidRPr="00063000">
        <w:rPr>
          <w:rStyle w:val="FootnoteReference"/>
          <w:rFonts w:cstheme="majorBidi"/>
          <w:szCs w:val="24"/>
        </w:rPr>
        <w:footnoteRef/>
      </w:r>
      <w:r>
        <w:t xml:space="preserve"> </w:t>
      </w:r>
      <w:r w:rsidRPr="00063000">
        <w:t>Nachmanides, Introduction to Genesis.</w:t>
      </w:r>
      <w:r w:rsidR="00DB1244">
        <w:t xml:space="preserve"> </w:t>
      </w:r>
      <w:r w:rsidRPr="00063000">
        <w:t>For a discussion of the homily “</w:t>
      </w:r>
      <w:r>
        <w:rPr>
          <w:rFonts w:hint="cs"/>
          <w:rtl/>
        </w:rPr>
        <w:t>תורת ה' תמימה</w:t>
      </w:r>
      <w:r w:rsidRPr="00063000">
        <w:t xml:space="preserve">” and its composition </w:t>
      </w:r>
      <w:r w:rsidR="00EC4932">
        <w:t>prior to</w:t>
      </w:r>
      <w:r w:rsidRPr="00063000">
        <w:t xml:space="preserve"> Nachmanides commentary on the Pentateuch, see Oded Israeli, </w:t>
      </w:r>
      <w:r>
        <w:rPr>
          <w:highlight w:val="green"/>
        </w:rPr>
        <w:t>“</w:t>
      </w:r>
      <w:r w:rsidRPr="003F08C7">
        <w:rPr>
          <w:highlight w:val="green"/>
        </w:rPr>
        <w:t>From '</w:t>
      </w:r>
      <w:proofErr w:type="spellStart"/>
      <w:r w:rsidRPr="003F08C7">
        <w:rPr>
          <w:highlight w:val="green"/>
        </w:rPr>
        <w:t>Torat</w:t>
      </w:r>
      <w:proofErr w:type="spellEnd"/>
      <w:r w:rsidRPr="003F08C7">
        <w:rPr>
          <w:highlight w:val="green"/>
        </w:rPr>
        <w:t xml:space="preserve"> Ha-Shem </w:t>
      </w:r>
      <w:proofErr w:type="spellStart"/>
      <w:r w:rsidRPr="003F08C7">
        <w:rPr>
          <w:highlight w:val="green"/>
        </w:rPr>
        <w:t>Temimah</w:t>
      </w:r>
      <w:proofErr w:type="spellEnd"/>
      <w:r w:rsidRPr="003F08C7">
        <w:rPr>
          <w:highlight w:val="green"/>
        </w:rPr>
        <w:t xml:space="preserve">' to the Torah Commentary: Milestones in </w:t>
      </w:r>
      <w:proofErr w:type="spellStart"/>
      <w:r w:rsidRPr="003F08C7">
        <w:rPr>
          <w:highlight w:val="green"/>
        </w:rPr>
        <w:t>Nahmanides</w:t>
      </w:r>
      <w:proofErr w:type="spellEnd"/>
      <w:r w:rsidRPr="003F08C7">
        <w:rPr>
          <w:highlight w:val="green"/>
        </w:rPr>
        <w:t>' Creative Life</w:t>
      </w:r>
      <w:r w:rsidRPr="00063000">
        <w:t>,</w:t>
      </w:r>
      <w:r>
        <w:t>”</w:t>
      </w:r>
      <w:r w:rsidRPr="00063000">
        <w:t xml:space="preserve"> </w:t>
      </w:r>
      <w:proofErr w:type="spellStart"/>
      <w:r w:rsidRPr="00063000">
        <w:rPr>
          <w:i/>
          <w:iCs/>
        </w:rPr>
        <w:t>Tarbiz</w:t>
      </w:r>
      <w:proofErr w:type="spellEnd"/>
      <w:r w:rsidRPr="00063000">
        <w:t xml:space="preserve"> 83 (2015)</w:t>
      </w:r>
      <w:r>
        <w:t>:</w:t>
      </w:r>
      <w:r w:rsidRPr="00063000">
        <w:t xml:space="preserve"> 163–</w:t>
      </w:r>
      <w:r>
        <w:t>95.</w:t>
      </w:r>
    </w:p>
  </w:footnote>
  <w:footnote w:id="88">
    <w:p w14:paraId="7704A6CB" w14:textId="71DF969F" w:rsidR="00316453" w:rsidRPr="00063000" w:rsidRDefault="00316453" w:rsidP="004C7FD3">
      <w:pPr>
        <w:pStyle w:val="FootnoteText"/>
      </w:pPr>
      <w:r w:rsidRPr="00063000">
        <w:rPr>
          <w:rStyle w:val="FootnoteReference"/>
          <w:rFonts w:cstheme="majorBidi"/>
          <w:szCs w:val="24"/>
        </w:rPr>
        <w:footnoteRef/>
      </w:r>
      <w:r w:rsidRPr="00063000">
        <w:t>Ta-</w:t>
      </w:r>
      <w:proofErr w:type="spellStart"/>
      <w:r w:rsidRPr="00063000">
        <w:t>Shma</w:t>
      </w:r>
      <w:proofErr w:type="spellEnd"/>
      <w:r w:rsidRPr="00063000">
        <w:t xml:space="preserve">, </w:t>
      </w:r>
      <w:r w:rsidRPr="00063000">
        <w:rPr>
          <w:rtl/>
        </w:rPr>
        <w:t>הנגלה שבנסתר</w:t>
      </w:r>
      <w:r w:rsidRPr="00063000">
        <w:t>,</w:t>
      </w:r>
      <w:r>
        <w:t xml:space="preserve"> 101</w:t>
      </w:r>
      <w:r w:rsidRPr="00063000">
        <w:t>.</w:t>
      </w:r>
      <w:r w:rsidRPr="00063000">
        <w:rPr>
          <w:rtl/>
        </w:rPr>
        <w:t xml:space="preserve"> </w:t>
      </w:r>
    </w:p>
  </w:footnote>
  <w:footnote w:id="89">
    <w:p w14:paraId="087FBA2D" w14:textId="53604440" w:rsidR="00316453" w:rsidRPr="00063000" w:rsidRDefault="00316453" w:rsidP="004C7FD3">
      <w:pPr>
        <w:pStyle w:val="FootnoteText"/>
        <w:rPr>
          <w:rtl/>
        </w:rPr>
      </w:pPr>
      <w:r w:rsidRPr="00063000">
        <w:rPr>
          <w:rStyle w:val="FootnoteReference"/>
          <w:rFonts w:cstheme="majorBidi"/>
          <w:szCs w:val="24"/>
        </w:rPr>
        <w:footnoteRef/>
      </w:r>
      <w:r>
        <w:t>A</w:t>
      </w:r>
      <w:r w:rsidRPr="00063000">
        <w:t>t the end of the twelfth century and throughout the thirteenth</w:t>
      </w:r>
      <w:r>
        <w:t>,</w:t>
      </w:r>
      <w:r w:rsidRPr="00063000">
        <w:t xml:space="preserve"> </w:t>
      </w:r>
      <w:r>
        <w:t>t</w:t>
      </w:r>
      <w:r w:rsidRPr="00063000">
        <w:t xml:space="preserve">his notion was prevalent among Spanish kabbalists such as Rabbi Ezra ben Rabbi Solomon, Rabbi </w:t>
      </w:r>
      <w:proofErr w:type="spellStart"/>
      <w:r w:rsidRPr="00063000">
        <w:t>Azriel</w:t>
      </w:r>
      <w:proofErr w:type="spellEnd"/>
      <w:r w:rsidRPr="00063000">
        <w:t xml:space="preserve">, Rabbi Jacob ben </w:t>
      </w:r>
      <w:proofErr w:type="spellStart"/>
      <w:r w:rsidRPr="00063000">
        <w:t>Sheshet</w:t>
      </w:r>
      <w:proofErr w:type="spellEnd"/>
      <w:r w:rsidRPr="00063000">
        <w:t xml:space="preserve">, Rabbi Menahem </w:t>
      </w:r>
      <w:proofErr w:type="spellStart"/>
      <w:r w:rsidRPr="00063000">
        <w:t>Recanati</w:t>
      </w:r>
      <w:proofErr w:type="spellEnd"/>
      <w:r w:rsidRPr="00063000">
        <w:t xml:space="preserve">, and Rabbi Joseph </w:t>
      </w:r>
      <w:proofErr w:type="spellStart"/>
      <w:r w:rsidRPr="00063000">
        <w:t>Gikatilla</w:t>
      </w:r>
      <w:proofErr w:type="spellEnd"/>
      <w:r w:rsidRPr="00063000">
        <w:t xml:space="preserve">, and it is possible that they drew the idea from earlier sources. The idea is also mentioned in the Zohar in various contexts. On the early sources of the idea and its later development, see </w:t>
      </w:r>
      <w:r w:rsidRPr="00A34175">
        <w:rPr>
          <w:highlight w:val="green"/>
        </w:rPr>
        <w:t xml:space="preserve">Gershom Scholem, </w:t>
      </w:r>
      <w:r w:rsidRPr="00A34175">
        <w:rPr>
          <w:i/>
          <w:iCs/>
          <w:highlight w:val="green"/>
        </w:rPr>
        <w:t>Elements of the Kabbalah and its Symbolism</w:t>
      </w:r>
      <w:r w:rsidRPr="00063000">
        <w:t xml:space="preserve"> (Jerusalem</w:t>
      </w:r>
      <w:r>
        <w:t>:</w:t>
      </w:r>
      <w:r w:rsidRPr="00063000">
        <w:t xml:space="preserve"> Bialik Institute, 1976), 41–47 </w:t>
      </w:r>
      <w:r w:rsidRPr="00A34175">
        <w:rPr>
          <w:highlight w:val="yellow"/>
        </w:rPr>
        <w:t>[</w:t>
      </w:r>
      <w:r w:rsidRPr="00A34175">
        <w:rPr>
          <w:color w:val="FF0000"/>
          <w:highlight w:val="yellow"/>
        </w:rPr>
        <w:t>this book exists in English translation]</w:t>
      </w:r>
      <w:r w:rsidRPr="00A34175">
        <w:rPr>
          <w:color w:val="FF0000"/>
        </w:rPr>
        <w:t xml:space="preserve">; </w:t>
      </w:r>
      <w:r w:rsidRPr="00063000">
        <w:t xml:space="preserve">Moshe </w:t>
      </w:r>
      <w:proofErr w:type="spellStart"/>
      <w:r w:rsidRPr="00063000">
        <w:t>Idel</w:t>
      </w:r>
      <w:proofErr w:type="spellEnd"/>
      <w:r w:rsidRPr="00063000">
        <w:t xml:space="preserve">, </w:t>
      </w:r>
      <w:r>
        <w:t>“</w:t>
      </w:r>
      <w:r w:rsidRPr="00063000">
        <w:rPr>
          <w:rtl/>
        </w:rPr>
        <w:t>תפיסת התורה בספרות ההיכלות וגלגוליה בקבלה</w:t>
      </w:r>
      <w:r>
        <w:t xml:space="preserve">,” </w:t>
      </w:r>
      <w:r w:rsidRPr="00063000">
        <w:rPr>
          <w:i/>
          <w:iCs/>
        </w:rPr>
        <w:t>Jerusalem Studies in Jewish Thought</w:t>
      </w:r>
      <w:r w:rsidRPr="00063000">
        <w:t xml:space="preserve"> 1 (1981)</w:t>
      </w:r>
      <w:r>
        <w:t>:</w:t>
      </w:r>
      <w:r w:rsidRPr="00063000">
        <w:t xml:space="preserve"> 2–28, 49–58 ; </w:t>
      </w:r>
      <w:proofErr w:type="spellStart"/>
      <w:r w:rsidRPr="00063000">
        <w:t>Haviva</w:t>
      </w:r>
      <w:proofErr w:type="spellEnd"/>
      <w:r w:rsidRPr="00063000">
        <w:t xml:space="preserve"> </w:t>
      </w:r>
      <w:proofErr w:type="spellStart"/>
      <w:r w:rsidRPr="00063000">
        <w:t>Pedaya</w:t>
      </w:r>
      <w:proofErr w:type="spellEnd"/>
      <w:r w:rsidRPr="00063000">
        <w:t xml:space="preserve">, </w:t>
      </w:r>
      <w:proofErr w:type="spellStart"/>
      <w:r w:rsidRPr="00F13EF5">
        <w:rPr>
          <w:i/>
          <w:iCs/>
          <w:highlight w:val="green"/>
        </w:rPr>
        <w:t>Nahmanides</w:t>
      </w:r>
      <w:proofErr w:type="spellEnd"/>
      <w:r w:rsidRPr="00F13EF5">
        <w:rPr>
          <w:i/>
          <w:iCs/>
          <w:highlight w:val="green"/>
        </w:rPr>
        <w:t xml:space="preserve"> - Cyclical Time and Holy Text</w:t>
      </w:r>
      <w:r w:rsidRPr="00063000">
        <w:t xml:space="preserve"> (Tel Aviv: Am Oved, 2003), 173–77</w:t>
      </w:r>
      <w:r>
        <w:t>.</w:t>
      </w:r>
    </w:p>
  </w:footnote>
  <w:footnote w:id="90">
    <w:p w14:paraId="271610B7" w14:textId="25943EFA" w:rsidR="00316453" w:rsidRPr="006E46C6" w:rsidRDefault="00316453" w:rsidP="004C7FD3">
      <w:pPr>
        <w:pStyle w:val="FootnoteText"/>
        <w:rPr>
          <w:color w:val="FF0000"/>
          <w:rtl/>
        </w:rPr>
      </w:pPr>
      <w:r w:rsidRPr="00063000">
        <w:rPr>
          <w:rStyle w:val="FootnoteReference"/>
          <w:rFonts w:cstheme="majorBidi"/>
          <w:szCs w:val="24"/>
        </w:rPr>
        <w:footnoteRef/>
      </w:r>
      <w:r w:rsidRPr="00063000">
        <w:t xml:space="preserve"> Moshe ben </w:t>
      </w:r>
      <w:proofErr w:type="spellStart"/>
      <w:r w:rsidRPr="00063000">
        <w:t>Maimon</w:t>
      </w:r>
      <w:proofErr w:type="spellEnd"/>
      <w:r w:rsidRPr="00063000">
        <w:t xml:space="preserve">, </w:t>
      </w:r>
      <w:r w:rsidRPr="00F13EF5">
        <w:rPr>
          <w:i/>
          <w:iCs/>
          <w:highlight w:val="green"/>
        </w:rPr>
        <w:t>Introductions to the Mishnah</w:t>
      </w:r>
      <w:r w:rsidRPr="00063000">
        <w:t xml:space="preserve">, ed. Yitzhak </w:t>
      </w:r>
      <w:proofErr w:type="spellStart"/>
      <w:r w:rsidRPr="00063000">
        <w:t>Shilat</w:t>
      </w:r>
      <w:proofErr w:type="spellEnd"/>
      <w:r w:rsidRPr="00063000">
        <w:t xml:space="preserve"> (Jerusalem: </w:t>
      </w:r>
      <w:proofErr w:type="spellStart"/>
      <w:r w:rsidRPr="00063000">
        <w:t>Mealiot</w:t>
      </w:r>
      <w:proofErr w:type="spellEnd"/>
      <w:r w:rsidRPr="00063000">
        <w:t>, 1996), 144</w:t>
      </w:r>
      <w:r>
        <w:t>.</w:t>
      </w:r>
      <w:r w:rsidR="006E46C6">
        <w:t xml:space="preserve"> </w:t>
      </w:r>
      <w:r w:rsidR="006E46C6" w:rsidRPr="006E46C6">
        <w:rPr>
          <w:highlight w:val="yellow"/>
        </w:rPr>
        <w:t>[</w:t>
      </w:r>
      <w:r w:rsidR="006E46C6" w:rsidRPr="006E46C6">
        <w:rPr>
          <w:color w:val="FF0000"/>
          <w:highlight w:val="yellow"/>
        </w:rPr>
        <w:t>perhaps an English edition should be cited].</w:t>
      </w:r>
    </w:p>
  </w:footnote>
  <w:footnote w:id="91">
    <w:p w14:paraId="148BF115" w14:textId="6EB06697" w:rsidR="00316453" w:rsidRPr="00063000" w:rsidRDefault="00316453" w:rsidP="004C7FD3">
      <w:pPr>
        <w:pStyle w:val="FootnoteText"/>
      </w:pPr>
      <w:r w:rsidRPr="00063000">
        <w:rPr>
          <w:rStyle w:val="FootnoteReference"/>
          <w:rFonts w:cstheme="majorBidi"/>
          <w:szCs w:val="24"/>
        </w:rPr>
        <w:footnoteRef/>
      </w:r>
      <w:r>
        <w:t xml:space="preserve"> </w:t>
      </w:r>
      <w:r w:rsidRPr="00063000">
        <w:t xml:space="preserve">For example: “there is no difference between </w:t>
      </w:r>
      <w:proofErr w:type="spellStart"/>
      <w:r w:rsidRPr="00F13EF5">
        <w:rPr>
          <w:i/>
          <w:iCs/>
        </w:rPr>
        <w:t>Timna</w:t>
      </w:r>
      <w:proofErr w:type="spellEnd"/>
      <w:r w:rsidRPr="00F13EF5">
        <w:rPr>
          <w:i/>
          <w:iCs/>
        </w:rPr>
        <w:t xml:space="preserve"> was the concubine of </w:t>
      </w:r>
      <w:proofErr w:type="spellStart"/>
      <w:r w:rsidRPr="00F13EF5">
        <w:rPr>
          <w:i/>
          <w:iCs/>
        </w:rPr>
        <w:t>Elifaz</w:t>
      </w:r>
      <w:proofErr w:type="spellEnd"/>
      <w:r>
        <w:t xml:space="preserve"> </w:t>
      </w:r>
      <w:r w:rsidRPr="00063000">
        <w:t xml:space="preserve">and </w:t>
      </w:r>
      <w:proofErr w:type="spellStart"/>
      <w:r w:rsidRPr="00F13EF5">
        <w:rPr>
          <w:i/>
          <w:iCs/>
        </w:rPr>
        <w:t>Aluf</w:t>
      </w:r>
      <w:proofErr w:type="spellEnd"/>
      <w:r w:rsidRPr="00F13EF5">
        <w:rPr>
          <w:i/>
          <w:iCs/>
        </w:rPr>
        <w:t xml:space="preserve"> Migdal and </w:t>
      </w:r>
      <w:proofErr w:type="spellStart"/>
      <w:r w:rsidRPr="00F13EF5">
        <w:rPr>
          <w:i/>
          <w:iCs/>
        </w:rPr>
        <w:t>Aluf</w:t>
      </w:r>
      <w:proofErr w:type="spellEnd"/>
      <w:r w:rsidRPr="00F13EF5">
        <w:rPr>
          <w:i/>
          <w:iCs/>
        </w:rPr>
        <w:t xml:space="preserve"> </w:t>
      </w:r>
      <w:proofErr w:type="spellStart"/>
      <w:r w:rsidRPr="00F13EF5">
        <w:rPr>
          <w:i/>
          <w:iCs/>
        </w:rPr>
        <w:t>Iram</w:t>
      </w:r>
      <w:proofErr w:type="spellEnd"/>
      <w:r w:rsidRPr="00063000">
        <w:t xml:space="preserve"> </w:t>
      </w:r>
      <w:r>
        <w:t xml:space="preserve">[on the one hand] </w:t>
      </w:r>
      <w:r w:rsidRPr="00063000">
        <w:t xml:space="preserve">and the </w:t>
      </w:r>
      <w:r>
        <w:t>Ten</w:t>
      </w:r>
      <w:r w:rsidRPr="00063000">
        <w:t xml:space="preserve"> </w:t>
      </w:r>
      <w:r>
        <w:t>C</w:t>
      </w:r>
      <w:r w:rsidRPr="00063000">
        <w:t xml:space="preserve">ommandments and the </w:t>
      </w:r>
      <w:r>
        <w:t xml:space="preserve">Shema </w:t>
      </w:r>
      <w:r w:rsidR="00BF0B19">
        <w:t>[</w:t>
      </w:r>
      <w:r>
        <w:t>on the other</w:t>
      </w:r>
      <w:r w:rsidR="00BF0B19">
        <w:t>]</w:t>
      </w:r>
      <w:r w:rsidRPr="00063000">
        <w:t xml:space="preserve"> etc.</w:t>
      </w:r>
      <w:r w:rsidRPr="00092F3B">
        <w:t xml:space="preserve"> Therefore it was necessary to count letters, and to count the words written with full spelling and those with deficient spelling, and </w:t>
      </w:r>
      <w:r>
        <w:t xml:space="preserve">[words] </w:t>
      </w:r>
      <w:r w:rsidRPr="00092F3B">
        <w:t>read but not written and written but not read, and open passages and closed ones, and large letters and small ones.”</w:t>
      </w:r>
      <w:r w:rsidRPr="00063000">
        <w:t xml:space="preserve"> R. Ezra, </w:t>
      </w:r>
      <w:r>
        <w:t>“</w:t>
      </w:r>
      <w:r>
        <w:rPr>
          <w:rFonts w:hint="cs"/>
          <w:rtl/>
        </w:rPr>
        <w:t>פירוש על שיר השירים</w:t>
      </w:r>
      <w:r>
        <w:t xml:space="preserve">,” in </w:t>
      </w:r>
      <w:r w:rsidRPr="00420971">
        <w:rPr>
          <w:i/>
          <w:iCs/>
          <w:highlight w:val="green"/>
        </w:rPr>
        <w:t xml:space="preserve">writings of </w:t>
      </w:r>
      <w:proofErr w:type="spellStart"/>
      <w:r w:rsidRPr="00420971">
        <w:rPr>
          <w:i/>
          <w:iCs/>
          <w:highlight w:val="green"/>
        </w:rPr>
        <w:t>Nahmanides</w:t>
      </w:r>
      <w:proofErr w:type="spellEnd"/>
      <w:r w:rsidRPr="00063000">
        <w:t xml:space="preserve">, ed. Charles B. </w:t>
      </w:r>
      <w:proofErr w:type="spellStart"/>
      <w:r w:rsidRPr="00063000">
        <w:t>Chavel</w:t>
      </w:r>
      <w:proofErr w:type="spellEnd"/>
      <w:r w:rsidRPr="00063000">
        <w:t xml:space="preserve">, [Jerusalem: </w:t>
      </w:r>
      <w:proofErr w:type="spellStart"/>
      <w:r w:rsidRPr="00063000">
        <w:t>Mosad</w:t>
      </w:r>
      <w:proofErr w:type="spellEnd"/>
      <w:r w:rsidRPr="00063000">
        <w:t xml:space="preserve"> </w:t>
      </w:r>
      <w:proofErr w:type="spellStart"/>
      <w:r w:rsidRPr="00063000">
        <w:t>Harav</w:t>
      </w:r>
      <w:proofErr w:type="spellEnd"/>
      <w:r w:rsidRPr="00063000">
        <w:t xml:space="preserve"> Kook, 1963], 548; </w:t>
      </w:r>
      <w:proofErr w:type="spellStart"/>
      <w:r w:rsidRPr="00063000">
        <w:t>Pedaya</w:t>
      </w:r>
      <w:proofErr w:type="spellEnd"/>
      <w:r w:rsidRPr="00063000">
        <w:t xml:space="preserve">, </w:t>
      </w:r>
      <w:r w:rsidRPr="00472F49">
        <w:rPr>
          <w:rFonts w:hint="cs"/>
          <w:highlight w:val="green"/>
          <w:rtl/>
        </w:rPr>
        <w:t>רמב"ן</w:t>
      </w:r>
      <w:r>
        <w:t>,</w:t>
      </w:r>
      <w:r w:rsidRPr="00063000">
        <w:rPr>
          <w:rtl/>
        </w:rPr>
        <w:t xml:space="preserve"> </w:t>
      </w:r>
      <w:r w:rsidRPr="00063000">
        <w:t>174</w:t>
      </w:r>
      <w:r>
        <w:t>; “and there is no difference between the chiefs of Esau and the Ten Commandments, for all is one matter and one principle,”</w:t>
      </w:r>
      <w:r w:rsidRPr="00063000">
        <w:t xml:space="preserve"> (</w:t>
      </w:r>
      <w:r w:rsidRPr="007675D6">
        <w:rPr>
          <w:i/>
          <w:iCs/>
          <w:highlight w:val="green"/>
        </w:rPr>
        <w:t xml:space="preserve">Commentary on Talmudic </w:t>
      </w:r>
      <w:proofErr w:type="spellStart"/>
      <w:r w:rsidRPr="007675D6">
        <w:rPr>
          <w:i/>
          <w:iCs/>
          <w:highlight w:val="green"/>
        </w:rPr>
        <w:t>Aggadoth</w:t>
      </w:r>
      <w:proofErr w:type="spellEnd"/>
      <w:r w:rsidRPr="007675D6">
        <w:rPr>
          <w:i/>
          <w:iCs/>
          <w:highlight w:val="green"/>
        </w:rPr>
        <w:t xml:space="preserve"> by Rabbi </w:t>
      </w:r>
      <w:proofErr w:type="spellStart"/>
      <w:r w:rsidRPr="007675D6">
        <w:rPr>
          <w:i/>
          <w:iCs/>
          <w:highlight w:val="green"/>
        </w:rPr>
        <w:t>Azriel</w:t>
      </w:r>
      <w:proofErr w:type="spellEnd"/>
      <w:r w:rsidRPr="007675D6">
        <w:rPr>
          <w:i/>
          <w:iCs/>
          <w:highlight w:val="green"/>
        </w:rPr>
        <w:t xml:space="preserve"> of Gerona</w:t>
      </w:r>
      <w:r w:rsidRPr="00063000">
        <w:t xml:space="preserve">, ed. Isaiah </w:t>
      </w:r>
      <w:proofErr w:type="spellStart"/>
      <w:r w:rsidRPr="00063000">
        <w:t>Tishby</w:t>
      </w:r>
      <w:proofErr w:type="spellEnd"/>
      <w:r w:rsidRPr="00063000">
        <w:t xml:space="preserve"> [Jerusalem: </w:t>
      </w:r>
      <w:proofErr w:type="spellStart"/>
      <w:r w:rsidRPr="00063000">
        <w:t>Magnes</w:t>
      </w:r>
      <w:proofErr w:type="spellEnd"/>
      <w:r w:rsidR="00DF3035">
        <w:t xml:space="preserve"> Press</w:t>
      </w:r>
      <w:r w:rsidRPr="00063000">
        <w:t xml:space="preserve">, 1982)] 99–100). A similar dictum appears in the commentary of Rabbi </w:t>
      </w:r>
      <w:proofErr w:type="spellStart"/>
      <w:r w:rsidRPr="00063000">
        <w:t>Bahya</w:t>
      </w:r>
      <w:proofErr w:type="spellEnd"/>
      <w:r w:rsidRPr="00063000">
        <w:t xml:space="preserve"> ben Asher on the Pentateuch (1255</w:t>
      </w:r>
      <w:r>
        <w:t>–</w:t>
      </w:r>
      <w:r w:rsidRPr="00063000">
        <w:t>1340) which was written in 1291. See Gen 36:39.</w:t>
      </w:r>
      <w:r w:rsidR="00DB1244">
        <w:t xml:space="preserve"> </w:t>
      </w:r>
      <w:r w:rsidRPr="00063000">
        <w:t>In this book, the influence of Maimonides is patent, especially in its philosophical sections.</w:t>
      </w:r>
      <w:r w:rsidRPr="00063000">
        <w:rPr>
          <w:rtl/>
        </w:rPr>
        <w:t xml:space="preserve"> </w:t>
      </w:r>
    </w:p>
  </w:footnote>
  <w:footnote w:id="92">
    <w:p w14:paraId="57AC79BC" w14:textId="7C813D8A" w:rsidR="00316453" w:rsidRPr="00063000" w:rsidRDefault="00316453" w:rsidP="004C7FD3">
      <w:pPr>
        <w:pStyle w:val="FootnoteText"/>
        <w:rPr>
          <w:rtl/>
        </w:rPr>
      </w:pPr>
      <w:r w:rsidRPr="00063000">
        <w:rPr>
          <w:rStyle w:val="FootnoteReference"/>
          <w:rFonts w:cstheme="majorBidi"/>
          <w:szCs w:val="24"/>
        </w:rPr>
        <w:footnoteRef/>
      </w:r>
      <w:r>
        <w:t xml:space="preserve"> </w:t>
      </w:r>
      <w:r w:rsidRPr="00063000">
        <w:t xml:space="preserve">The idea appears in thirteenth century exegetical works, for example </w:t>
      </w:r>
      <w:r>
        <w:t xml:space="preserve">in the commentary of </w:t>
      </w:r>
      <w:r w:rsidRPr="00063000">
        <w:t xml:space="preserve">Rabbi </w:t>
      </w:r>
      <w:proofErr w:type="spellStart"/>
      <w:r w:rsidRPr="00063000">
        <w:t>Bahya</w:t>
      </w:r>
      <w:proofErr w:type="spellEnd"/>
      <w:r w:rsidRPr="00063000">
        <w:t xml:space="preserve"> (Gen 36:39) in a passage attributed to Rabbi David ben Judah He-Hasid (See Moshe </w:t>
      </w:r>
      <w:proofErr w:type="spellStart"/>
      <w:r w:rsidRPr="00063000">
        <w:t>Idel</w:t>
      </w:r>
      <w:proofErr w:type="spellEnd"/>
      <w:r w:rsidRPr="00063000">
        <w:t xml:space="preserve">, </w:t>
      </w:r>
      <w:r>
        <w:t>“</w:t>
      </w:r>
      <w:r w:rsidRPr="00395725">
        <w:rPr>
          <w:highlight w:val="green"/>
        </w:rPr>
        <w:t>The Evil Thought of the Deity</w:t>
      </w:r>
      <w:r>
        <w:t>,”</w:t>
      </w:r>
      <w:r w:rsidRPr="00063000">
        <w:t xml:space="preserve"> </w:t>
      </w:r>
      <w:proofErr w:type="spellStart"/>
      <w:r w:rsidRPr="00063000">
        <w:rPr>
          <w:i/>
          <w:iCs/>
        </w:rPr>
        <w:t>Tarbiz</w:t>
      </w:r>
      <w:proofErr w:type="spellEnd"/>
      <w:r w:rsidRPr="00063000">
        <w:t xml:space="preserve"> 49 [1980]</w:t>
      </w:r>
      <w:r>
        <w:t>:</w:t>
      </w:r>
      <w:r w:rsidRPr="00063000">
        <w:t xml:space="preserve"> 364</w:t>
      </w:r>
      <w:r w:rsidR="00754ACE">
        <w:t>)</w:t>
      </w:r>
      <w:r>
        <w:t xml:space="preserve"> </w:t>
      </w:r>
      <w:r w:rsidRPr="00063000">
        <w:t xml:space="preserve">and Rabbi Joseph ben Abraham </w:t>
      </w:r>
      <w:proofErr w:type="spellStart"/>
      <w:r w:rsidRPr="00063000">
        <w:t>Gikatilla</w:t>
      </w:r>
      <w:proofErr w:type="spellEnd"/>
      <w:r w:rsidR="00754ACE">
        <w:t xml:space="preserve"> (</w:t>
      </w:r>
      <w:r w:rsidRPr="00063000">
        <w:t xml:space="preserve">Joseph </w:t>
      </w:r>
      <w:proofErr w:type="spellStart"/>
      <w:r w:rsidRPr="00063000">
        <w:t>Gikatila</w:t>
      </w:r>
      <w:proofErr w:type="spellEnd"/>
      <w:r w:rsidRPr="00063000">
        <w:t xml:space="preserve">, </w:t>
      </w:r>
      <w:r>
        <w:rPr>
          <w:rFonts w:hint="cs"/>
          <w:rtl/>
        </w:rPr>
        <w:t>שערי אורה</w:t>
      </w:r>
      <w:r w:rsidRPr="00063000">
        <w:t xml:space="preserve">, ed. Joseph Ben Shlomo [Jerusalem: Bialik Institute, 1970], </w:t>
      </w:r>
      <w:r>
        <w:rPr>
          <w:rFonts w:hint="cs"/>
          <w:rtl/>
        </w:rPr>
        <w:t>2</w:t>
      </w:r>
      <w:r>
        <w:t>:</w:t>
      </w:r>
      <w:r w:rsidRPr="00063000">
        <w:t>104). It can be assumed that they all relied on an earlier source. Ta-</w:t>
      </w:r>
      <w:proofErr w:type="spellStart"/>
      <w:r w:rsidRPr="00063000">
        <w:t>Shma</w:t>
      </w:r>
      <w:proofErr w:type="spellEnd"/>
      <w:r w:rsidRPr="00063000">
        <w:t xml:space="preserve"> </w:t>
      </w:r>
      <w:r>
        <w:t>quotes</w:t>
      </w:r>
      <w:r w:rsidRPr="00063000">
        <w:t xml:space="preserve"> </w:t>
      </w:r>
      <w:proofErr w:type="spellStart"/>
      <w:r w:rsidRPr="00063000">
        <w:t>Liebes</w:t>
      </w:r>
      <w:proofErr w:type="spellEnd"/>
      <w:r w:rsidRPr="00063000">
        <w:t xml:space="preserve">, who reviewed the </w:t>
      </w:r>
      <w:r w:rsidR="007C20FF">
        <w:t>various passages</w:t>
      </w:r>
      <w:r w:rsidRPr="00063000">
        <w:t xml:space="preserve"> in the Zohar in which the secret of the Kings of Edom </w:t>
      </w:r>
      <w:proofErr w:type="gramStart"/>
      <w:r w:rsidRPr="00063000">
        <w:t>are</w:t>
      </w:r>
      <w:proofErr w:type="gramEnd"/>
      <w:r w:rsidRPr="00063000">
        <w:t xml:space="preserve"> reference</w:t>
      </w:r>
      <w:r>
        <w:t xml:space="preserve">d. </w:t>
      </w:r>
      <w:proofErr w:type="spellStart"/>
      <w:r>
        <w:t>Liebes</w:t>
      </w:r>
      <w:proofErr w:type="spellEnd"/>
      <w:r w:rsidR="00861955">
        <w:t xml:space="preserve"> </w:t>
      </w:r>
      <w:r w:rsidRPr="00063000">
        <w:t>concludes</w:t>
      </w:r>
      <w:r w:rsidR="00861955">
        <w:t xml:space="preserve"> that </w:t>
      </w:r>
      <w:r>
        <w:t>“it seems that the author of the Zohar adapted and integrated an existing midrash into his book, a midrash in which the [theme of] the kings who died and the worlds that were destroyed were already present.”</w:t>
      </w:r>
      <w:r w:rsidRPr="00063000">
        <w:t xml:space="preserve"> </w:t>
      </w:r>
      <w:r>
        <w:t>See</w:t>
      </w:r>
      <w:r w:rsidRPr="00063000">
        <w:t xml:space="preserve"> </w:t>
      </w:r>
      <w:r>
        <w:t>Yehuda</w:t>
      </w:r>
      <w:r w:rsidRPr="00063000">
        <w:t xml:space="preserve"> </w:t>
      </w:r>
      <w:proofErr w:type="spellStart"/>
      <w:r w:rsidRPr="00063000">
        <w:t>Li</w:t>
      </w:r>
      <w:r>
        <w:t>e</w:t>
      </w:r>
      <w:r w:rsidRPr="00063000">
        <w:t>bes</w:t>
      </w:r>
      <w:proofErr w:type="spellEnd"/>
      <w:r w:rsidRPr="00063000">
        <w:t xml:space="preserve">, </w:t>
      </w:r>
      <w:r w:rsidRPr="00180AB0">
        <w:rPr>
          <w:highlight w:val="green"/>
        </w:rPr>
        <w:t>“</w:t>
      </w:r>
      <w:r w:rsidRPr="00180AB0">
        <w:rPr>
          <w:highlight w:val="green"/>
          <w:rtl/>
        </w:rPr>
        <w:t>המשיח של הזוהר - לדמותו המשיחית של ר' שמעון בר יוחאי</w:t>
      </w:r>
      <w:r w:rsidRPr="00180AB0">
        <w:rPr>
          <w:highlight w:val="green"/>
        </w:rPr>
        <w:t>,”</w:t>
      </w:r>
      <w:r w:rsidRPr="00063000">
        <w:t xml:space="preserve"> </w:t>
      </w:r>
      <w:r>
        <w:t xml:space="preserve">in </w:t>
      </w:r>
      <w:r w:rsidRPr="00180AB0">
        <w:rPr>
          <w:i/>
          <w:iCs/>
          <w:highlight w:val="green"/>
        </w:rPr>
        <w:t xml:space="preserve">The Messianic Idea </w:t>
      </w:r>
      <w:proofErr w:type="gramStart"/>
      <w:r w:rsidRPr="00180AB0">
        <w:rPr>
          <w:i/>
          <w:iCs/>
          <w:highlight w:val="green"/>
        </w:rPr>
        <w:t>In</w:t>
      </w:r>
      <w:proofErr w:type="gramEnd"/>
      <w:r w:rsidRPr="00180AB0">
        <w:rPr>
          <w:i/>
          <w:iCs/>
          <w:highlight w:val="green"/>
        </w:rPr>
        <w:t xml:space="preserve"> Jewish Thought - A Study Conference in Honor of the Eightieth Birthday of Gershom Scholem</w:t>
      </w:r>
      <w:r w:rsidRPr="00063000">
        <w:t xml:space="preserve"> (Jerusalem: The Israel Academy of Science and Humanities, 1982), 221</w:t>
      </w:r>
      <w:r>
        <w:t xml:space="preserve">. </w:t>
      </w:r>
      <w:r w:rsidRPr="00F75131">
        <w:rPr>
          <w:color w:val="FF0000"/>
        </w:rPr>
        <w:t>[</w:t>
      </w:r>
      <w:r w:rsidRPr="00F75131">
        <w:rPr>
          <w:rFonts w:hint="cs"/>
          <w:color w:val="FF0000"/>
          <w:highlight w:val="yellow"/>
          <w:rtl/>
        </w:rPr>
        <w:t>אני לא בטוח אבל נראה לי מאמר זה של ליבס תורגם לאנגלית</w:t>
      </w:r>
      <w:r w:rsidRPr="00F75131">
        <w:rPr>
          <w:color w:val="FF0000"/>
        </w:rPr>
        <w:t xml:space="preserve">]. </w:t>
      </w:r>
      <w:proofErr w:type="spellStart"/>
      <w:r w:rsidRPr="00063000">
        <w:t>Avisar</w:t>
      </w:r>
      <w:proofErr w:type="spellEnd"/>
      <w:r w:rsidRPr="00063000">
        <w:t xml:space="preserve"> Har-</w:t>
      </w:r>
      <w:proofErr w:type="spellStart"/>
      <w:r w:rsidRPr="00063000">
        <w:t>Shefi</w:t>
      </w:r>
      <w:proofErr w:type="spellEnd"/>
      <w:r w:rsidRPr="00063000">
        <w:t xml:space="preserve"> has written an extensive monograph on the myth of the death of the Edomite kings. He points to sources that predate the Zohar which reference the myth.</w:t>
      </w:r>
      <w:r w:rsidR="00DB1244">
        <w:t xml:space="preserve"> </w:t>
      </w:r>
      <w:r w:rsidRPr="00063000">
        <w:t xml:space="preserve">See </w:t>
      </w:r>
      <w:proofErr w:type="spellStart"/>
      <w:r w:rsidRPr="00063000">
        <w:t>Avisar</w:t>
      </w:r>
      <w:proofErr w:type="spellEnd"/>
      <w:r w:rsidRPr="00063000">
        <w:t xml:space="preserve"> Har-</w:t>
      </w:r>
      <w:proofErr w:type="spellStart"/>
      <w:r w:rsidRPr="00063000">
        <w:t>Shefi</w:t>
      </w:r>
      <w:proofErr w:type="spellEnd"/>
      <w:r w:rsidRPr="00063000">
        <w:t xml:space="preserve">, </w:t>
      </w:r>
      <w:r w:rsidRPr="00F75131">
        <w:rPr>
          <w:i/>
          <w:iCs/>
          <w:highlight w:val="green"/>
        </w:rPr>
        <w:t xml:space="preserve">The Myth of the Edomite Kings in Zoharic Literature - Creation and Revelation in the </w:t>
      </w:r>
      <w:proofErr w:type="spellStart"/>
      <w:r w:rsidRPr="00F75131">
        <w:rPr>
          <w:i/>
          <w:iCs/>
          <w:highlight w:val="green"/>
        </w:rPr>
        <w:t>Idrot</w:t>
      </w:r>
      <w:proofErr w:type="spellEnd"/>
      <w:r w:rsidRPr="00F75131">
        <w:rPr>
          <w:i/>
          <w:iCs/>
          <w:highlight w:val="green"/>
        </w:rPr>
        <w:t xml:space="preserve"> Texts of the Zohar</w:t>
      </w:r>
      <w:r w:rsidRPr="00F75131">
        <w:rPr>
          <w:highlight w:val="green"/>
        </w:rPr>
        <w:t xml:space="preserve"> (</w:t>
      </w:r>
      <w:r w:rsidRPr="00063000">
        <w:t xml:space="preserve">Los Angeles: Cherub Press, 2014), 225–27. My thanks to Oded </w:t>
      </w:r>
      <w:proofErr w:type="spellStart"/>
      <w:r w:rsidRPr="00063000">
        <w:t>Yisraeli</w:t>
      </w:r>
      <w:proofErr w:type="spellEnd"/>
      <w:r w:rsidRPr="00063000">
        <w:t xml:space="preserve"> and Joseph </w:t>
      </w:r>
      <w:proofErr w:type="spellStart"/>
      <w:r w:rsidRPr="00063000">
        <w:t>Avivi</w:t>
      </w:r>
      <w:proofErr w:type="spellEnd"/>
      <w:r w:rsidRPr="00063000">
        <w:t xml:space="preserve"> who helped me arrive at the sources mentioned in this note.</w:t>
      </w:r>
      <w:r w:rsidRPr="00063000">
        <w:rPr>
          <w:rtl/>
        </w:rPr>
        <w:t xml:space="preserve"> </w:t>
      </w:r>
    </w:p>
  </w:footnote>
  <w:footnote w:id="93">
    <w:p w14:paraId="0EC7099A" w14:textId="3C4F017E" w:rsidR="00316453" w:rsidRPr="00063000" w:rsidRDefault="00316453" w:rsidP="004C7FD3">
      <w:pPr>
        <w:pStyle w:val="FootnoteText"/>
        <w:rPr>
          <w:rtl/>
        </w:rPr>
      </w:pPr>
      <w:r w:rsidRPr="00063000">
        <w:rPr>
          <w:rStyle w:val="FootnoteReference"/>
          <w:rFonts w:cstheme="majorBidi"/>
          <w:szCs w:val="24"/>
        </w:rPr>
        <w:footnoteRef/>
      </w:r>
      <w:r w:rsidRPr="00063000">
        <w:t xml:space="preserve">Schwartz, </w:t>
      </w:r>
      <w:r w:rsidRPr="00284239">
        <w:rPr>
          <w:highlight w:val="green"/>
          <w:rtl/>
        </w:rPr>
        <w:t>שרידים</w:t>
      </w:r>
      <w:r w:rsidRPr="00063000">
        <w:t>,</w:t>
      </w:r>
      <w:r>
        <w:t xml:space="preserve"> 96</w:t>
      </w:r>
      <w:r w:rsidRPr="00063000">
        <w:t>, 99; see also: “</w:t>
      </w:r>
      <w:r w:rsidRPr="00284239">
        <w:t>The rationalistic works are often written in exaggerated, lengthy prose. Stylistically, these works are characterized by numerous repetitions</w:t>
      </w:r>
      <w:r w:rsidR="00D84A35">
        <w:t xml:space="preserve"> and </w:t>
      </w:r>
      <w:r w:rsidRPr="00284239">
        <w:t>tiresome</w:t>
      </w:r>
      <w:r w:rsidR="00D84A35">
        <w:t xml:space="preserve">, </w:t>
      </w:r>
      <w:r w:rsidRPr="00284239">
        <w:t>detailed introduction</w:t>
      </w:r>
      <w:r w:rsidR="00D84A35">
        <w:t>s</w:t>
      </w:r>
      <w:r w:rsidRPr="00284239">
        <w:t xml:space="preserve"> that forcibly exaggerate trivial knowledge</w:t>
      </w:r>
      <w:r>
        <w:t xml:space="preserve">” in </w:t>
      </w:r>
      <w:r w:rsidRPr="00063000">
        <w:t>Schwartz, “</w:t>
      </w:r>
      <w:r w:rsidRPr="00284239">
        <w:rPr>
          <w:highlight w:val="green"/>
          <w:rtl/>
        </w:rPr>
        <w:t>קמיעות</w:t>
      </w:r>
      <w:r w:rsidRPr="00063000">
        <w:t>,”</w:t>
      </w:r>
      <w:r>
        <w:t xml:space="preserve"> 140–</w:t>
      </w:r>
      <w:r w:rsidRPr="00063000">
        <w:t xml:space="preserve">41. </w:t>
      </w:r>
    </w:p>
  </w:footnote>
  <w:footnote w:id="94">
    <w:p w14:paraId="04C8066E" w14:textId="4C431296" w:rsidR="00316453" w:rsidRPr="00063000" w:rsidRDefault="00316453" w:rsidP="004C7FD3">
      <w:pPr>
        <w:pStyle w:val="FootnoteText"/>
        <w:rPr>
          <w:rtl/>
        </w:rPr>
      </w:pPr>
      <w:r w:rsidRPr="00063000">
        <w:rPr>
          <w:rStyle w:val="FootnoteReference"/>
          <w:rFonts w:cstheme="majorBidi"/>
          <w:szCs w:val="24"/>
        </w:rPr>
        <w:footnoteRef/>
      </w:r>
      <w:r w:rsidRPr="00063000">
        <w:t xml:space="preserve">See Jacobs, </w:t>
      </w:r>
      <w:r w:rsidRPr="00063000">
        <w:rPr>
          <w:rtl/>
        </w:rPr>
        <w:t>בכור שורו</w:t>
      </w:r>
      <w:r w:rsidRPr="00063000">
        <w:t>,</w:t>
      </w:r>
      <w:r>
        <w:t xml:space="preserve"> 186–</w:t>
      </w:r>
      <w:r w:rsidRPr="00063000">
        <w:t>193.</w:t>
      </w:r>
    </w:p>
  </w:footnote>
  <w:footnote w:id="95">
    <w:p w14:paraId="08AB6742" w14:textId="0103831C" w:rsidR="00316453" w:rsidRPr="00063000" w:rsidRDefault="00316453" w:rsidP="004C7FD3">
      <w:pPr>
        <w:pStyle w:val="FootnoteText"/>
      </w:pPr>
      <w:r w:rsidRPr="00063000">
        <w:rPr>
          <w:rStyle w:val="FootnoteReference"/>
          <w:rFonts w:cstheme="majorBidi"/>
          <w:szCs w:val="24"/>
        </w:rPr>
        <w:footnoteRef/>
      </w:r>
      <w:r>
        <w:t xml:space="preserve"> </w:t>
      </w:r>
      <w:r w:rsidRPr="00063000">
        <w:t xml:space="preserve">See Jacobs, </w:t>
      </w:r>
      <w:r w:rsidRPr="00063000">
        <w:rPr>
          <w:rtl/>
        </w:rPr>
        <w:t>בכור שורו</w:t>
      </w:r>
      <w:r w:rsidRPr="00063000">
        <w:t>,</w:t>
      </w:r>
      <w:r>
        <w:t xml:space="preserve"> 198–</w:t>
      </w:r>
      <w:r w:rsidRPr="00063000">
        <w:t>210</w:t>
      </w:r>
      <w:r>
        <w:t>.</w:t>
      </w:r>
    </w:p>
  </w:footnote>
  <w:footnote w:id="96">
    <w:p w14:paraId="32A4F26B" w14:textId="281718D0" w:rsidR="00316453" w:rsidRPr="00063000" w:rsidRDefault="00316453" w:rsidP="004C7FD3">
      <w:pPr>
        <w:pStyle w:val="FootnoteText"/>
        <w:rPr>
          <w:rtl/>
        </w:rPr>
      </w:pPr>
      <w:r w:rsidRPr="00063000">
        <w:rPr>
          <w:rStyle w:val="FootnoteReference"/>
          <w:rFonts w:cstheme="majorBidi"/>
          <w:szCs w:val="24"/>
        </w:rPr>
        <w:footnoteRef/>
      </w:r>
      <w:proofErr w:type="spellStart"/>
      <w:r w:rsidRPr="00063000">
        <w:t>Ahrend</w:t>
      </w:r>
      <w:proofErr w:type="spellEnd"/>
      <w:r w:rsidRPr="00063000">
        <w:t xml:space="preserve">, </w:t>
      </w:r>
      <w:r w:rsidRPr="00A971CF">
        <w:rPr>
          <w:highlight w:val="green"/>
          <w:rtl/>
        </w:rPr>
        <w:t>אלף המגן</w:t>
      </w:r>
      <w:r w:rsidRPr="00063000">
        <w:t>,</w:t>
      </w:r>
      <w:r>
        <w:t xml:space="preserve"> 38–</w:t>
      </w:r>
      <w:r w:rsidRPr="00063000">
        <w:t>39.</w:t>
      </w:r>
    </w:p>
  </w:footnote>
  <w:footnote w:id="97">
    <w:p w14:paraId="7CF4C97C" w14:textId="0F144190" w:rsidR="00316453" w:rsidRPr="00063000" w:rsidRDefault="00316453" w:rsidP="004C7FD3">
      <w:pPr>
        <w:pStyle w:val="FootnoteText"/>
        <w:rPr>
          <w:rtl/>
        </w:rPr>
      </w:pPr>
      <w:r w:rsidRPr="00063000">
        <w:rPr>
          <w:rStyle w:val="FootnoteReference"/>
          <w:rFonts w:cstheme="majorBidi"/>
          <w:szCs w:val="24"/>
        </w:rPr>
        <w:footnoteRef/>
      </w:r>
      <w:r w:rsidRPr="00063000">
        <w:t>Ta-</w:t>
      </w:r>
      <w:proofErr w:type="spellStart"/>
      <w:r w:rsidRPr="00063000">
        <w:t>Shma</w:t>
      </w:r>
      <w:proofErr w:type="spellEnd"/>
      <w:r w:rsidRPr="00063000">
        <w:t xml:space="preserve">, </w:t>
      </w:r>
      <w:r w:rsidRPr="00D313CD">
        <w:rPr>
          <w:highlight w:val="green"/>
          <w:rtl/>
        </w:rPr>
        <w:t>איטליה</w:t>
      </w:r>
      <w:r w:rsidRPr="00063000">
        <w:t>, 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686357"/>
      <w:docPartObj>
        <w:docPartGallery w:val="Page Numbers (Top of Page)"/>
        <w:docPartUnique/>
      </w:docPartObj>
    </w:sdtPr>
    <w:sdtEndPr>
      <w:rPr>
        <w:noProof/>
      </w:rPr>
    </w:sdtEndPr>
    <w:sdtContent>
      <w:p w14:paraId="1513A6D1" w14:textId="6EEF78C1" w:rsidR="00316453" w:rsidRDefault="0031645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FBCDBB2" w14:textId="77777777" w:rsidR="00316453" w:rsidRDefault="00316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44ED2"/>
    <w:multiLevelType w:val="hybridMultilevel"/>
    <w:tmpl w:val="C5D4F654"/>
    <w:lvl w:ilvl="0" w:tplc="45C85C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9D2731"/>
    <w:multiLevelType w:val="hybridMultilevel"/>
    <w:tmpl w:val="C0421C04"/>
    <w:lvl w:ilvl="0" w:tplc="1BCA9636">
      <w:start w:val="1"/>
      <w:numFmt w:val="decimal"/>
      <w:lvlText w:val="%1."/>
      <w:lvlJc w:val="left"/>
      <w:pPr>
        <w:ind w:left="360" w:hanging="360"/>
      </w:pPr>
      <w:rPr>
        <w:rFonts w:ascii="Times New Roman" w:eastAsiaTheme="minorHAnsi" w:hAnsi="Times New Roman"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36"/>
    <w:rsid w:val="00002E7A"/>
    <w:rsid w:val="00005427"/>
    <w:rsid w:val="00011704"/>
    <w:rsid w:val="00026F68"/>
    <w:rsid w:val="00050FDD"/>
    <w:rsid w:val="00063000"/>
    <w:rsid w:val="0006729A"/>
    <w:rsid w:val="000725E9"/>
    <w:rsid w:val="00075089"/>
    <w:rsid w:val="000759F3"/>
    <w:rsid w:val="000769B2"/>
    <w:rsid w:val="000769F2"/>
    <w:rsid w:val="00087F0C"/>
    <w:rsid w:val="00091B05"/>
    <w:rsid w:val="00092F3B"/>
    <w:rsid w:val="00093CF1"/>
    <w:rsid w:val="000A004F"/>
    <w:rsid w:val="000A23F9"/>
    <w:rsid w:val="000A3274"/>
    <w:rsid w:val="000A423A"/>
    <w:rsid w:val="000B1C7D"/>
    <w:rsid w:val="000C32A9"/>
    <w:rsid w:val="000D263F"/>
    <w:rsid w:val="000D2AD3"/>
    <w:rsid w:val="000D2EE7"/>
    <w:rsid w:val="000D52EC"/>
    <w:rsid w:val="000D7223"/>
    <w:rsid w:val="000E0EE8"/>
    <w:rsid w:val="000E1382"/>
    <w:rsid w:val="000E36CE"/>
    <w:rsid w:val="000E3A50"/>
    <w:rsid w:val="000F0263"/>
    <w:rsid w:val="000F0CF1"/>
    <w:rsid w:val="000F557D"/>
    <w:rsid w:val="00103D0E"/>
    <w:rsid w:val="00110075"/>
    <w:rsid w:val="00112122"/>
    <w:rsid w:val="00121FA9"/>
    <w:rsid w:val="0012630B"/>
    <w:rsid w:val="0013225A"/>
    <w:rsid w:val="001355DD"/>
    <w:rsid w:val="001356F7"/>
    <w:rsid w:val="00140DF3"/>
    <w:rsid w:val="00142758"/>
    <w:rsid w:val="001428A1"/>
    <w:rsid w:val="00143A6D"/>
    <w:rsid w:val="001479EF"/>
    <w:rsid w:val="00150175"/>
    <w:rsid w:val="00151CD2"/>
    <w:rsid w:val="00152D91"/>
    <w:rsid w:val="00153362"/>
    <w:rsid w:val="001544A5"/>
    <w:rsid w:val="001547F9"/>
    <w:rsid w:val="001549E0"/>
    <w:rsid w:val="00161D2E"/>
    <w:rsid w:val="00164B38"/>
    <w:rsid w:val="00171ACE"/>
    <w:rsid w:val="001767B7"/>
    <w:rsid w:val="00180AB0"/>
    <w:rsid w:val="001811D5"/>
    <w:rsid w:val="001823B1"/>
    <w:rsid w:val="00182EEC"/>
    <w:rsid w:val="00184F1C"/>
    <w:rsid w:val="001903EA"/>
    <w:rsid w:val="001920FC"/>
    <w:rsid w:val="001A4543"/>
    <w:rsid w:val="001B0331"/>
    <w:rsid w:val="001B7174"/>
    <w:rsid w:val="001C1724"/>
    <w:rsid w:val="001C3324"/>
    <w:rsid w:val="001C6026"/>
    <w:rsid w:val="001D6418"/>
    <w:rsid w:val="001E01E2"/>
    <w:rsid w:val="001E2976"/>
    <w:rsid w:val="001E579B"/>
    <w:rsid w:val="001F36E4"/>
    <w:rsid w:val="001F6488"/>
    <w:rsid w:val="00200F90"/>
    <w:rsid w:val="00223F45"/>
    <w:rsid w:val="002267DE"/>
    <w:rsid w:val="002340B6"/>
    <w:rsid w:val="00242E52"/>
    <w:rsid w:val="00244301"/>
    <w:rsid w:val="00247697"/>
    <w:rsid w:val="002527CE"/>
    <w:rsid w:val="00260F17"/>
    <w:rsid w:val="00262FBF"/>
    <w:rsid w:val="0026326C"/>
    <w:rsid w:val="0026484D"/>
    <w:rsid w:val="00274028"/>
    <w:rsid w:val="00277AE4"/>
    <w:rsid w:val="00284239"/>
    <w:rsid w:val="002856E0"/>
    <w:rsid w:val="00290F01"/>
    <w:rsid w:val="002925BF"/>
    <w:rsid w:val="00294627"/>
    <w:rsid w:val="002A2D26"/>
    <w:rsid w:val="002B7BD7"/>
    <w:rsid w:val="002B7DA6"/>
    <w:rsid w:val="002C0284"/>
    <w:rsid w:val="002C18C2"/>
    <w:rsid w:val="002D1DEB"/>
    <w:rsid w:val="002F013C"/>
    <w:rsid w:val="002F1EF7"/>
    <w:rsid w:val="002F4094"/>
    <w:rsid w:val="00306A2D"/>
    <w:rsid w:val="0031224B"/>
    <w:rsid w:val="00316453"/>
    <w:rsid w:val="00341A75"/>
    <w:rsid w:val="00347EF8"/>
    <w:rsid w:val="00370D3E"/>
    <w:rsid w:val="003732C3"/>
    <w:rsid w:val="00375E05"/>
    <w:rsid w:val="003763EA"/>
    <w:rsid w:val="00383A98"/>
    <w:rsid w:val="0038559F"/>
    <w:rsid w:val="00393999"/>
    <w:rsid w:val="00395725"/>
    <w:rsid w:val="00396CE1"/>
    <w:rsid w:val="003B0917"/>
    <w:rsid w:val="003B6FBD"/>
    <w:rsid w:val="003B7D7D"/>
    <w:rsid w:val="003C0291"/>
    <w:rsid w:val="003C2029"/>
    <w:rsid w:val="003C5F55"/>
    <w:rsid w:val="003C6AB6"/>
    <w:rsid w:val="003C6E75"/>
    <w:rsid w:val="003D1159"/>
    <w:rsid w:val="003D1878"/>
    <w:rsid w:val="003D52A5"/>
    <w:rsid w:val="003E4519"/>
    <w:rsid w:val="003E62E8"/>
    <w:rsid w:val="003F08C7"/>
    <w:rsid w:val="003F6977"/>
    <w:rsid w:val="004010AD"/>
    <w:rsid w:val="0041197B"/>
    <w:rsid w:val="00415395"/>
    <w:rsid w:val="00420971"/>
    <w:rsid w:val="004213E7"/>
    <w:rsid w:val="004243AF"/>
    <w:rsid w:val="00427A36"/>
    <w:rsid w:val="00440F5E"/>
    <w:rsid w:val="00447BF7"/>
    <w:rsid w:val="00455FB3"/>
    <w:rsid w:val="0046443A"/>
    <w:rsid w:val="00472F49"/>
    <w:rsid w:val="00480C03"/>
    <w:rsid w:val="00483737"/>
    <w:rsid w:val="004841E8"/>
    <w:rsid w:val="0048464F"/>
    <w:rsid w:val="00484EC1"/>
    <w:rsid w:val="004912B8"/>
    <w:rsid w:val="00492920"/>
    <w:rsid w:val="00495A8F"/>
    <w:rsid w:val="004963D0"/>
    <w:rsid w:val="004A09A6"/>
    <w:rsid w:val="004B0FF9"/>
    <w:rsid w:val="004B145D"/>
    <w:rsid w:val="004B1EAD"/>
    <w:rsid w:val="004B25CE"/>
    <w:rsid w:val="004B31BF"/>
    <w:rsid w:val="004B36FD"/>
    <w:rsid w:val="004B4528"/>
    <w:rsid w:val="004B5D97"/>
    <w:rsid w:val="004B6A71"/>
    <w:rsid w:val="004C6EAF"/>
    <w:rsid w:val="004C7FD3"/>
    <w:rsid w:val="004E2E30"/>
    <w:rsid w:val="004E5011"/>
    <w:rsid w:val="004E5E99"/>
    <w:rsid w:val="004F1617"/>
    <w:rsid w:val="004F21D3"/>
    <w:rsid w:val="00503695"/>
    <w:rsid w:val="005042C5"/>
    <w:rsid w:val="005112D7"/>
    <w:rsid w:val="0051318F"/>
    <w:rsid w:val="0053365D"/>
    <w:rsid w:val="00536A56"/>
    <w:rsid w:val="00537705"/>
    <w:rsid w:val="00557FE6"/>
    <w:rsid w:val="00562D20"/>
    <w:rsid w:val="00565F84"/>
    <w:rsid w:val="00572082"/>
    <w:rsid w:val="00574D17"/>
    <w:rsid w:val="005774D0"/>
    <w:rsid w:val="00581BC5"/>
    <w:rsid w:val="00582C78"/>
    <w:rsid w:val="00584C22"/>
    <w:rsid w:val="00585DB2"/>
    <w:rsid w:val="00586964"/>
    <w:rsid w:val="00590968"/>
    <w:rsid w:val="00591F10"/>
    <w:rsid w:val="005965A0"/>
    <w:rsid w:val="005A27BB"/>
    <w:rsid w:val="005A4841"/>
    <w:rsid w:val="005A595A"/>
    <w:rsid w:val="005A7B3B"/>
    <w:rsid w:val="005B2BD6"/>
    <w:rsid w:val="005C6991"/>
    <w:rsid w:val="005D3199"/>
    <w:rsid w:val="005D36F0"/>
    <w:rsid w:val="005D4BAF"/>
    <w:rsid w:val="005E4CBF"/>
    <w:rsid w:val="005E617F"/>
    <w:rsid w:val="005F56F4"/>
    <w:rsid w:val="005F6DD2"/>
    <w:rsid w:val="006025E3"/>
    <w:rsid w:val="0060444E"/>
    <w:rsid w:val="00612FEC"/>
    <w:rsid w:val="00613F10"/>
    <w:rsid w:val="00614381"/>
    <w:rsid w:val="00614749"/>
    <w:rsid w:val="00616113"/>
    <w:rsid w:val="00621624"/>
    <w:rsid w:val="00623066"/>
    <w:rsid w:val="00626B40"/>
    <w:rsid w:val="00627FA4"/>
    <w:rsid w:val="00630F4F"/>
    <w:rsid w:val="00631815"/>
    <w:rsid w:val="00632213"/>
    <w:rsid w:val="00634D58"/>
    <w:rsid w:val="0063561B"/>
    <w:rsid w:val="00635A30"/>
    <w:rsid w:val="00637BD1"/>
    <w:rsid w:val="00651FFB"/>
    <w:rsid w:val="00652026"/>
    <w:rsid w:val="006530A3"/>
    <w:rsid w:val="00653722"/>
    <w:rsid w:val="00657CBB"/>
    <w:rsid w:val="0066419E"/>
    <w:rsid w:val="00664763"/>
    <w:rsid w:val="006655E9"/>
    <w:rsid w:val="0066658F"/>
    <w:rsid w:val="00666A2D"/>
    <w:rsid w:val="0066764F"/>
    <w:rsid w:val="006709AE"/>
    <w:rsid w:val="00671F40"/>
    <w:rsid w:val="00675612"/>
    <w:rsid w:val="00681301"/>
    <w:rsid w:val="006949B4"/>
    <w:rsid w:val="006A2B29"/>
    <w:rsid w:val="006A6EA4"/>
    <w:rsid w:val="006A7A58"/>
    <w:rsid w:val="006B2225"/>
    <w:rsid w:val="006B42AC"/>
    <w:rsid w:val="006D1303"/>
    <w:rsid w:val="006D19D2"/>
    <w:rsid w:val="006D30F2"/>
    <w:rsid w:val="006E0513"/>
    <w:rsid w:val="006E46C6"/>
    <w:rsid w:val="006E63F7"/>
    <w:rsid w:val="006F06DC"/>
    <w:rsid w:val="006F4484"/>
    <w:rsid w:val="006F571A"/>
    <w:rsid w:val="006F5998"/>
    <w:rsid w:val="00700B2E"/>
    <w:rsid w:val="00702207"/>
    <w:rsid w:val="00703D4C"/>
    <w:rsid w:val="007045A7"/>
    <w:rsid w:val="00706D13"/>
    <w:rsid w:val="00711A9F"/>
    <w:rsid w:val="00716ADA"/>
    <w:rsid w:val="00723EC1"/>
    <w:rsid w:val="00724B9B"/>
    <w:rsid w:val="00726CF8"/>
    <w:rsid w:val="00730799"/>
    <w:rsid w:val="0073752C"/>
    <w:rsid w:val="00741BB8"/>
    <w:rsid w:val="007436C6"/>
    <w:rsid w:val="0074489D"/>
    <w:rsid w:val="00754ACE"/>
    <w:rsid w:val="00757E99"/>
    <w:rsid w:val="00762C0A"/>
    <w:rsid w:val="007643B3"/>
    <w:rsid w:val="007675D6"/>
    <w:rsid w:val="007716E5"/>
    <w:rsid w:val="0077455D"/>
    <w:rsid w:val="00782D7E"/>
    <w:rsid w:val="007839A7"/>
    <w:rsid w:val="00790373"/>
    <w:rsid w:val="00793C92"/>
    <w:rsid w:val="007949E8"/>
    <w:rsid w:val="007A17DE"/>
    <w:rsid w:val="007A4A81"/>
    <w:rsid w:val="007A571E"/>
    <w:rsid w:val="007A6493"/>
    <w:rsid w:val="007B07A8"/>
    <w:rsid w:val="007C20FF"/>
    <w:rsid w:val="007D310D"/>
    <w:rsid w:val="007F3156"/>
    <w:rsid w:val="007F3F44"/>
    <w:rsid w:val="00800C21"/>
    <w:rsid w:val="00803294"/>
    <w:rsid w:val="008038CA"/>
    <w:rsid w:val="00803A30"/>
    <w:rsid w:val="008124DE"/>
    <w:rsid w:val="00812BDE"/>
    <w:rsid w:val="00817C65"/>
    <w:rsid w:val="00820675"/>
    <w:rsid w:val="00825194"/>
    <w:rsid w:val="008266F0"/>
    <w:rsid w:val="008360F8"/>
    <w:rsid w:val="00837C3A"/>
    <w:rsid w:val="00845E15"/>
    <w:rsid w:val="00846795"/>
    <w:rsid w:val="00847D94"/>
    <w:rsid w:val="0085498B"/>
    <w:rsid w:val="008575DB"/>
    <w:rsid w:val="008609FA"/>
    <w:rsid w:val="00861955"/>
    <w:rsid w:val="008637DB"/>
    <w:rsid w:val="008713B8"/>
    <w:rsid w:val="00875876"/>
    <w:rsid w:val="00882B9E"/>
    <w:rsid w:val="0088735C"/>
    <w:rsid w:val="008873C4"/>
    <w:rsid w:val="00890EFF"/>
    <w:rsid w:val="0089464C"/>
    <w:rsid w:val="008A3A7F"/>
    <w:rsid w:val="008B01B6"/>
    <w:rsid w:val="008C6170"/>
    <w:rsid w:val="008C63ED"/>
    <w:rsid w:val="008D7D99"/>
    <w:rsid w:val="008F0497"/>
    <w:rsid w:val="008F780C"/>
    <w:rsid w:val="008F7E21"/>
    <w:rsid w:val="00904429"/>
    <w:rsid w:val="00911EE2"/>
    <w:rsid w:val="009122F2"/>
    <w:rsid w:val="00921D53"/>
    <w:rsid w:val="009245CB"/>
    <w:rsid w:val="0094761D"/>
    <w:rsid w:val="00953778"/>
    <w:rsid w:val="0095509B"/>
    <w:rsid w:val="00963C04"/>
    <w:rsid w:val="0096510A"/>
    <w:rsid w:val="009710F9"/>
    <w:rsid w:val="00980842"/>
    <w:rsid w:val="00984903"/>
    <w:rsid w:val="00985157"/>
    <w:rsid w:val="009920F9"/>
    <w:rsid w:val="00995807"/>
    <w:rsid w:val="00996823"/>
    <w:rsid w:val="009A2CD3"/>
    <w:rsid w:val="009A34E1"/>
    <w:rsid w:val="009A3D4D"/>
    <w:rsid w:val="009B6509"/>
    <w:rsid w:val="009C5EA4"/>
    <w:rsid w:val="009D02C3"/>
    <w:rsid w:val="009D40CE"/>
    <w:rsid w:val="009E259B"/>
    <w:rsid w:val="009E3276"/>
    <w:rsid w:val="009E6ADC"/>
    <w:rsid w:val="00A209BA"/>
    <w:rsid w:val="00A234E1"/>
    <w:rsid w:val="00A23943"/>
    <w:rsid w:val="00A323E9"/>
    <w:rsid w:val="00A34175"/>
    <w:rsid w:val="00A3522C"/>
    <w:rsid w:val="00A432E5"/>
    <w:rsid w:val="00A437F6"/>
    <w:rsid w:val="00A4714C"/>
    <w:rsid w:val="00A5098A"/>
    <w:rsid w:val="00A52909"/>
    <w:rsid w:val="00A72179"/>
    <w:rsid w:val="00A73992"/>
    <w:rsid w:val="00A74399"/>
    <w:rsid w:val="00A75EA5"/>
    <w:rsid w:val="00A77414"/>
    <w:rsid w:val="00A81D16"/>
    <w:rsid w:val="00A81E1C"/>
    <w:rsid w:val="00A83AD2"/>
    <w:rsid w:val="00A971CF"/>
    <w:rsid w:val="00AA1624"/>
    <w:rsid w:val="00AB2636"/>
    <w:rsid w:val="00AB3999"/>
    <w:rsid w:val="00AB5182"/>
    <w:rsid w:val="00AC22AE"/>
    <w:rsid w:val="00AC42BA"/>
    <w:rsid w:val="00AC6741"/>
    <w:rsid w:val="00AD7719"/>
    <w:rsid w:val="00AE2A9E"/>
    <w:rsid w:val="00AF305E"/>
    <w:rsid w:val="00AF44F8"/>
    <w:rsid w:val="00AF4E08"/>
    <w:rsid w:val="00AF690E"/>
    <w:rsid w:val="00B0175C"/>
    <w:rsid w:val="00B034AC"/>
    <w:rsid w:val="00B04F42"/>
    <w:rsid w:val="00B05C88"/>
    <w:rsid w:val="00B13A6A"/>
    <w:rsid w:val="00B13F06"/>
    <w:rsid w:val="00B17E42"/>
    <w:rsid w:val="00B224AF"/>
    <w:rsid w:val="00B26E65"/>
    <w:rsid w:val="00B27FDE"/>
    <w:rsid w:val="00B32088"/>
    <w:rsid w:val="00B51087"/>
    <w:rsid w:val="00B546D7"/>
    <w:rsid w:val="00B54876"/>
    <w:rsid w:val="00B55493"/>
    <w:rsid w:val="00B61E99"/>
    <w:rsid w:val="00B63556"/>
    <w:rsid w:val="00B72CFF"/>
    <w:rsid w:val="00B753A0"/>
    <w:rsid w:val="00B81F46"/>
    <w:rsid w:val="00B82B50"/>
    <w:rsid w:val="00BA3319"/>
    <w:rsid w:val="00BA5DCD"/>
    <w:rsid w:val="00BB0D4E"/>
    <w:rsid w:val="00BB4AA7"/>
    <w:rsid w:val="00BB6B8F"/>
    <w:rsid w:val="00BB704E"/>
    <w:rsid w:val="00BC3596"/>
    <w:rsid w:val="00BC5930"/>
    <w:rsid w:val="00BC624D"/>
    <w:rsid w:val="00BC6DE6"/>
    <w:rsid w:val="00BD0D07"/>
    <w:rsid w:val="00BD2454"/>
    <w:rsid w:val="00BD5FED"/>
    <w:rsid w:val="00BE17F6"/>
    <w:rsid w:val="00BE349D"/>
    <w:rsid w:val="00BE3A3E"/>
    <w:rsid w:val="00BE79DB"/>
    <w:rsid w:val="00BF0B19"/>
    <w:rsid w:val="00BF6431"/>
    <w:rsid w:val="00BF7042"/>
    <w:rsid w:val="00C001AC"/>
    <w:rsid w:val="00C0245E"/>
    <w:rsid w:val="00C05911"/>
    <w:rsid w:val="00C07251"/>
    <w:rsid w:val="00C137F1"/>
    <w:rsid w:val="00C20BF5"/>
    <w:rsid w:val="00C319E0"/>
    <w:rsid w:val="00C3559D"/>
    <w:rsid w:val="00C369E5"/>
    <w:rsid w:val="00C408D4"/>
    <w:rsid w:val="00C425A2"/>
    <w:rsid w:val="00C44391"/>
    <w:rsid w:val="00C50AD0"/>
    <w:rsid w:val="00C6042A"/>
    <w:rsid w:val="00C609D7"/>
    <w:rsid w:val="00C66A88"/>
    <w:rsid w:val="00C7544C"/>
    <w:rsid w:val="00C817F1"/>
    <w:rsid w:val="00C85DC5"/>
    <w:rsid w:val="00C90D0A"/>
    <w:rsid w:val="00C97C7A"/>
    <w:rsid w:val="00CA3C9E"/>
    <w:rsid w:val="00CB1067"/>
    <w:rsid w:val="00CB2EDB"/>
    <w:rsid w:val="00CB4FB6"/>
    <w:rsid w:val="00CC0137"/>
    <w:rsid w:val="00CD453E"/>
    <w:rsid w:val="00CD5FA9"/>
    <w:rsid w:val="00CE5615"/>
    <w:rsid w:val="00CF069D"/>
    <w:rsid w:val="00CF1342"/>
    <w:rsid w:val="00CF3FC9"/>
    <w:rsid w:val="00CF4892"/>
    <w:rsid w:val="00CF7B5A"/>
    <w:rsid w:val="00D00CA1"/>
    <w:rsid w:val="00D03688"/>
    <w:rsid w:val="00D05F68"/>
    <w:rsid w:val="00D1144E"/>
    <w:rsid w:val="00D261CA"/>
    <w:rsid w:val="00D313CD"/>
    <w:rsid w:val="00D32C30"/>
    <w:rsid w:val="00D33960"/>
    <w:rsid w:val="00D353F8"/>
    <w:rsid w:val="00D46B2B"/>
    <w:rsid w:val="00D52AD9"/>
    <w:rsid w:val="00D536F0"/>
    <w:rsid w:val="00D54309"/>
    <w:rsid w:val="00D57FD1"/>
    <w:rsid w:val="00D7343B"/>
    <w:rsid w:val="00D7404E"/>
    <w:rsid w:val="00D80ABA"/>
    <w:rsid w:val="00D8194A"/>
    <w:rsid w:val="00D8337E"/>
    <w:rsid w:val="00D84A35"/>
    <w:rsid w:val="00D8597A"/>
    <w:rsid w:val="00D85C15"/>
    <w:rsid w:val="00D87187"/>
    <w:rsid w:val="00D92F4B"/>
    <w:rsid w:val="00D94C83"/>
    <w:rsid w:val="00D95310"/>
    <w:rsid w:val="00DA781A"/>
    <w:rsid w:val="00DB1244"/>
    <w:rsid w:val="00DB3D11"/>
    <w:rsid w:val="00DB4665"/>
    <w:rsid w:val="00DC0097"/>
    <w:rsid w:val="00DC1A8D"/>
    <w:rsid w:val="00DC36E4"/>
    <w:rsid w:val="00DE2CEC"/>
    <w:rsid w:val="00DF3035"/>
    <w:rsid w:val="00DF366A"/>
    <w:rsid w:val="00DF405B"/>
    <w:rsid w:val="00DF4BB5"/>
    <w:rsid w:val="00DF7E11"/>
    <w:rsid w:val="00E05981"/>
    <w:rsid w:val="00E063D6"/>
    <w:rsid w:val="00E11B8B"/>
    <w:rsid w:val="00E12BB7"/>
    <w:rsid w:val="00E144EB"/>
    <w:rsid w:val="00E3159E"/>
    <w:rsid w:val="00E36BD3"/>
    <w:rsid w:val="00E43BA9"/>
    <w:rsid w:val="00E47572"/>
    <w:rsid w:val="00E51F92"/>
    <w:rsid w:val="00E5320B"/>
    <w:rsid w:val="00E558B4"/>
    <w:rsid w:val="00E568AF"/>
    <w:rsid w:val="00E610DF"/>
    <w:rsid w:val="00E6464B"/>
    <w:rsid w:val="00E6584A"/>
    <w:rsid w:val="00E66CAB"/>
    <w:rsid w:val="00E71E24"/>
    <w:rsid w:val="00E74A00"/>
    <w:rsid w:val="00E80E54"/>
    <w:rsid w:val="00E91682"/>
    <w:rsid w:val="00E919FE"/>
    <w:rsid w:val="00E93FC4"/>
    <w:rsid w:val="00E94CEB"/>
    <w:rsid w:val="00EA6965"/>
    <w:rsid w:val="00EA7445"/>
    <w:rsid w:val="00EB2FC3"/>
    <w:rsid w:val="00EB573F"/>
    <w:rsid w:val="00EB6C63"/>
    <w:rsid w:val="00EC4932"/>
    <w:rsid w:val="00ED4E5D"/>
    <w:rsid w:val="00EE33B8"/>
    <w:rsid w:val="00EE6007"/>
    <w:rsid w:val="00EE6D54"/>
    <w:rsid w:val="00EF24B4"/>
    <w:rsid w:val="00EF3D5F"/>
    <w:rsid w:val="00EF64C3"/>
    <w:rsid w:val="00F02471"/>
    <w:rsid w:val="00F04C8F"/>
    <w:rsid w:val="00F06529"/>
    <w:rsid w:val="00F12838"/>
    <w:rsid w:val="00F13EF5"/>
    <w:rsid w:val="00F15F89"/>
    <w:rsid w:val="00F24C05"/>
    <w:rsid w:val="00F25950"/>
    <w:rsid w:val="00F26D76"/>
    <w:rsid w:val="00F3138A"/>
    <w:rsid w:val="00F34850"/>
    <w:rsid w:val="00F43144"/>
    <w:rsid w:val="00F46742"/>
    <w:rsid w:val="00F51B8A"/>
    <w:rsid w:val="00F51D2D"/>
    <w:rsid w:val="00F52E86"/>
    <w:rsid w:val="00F53353"/>
    <w:rsid w:val="00F555E0"/>
    <w:rsid w:val="00F57402"/>
    <w:rsid w:val="00F602E3"/>
    <w:rsid w:val="00F608EA"/>
    <w:rsid w:val="00F6129F"/>
    <w:rsid w:val="00F61446"/>
    <w:rsid w:val="00F63934"/>
    <w:rsid w:val="00F72300"/>
    <w:rsid w:val="00F732DB"/>
    <w:rsid w:val="00F74596"/>
    <w:rsid w:val="00F75131"/>
    <w:rsid w:val="00F82C6F"/>
    <w:rsid w:val="00F82FDB"/>
    <w:rsid w:val="00F94DD4"/>
    <w:rsid w:val="00F95659"/>
    <w:rsid w:val="00F957B9"/>
    <w:rsid w:val="00F96BD8"/>
    <w:rsid w:val="00FA06AA"/>
    <w:rsid w:val="00FA4BD9"/>
    <w:rsid w:val="00FA745E"/>
    <w:rsid w:val="00FC319F"/>
    <w:rsid w:val="00FD20EE"/>
    <w:rsid w:val="00FD2B1B"/>
    <w:rsid w:val="00FD2BBA"/>
    <w:rsid w:val="00FE5E91"/>
    <w:rsid w:val="00FF3C13"/>
    <w:rsid w:val="00FF56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0263"/>
  <w15:chartTrackingRefBased/>
  <w15:docId w15:val="{2EF4CFC7-136B-4BF9-A842-6D4E20DB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000"/>
    <w:pPr>
      <w:spacing w:after="0" w:line="480" w:lineRule="auto"/>
    </w:pPr>
    <w:rPr>
      <w:rFonts w:asciiTheme="majorBidi" w:hAnsiTheme="majorBidi" w:cstheme="majorBidi"/>
      <w:sz w:val="24"/>
      <w:szCs w:val="24"/>
    </w:rPr>
  </w:style>
  <w:style w:type="paragraph" w:styleId="Heading1">
    <w:name w:val="heading 1"/>
    <w:basedOn w:val="Normal"/>
    <w:next w:val="Normal"/>
    <w:link w:val="Heading1Char"/>
    <w:autoRedefine/>
    <w:uiPriority w:val="9"/>
    <w:qFormat/>
    <w:rsid w:val="00063000"/>
    <w:pPr>
      <w:keepNext/>
      <w:keepLines/>
      <w:outlineLvl w:val="0"/>
    </w:pPr>
    <w:rPr>
      <w:rFonts w:eastAsiaTheme="majorEastAsia"/>
    </w:rPr>
  </w:style>
  <w:style w:type="paragraph" w:styleId="Heading2">
    <w:name w:val="heading 2"/>
    <w:basedOn w:val="Normal"/>
    <w:next w:val="Normal"/>
    <w:link w:val="Heading2Char"/>
    <w:qFormat/>
    <w:rsid w:val="00B72CFF"/>
    <w:pPr>
      <w:keepNext/>
      <w:outlineLvl w:val="1"/>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000"/>
    <w:rPr>
      <w:rFonts w:asciiTheme="majorBidi" w:eastAsiaTheme="majorEastAsia" w:hAnsiTheme="majorBidi" w:cstheme="majorBidi"/>
      <w:sz w:val="24"/>
      <w:szCs w:val="24"/>
    </w:rPr>
  </w:style>
  <w:style w:type="character" w:customStyle="1" w:styleId="Heading2Char">
    <w:name w:val="Heading 2 Char"/>
    <w:basedOn w:val="DefaultParagraphFont"/>
    <w:link w:val="Heading2"/>
    <w:rsid w:val="00B72CFF"/>
    <w:rPr>
      <w:rFonts w:ascii="Times New Roman" w:hAnsi="Times New Roman" w:cs="David"/>
      <w:bCs/>
      <w:sz w:val="24"/>
      <w:szCs w:val="24"/>
    </w:rPr>
  </w:style>
  <w:style w:type="paragraph" w:styleId="FootnoteText">
    <w:name w:val="footnote text"/>
    <w:aliases w:val="ע"/>
    <w:basedOn w:val="Normal"/>
    <w:link w:val="FootnoteTextChar"/>
    <w:autoRedefine/>
    <w:uiPriority w:val="99"/>
    <w:unhideWhenUsed/>
    <w:rsid w:val="004C7FD3"/>
    <w:pPr>
      <w:tabs>
        <w:tab w:val="left" w:pos="2430"/>
      </w:tabs>
    </w:pPr>
  </w:style>
  <w:style w:type="character" w:customStyle="1" w:styleId="FootnoteTextChar">
    <w:name w:val="Footnote Text Char"/>
    <w:aliases w:val="ע Char"/>
    <w:basedOn w:val="DefaultParagraphFont"/>
    <w:link w:val="FootnoteText"/>
    <w:uiPriority w:val="99"/>
    <w:rsid w:val="004C7FD3"/>
    <w:rPr>
      <w:rFonts w:asciiTheme="majorBidi" w:hAnsiTheme="majorBidi" w:cstheme="majorBidi"/>
      <w:sz w:val="24"/>
      <w:szCs w:val="24"/>
    </w:rPr>
  </w:style>
  <w:style w:type="character" w:styleId="FootnoteReference">
    <w:name w:val="footnote reference"/>
    <w:uiPriority w:val="99"/>
    <w:rsid w:val="00B72CFF"/>
    <w:rPr>
      <w:rFonts w:cs="David"/>
      <w:szCs w:val="22"/>
      <w:vertAlign w:val="superscript"/>
    </w:rPr>
  </w:style>
  <w:style w:type="paragraph" w:styleId="ListParagraph">
    <w:name w:val="List Paragraph"/>
    <w:basedOn w:val="Normal"/>
    <w:uiPriority w:val="34"/>
    <w:qFormat/>
    <w:rsid w:val="00B72CFF"/>
    <w:pPr>
      <w:ind w:left="720"/>
      <w:contextualSpacing/>
    </w:pPr>
  </w:style>
  <w:style w:type="character" w:styleId="Hyperlink">
    <w:name w:val="Hyperlink"/>
    <w:basedOn w:val="DefaultParagraphFont"/>
    <w:uiPriority w:val="99"/>
    <w:unhideWhenUsed/>
    <w:rsid w:val="00B72CFF"/>
    <w:rPr>
      <w:color w:val="0563C1" w:themeColor="hyperlink"/>
      <w:u w:val="single"/>
    </w:rPr>
  </w:style>
  <w:style w:type="paragraph" w:styleId="Footer">
    <w:name w:val="footer"/>
    <w:basedOn w:val="Normal"/>
    <w:link w:val="FooterChar"/>
    <w:uiPriority w:val="99"/>
    <w:unhideWhenUsed/>
    <w:rsid w:val="00B72CFF"/>
    <w:pPr>
      <w:tabs>
        <w:tab w:val="center" w:pos="4153"/>
        <w:tab w:val="right" w:pos="8306"/>
      </w:tabs>
      <w:spacing w:line="240" w:lineRule="auto"/>
    </w:pPr>
  </w:style>
  <w:style w:type="character" w:customStyle="1" w:styleId="FooterChar">
    <w:name w:val="Footer Char"/>
    <w:basedOn w:val="DefaultParagraphFont"/>
    <w:link w:val="Footer"/>
    <w:uiPriority w:val="99"/>
    <w:rsid w:val="00B72CFF"/>
    <w:rPr>
      <w:rFonts w:ascii="Times New Roman" w:hAnsi="Times New Roman" w:cs="David"/>
      <w:sz w:val="24"/>
      <w:szCs w:val="24"/>
    </w:rPr>
  </w:style>
  <w:style w:type="character" w:styleId="CommentReference">
    <w:name w:val="annotation reference"/>
    <w:basedOn w:val="DefaultParagraphFont"/>
    <w:uiPriority w:val="99"/>
    <w:semiHidden/>
    <w:unhideWhenUsed/>
    <w:rsid w:val="00B72CFF"/>
    <w:rPr>
      <w:sz w:val="16"/>
      <w:szCs w:val="16"/>
    </w:rPr>
  </w:style>
  <w:style w:type="paragraph" w:styleId="CommentText">
    <w:name w:val="annotation text"/>
    <w:basedOn w:val="Normal"/>
    <w:link w:val="CommentTextChar"/>
    <w:uiPriority w:val="99"/>
    <w:unhideWhenUsed/>
    <w:rsid w:val="00B72CFF"/>
    <w:pPr>
      <w:spacing w:line="240" w:lineRule="auto"/>
    </w:pPr>
    <w:rPr>
      <w:sz w:val="20"/>
      <w:szCs w:val="20"/>
    </w:rPr>
  </w:style>
  <w:style w:type="character" w:customStyle="1" w:styleId="CommentTextChar">
    <w:name w:val="Comment Text Char"/>
    <w:basedOn w:val="DefaultParagraphFont"/>
    <w:link w:val="CommentText"/>
    <w:uiPriority w:val="99"/>
    <w:rsid w:val="00B72CFF"/>
    <w:rPr>
      <w:rFonts w:ascii="Times New Roman" w:hAnsi="Times New Roman" w:cs="David"/>
      <w:sz w:val="20"/>
      <w:szCs w:val="20"/>
    </w:rPr>
  </w:style>
  <w:style w:type="paragraph" w:styleId="BalloonText">
    <w:name w:val="Balloon Text"/>
    <w:basedOn w:val="Normal"/>
    <w:link w:val="BalloonTextChar"/>
    <w:uiPriority w:val="99"/>
    <w:semiHidden/>
    <w:unhideWhenUsed/>
    <w:rsid w:val="00B72C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CF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31815"/>
    <w:rPr>
      <w:b/>
      <w:bCs/>
    </w:rPr>
  </w:style>
  <w:style w:type="character" w:customStyle="1" w:styleId="CommentSubjectChar">
    <w:name w:val="Comment Subject Char"/>
    <w:basedOn w:val="CommentTextChar"/>
    <w:link w:val="CommentSubject"/>
    <w:uiPriority w:val="99"/>
    <w:semiHidden/>
    <w:rsid w:val="00631815"/>
    <w:rPr>
      <w:rFonts w:ascii="Times New Roman" w:hAnsi="Times New Roman" w:cs="David"/>
      <w:b/>
      <w:bCs/>
      <w:sz w:val="20"/>
      <w:szCs w:val="20"/>
    </w:rPr>
  </w:style>
  <w:style w:type="paragraph" w:styleId="Header">
    <w:name w:val="header"/>
    <w:basedOn w:val="Normal"/>
    <w:link w:val="HeaderChar"/>
    <w:uiPriority w:val="99"/>
    <w:unhideWhenUsed/>
    <w:rsid w:val="00B13F06"/>
    <w:pPr>
      <w:tabs>
        <w:tab w:val="center" w:pos="4680"/>
        <w:tab w:val="right" w:pos="9360"/>
      </w:tabs>
      <w:spacing w:line="240" w:lineRule="auto"/>
    </w:pPr>
  </w:style>
  <w:style w:type="character" w:customStyle="1" w:styleId="HeaderChar">
    <w:name w:val="Header Char"/>
    <w:basedOn w:val="DefaultParagraphFont"/>
    <w:link w:val="Header"/>
    <w:uiPriority w:val="99"/>
    <w:rsid w:val="00B13F06"/>
    <w:rPr>
      <w:rFonts w:ascii="Times New Roman" w:hAnsi="Times New Roman" w:cs="David"/>
      <w:sz w:val="24"/>
      <w:szCs w:val="24"/>
    </w:rPr>
  </w:style>
  <w:style w:type="character" w:styleId="UnresolvedMention">
    <w:name w:val="Unresolved Mention"/>
    <w:basedOn w:val="DefaultParagraphFont"/>
    <w:uiPriority w:val="99"/>
    <w:semiHidden/>
    <w:unhideWhenUsed/>
    <w:rsid w:val="0065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worldcat.org/title/studies-on-astral-magic-in-medieval-jewish-thought/oclc/469333840&amp;referer=brief_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70419-2843-45C2-8940-DD7766D6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42</Pages>
  <Words>5645</Words>
  <Characters>32180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Avi Kallenbach</cp:lastModifiedBy>
  <cp:revision>886</cp:revision>
  <dcterms:created xsi:type="dcterms:W3CDTF">2019-08-22T14:21:00Z</dcterms:created>
  <dcterms:modified xsi:type="dcterms:W3CDTF">2019-08-30T20:48:00Z</dcterms:modified>
</cp:coreProperties>
</file>