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336"/>
        <w:tblOverlap w:val="never"/>
        <w:tblW w:w="0" w:type="auto"/>
        <w:tblLayout w:type="fixed"/>
        <w:tblCellMar>
          <w:left w:w="28" w:type="dxa"/>
          <w:right w:w="28" w:type="dxa"/>
        </w:tblCellMar>
        <w:tblLook w:val="0000" w:firstRow="0" w:lastRow="0" w:firstColumn="0" w:lastColumn="0" w:noHBand="0" w:noVBand="0"/>
      </w:tblPr>
      <w:tblGrid>
        <w:gridCol w:w="928"/>
        <w:gridCol w:w="1952"/>
      </w:tblGrid>
      <w:tr w:rsidR="004A571A" w:rsidRPr="001D36D0" w14:paraId="1F2142EB" w14:textId="77777777" w:rsidTr="00971963">
        <w:trPr>
          <w:trHeight w:val="360"/>
        </w:trPr>
        <w:tc>
          <w:tcPr>
            <w:tcW w:w="928" w:type="dxa"/>
            <w:tcBorders>
              <w:top w:val="nil"/>
              <w:left w:val="nil"/>
              <w:bottom w:val="nil"/>
              <w:right w:val="nil"/>
            </w:tcBorders>
          </w:tcPr>
          <w:p w14:paraId="476B8F74" w14:textId="77777777" w:rsidR="004A571A" w:rsidRPr="001D36D0" w:rsidRDefault="005513D5" w:rsidP="00470D4E">
            <w:pPr>
              <w:pStyle w:val="Header"/>
              <w:spacing w:before="40"/>
              <w:jc w:val="left"/>
              <w:rPr>
                <w:rFonts w:cs="Narkisim"/>
                <w:b/>
                <w:bCs/>
                <w:sz w:val="16"/>
                <w:szCs w:val="16"/>
                <w:lang w:val="en-US" w:eastAsia="en-US"/>
              </w:rPr>
            </w:pPr>
            <w:r w:rsidRPr="001D36D0">
              <w:rPr>
                <w:rFonts w:cs="Narkisim"/>
                <w:b/>
                <w:bCs/>
                <w:sz w:val="16"/>
                <w:szCs w:val="16"/>
                <w:lang w:val="en-US" w:eastAsia="en-US"/>
              </w:rPr>
              <w:t xml:space="preserve">   DATE:</w:t>
            </w:r>
          </w:p>
        </w:tc>
        <w:tc>
          <w:tcPr>
            <w:tcW w:w="1952" w:type="dxa"/>
            <w:tcBorders>
              <w:top w:val="nil"/>
              <w:left w:val="nil"/>
              <w:bottom w:val="nil"/>
              <w:right w:val="nil"/>
            </w:tcBorders>
          </w:tcPr>
          <w:p w14:paraId="046B301C" w14:textId="77777777" w:rsidR="004A571A" w:rsidRPr="001D36D0" w:rsidRDefault="009D0179" w:rsidP="005513D5">
            <w:pPr>
              <w:pStyle w:val="Header"/>
              <w:bidi w:val="0"/>
              <w:jc w:val="center"/>
              <w:rPr>
                <w:sz w:val="18"/>
                <w:szCs w:val="18"/>
                <w:rtl/>
                <w:lang w:val="en-US" w:eastAsia="en-US"/>
              </w:rPr>
            </w:pPr>
            <w:r w:rsidRPr="001D36D0">
              <w:rPr>
                <w:szCs w:val="24"/>
                <w:rtl/>
                <w:lang w:val="en-US" w:eastAsia="en-US"/>
              </w:rPr>
              <w:fldChar w:fldCharType="begin"/>
            </w:r>
            <w:r w:rsidR="004A571A" w:rsidRPr="001D36D0">
              <w:rPr>
                <w:szCs w:val="24"/>
                <w:lang w:val="en-US" w:eastAsia="en-US"/>
              </w:rPr>
              <w:instrText xml:space="preserve"> CREATEDATE  \@ "MMMM d, yyyy"  \* MERGEFORMAT </w:instrText>
            </w:r>
            <w:r w:rsidRPr="001D36D0">
              <w:rPr>
                <w:szCs w:val="24"/>
                <w:rtl/>
                <w:lang w:val="en-US" w:eastAsia="en-US"/>
              </w:rPr>
              <w:fldChar w:fldCharType="separate"/>
            </w:r>
            <w:r w:rsidR="000B0B89" w:rsidRPr="001D36D0">
              <w:rPr>
                <w:noProof/>
                <w:szCs w:val="24"/>
                <w:lang w:val="en-US" w:eastAsia="en-US"/>
              </w:rPr>
              <w:t>March</w:t>
            </w:r>
            <w:r w:rsidR="000B0B89" w:rsidRPr="001D36D0">
              <w:rPr>
                <w:noProof/>
                <w:sz w:val="22"/>
                <w:szCs w:val="22"/>
                <w:lang w:val="en-US" w:eastAsia="en-US"/>
              </w:rPr>
              <w:t xml:space="preserve"> 8, 2017</w:t>
            </w:r>
            <w:r w:rsidRPr="001D36D0">
              <w:rPr>
                <w:sz w:val="22"/>
                <w:szCs w:val="22"/>
                <w:rtl/>
                <w:lang w:val="en-US" w:eastAsia="en-US"/>
              </w:rPr>
              <w:fldChar w:fldCharType="end"/>
            </w:r>
          </w:p>
        </w:tc>
      </w:tr>
      <w:tr w:rsidR="004A571A" w:rsidRPr="001D36D0" w14:paraId="24094527" w14:textId="77777777" w:rsidTr="00971963">
        <w:tc>
          <w:tcPr>
            <w:tcW w:w="928" w:type="dxa"/>
            <w:tcBorders>
              <w:top w:val="nil"/>
              <w:left w:val="nil"/>
              <w:bottom w:val="nil"/>
              <w:right w:val="nil"/>
            </w:tcBorders>
          </w:tcPr>
          <w:p w14:paraId="5A10F34F" w14:textId="77777777" w:rsidR="004A571A" w:rsidRPr="001D36D0" w:rsidRDefault="004A571A" w:rsidP="005513D5">
            <w:pPr>
              <w:pStyle w:val="Header"/>
              <w:bidi w:val="0"/>
              <w:spacing w:before="40"/>
              <w:jc w:val="right"/>
              <w:rPr>
                <w:rFonts w:cs="Narkisim"/>
                <w:b/>
                <w:bCs/>
                <w:sz w:val="16"/>
                <w:szCs w:val="16"/>
                <w:rtl/>
                <w:lang w:val="en-US" w:eastAsia="en-US"/>
              </w:rPr>
            </w:pPr>
            <w:r w:rsidRPr="001D36D0">
              <w:rPr>
                <w:rFonts w:cs="Narkisim"/>
                <w:b/>
                <w:bCs/>
                <w:sz w:val="16"/>
                <w:szCs w:val="16"/>
                <w:lang w:val="en-US" w:eastAsia="en-US"/>
              </w:rPr>
              <w:t xml:space="preserve">OUR </w:t>
            </w:r>
            <w:smartTag w:uri="urn:schemas-microsoft-com:office:smarttags" w:element="stockticker">
              <w:r w:rsidRPr="001D36D0">
                <w:rPr>
                  <w:rFonts w:cs="Narkisim"/>
                  <w:b/>
                  <w:bCs/>
                  <w:sz w:val="16"/>
                  <w:szCs w:val="16"/>
                  <w:lang w:val="en-US" w:eastAsia="en-US"/>
                </w:rPr>
                <w:t>REF</w:t>
              </w:r>
            </w:smartTag>
            <w:r w:rsidRPr="001D36D0">
              <w:rPr>
                <w:rFonts w:cs="Narkisim"/>
                <w:b/>
                <w:bCs/>
                <w:sz w:val="16"/>
                <w:szCs w:val="16"/>
                <w:lang w:val="en-US" w:eastAsia="en-US"/>
              </w:rPr>
              <w:t>:</w:t>
            </w:r>
          </w:p>
        </w:tc>
        <w:tc>
          <w:tcPr>
            <w:tcW w:w="1952" w:type="dxa"/>
            <w:tcBorders>
              <w:top w:val="nil"/>
              <w:left w:val="nil"/>
              <w:bottom w:val="nil"/>
              <w:right w:val="nil"/>
            </w:tcBorders>
          </w:tcPr>
          <w:p w14:paraId="5752F18B" w14:textId="77777777" w:rsidR="004A571A" w:rsidRPr="001D36D0" w:rsidRDefault="00924BD0" w:rsidP="005513D5">
            <w:pPr>
              <w:pStyle w:val="Header"/>
              <w:bidi w:val="0"/>
              <w:jc w:val="center"/>
              <w:rPr>
                <w:rFonts w:cs="Narkisim"/>
                <w:szCs w:val="22"/>
                <w:rtl/>
                <w:lang w:val="en-US" w:eastAsia="en-US"/>
              </w:rPr>
            </w:pPr>
            <w:r w:rsidRPr="001D36D0">
              <w:rPr>
                <w:rFonts w:cs="Narkisim"/>
                <w:szCs w:val="22"/>
                <w:lang w:val="en-US" w:eastAsia="en-US"/>
              </w:rPr>
              <w:t>2/1692</w:t>
            </w:r>
          </w:p>
        </w:tc>
      </w:tr>
      <w:tr w:rsidR="004A571A" w:rsidRPr="001D36D0" w14:paraId="60A59ED7" w14:textId="77777777" w:rsidTr="00971963">
        <w:tc>
          <w:tcPr>
            <w:tcW w:w="928" w:type="dxa"/>
            <w:tcBorders>
              <w:top w:val="nil"/>
              <w:left w:val="nil"/>
              <w:bottom w:val="nil"/>
              <w:right w:val="nil"/>
            </w:tcBorders>
          </w:tcPr>
          <w:p w14:paraId="12AEB2FA" w14:textId="77777777" w:rsidR="004A571A" w:rsidRPr="001D36D0" w:rsidRDefault="004A571A" w:rsidP="005513D5">
            <w:pPr>
              <w:pStyle w:val="Header"/>
              <w:bidi w:val="0"/>
              <w:spacing w:before="40"/>
              <w:jc w:val="right"/>
              <w:rPr>
                <w:rFonts w:cs="Narkisim"/>
                <w:b/>
                <w:bCs/>
                <w:sz w:val="16"/>
                <w:szCs w:val="16"/>
                <w:lang w:val="en-US" w:eastAsia="en-US"/>
              </w:rPr>
            </w:pPr>
          </w:p>
        </w:tc>
        <w:tc>
          <w:tcPr>
            <w:tcW w:w="1952" w:type="dxa"/>
            <w:tcBorders>
              <w:top w:val="nil"/>
              <w:left w:val="nil"/>
              <w:bottom w:val="nil"/>
              <w:right w:val="nil"/>
            </w:tcBorders>
          </w:tcPr>
          <w:p w14:paraId="5314D113" w14:textId="77777777" w:rsidR="004A571A" w:rsidRPr="001D36D0" w:rsidRDefault="004A571A" w:rsidP="005513D5">
            <w:pPr>
              <w:pStyle w:val="Header"/>
              <w:bidi w:val="0"/>
              <w:jc w:val="center"/>
              <w:rPr>
                <w:rFonts w:cs="Narkisim"/>
                <w:szCs w:val="22"/>
                <w:rtl/>
                <w:lang w:val="en-US" w:eastAsia="en-US"/>
              </w:rPr>
            </w:pPr>
          </w:p>
        </w:tc>
      </w:tr>
    </w:tbl>
    <w:p w14:paraId="4CCB8F3F" w14:textId="77777777" w:rsidR="004A571A" w:rsidRPr="001D36D0" w:rsidRDefault="004A571A" w:rsidP="005513D5">
      <w:pPr>
        <w:bidi w:val="0"/>
        <w:jc w:val="left"/>
        <w:rPr>
          <w:rFonts w:cs="Times New Roman"/>
        </w:rPr>
      </w:pPr>
    </w:p>
    <w:p w14:paraId="3843485E" w14:textId="77777777" w:rsidR="004A571A" w:rsidRPr="001D36D0" w:rsidRDefault="004A571A" w:rsidP="005513D5">
      <w:pPr>
        <w:bidi w:val="0"/>
        <w:rPr>
          <w:szCs w:val="24"/>
          <w:rtl/>
        </w:rPr>
      </w:pPr>
    </w:p>
    <w:p w14:paraId="083C07E2" w14:textId="77777777" w:rsidR="004A571A" w:rsidRPr="001D36D0" w:rsidRDefault="004A571A" w:rsidP="005513D5">
      <w:pPr>
        <w:bidi w:val="0"/>
      </w:pPr>
    </w:p>
    <w:p w14:paraId="02071264" w14:textId="77777777" w:rsidR="00A862E6" w:rsidRPr="001D36D0" w:rsidRDefault="005513D5" w:rsidP="00904E2B">
      <w:pPr>
        <w:bidi w:val="0"/>
        <w:spacing w:line="360" w:lineRule="auto"/>
        <w:jc w:val="left"/>
      </w:pPr>
      <w:r w:rsidRPr="001D36D0">
        <w:t>To:</w:t>
      </w:r>
      <w:r w:rsidRPr="001D36D0">
        <w:br/>
      </w:r>
      <w:r w:rsidR="00924BD0" w:rsidRPr="001D36D0">
        <w:t>Claims Department</w:t>
      </w:r>
      <w:r w:rsidR="00924BD0" w:rsidRPr="001D36D0">
        <w:tab/>
      </w:r>
      <w:r w:rsidR="00924BD0" w:rsidRPr="001D36D0">
        <w:tab/>
      </w:r>
      <w:r w:rsidR="00924BD0" w:rsidRPr="001D36D0">
        <w:tab/>
        <w:t xml:space="preserve">Claim </w:t>
      </w:r>
      <w:r w:rsidR="00904E2B" w:rsidRPr="001D36D0">
        <w:t>Reference</w:t>
      </w:r>
      <w:r w:rsidR="00924BD0" w:rsidRPr="001D36D0">
        <w:t>: 110563000003</w:t>
      </w:r>
    </w:p>
    <w:p w14:paraId="64593D06" w14:textId="77777777" w:rsidR="005513D5" w:rsidRPr="001D36D0" w:rsidRDefault="00924BD0" w:rsidP="00924BD0">
      <w:pPr>
        <w:bidi w:val="0"/>
        <w:spacing w:line="360" w:lineRule="auto"/>
      </w:pPr>
      <w:r w:rsidRPr="001D36D0">
        <w:t>Harel Insurance Company Ltd.</w:t>
      </w:r>
      <w:r w:rsidRPr="001D36D0">
        <w:tab/>
        <w:t>Policy Number: 2056002197/09</w:t>
      </w:r>
    </w:p>
    <w:p w14:paraId="4E86FFF3" w14:textId="77777777" w:rsidR="00924BD0" w:rsidRPr="001D36D0" w:rsidRDefault="00924BD0" w:rsidP="00924BD0">
      <w:pPr>
        <w:bidi w:val="0"/>
        <w:spacing w:line="360" w:lineRule="auto"/>
      </w:pPr>
      <w:r w:rsidRPr="001D36D0">
        <w:t>3 Abba Hillel St., (Harel House)</w:t>
      </w:r>
      <w:r w:rsidRPr="001D36D0">
        <w:tab/>
        <w:t>Name of Insured: Gindi Holdings Ltd.</w:t>
      </w:r>
    </w:p>
    <w:p w14:paraId="2C15E5EB" w14:textId="77777777" w:rsidR="00924BD0" w:rsidRPr="001D36D0" w:rsidRDefault="00924BD0" w:rsidP="00924BD0">
      <w:pPr>
        <w:bidi w:val="0"/>
        <w:spacing w:line="360" w:lineRule="auto"/>
        <w:rPr>
          <w:rtl/>
        </w:rPr>
      </w:pPr>
      <w:r w:rsidRPr="001D36D0">
        <w:t>P.O. Box 1954</w:t>
      </w:r>
      <w:r w:rsidRPr="001D36D0">
        <w:tab/>
      </w:r>
      <w:r w:rsidRPr="001D36D0">
        <w:tab/>
      </w:r>
      <w:r w:rsidRPr="001D36D0">
        <w:tab/>
        <w:t>Name of Presiding Judge:</w:t>
      </w:r>
    </w:p>
    <w:p w14:paraId="5F223DA3" w14:textId="77777777" w:rsidR="00924BD0" w:rsidRPr="001D36D0" w:rsidRDefault="00924BD0" w:rsidP="00924BD0">
      <w:pPr>
        <w:bidi w:val="0"/>
        <w:spacing w:line="360" w:lineRule="auto"/>
      </w:pPr>
      <w:r w:rsidRPr="001D36D0">
        <w:rPr>
          <w:u w:val="single"/>
        </w:rPr>
        <w:t>Ramat Gan 52118</w:t>
      </w:r>
      <w:r w:rsidRPr="001D36D0">
        <w:tab/>
      </w:r>
      <w:r w:rsidRPr="001D36D0">
        <w:tab/>
      </w:r>
      <w:r w:rsidRPr="001D36D0">
        <w:tab/>
        <w:t>The Honorable Judge Hedva Weinbaum-</w:t>
      </w:r>
      <w:r w:rsidRPr="001D36D0">
        <w:tab/>
      </w:r>
      <w:r w:rsidRPr="001D36D0">
        <w:tab/>
      </w:r>
      <w:r w:rsidRPr="001D36D0">
        <w:tab/>
      </w:r>
      <w:r w:rsidRPr="001D36D0">
        <w:tab/>
      </w:r>
      <w:r w:rsidRPr="001D36D0">
        <w:tab/>
        <w:t>Wolecki</w:t>
      </w:r>
    </w:p>
    <w:p w14:paraId="3FA38B2E" w14:textId="77777777" w:rsidR="00924BD0" w:rsidRPr="001D36D0" w:rsidRDefault="00924BD0" w:rsidP="00924BD0">
      <w:pPr>
        <w:bidi w:val="0"/>
        <w:spacing w:line="360" w:lineRule="auto"/>
        <w:rPr>
          <w:u w:val="single"/>
        </w:rPr>
      </w:pPr>
      <w:r w:rsidRPr="001D36D0">
        <w:tab/>
      </w:r>
      <w:r w:rsidRPr="001D36D0">
        <w:tab/>
      </w:r>
      <w:r w:rsidRPr="001D36D0">
        <w:tab/>
      </w:r>
      <w:r w:rsidRPr="001D36D0">
        <w:tab/>
      </w:r>
      <w:r w:rsidRPr="001D36D0">
        <w:tab/>
      </w:r>
      <w:r w:rsidRPr="001D36D0">
        <w:rPr>
          <w:u w:val="single"/>
        </w:rPr>
        <w:t>For the attention of: Adv. Naama Gav</w:t>
      </w:r>
    </w:p>
    <w:p w14:paraId="001F2BF2" w14:textId="77777777" w:rsidR="008815EF" w:rsidRPr="001D36D0" w:rsidRDefault="002B0E95" w:rsidP="00E9048B">
      <w:pPr>
        <w:bidi w:val="0"/>
        <w:spacing w:line="360" w:lineRule="auto"/>
        <w:jc w:val="left"/>
      </w:pPr>
      <w:commentRangeStart w:id="0"/>
      <w:r w:rsidRPr="001D36D0">
        <w:t>Dear Adv. Gav</w:t>
      </w:r>
      <w:commentRangeEnd w:id="0"/>
      <w:r w:rsidR="00B33753">
        <w:rPr>
          <w:rStyle w:val="CommentReference"/>
        </w:rPr>
        <w:commentReference w:id="0"/>
      </w:r>
      <w:r w:rsidRPr="001D36D0">
        <w:t>,</w:t>
      </w:r>
    </w:p>
    <w:p w14:paraId="46E59A49" w14:textId="77777777" w:rsidR="008815EF" w:rsidRPr="001D36D0" w:rsidRDefault="002B0E95" w:rsidP="00E9048B">
      <w:pPr>
        <w:tabs>
          <w:tab w:val="left" w:pos="3402"/>
        </w:tabs>
        <w:bidi w:val="0"/>
        <w:spacing w:line="360" w:lineRule="auto"/>
        <w:ind w:firstLine="720"/>
        <w:jc w:val="left"/>
        <w:rPr>
          <w:b/>
          <w:bCs/>
        </w:rPr>
      </w:pPr>
      <w:r w:rsidRPr="001D36D0">
        <w:t>Re:</w:t>
      </w:r>
      <w:r w:rsidRPr="001D36D0">
        <w:tab/>
      </w:r>
      <w:r w:rsidR="008815EF" w:rsidRPr="001D36D0">
        <w:rPr>
          <w:b/>
          <w:bCs/>
        </w:rPr>
        <w:t>Civil File 56230-05-13 (Before the Tel Aviv District Court)</w:t>
      </w:r>
    </w:p>
    <w:p w14:paraId="715CC546" w14:textId="77777777" w:rsidR="008815EF" w:rsidRPr="001D36D0" w:rsidRDefault="002B0E95" w:rsidP="00E9048B">
      <w:pPr>
        <w:bidi w:val="0"/>
        <w:spacing w:after="120" w:line="360" w:lineRule="auto"/>
        <w:ind w:firstLine="720"/>
        <w:jc w:val="left"/>
        <w:rPr>
          <w:b/>
          <w:bCs/>
          <w:u w:val="single"/>
        </w:rPr>
      </w:pPr>
      <w:r w:rsidRPr="001D36D0">
        <w:rPr>
          <w:b/>
          <w:bCs/>
        </w:rPr>
        <w:tab/>
      </w:r>
      <w:r w:rsidR="008815EF" w:rsidRPr="001D36D0">
        <w:rPr>
          <w:b/>
          <w:bCs/>
          <w:u w:val="single"/>
        </w:rPr>
        <w:t>Danya Cebus Ltd. v Harel Insurance Company Ltd</w:t>
      </w:r>
      <w:r w:rsidR="00E9048B">
        <w:rPr>
          <w:b/>
          <w:bCs/>
          <w:u w:val="single"/>
        </w:rPr>
        <w:t>.</w:t>
      </w:r>
    </w:p>
    <w:p w14:paraId="0F090618" w14:textId="77777777" w:rsidR="008815EF" w:rsidRPr="001D36D0" w:rsidRDefault="008815EF" w:rsidP="006B2D11">
      <w:pPr>
        <w:bidi w:val="0"/>
        <w:spacing w:after="120" w:line="360" w:lineRule="auto"/>
        <w:jc w:val="left"/>
      </w:pPr>
      <w:r w:rsidRPr="001D36D0">
        <w:t>Further to ou</w:t>
      </w:r>
      <w:r w:rsidR="006B2D11">
        <w:t>r report dated December 2, 2016 and further</w:t>
      </w:r>
      <w:r w:rsidR="00BD4383" w:rsidRPr="001D36D0">
        <w:t xml:space="preserve"> </w:t>
      </w:r>
      <w:r w:rsidR="002B0E95" w:rsidRPr="001D36D0">
        <w:t>to</w:t>
      </w:r>
      <w:r w:rsidRPr="001D36D0">
        <w:t xml:space="preserve"> our </w:t>
      </w:r>
      <w:r w:rsidR="002B0E95" w:rsidRPr="001D36D0">
        <w:t>conduct</w:t>
      </w:r>
      <w:r w:rsidRPr="001D36D0">
        <w:t xml:space="preserve"> of</w:t>
      </w:r>
      <w:r w:rsidR="002B0E95" w:rsidRPr="001D36D0">
        <w:t xml:space="preserve"> the above claim on your behalf</w:t>
      </w:r>
      <w:r w:rsidR="00BD4383" w:rsidRPr="001D36D0">
        <w:t>,</w:t>
      </w:r>
      <w:r w:rsidRPr="001D36D0">
        <w:t xml:space="preserve"> and to the mediation proceedings that </w:t>
      </w:r>
      <w:r w:rsidR="002B0E95" w:rsidRPr="001D36D0">
        <w:t>have</w:t>
      </w:r>
      <w:r w:rsidRPr="001D36D0">
        <w:t xml:space="preserve"> take</w:t>
      </w:r>
      <w:r w:rsidR="002B0E95" w:rsidRPr="001D36D0">
        <w:t>n</w:t>
      </w:r>
      <w:r w:rsidRPr="001D36D0">
        <w:t xml:space="preserve"> place between the parties before Adv. Ram Horwitz, we are writing to report </w:t>
      </w:r>
      <w:r w:rsidR="002B0E95" w:rsidRPr="001D36D0">
        <w:t>on developments, on the M</w:t>
      </w:r>
      <w:r w:rsidRPr="001D36D0">
        <w:t xml:space="preserve">ediator’s settlement proposal and on our recommendation </w:t>
      </w:r>
      <w:r w:rsidR="002B0E95" w:rsidRPr="001D36D0">
        <w:t>that the</w:t>
      </w:r>
      <w:r w:rsidRPr="001D36D0">
        <w:t xml:space="preserve"> </w:t>
      </w:r>
      <w:r w:rsidR="006B2D11">
        <w:t>evaluation</w:t>
      </w:r>
      <w:r w:rsidR="002B0E95" w:rsidRPr="001D36D0">
        <w:t xml:space="preserve"> of the </w:t>
      </w:r>
      <w:r w:rsidR="00BD4383" w:rsidRPr="001D36D0">
        <w:t xml:space="preserve">level of </w:t>
      </w:r>
      <w:r w:rsidRPr="001D36D0">
        <w:t>risk on the file</w:t>
      </w:r>
      <w:r w:rsidR="002B0E95" w:rsidRPr="001D36D0">
        <w:t xml:space="preserve"> be increased</w:t>
      </w:r>
      <w:r w:rsidRPr="001D36D0">
        <w:t>.</w:t>
      </w:r>
    </w:p>
    <w:p w14:paraId="683B7D57" w14:textId="77777777" w:rsidR="008815EF" w:rsidRPr="001D36D0" w:rsidRDefault="008815EF" w:rsidP="00E9048B">
      <w:pPr>
        <w:bidi w:val="0"/>
        <w:spacing w:after="120" w:line="360" w:lineRule="auto"/>
        <w:jc w:val="left"/>
        <w:rPr>
          <w:b/>
          <w:bCs/>
          <w:u w:val="single"/>
        </w:rPr>
      </w:pPr>
      <w:r w:rsidRPr="001D36D0">
        <w:rPr>
          <w:b/>
          <w:bCs/>
          <w:u w:val="single"/>
        </w:rPr>
        <w:t>The Statement of Claim:</w:t>
      </w:r>
    </w:p>
    <w:p w14:paraId="4D445C67" w14:textId="77777777" w:rsidR="008815EF" w:rsidRPr="001D36D0" w:rsidRDefault="004D471E" w:rsidP="00E9048B">
      <w:pPr>
        <w:bidi w:val="0"/>
        <w:spacing w:after="120" w:line="360" w:lineRule="auto"/>
        <w:jc w:val="left"/>
      </w:pPr>
      <w:r w:rsidRPr="001D36D0">
        <w:t xml:space="preserve">As </w:t>
      </w:r>
      <w:r w:rsidR="00BD4383" w:rsidRPr="001D36D0">
        <w:t xml:space="preserve">has been </w:t>
      </w:r>
      <w:r w:rsidRPr="001D36D0">
        <w:t xml:space="preserve">mentioned, the claim is a pecuniary claim in the amount of NIS 4,574,817 filed by Danya Cebus Ltd. in relation to alleged building defects at the “Gindi Boulevard” project in Petach Tikva (in respect of which our office is also handling another claim against your company filed by the insured Shjrawi Brothers Ltd, for which </w:t>
      </w:r>
      <w:r w:rsidR="00904E2B" w:rsidRPr="001D36D0">
        <w:t xml:space="preserve">your reference </w:t>
      </w:r>
      <w:r w:rsidRPr="001D36D0">
        <w:t>is: 120560000034).</w:t>
      </w:r>
    </w:p>
    <w:p w14:paraId="5299C78A" w14:textId="77777777" w:rsidR="004D471E" w:rsidRPr="001D36D0" w:rsidRDefault="00904E2B" w:rsidP="00E9048B">
      <w:pPr>
        <w:bidi w:val="0"/>
        <w:spacing w:after="120" w:line="360" w:lineRule="auto"/>
        <w:jc w:val="left"/>
        <w:rPr>
          <w:u w:val="single"/>
        </w:rPr>
      </w:pPr>
      <w:r w:rsidRPr="001D36D0">
        <w:lastRenderedPageBreak/>
        <w:t xml:space="preserve">The </w:t>
      </w:r>
      <w:r w:rsidR="004D471E" w:rsidRPr="001D36D0">
        <w:t>project</w:t>
      </w:r>
      <w:r w:rsidRPr="001D36D0">
        <w:t xml:space="preserve"> is for the construction of 11 residential towers in Petach Tikva</w:t>
      </w:r>
      <w:r w:rsidR="004D471E" w:rsidRPr="001D36D0">
        <w:t xml:space="preserve"> </w:t>
      </w:r>
      <w:r w:rsidRPr="001D36D0">
        <w:t xml:space="preserve">and </w:t>
      </w:r>
      <w:r w:rsidR="004D471E" w:rsidRPr="001D36D0">
        <w:t xml:space="preserve">is </w:t>
      </w:r>
      <w:r w:rsidRPr="001D36D0">
        <w:t xml:space="preserve">sponsored by the developer, </w:t>
      </w:r>
      <w:r w:rsidR="004D471E" w:rsidRPr="001D36D0">
        <w:t>Gindi Holdings Ltd</w:t>
      </w:r>
      <w:r w:rsidRPr="001D36D0">
        <w:t>.</w:t>
      </w:r>
      <w:r w:rsidR="004D471E" w:rsidRPr="001D36D0">
        <w:t xml:space="preserve"> Gindi Holdings Ltd. has entered into a contract with Shjrawi</w:t>
      </w:r>
      <w:r w:rsidR="00544A16" w:rsidRPr="001D36D0">
        <w:t>,</w:t>
      </w:r>
      <w:r w:rsidRPr="001D36D0">
        <w:t xml:space="preserve"> under which Shjrawi has been appointed to serve</w:t>
      </w:r>
      <w:r w:rsidR="00544A16" w:rsidRPr="001D36D0">
        <w:t xml:space="preserve"> as principal contractor for the construction of four buildings</w:t>
      </w:r>
      <w:r w:rsidRPr="001D36D0">
        <w:t xml:space="preserve">. </w:t>
      </w:r>
      <w:r w:rsidRPr="001D36D0">
        <w:rPr>
          <w:u w:val="single"/>
        </w:rPr>
        <w:t>It has also entered into a contract</w:t>
      </w:r>
      <w:r w:rsidR="00544A16" w:rsidRPr="001D36D0">
        <w:rPr>
          <w:u w:val="single"/>
        </w:rPr>
        <w:t xml:space="preserve"> with the Plaintiff, Danya Cebus Ltd, for the construction of the other seven buildings.</w:t>
      </w:r>
    </w:p>
    <w:p w14:paraId="7088D717" w14:textId="77777777" w:rsidR="00544A16" w:rsidRPr="001D36D0" w:rsidRDefault="00904E2B" w:rsidP="006B2D11">
      <w:pPr>
        <w:bidi w:val="0"/>
        <w:spacing w:after="120" w:line="360" w:lineRule="auto"/>
        <w:jc w:val="left"/>
        <w:rPr>
          <w:u w:val="single"/>
        </w:rPr>
      </w:pPr>
      <w:r w:rsidRPr="001D36D0">
        <w:t>The</w:t>
      </w:r>
      <w:r w:rsidR="00544A16" w:rsidRPr="001D36D0">
        <w:t xml:space="preserve"> claim has been filed by the Plaintiff, Danya Cebus Ltd., </w:t>
      </w:r>
      <w:r w:rsidR="006B2D11">
        <w:t>by virtue of</w:t>
      </w:r>
      <w:r w:rsidR="00544A16" w:rsidRPr="001D36D0">
        <w:t xml:space="preserve"> a contract works insurance policy issued by your compan</w:t>
      </w:r>
      <w:r w:rsidRPr="001D36D0">
        <w:t xml:space="preserve">y to Gindi Holdings Ltd. in relation to the above-mentioned project, in which </w:t>
      </w:r>
      <w:r w:rsidRPr="001D36D0">
        <w:rPr>
          <w:u w:val="single"/>
        </w:rPr>
        <w:t>t</w:t>
      </w:r>
      <w:r w:rsidR="00544A16" w:rsidRPr="001D36D0">
        <w:rPr>
          <w:u w:val="single"/>
        </w:rPr>
        <w:t>he contractor performing the works, Danya Cebus</w:t>
      </w:r>
      <w:r w:rsidRPr="001D36D0">
        <w:rPr>
          <w:u w:val="single"/>
        </w:rPr>
        <w:t>,</w:t>
      </w:r>
      <w:r w:rsidR="00544A16" w:rsidRPr="001D36D0">
        <w:rPr>
          <w:u w:val="single"/>
        </w:rPr>
        <w:t xml:space="preserve"> is also noted under the insured’s name.</w:t>
      </w:r>
    </w:p>
    <w:p w14:paraId="4CB08504" w14:textId="77777777" w:rsidR="00544A16" w:rsidRPr="001D36D0" w:rsidRDefault="00544A16" w:rsidP="006B2D11">
      <w:pPr>
        <w:bidi w:val="0"/>
        <w:spacing w:after="120" w:line="360" w:lineRule="auto"/>
        <w:jc w:val="left"/>
      </w:pPr>
      <w:r w:rsidRPr="001D36D0">
        <w:t xml:space="preserve">It is alleged in the Statement of Claim that, </w:t>
      </w:r>
      <w:r w:rsidR="00904E2B" w:rsidRPr="001D36D0">
        <w:t>as part</w:t>
      </w:r>
      <w:r w:rsidRPr="001D36D0">
        <w:t xml:space="preserve"> of the construction work</w:t>
      </w:r>
      <w:r w:rsidR="00904E2B" w:rsidRPr="001D36D0">
        <w:t>s</w:t>
      </w:r>
      <w:r w:rsidRPr="001D36D0">
        <w:t xml:space="preserve"> at the project, the </w:t>
      </w:r>
      <w:r w:rsidR="00DF7B12" w:rsidRPr="001D36D0">
        <w:t>building</w:t>
      </w:r>
      <w:r w:rsidRPr="001D36D0">
        <w:t xml:space="preserve"> </w:t>
      </w:r>
      <w:r w:rsidR="00904E2B" w:rsidRPr="001D36D0">
        <w:t xml:space="preserve">walls </w:t>
      </w:r>
      <w:r w:rsidRPr="001D36D0">
        <w:t xml:space="preserve">were </w:t>
      </w:r>
      <w:r w:rsidR="00904E2B" w:rsidRPr="001D36D0">
        <w:t>cladded</w:t>
      </w:r>
      <w:r w:rsidRPr="001D36D0">
        <w:t xml:space="preserve"> with gray ‘Bir Zayit’ stones. In March 2011, </w:t>
      </w:r>
      <w:r w:rsidRPr="001D36D0">
        <w:rPr>
          <w:u w:val="single"/>
        </w:rPr>
        <w:t xml:space="preserve">before </w:t>
      </w:r>
      <w:r w:rsidR="00904E2B" w:rsidRPr="001D36D0">
        <w:rPr>
          <w:u w:val="single"/>
        </w:rPr>
        <w:t>anyone move</w:t>
      </w:r>
      <w:r w:rsidR="00DF7B12" w:rsidRPr="001D36D0">
        <w:rPr>
          <w:u w:val="single"/>
        </w:rPr>
        <w:t>d</w:t>
      </w:r>
      <w:r w:rsidR="00904E2B" w:rsidRPr="001D36D0">
        <w:rPr>
          <w:u w:val="single"/>
        </w:rPr>
        <w:t xml:space="preserve"> into the</w:t>
      </w:r>
      <w:r w:rsidRPr="001D36D0">
        <w:rPr>
          <w:u w:val="single"/>
        </w:rPr>
        <w:t xml:space="preserve"> buildings</w:t>
      </w:r>
      <w:r w:rsidRPr="001D36D0">
        <w:t xml:space="preserve">, it became </w:t>
      </w:r>
      <w:r w:rsidR="00DF7B12" w:rsidRPr="001D36D0">
        <w:t>apparent</w:t>
      </w:r>
      <w:r w:rsidRPr="001D36D0">
        <w:t xml:space="preserve"> that the stones used </w:t>
      </w:r>
      <w:r w:rsidR="006B2D11">
        <w:t>to clad</w:t>
      </w:r>
      <w:r w:rsidR="00904E2B" w:rsidRPr="001D36D0">
        <w:t xml:space="preserve"> </w:t>
      </w:r>
      <w:r w:rsidRPr="001D36D0">
        <w:t>the external walls were crum</w:t>
      </w:r>
      <w:r w:rsidR="00904E2B" w:rsidRPr="001D36D0">
        <w:t>bling and that hollows and holes</w:t>
      </w:r>
      <w:r w:rsidRPr="001D36D0">
        <w:t xml:space="preserve"> had formed in </w:t>
      </w:r>
      <w:r w:rsidR="006B2D11">
        <w:t>them and this</w:t>
      </w:r>
      <w:r w:rsidR="00DF7B12" w:rsidRPr="001D36D0">
        <w:t xml:space="preserve"> created a real</w:t>
      </w:r>
      <w:r w:rsidRPr="001D36D0">
        <w:t xml:space="preserve"> danger which has</w:t>
      </w:r>
      <w:r w:rsidR="00DF7B12" w:rsidRPr="001D36D0">
        <w:t xml:space="preserve"> actually</w:t>
      </w:r>
      <w:r w:rsidRPr="001D36D0">
        <w:t xml:space="preserve"> </w:t>
      </w:r>
      <w:r w:rsidR="00DF7B12" w:rsidRPr="001D36D0">
        <w:t>materialized</w:t>
      </w:r>
      <w:r w:rsidRPr="001D36D0">
        <w:t xml:space="preserve"> by </w:t>
      </w:r>
      <w:r w:rsidR="00DF7B12" w:rsidRPr="001D36D0">
        <w:t xml:space="preserve">way of </w:t>
      </w:r>
      <w:r w:rsidRPr="001D36D0">
        <w:t xml:space="preserve">the stones used for the </w:t>
      </w:r>
      <w:r w:rsidR="00DF7B12" w:rsidRPr="001D36D0">
        <w:t>cladding</w:t>
      </w:r>
      <w:r w:rsidRPr="001D36D0">
        <w:t xml:space="preserve"> </w:t>
      </w:r>
      <w:r w:rsidR="006B2D11">
        <w:t>dropping</w:t>
      </w:r>
      <w:r w:rsidRPr="001D36D0">
        <w:t xml:space="preserve"> from the external walls.</w:t>
      </w:r>
    </w:p>
    <w:p w14:paraId="2AEBC771" w14:textId="77777777" w:rsidR="00AC06A7" w:rsidRPr="001D36D0" w:rsidRDefault="00544A16" w:rsidP="006B2D11">
      <w:pPr>
        <w:bidi w:val="0"/>
        <w:spacing w:after="120" w:line="360" w:lineRule="auto"/>
        <w:jc w:val="left"/>
      </w:pPr>
      <w:r w:rsidRPr="001D36D0">
        <w:t xml:space="preserve">It is alleged </w:t>
      </w:r>
      <w:r w:rsidR="00DF7B12" w:rsidRPr="001D36D0">
        <w:t>in the Statement of Claim that</w:t>
      </w:r>
      <w:r w:rsidRPr="001D36D0">
        <w:t xml:space="preserve"> notice was given to your company of the matters described above</w:t>
      </w:r>
      <w:r w:rsidR="00AC06A7" w:rsidRPr="001D36D0">
        <w:t xml:space="preserve"> and that your company appointed experts to act on </w:t>
      </w:r>
      <w:r w:rsidR="00DF7B12" w:rsidRPr="001D36D0">
        <w:t>its behalf</w:t>
      </w:r>
      <w:r w:rsidR="00AC06A7" w:rsidRPr="001D36D0">
        <w:t xml:space="preserve"> to assess the circumstances </w:t>
      </w:r>
      <w:r w:rsidR="006B2D11">
        <w:t xml:space="preserve">surrounding the event </w:t>
      </w:r>
      <w:r w:rsidR="00AC06A7" w:rsidRPr="001D36D0">
        <w:t>and the damage</w:t>
      </w:r>
      <w:r w:rsidR="00DF7B12" w:rsidRPr="001D36D0">
        <w:t>s</w:t>
      </w:r>
      <w:r w:rsidR="00AC06A7" w:rsidRPr="001D36D0">
        <w:t xml:space="preserve">. </w:t>
      </w:r>
      <w:r w:rsidR="00DF7B12" w:rsidRPr="001D36D0">
        <w:t xml:space="preserve">It is alleged that, pursuant to </w:t>
      </w:r>
      <w:r w:rsidR="00AC06A7" w:rsidRPr="001D36D0">
        <w:t xml:space="preserve">an opinion obtained by the Plaintiff from a stone consultant, the Plaintiff performed preventative and rehabilitative works on the stones used </w:t>
      </w:r>
      <w:r w:rsidR="00DF7B12" w:rsidRPr="001D36D0">
        <w:t>for the cladding across</w:t>
      </w:r>
      <w:r w:rsidR="00AC06A7" w:rsidRPr="001D36D0">
        <w:t xml:space="preserve"> an area </w:t>
      </w:r>
      <w:r w:rsidR="006B2D11">
        <w:t xml:space="preserve">of the external walls </w:t>
      </w:r>
      <w:r w:rsidR="00AC06A7" w:rsidRPr="001D36D0">
        <w:t>of 6500 m at a cost of NIS 4,508,325, being the amount claimed in the Statement of Claim.</w:t>
      </w:r>
    </w:p>
    <w:p w14:paraId="324EFD7D" w14:textId="77777777" w:rsidR="00AC06A7" w:rsidRPr="001D36D0" w:rsidRDefault="00AC06A7" w:rsidP="00E9048B">
      <w:pPr>
        <w:bidi w:val="0"/>
        <w:spacing w:after="120" w:line="360" w:lineRule="auto"/>
        <w:jc w:val="left"/>
      </w:pPr>
      <w:r w:rsidRPr="001D36D0">
        <w:t xml:space="preserve">Shortly after we took conduct of the claim, we contacted the </w:t>
      </w:r>
      <w:r w:rsidR="00BC746C" w:rsidRPr="001D36D0">
        <w:t>appraisal company, A</w:t>
      </w:r>
      <w:r w:rsidRPr="001D36D0">
        <w:t>rd</w:t>
      </w:r>
      <w:r w:rsidR="00BC746C" w:rsidRPr="001D36D0">
        <w:t>e</w:t>
      </w:r>
      <w:r w:rsidRPr="001D36D0">
        <w:t xml:space="preserve">n, and filed a statement of defense on behalf of your company, as will be detailed </w:t>
      </w:r>
      <w:r w:rsidR="00F6719A" w:rsidRPr="001D36D0">
        <w:t>presently</w:t>
      </w:r>
      <w:r w:rsidRPr="001D36D0">
        <w:t>.</w:t>
      </w:r>
    </w:p>
    <w:p w14:paraId="1B5F6A2C" w14:textId="77777777" w:rsidR="00544A16" w:rsidRPr="001D36D0" w:rsidRDefault="00AC06A7" w:rsidP="00E9048B">
      <w:pPr>
        <w:bidi w:val="0"/>
        <w:spacing w:after="120" w:line="360" w:lineRule="auto"/>
        <w:jc w:val="left"/>
        <w:rPr>
          <w:b/>
          <w:bCs/>
          <w:u w:val="single"/>
        </w:rPr>
      </w:pPr>
      <w:r w:rsidRPr="001D36D0">
        <w:rPr>
          <w:b/>
          <w:bCs/>
          <w:u w:val="single"/>
        </w:rPr>
        <w:t>The Statement of Defense</w:t>
      </w:r>
      <w:r w:rsidR="00F6719A" w:rsidRPr="001D36D0">
        <w:rPr>
          <w:b/>
          <w:bCs/>
          <w:u w:val="single"/>
        </w:rPr>
        <w:t xml:space="preserve"> Filed on B</w:t>
      </w:r>
      <w:r w:rsidRPr="001D36D0">
        <w:rPr>
          <w:b/>
          <w:bCs/>
          <w:u w:val="single"/>
        </w:rPr>
        <w:t>ehalf of your Company</w:t>
      </w:r>
    </w:p>
    <w:p w14:paraId="3678D195" w14:textId="77777777" w:rsidR="00AC06A7" w:rsidRPr="001D36D0" w:rsidRDefault="00AC06A7" w:rsidP="00E9048B">
      <w:pPr>
        <w:bidi w:val="0"/>
        <w:spacing w:after="120" w:line="360" w:lineRule="auto"/>
        <w:jc w:val="left"/>
      </w:pPr>
      <w:r w:rsidRPr="001D36D0">
        <w:t xml:space="preserve">We </w:t>
      </w:r>
      <w:r w:rsidR="00F6719A" w:rsidRPr="001D36D0">
        <w:t>filed a statement of defense on be</w:t>
      </w:r>
      <w:r w:rsidRPr="001D36D0">
        <w:t>half of your</w:t>
      </w:r>
      <w:r w:rsidR="00F6719A" w:rsidRPr="001D36D0">
        <w:t xml:space="preserve"> company, in which we argued</w:t>
      </w:r>
      <w:r w:rsidRPr="001D36D0">
        <w:t xml:space="preserve"> that the damages and defects alleged in the Statement of Claim </w:t>
      </w:r>
      <w:r w:rsidR="00F6719A" w:rsidRPr="001D36D0">
        <w:t>were</w:t>
      </w:r>
      <w:r w:rsidRPr="001D36D0">
        <w:t xml:space="preserve"> not covered under the</w:t>
      </w:r>
      <w:r w:rsidR="0053169F" w:rsidRPr="001D36D0">
        <w:t xml:space="preserve"> contract</w:t>
      </w:r>
      <w:r w:rsidRPr="001D36D0">
        <w:t xml:space="preserve"> works insurance issued by your company.</w:t>
      </w:r>
    </w:p>
    <w:p w14:paraId="540D126D" w14:textId="77777777" w:rsidR="00AC06A7" w:rsidRPr="001D36D0" w:rsidRDefault="00AC06A7" w:rsidP="00DC6C50">
      <w:pPr>
        <w:bidi w:val="0"/>
        <w:spacing w:after="120" w:line="360" w:lineRule="auto"/>
        <w:jc w:val="left"/>
      </w:pPr>
      <w:r w:rsidRPr="001D36D0">
        <w:lastRenderedPageBreak/>
        <w:t>The f</w:t>
      </w:r>
      <w:r w:rsidR="00F6719A" w:rsidRPr="001D36D0">
        <w:t>irst reason why the contract</w:t>
      </w:r>
      <w:r w:rsidRPr="001D36D0">
        <w:t xml:space="preserve"> works insurance </w:t>
      </w:r>
      <w:r w:rsidR="00F6719A" w:rsidRPr="001D36D0">
        <w:t xml:space="preserve">policy </w:t>
      </w:r>
      <w:r w:rsidR="006B2D11">
        <w:t>does</w:t>
      </w:r>
      <w:r w:rsidRPr="001D36D0">
        <w:t xml:space="preserve"> not apply to the damages </w:t>
      </w:r>
      <w:r w:rsidR="00F6719A" w:rsidRPr="001D36D0">
        <w:t>alleged in</w:t>
      </w:r>
      <w:r w:rsidRPr="001D36D0">
        <w:t xml:space="preserve"> the </w:t>
      </w:r>
      <w:r w:rsidR="00C74133" w:rsidRPr="001D36D0">
        <w:t xml:space="preserve">present </w:t>
      </w:r>
      <w:r w:rsidRPr="001D36D0">
        <w:t xml:space="preserve">claim </w:t>
      </w:r>
      <w:r w:rsidR="006B2D11">
        <w:t>is</w:t>
      </w:r>
      <w:r w:rsidRPr="001D36D0">
        <w:t xml:space="preserve"> that the alleged damage was not caused by an “insured event”, </w:t>
      </w:r>
      <w:r w:rsidR="00F6719A" w:rsidRPr="001D36D0">
        <w:t xml:space="preserve">since </w:t>
      </w:r>
      <w:r w:rsidR="006B2D11">
        <w:t>it was not caused by</w:t>
      </w:r>
      <w:r w:rsidRPr="001D36D0">
        <w:t xml:space="preserve"> an accidental, sudden, and unforeseen event </w:t>
      </w:r>
      <w:r w:rsidR="00C74133" w:rsidRPr="001D36D0">
        <w:t xml:space="preserve">which </w:t>
      </w:r>
      <w:r w:rsidRPr="001D36D0">
        <w:t>cause</w:t>
      </w:r>
      <w:r w:rsidR="00F6719A" w:rsidRPr="001D36D0">
        <w:t>d</w:t>
      </w:r>
      <w:r w:rsidRPr="001D36D0">
        <w:t xml:space="preserve"> physical damage. </w:t>
      </w:r>
      <w:r w:rsidR="00187960" w:rsidRPr="001D36D0">
        <w:t>That is to say</w:t>
      </w:r>
      <w:r w:rsidRPr="001D36D0">
        <w:t xml:space="preserve">, </w:t>
      </w:r>
      <w:r w:rsidR="00C74133" w:rsidRPr="001D36D0">
        <w:t>the fact that various</w:t>
      </w:r>
      <w:r w:rsidRPr="001D36D0">
        <w:t xml:space="preserve"> r</w:t>
      </w:r>
      <w:r w:rsidR="00187960" w:rsidRPr="001D36D0">
        <w:t xml:space="preserve">epair </w:t>
      </w:r>
      <w:r w:rsidR="00C74133" w:rsidRPr="001D36D0">
        <w:t>operations were performed</w:t>
      </w:r>
      <w:r w:rsidR="00187960" w:rsidRPr="001D36D0">
        <w:t>, whose cost is being claimed</w:t>
      </w:r>
      <w:r w:rsidR="00C74133" w:rsidRPr="001D36D0">
        <w:t xml:space="preserve"> in the present claim, means that</w:t>
      </w:r>
      <w:r w:rsidRPr="001D36D0">
        <w:t xml:space="preserve"> the </w:t>
      </w:r>
      <w:r w:rsidR="00187960" w:rsidRPr="001D36D0">
        <w:t>accidental and physical element</w:t>
      </w:r>
      <w:r w:rsidRPr="001D36D0">
        <w:t xml:space="preserve"> required under the t</w:t>
      </w:r>
      <w:r w:rsidR="00187960" w:rsidRPr="001D36D0">
        <w:t xml:space="preserve">erms of the policy </w:t>
      </w:r>
      <w:r w:rsidR="00C74133" w:rsidRPr="001D36D0">
        <w:t xml:space="preserve">is not made out, since </w:t>
      </w:r>
      <w:r w:rsidR="006B2D11">
        <w:t>the</w:t>
      </w:r>
      <w:r w:rsidR="00C74133" w:rsidRPr="001D36D0">
        <w:t xml:space="preserve"> </w:t>
      </w:r>
      <w:r w:rsidR="006B2D11">
        <w:t xml:space="preserve">repair </w:t>
      </w:r>
      <w:r w:rsidR="00C74133" w:rsidRPr="001D36D0">
        <w:t>operations</w:t>
      </w:r>
      <w:r w:rsidRPr="001D36D0">
        <w:t xml:space="preserve"> </w:t>
      </w:r>
      <w:r w:rsidR="00187960" w:rsidRPr="001D36D0">
        <w:t xml:space="preserve">were </w:t>
      </w:r>
      <w:r w:rsidRPr="001D36D0">
        <w:t xml:space="preserve">performed </w:t>
      </w:r>
      <w:r w:rsidR="006B2D11">
        <w:t>intentionally</w:t>
      </w:r>
      <w:r w:rsidRPr="001D36D0">
        <w:t xml:space="preserve"> and </w:t>
      </w:r>
      <w:r w:rsidR="006B2D11">
        <w:t>for a purpose that</w:t>
      </w:r>
      <w:r w:rsidR="00C74133" w:rsidRPr="001D36D0">
        <w:t>, in and of itself, appears to have been legitimate</w:t>
      </w:r>
      <w:r w:rsidR="00187960" w:rsidRPr="001D36D0">
        <w:t>.</w:t>
      </w:r>
      <w:r w:rsidR="00CE7E0C" w:rsidRPr="001D36D0">
        <w:t xml:space="preserve"> However, </w:t>
      </w:r>
      <w:r w:rsidR="006B2D11">
        <w:t xml:space="preserve">the fact the repair operations </w:t>
      </w:r>
      <w:r w:rsidR="00DC6C50">
        <w:t>may have been</w:t>
      </w:r>
      <w:r w:rsidR="006B2D11">
        <w:t xml:space="preserve"> legitimate do not make them</w:t>
      </w:r>
      <w:r w:rsidR="00CE7E0C" w:rsidRPr="001D36D0">
        <w:t xml:space="preserve"> suitable for cover under the policy. We </w:t>
      </w:r>
      <w:r w:rsidR="00C74133" w:rsidRPr="001D36D0">
        <w:t xml:space="preserve">cited </w:t>
      </w:r>
      <w:r w:rsidR="00187960" w:rsidRPr="001D36D0">
        <w:t xml:space="preserve">the rule of </w:t>
      </w:r>
      <w:r w:rsidR="00CE7E0C" w:rsidRPr="001D36D0">
        <w:t>the Supreme Court in the ‘Neve Gan’ case</w:t>
      </w:r>
      <w:r w:rsidR="00C74133" w:rsidRPr="001D36D0">
        <w:t xml:space="preserve"> in</w:t>
      </w:r>
      <w:r w:rsidR="00187960" w:rsidRPr="001D36D0">
        <w:t xml:space="preserve"> support </w:t>
      </w:r>
      <w:r w:rsidR="00C74133" w:rsidRPr="001D36D0">
        <w:t xml:space="preserve">of </w:t>
      </w:r>
      <w:r w:rsidR="00187960" w:rsidRPr="001D36D0">
        <w:t>this argument</w:t>
      </w:r>
      <w:r w:rsidR="00CE7E0C" w:rsidRPr="001D36D0">
        <w:t>.</w:t>
      </w:r>
    </w:p>
    <w:p w14:paraId="1488BC83" w14:textId="77777777" w:rsidR="00CE7E0C" w:rsidRPr="001D36D0" w:rsidRDefault="0053169F" w:rsidP="00DC6C50">
      <w:pPr>
        <w:bidi w:val="0"/>
        <w:spacing w:after="120" w:line="360" w:lineRule="auto"/>
        <w:jc w:val="left"/>
      </w:pPr>
      <w:r w:rsidRPr="001D36D0">
        <w:t>We also c</w:t>
      </w:r>
      <w:r w:rsidR="00CE7E0C" w:rsidRPr="001D36D0">
        <w:t xml:space="preserve">larified that, the fact that </w:t>
      </w:r>
      <w:r w:rsidR="00C74133" w:rsidRPr="001D36D0">
        <w:t>unsuitable</w:t>
      </w:r>
      <w:r w:rsidR="00CE7E0C" w:rsidRPr="001D36D0">
        <w:t xml:space="preserve"> tiles were used </w:t>
      </w:r>
      <w:r w:rsidR="00DC6C50">
        <w:t>did</w:t>
      </w:r>
      <w:r w:rsidR="00CE7E0C" w:rsidRPr="001D36D0">
        <w:t xml:space="preserve"> not, in and of it</w:t>
      </w:r>
      <w:r w:rsidR="00C74133" w:rsidRPr="001D36D0">
        <w:t>self, constitute an accidental</w:t>
      </w:r>
      <w:r w:rsidR="00FA4C5C" w:rsidRPr="001D36D0">
        <w:t>,</w:t>
      </w:r>
      <w:r w:rsidR="00C74133" w:rsidRPr="001D36D0">
        <w:t xml:space="preserve"> </w:t>
      </w:r>
      <w:r w:rsidR="00FA4C5C" w:rsidRPr="001D36D0">
        <w:t xml:space="preserve">unforeseen </w:t>
      </w:r>
      <w:r w:rsidR="00CE7E0C" w:rsidRPr="001D36D0">
        <w:t>eve</w:t>
      </w:r>
      <w:r w:rsidR="00C74133" w:rsidRPr="001D36D0">
        <w:t>nt</w:t>
      </w:r>
      <w:r w:rsidR="00CE7E0C" w:rsidRPr="001D36D0">
        <w:t xml:space="preserve">, in particular </w:t>
      </w:r>
      <w:r w:rsidR="00C74133" w:rsidRPr="001D36D0">
        <w:t>in circumstances where</w:t>
      </w:r>
      <w:r w:rsidR="00CE7E0C" w:rsidRPr="001D36D0">
        <w:t xml:space="preserve"> the inspection of the tiles carried out before </w:t>
      </w:r>
      <w:r w:rsidR="00C74133" w:rsidRPr="001D36D0">
        <w:t>they were installed demonstrated</w:t>
      </w:r>
      <w:r w:rsidR="00CE7E0C" w:rsidRPr="001D36D0">
        <w:t xml:space="preserve">, or at least ought to have demonstrated, that </w:t>
      </w:r>
      <w:r w:rsidR="00C33CF3" w:rsidRPr="001D36D0">
        <w:t>they</w:t>
      </w:r>
      <w:r w:rsidR="00CE7E0C" w:rsidRPr="001D36D0">
        <w:t xml:space="preserve"> did not meet the conditi</w:t>
      </w:r>
      <w:r w:rsidR="00C33CF3" w:rsidRPr="001D36D0">
        <w:t>ons required under the standard for use of external cladding</w:t>
      </w:r>
      <w:r w:rsidR="00CE7E0C" w:rsidRPr="001D36D0">
        <w:t xml:space="preserve"> tiles. This demon</w:t>
      </w:r>
      <w:r w:rsidR="00D74E1A" w:rsidRPr="001D36D0">
        <w:t>strates that the requirement for repairs was actually for</w:t>
      </w:r>
      <w:r w:rsidR="00FA4C5C" w:rsidRPr="001D36D0">
        <w:t>e</w:t>
      </w:r>
      <w:r w:rsidR="00CE7E0C" w:rsidRPr="001D36D0">
        <w:t xml:space="preserve">seen, and that </w:t>
      </w:r>
      <w:r w:rsidR="00FA4C5C" w:rsidRPr="001D36D0">
        <w:t>such requirement</w:t>
      </w:r>
      <w:r w:rsidR="00CE7E0C" w:rsidRPr="001D36D0">
        <w:t xml:space="preserve"> certainly did not flow from an accidental, unforeseen event.</w:t>
      </w:r>
    </w:p>
    <w:p w14:paraId="5CB4AA0E" w14:textId="77777777" w:rsidR="006978D3" w:rsidRPr="001D36D0" w:rsidRDefault="00CE7E0C" w:rsidP="00DC6C50">
      <w:pPr>
        <w:bidi w:val="0"/>
        <w:spacing w:after="120" w:line="360" w:lineRule="auto"/>
        <w:jc w:val="left"/>
      </w:pPr>
      <w:r w:rsidRPr="001D36D0">
        <w:t>The rationale for this is clear. The insurance policy was intended to cover damages ca</w:t>
      </w:r>
      <w:r w:rsidR="00FA4C5C" w:rsidRPr="001D36D0">
        <w:t xml:space="preserve">used by unforeseen accidents; it was certainly not intended to cover the costs of planned and foreseen tile </w:t>
      </w:r>
      <w:r w:rsidRPr="001D36D0">
        <w:t>repair</w:t>
      </w:r>
      <w:r w:rsidR="00FA4C5C" w:rsidRPr="001D36D0">
        <w:t>s</w:t>
      </w:r>
      <w:r w:rsidRPr="001D36D0">
        <w:t xml:space="preserve"> and replacement</w:t>
      </w:r>
      <w:r w:rsidR="00FA4C5C" w:rsidRPr="001D36D0">
        <w:t>s. This is particularly so</w:t>
      </w:r>
      <w:r w:rsidRPr="001D36D0">
        <w:t xml:space="preserve"> </w:t>
      </w:r>
      <w:r w:rsidR="00FA4C5C" w:rsidRPr="001D36D0">
        <w:t xml:space="preserve">in circumstances where the </w:t>
      </w:r>
      <w:r w:rsidR="006978D3" w:rsidRPr="001D36D0">
        <w:t>stone cladding</w:t>
      </w:r>
      <w:r w:rsidR="00FA4C5C" w:rsidRPr="001D36D0">
        <w:t xml:space="preserve"> used in the first place </w:t>
      </w:r>
      <w:r w:rsidR="006978D3" w:rsidRPr="001D36D0">
        <w:t xml:space="preserve">did not meet legislative requirements or </w:t>
      </w:r>
      <w:r w:rsidR="00FA4C5C" w:rsidRPr="001D36D0">
        <w:t xml:space="preserve">the relevant Standard </w:t>
      </w:r>
      <w:r w:rsidR="006978D3" w:rsidRPr="001D36D0">
        <w:t>and</w:t>
      </w:r>
      <w:r w:rsidR="00BB544A" w:rsidRPr="001D36D0">
        <w:t>, at the time,</w:t>
      </w:r>
      <w:r w:rsidR="006978D3" w:rsidRPr="001D36D0">
        <w:t xml:space="preserve"> </w:t>
      </w:r>
      <w:r w:rsidR="00BB544A" w:rsidRPr="001D36D0">
        <w:t xml:space="preserve">before they were installed, </w:t>
      </w:r>
      <w:r w:rsidR="006978D3" w:rsidRPr="001D36D0">
        <w:t xml:space="preserve">the insured </w:t>
      </w:r>
      <w:r w:rsidR="00FA4C5C" w:rsidRPr="001D36D0">
        <w:t xml:space="preserve">was aware of – or </w:t>
      </w:r>
      <w:r w:rsidR="00BB544A" w:rsidRPr="001D36D0">
        <w:t>ignored</w:t>
      </w:r>
      <w:r w:rsidR="00FA4C5C" w:rsidRPr="001D36D0">
        <w:t xml:space="preserve"> - </w:t>
      </w:r>
      <w:r w:rsidR="006978D3" w:rsidRPr="001D36D0">
        <w:t>the possibility tha</w:t>
      </w:r>
      <w:r w:rsidR="00FA4C5C" w:rsidRPr="001D36D0">
        <w:t>t the tiles were not fit</w:t>
      </w:r>
      <w:r w:rsidR="006978D3" w:rsidRPr="001D36D0">
        <w:t xml:space="preserve"> for purpose.</w:t>
      </w:r>
    </w:p>
    <w:p w14:paraId="19ECCB55" w14:textId="77777777" w:rsidR="006978D3" w:rsidRPr="001D36D0" w:rsidRDefault="00B97733" w:rsidP="00E9048B">
      <w:pPr>
        <w:bidi w:val="0"/>
        <w:spacing w:after="120" w:line="360" w:lineRule="auto"/>
        <w:jc w:val="left"/>
      </w:pPr>
      <w:r w:rsidRPr="001D36D0">
        <w:t>We also argued</w:t>
      </w:r>
      <w:r w:rsidR="006978D3" w:rsidRPr="001D36D0">
        <w:t xml:space="preserve"> that the cover under the policy for indirect and/or direct damage as a result of defective m</w:t>
      </w:r>
      <w:r w:rsidR="00BB544A" w:rsidRPr="001D36D0">
        <w:t>aterials wa</w:t>
      </w:r>
      <w:r w:rsidR="006978D3" w:rsidRPr="001D36D0">
        <w:t xml:space="preserve">s not relevant </w:t>
      </w:r>
      <w:r w:rsidR="00BB544A" w:rsidRPr="001D36D0">
        <w:t>in</w:t>
      </w:r>
      <w:r w:rsidR="006978D3" w:rsidRPr="001D36D0">
        <w:t xml:space="preserve"> the present case, and </w:t>
      </w:r>
      <w:r w:rsidR="00BB544A" w:rsidRPr="001D36D0">
        <w:t>that this was also true in respect of</w:t>
      </w:r>
      <w:r w:rsidR="006978D3" w:rsidRPr="001D36D0">
        <w:t xml:space="preserve"> t</w:t>
      </w:r>
      <w:r w:rsidR="00BB544A" w:rsidRPr="001D36D0">
        <w:t>he policy extension for direct and/or in</w:t>
      </w:r>
      <w:r w:rsidR="006978D3" w:rsidRPr="001D36D0">
        <w:t xml:space="preserve">direct damage </w:t>
      </w:r>
      <w:r w:rsidR="00BB544A" w:rsidRPr="001D36D0">
        <w:t xml:space="preserve">caused </w:t>
      </w:r>
      <w:r w:rsidR="00F33959" w:rsidRPr="001D36D0">
        <w:t>by</w:t>
      </w:r>
      <w:r w:rsidR="006978D3" w:rsidRPr="001D36D0">
        <w:t xml:space="preserve"> defective desi</w:t>
      </w:r>
      <w:r w:rsidR="00F33959" w:rsidRPr="001D36D0">
        <w:t>gn and/or work and/or materials. This is because</w:t>
      </w:r>
      <w:r w:rsidR="006978D3" w:rsidRPr="001D36D0">
        <w:t xml:space="preserve"> </w:t>
      </w:r>
      <w:r w:rsidR="00DC6C50">
        <w:t>the extension wa</w:t>
      </w:r>
      <w:r w:rsidR="00BB544A" w:rsidRPr="001D36D0">
        <w:t xml:space="preserve">s based on </w:t>
      </w:r>
      <w:r w:rsidR="006978D3" w:rsidRPr="001D36D0">
        <w:t>two cumulative threshold conditions:</w:t>
      </w:r>
    </w:p>
    <w:p w14:paraId="2C41331A" w14:textId="77777777" w:rsidR="006978D3" w:rsidRPr="001D36D0" w:rsidRDefault="006978D3" w:rsidP="00DC6C50">
      <w:pPr>
        <w:tabs>
          <w:tab w:val="left" w:pos="1134"/>
        </w:tabs>
        <w:bidi w:val="0"/>
        <w:spacing w:after="120" w:line="360" w:lineRule="auto"/>
        <w:ind w:left="1134" w:hanging="567"/>
        <w:jc w:val="left"/>
      </w:pPr>
      <w:r w:rsidRPr="001D36D0">
        <w:t>1.</w:t>
      </w:r>
      <w:r w:rsidRPr="001D36D0">
        <w:tab/>
        <w:t xml:space="preserve">The damage </w:t>
      </w:r>
      <w:r w:rsidR="00F33959" w:rsidRPr="001D36D0">
        <w:t>must have been</w:t>
      </w:r>
      <w:r w:rsidRPr="001D36D0">
        <w:t xml:space="preserve"> caused by an insured event </w:t>
      </w:r>
      <w:r w:rsidR="00DC6C50">
        <w:t xml:space="preserve">set out in </w:t>
      </w:r>
      <w:r w:rsidRPr="001D36D0">
        <w:t xml:space="preserve">the </w:t>
      </w:r>
      <w:r w:rsidR="00F33959" w:rsidRPr="001D36D0">
        <w:t>property</w:t>
      </w:r>
      <w:r w:rsidRPr="001D36D0">
        <w:t xml:space="preserve"> </w:t>
      </w:r>
      <w:r w:rsidR="00F33959" w:rsidRPr="001D36D0">
        <w:t>section of</w:t>
      </w:r>
      <w:r w:rsidRPr="001D36D0">
        <w:t xml:space="preserve"> the policy (as detailed above).</w:t>
      </w:r>
    </w:p>
    <w:p w14:paraId="5C524143" w14:textId="77777777" w:rsidR="006978D3" w:rsidRPr="001D36D0" w:rsidRDefault="006978D3" w:rsidP="00E9048B">
      <w:pPr>
        <w:tabs>
          <w:tab w:val="left" w:pos="1134"/>
        </w:tabs>
        <w:bidi w:val="0"/>
        <w:spacing w:after="120" w:line="360" w:lineRule="auto"/>
        <w:ind w:left="1134" w:hanging="567"/>
        <w:jc w:val="left"/>
      </w:pPr>
      <w:r w:rsidRPr="001D36D0">
        <w:t>2.</w:t>
      </w:r>
      <w:r w:rsidRPr="001D36D0">
        <w:tab/>
      </w:r>
      <w:r w:rsidR="0053169F" w:rsidRPr="001D36D0">
        <w:t xml:space="preserve">The insured event </w:t>
      </w:r>
      <w:r w:rsidR="00F33959" w:rsidRPr="001D36D0">
        <w:t xml:space="preserve">must have </w:t>
      </w:r>
      <w:r w:rsidR="0053169F" w:rsidRPr="001D36D0">
        <w:t>happened during the</w:t>
      </w:r>
      <w:r w:rsidR="00B97733" w:rsidRPr="001D36D0">
        <w:t xml:space="preserve"> insurance period and prior to the maintenance period.</w:t>
      </w:r>
    </w:p>
    <w:p w14:paraId="5A9E98DB" w14:textId="77777777" w:rsidR="00B97733" w:rsidRPr="001D36D0" w:rsidRDefault="00B97733" w:rsidP="00DC6C50">
      <w:pPr>
        <w:bidi w:val="0"/>
        <w:spacing w:after="120" w:line="360" w:lineRule="auto"/>
        <w:jc w:val="left"/>
      </w:pPr>
      <w:r w:rsidRPr="001D36D0">
        <w:lastRenderedPageBreak/>
        <w:t xml:space="preserve">We </w:t>
      </w:r>
      <w:r w:rsidR="00F33959" w:rsidRPr="001D36D0">
        <w:t xml:space="preserve">argued that </w:t>
      </w:r>
      <w:r w:rsidRPr="001D36D0">
        <w:t xml:space="preserve">the extension </w:t>
      </w:r>
      <w:r w:rsidR="00F33959" w:rsidRPr="001D36D0">
        <w:t>was inapplicable</w:t>
      </w:r>
      <w:r w:rsidRPr="001D36D0">
        <w:t xml:space="preserve"> </w:t>
      </w:r>
      <w:r w:rsidR="00F33959" w:rsidRPr="001D36D0">
        <w:t xml:space="preserve">in the present case in </w:t>
      </w:r>
      <w:r w:rsidR="00DC6C50">
        <w:t>respect of</w:t>
      </w:r>
      <w:r w:rsidR="00F33959" w:rsidRPr="001D36D0">
        <w:t xml:space="preserve"> both projects</w:t>
      </w:r>
      <w:r w:rsidR="00721E59" w:rsidRPr="001D36D0">
        <w:t>,</w:t>
      </w:r>
      <w:r w:rsidR="00F33959" w:rsidRPr="001D36D0">
        <w:t xml:space="preserve"> </w:t>
      </w:r>
      <w:r w:rsidR="003D6940" w:rsidRPr="001D36D0">
        <w:t xml:space="preserve">since neither of the </w:t>
      </w:r>
      <w:r w:rsidR="00721E59" w:rsidRPr="001D36D0">
        <w:t xml:space="preserve">two </w:t>
      </w:r>
      <w:r w:rsidRPr="001D36D0">
        <w:t xml:space="preserve">cumulative conditions </w:t>
      </w:r>
      <w:r w:rsidR="003D6940" w:rsidRPr="001D36D0">
        <w:t>have</w:t>
      </w:r>
      <w:r w:rsidRPr="001D36D0">
        <w:t xml:space="preserve"> been met. First, the damage was not caused by an insured event </w:t>
      </w:r>
      <w:r w:rsidR="00DC6C50">
        <w:t>set out in</w:t>
      </w:r>
      <w:r w:rsidRPr="001D36D0">
        <w:t xml:space="preserve"> the property section </w:t>
      </w:r>
      <w:r w:rsidR="003D6940" w:rsidRPr="001D36D0">
        <w:t>of</w:t>
      </w:r>
      <w:r w:rsidRPr="001D36D0">
        <w:t xml:space="preserve"> the policy, since the events and damages </w:t>
      </w:r>
      <w:r w:rsidR="003D6940" w:rsidRPr="001D36D0">
        <w:t>alleged in</w:t>
      </w:r>
      <w:r w:rsidRPr="001D36D0">
        <w:t xml:space="preserve"> the claim did not constitute an insured event as defined in the policy, </w:t>
      </w:r>
      <w:r w:rsidR="003D6940" w:rsidRPr="001D36D0">
        <w:t>were</w:t>
      </w:r>
      <w:r w:rsidRPr="001D36D0">
        <w:t xml:space="preserve"> not included in the risks covered </w:t>
      </w:r>
      <w:r w:rsidR="003D6940" w:rsidRPr="001D36D0">
        <w:t>under</w:t>
      </w:r>
      <w:r w:rsidRPr="001D36D0">
        <w:t xml:space="preserve"> the policy, and </w:t>
      </w:r>
      <w:r w:rsidR="003D6940" w:rsidRPr="001D36D0">
        <w:t>did not</w:t>
      </w:r>
      <w:r w:rsidRPr="001D36D0">
        <w:t xml:space="preserve"> constitute </w:t>
      </w:r>
      <w:r w:rsidR="003D6940" w:rsidRPr="001D36D0">
        <w:t>sudden</w:t>
      </w:r>
      <w:r w:rsidRPr="001D36D0">
        <w:t xml:space="preserve"> and unforeseen damage, as detailed above.</w:t>
      </w:r>
    </w:p>
    <w:p w14:paraId="115AEA85" w14:textId="77777777" w:rsidR="00FE0597" w:rsidRPr="001D36D0" w:rsidRDefault="00DC6C50" w:rsidP="00DC6C50">
      <w:pPr>
        <w:bidi w:val="0"/>
        <w:spacing w:after="120" w:line="360" w:lineRule="auto"/>
        <w:jc w:val="left"/>
      </w:pPr>
      <w:r>
        <w:t>I</w:t>
      </w:r>
      <w:r w:rsidRPr="001D36D0">
        <w:t>n circumstances where the definition of insured event itself has not been met</w:t>
      </w:r>
      <w:r>
        <w:t>,</w:t>
      </w:r>
      <w:r w:rsidRPr="001D36D0">
        <w:t xml:space="preserve"> </w:t>
      </w:r>
      <w:r w:rsidR="006D75B5" w:rsidRPr="001D36D0">
        <w:t xml:space="preserve">the extension </w:t>
      </w:r>
      <w:r w:rsidR="00721E59" w:rsidRPr="001D36D0">
        <w:t xml:space="preserve">simply </w:t>
      </w:r>
      <w:r>
        <w:t>could not</w:t>
      </w:r>
      <w:r w:rsidR="00721E59" w:rsidRPr="001D36D0">
        <w:t xml:space="preserve"> </w:t>
      </w:r>
      <w:r>
        <w:t>apply</w:t>
      </w:r>
      <w:r w:rsidR="006B7AD9" w:rsidRPr="001D36D0">
        <w:t>. The extension was</w:t>
      </w:r>
      <w:r w:rsidR="006D75B5" w:rsidRPr="001D36D0">
        <w:t xml:space="preserve"> int</w:t>
      </w:r>
      <w:r w:rsidR="006B7AD9" w:rsidRPr="001D36D0">
        <w:t>ended to cover direct and/or in</w:t>
      </w:r>
      <w:r w:rsidR="006D75B5" w:rsidRPr="001D36D0">
        <w:t xml:space="preserve">direct damages caused by defective work and/or defective design. </w:t>
      </w:r>
      <w:r w:rsidR="00FE0597" w:rsidRPr="001D36D0">
        <w:t xml:space="preserve">However, </w:t>
      </w:r>
      <w:r>
        <w:t>here</w:t>
      </w:r>
      <w:r w:rsidR="006B7AD9" w:rsidRPr="001D36D0">
        <w:t xml:space="preserve"> too, to attract cover, </w:t>
      </w:r>
      <w:r w:rsidR="00FE0597" w:rsidRPr="001D36D0">
        <w:t xml:space="preserve">the damages must meet the </w:t>
      </w:r>
      <w:r w:rsidR="006B7AD9" w:rsidRPr="001D36D0">
        <w:t xml:space="preserve">insured event </w:t>
      </w:r>
      <w:r w:rsidR="00FE0597" w:rsidRPr="001D36D0">
        <w:t>definition in the policy, namely sudden and unforeseen damages.</w:t>
      </w:r>
    </w:p>
    <w:p w14:paraId="67E3A570" w14:textId="77777777" w:rsidR="006978D3" w:rsidRPr="001D36D0" w:rsidRDefault="00DC6C50" w:rsidP="00E94C21">
      <w:pPr>
        <w:bidi w:val="0"/>
        <w:spacing w:after="120" w:line="360" w:lineRule="auto"/>
        <w:jc w:val="left"/>
      </w:pPr>
      <w:r>
        <w:t>This argument was</w:t>
      </w:r>
      <w:r w:rsidR="00FE0597" w:rsidRPr="001D36D0">
        <w:t xml:space="preserve"> based on the language of the policy and </w:t>
      </w:r>
      <w:r w:rsidR="006B7AD9" w:rsidRPr="001D36D0">
        <w:t xml:space="preserve">on </w:t>
      </w:r>
      <w:r w:rsidR="00FE0597" w:rsidRPr="001D36D0">
        <w:t xml:space="preserve">the </w:t>
      </w:r>
      <w:r w:rsidR="006B7AD9" w:rsidRPr="001D36D0">
        <w:t xml:space="preserve">correct way of construing such </w:t>
      </w:r>
      <w:r w:rsidR="00FE0597" w:rsidRPr="001D36D0">
        <w:t xml:space="preserve">language </w:t>
      </w:r>
      <w:r w:rsidR="006B7AD9" w:rsidRPr="001D36D0">
        <w:t>as well as</w:t>
      </w:r>
      <w:r w:rsidR="00FE0597" w:rsidRPr="001D36D0">
        <w:t xml:space="preserve"> on decided case law, </w:t>
      </w:r>
      <w:r>
        <w:t>i.e.</w:t>
      </w:r>
      <w:r w:rsidR="00FE0597" w:rsidRPr="001D36D0">
        <w:t xml:space="preserve"> the Supreme Court</w:t>
      </w:r>
      <w:r w:rsidR="00E94C21">
        <w:t>’s</w:t>
      </w:r>
      <w:r w:rsidR="00FE0597" w:rsidRPr="001D36D0">
        <w:t xml:space="preserve"> </w:t>
      </w:r>
      <w:r>
        <w:t>c</w:t>
      </w:r>
      <w:r w:rsidR="00E94C21">
        <w:t>onstruction of</w:t>
      </w:r>
      <w:r w:rsidR="00FE0597" w:rsidRPr="001D36D0">
        <w:t xml:space="preserve"> the application of the extension </w:t>
      </w:r>
      <w:r w:rsidR="0008373D" w:rsidRPr="001D36D0">
        <w:t>of</w:t>
      </w:r>
      <w:r w:rsidR="00FE0597" w:rsidRPr="001D36D0">
        <w:t xml:space="preserve"> </w:t>
      </w:r>
      <w:r w:rsidR="0008373D" w:rsidRPr="001D36D0">
        <w:t>a contractor’s</w:t>
      </w:r>
      <w:r w:rsidR="00FE0597" w:rsidRPr="001D36D0">
        <w:t xml:space="preserve"> insurance</w:t>
      </w:r>
      <w:r w:rsidR="006B7AD9" w:rsidRPr="001D36D0">
        <w:t xml:space="preserve"> </w:t>
      </w:r>
      <w:r w:rsidR="0008373D" w:rsidRPr="001D36D0">
        <w:t xml:space="preserve">policy </w:t>
      </w:r>
      <w:r w:rsidR="006B7AD9" w:rsidRPr="001D36D0">
        <w:t>in respect of direct and/or in</w:t>
      </w:r>
      <w:r w:rsidR="00FE0597" w:rsidRPr="001D36D0">
        <w:t xml:space="preserve">direct damages flowing from defective design </w:t>
      </w:r>
      <w:r w:rsidR="006B7AD9" w:rsidRPr="001D36D0">
        <w:t xml:space="preserve">and/or defective materials </w:t>
      </w:r>
      <w:commentRangeStart w:id="1"/>
      <w:r w:rsidR="00E94C21">
        <w:t>in</w:t>
      </w:r>
      <w:commentRangeEnd w:id="1"/>
      <w:r w:rsidR="00E94C21">
        <w:rPr>
          <w:rStyle w:val="CommentReference"/>
        </w:rPr>
        <w:commentReference w:id="1"/>
      </w:r>
      <w:r w:rsidR="0008373D" w:rsidRPr="001D36D0">
        <w:t xml:space="preserve"> </w:t>
      </w:r>
      <w:r w:rsidR="00FE0597" w:rsidRPr="001D36D0">
        <w:t>the rule in Neve Gan, where it was held that:</w:t>
      </w:r>
    </w:p>
    <w:p w14:paraId="234EB193" w14:textId="77777777" w:rsidR="00FE0597" w:rsidRPr="001D36D0" w:rsidRDefault="00FE0597" w:rsidP="00E9048B">
      <w:pPr>
        <w:bidi w:val="0"/>
        <w:spacing w:after="120" w:line="360" w:lineRule="auto"/>
        <w:ind w:left="1134" w:right="1473"/>
        <w:jc w:val="left"/>
        <w:rPr>
          <w:i/>
          <w:iCs/>
        </w:rPr>
      </w:pPr>
      <w:r w:rsidRPr="001D36D0">
        <w:rPr>
          <w:i/>
          <w:iCs/>
        </w:rPr>
        <w:t xml:space="preserve">“… The provisions of an extension do not stand by themselves but are rather a kind of exception to an exception, which is subject to the definition of insured event in Chapter A of the policy. </w:t>
      </w:r>
      <w:r w:rsidR="0008373D" w:rsidRPr="001D36D0">
        <w:rPr>
          <w:i/>
          <w:iCs/>
        </w:rPr>
        <w:t>T</w:t>
      </w:r>
      <w:r w:rsidRPr="001D36D0">
        <w:rPr>
          <w:i/>
          <w:iCs/>
        </w:rPr>
        <w:t>he District Court</w:t>
      </w:r>
      <w:r w:rsidR="0008373D" w:rsidRPr="001D36D0">
        <w:rPr>
          <w:i/>
          <w:iCs/>
        </w:rPr>
        <w:t>’s finding in this respect</w:t>
      </w:r>
      <w:r w:rsidRPr="001D36D0">
        <w:rPr>
          <w:i/>
          <w:iCs/>
        </w:rPr>
        <w:t xml:space="preserve"> has its basis in law …”</w:t>
      </w:r>
    </w:p>
    <w:p w14:paraId="1CFF1FDC" w14:textId="77777777" w:rsidR="00FE0597" w:rsidRPr="001D36D0" w:rsidRDefault="00FE0597" w:rsidP="00E94C21">
      <w:pPr>
        <w:bidi w:val="0"/>
        <w:spacing w:after="120" w:line="360" w:lineRule="auto"/>
        <w:jc w:val="left"/>
      </w:pPr>
      <w:r w:rsidRPr="001D36D0">
        <w:t xml:space="preserve">Although </w:t>
      </w:r>
      <w:r w:rsidR="00E94C21">
        <w:t>un</w:t>
      </w:r>
      <w:r w:rsidRPr="001D36D0">
        <w:t xml:space="preserve">necessary to do so, we also argued that </w:t>
      </w:r>
      <w:r w:rsidR="0008373D" w:rsidRPr="001D36D0">
        <w:t>the second cumulative condition</w:t>
      </w:r>
      <w:r w:rsidRPr="001D36D0">
        <w:t xml:space="preserve"> required for the policy to apply </w:t>
      </w:r>
      <w:r w:rsidR="0008373D" w:rsidRPr="001D36D0">
        <w:t>did</w:t>
      </w:r>
      <w:r w:rsidRPr="001D36D0">
        <w:t xml:space="preserve"> not pertain, since </w:t>
      </w:r>
      <w:r w:rsidR="0008373D" w:rsidRPr="001D36D0">
        <w:t>that condition required</w:t>
      </w:r>
      <w:r w:rsidRPr="001D36D0">
        <w:t xml:space="preserve"> the insured event </w:t>
      </w:r>
      <w:r w:rsidR="0008373D" w:rsidRPr="001D36D0">
        <w:t>to have occurred</w:t>
      </w:r>
      <w:r w:rsidRPr="001D36D0">
        <w:t xml:space="preserve"> during the insurance period and prior to the maintenance period, meaning t</w:t>
      </w:r>
      <w:r w:rsidR="0008373D" w:rsidRPr="001D36D0">
        <w:t>o say, before the apartments were</w:t>
      </w:r>
      <w:r w:rsidRPr="001D36D0">
        <w:t xml:space="preserve"> handed over to the residents.</w:t>
      </w:r>
    </w:p>
    <w:p w14:paraId="0275EB08" w14:textId="77777777" w:rsidR="00FE0597" w:rsidRPr="001D36D0" w:rsidRDefault="00FE0597" w:rsidP="00E94C21">
      <w:pPr>
        <w:bidi w:val="0"/>
        <w:spacing w:after="120" w:line="360" w:lineRule="auto"/>
        <w:jc w:val="left"/>
      </w:pPr>
      <w:r w:rsidRPr="001D36D0">
        <w:t xml:space="preserve">In this respect, we argued that, </w:t>
      </w:r>
      <w:r w:rsidR="00E94C21">
        <w:t>it emerged</w:t>
      </w:r>
      <w:r w:rsidR="0008373D" w:rsidRPr="001D36D0">
        <w:t xml:space="preserve"> from </w:t>
      </w:r>
      <w:r w:rsidRPr="001D36D0">
        <w:t xml:space="preserve">both from the </w:t>
      </w:r>
      <w:r w:rsidR="0008373D" w:rsidRPr="001D36D0">
        <w:t>allegations</w:t>
      </w:r>
      <w:r w:rsidRPr="001D36D0">
        <w:t xml:space="preserve"> raised in the Statement of Claim and from the information provided by the insured and the residents to Barkan and Idels, that the events </w:t>
      </w:r>
      <w:r w:rsidR="0008373D" w:rsidRPr="001D36D0">
        <w:t>described</w:t>
      </w:r>
      <w:r w:rsidRPr="001D36D0">
        <w:t xml:space="preserve"> in the Statement of Claim occurred after the insurance period and after the maintenance period </w:t>
      </w:r>
      <w:r w:rsidR="00E94C21">
        <w:t xml:space="preserve">had started </w:t>
      </w:r>
      <w:r w:rsidRPr="001D36D0">
        <w:t xml:space="preserve">and that the condition </w:t>
      </w:r>
      <w:r w:rsidR="0008373D" w:rsidRPr="001D36D0">
        <w:t>accordingly did</w:t>
      </w:r>
      <w:r w:rsidRPr="001D36D0">
        <w:t xml:space="preserve"> not apply.</w:t>
      </w:r>
    </w:p>
    <w:p w14:paraId="00C6368D" w14:textId="77777777" w:rsidR="00F365B3" w:rsidRPr="001D36D0" w:rsidRDefault="00FE0597" w:rsidP="00E94C21">
      <w:pPr>
        <w:bidi w:val="0"/>
        <w:spacing w:after="120" w:line="360" w:lineRule="auto"/>
        <w:jc w:val="left"/>
      </w:pPr>
      <w:r w:rsidRPr="001D36D0">
        <w:lastRenderedPageBreak/>
        <w:t>Moreover, we argued that, even on the insured’s case,</w:t>
      </w:r>
      <w:r w:rsidR="00F365B3" w:rsidRPr="001D36D0">
        <w:t xml:space="preserve"> by which the repair and</w:t>
      </w:r>
      <w:r w:rsidR="0008373D" w:rsidRPr="001D36D0">
        <w:t xml:space="preserve"> replacement of the tiles should</w:t>
      </w:r>
      <w:r w:rsidR="00F365B3" w:rsidRPr="001D36D0">
        <w:t xml:space="preserve"> be treated as damage as defined in the policy (an argument which is </w:t>
      </w:r>
      <w:r w:rsidR="0008373D" w:rsidRPr="001D36D0">
        <w:t>outright</w:t>
      </w:r>
      <w:r w:rsidR="00F365B3" w:rsidRPr="001D36D0">
        <w:t xml:space="preserve"> denied</w:t>
      </w:r>
      <w:r w:rsidR="0008373D" w:rsidRPr="001D36D0">
        <w:t>)</w:t>
      </w:r>
      <w:r w:rsidR="00E94C21">
        <w:t>,</w:t>
      </w:r>
      <w:r w:rsidR="0008373D" w:rsidRPr="001D36D0">
        <w:t xml:space="preserve"> the damage must have</w:t>
      </w:r>
      <w:r w:rsidR="00F365B3" w:rsidRPr="001D36D0">
        <w:t xml:space="preserve"> occurred after the insurance period and after the maintenance period </w:t>
      </w:r>
      <w:r w:rsidR="00E94C21">
        <w:t xml:space="preserve">had started </w:t>
      </w:r>
      <w:r w:rsidR="00F365B3" w:rsidRPr="001D36D0">
        <w:t>and</w:t>
      </w:r>
      <w:r w:rsidR="0008373D" w:rsidRPr="001D36D0">
        <w:t xml:space="preserve"> that</w:t>
      </w:r>
      <w:r w:rsidR="00E94C21">
        <w:t xml:space="preserve"> </w:t>
      </w:r>
      <w:r w:rsidR="0008373D" w:rsidRPr="001D36D0">
        <w:t>the extension</w:t>
      </w:r>
      <w:r w:rsidR="00E94C21">
        <w:t xml:space="preserve"> accordingly</w:t>
      </w:r>
      <w:r w:rsidR="0008373D" w:rsidRPr="001D36D0">
        <w:t xml:space="preserve"> had</w:t>
      </w:r>
      <w:r w:rsidR="00F365B3" w:rsidRPr="001D36D0">
        <w:t xml:space="preserve"> absolutely no application to the present claim.</w:t>
      </w:r>
    </w:p>
    <w:p w14:paraId="4F276BE2" w14:textId="77777777" w:rsidR="00FE0597" w:rsidRPr="001D36D0" w:rsidRDefault="00F365B3" w:rsidP="00E94C21">
      <w:pPr>
        <w:bidi w:val="0"/>
        <w:spacing w:after="120" w:line="360" w:lineRule="auto"/>
        <w:jc w:val="left"/>
      </w:pPr>
      <w:r w:rsidRPr="001D36D0">
        <w:t>An addit</w:t>
      </w:r>
      <w:r w:rsidR="00E94C21">
        <w:t>ional reason for denying cover is</w:t>
      </w:r>
      <w:r w:rsidRPr="001D36D0">
        <w:t xml:space="preserve"> that the events </w:t>
      </w:r>
      <w:r w:rsidR="0008373D" w:rsidRPr="001D36D0">
        <w:t>alleged in the claim occurred</w:t>
      </w:r>
      <w:r w:rsidRPr="001D36D0">
        <w:t xml:space="preserve"> outside of the insurance period and are not covered in the framework of the maintenance p</w:t>
      </w:r>
      <w:r w:rsidR="0008373D" w:rsidRPr="001D36D0">
        <w:t xml:space="preserve">eriod. In this respect, we </w:t>
      </w:r>
      <w:r w:rsidRPr="001D36D0">
        <w:t xml:space="preserve">argued that the events </w:t>
      </w:r>
      <w:r w:rsidR="0008373D" w:rsidRPr="001D36D0">
        <w:t xml:space="preserve">alleged in </w:t>
      </w:r>
      <w:r w:rsidRPr="001D36D0">
        <w:t xml:space="preserve">the claim </w:t>
      </w:r>
      <w:r w:rsidR="0008373D" w:rsidRPr="001D36D0">
        <w:t>occurred</w:t>
      </w:r>
      <w:r w:rsidRPr="001D36D0">
        <w:t xml:space="preserve"> outside </w:t>
      </w:r>
      <w:r w:rsidR="0008373D" w:rsidRPr="001D36D0">
        <w:t xml:space="preserve">of </w:t>
      </w:r>
      <w:r w:rsidRPr="001D36D0">
        <w:t>the insurance period, since</w:t>
      </w:r>
      <w:r w:rsidR="00E94C21">
        <w:t>, whilst</w:t>
      </w:r>
      <w:r w:rsidRPr="001D36D0">
        <w:t xml:space="preserve"> the</w:t>
      </w:r>
      <w:r w:rsidR="0008373D" w:rsidRPr="001D36D0">
        <w:t xml:space="preserve"> insurance</w:t>
      </w:r>
      <w:r w:rsidRPr="001D36D0">
        <w:t xml:space="preserve"> start date </w:t>
      </w:r>
      <w:r w:rsidR="0008373D" w:rsidRPr="001D36D0">
        <w:t>was specified in the list of insurance particulars</w:t>
      </w:r>
      <w:r w:rsidRPr="001D36D0">
        <w:t xml:space="preserve">, the insurance </w:t>
      </w:r>
      <w:r w:rsidR="00E94C21">
        <w:t>end date w</w:t>
      </w:r>
      <w:r w:rsidR="004102A8" w:rsidRPr="001D36D0">
        <w:t>as</w:t>
      </w:r>
      <w:r w:rsidRPr="001D36D0">
        <w:t xml:space="preserve"> defined in </w:t>
      </w:r>
      <w:r w:rsidR="004102A8" w:rsidRPr="001D36D0">
        <w:t xml:space="preserve">paragraph three of </w:t>
      </w:r>
      <w:r w:rsidR="00E94C21">
        <w:t xml:space="preserve">the </w:t>
      </w:r>
      <w:r w:rsidR="004102A8" w:rsidRPr="001D36D0">
        <w:t xml:space="preserve">general terms </w:t>
      </w:r>
      <w:r w:rsidRPr="001D36D0">
        <w:t>of the policy in the following terms:</w:t>
      </w:r>
    </w:p>
    <w:p w14:paraId="36629177" w14:textId="77777777" w:rsidR="00F365B3" w:rsidRPr="001D36D0" w:rsidRDefault="00F365B3" w:rsidP="00E94C21">
      <w:pPr>
        <w:bidi w:val="0"/>
        <w:spacing w:after="120" w:line="360" w:lineRule="auto"/>
        <w:ind w:left="1134" w:right="2040"/>
        <w:jc w:val="left"/>
        <w:rPr>
          <w:i/>
          <w:iCs/>
        </w:rPr>
      </w:pPr>
      <w:r w:rsidRPr="001D36D0">
        <w:rPr>
          <w:i/>
          <w:iCs/>
        </w:rPr>
        <w:t xml:space="preserve">“The insurance will </w:t>
      </w:r>
      <w:r w:rsidR="004102A8" w:rsidRPr="001D36D0">
        <w:rPr>
          <w:i/>
          <w:iCs/>
        </w:rPr>
        <w:t xml:space="preserve">immediately </w:t>
      </w:r>
      <w:r w:rsidRPr="001D36D0">
        <w:rPr>
          <w:i/>
          <w:iCs/>
        </w:rPr>
        <w:t>expire in relatio</w:t>
      </w:r>
      <w:r w:rsidR="004102A8" w:rsidRPr="001D36D0">
        <w:rPr>
          <w:i/>
          <w:iCs/>
        </w:rPr>
        <w:t>n to those parts of the project</w:t>
      </w:r>
      <w:r w:rsidRPr="001D36D0">
        <w:rPr>
          <w:i/>
          <w:iCs/>
        </w:rPr>
        <w:t xml:space="preserve"> which are handed over to the project </w:t>
      </w:r>
      <w:r w:rsidR="004102A8" w:rsidRPr="001D36D0">
        <w:rPr>
          <w:i/>
          <w:iCs/>
        </w:rPr>
        <w:t>sponsor</w:t>
      </w:r>
      <w:r w:rsidRPr="001D36D0">
        <w:rPr>
          <w:i/>
          <w:iCs/>
        </w:rPr>
        <w:t xml:space="preserve"> or </w:t>
      </w:r>
      <w:r w:rsidR="004102A8" w:rsidRPr="001D36D0">
        <w:rPr>
          <w:i/>
          <w:iCs/>
        </w:rPr>
        <w:t>which start to be used</w:t>
      </w:r>
      <w:r w:rsidRPr="001D36D0">
        <w:rPr>
          <w:i/>
          <w:iCs/>
        </w:rPr>
        <w:t xml:space="preserve"> (whichever is earlier) – and the same applies if the whole project is handed over or </w:t>
      </w:r>
      <w:r w:rsidR="004102A8" w:rsidRPr="001D36D0">
        <w:rPr>
          <w:i/>
          <w:iCs/>
        </w:rPr>
        <w:t>starts to be</w:t>
      </w:r>
      <w:r w:rsidRPr="001D36D0">
        <w:rPr>
          <w:i/>
          <w:iCs/>
        </w:rPr>
        <w:t xml:space="preserve"> used or </w:t>
      </w:r>
      <w:r w:rsidR="004102A8" w:rsidRPr="001D36D0">
        <w:rPr>
          <w:i/>
          <w:iCs/>
        </w:rPr>
        <w:t xml:space="preserve">is </w:t>
      </w:r>
      <w:r w:rsidRPr="001D36D0">
        <w:rPr>
          <w:i/>
          <w:iCs/>
        </w:rPr>
        <w:t xml:space="preserve">completed. The insurance will expire on the </w:t>
      </w:r>
      <w:r w:rsidR="00A47FF4" w:rsidRPr="001D36D0">
        <w:rPr>
          <w:i/>
          <w:iCs/>
        </w:rPr>
        <w:t>date of the earliest</w:t>
      </w:r>
      <w:r w:rsidRPr="001D36D0">
        <w:rPr>
          <w:i/>
          <w:iCs/>
        </w:rPr>
        <w:t xml:space="preserve"> of these events </w:t>
      </w:r>
      <w:r w:rsidR="00A47FF4" w:rsidRPr="001D36D0">
        <w:rPr>
          <w:i/>
          <w:iCs/>
        </w:rPr>
        <w:t xml:space="preserve">to occur </w:t>
      </w:r>
      <w:r w:rsidRPr="001D36D0">
        <w:rPr>
          <w:i/>
          <w:iCs/>
        </w:rPr>
        <w:t xml:space="preserve">even if these dates </w:t>
      </w:r>
      <w:r w:rsidR="00E94C21" w:rsidRPr="001D36D0">
        <w:rPr>
          <w:i/>
          <w:iCs/>
        </w:rPr>
        <w:t>precede</w:t>
      </w:r>
      <w:r w:rsidRPr="001D36D0">
        <w:rPr>
          <w:i/>
          <w:iCs/>
        </w:rPr>
        <w:t xml:space="preserve"> the date specified in the list </w:t>
      </w:r>
      <w:r w:rsidR="00A47FF4" w:rsidRPr="001D36D0">
        <w:rPr>
          <w:i/>
          <w:iCs/>
        </w:rPr>
        <w:t xml:space="preserve">of insurance particulars </w:t>
      </w:r>
      <w:r w:rsidRPr="001D36D0">
        <w:rPr>
          <w:i/>
          <w:iCs/>
        </w:rPr>
        <w:t>as the insurance period</w:t>
      </w:r>
      <w:r w:rsidR="00E94C21">
        <w:rPr>
          <w:i/>
          <w:iCs/>
        </w:rPr>
        <w:t xml:space="preserve"> end date</w:t>
      </w:r>
      <w:r w:rsidRPr="001D36D0">
        <w:rPr>
          <w:i/>
          <w:iCs/>
        </w:rPr>
        <w:t>.”</w:t>
      </w:r>
    </w:p>
    <w:p w14:paraId="7E735D31" w14:textId="77777777" w:rsidR="00F365B3" w:rsidRPr="001D36D0" w:rsidRDefault="00E94C21" w:rsidP="00971180">
      <w:pPr>
        <w:bidi w:val="0"/>
        <w:spacing w:after="120" w:line="360" w:lineRule="auto"/>
        <w:jc w:val="left"/>
      </w:pPr>
      <w:r>
        <w:t>At the same time</w:t>
      </w:r>
      <w:r w:rsidR="00F365B3" w:rsidRPr="001D36D0">
        <w:t xml:space="preserve">, </w:t>
      </w:r>
      <w:r>
        <w:t>however</w:t>
      </w:r>
      <w:r w:rsidR="00F365B3" w:rsidRPr="001D36D0">
        <w:t xml:space="preserve">, there is a doubt </w:t>
      </w:r>
      <w:r>
        <w:t xml:space="preserve">in this regard </w:t>
      </w:r>
      <w:r w:rsidR="00A47FF4" w:rsidRPr="001D36D0">
        <w:t xml:space="preserve">as to </w:t>
      </w:r>
      <w:r>
        <w:t>when</w:t>
      </w:r>
      <w:r w:rsidR="00F365B3" w:rsidRPr="001D36D0">
        <w:t xml:space="preserve"> the defects became apparent since, in contrast to the part of the project performed by Shjrawi, it appears that</w:t>
      </w:r>
      <w:r w:rsidR="00485BA8" w:rsidRPr="001D36D0">
        <w:t>,</w:t>
      </w:r>
      <w:r w:rsidR="00F365B3" w:rsidRPr="001D36D0">
        <w:t xml:space="preserve"> in respect of the project performed by the Plaintiff, Danya Cebus, the defects</w:t>
      </w:r>
      <w:r w:rsidR="00485BA8" w:rsidRPr="001D36D0">
        <w:t xml:space="preserve"> already</w:t>
      </w:r>
      <w:r w:rsidR="00F365B3" w:rsidRPr="001D36D0">
        <w:t xml:space="preserve"> became apparent </w:t>
      </w:r>
      <w:r w:rsidR="00485BA8" w:rsidRPr="001D36D0">
        <w:t xml:space="preserve">whilst the project was still underway </w:t>
      </w:r>
      <w:r w:rsidR="00A47FF4" w:rsidRPr="001D36D0">
        <w:t>be</w:t>
      </w:r>
      <w:r w:rsidR="00F365B3" w:rsidRPr="001D36D0">
        <w:t>for</w:t>
      </w:r>
      <w:r w:rsidR="00A47FF4" w:rsidRPr="001D36D0">
        <w:t>e</w:t>
      </w:r>
      <w:r w:rsidR="00F365B3" w:rsidRPr="001D36D0">
        <w:t xml:space="preserve"> </w:t>
      </w:r>
      <w:r w:rsidR="00485BA8" w:rsidRPr="001D36D0">
        <w:t>being</w:t>
      </w:r>
      <w:r w:rsidR="00F365B3" w:rsidRPr="001D36D0">
        <w:t xml:space="preserve"> handed over to the </w:t>
      </w:r>
      <w:r w:rsidR="00485BA8" w:rsidRPr="001D36D0">
        <w:t>sponsor and/or the residents</w:t>
      </w:r>
      <w:r w:rsidR="00F365B3" w:rsidRPr="001D36D0">
        <w:t xml:space="preserve">. </w:t>
      </w:r>
      <w:r>
        <w:t>However, w</w:t>
      </w:r>
      <w:r w:rsidR="00485BA8" w:rsidRPr="001D36D0">
        <w:t xml:space="preserve">e included </w:t>
      </w:r>
      <w:r w:rsidR="00971180">
        <w:t>the above</w:t>
      </w:r>
      <w:r w:rsidR="00485BA8" w:rsidRPr="001D36D0">
        <w:t xml:space="preserve"> argument in the Statement of Defense at this stage, even though the </w:t>
      </w:r>
      <w:r w:rsidR="00F365B3" w:rsidRPr="001D36D0">
        <w:t>matter requires further factual clarification.</w:t>
      </w:r>
    </w:p>
    <w:p w14:paraId="2ACB0E46" w14:textId="77777777" w:rsidR="00F365B3" w:rsidRPr="001D36D0" w:rsidRDefault="00971180" w:rsidP="00971180">
      <w:pPr>
        <w:bidi w:val="0"/>
        <w:spacing w:after="120" w:line="360" w:lineRule="auto"/>
        <w:jc w:val="left"/>
      </w:pPr>
      <w:r>
        <w:t>In this vein</w:t>
      </w:r>
      <w:r w:rsidR="00F365B3" w:rsidRPr="001D36D0">
        <w:t xml:space="preserve">, we added that the damages alleged in the Statement of Claim </w:t>
      </w:r>
      <w:r w:rsidR="00485BA8" w:rsidRPr="001D36D0">
        <w:t>were</w:t>
      </w:r>
      <w:r w:rsidR="00F365B3" w:rsidRPr="001D36D0">
        <w:t xml:space="preserve"> not covered by the insurance cover granted in respect of the maintenance period. </w:t>
      </w:r>
      <w:r w:rsidR="00485BA8" w:rsidRPr="001D36D0">
        <w:t>A</w:t>
      </w:r>
      <w:r w:rsidR="00F365B3" w:rsidRPr="001D36D0">
        <w:t xml:space="preserve"> 12 month maintenance period </w:t>
      </w:r>
      <w:r w:rsidR="00485BA8" w:rsidRPr="001D36D0">
        <w:t>was</w:t>
      </w:r>
      <w:r w:rsidR="00F365B3" w:rsidRPr="001D36D0">
        <w:t xml:space="preserve"> set for the Gindi Boulevard project</w:t>
      </w:r>
      <w:r w:rsidR="00485BA8" w:rsidRPr="001D36D0">
        <w:t xml:space="preserve"> in the list of insurance particulars in the policy</w:t>
      </w:r>
      <w:r w:rsidR="00F365B3" w:rsidRPr="001D36D0">
        <w:t xml:space="preserve">. From the language of the policy in relation to insurance cover during the maintenance period, it </w:t>
      </w:r>
      <w:r w:rsidR="00485BA8" w:rsidRPr="001D36D0">
        <w:t xml:space="preserve">is </w:t>
      </w:r>
      <w:r>
        <w:t>clear</w:t>
      </w:r>
      <w:r w:rsidR="00485BA8" w:rsidRPr="001D36D0">
        <w:t xml:space="preserve"> that the policy was</w:t>
      </w:r>
      <w:r w:rsidR="00F365B3" w:rsidRPr="001D36D0">
        <w:t xml:space="preserve"> not intended to cover costs arising from performance of maintenance works in and of themselves (although this is not intended to imply that we consider that </w:t>
      </w:r>
      <w:r w:rsidR="00015229" w:rsidRPr="001D36D0">
        <w:t xml:space="preserve">maintenance works form </w:t>
      </w:r>
      <w:r w:rsidR="00F365B3" w:rsidRPr="001D36D0">
        <w:t xml:space="preserve">the subject matter of </w:t>
      </w:r>
      <w:r w:rsidR="00015229" w:rsidRPr="001D36D0">
        <w:t>the</w:t>
      </w:r>
      <w:r w:rsidR="00F365B3" w:rsidRPr="001D36D0">
        <w:t xml:space="preserve"> claim, </w:t>
      </w:r>
      <w:r w:rsidR="00015229" w:rsidRPr="001D36D0">
        <w:t>since</w:t>
      </w:r>
      <w:r w:rsidR="00F365B3" w:rsidRPr="001D36D0">
        <w:t xml:space="preserve"> </w:t>
      </w:r>
      <w:r>
        <w:t xml:space="preserve">this </w:t>
      </w:r>
      <w:r w:rsidR="00F365B3" w:rsidRPr="001D36D0">
        <w:t>is not the case).</w:t>
      </w:r>
    </w:p>
    <w:p w14:paraId="4AEF5571" w14:textId="77777777" w:rsidR="00C51036" w:rsidRPr="001D36D0" w:rsidRDefault="00C51036" w:rsidP="00E9048B">
      <w:pPr>
        <w:bidi w:val="0"/>
        <w:spacing w:after="120" w:line="360" w:lineRule="auto"/>
        <w:jc w:val="left"/>
      </w:pPr>
      <w:r w:rsidRPr="001D36D0">
        <w:lastRenderedPageBreak/>
        <w:t xml:space="preserve">The purpose of the insurance cover for the maintenance period </w:t>
      </w:r>
      <w:r w:rsidR="0014171F" w:rsidRPr="001D36D0">
        <w:t>was</w:t>
      </w:r>
      <w:r w:rsidRPr="001D36D0">
        <w:t xml:space="preserve"> to </w:t>
      </w:r>
      <w:r w:rsidR="0014171F" w:rsidRPr="001D36D0">
        <w:t>insure</w:t>
      </w:r>
      <w:r w:rsidRPr="001D36D0">
        <w:t xml:space="preserve"> damages caused to the maintenance works and/or to </w:t>
      </w:r>
      <w:r w:rsidR="0014171F" w:rsidRPr="001D36D0">
        <w:t>third-parties</w:t>
      </w:r>
      <w:r w:rsidRPr="001D36D0">
        <w:t xml:space="preserve"> (property or person) as a result of such works. However, in the present case</w:t>
      </w:r>
      <w:r w:rsidR="0014171F" w:rsidRPr="001D36D0">
        <w:t>,</w:t>
      </w:r>
      <w:r w:rsidRPr="001D36D0">
        <w:t xml:space="preserve"> the insured </w:t>
      </w:r>
      <w:r w:rsidR="0014171F" w:rsidRPr="001D36D0">
        <w:t xml:space="preserve">itself </w:t>
      </w:r>
      <w:r w:rsidRPr="001D36D0">
        <w:t>does not allege that the relevant damage occurred as a result of the maintenance works.</w:t>
      </w:r>
    </w:p>
    <w:p w14:paraId="5AADAADD" w14:textId="77777777" w:rsidR="00C51036" w:rsidRPr="001D36D0" w:rsidRDefault="00C51036" w:rsidP="00971180">
      <w:pPr>
        <w:bidi w:val="0"/>
        <w:spacing w:after="120" w:line="360" w:lineRule="auto"/>
        <w:jc w:val="left"/>
      </w:pPr>
      <w:r w:rsidRPr="001D36D0">
        <w:t xml:space="preserve">A second possibility is that the damage was caused during the maintenance period as a result of an insured event </w:t>
      </w:r>
      <w:r w:rsidR="00971180">
        <w:t>occurring</w:t>
      </w:r>
      <w:r w:rsidRPr="001D36D0">
        <w:t xml:space="preserve"> during the insurance period. This possibility is also irrel</w:t>
      </w:r>
      <w:r w:rsidR="0014171F" w:rsidRPr="001D36D0">
        <w:t xml:space="preserve">evant, since, </w:t>
      </w:r>
      <w:r w:rsidR="0014171F" w:rsidRPr="001D36D0">
        <w:t>as detailed above</w:t>
      </w:r>
      <w:r w:rsidR="0014171F" w:rsidRPr="001D36D0">
        <w:t>, the relevant event wa</w:t>
      </w:r>
      <w:r w:rsidRPr="001D36D0">
        <w:t>s not an insured event as defin</w:t>
      </w:r>
      <w:r w:rsidR="0014171F" w:rsidRPr="001D36D0">
        <w:t>ed in the policy</w:t>
      </w:r>
      <w:r w:rsidRPr="001D36D0">
        <w:t>.</w:t>
      </w:r>
    </w:p>
    <w:p w14:paraId="5380BFD1" w14:textId="77777777" w:rsidR="00C51036" w:rsidRPr="001D36D0" w:rsidRDefault="00C51036" w:rsidP="00E9048B">
      <w:pPr>
        <w:bidi w:val="0"/>
        <w:spacing w:after="120" w:line="360" w:lineRule="auto"/>
        <w:jc w:val="left"/>
      </w:pPr>
      <w:r w:rsidRPr="001D36D0">
        <w:t xml:space="preserve">A third and final possibility is that </w:t>
      </w:r>
      <w:r w:rsidR="0014171F" w:rsidRPr="001D36D0">
        <w:t>the damages constitute</w:t>
      </w:r>
      <w:r w:rsidR="00971180">
        <w:t>d</w:t>
      </w:r>
      <w:r w:rsidR="0014171F" w:rsidRPr="001D36D0">
        <w:t xml:space="preserve"> </w:t>
      </w:r>
      <w:r w:rsidRPr="001D36D0">
        <w:t xml:space="preserve">loss or damage to the project works which occurred during the insurance period </w:t>
      </w:r>
      <w:r w:rsidR="0014171F" w:rsidRPr="001D36D0">
        <w:t>but</w:t>
      </w:r>
      <w:r w:rsidRPr="001D36D0">
        <w:t xml:space="preserve"> which </w:t>
      </w:r>
      <w:r w:rsidR="0014171F" w:rsidRPr="001D36D0">
        <w:t xml:space="preserve">only </w:t>
      </w:r>
      <w:r w:rsidRPr="001D36D0">
        <w:t>became apparent during th</w:t>
      </w:r>
      <w:r w:rsidR="0014171F" w:rsidRPr="001D36D0">
        <w:t>e maintenance period</w:t>
      </w:r>
      <w:r w:rsidRPr="001D36D0">
        <w:t xml:space="preserve">. We argued that this possibility also </w:t>
      </w:r>
      <w:r w:rsidR="0014171F" w:rsidRPr="001D36D0">
        <w:t>did</w:t>
      </w:r>
      <w:r w:rsidRPr="001D36D0">
        <w:t xml:space="preserve"> not apply in the present case since</w:t>
      </w:r>
      <w:r w:rsidR="0014171F" w:rsidRPr="001D36D0">
        <w:t>, as detailed above,</w:t>
      </w:r>
      <w:r w:rsidRPr="001D36D0">
        <w:t xml:space="preserve"> </w:t>
      </w:r>
      <w:r w:rsidR="0014171F" w:rsidRPr="001D36D0">
        <w:t xml:space="preserve">the </w:t>
      </w:r>
      <w:r w:rsidRPr="001D36D0">
        <w:t xml:space="preserve">damage occurred outside the insurance period, </w:t>
      </w:r>
      <w:r w:rsidR="0014171F" w:rsidRPr="001D36D0">
        <w:t>i.e.</w:t>
      </w:r>
      <w:r w:rsidRPr="001D36D0">
        <w:t xml:space="preserve"> after </w:t>
      </w:r>
      <w:r w:rsidR="0014171F" w:rsidRPr="001D36D0">
        <w:t>the apartments were handed over</w:t>
      </w:r>
      <w:r w:rsidRPr="001D36D0">
        <w:t>.</w:t>
      </w:r>
    </w:p>
    <w:p w14:paraId="0D4BA579" w14:textId="77777777" w:rsidR="00C51036" w:rsidRPr="001D36D0" w:rsidRDefault="00C51036" w:rsidP="00E9048B">
      <w:pPr>
        <w:bidi w:val="0"/>
        <w:spacing w:after="120" w:line="360" w:lineRule="auto"/>
        <w:jc w:val="left"/>
      </w:pPr>
      <w:r w:rsidRPr="001D36D0">
        <w:t xml:space="preserve">In light of </w:t>
      </w:r>
      <w:r w:rsidR="0014171F" w:rsidRPr="001D36D0">
        <w:t>all of the</w:t>
      </w:r>
      <w:r w:rsidRPr="001D36D0">
        <w:t xml:space="preserve"> foregoing, we </w:t>
      </w:r>
      <w:r w:rsidR="0085093E" w:rsidRPr="001D36D0">
        <w:t xml:space="preserve">have </w:t>
      </w:r>
      <w:r w:rsidRPr="001D36D0">
        <w:t>argued that the events and damages alleged in the Statement of Claim, which are denied</w:t>
      </w:r>
      <w:r w:rsidR="0085093E" w:rsidRPr="001D36D0">
        <w:t xml:space="preserve"> </w:t>
      </w:r>
      <w:r w:rsidR="0085093E" w:rsidRPr="001D36D0">
        <w:t>in and of themselves</w:t>
      </w:r>
      <w:r w:rsidRPr="001D36D0">
        <w:t xml:space="preserve">, </w:t>
      </w:r>
      <w:r w:rsidR="0085093E" w:rsidRPr="001D36D0">
        <w:t>are</w:t>
      </w:r>
      <w:r w:rsidRPr="001D36D0">
        <w:t xml:space="preserve"> not covered by the contract works insurance policy issued by your company to the insured.</w:t>
      </w:r>
    </w:p>
    <w:p w14:paraId="2A17BFB1" w14:textId="77777777" w:rsidR="00C51036" w:rsidRPr="001D36D0" w:rsidRDefault="00C51036" w:rsidP="00E9048B">
      <w:pPr>
        <w:bidi w:val="0"/>
        <w:spacing w:after="120" w:line="360" w:lineRule="auto"/>
        <w:jc w:val="left"/>
        <w:rPr>
          <w:b/>
          <w:bCs/>
          <w:u w:val="single"/>
        </w:rPr>
      </w:pPr>
      <w:r w:rsidRPr="001D36D0">
        <w:rPr>
          <w:b/>
          <w:bCs/>
          <w:u w:val="single"/>
        </w:rPr>
        <w:t>The Mediation Proceedings and Settlement Proposal:</w:t>
      </w:r>
    </w:p>
    <w:p w14:paraId="6C21ADA2" w14:textId="23EFC55E" w:rsidR="00F365B3" w:rsidRPr="001D36D0" w:rsidRDefault="00C51036" w:rsidP="00173538">
      <w:pPr>
        <w:bidi w:val="0"/>
        <w:spacing w:after="120" w:line="360" w:lineRule="auto"/>
        <w:jc w:val="left"/>
      </w:pPr>
      <w:r w:rsidRPr="001D36D0">
        <w:t>After the Statement of Defense was filed, the parties commenced preliminary proceedings</w:t>
      </w:r>
      <w:r w:rsidR="00173538">
        <w:t xml:space="preserve"> and</w:t>
      </w:r>
      <w:r w:rsidRPr="001D36D0">
        <w:t xml:space="preserve">, </w:t>
      </w:r>
      <w:r w:rsidR="00173538">
        <w:t>as recommended by the Court</w:t>
      </w:r>
      <w:r w:rsidRPr="001D36D0">
        <w:t>, the case was</w:t>
      </w:r>
      <w:r w:rsidR="001D36D0" w:rsidRPr="001D36D0">
        <w:t xml:space="preserve"> simultaneously</w:t>
      </w:r>
      <w:r w:rsidRPr="001D36D0">
        <w:t xml:space="preserve"> transferred to mediation proceedings before Adv. Ram Horwitz.</w:t>
      </w:r>
    </w:p>
    <w:p w14:paraId="630F12DD" w14:textId="77777777" w:rsidR="00C51036" w:rsidRPr="001D36D0" w:rsidRDefault="001D36D0" w:rsidP="00E9048B">
      <w:pPr>
        <w:bidi w:val="0"/>
        <w:spacing w:after="120" w:line="360" w:lineRule="auto"/>
        <w:jc w:val="left"/>
        <w:rPr>
          <w:b/>
          <w:bCs/>
          <w:u w:val="single"/>
        </w:rPr>
      </w:pPr>
      <w:r w:rsidRPr="001D36D0">
        <w:rPr>
          <w:b/>
          <w:bCs/>
          <w:u w:val="single"/>
        </w:rPr>
        <w:t>Presently, after</w:t>
      </w:r>
      <w:r w:rsidR="00C51036" w:rsidRPr="001D36D0">
        <w:rPr>
          <w:b/>
          <w:bCs/>
          <w:u w:val="single"/>
        </w:rPr>
        <w:t xml:space="preserve"> lengthy mediation proceedings, a settlement proposal for dismissing the claim in the total amount of NIS 765,000 is on the table.</w:t>
      </w:r>
    </w:p>
    <w:p w14:paraId="5453A198" w14:textId="04E2AF41" w:rsidR="00C51036" w:rsidRPr="001D36D0" w:rsidRDefault="001D36D0" w:rsidP="00173538">
      <w:pPr>
        <w:bidi w:val="0"/>
        <w:spacing w:after="120" w:line="360" w:lineRule="auto"/>
        <w:jc w:val="left"/>
      </w:pPr>
      <w:r>
        <w:t>I</w:t>
      </w:r>
      <w:r w:rsidR="00C51036" w:rsidRPr="001D36D0">
        <w:t xml:space="preserve">n light of the circumstances presented to us in the </w:t>
      </w:r>
      <w:r w:rsidR="00173538">
        <w:t>context</w:t>
      </w:r>
      <w:r w:rsidR="00C51036" w:rsidRPr="001D36D0">
        <w:t xml:space="preserve"> of the mediation proceedings, </w:t>
      </w:r>
      <w:r>
        <w:t xml:space="preserve">we consider that </w:t>
      </w:r>
      <w:r w:rsidR="00C51036" w:rsidRPr="001D36D0">
        <w:t xml:space="preserve">the settlement proposal </w:t>
      </w:r>
      <w:r>
        <w:t>ought</w:t>
      </w:r>
      <w:r w:rsidR="00C51036" w:rsidRPr="001D36D0">
        <w:t xml:space="preserve"> to be accepted. This is for the following reasons:</w:t>
      </w:r>
    </w:p>
    <w:p w14:paraId="276B20FB" w14:textId="1F50C835" w:rsidR="00C51036" w:rsidRPr="001D36D0" w:rsidRDefault="00C51036" w:rsidP="00173538">
      <w:pPr>
        <w:bidi w:val="0"/>
        <w:spacing w:after="120" w:line="360" w:lineRule="auto"/>
        <w:ind w:left="1134" w:hanging="567"/>
        <w:jc w:val="left"/>
      </w:pPr>
      <w:r w:rsidRPr="001D36D0">
        <w:t>1.</w:t>
      </w:r>
      <w:r w:rsidRPr="001D36D0">
        <w:tab/>
        <w:t xml:space="preserve">We were </w:t>
      </w:r>
      <w:r w:rsidR="001D36D0">
        <w:t>shown</w:t>
      </w:r>
      <w:r w:rsidRPr="001D36D0">
        <w:t xml:space="preserve"> receipts</w:t>
      </w:r>
      <w:r w:rsidR="00173538">
        <w:t xml:space="preserve"> </w:t>
      </w:r>
      <w:r w:rsidR="00173538" w:rsidRPr="001D36D0">
        <w:t>in an amount of NIS 3,963,072</w:t>
      </w:r>
      <w:r w:rsidRPr="001D36D0">
        <w:t xml:space="preserve"> for actual payments </w:t>
      </w:r>
      <w:r w:rsidR="00173538">
        <w:t>made in respect of</w:t>
      </w:r>
      <w:r w:rsidRPr="001D36D0">
        <w:t xml:space="preserve"> the </w:t>
      </w:r>
      <w:r w:rsidR="00173538">
        <w:t>cladding defect repairs</w:t>
      </w:r>
      <w:r w:rsidRPr="001D36D0">
        <w:t xml:space="preserve"> (attached to this report).</w:t>
      </w:r>
    </w:p>
    <w:p w14:paraId="53DD1214" w14:textId="5E737B4A" w:rsidR="00C51036" w:rsidRPr="001D36D0" w:rsidRDefault="001D36D0" w:rsidP="00173538">
      <w:pPr>
        <w:bidi w:val="0"/>
        <w:spacing w:after="120" w:line="360" w:lineRule="auto"/>
        <w:ind w:left="1134" w:hanging="567"/>
        <w:jc w:val="left"/>
      </w:pPr>
      <w:r>
        <w:t>2.</w:t>
      </w:r>
      <w:r>
        <w:tab/>
        <w:t>The settlement amount</w:t>
      </w:r>
      <w:r w:rsidR="00C51036" w:rsidRPr="001D36D0">
        <w:t xml:space="preserve"> </w:t>
      </w:r>
      <w:r w:rsidRPr="001D36D0">
        <w:t xml:space="preserve">only </w:t>
      </w:r>
      <w:r w:rsidR="00C51036" w:rsidRPr="001D36D0">
        <w:t>constitutes 15% of the repair costs, plus att</w:t>
      </w:r>
      <w:r>
        <w:t xml:space="preserve">orneys’ fees and VAT </w:t>
      </w:r>
      <w:r w:rsidR="00173538">
        <w:t>and</w:t>
      </w:r>
      <w:r>
        <w:t xml:space="preserve"> </w:t>
      </w:r>
      <w:r w:rsidR="00C51036" w:rsidRPr="001D36D0">
        <w:t>opinion</w:t>
      </w:r>
      <w:r>
        <w:t xml:space="preserve"> costs</w:t>
      </w:r>
      <w:r w:rsidR="00C51036" w:rsidRPr="001D36D0">
        <w:t>.</w:t>
      </w:r>
    </w:p>
    <w:p w14:paraId="630B5B63" w14:textId="77777777" w:rsidR="00C51036" w:rsidRPr="001D36D0" w:rsidRDefault="00C51036" w:rsidP="00E9048B">
      <w:pPr>
        <w:bidi w:val="0"/>
        <w:spacing w:after="120" w:line="360" w:lineRule="auto"/>
        <w:ind w:left="1134" w:hanging="567"/>
        <w:jc w:val="left"/>
      </w:pPr>
      <w:r w:rsidRPr="001D36D0">
        <w:lastRenderedPageBreak/>
        <w:t>3.</w:t>
      </w:r>
      <w:r w:rsidRPr="001D36D0">
        <w:tab/>
      </w:r>
      <w:r w:rsidR="001D36D0">
        <w:t>In our opinion, the dispute in this case boils</w:t>
      </w:r>
      <w:r w:rsidR="00F428A5" w:rsidRPr="001D36D0">
        <w:t xml:space="preserve"> down to the question as to whether the inspections performed on the stones by the laboratory (a laboratory licensed by the Standards Institution) were sufficient or </w:t>
      </w:r>
      <w:r w:rsidR="001D36D0">
        <w:t>not.</w:t>
      </w:r>
    </w:p>
    <w:p w14:paraId="45BDC1CD" w14:textId="59651280" w:rsidR="00F428A5" w:rsidRPr="001D36D0" w:rsidRDefault="001D36D0" w:rsidP="00173538">
      <w:pPr>
        <w:bidi w:val="0"/>
        <w:spacing w:after="120" w:line="360" w:lineRule="auto"/>
        <w:ind w:left="1134" w:hanging="567"/>
        <w:jc w:val="left"/>
      </w:pPr>
      <w:r>
        <w:t>4.</w:t>
      </w:r>
      <w:r>
        <w:tab/>
        <w:t xml:space="preserve">According to </w:t>
      </w:r>
      <w:r w:rsidR="00F428A5" w:rsidRPr="001D36D0">
        <w:t>Eng. Idels</w:t>
      </w:r>
      <w:r>
        <w:t>’ opinion</w:t>
      </w:r>
      <w:r w:rsidR="00F428A5" w:rsidRPr="001D36D0">
        <w:t xml:space="preserve"> commissioned by your company,</w:t>
      </w:r>
      <w:r>
        <w:t xml:space="preserve"> </w:t>
      </w:r>
      <w:r w:rsidR="00AD5355">
        <w:t>although</w:t>
      </w:r>
      <w:r w:rsidR="00F428A5" w:rsidRPr="001D36D0">
        <w:t xml:space="preserve"> </w:t>
      </w:r>
      <w:r>
        <w:t xml:space="preserve">some </w:t>
      </w:r>
      <w:r w:rsidR="00F428A5" w:rsidRPr="001D36D0">
        <w:t xml:space="preserve">inspections were indeed </w:t>
      </w:r>
      <w:r>
        <w:t>performed,</w:t>
      </w:r>
      <w:r w:rsidR="00F428A5" w:rsidRPr="001D36D0">
        <w:t xml:space="preserve"> not all of the inspections required under Standard 2378 were carried out and, </w:t>
      </w:r>
      <w:r w:rsidR="00173538">
        <w:t xml:space="preserve">if they had </w:t>
      </w:r>
      <w:r w:rsidR="00F428A5" w:rsidRPr="001D36D0">
        <w:t xml:space="preserve">been </w:t>
      </w:r>
      <w:r w:rsidR="00173538">
        <w:t>c</w:t>
      </w:r>
      <w:r w:rsidR="00F428A5" w:rsidRPr="001D36D0">
        <w:t>arried out, the defect in the stones could have been revealed.</w:t>
      </w:r>
    </w:p>
    <w:p w14:paraId="1BC0B156" w14:textId="0EA95119" w:rsidR="00967E8D" w:rsidRPr="001D36D0" w:rsidRDefault="00F428A5" w:rsidP="00C10AE2">
      <w:pPr>
        <w:bidi w:val="0"/>
        <w:spacing w:after="120" w:line="360" w:lineRule="auto"/>
        <w:ind w:left="1134" w:hanging="567"/>
        <w:jc w:val="left"/>
      </w:pPr>
      <w:r w:rsidRPr="001D36D0">
        <w:t>5.</w:t>
      </w:r>
      <w:r w:rsidRPr="001D36D0">
        <w:tab/>
        <w:t>The insured argues that the laboratory and the Standards Institution are the very parties who d</w:t>
      </w:r>
      <w:r w:rsidR="00AD5355">
        <w:t xml:space="preserve">ictate the required inspections, </w:t>
      </w:r>
      <w:r w:rsidRPr="001D36D0">
        <w:t>that the company paid for all of the inspections and that there was therefore no failing on the</w:t>
      </w:r>
      <w:r w:rsidR="00173538">
        <w:t xml:space="preserve"> company’s</w:t>
      </w:r>
      <w:r w:rsidRPr="001D36D0">
        <w:t xml:space="preserve"> part. </w:t>
      </w:r>
      <w:r w:rsidR="00AD5355">
        <w:t>T</w:t>
      </w:r>
      <w:r w:rsidRPr="001D36D0">
        <w:t xml:space="preserve">he insured </w:t>
      </w:r>
      <w:r w:rsidR="00AD5355">
        <w:t xml:space="preserve">further </w:t>
      </w:r>
      <w:r w:rsidRPr="001D36D0">
        <w:t xml:space="preserve">argues that the </w:t>
      </w:r>
      <w:r w:rsidR="00AD5355">
        <w:t xml:space="preserve">inspections </w:t>
      </w:r>
      <w:r w:rsidRPr="001D36D0">
        <w:t xml:space="preserve">mentioned in Idels’ opinion </w:t>
      </w:r>
      <w:r w:rsidR="00AD5355">
        <w:t>as having been omitted were</w:t>
      </w:r>
      <w:r w:rsidRPr="001D36D0">
        <w:t xml:space="preserve"> inspections </w:t>
      </w:r>
      <w:r w:rsidR="00AD5355">
        <w:t xml:space="preserve">of </w:t>
      </w:r>
      <w:r w:rsidRPr="001D36D0">
        <w:t xml:space="preserve">stone thickness, whereas </w:t>
      </w:r>
      <w:r w:rsidR="00AD5355">
        <w:t>the defect</w:t>
      </w:r>
      <w:r w:rsidRPr="001D36D0">
        <w:t xml:space="preserve"> in the stones </w:t>
      </w:r>
      <w:r w:rsidR="00AD5355">
        <w:t>which came to light had nothing to do with stone thickness</w:t>
      </w:r>
      <w:r w:rsidRPr="001D36D0">
        <w:t xml:space="preserve"> but rather with the</w:t>
      </w:r>
      <w:r w:rsidR="00967E8D" w:rsidRPr="001D36D0">
        <w:t xml:space="preserve"> metallic </w:t>
      </w:r>
      <w:r w:rsidR="00616856">
        <w:t>layers</w:t>
      </w:r>
      <w:r w:rsidR="00967E8D" w:rsidRPr="001D36D0">
        <w:t xml:space="preserve"> </w:t>
      </w:r>
      <w:r w:rsidR="00616856">
        <w:t>in the stone, which cause</w:t>
      </w:r>
      <w:r w:rsidR="00967E8D" w:rsidRPr="001D36D0">
        <w:t xml:space="preserve"> </w:t>
      </w:r>
      <w:r w:rsidR="00C10AE2">
        <w:t>crumbling in the stone</w:t>
      </w:r>
      <w:r w:rsidR="00616856">
        <w:t xml:space="preserve"> through a corrosive process</w:t>
      </w:r>
      <w:r w:rsidR="00967E8D" w:rsidRPr="001D36D0">
        <w:t>.</w:t>
      </w:r>
    </w:p>
    <w:p w14:paraId="4A5FFE3E" w14:textId="60FA3330" w:rsidR="00F428A5" w:rsidRPr="001D36D0" w:rsidRDefault="00967E8D" w:rsidP="00C10AE2">
      <w:pPr>
        <w:bidi w:val="0"/>
        <w:spacing w:after="120" w:line="360" w:lineRule="auto"/>
        <w:ind w:left="1134" w:hanging="567"/>
        <w:jc w:val="left"/>
      </w:pPr>
      <w:r w:rsidRPr="001D36D0">
        <w:t>6.</w:t>
      </w:r>
      <w:r w:rsidRPr="001D36D0">
        <w:tab/>
        <w:t xml:space="preserve">The insured argues that the defect in the stones constitutes a </w:t>
      </w:r>
      <w:r w:rsidR="002C126D">
        <w:t>sudden</w:t>
      </w:r>
      <w:r w:rsidRPr="001D36D0">
        <w:t xml:space="preserve"> event </w:t>
      </w:r>
      <w:r w:rsidR="002C126D">
        <w:t>constituting an</w:t>
      </w:r>
      <w:r w:rsidRPr="001D36D0">
        <w:t xml:space="preserve"> insured event</w:t>
      </w:r>
      <w:r w:rsidR="002C126D">
        <w:t>, as defined,</w:t>
      </w:r>
      <w:r w:rsidRPr="001D36D0">
        <w:t xml:space="preserve"> </w:t>
      </w:r>
      <w:r w:rsidR="00C10AE2" w:rsidRPr="001D36D0">
        <w:t>for all intents and purposes</w:t>
      </w:r>
      <w:r w:rsidR="00C10AE2" w:rsidRPr="001D36D0">
        <w:t xml:space="preserve"> </w:t>
      </w:r>
      <w:r w:rsidRPr="001D36D0">
        <w:t xml:space="preserve">since, in its view, all </w:t>
      </w:r>
      <w:r w:rsidR="002C126D">
        <w:t>o</w:t>
      </w:r>
      <w:r w:rsidR="00C10AE2">
        <w:t>f</w:t>
      </w:r>
      <w:r w:rsidR="002C126D">
        <w:t xml:space="preserve"> the </w:t>
      </w:r>
      <w:r w:rsidRPr="001D36D0">
        <w:t xml:space="preserve">inspections required under the </w:t>
      </w:r>
      <w:r w:rsidR="002C126D">
        <w:t xml:space="preserve">Standard were performed and they </w:t>
      </w:r>
      <w:r w:rsidR="00C10AE2">
        <w:t>transpired to</w:t>
      </w:r>
      <w:r w:rsidR="002C126D">
        <w:t xml:space="preserve"> be in</w:t>
      </w:r>
      <w:r w:rsidRPr="001D36D0">
        <w:t>sufficient</w:t>
      </w:r>
      <w:r w:rsidR="002C126D">
        <w:t xml:space="preserve"> to reveal the existing defects; </w:t>
      </w:r>
      <w:r w:rsidR="002C126D">
        <w:rPr>
          <w:u w:val="single"/>
        </w:rPr>
        <w:t>the insured</w:t>
      </w:r>
      <w:r w:rsidR="002C126D" w:rsidRPr="002C126D">
        <w:rPr>
          <w:u w:val="single"/>
        </w:rPr>
        <w:t xml:space="preserve"> </w:t>
      </w:r>
      <w:r w:rsidRPr="001D36D0">
        <w:rPr>
          <w:u w:val="single"/>
        </w:rPr>
        <w:t xml:space="preserve">accordingly </w:t>
      </w:r>
      <w:r w:rsidR="002C126D">
        <w:rPr>
          <w:u w:val="single"/>
        </w:rPr>
        <w:t xml:space="preserve">argues that it is </w:t>
      </w:r>
      <w:r w:rsidRPr="001D36D0">
        <w:rPr>
          <w:u w:val="single"/>
        </w:rPr>
        <w:t>entitled to all of its damages</w:t>
      </w:r>
      <w:r w:rsidRPr="001D36D0">
        <w:t>.</w:t>
      </w:r>
    </w:p>
    <w:p w14:paraId="5FA96DBC" w14:textId="7C649850" w:rsidR="00967E8D" w:rsidRPr="001D36D0" w:rsidRDefault="00967E8D" w:rsidP="006B1FFC">
      <w:pPr>
        <w:bidi w:val="0"/>
        <w:spacing w:after="120" w:line="360" w:lineRule="auto"/>
        <w:ind w:left="1134" w:hanging="567"/>
        <w:jc w:val="left"/>
      </w:pPr>
      <w:r w:rsidRPr="001D36D0">
        <w:t>7.</w:t>
      </w:r>
      <w:r w:rsidRPr="001D36D0">
        <w:tab/>
        <w:t xml:space="preserve">Moreover, </w:t>
      </w:r>
      <w:r w:rsidR="002C126D">
        <w:t>in circumstances where</w:t>
      </w:r>
      <w:r w:rsidR="005B642E">
        <w:t xml:space="preserve"> it was</w:t>
      </w:r>
      <w:r w:rsidR="002C126D">
        <w:t xml:space="preserve"> patently clear</w:t>
      </w:r>
      <w:r w:rsidRPr="001D36D0">
        <w:t xml:space="preserve"> that </w:t>
      </w:r>
      <w:r w:rsidR="002C126D">
        <w:t xml:space="preserve">it </w:t>
      </w:r>
      <w:r w:rsidR="005B642E">
        <w:t>would</w:t>
      </w:r>
      <w:r w:rsidR="002C126D">
        <w:t xml:space="preserve"> only </w:t>
      </w:r>
      <w:r w:rsidR="005B642E">
        <w:t xml:space="preserve">be </w:t>
      </w:r>
      <w:r w:rsidR="002C126D">
        <w:t>a matter of time until even greater damage</w:t>
      </w:r>
      <w:r w:rsidRPr="001D36D0">
        <w:t xml:space="preserve"> occur</w:t>
      </w:r>
      <w:r w:rsidR="005B642E">
        <w:t>red</w:t>
      </w:r>
      <w:r w:rsidRPr="001D36D0">
        <w:t xml:space="preserve"> to </w:t>
      </w:r>
      <w:r w:rsidR="002C126D">
        <w:t xml:space="preserve">the </w:t>
      </w:r>
      <w:r w:rsidRPr="001D36D0">
        <w:t xml:space="preserve">stones </w:t>
      </w:r>
      <w:r w:rsidR="002C126D">
        <w:t xml:space="preserve">and </w:t>
      </w:r>
      <w:r w:rsidR="005B642E">
        <w:t>that the rest of the stones would</w:t>
      </w:r>
      <w:r w:rsidRPr="001D36D0">
        <w:t xml:space="preserve"> </w:t>
      </w:r>
      <w:r w:rsidR="002C126D">
        <w:t xml:space="preserve">also </w:t>
      </w:r>
      <w:r w:rsidRPr="001D36D0">
        <w:t xml:space="preserve">crumble in the future, there was no escaping the maintenance </w:t>
      </w:r>
      <w:r w:rsidR="002C126D">
        <w:t>works recommended by the expert,</w:t>
      </w:r>
      <w:r w:rsidRPr="001D36D0">
        <w:t xml:space="preserve"> </w:t>
      </w:r>
      <w:r w:rsidRPr="002C126D">
        <w:t>Wis</w:t>
      </w:r>
      <w:r w:rsidR="002C126D" w:rsidRPr="002C126D">
        <w:t>heng</w:t>
      </w:r>
      <w:r w:rsidRPr="002C126D">
        <w:t>r</w:t>
      </w:r>
      <w:r w:rsidR="002C126D" w:rsidRPr="002C126D">
        <w:t>a</w:t>
      </w:r>
      <w:r w:rsidRPr="002C126D">
        <w:t>d, (whose expertise in this f</w:t>
      </w:r>
      <w:r w:rsidR="00E022EB">
        <w:t>ield is accepted by us), namely:</w:t>
      </w:r>
      <w:r w:rsidRPr="002C126D">
        <w:t xml:space="preserve"> washing the stones under water pressure</w:t>
      </w:r>
      <w:r w:rsidR="00E022EB">
        <w:t>;</w:t>
      </w:r>
      <w:r w:rsidRPr="002C126D">
        <w:t xml:space="preserve"> </w:t>
      </w:r>
      <w:r w:rsidR="005F1198">
        <w:t>sanding down</w:t>
      </w:r>
      <w:r w:rsidRPr="002C126D">
        <w:t xml:space="preserve"> the stones</w:t>
      </w:r>
      <w:r w:rsidR="00E022EB">
        <w:t>;</w:t>
      </w:r>
      <w:r w:rsidRPr="002C126D">
        <w:t xml:space="preserve"> </w:t>
      </w:r>
      <w:r w:rsidR="005B642E">
        <w:t>using</w:t>
      </w:r>
      <w:r w:rsidRPr="002C126D">
        <w:t xml:space="preserve"> material</w:t>
      </w:r>
      <w:r w:rsidR="005F1198">
        <w:t>s such as e</w:t>
      </w:r>
      <w:r w:rsidRPr="002C126D">
        <w:t xml:space="preserve">poxy glue </w:t>
      </w:r>
      <w:r w:rsidR="005F1198">
        <w:t xml:space="preserve">to fill </w:t>
      </w:r>
      <w:r w:rsidRPr="002C126D">
        <w:t xml:space="preserve">the holes and </w:t>
      </w:r>
      <w:r w:rsidR="00E022EB">
        <w:t xml:space="preserve">placing </w:t>
      </w:r>
      <w:r w:rsidR="005F1198">
        <w:t>sealer</w:t>
      </w:r>
      <w:r w:rsidR="00E022EB">
        <w:t xml:space="preserve"> in the two layers;</w:t>
      </w:r>
      <w:r w:rsidRPr="002C126D">
        <w:t xml:space="preserve"> replacing damage</w:t>
      </w:r>
      <w:r w:rsidR="00E022EB">
        <w:t>d</w:t>
      </w:r>
      <w:r w:rsidRPr="002C126D">
        <w:t xml:space="preserve"> stones </w:t>
      </w:r>
      <w:r w:rsidR="005F1198">
        <w:t xml:space="preserve">that </w:t>
      </w:r>
      <w:r w:rsidR="006B1FFC">
        <w:t>could not</w:t>
      </w:r>
      <w:bookmarkStart w:id="2" w:name="_GoBack"/>
      <w:bookmarkEnd w:id="2"/>
      <w:r w:rsidRPr="002C126D">
        <w:t xml:space="preserve"> be </w:t>
      </w:r>
      <w:r w:rsidR="00E022EB">
        <w:t>reinforced;</w:t>
      </w:r>
      <w:r w:rsidRPr="002C126D">
        <w:t xml:space="preserve"> and </w:t>
      </w:r>
      <w:r w:rsidR="00E022EB">
        <w:t>reinforcing</w:t>
      </w:r>
      <w:r w:rsidRPr="002C126D">
        <w:t xml:space="preserve"> </w:t>
      </w:r>
      <w:r w:rsidR="005F1198">
        <w:t xml:space="preserve">cracked </w:t>
      </w:r>
      <w:r w:rsidRPr="002C126D">
        <w:t xml:space="preserve">stones </w:t>
      </w:r>
      <w:r w:rsidR="00E022EB">
        <w:t>by</w:t>
      </w:r>
      <w:r w:rsidRPr="002C126D">
        <w:t xml:space="preserve"> mechanica</w:t>
      </w:r>
      <w:r w:rsidR="00E022EB">
        <w:t>l</w:t>
      </w:r>
      <w:r w:rsidRPr="002C126D">
        <w:t>l</w:t>
      </w:r>
      <w:r w:rsidR="00E022EB">
        <w:t>y</w:t>
      </w:r>
      <w:r w:rsidRPr="002C126D">
        <w:t xml:space="preserve"> </w:t>
      </w:r>
      <w:r w:rsidR="005F1198">
        <w:t>af</w:t>
      </w:r>
      <w:r w:rsidRPr="002C126D">
        <w:t>f</w:t>
      </w:r>
      <w:r w:rsidR="005F1198">
        <w:t>ixing N</w:t>
      </w:r>
      <w:r w:rsidRPr="002C126D">
        <w:t>irosta screws.</w:t>
      </w:r>
      <w:r w:rsidRPr="001D36D0">
        <w:t xml:space="preserve"> </w:t>
      </w:r>
    </w:p>
    <w:p w14:paraId="01E39DA4" w14:textId="3EAC8E17" w:rsidR="00967E8D" w:rsidRPr="001D36D0" w:rsidRDefault="005F1198" w:rsidP="00E022EB">
      <w:pPr>
        <w:bidi w:val="0"/>
        <w:spacing w:after="120" w:line="360" w:lineRule="auto"/>
        <w:ind w:left="1134" w:hanging="567"/>
        <w:jc w:val="left"/>
      </w:pPr>
      <w:r>
        <w:lastRenderedPageBreak/>
        <w:t>8.</w:t>
      </w:r>
      <w:r>
        <w:tab/>
        <w:t>The M</w:t>
      </w:r>
      <w:r w:rsidR="00967E8D" w:rsidRPr="001D36D0">
        <w:t>ediator consider</w:t>
      </w:r>
      <w:r>
        <w:t>ed</w:t>
      </w:r>
      <w:r w:rsidR="00E022EB">
        <w:t xml:space="preserve"> that the settlement amount</w:t>
      </w:r>
      <w:r w:rsidR="00967E8D" w:rsidRPr="001D36D0">
        <w:t xml:space="preserve"> </w:t>
      </w:r>
      <w:r>
        <w:t>should be</w:t>
      </w:r>
      <w:r w:rsidR="00967E8D" w:rsidRPr="001D36D0">
        <w:t xml:space="preserve"> </w:t>
      </w:r>
      <w:r>
        <w:t xml:space="preserve">between 10%-20% of the </w:t>
      </w:r>
      <w:r w:rsidR="00967E8D" w:rsidRPr="001D36D0">
        <w:t>amount</w:t>
      </w:r>
      <w:r>
        <w:t xml:space="preserve"> claimed</w:t>
      </w:r>
      <w:r w:rsidR="00967E8D" w:rsidRPr="001D36D0">
        <w:t xml:space="preserve">. The proposal on the table </w:t>
      </w:r>
      <w:r w:rsidR="00E022EB">
        <w:t xml:space="preserve">only </w:t>
      </w:r>
      <w:r>
        <w:t xml:space="preserve">represents the assumption of </w:t>
      </w:r>
      <w:r w:rsidR="00967E8D" w:rsidRPr="001D36D0">
        <w:t xml:space="preserve">risk of around 15% of the </w:t>
      </w:r>
      <w:r>
        <w:t xml:space="preserve">amount </w:t>
      </w:r>
      <w:r w:rsidR="00967E8D" w:rsidRPr="001D36D0">
        <w:t>claim</w:t>
      </w:r>
      <w:r>
        <w:t>ed</w:t>
      </w:r>
      <w:r w:rsidR="00967E8D" w:rsidRPr="001D36D0">
        <w:t xml:space="preserve"> plus attorneys’ fees. In the circumstances, and in light of the </w:t>
      </w:r>
      <w:r>
        <w:t>on</w:t>
      </w:r>
      <w:r w:rsidR="00E022EB">
        <w:t>g</w:t>
      </w:r>
      <w:r>
        <w:t>oing</w:t>
      </w:r>
      <w:r w:rsidR="00967E8D" w:rsidRPr="001D36D0">
        <w:t xml:space="preserve"> risk that the Co</w:t>
      </w:r>
      <w:r>
        <w:t xml:space="preserve">urt will accept the claim that </w:t>
      </w:r>
      <w:r w:rsidR="00967E8D" w:rsidRPr="001D36D0">
        <w:t xml:space="preserve">the required </w:t>
      </w:r>
      <w:r>
        <w:t>insp</w:t>
      </w:r>
      <w:r w:rsidR="00967E8D" w:rsidRPr="001D36D0">
        <w:t xml:space="preserve">ections were carried out on the stones by a laboratory certified by the Standards Institution and that it will therefore </w:t>
      </w:r>
      <w:r w:rsidR="00E022EB">
        <w:t>find that</w:t>
      </w:r>
      <w:r>
        <w:t xml:space="preserve"> the</w:t>
      </w:r>
      <w:r w:rsidR="00967E8D" w:rsidRPr="001D36D0">
        <w:t xml:space="preserve"> </w:t>
      </w:r>
      <w:r>
        <w:t xml:space="preserve">alleged </w:t>
      </w:r>
      <w:r w:rsidR="00967E8D" w:rsidRPr="001D36D0">
        <w:t xml:space="preserve">event </w:t>
      </w:r>
      <w:r>
        <w:t xml:space="preserve">was sudden and </w:t>
      </w:r>
      <w:r w:rsidR="00E022EB">
        <w:t>that it accordingly</w:t>
      </w:r>
      <w:r>
        <w:t xml:space="preserve"> constituted</w:t>
      </w:r>
      <w:r w:rsidR="00967E8D" w:rsidRPr="001D36D0">
        <w:t xml:space="preserve"> an insured event under the policy.</w:t>
      </w:r>
    </w:p>
    <w:p w14:paraId="142355FA" w14:textId="5FACB2F7" w:rsidR="00967E8D" w:rsidRPr="001D36D0" w:rsidRDefault="00967E8D" w:rsidP="00795868">
      <w:pPr>
        <w:bidi w:val="0"/>
        <w:spacing w:after="120" w:line="360" w:lineRule="auto"/>
        <w:ind w:left="1134" w:hanging="567"/>
        <w:jc w:val="left"/>
      </w:pPr>
      <w:r w:rsidRPr="001D36D0">
        <w:t>9.</w:t>
      </w:r>
      <w:r w:rsidRPr="001D36D0">
        <w:tab/>
        <w:t>Moreover, and as detailed abo</w:t>
      </w:r>
      <w:r w:rsidR="005F1198">
        <w:t>ve and in our earlier reports in relation to this file</w:t>
      </w:r>
      <w:r w:rsidRPr="001D36D0">
        <w:t>, there is a doubt</w:t>
      </w:r>
      <w:r w:rsidR="00E022EB">
        <w:t xml:space="preserve"> in this claim</w:t>
      </w:r>
      <w:r w:rsidRPr="001D36D0">
        <w:t xml:space="preserve"> as to </w:t>
      </w:r>
      <w:r w:rsidR="005F1198">
        <w:t>when</w:t>
      </w:r>
      <w:r w:rsidRPr="001D36D0">
        <w:t xml:space="preserve"> the defects became apparent</w:t>
      </w:r>
      <w:r w:rsidR="005F1198">
        <w:t xml:space="preserve">. This is because </w:t>
      </w:r>
      <w:r w:rsidRPr="001D36D0">
        <w:t>it appears</w:t>
      </w:r>
      <w:r w:rsidR="009D7182">
        <w:t xml:space="preserve"> that</w:t>
      </w:r>
      <w:r w:rsidRPr="001D36D0">
        <w:t xml:space="preserve"> the defects</w:t>
      </w:r>
      <w:r w:rsidR="009D7182">
        <w:t xml:space="preserve"> at</w:t>
      </w:r>
      <w:r w:rsidR="009D7182" w:rsidRPr="001D36D0">
        <w:t xml:space="preserve"> the project performed by the Plaintiff, Danya Cebus</w:t>
      </w:r>
      <w:r w:rsidR="009D7182">
        <w:t>,</w:t>
      </w:r>
      <w:r w:rsidRPr="001D36D0">
        <w:t xml:space="preserve"> </w:t>
      </w:r>
      <w:r w:rsidR="009D7182">
        <w:t>had already beco</w:t>
      </w:r>
      <w:r w:rsidRPr="001D36D0">
        <w:t xml:space="preserve">me apparent </w:t>
      </w:r>
      <w:r w:rsidR="009D7182">
        <w:t>while</w:t>
      </w:r>
      <w:r w:rsidRPr="001D36D0">
        <w:t xml:space="preserve"> the project was </w:t>
      </w:r>
      <w:r w:rsidR="00795868">
        <w:t>being performed</w:t>
      </w:r>
      <w:r w:rsidRPr="001D36D0">
        <w:t xml:space="preserve"> and before the project was handed over to the </w:t>
      </w:r>
      <w:r w:rsidR="009D7182">
        <w:t>sponsor</w:t>
      </w:r>
      <w:r w:rsidRPr="001D36D0">
        <w:t xml:space="preserve"> and/or the residents. If </w:t>
      </w:r>
      <w:r w:rsidR="009D7182">
        <w:t>this matter undergo</w:t>
      </w:r>
      <w:r w:rsidR="00795868">
        <w:t>es</w:t>
      </w:r>
      <w:r w:rsidR="009D7182">
        <w:t xml:space="preserve"> factual analysis</w:t>
      </w:r>
      <w:r w:rsidRPr="001D36D0">
        <w:t xml:space="preserve"> at Court and it become</w:t>
      </w:r>
      <w:r w:rsidR="009D7182">
        <w:t>s</w:t>
      </w:r>
      <w:r w:rsidRPr="001D36D0">
        <w:t xml:space="preserve"> clear that t</w:t>
      </w:r>
      <w:r w:rsidR="009D7182">
        <w:t xml:space="preserve">he foregoing </w:t>
      </w:r>
      <w:r w:rsidR="00795868">
        <w:t>was indeed the case</w:t>
      </w:r>
      <w:r w:rsidRPr="001D36D0">
        <w:t xml:space="preserve">, </w:t>
      </w:r>
      <w:r w:rsidR="009D7182">
        <w:t>then our argument</w:t>
      </w:r>
      <w:r w:rsidRPr="001D36D0">
        <w:t xml:space="preserve"> that there is no cover</w:t>
      </w:r>
      <w:r w:rsidR="009D7182">
        <w:t xml:space="preserve"> could be undermined</w:t>
      </w:r>
      <w:r w:rsidRPr="001D36D0">
        <w:t>.</w:t>
      </w:r>
    </w:p>
    <w:p w14:paraId="2AA6108C" w14:textId="2D6C284D" w:rsidR="00C17B45" w:rsidRPr="001D36D0" w:rsidRDefault="00967E8D" w:rsidP="00795868">
      <w:pPr>
        <w:bidi w:val="0"/>
        <w:spacing w:after="120" w:line="360" w:lineRule="auto"/>
        <w:ind w:left="1134" w:hanging="567"/>
        <w:jc w:val="left"/>
      </w:pPr>
      <w:r w:rsidRPr="001D36D0">
        <w:t>10.</w:t>
      </w:r>
      <w:r w:rsidRPr="001D36D0">
        <w:tab/>
      </w:r>
      <w:r w:rsidR="009D7182">
        <w:t>For a</w:t>
      </w:r>
      <w:r w:rsidRPr="001D36D0">
        <w:t>ll of the above reasons,</w:t>
      </w:r>
      <w:r w:rsidR="00C17B45" w:rsidRPr="001D36D0">
        <w:t xml:space="preserve"> we consider that </w:t>
      </w:r>
      <w:r w:rsidR="009D7182">
        <w:t xml:space="preserve">the risk constituted by the offer on the table would be a good one to assume, </w:t>
      </w:r>
      <w:r w:rsidR="00C17B45" w:rsidRPr="001D36D0">
        <w:t xml:space="preserve">both in </w:t>
      </w:r>
      <w:r w:rsidR="009D7182">
        <w:t>light</w:t>
      </w:r>
      <w:r w:rsidR="00C17B45" w:rsidRPr="001D36D0">
        <w:t xml:space="preserve"> of the stre</w:t>
      </w:r>
      <w:r w:rsidR="009D7182">
        <w:t>ngth of this file and in light of the outcome</w:t>
      </w:r>
      <w:r w:rsidR="00C17B45" w:rsidRPr="001D36D0">
        <w:t xml:space="preserve"> of similar files </w:t>
      </w:r>
      <w:r w:rsidR="009D7182">
        <w:t>where the</w:t>
      </w:r>
      <w:r w:rsidR="00C17B45" w:rsidRPr="001D36D0">
        <w:t xml:space="preserve"> damages became apparent after handover, </w:t>
      </w:r>
      <w:r w:rsidR="00E776C7">
        <w:t>because</w:t>
      </w:r>
      <w:r w:rsidR="00C17B45" w:rsidRPr="001D36D0">
        <w:t xml:space="preserve"> we could </w:t>
      </w:r>
      <w:r w:rsidR="00E776C7">
        <w:t xml:space="preserve">then </w:t>
      </w:r>
      <w:r w:rsidR="00795868">
        <w:t xml:space="preserve">argue for an </w:t>
      </w:r>
      <w:r w:rsidR="00C17B45" w:rsidRPr="001D36D0">
        <w:t>amount</w:t>
      </w:r>
      <w:r w:rsidR="00795868">
        <w:t xml:space="preserve"> at a lower rate</w:t>
      </w:r>
      <w:r w:rsidR="00C17B45" w:rsidRPr="001D36D0">
        <w:t>.</w:t>
      </w:r>
    </w:p>
    <w:p w14:paraId="3FD5823B" w14:textId="77777777" w:rsidR="00967E8D" w:rsidRPr="001D36D0" w:rsidRDefault="00C17B45" w:rsidP="00E9048B">
      <w:pPr>
        <w:bidi w:val="0"/>
        <w:spacing w:after="120" w:line="360" w:lineRule="auto"/>
        <w:jc w:val="left"/>
      </w:pPr>
      <w:r w:rsidRPr="001D36D0">
        <w:t xml:space="preserve">In light of the invoices </w:t>
      </w:r>
      <w:r w:rsidR="00031B1F">
        <w:t>shown</w:t>
      </w:r>
      <w:r w:rsidRPr="001D36D0">
        <w:t xml:space="preserve"> to us in relation to the rep</w:t>
      </w:r>
      <w:r w:rsidR="00031B1F">
        <w:t xml:space="preserve">airs actually carried out (and we </w:t>
      </w:r>
      <w:r w:rsidRPr="001D36D0">
        <w:t>would</w:t>
      </w:r>
      <w:r w:rsidR="00031B1F">
        <w:t xml:space="preserve"> correspondingly</w:t>
      </w:r>
      <w:r w:rsidRPr="001D36D0">
        <w:t xml:space="preserve"> refer you to Nachman Idels’ references in this respect) we consider that the reserve </w:t>
      </w:r>
      <w:r w:rsidR="00042040">
        <w:t xml:space="preserve">on </w:t>
      </w:r>
      <w:r w:rsidRPr="001D36D0">
        <w:t>this file should be increased to NIS 750,000.</w:t>
      </w:r>
    </w:p>
    <w:p w14:paraId="7CF1F430" w14:textId="77777777" w:rsidR="00C51036" w:rsidRPr="001D36D0" w:rsidRDefault="00F44FC7" w:rsidP="00E9048B">
      <w:pPr>
        <w:bidi w:val="0"/>
        <w:spacing w:after="120" w:line="360" w:lineRule="auto"/>
        <w:jc w:val="left"/>
      </w:pPr>
      <w:r>
        <w:t xml:space="preserve">We would be grateful if you could revert with your position on the settlement </w:t>
      </w:r>
      <w:r w:rsidR="00C17B45" w:rsidRPr="001D36D0">
        <w:t>at your earliest convenience.</w:t>
      </w:r>
    </w:p>
    <w:sectPr w:rsidR="00C51036" w:rsidRPr="001D36D0" w:rsidSect="00556C28">
      <w:headerReference w:type="default" r:id="rId9"/>
      <w:headerReference w:type="first" r:id="rId10"/>
      <w:footerReference w:type="first" r:id="rId11"/>
      <w:pgSz w:w="11906" w:h="16838" w:code="9"/>
      <w:pgMar w:top="692" w:right="1134" w:bottom="2157" w:left="794" w:header="284" w:footer="617"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hael Olsberg" w:date="2017-03-09T13:19:00Z" w:initials="MO">
    <w:p w14:paraId="20126C10" w14:textId="31B4835E" w:rsidR="00B33753" w:rsidRDefault="00B33753" w:rsidP="00B33753">
      <w:pPr>
        <w:pStyle w:val="CommentText"/>
        <w:bidi w:val="0"/>
      </w:pPr>
      <w:r>
        <w:rPr>
          <w:rStyle w:val="CommentReference"/>
        </w:rPr>
        <w:annotationRef/>
      </w:r>
      <w:r>
        <w:t>I prefer this is sounding more natural to something like ‘Dear Colleagues’</w:t>
      </w:r>
    </w:p>
  </w:comment>
  <w:comment w:id="1" w:author="Michael Olsberg" w:date="2017-03-09T12:52:00Z" w:initials="MO">
    <w:p w14:paraId="69493C9A" w14:textId="77777777" w:rsidR="00E94C21" w:rsidRPr="00E94C21" w:rsidRDefault="00E94C21" w:rsidP="00E94C21">
      <w:pPr>
        <w:pStyle w:val="CommentText"/>
        <w:bidi w:val="0"/>
        <w:rPr>
          <w:lang w:val="en-GB"/>
        </w:rPr>
      </w:pPr>
      <w:r>
        <w:rPr>
          <w:rStyle w:val="CommentReference"/>
        </w:rPr>
        <w:annotationRef/>
      </w:r>
      <w:r>
        <w:rPr>
          <w:rStyle w:val="CommentReference"/>
        </w:rPr>
        <w:t xml:space="preserve">It is not clear to me how the expression </w:t>
      </w:r>
      <w:r>
        <w:rPr>
          <w:rStyle w:val="CommentReference"/>
          <w:rFonts w:hint="cs"/>
          <w:rtl/>
        </w:rPr>
        <w:t>גם כן</w:t>
      </w:r>
      <w:r>
        <w:rPr>
          <w:rStyle w:val="CommentReference"/>
          <w:lang w:val="en-GB"/>
        </w:rPr>
        <w:t xml:space="preserve"> fits in to this sentence but I have interpreted the sentence as meaning that the attorneys relied on the Neve Gan case in making its arguments.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126C10" w15:done="0"/>
  <w15:commentEx w15:paraId="69493C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D1D" w14:textId="77777777" w:rsidR="00DC08A9" w:rsidRDefault="00DC08A9">
      <w:r>
        <w:separator/>
      </w:r>
    </w:p>
  </w:endnote>
  <w:endnote w:type="continuationSeparator" w:id="0">
    <w:p w14:paraId="5AB8BE80" w14:textId="77777777" w:rsidR="00DC08A9" w:rsidRDefault="00DC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um">
    <w:altName w:val="Times New Roman"/>
    <w:charset w:val="B1"/>
    <w:family w:val="auto"/>
    <w:pitch w:val="variable"/>
    <w:sig w:usb0="00000800"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9CF15" w14:textId="77777777" w:rsidR="00485BA8" w:rsidRDefault="00485BA8" w:rsidP="00B03E1C">
    <w:pPr>
      <w:jc w:val="center"/>
      <w:rPr>
        <w:noProof/>
        <w:sz w:val="16"/>
        <w:szCs w:val="16"/>
        <w:rtl/>
      </w:rPr>
    </w:pPr>
  </w:p>
  <w:p w14:paraId="20DA4EF1" w14:textId="77777777" w:rsidR="00485BA8" w:rsidRDefault="00485BA8" w:rsidP="00B03E1C">
    <w:pPr>
      <w:jc w:val="center"/>
      <w:rPr>
        <w:noProof/>
        <w:sz w:val="16"/>
        <w:szCs w:val="16"/>
        <w:rtl/>
      </w:rPr>
    </w:pPr>
  </w:p>
  <w:p w14:paraId="72134632" w14:textId="77777777" w:rsidR="00485BA8" w:rsidRPr="00B03E1C" w:rsidRDefault="00485BA8" w:rsidP="00A71174">
    <w:pPr>
      <w:jc w:val="center"/>
      <w:rPr>
        <w:sz w:val="16"/>
        <w:szCs w:val="16"/>
        <w:rtl/>
      </w:rPr>
    </w:pPr>
    <w:r>
      <w:rPr>
        <w:noProof/>
        <w:sz w:val="16"/>
        <w:szCs w:val="16"/>
        <w:lang w:val="en-GB" w:eastAsia="en-GB"/>
      </w:rPr>
      <w:drawing>
        <wp:inline distT="0" distB="0" distL="0" distR="0" wp14:anchorId="4BB1DE34" wp14:editId="01A63FCB">
          <wp:extent cx="6334125" cy="609600"/>
          <wp:effectExtent l="0" t="0" r="9525" b="0"/>
          <wp:docPr id="5" name="Picture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609600"/>
                  </a:xfrm>
                  <a:prstGeom prst="rect">
                    <a:avLst/>
                  </a:prstGeom>
                  <a:noFill/>
                  <a:ln>
                    <a:noFill/>
                  </a:ln>
                </pic:spPr>
              </pic:pic>
            </a:graphicData>
          </a:graphic>
        </wp:inline>
      </w:drawing>
    </w:r>
    <w:r w:rsidRPr="00B03E1C">
      <w:rPr>
        <w:rFonts w:hint="cs"/>
        <w:sz w:val="16"/>
        <w:szCs w:val="16"/>
        <w:rt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E0EE0" w14:textId="77777777" w:rsidR="00DC08A9" w:rsidRDefault="00DC08A9">
      <w:r>
        <w:separator/>
      </w:r>
    </w:p>
  </w:footnote>
  <w:footnote w:type="continuationSeparator" w:id="0">
    <w:p w14:paraId="532D1C6E" w14:textId="77777777" w:rsidR="00DC08A9" w:rsidRDefault="00DC0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CellMar>
        <w:left w:w="28" w:type="dxa"/>
        <w:right w:w="28" w:type="dxa"/>
      </w:tblCellMar>
      <w:tblLook w:val="0000" w:firstRow="0" w:lastRow="0" w:firstColumn="0" w:lastColumn="0" w:noHBand="0" w:noVBand="0"/>
    </w:tblPr>
    <w:tblGrid>
      <w:gridCol w:w="10602"/>
    </w:tblGrid>
    <w:tr w:rsidR="00485BA8" w14:paraId="2C1FBE0E" w14:textId="77777777">
      <w:trPr>
        <w:trHeight w:val="1257"/>
        <w:jc w:val="center"/>
      </w:trPr>
      <w:tc>
        <w:tcPr>
          <w:tcW w:w="10602" w:type="dxa"/>
          <w:tcBorders>
            <w:top w:val="nil"/>
            <w:left w:val="nil"/>
            <w:bottom w:val="nil"/>
            <w:right w:val="nil"/>
          </w:tcBorders>
        </w:tcPr>
        <w:p w14:paraId="209C6D74" w14:textId="77777777" w:rsidR="00485BA8" w:rsidRPr="008F249E" w:rsidRDefault="00485BA8" w:rsidP="00A71174">
          <w:pPr>
            <w:pStyle w:val="Header"/>
            <w:tabs>
              <w:tab w:val="clear" w:pos="4153"/>
              <w:tab w:val="clear" w:pos="8306"/>
              <w:tab w:val="center" w:pos="7906"/>
            </w:tabs>
            <w:ind w:left="360"/>
            <w:jc w:val="center"/>
            <w:rPr>
              <w:rFonts w:cs="Narkisim"/>
              <w:rtl/>
              <w:lang w:val="en-US" w:eastAsia="en-US"/>
            </w:rPr>
          </w:pPr>
          <w:r>
            <w:rPr>
              <w:rFonts w:cs="Narkisim"/>
              <w:noProof/>
              <w:lang w:val="en-GB" w:eastAsia="en-GB"/>
            </w:rPr>
            <w:drawing>
              <wp:inline distT="0" distB="0" distL="0" distR="0" wp14:anchorId="1CC9783F" wp14:editId="7816D144">
                <wp:extent cx="6334125" cy="1047750"/>
                <wp:effectExtent l="0" t="0" r="9525" b="0"/>
                <wp:docPr id="1" name="Picture 1" descr="header for p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r p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1047750"/>
                        </a:xfrm>
                        <a:prstGeom prst="rect">
                          <a:avLst/>
                        </a:prstGeom>
                        <a:noFill/>
                        <a:ln>
                          <a:noFill/>
                        </a:ln>
                      </pic:spPr>
                    </pic:pic>
                  </a:graphicData>
                </a:graphic>
              </wp:inline>
            </w:drawing>
          </w:r>
        </w:p>
      </w:tc>
    </w:tr>
  </w:tbl>
  <w:p w14:paraId="58CADA6E" w14:textId="77777777" w:rsidR="00485BA8" w:rsidRPr="00D14EFB" w:rsidRDefault="00485BA8" w:rsidP="00D14EFB">
    <w:pPr>
      <w:jc w:val="center"/>
      <w:rPr>
        <w:rStyle w:val="PageNumber"/>
        <w:sz w:val="18"/>
        <w:szCs w:val="18"/>
        <w:rtl/>
      </w:rPr>
    </w:pPr>
    <w:r w:rsidRPr="00D14EFB">
      <w:rPr>
        <w:sz w:val="18"/>
        <w:szCs w:val="18"/>
        <w:rtl/>
      </w:rPr>
      <w:t xml:space="preserve">   - </w:t>
    </w:r>
    <w:r w:rsidRPr="00D14EFB">
      <w:rPr>
        <w:rStyle w:val="PageNumber"/>
        <w:sz w:val="18"/>
        <w:szCs w:val="18"/>
        <w:rtl/>
      </w:rPr>
      <w:fldChar w:fldCharType="begin"/>
    </w:r>
    <w:r w:rsidRPr="00D14EFB">
      <w:rPr>
        <w:rStyle w:val="PageNumber"/>
        <w:sz w:val="18"/>
        <w:szCs w:val="18"/>
        <w:rtl/>
      </w:rPr>
      <w:instrText xml:space="preserve"> </w:instrText>
    </w:r>
    <w:r w:rsidRPr="00D14EFB">
      <w:rPr>
        <w:rStyle w:val="PageNumber"/>
        <w:sz w:val="18"/>
        <w:szCs w:val="18"/>
      </w:rPr>
      <w:instrText>PAGE</w:instrText>
    </w:r>
    <w:r w:rsidRPr="00D14EFB">
      <w:rPr>
        <w:rStyle w:val="PageNumber"/>
        <w:sz w:val="18"/>
        <w:szCs w:val="18"/>
        <w:rtl/>
      </w:rPr>
      <w:instrText xml:space="preserve"> </w:instrText>
    </w:r>
    <w:r w:rsidRPr="00D14EFB">
      <w:rPr>
        <w:rStyle w:val="PageNumber"/>
        <w:sz w:val="18"/>
        <w:szCs w:val="18"/>
        <w:rtl/>
      </w:rPr>
      <w:fldChar w:fldCharType="separate"/>
    </w:r>
    <w:r w:rsidR="006B1FFC">
      <w:rPr>
        <w:rStyle w:val="PageNumber"/>
        <w:noProof/>
        <w:sz w:val="18"/>
        <w:szCs w:val="18"/>
        <w:rtl/>
      </w:rPr>
      <w:t>8</w:t>
    </w:r>
    <w:r w:rsidRPr="00D14EFB">
      <w:rPr>
        <w:rStyle w:val="PageNumber"/>
        <w:sz w:val="18"/>
        <w:szCs w:val="18"/>
        <w:rtl/>
      </w:rPr>
      <w:fldChar w:fldCharType="end"/>
    </w:r>
    <w:r w:rsidRPr="00D14EFB">
      <w:rPr>
        <w:rStyle w:val="PageNumber"/>
        <w:sz w:val="18"/>
        <w:szCs w:val="18"/>
        <w:rtl/>
      </w:rPr>
      <w:t xml:space="preserve"> -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99E74" w14:textId="77777777" w:rsidR="00485BA8" w:rsidRDefault="00485BA8" w:rsidP="006C66DB">
    <w:pPr>
      <w:pStyle w:val="Header"/>
      <w:tabs>
        <w:tab w:val="clear" w:pos="4153"/>
        <w:tab w:val="clear" w:pos="8306"/>
        <w:tab w:val="center" w:pos="7906"/>
      </w:tabs>
      <w:jc w:val="center"/>
      <w:rPr>
        <w:sz w:val="17"/>
        <w:szCs w:val="16"/>
        <w:rtl/>
      </w:rPr>
    </w:pPr>
  </w:p>
  <w:p w14:paraId="2DA0BDDB" w14:textId="77777777" w:rsidR="00485BA8" w:rsidRPr="00E002DF" w:rsidRDefault="00485BA8" w:rsidP="005513D5">
    <w:pPr>
      <w:pStyle w:val="Header"/>
      <w:tabs>
        <w:tab w:val="clear" w:pos="4153"/>
        <w:tab w:val="clear" w:pos="8306"/>
        <w:tab w:val="center" w:pos="7906"/>
      </w:tabs>
      <w:spacing w:after="100" w:afterAutospacing="1"/>
      <w:ind w:left="432"/>
      <w:jc w:val="center"/>
      <w:rPr>
        <w:b/>
        <w:bCs/>
        <w:szCs w:val="28"/>
        <w:rtl/>
      </w:rPr>
    </w:pPr>
    <w:r>
      <w:rPr>
        <w:noProof/>
        <w:sz w:val="17"/>
        <w:szCs w:val="16"/>
        <w:lang w:val="en-GB" w:eastAsia="en-GB"/>
      </w:rPr>
      <w:drawing>
        <wp:inline distT="0" distB="0" distL="0" distR="0" wp14:anchorId="1E670961" wp14:editId="71DF8276">
          <wp:extent cx="6343650" cy="1057275"/>
          <wp:effectExtent l="0" t="0" r="0" b="9525"/>
          <wp:docPr id="2" name="Picture 2"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1057275"/>
                  </a:xfrm>
                  <a:prstGeom prst="rect">
                    <a:avLst/>
                  </a:prstGeom>
                  <a:noFill/>
                  <a:ln>
                    <a:noFill/>
                  </a:ln>
                </pic:spPr>
              </pic:pic>
            </a:graphicData>
          </a:graphic>
        </wp:inline>
      </w:drawing>
    </w:r>
  </w:p>
  <w:p w14:paraId="0AA03BD3" w14:textId="77777777" w:rsidR="00485BA8" w:rsidRPr="005C0627" w:rsidRDefault="00485BA8" w:rsidP="00A71174">
    <w:pPr>
      <w:pStyle w:val="Header"/>
      <w:tabs>
        <w:tab w:val="clear" w:pos="4153"/>
        <w:tab w:val="clear" w:pos="8306"/>
        <w:tab w:val="center" w:pos="7906"/>
      </w:tabs>
      <w:jc w:val="center"/>
      <w:rPr>
        <w:sz w:val="17"/>
        <w:szCs w:val="16"/>
        <w:rtl/>
      </w:rPr>
    </w:pPr>
  </w:p>
  <w:p w14:paraId="4023C925" w14:textId="77777777" w:rsidR="00485BA8" w:rsidRPr="006C66DB" w:rsidRDefault="00485BA8" w:rsidP="00D14EFB">
    <w:pPr>
      <w:pStyle w:val="Header"/>
      <w:rPr>
        <w:sz w:val="17"/>
        <w:szCs w:val="24"/>
        <w:rtl/>
      </w:rPr>
    </w:pPr>
    <w:r>
      <w:rPr>
        <w:b/>
        <w:bCs/>
        <w:noProof/>
        <w:szCs w:val="28"/>
        <w:rtl/>
        <w:lang w:val="en-GB" w:eastAsia="en-GB"/>
      </w:rPr>
      <mc:AlternateContent>
        <mc:Choice Requires="wps">
          <w:drawing>
            <wp:anchor distT="0" distB="0" distL="114300" distR="114300" simplePos="0" relativeHeight="251657728" behindDoc="0" locked="0" layoutInCell="1" allowOverlap="1" wp14:anchorId="269CD9DC" wp14:editId="6A5EA376">
              <wp:simplePos x="0" y="0"/>
              <wp:positionH relativeFrom="column">
                <wp:posOffset>-199390</wp:posOffset>
              </wp:positionH>
              <wp:positionV relativeFrom="paragraph">
                <wp:posOffset>264160</wp:posOffset>
              </wp:positionV>
              <wp:extent cx="1494155" cy="7845425"/>
              <wp:effectExtent l="635" t="0" r="635" b="0"/>
              <wp:wrapSquare wrapText="bothSides"/>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7845425"/>
                      </a:xfrm>
                      <a:prstGeom prst="rect">
                        <a:avLst/>
                      </a:prstGeom>
                      <a:solidFill>
                        <a:srgbClr val="FFFFFF"/>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875A324" w14:textId="77777777" w:rsidR="00485BA8" w:rsidRPr="00317139" w:rsidRDefault="00485BA8" w:rsidP="00470D4E">
                          <w:r>
                            <w:rPr>
                              <w:rFonts w:cs="Arial"/>
                              <w:noProof/>
                              <w:lang w:val="en-GB" w:eastAsia="en-GB"/>
                            </w:rPr>
                            <w:drawing>
                              <wp:inline distT="0" distB="0" distL="0" distR="0" wp14:anchorId="4D74519A" wp14:editId="026B571E">
                                <wp:extent cx="1428750" cy="6619875"/>
                                <wp:effectExtent l="0" t="0" r="0" b="9525"/>
                                <wp:docPr id="4" name="Picture 4" descr="names_eng-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mes_eng-page-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19875"/>
                                        </a:xfrm>
                                        <a:prstGeom prst="rect">
                                          <a:avLst/>
                                        </a:prstGeom>
                                        <a:noFill/>
                                        <a:ln>
                                          <a:noFill/>
                                        </a:ln>
                                      </pic:spPr>
                                    </pic:pic>
                                  </a:graphicData>
                                </a:graphic>
                              </wp:inline>
                            </w:drawing>
                          </w:r>
                        </w:p>
                        <w:p w14:paraId="04008DE6" w14:textId="77777777" w:rsidR="00485BA8" w:rsidRPr="00A8519B" w:rsidRDefault="00485BA8" w:rsidP="00A71174">
                          <w:pPr>
                            <w:jc w:val="left"/>
                            <w:rPr>
                              <w:sz w:val="18"/>
                              <w:szCs w:val="24"/>
                              <w:rtl/>
                            </w:rPr>
                          </w:pPr>
                        </w:p>
                        <w:p w14:paraId="245060A9" w14:textId="77777777" w:rsidR="00485BA8" w:rsidRPr="00674A49" w:rsidRDefault="00485BA8" w:rsidP="003351A3">
                          <w:pPr>
                            <w:rPr>
                              <w:sz w:val="18"/>
                              <w:szCs w:val="24"/>
                              <w:rtl/>
                            </w:rPr>
                          </w:pPr>
                        </w:p>
                        <w:p w14:paraId="3A98FE66" w14:textId="77777777" w:rsidR="00485BA8" w:rsidRPr="00DC25AF" w:rsidRDefault="00485BA8" w:rsidP="003351A3">
                          <w:pPr>
                            <w:rPr>
                              <w:sz w:val="18"/>
                              <w:szCs w:val="24"/>
                              <w:rtl/>
                            </w:rPr>
                          </w:pPr>
                        </w:p>
                        <w:p w14:paraId="1A646214" w14:textId="77777777" w:rsidR="00485BA8" w:rsidRPr="003351A3" w:rsidRDefault="00485BA8" w:rsidP="003351A3">
                          <w:pPr>
                            <w:rPr>
                              <w:sz w:val="18"/>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CD9DC" id="_x0000_t202" coordsize="21600,21600" o:spt="202" path="m,l,21600r21600,l21600,xe">
              <v:stroke joinstyle="miter"/>
              <v:path gradientshapeok="t" o:connecttype="rect"/>
            </v:shapetype>
            <v:shape id="Text Box 13" o:spid="_x0000_s1026" type="#_x0000_t202" style="position:absolute;left:0;text-align:left;margin-left:-15.7pt;margin-top:20.8pt;width:117.65pt;height:61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" stroked="f" strokecolor="#339">
              <v:textbox>
                <w:txbxContent>
                  <w:p w14:paraId="6875A324" w14:textId="77777777" w:rsidR="00485BA8" w:rsidRPr="00317139" w:rsidRDefault="00485BA8" w:rsidP="00470D4E">
                    <w:r>
                      <w:rPr>
                        <w:rFonts w:cs="Arial"/>
                        <w:noProof/>
                        <w:lang w:val="en-GB" w:eastAsia="en-GB"/>
                      </w:rPr>
                      <w:drawing>
                        <wp:inline distT="0" distB="0" distL="0" distR="0" wp14:anchorId="4D74519A" wp14:editId="026B571E">
                          <wp:extent cx="1428750" cy="6619875"/>
                          <wp:effectExtent l="0" t="0" r="0" b="9525"/>
                          <wp:docPr id="4" name="Picture 4" descr="names_eng-pag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mes_eng-page-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6619875"/>
                                  </a:xfrm>
                                  <a:prstGeom prst="rect">
                                    <a:avLst/>
                                  </a:prstGeom>
                                  <a:noFill/>
                                  <a:ln>
                                    <a:noFill/>
                                  </a:ln>
                                </pic:spPr>
                              </pic:pic>
                            </a:graphicData>
                          </a:graphic>
                        </wp:inline>
                      </w:drawing>
                    </w:r>
                  </w:p>
                  <w:p w14:paraId="04008DE6" w14:textId="77777777" w:rsidR="00485BA8" w:rsidRPr="00A8519B" w:rsidRDefault="00485BA8" w:rsidP="00A71174">
                    <w:pPr>
                      <w:jc w:val="left"/>
                      <w:rPr>
                        <w:sz w:val="18"/>
                        <w:szCs w:val="24"/>
                        <w:rtl/>
                      </w:rPr>
                    </w:pPr>
                  </w:p>
                  <w:p w14:paraId="245060A9" w14:textId="77777777" w:rsidR="00485BA8" w:rsidRPr="00674A49" w:rsidRDefault="00485BA8" w:rsidP="003351A3">
                    <w:pPr>
                      <w:rPr>
                        <w:sz w:val="18"/>
                        <w:szCs w:val="24"/>
                        <w:rtl/>
                      </w:rPr>
                    </w:pPr>
                  </w:p>
                  <w:p w14:paraId="3A98FE66" w14:textId="77777777" w:rsidR="00485BA8" w:rsidRPr="00DC25AF" w:rsidRDefault="00485BA8" w:rsidP="003351A3">
                    <w:pPr>
                      <w:rPr>
                        <w:sz w:val="18"/>
                        <w:szCs w:val="24"/>
                        <w:rtl/>
                      </w:rPr>
                    </w:pPr>
                  </w:p>
                  <w:p w14:paraId="1A646214" w14:textId="77777777" w:rsidR="00485BA8" w:rsidRPr="003351A3" w:rsidRDefault="00485BA8" w:rsidP="003351A3">
                    <w:pPr>
                      <w:rPr>
                        <w:sz w:val="18"/>
                        <w:szCs w:val="24"/>
                        <w:rtl/>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745"/>
    <w:multiLevelType w:val="hybridMultilevel"/>
    <w:tmpl w:val="9F200998"/>
    <w:lvl w:ilvl="0" w:tplc="011CDCE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A91AD8"/>
    <w:multiLevelType w:val="hybridMultilevel"/>
    <w:tmpl w:val="126E43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53CF0"/>
    <w:multiLevelType w:val="multilevel"/>
    <w:tmpl w:val="317CE064"/>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hebrew1"/>
      <w:lvlText w:val="%2."/>
      <w:lvlJc w:val="left"/>
      <w:pPr>
        <w:tabs>
          <w:tab w:val="num" w:pos="1418"/>
        </w:tabs>
        <w:ind w:left="1418" w:hanging="709"/>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2126"/>
        </w:tabs>
        <w:ind w:left="2126" w:hanging="708"/>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Roman"/>
      <w:lvlText w:val="%4"/>
      <w:lvlJc w:val="left"/>
      <w:pPr>
        <w:tabs>
          <w:tab w:val="num" w:pos="2835"/>
        </w:tabs>
        <w:ind w:left="2835" w:hanging="709"/>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3" w15:restartNumberingAfterBreak="0">
    <w:nsid w:val="437C20C5"/>
    <w:multiLevelType w:val="multilevel"/>
    <w:tmpl w:val="55667CE8"/>
    <w:lvl w:ilvl="0">
      <w:start w:val="1"/>
      <w:numFmt w:val="decimal"/>
      <w:lvlText w:val="%1."/>
      <w:lvlJc w:val="right"/>
      <w:pPr>
        <w:tabs>
          <w:tab w:val="num" w:pos="709"/>
        </w:tabs>
        <w:ind w:left="709" w:hanging="425"/>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hebrew1"/>
      <w:lvlText w:val="%2."/>
      <w:lvlJc w:val="left"/>
      <w:pPr>
        <w:tabs>
          <w:tab w:val="num" w:pos="1418"/>
        </w:tabs>
        <w:ind w:left="1418" w:hanging="709"/>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2126"/>
        </w:tabs>
        <w:ind w:left="2126" w:hanging="708"/>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Roman"/>
      <w:lvlText w:val="%4"/>
      <w:lvlJc w:val="left"/>
      <w:pPr>
        <w:tabs>
          <w:tab w:val="num" w:pos="2835"/>
        </w:tabs>
        <w:ind w:left="2835" w:hanging="709"/>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4" w15:restartNumberingAfterBreak="0">
    <w:nsid w:val="4C174C02"/>
    <w:multiLevelType w:val="multilevel"/>
    <w:tmpl w:val="E6C2526E"/>
    <w:lvl w:ilvl="0">
      <w:start w:val="1"/>
      <w:numFmt w:val="decimal"/>
      <w:pStyle w:val="1"/>
      <w:lvlText w:val="%1."/>
      <w:lvlJc w:val="right"/>
      <w:pPr>
        <w:tabs>
          <w:tab w:val="num" w:pos="567"/>
        </w:tabs>
        <w:ind w:left="567" w:hanging="397"/>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hebrew1"/>
      <w:pStyle w:val="2"/>
      <w:lvlText w:val="%2."/>
      <w:lvlJc w:val="left"/>
      <w:pPr>
        <w:tabs>
          <w:tab w:val="num" w:pos="1134"/>
        </w:tabs>
        <w:ind w:left="1134" w:hanging="56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3)"/>
      <w:lvlJc w:val="left"/>
      <w:pPr>
        <w:tabs>
          <w:tab w:val="num" w:pos="1701"/>
        </w:tabs>
        <w:ind w:left="1701" w:hanging="56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hebrew1"/>
      <w:pStyle w:val="4"/>
      <w:lvlText w:val="%4)"/>
      <w:lvlJc w:val="left"/>
      <w:pPr>
        <w:tabs>
          <w:tab w:val="num" w:pos="2268"/>
        </w:tabs>
        <w:ind w:left="2268" w:hanging="567"/>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5" w15:restartNumberingAfterBreak="0">
    <w:nsid w:val="4C5C1DC4"/>
    <w:multiLevelType w:val="multilevel"/>
    <w:tmpl w:val="603E7E86"/>
    <w:lvl w:ilvl="0">
      <w:start w:val="1"/>
      <w:numFmt w:val="decimal"/>
      <w:lvlText w:val="%1."/>
      <w:lvlJc w:val="right"/>
      <w:pPr>
        <w:tabs>
          <w:tab w:val="num" w:pos="567"/>
        </w:tabs>
        <w:ind w:left="567" w:hanging="397"/>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hebrew1"/>
      <w:lvlText w:val="%2."/>
      <w:lvlJc w:val="left"/>
      <w:pPr>
        <w:tabs>
          <w:tab w:val="num" w:pos="1134"/>
        </w:tabs>
        <w:ind w:left="1134" w:hanging="56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1701"/>
        </w:tabs>
        <w:ind w:left="1701" w:hanging="56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hebrew1"/>
      <w:lvlText w:val="%4)"/>
      <w:lvlJc w:val="left"/>
      <w:pPr>
        <w:tabs>
          <w:tab w:val="num" w:pos="2268"/>
        </w:tabs>
        <w:ind w:left="2268" w:hanging="567"/>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6" w15:restartNumberingAfterBreak="0">
    <w:nsid w:val="507A247E"/>
    <w:multiLevelType w:val="multilevel"/>
    <w:tmpl w:val="CAE41E36"/>
    <w:lvl w:ilvl="0">
      <w:start w:val="1"/>
      <w:numFmt w:val="decimal"/>
      <w:lvlText w:val="%1."/>
      <w:lvlJc w:val="left"/>
      <w:pPr>
        <w:tabs>
          <w:tab w:val="num" w:pos="2722"/>
        </w:tabs>
        <w:ind w:left="2722" w:hanging="567"/>
      </w:pPr>
      <w:rPr>
        <w:rFonts w:hint="default"/>
      </w:rPr>
    </w:lvl>
    <w:lvl w:ilvl="1">
      <w:start w:val="1"/>
      <w:numFmt w:val="upperRoman"/>
      <w:lvlText w:val="%2."/>
      <w:lvlJc w:val="left"/>
      <w:pPr>
        <w:tabs>
          <w:tab w:val="num" w:pos="3289"/>
        </w:tabs>
        <w:ind w:left="3289" w:hanging="567"/>
      </w:pPr>
      <w:rPr>
        <w:rFonts w:hint="default"/>
      </w:rPr>
    </w:lvl>
    <w:lvl w:ilvl="2">
      <w:start w:val="1"/>
      <w:numFmt w:val="decimal"/>
      <w:lvlText w:val="%3)"/>
      <w:lvlJc w:val="left"/>
      <w:pPr>
        <w:tabs>
          <w:tab w:val="num" w:pos="3856"/>
        </w:tabs>
        <w:ind w:left="3856" w:hanging="567"/>
      </w:pPr>
      <w:rPr>
        <w:rFonts w:hint="default"/>
      </w:rPr>
    </w:lvl>
    <w:lvl w:ilvl="3">
      <w:start w:val="1"/>
      <w:numFmt w:val="upperRoman"/>
      <w:lvlText w:val="%4)"/>
      <w:lvlJc w:val="left"/>
      <w:pPr>
        <w:tabs>
          <w:tab w:val="num" w:pos="4423"/>
        </w:tabs>
        <w:ind w:left="4423" w:hanging="567"/>
      </w:pPr>
      <w:rPr>
        <w:rFonts w:hint="default"/>
      </w:rPr>
    </w:lvl>
    <w:lvl w:ilvl="4">
      <w:start w:val="1"/>
      <w:numFmt w:val="decimal"/>
      <w:pStyle w:val="5"/>
      <w:lvlText w:val="(%5)"/>
      <w:lvlJc w:val="left"/>
      <w:pPr>
        <w:tabs>
          <w:tab w:val="num" w:pos="2835"/>
        </w:tabs>
        <w:ind w:left="2835" w:hanging="567"/>
      </w:pPr>
      <w:rPr>
        <w:rFonts w:cs="David" w:hint="cs"/>
        <w:bCs w:val="0"/>
        <w:iCs w:val="0"/>
        <w:caps w:val="0"/>
        <w:strike w:val="0"/>
        <w:dstrike w:val="0"/>
        <w:vanish w:val="0"/>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Letter"/>
      <w:lvlText w:val="(%6)"/>
      <w:lvlJc w:val="center"/>
      <w:pPr>
        <w:tabs>
          <w:tab w:val="num" w:pos="4603"/>
        </w:tabs>
        <w:ind w:left="4315" w:hanging="360"/>
      </w:pPr>
      <w:rPr>
        <w:rFonts w:hint="default"/>
      </w:rPr>
    </w:lvl>
    <w:lvl w:ilvl="6">
      <w:start w:val="1"/>
      <w:numFmt w:val="decimal"/>
      <w:lvlText w:val="%7."/>
      <w:lvlJc w:val="center"/>
      <w:pPr>
        <w:tabs>
          <w:tab w:val="num" w:pos="4963"/>
        </w:tabs>
        <w:ind w:left="4675" w:hanging="360"/>
      </w:pPr>
      <w:rPr>
        <w:rFonts w:hint="default"/>
      </w:rPr>
    </w:lvl>
    <w:lvl w:ilvl="7">
      <w:start w:val="1"/>
      <w:numFmt w:val="cardinalText"/>
      <w:lvlText w:val="%8."/>
      <w:lvlJc w:val="center"/>
      <w:pPr>
        <w:tabs>
          <w:tab w:val="num" w:pos="5323"/>
        </w:tabs>
        <w:ind w:left="5035" w:hanging="360"/>
      </w:pPr>
      <w:rPr>
        <w:rFonts w:hint="default"/>
      </w:rPr>
    </w:lvl>
    <w:lvl w:ilvl="8">
      <w:start w:val="1"/>
      <w:numFmt w:val="lowerLetter"/>
      <w:lvlText w:val="%9."/>
      <w:lvlJc w:val="center"/>
      <w:pPr>
        <w:tabs>
          <w:tab w:val="num" w:pos="5683"/>
        </w:tabs>
        <w:ind w:left="5395" w:hanging="360"/>
      </w:pPr>
      <w:rPr>
        <w:rFonts w:hint="default"/>
      </w:rPr>
    </w:lvl>
  </w:abstractNum>
  <w:abstractNum w:abstractNumId="7" w15:restartNumberingAfterBreak="0">
    <w:nsid w:val="67E87665"/>
    <w:multiLevelType w:val="multilevel"/>
    <w:tmpl w:val="5F246CF4"/>
    <w:lvl w:ilvl="0">
      <w:start w:val="1"/>
      <w:numFmt w:val="decimal"/>
      <w:pStyle w:val="Heading1"/>
      <w:lvlText w:val="%1."/>
      <w:lvlJc w:val="right"/>
      <w:pPr>
        <w:tabs>
          <w:tab w:val="num" w:pos="567"/>
        </w:tabs>
        <w:ind w:left="567" w:hanging="397"/>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Heading2"/>
      <w:lvlText w:val="%1.%2."/>
      <w:lvlJc w:val="left"/>
      <w:pPr>
        <w:tabs>
          <w:tab w:val="num" w:pos="1701"/>
        </w:tabs>
        <w:ind w:left="1701" w:hanging="124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Heading3"/>
      <w:lvlText w:val="%1.%2.%3."/>
      <w:lvlJc w:val="left"/>
      <w:pPr>
        <w:tabs>
          <w:tab w:val="num" w:pos="2835"/>
        </w:tabs>
        <w:ind w:left="2835" w:hanging="1191"/>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pStyle w:val="Heading4"/>
      <w:lvlText w:val="%1.%2.%3.%4."/>
      <w:lvlJc w:val="left"/>
      <w:pPr>
        <w:tabs>
          <w:tab w:val="num" w:pos="4536"/>
        </w:tabs>
        <w:ind w:left="4536" w:hanging="1701"/>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8" w15:restartNumberingAfterBreak="0">
    <w:nsid w:val="6CDF755F"/>
    <w:multiLevelType w:val="hybridMultilevel"/>
    <w:tmpl w:val="3182B9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01523CD"/>
    <w:multiLevelType w:val="multilevel"/>
    <w:tmpl w:val="92705BF6"/>
    <w:lvl w:ilvl="0">
      <w:start w:val="1"/>
      <w:numFmt w:val="decimal"/>
      <w:lvlText w:val="%1."/>
      <w:lvlJc w:val="right"/>
      <w:pPr>
        <w:tabs>
          <w:tab w:val="num" w:pos="709"/>
        </w:tabs>
        <w:ind w:left="709" w:hanging="425"/>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2126"/>
        </w:tabs>
        <w:ind w:left="2126" w:hanging="141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2552"/>
        </w:tabs>
        <w:ind w:left="2551" w:hanging="141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3969"/>
        </w:tabs>
        <w:ind w:left="3969" w:hanging="1418"/>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10" w15:restartNumberingAfterBreak="0">
    <w:nsid w:val="79D111D8"/>
    <w:multiLevelType w:val="multilevel"/>
    <w:tmpl w:val="4E0440E0"/>
    <w:lvl w:ilvl="0">
      <w:start w:val="1"/>
      <w:numFmt w:val="decimal"/>
      <w:lvlText w:val="%1."/>
      <w:lvlJc w:val="right"/>
      <w:pPr>
        <w:tabs>
          <w:tab w:val="num" w:pos="709"/>
        </w:tabs>
        <w:ind w:left="709" w:hanging="425"/>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tabs>
          <w:tab w:val="num" w:pos="2126"/>
        </w:tabs>
        <w:ind w:left="2126" w:hanging="1417"/>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3544"/>
        </w:tabs>
        <w:ind w:left="3544" w:hanging="1418"/>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4961"/>
        </w:tabs>
        <w:ind w:left="4961" w:hanging="1417"/>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11" w15:restartNumberingAfterBreak="0">
    <w:nsid w:val="7C5D446C"/>
    <w:multiLevelType w:val="multilevel"/>
    <w:tmpl w:val="BDD8A6C0"/>
    <w:lvl w:ilvl="0">
      <w:start w:val="1"/>
      <w:numFmt w:val="decimal"/>
      <w:lvlText w:val="%1."/>
      <w:lvlJc w:val="left"/>
      <w:pPr>
        <w:tabs>
          <w:tab w:val="num" w:pos="709"/>
        </w:tabs>
        <w:ind w:left="709" w:hanging="709"/>
      </w:pPr>
      <w:rPr>
        <w:rFonts w:ascii="Times New Roman" w:hAnsi="Times New Roman" w:cs="David" w:hint="default"/>
        <w:b w:val="0"/>
        <w:bCs w:val="0"/>
        <w:i w:val="0"/>
        <w:iCs w:val="0"/>
        <w:caps w:val="0"/>
        <w:strike w:val="0"/>
        <w:dstrike w:val="0"/>
        <w:vanish w:val="0"/>
        <w:kern w:val="0"/>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hebrew1"/>
      <w:lvlText w:val="%2."/>
      <w:lvlJc w:val="left"/>
      <w:pPr>
        <w:tabs>
          <w:tab w:val="num" w:pos="1418"/>
        </w:tabs>
        <w:ind w:left="1418" w:hanging="709"/>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3)"/>
      <w:lvlJc w:val="left"/>
      <w:pPr>
        <w:tabs>
          <w:tab w:val="num" w:pos="2126"/>
        </w:tabs>
        <w:ind w:left="2126" w:hanging="708"/>
      </w:pPr>
      <w:rPr>
        <w:rFonts w:ascii="Times New Roman" w:hAnsi="Times New Roman" w:cs="David" w:hint="default"/>
        <w:b w:val="0"/>
        <w:bCs w:val="0"/>
        <w:i w:val="0"/>
        <w:iCs w:val="0"/>
        <w:caps w:val="0"/>
        <w:strike w:val="0"/>
        <w:dstrike w:val="0"/>
        <w:vanish w:val="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Roman"/>
      <w:lvlText w:val="%4"/>
      <w:lvlJc w:val="left"/>
      <w:pPr>
        <w:tabs>
          <w:tab w:val="num" w:pos="2835"/>
        </w:tabs>
        <w:ind w:left="2835" w:hanging="709"/>
      </w:pPr>
      <w:rPr>
        <w:rFonts w:ascii="Times New Roman" w:hAnsi="Times New Roman" w:cs="David" w:hint="default"/>
        <w:b w:val="0"/>
        <w:bCs w:val="0"/>
        <w:i w:val="0"/>
        <w:iCs w:val="0"/>
        <w:caps w:val="0"/>
        <w:strike w:val="0"/>
        <w:dstrike w:val="0"/>
        <w:vanish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num w:numId="1">
    <w:abstractNumId w:val="2"/>
  </w:num>
  <w:num w:numId="2">
    <w:abstractNumId w:val="2"/>
  </w:num>
  <w:num w:numId="3">
    <w:abstractNumId w:val="2"/>
  </w:num>
  <w:num w:numId="4">
    <w:abstractNumId w:val="2"/>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2"/>
  </w:num>
  <w:num w:numId="14">
    <w:abstractNumId w:val="2"/>
  </w:num>
  <w:num w:numId="15">
    <w:abstractNumId w:val="2"/>
  </w:num>
  <w:num w:numId="16">
    <w:abstractNumId w:val="2"/>
  </w:num>
  <w:num w:numId="17">
    <w:abstractNumId w:val="5"/>
  </w:num>
  <w:num w:numId="18">
    <w:abstractNumId w:val="7"/>
  </w:num>
  <w:num w:numId="19">
    <w:abstractNumId w:val="7"/>
  </w:num>
  <w:num w:numId="20">
    <w:abstractNumId w:val="9"/>
  </w:num>
  <w:num w:numId="21">
    <w:abstractNumId w:val="11"/>
  </w:num>
  <w:num w:numId="22">
    <w:abstractNumId w:val="10"/>
  </w:num>
  <w:num w:numId="23">
    <w:abstractNumId w:val="3"/>
  </w:num>
  <w:num w:numId="24">
    <w:abstractNumId w:val="7"/>
  </w:num>
  <w:num w:numId="25">
    <w:abstractNumId w:val="5"/>
  </w:num>
  <w:num w:numId="26">
    <w:abstractNumId w:val="7"/>
  </w:num>
  <w:num w:numId="27">
    <w:abstractNumId w:val="5"/>
  </w:num>
  <w:num w:numId="28">
    <w:abstractNumId w:val="6"/>
  </w:num>
  <w:num w:numId="29">
    <w:abstractNumId w:val="6"/>
  </w:num>
  <w:num w:numId="30">
    <w:abstractNumId w:val="5"/>
  </w:num>
  <w:num w:numId="31">
    <w:abstractNumId w:val="5"/>
  </w:num>
  <w:num w:numId="32">
    <w:abstractNumId w:val="5"/>
  </w:num>
  <w:num w:numId="33">
    <w:abstractNumId w:val="5"/>
  </w:num>
  <w:num w:numId="34">
    <w:abstractNumId w:val="5"/>
  </w:num>
  <w:num w:numId="35">
    <w:abstractNumId w:val="6"/>
  </w:num>
  <w:num w:numId="36">
    <w:abstractNumId w:val="4"/>
  </w:num>
  <w:num w:numId="37">
    <w:abstractNumId w:val="6"/>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8"/>
  </w:num>
  <w:num w:numId="47">
    <w:abstractNumId w:val="1"/>
  </w:num>
  <w:num w:numId="4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Olsberg">
    <w15:presenceInfo w15:providerId="None" w15:userId="Michael Ols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89"/>
    <w:rsid w:val="0000101E"/>
    <w:rsid w:val="00003300"/>
    <w:rsid w:val="00011683"/>
    <w:rsid w:val="00014723"/>
    <w:rsid w:val="00015229"/>
    <w:rsid w:val="00031658"/>
    <w:rsid w:val="00031B1F"/>
    <w:rsid w:val="00035ED8"/>
    <w:rsid w:val="00037320"/>
    <w:rsid w:val="00042040"/>
    <w:rsid w:val="00051F1F"/>
    <w:rsid w:val="00057338"/>
    <w:rsid w:val="00072657"/>
    <w:rsid w:val="0008373D"/>
    <w:rsid w:val="0009342D"/>
    <w:rsid w:val="00097EDA"/>
    <w:rsid w:val="000A3D31"/>
    <w:rsid w:val="000B0B89"/>
    <w:rsid w:val="000B7E99"/>
    <w:rsid w:val="000C489B"/>
    <w:rsid w:val="000C7630"/>
    <w:rsid w:val="000D2F68"/>
    <w:rsid w:val="000E701E"/>
    <w:rsid w:val="000F4693"/>
    <w:rsid w:val="000F76D4"/>
    <w:rsid w:val="001203EF"/>
    <w:rsid w:val="00122C95"/>
    <w:rsid w:val="0012431E"/>
    <w:rsid w:val="00124DF0"/>
    <w:rsid w:val="00125192"/>
    <w:rsid w:val="0014171F"/>
    <w:rsid w:val="001449CD"/>
    <w:rsid w:val="00173538"/>
    <w:rsid w:val="001754CE"/>
    <w:rsid w:val="00183B67"/>
    <w:rsid w:val="00187960"/>
    <w:rsid w:val="00195F41"/>
    <w:rsid w:val="001C21E0"/>
    <w:rsid w:val="001C4971"/>
    <w:rsid w:val="001C503D"/>
    <w:rsid w:val="001C7260"/>
    <w:rsid w:val="001D1D8C"/>
    <w:rsid w:val="001D36D0"/>
    <w:rsid w:val="001D3C66"/>
    <w:rsid w:val="001E0871"/>
    <w:rsid w:val="001E4E89"/>
    <w:rsid w:val="001F5734"/>
    <w:rsid w:val="0020040C"/>
    <w:rsid w:val="00206F37"/>
    <w:rsid w:val="0021014B"/>
    <w:rsid w:val="002176A7"/>
    <w:rsid w:val="00220FA6"/>
    <w:rsid w:val="002212E0"/>
    <w:rsid w:val="00227EA4"/>
    <w:rsid w:val="00245E3B"/>
    <w:rsid w:val="0025496C"/>
    <w:rsid w:val="0025687D"/>
    <w:rsid w:val="00256EDD"/>
    <w:rsid w:val="00261390"/>
    <w:rsid w:val="00265AE0"/>
    <w:rsid w:val="002813AB"/>
    <w:rsid w:val="00285328"/>
    <w:rsid w:val="00287835"/>
    <w:rsid w:val="00295241"/>
    <w:rsid w:val="002A32C3"/>
    <w:rsid w:val="002B0E95"/>
    <w:rsid w:val="002B27C7"/>
    <w:rsid w:val="002C126D"/>
    <w:rsid w:val="002E039E"/>
    <w:rsid w:val="00304D4C"/>
    <w:rsid w:val="00313BFB"/>
    <w:rsid w:val="00316D9F"/>
    <w:rsid w:val="00317F8B"/>
    <w:rsid w:val="00323CE3"/>
    <w:rsid w:val="003351A3"/>
    <w:rsid w:val="00344A28"/>
    <w:rsid w:val="00363100"/>
    <w:rsid w:val="003762D0"/>
    <w:rsid w:val="003773C2"/>
    <w:rsid w:val="0038465B"/>
    <w:rsid w:val="0039361B"/>
    <w:rsid w:val="003A2878"/>
    <w:rsid w:val="003D5C88"/>
    <w:rsid w:val="003D6940"/>
    <w:rsid w:val="003E085E"/>
    <w:rsid w:val="003F31A9"/>
    <w:rsid w:val="00400A56"/>
    <w:rsid w:val="00401A5E"/>
    <w:rsid w:val="004102A8"/>
    <w:rsid w:val="004146FF"/>
    <w:rsid w:val="004213AD"/>
    <w:rsid w:val="00421415"/>
    <w:rsid w:val="00421FA1"/>
    <w:rsid w:val="00422574"/>
    <w:rsid w:val="004300B5"/>
    <w:rsid w:val="00443A46"/>
    <w:rsid w:val="00446A81"/>
    <w:rsid w:val="00452290"/>
    <w:rsid w:val="004538D1"/>
    <w:rsid w:val="00453BE1"/>
    <w:rsid w:val="00470D4E"/>
    <w:rsid w:val="004759CE"/>
    <w:rsid w:val="00485BA8"/>
    <w:rsid w:val="0048731E"/>
    <w:rsid w:val="004A571A"/>
    <w:rsid w:val="004B286A"/>
    <w:rsid w:val="004C33DC"/>
    <w:rsid w:val="004C3F35"/>
    <w:rsid w:val="004C6098"/>
    <w:rsid w:val="004D471E"/>
    <w:rsid w:val="004D636A"/>
    <w:rsid w:val="004E3615"/>
    <w:rsid w:val="00506436"/>
    <w:rsid w:val="00507F66"/>
    <w:rsid w:val="0051217E"/>
    <w:rsid w:val="00530D9C"/>
    <w:rsid w:val="0053169F"/>
    <w:rsid w:val="0053364B"/>
    <w:rsid w:val="00534323"/>
    <w:rsid w:val="00544A16"/>
    <w:rsid w:val="005513D5"/>
    <w:rsid w:val="00556C28"/>
    <w:rsid w:val="00567E0A"/>
    <w:rsid w:val="005748B7"/>
    <w:rsid w:val="00575385"/>
    <w:rsid w:val="00580CB8"/>
    <w:rsid w:val="005857B2"/>
    <w:rsid w:val="00585A07"/>
    <w:rsid w:val="0059053A"/>
    <w:rsid w:val="005B5E76"/>
    <w:rsid w:val="005B642E"/>
    <w:rsid w:val="005C0627"/>
    <w:rsid w:val="005D1779"/>
    <w:rsid w:val="005D6AF7"/>
    <w:rsid w:val="005D78D3"/>
    <w:rsid w:val="005E7C90"/>
    <w:rsid w:val="005F1198"/>
    <w:rsid w:val="0060152B"/>
    <w:rsid w:val="0061486E"/>
    <w:rsid w:val="006152C2"/>
    <w:rsid w:val="00615995"/>
    <w:rsid w:val="00616856"/>
    <w:rsid w:val="00634AF5"/>
    <w:rsid w:val="00646441"/>
    <w:rsid w:val="00667214"/>
    <w:rsid w:val="00674728"/>
    <w:rsid w:val="00674A49"/>
    <w:rsid w:val="006978D3"/>
    <w:rsid w:val="006A4DDA"/>
    <w:rsid w:val="006A78D2"/>
    <w:rsid w:val="006B1FFC"/>
    <w:rsid w:val="006B2D11"/>
    <w:rsid w:val="006B7AD9"/>
    <w:rsid w:val="006C14F2"/>
    <w:rsid w:val="006C66DB"/>
    <w:rsid w:val="006D331D"/>
    <w:rsid w:val="006D4B9D"/>
    <w:rsid w:val="006D75B5"/>
    <w:rsid w:val="006D7ED4"/>
    <w:rsid w:val="006E463E"/>
    <w:rsid w:val="007115E8"/>
    <w:rsid w:val="007127F2"/>
    <w:rsid w:val="00721E59"/>
    <w:rsid w:val="00746AD7"/>
    <w:rsid w:val="007522B9"/>
    <w:rsid w:val="007564CE"/>
    <w:rsid w:val="00772805"/>
    <w:rsid w:val="00776CEF"/>
    <w:rsid w:val="0078044B"/>
    <w:rsid w:val="00793FC5"/>
    <w:rsid w:val="00795868"/>
    <w:rsid w:val="007978D4"/>
    <w:rsid w:val="007B345C"/>
    <w:rsid w:val="007B355E"/>
    <w:rsid w:val="007C0564"/>
    <w:rsid w:val="007C540A"/>
    <w:rsid w:val="007D2CC0"/>
    <w:rsid w:val="007F5CB7"/>
    <w:rsid w:val="007F701F"/>
    <w:rsid w:val="00833341"/>
    <w:rsid w:val="008408A2"/>
    <w:rsid w:val="00843EA2"/>
    <w:rsid w:val="0084466A"/>
    <w:rsid w:val="0085093E"/>
    <w:rsid w:val="0086047E"/>
    <w:rsid w:val="00862053"/>
    <w:rsid w:val="008762E6"/>
    <w:rsid w:val="008815EF"/>
    <w:rsid w:val="00891623"/>
    <w:rsid w:val="00892A0A"/>
    <w:rsid w:val="00892E72"/>
    <w:rsid w:val="008A1D3A"/>
    <w:rsid w:val="008B2B6D"/>
    <w:rsid w:val="008B4D4D"/>
    <w:rsid w:val="008C65C5"/>
    <w:rsid w:val="008C7B6D"/>
    <w:rsid w:val="008D33EB"/>
    <w:rsid w:val="008D34F5"/>
    <w:rsid w:val="008D408A"/>
    <w:rsid w:val="008E317C"/>
    <w:rsid w:val="008F010E"/>
    <w:rsid w:val="008F1676"/>
    <w:rsid w:val="008F249E"/>
    <w:rsid w:val="008F26DA"/>
    <w:rsid w:val="008F3852"/>
    <w:rsid w:val="008F41CF"/>
    <w:rsid w:val="00901452"/>
    <w:rsid w:val="00902C9E"/>
    <w:rsid w:val="00904E2B"/>
    <w:rsid w:val="009135AA"/>
    <w:rsid w:val="0091406F"/>
    <w:rsid w:val="009175C0"/>
    <w:rsid w:val="00920A7A"/>
    <w:rsid w:val="00920CFE"/>
    <w:rsid w:val="00924BD0"/>
    <w:rsid w:val="00927E47"/>
    <w:rsid w:val="00940435"/>
    <w:rsid w:val="00943FDB"/>
    <w:rsid w:val="0094677B"/>
    <w:rsid w:val="009503F1"/>
    <w:rsid w:val="009524DB"/>
    <w:rsid w:val="00954428"/>
    <w:rsid w:val="00964EC3"/>
    <w:rsid w:val="00967E8D"/>
    <w:rsid w:val="00971113"/>
    <w:rsid w:val="00971180"/>
    <w:rsid w:val="00971963"/>
    <w:rsid w:val="00980677"/>
    <w:rsid w:val="00990165"/>
    <w:rsid w:val="009A0844"/>
    <w:rsid w:val="009A092C"/>
    <w:rsid w:val="009A1A0D"/>
    <w:rsid w:val="009A237C"/>
    <w:rsid w:val="009B0C03"/>
    <w:rsid w:val="009D0179"/>
    <w:rsid w:val="009D4A8D"/>
    <w:rsid w:val="009D7182"/>
    <w:rsid w:val="009E162A"/>
    <w:rsid w:val="009E4546"/>
    <w:rsid w:val="00A06D88"/>
    <w:rsid w:val="00A152FD"/>
    <w:rsid w:val="00A15924"/>
    <w:rsid w:val="00A24F57"/>
    <w:rsid w:val="00A26DD6"/>
    <w:rsid w:val="00A446EE"/>
    <w:rsid w:val="00A47FF4"/>
    <w:rsid w:val="00A66D1C"/>
    <w:rsid w:val="00A700E2"/>
    <w:rsid w:val="00A71174"/>
    <w:rsid w:val="00A83A15"/>
    <w:rsid w:val="00A8519B"/>
    <w:rsid w:val="00A862E6"/>
    <w:rsid w:val="00A86FD9"/>
    <w:rsid w:val="00A92286"/>
    <w:rsid w:val="00AA6788"/>
    <w:rsid w:val="00AB4CF1"/>
    <w:rsid w:val="00AB6D3D"/>
    <w:rsid w:val="00AC06A7"/>
    <w:rsid w:val="00AC5BEA"/>
    <w:rsid w:val="00AC5D7C"/>
    <w:rsid w:val="00AD5355"/>
    <w:rsid w:val="00B03E1C"/>
    <w:rsid w:val="00B22947"/>
    <w:rsid w:val="00B33753"/>
    <w:rsid w:val="00B37F3C"/>
    <w:rsid w:val="00B42850"/>
    <w:rsid w:val="00B44590"/>
    <w:rsid w:val="00B65D54"/>
    <w:rsid w:val="00B74298"/>
    <w:rsid w:val="00B75511"/>
    <w:rsid w:val="00B75952"/>
    <w:rsid w:val="00B7685F"/>
    <w:rsid w:val="00B920CE"/>
    <w:rsid w:val="00B97733"/>
    <w:rsid w:val="00BB130A"/>
    <w:rsid w:val="00BB544A"/>
    <w:rsid w:val="00BC0DB3"/>
    <w:rsid w:val="00BC345B"/>
    <w:rsid w:val="00BC746C"/>
    <w:rsid w:val="00BD4383"/>
    <w:rsid w:val="00BE4527"/>
    <w:rsid w:val="00BF669E"/>
    <w:rsid w:val="00C06729"/>
    <w:rsid w:val="00C10AE2"/>
    <w:rsid w:val="00C12C53"/>
    <w:rsid w:val="00C13375"/>
    <w:rsid w:val="00C1668A"/>
    <w:rsid w:val="00C17B45"/>
    <w:rsid w:val="00C213AE"/>
    <w:rsid w:val="00C24A30"/>
    <w:rsid w:val="00C33CF3"/>
    <w:rsid w:val="00C37032"/>
    <w:rsid w:val="00C44AD4"/>
    <w:rsid w:val="00C45100"/>
    <w:rsid w:val="00C466C4"/>
    <w:rsid w:val="00C51036"/>
    <w:rsid w:val="00C555F7"/>
    <w:rsid w:val="00C733C7"/>
    <w:rsid w:val="00C74133"/>
    <w:rsid w:val="00C7764C"/>
    <w:rsid w:val="00CA18CC"/>
    <w:rsid w:val="00CA686F"/>
    <w:rsid w:val="00CB518F"/>
    <w:rsid w:val="00CD00A7"/>
    <w:rsid w:val="00CE7E0C"/>
    <w:rsid w:val="00CF42EC"/>
    <w:rsid w:val="00CF560E"/>
    <w:rsid w:val="00D013D6"/>
    <w:rsid w:val="00D02A68"/>
    <w:rsid w:val="00D075CA"/>
    <w:rsid w:val="00D14EFB"/>
    <w:rsid w:val="00D16BF2"/>
    <w:rsid w:val="00D17758"/>
    <w:rsid w:val="00D25912"/>
    <w:rsid w:val="00D26249"/>
    <w:rsid w:val="00D33097"/>
    <w:rsid w:val="00D34E18"/>
    <w:rsid w:val="00D354C1"/>
    <w:rsid w:val="00D503EA"/>
    <w:rsid w:val="00D624E4"/>
    <w:rsid w:val="00D6366F"/>
    <w:rsid w:val="00D74E1A"/>
    <w:rsid w:val="00DB2843"/>
    <w:rsid w:val="00DB624C"/>
    <w:rsid w:val="00DC08A9"/>
    <w:rsid w:val="00DC25AF"/>
    <w:rsid w:val="00DC6C50"/>
    <w:rsid w:val="00DD374C"/>
    <w:rsid w:val="00DD66E2"/>
    <w:rsid w:val="00DF6734"/>
    <w:rsid w:val="00DF7B12"/>
    <w:rsid w:val="00E022EB"/>
    <w:rsid w:val="00E14BE9"/>
    <w:rsid w:val="00E36D46"/>
    <w:rsid w:val="00E54758"/>
    <w:rsid w:val="00E70A42"/>
    <w:rsid w:val="00E776C7"/>
    <w:rsid w:val="00E77FFD"/>
    <w:rsid w:val="00E9048B"/>
    <w:rsid w:val="00E94C21"/>
    <w:rsid w:val="00E97394"/>
    <w:rsid w:val="00EB2B03"/>
    <w:rsid w:val="00EB4902"/>
    <w:rsid w:val="00EC1D71"/>
    <w:rsid w:val="00ED63D0"/>
    <w:rsid w:val="00F15A2A"/>
    <w:rsid w:val="00F33959"/>
    <w:rsid w:val="00F365B3"/>
    <w:rsid w:val="00F36FD7"/>
    <w:rsid w:val="00F428A5"/>
    <w:rsid w:val="00F43FC7"/>
    <w:rsid w:val="00F44FC7"/>
    <w:rsid w:val="00F46F5D"/>
    <w:rsid w:val="00F5193E"/>
    <w:rsid w:val="00F534C6"/>
    <w:rsid w:val="00F64AC7"/>
    <w:rsid w:val="00F6719A"/>
    <w:rsid w:val="00F76A2B"/>
    <w:rsid w:val="00F805C3"/>
    <w:rsid w:val="00F84ACA"/>
    <w:rsid w:val="00F92A00"/>
    <w:rsid w:val="00F96165"/>
    <w:rsid w:val="00FA4C5C"/>
    <w:rsid w:val="00FB2ECC"/>
    <w:rsid w:val="00FB3E27"/>
    <w:rsid w:val="00FB41F6"/>
    <w:rsid w:val="00FC44C5"/>
    <w:rsid w:val="00FD7F0F"/>
    <w:rsid w:val="00FE0597"/>
    <w:rsid w:val="00FF1094"/>
    <w:rsid w:val="00FF4C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maroon"/>
    </o:shapedefaults>
    <o:shapelayout v:ext="edit">
      <o:idmap v:ext="edit" data="1"/>
    </o:shapelayout>
  </w:shapeDefaults>
  <w:decimalSymbol w:val="."/>
  <w:listSeparator w:val=","/>
  <w14:docId w14:val="6AF9C907"/>
  <w15:docId w15:val="{C11D6E0C-9624-4FE7-8D70-2B284605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C3"/>
    <w:pPr>
      <w:keepLines/>
      <w:autoSpaceDE w:val="0"/>
      <w:autoSpaceDN w:val="0"/>
      <w:bidi/>
      <w:jc w:val="both"/>
    </w:pPr>
    <w:rPr>
      <w:rFonts w:cs="Narkisim"/>
      <w:sz w:val="24"/>
      <w:szCs w:val="26"/>
    </w:rPr>
  </w:style>
  <w:style w:type="paragraph" w:styleId="Heading1">
    <w:name w:val="heading 1"/>
    <w:basedOn w:val="Normal"/>
    <w:qFormat/>
    <w:rsid w:val="007F701F"/>
    <w:pPr>
      <w:numPr>
        <w:numId w:val="45"/>
      </w:numPr>
      <w:spacing w:before="240"/>
      <w:outlineLvl w:val="0"/>
    </w:pPr>
  </w:style>
  <w:style w:type="paragraph" w:styleId="Heading2">
    <w:name w:val="heading 2"/>
    <w:basedOn w:val="Normal"/>
    <w:qFormat/>
    <w:rsid w:val="007F701F"/>
    <w:pPr>
      <w:numPr>
        <w:ilvl w:val="1"/>
        <w:numId w:val="45"/>
      </w:numPr>
      <w:spacing w:before="240"/>
      <w:outlineLvl w:val="1"/>
    </w:pPr>
    <w:rPr>
      <w:rFonts w:eastAsia="SimSun"/>
      <w:lang w:eastAsia="zh-CN"/>
    </w:rPr>
  </w:style>
  <w:style w:type="paragraph" w:styleId="Heading3">
    <w:name w:val="heading 3"/>
    <w:basedOn w:val="Normal"/>
    <w:qFormat/>
    <w:rsid w:val="007F701F"/>
    <w:pPr>
      <w:numPr>
        <w:ilvl w:val="2"/>
        <w:numId w:val="45"/>
      </w:numPr>
      <w:spacing w:before="240"/>
      <w:outlineLvl w:val="2"/>
    </w:pPr>
    <w:rPr>
      <w:rFonts w:eastAsia="SimSun"/>
      <w:lang w:eastAsia="zh-CN"/>
    </w:rPr>
  </w:style>
  <w:style w:type="paragraph" w:styleId="Heading4">
    <w:name w:val="heading 4"/>
    <w:basedOn w:val="Normal"/>
    <w:qFormat/>
    <w:rsid w:val="007F701F"/>
    <w:pPr>
      <w:numPr>
        <w:ilvl w:val="3"/>
        <w:numId w:val="45"/>
      </w:numPr>
      <w:spacing w:before="240"/>
      <w:outlineLvl w:val="3"/>
    </w:pPr>
    <w:rPr>
      <w:rFonts w:eastAsia="SimSun"/>
      <w:lang w:eastAsia="zh-CN"/>
    </w:rPr>
  </w:style>
  <w:style w:type="paragraph" w:styleId="Heading5">
    <w:name w:val="heading 5"/>
    <w:basedOn w:val="Normal"/>
    <w:qFormat/>
    <w:rsid w:val="0038465B"/>
    <w:pPr>
      <w:tabs>
        <w:tab w:val="num" w:pos="5863"/>
      </w:tabs>
      <w:spacing w:before="240"/>
      <w:ind w:right="5670" w:hanging="1247"/>
      <w:outlineLvl w:val="4"/>
    </w:pPr>
  </w:style>
  <w:style w:type="paragraph" w:styleId="Heading6">
    <w:name w:val="heading 6"/>
    <w:basedOn w:val="Normal"/>
    <w:qFormat/>
    <w:rsid w:val="0038465B"/>
    <w:pPr>
      <w:tabs>
        <w:tab w:val="num" w:pos="4963"/>
      </w:tabs>
      <w:spacing w:after="120"/>
      <w:ind w:right="4963" w:hanging="709"/>
      <w:outlineLvl w:val="5"/>
    </w:pPr>
    <w:rPr>
      <w:rFonts w:ascii="Arial" w:hAnsi="Arial" w:cs="David"/>
      <w:sz w:val="22"/>
      <w:szCs w:val="24"/>
    </w:rPr>
  </w:style>
  <w:style w:type="paragraph" w:styleId="Heading7">
    <w:name w:val="heading 7"/>
    <w:basedOn w:val="Normal"/>
    <w:qFormat/>
    <w:rsid w:val="0038465B"/>
    <w:pPr>
      <w:tabs>
        <w:tab w:val="num" w:pos="0"/>
      </w:tabs>
      <w:spacing w:after="120"/>
      <w:ind w:right="5672" w:hanging="709"/>
      <w:outlineLvl w:val="6"/>
    </w:pPr>
    <w:rPr>
      <w:rFonts w:ascii="Arial" w:hAnsi="Arial" w:cs="David"/>
      <w:sz w:val="22"/>
      <w:szCs w:val="24"/>
    </w:rPr>
  </w:style>
  <w:style w:type="paragraph" w:styleId="Heading8">
    <w:name w:val="heading 8"/>
    <w:basedOn w:val="Normal"/>
    <w:qFormat/>
    <w:rsid w:val="0038465B"/>
    <w:pPr>
      <w:tabs>
        <w:tab w:val="num" w:pos="0"/>
      </w:tabs>
      <w:spacing w:after="120"/>
      <w:ind w:right="6381" w:hanging="709"/>
      <w:outlineLvl w:val="7"/>
    </w:pPr>
    <w:rPr>
      <w:rFonts w:ascii="Arial" w:hAnsi="Arial" w:cs="David"/>
      <w:sz w:val="22"/>
      <w:szCs w:val="24"/>
    </w:rPr>
  </w:style>
  <w:style w:type="paragraph" w:styleId="Heading9">
    <w:name w:val="heading 9"/>
    <w:basedOn w:val="Normal"/>
    <w:qFormat/>
    <w:rsid w:val="0038465B"/>
    <w:pPr>
      <w:tabs>
        <w:tab w:val="num" w:pos="0"/>
      </w:tabs>
      <w:spacing w:after="120"/>
      <w:ind w:right="7090" w:hanging="709"/>
      <w:outlineLvl w:val="8"/>
    </w:pPr>
    <w:rPr>
      <w:rFonts w:ascii="Arial" w:hAnsi="Arial" w:cs="Dav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8F1676"/>
    <w:pPr>
      <w:ind w:left="1701" w:right="1134"/>
    </w:pPr>
  </w:style>
  <w:style w:type="paragraph" w:customStyle="1" w:styleId="20">
    <w:name w:val="ציטוט2"/>
    <w:basedOn w:val="Normal"/>
    <w:rsid w:val="008F1676"/>
    <w:pPr>
      <w:ind w:left="2552" w:right="1134"/>
    </w:pPr>
  </w:style>
  <w:style w:type="paragraph" w:customStyle="1" w:styleId="1">
    <w:name w:val="היסט1"/>
    <w:basedOn w:val="Normal"/>
    <w:rsid w:val="003A2878"/>
    <w:pPr>
      <w:numPr>
        <w:numId w:val="36"/>
      </w:numPr>
      <w:spacing w:before="240"/>
    </w:pPr>
  </w:style>
  <w:style w:type="paragraph" w:customStyle="1" w:styleId="2">
    <w:name w:val="היסט2"/>
    <w:basedOn w:val="Normal"/>
    <w:rsid w:val="003A2878"/>
    <w:pPr>
      <w:numPr>
        <w:ilvl w:val="1"/>
        <w:numId w:val="36"/>
      </w:numPr>
      <w:spacing w:before="240"/>
    </w:pPr>
    <w:rPr>
      <w:rFonts w:eastAsia="SimSun"/>
      <w:lang w:eastAsia="zh-CN"/>
    </w:rPr>
  </w:style>
  <w:style w:type="paragraph" w:customStyle="1" w:styleId="3">
    <w:name w:val="היסט3"/>
    <w:basedOn w:val="Normal"/>
    <w:rsid w:val="003A2878"/>
    <w:pPr>
      <w:numPr>
        <w:ilvl w:val="2"/>
        <w:numId w:val="36"/>
      </w:numPr>
      <w:spacing w:before="240"/>
    </w:pPr>
    <w:rPr>
      <w:rFonts w:eastAsia="SimSun"/>
      <w:lang w:eastAsia="zh-CN"/>
    </w:rPr>
  </w:style>
  <w:style w:type="paragraph" w:customStyle="1" w:styleId="4">
    <w:name w:val="היסט4"/>
    <w:basedOn w:val="Normal"/>
    <w:rsid w:val="003A2878"/>
    <w:pPr>
      <w:numPr>
        <w:ilvl w:val="3"/>
        <w:numId w:val="36"/>
      </w:numPr>
      <w:spacing w:before="240"/>
    </w:pPr>
    <w:rPr>
      <w:rFonts w:eastAsia="SimSun"/>
      <w:lang w:eastAsia="zh-CN"/>
    </w:rPr>
  </w:style>
  <w:style w:type="paragraph" w:styleId="Header">
    <w:name w:val="header"/>
    <w:basedOn w:val="Normal"/>
    <w:link w:val="HeaderChar"/>
    <w:rsid w:val="009A1A0D"/>
    <w:pPr>
      <w:tabs>
        <w:tab w:val="center" w:pos="4153"/>
        <w:tab w:val="right" w:pos="8306"/>
      </w:tabs>
    </w:pPr>
    <w:rPr>
      <w:rFonts w:cs="Times New Roman"/>
      <w:lang w:val="x-none" w:eastAsia="x-none"/>
    </w:rPr>
  </w:style>
  <w:style w:type="paragraph" w:styleId="Footer">
    <w:name w:val="footer"/>
    <w:basedOn w:val="Normal"/>
    <w:rsid w:val="009A1A0D"/>
    <w:pPr>
      <w:tabs>
        <w:tab w:val="center" w:pos="4153"/>
        <w:tab w:val="right" w:pos="8306"/>
      </w:tabs>
    </w:pPr>
  </w:style>
  <w:style w:type="character" w:styleId="PageNumber">
    <w:name w:val="page number"/>
    <w:basedOn w:val="DefaultParagraphFont"/>
    <w:rsid w:val="003773C2"/>
  </w:style>
  <w:style w:type="paragraph" w:customStyle="1" w:styleId="a">
    <w:name w:val="ב&quot;כ"/>
    <w:basedOn w:val="Normal"/>
    <w:rsid w:val="00097EDA"/>
    <w:pPr>
      <w:ind w:left="2835" w:right="2410"/>
    </w:pPr>
  </w:style>
  <w:style w:type="paragraph" w:customStyle="1" w:styleId="a0">
    <w:name w:val="בכבוד"/>
    <w:basedOn w:val="Normal"/>
    <w:rsid w:val="00097EDA"/>
    <w:pPr>
      <w:ind w:left="5670"/>
      <w:jc w:val="center"/>
    </w:pPr>
  </w:style>
  <w:style w:type="paragraph" w:customStyle="1" w:styleId="a1">
    <w:name w:val="היסט"/>
    <w:basedOn w:val="Normal"/>
    <w:rsid w:val="00097EDA"/>
    <w:pPr>
      <w:ind w:left="709"/>
    </w:pPr>
  </w:style>
  <w:style w:type="paragraph" w:customStyle="1" w:styleId="a2">
    <w:name w:val="היסט_כפול"/>
    <w:basedOn w:val="Normal"/>
    <w:rsid w:val="00097EDA"/>
    <w:pPr>
      <w:tabs>
        <w:tab w:val="left" w:pos="709"/>
      </w:tabs>
      <w:ind w:left="1418" w:hanging="1418"/>
    </w:pPr>
  </w:style>
  <w:style w:type="paragraph" w:customStyle="1" w:styleId="10">
    <w:name w:val="היסט_כפול1"/>
    <w:basedOn w:val="Normal"/>
    <w:rsid w:val="00097EDA"/>
    <w:pPr>
      <w:tabs>
        <w:tab w:val="left" w:pos="1418"/>
      </w:tabs>
      <w:ind w:left="2126" w:hanging="2126"/>
    </w:pPr>
  </w:style>
  <w:style w:type="paragraph" w:customStyle="1" w:styleId="21">
    <w:name w:val="היסט_כפול2"/>
    <w:basedOn w:val="Normal"/>
    <w:rsid w:val="00097EDA"/>
    <w:pPr>
      <w:tabs>
        <w:tab w:val="left" w:pos="1418"/>
      </w:tabs>
      <w:ind w:left="2127" w:hanging="1418"/>
    </w:pPr>
  </w:style>
  <w:style w:type="paragraph" w:styleId="Signature">
    <w:name w:val="Signature"/>
    <w:basedOn w:val="Normal"/>
    <w:rsid w:val="00097EDA"/>
    <w:pPr>
      <w:ind w:left="5670"/>
      <w:jc w:val="center"/>
    </w:pPr>
  </w:style>
  <w:style w:type="paragraph" w:styleId="EnvelopeAddress">
    <w:name w:val="envelope address"/>
    <w:basedOn w:val="Normal"/>
    <w:rsid w:val="00097EDA"/>
    <w:pPr>
      <w:framePr w:w="5040" w:h="1979" w:hRule="exact" w:hSpace="180" w:vSpace="180" w:wrap="around" w:vAnchor="page" w:hAnchor="page" w:x="1742" w:y="2303"/>
    </w:pPr>
    <w:rPr>
      <w:lang w:val="en-GB"/>
    </w:rPr>
  </w:style>
  <w:style w:type="paragraph" w:customStyle="1" w:styleId="in-1">
    <w:name w:val="in-1"/>
    <w:basedOn w:val="Normal"/>
    <w:rsid w:val="00892E72"/>
    <w:pPr>
      <w:ind w:left="567"/>
    </w:pPr>
  </w:style>
  <w:style w:type="paragraph" w:customStyle="1" w:styleId="in-2">
    <w:name w:val="in-2"/>
    <w:basedOn w:val="Normal"/>
    <w:rsid w:val="00892E72"/>
    <w:pPr>
      <w:tabs>
        <w:tab w:val="num" w:pos="1701"/>
      </w:tabs>
      <w:ind w:left="2948" w:hanging="1247"/>
    </w:pPr>
  </w:style>
  <w:style w:type="paragraph" w:customStyle="1" w:styleId="in-3">
    <w:name w:val="in-3"/>
    <w:basedOn w:val="Normal"/>
    <w:rsid w:val="00892E72"/>
    <w:pPr>
      <w:ind w:left="2835"/>
    </w:pPr>
  </w:style>
  <w:style w:type="paragraph" w:customStyle="1" w:styleId="in-4">
    <w:name w:val="in-4"/>
    <w:basedOn w:val="Normal"/>
    <w:rsid w:val="00892E72"/>
    <w:pPr>
      <w:ind w:left="4536"/>
    </w:pPr>
  </w:style>
  <w:style w:type="paragraph" w:customStyle="1" w:styleId="in-5">
    <w:name w:val="in-5"/>
    <w:basedOn w:val="in-1"/>
    <w:rsid w:val="00892E72"/>
    <w:pPr>
      <w:ind w:left="6294"/>
    </w:pPr>
  </w:style>
  <w:style w:type="paragraph" w:customStyle="1" w:styleId="5">
    <w:name w:val="היסט5"/>
    <w:basedOn w:val="Normal"/>
    <w:rsid w:val="003A2878"/>
    <w:pPr>
      <w:numPr>
        <w:ilvl w:val="4"/>
        <w:numId w:val="37"/>
      </w:numPr>
      <w:spacing w:before="240"/>
    </w:pPr>
  </w:style>
  <w:style w:type="paragraph" w:styleId="BalloonText">
    <w:name w:val="Balloon Text"/>
    <w:basedOn w:val="Normal"/>
    <w:semiHidden/>
    <w:rsid w:val="00F805C3"/>
    <w:rPr>
      <w:rFonts w:ascii="Tahoma" w:hAnsi="Tahoma" w:cs="Tahoma"/>
      <w:sz w:val="16"/>
      <w:szCs w:val="16"/>
    </w:rPr>
  </w:style>
  <w:style w:type="table" w:styleId="TableElegant">
    <w:name w:val="Table Elegant"/>
    <w:basedOn w:val="TableNormal"/>
    <w:rsid w:val="00AC5BEA"/>
    <w:pPr>
      <w:keepLines/>
      <w:autoSpaceDE w:val="0"/>
      <w:autoSpaceDN w:val="0"/>
      <w:bidi/>
      <w:jc w:val="center"/>
    </w:pP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otnoteText">
    <w:name w:val="footnote text"/>
    <w:basedOn w:val="Normal"/>
    <w:semiHidden/>
    <w:rsid w:val="00D26249"/>
    <w:pPr>
      <w:bidi w:val="0"/>
    </w:pPr>
    <w:rPr>
      <w:sz w:val="20"/>
      <w:szCs w:val="20"/>
    </w:rPr>
  </w:style>
  <w:style w:type="character" w:styleId="FootnoteReference">
    <w:name w:val="footnote reference"/>
    <w:semiHidden/>
    <w:rsid w:val="00D26249"/>
    <w:rPr>
      <w:vertAlign w:val="superscript"/>
    </w:rPr>
  </w:style>
  <w:style w:type="paragraph" w:customStyle="1" w:styleId="hebrew">
    <w:name w:val="hebrew"/>
    <w:basedOn w:val="Normal"/>
    <w:uiPriority w:val="99"/>
    <w:rsid w:val="00A71174"/>
    <w:pPr>
      <w:keepLines w:val="0"/>
      <w:adjustRightInd w:val="0"/>
      <w:spacing w:line="300" w:lineRule="atLeast"/>
      <w:jc w:val="left"/>
      <w:textAlignment w:val="center"/>
    </w:pPr>
    <w:rPr>
      <w:rFonts w:ascii="Optimum" w:cs="Optimum"/>
      <w:color w:val="000000"/>
      <w:sz w:val="20"/>
      <w:szCs w:val="20"/>
      <w:lang w:bidi="ar-YE"/>
    </w:rPr>
  </w:style>
  <w:style w:type="paragraph" w:customStyle="1" w:styleId="english1">
    <w:name w:val="english1"/>
    <w:basedOn w:val="Normal"/>
    <w:link w:val="english10"/>
    <w:uiPriority w:val="99"/>
    <w:rsid w:val="00A71174"/>
    <w:pPr>
      <w:keepLines w:val="0"/>
      <w:adjustRightInd w:val="0"/>
      <w:spacing w:line="220" w:lineRule="atLeast"/>
      <w:jc w:val="left"/>
      <w:textAlignment w:val="center"/>
    </w:pPr>
    <w:rPr>
      <w:rFonts w:ascii="Sakkal Majalla" w:hAnsi="Sakkal Majalla" w:cs="Times New Roman"/>
      <w:color w:val="000000"/>
      <w:szCs w:val="24"/>
      <w:lang w:val="x-none" w:eastAsia="x-none"/>
    </w:rPr>
  </w:style>
  <w:style w:type="paragraph" w:customStyle="1" w:styleId="englishlong">
    <w:name w:val="english long"/>
    <w:basedOn w:val="english1"/>
    <w:uiPriority w:val="99"/>
    <w:rsid w:val="00A71174"/>
    <w:pPr>
      <w:spacing w:line="233" w:lineRule="atLeast"/>
      <w:jc w:val="right"/>
    </w:pPr>
    <w:rPr>
      <w:spacing w:val="-3"/>
      <w:w w:val="95"/>
      <w:sz w:val="25"/>
      <w:szCs w:val="25"/>
    </w:rPr>
  </w:style>
  <w:style w:type="paragraph" w:customStyle="1" w:styleId="11">
    <w:name w:val="סגנון1"/>
    <w:basedOn w:val="english1"/>
    <w:link w:val="12"/>
    <w:qFormat/>
    <w:rsid w:val="00A71174"/>
    <w:pPr>
      <w:spacing w:line="276" w:lineRule="auto"/>
      <w:jc w:val="right"/>
    </w:pPr>
    <w:rPr>
      <w:w w:val="105"/>
      <w:sz w:val="26"/>
      <w:szCs w:val="26"/>
    </w:rPr>
  </w:style>
  <w:style w:type="character" w:customStyle="1" w:styleId="english10">
    <w:name w:val="english1 תו"/>
    <w:link w:val="english1"/>
    <w:uiPriority w:val="99"/>
    <w:rsid w:val="00A71174"/>
    <w:rPr>
      <w:rFonts w:ascii="Sakkal Majalla" w:hAnsi="Sakkal Majalla" w:cs="Sakkal Majalla"/>
      <w:color w:val="000000"/>
      <w:sz w:val="24"/>
      <w:szCs w:val="24"/>
    </w:rPr>
  </w:style>
  <w:style w:type="character" w:customStyle="1" w:styleId="12">
    <w:name w:val="סגנון1 תו"/>
    <w:link w:val="11"/>
    <w:rsid w:val="00A71174"/>
    <w:rPr>
      <w:rFonts w:ascii="Sakkal Majalla" w:hAnsi="Sakkal Majalla" w:cs="Sakkal Majalla"/>
      <w:color w:val="000000"/>
      <w:w w:val="105"/>
      <w:sz w:val="26"/>
      <w:szCs w:val="26"/>
    </w:rPr>
  </w:style>
  <w:style w:type="character" w:customStyle="1" w:styleId="HeaderChar">
    <w:name w:val="Header Char"/>
    <w:link w:val="Header"/>
    <w:rsid w:val="004A571A"/>
    <w:rPr>
      <w:rFonts w:cs="Narkisim"/>
      <w:sz w:val="24"/>
      <w:szCs w:val="26"/>
    </w:rPr>
  </w:style>
  <w:style w:type="character" w:styleId="CommentReference">
    <w:name w:val="annotation reference"/>
    <w:basedOn w:val="DefaultParagraphFont"/>
    <w:semiHidden/>
    <w:unhideWhenUsed/>
    <w:rsid w:val="00E94C21"/>
    <w:rPr>
      <w:sz w:val="16"/>
      <w:szCs w:val="16"/>
    </w:rPr>
  </w:style>
  <w:style w:type="paragraph" w:styleId="CommentText">
    <w:name w:val="annotation text"/>
    <w:basedOn w:val="Normal"/>
    <w:link w:val="CommentTextChar"/>
    <w:semiHidden/>
    <w:unhideWhenUsed/>
    <w:rsid w:val="00E94C21"/>
    <w:rPr>
      <w:sz w:val="20"/>
      <w:szCs w:val="20"/>
    </w:rPr>
  </w:style>
  <w:style w:type="character" w:customStyle="1" w:styleId="CommentTextChar">
    <w:name w:val="Comment Text Char"/>
    <w:basedOn w:val="DefaultParagraphFont"/>
    <w:link w:val="CommentText"/>
    <w:semiHidden/>
    <w:rsid w:val="00E94C21"/>
    <w:rPr>
      <w:rFonts w:cs="Narkisim"/>
    </w:rPr>
  </w:style>
  <w:style w:type="paragraph" w:styleId="CommentSubject">
    <w:name w:val="annotation subject"/>
    <w:basedOn w:val="CommentText"/>
    <w:next w:val="CommentText"/>
    <w:link w:val="CommentSubjectChar"/>
    <w:semiHidden/>
    <w:unhideWhenUsed/>
    <w:rsid w:val="00E94C21"/>
    <w:rPr>
      <w:b/>
      <w:bCs/>
    </w:rPr>
  </w:style>
  <w:style w:type="character" w:customStyle="1" w:styleId="CommentSubjectChar">
    <w:name w:val="Comment Subject Char"/>
    <w:basedOn w:val="CommentTextChar"/>
    <w:link w:val="CommentSubject"/>
    <w:semiHidden/>
    <w:rsid w:val="00E94C21"/>
    <w:rPr>
      <w:rFonts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xptemplate\a-alogoe.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a-alogoe</Template>
  <TotalTime>832</TotalTime>
  <Pages>8</Pages>
  <Words>2523</Words>
  <Characters>14385</Characters>
  <Application>Microsoft Office Word</Application>
  <DocSecurity>0</DocSecurity>
  <Lines>119</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דיווח באנגלית</vt:lpstr>
      <vt:lpstr>TEL-AVIV</vt:lpstr>
    </vt:vector>
  </TitlesOfParts>
  <Manager>אבי אלרום ושות', משרד עורכי דין</Manager>
  <Company>הראל חברה לביטוח בע"מ</Company>
  <LinksUpToDate>false</LinksUpToDate>
  <CharactersWithSpaces>16875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דיווח באנגלית</dc:title>
  <dc:subject>2/1692</dc:subject>
  <dc:creator>G487181-V1</dc:creator>
  <cp:keywords>X:\commitdocs\2\01692\דיווח באנגלית -V001.doc הראל חברה לביטוח בע"מ דניה סיבוס נגד הראל 2/1692 דיווח באנגלית  487181-V1 G487181-V1</cp:keywords>
  <dc:description>נדב_x000d_
הראל חברה לביטוח בע"מ_x000d_
דיווח באנגלית</dc:description>
  <cp:lastModifiedBy>Michael Olsberg</cp:lastModifiedBy>
  <cp:revision>31</cp:revision>
  <cp:lastPrinted>2015-06-09T09:42:00Z</cp:lastPrinted>
  <dcterms:created xsi:type="dcterms:W3CDTF">2017-03-08T20:29:00Z</dcterms:created>
  <dcterms:modified xsi:type="dcterms:W3CDTF">2017-03-09T11:22:00Z</dcterms:modified>
  <cp:category/>
</cp:coreProperties>
</file>