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894C4" w14:textId="77777777" w:rsidR="00D92E9D" w:rsidRPr="00621580" w:rsidRDefault="00FD7FAD" w:rsidP="00D92E9D">
      <w:pPr>
        <w:rPr>
          <w:b/>
          <w:bCs/>
          <w:lang w:val="fr-CA"/>
        </w:rPr>
      </w:pPr>
      <w:r>
        <w:rPr>
          <w:rFonts w:ascii="Calibri" w:eastAsia="Calibri" w:hAnsi="Calibri" w:cs="Times New Roman"/>
          <w:b/>
          <w:bCs/>
          <w:lang w:val="fr-FR"/>
        </w:rPr>
        <w:t>4.1</w:t>
      </w:r>
    </w:p>
    <w:p w14:paraId="282FEA63" w14:textId="25206994" w:rsidR="00D92E9D" w:rsidRPr="00621580" w:rsidRDefault="00FD7FAD" w:rsidP="00D92E9D">
      <w:pPr>
        <w:rPr>
          <w:lang w:val="fr-CA"/>
        </w:rPr>
      </w:pPr>
      <w:r w:rsidRPr="00621580">
        <w:rPr>
          <w:rFonts w:ascii="Calibri" w:eastAsia="Calibri" w:hAnsi="Calibri" w:cs="Times New Roman"/>
          <w:lang w:val="fr-FR"/>
        </w:rPr>
        <w:t>Le recherche que je me propose d</w:t>
      </w:r>
      <w:r w:rsidR="009D7A6B">
        <w:rPr>
          <w:rFonts w:ascii="Calibri" w:eastAsia="Calibri" w:hAnsi="Calibri" w:cs="Times New Roman"/>
          <w:lang w:val="fr-FR"/>
        </w:rPr>
        <w:t>’</w:t>
      </w:r>
      <w:r w:rsidRPr="00621580">
        <w:rPr>
          <w:rFonts w:ascii="Calibri" w:eastAsia="Calibri" w:hAnsi="Calibri" w:cs="Times New Roman"/>
          <w:lang w:val="fr-FR"/>
        </w:rPr>
        <w:t xml:space="preserve">entreprendre vise à établir si les femmes bénéficiaient, ou non, d’une capacité juridique entre le haut moyen âge et le début de la </w:t>
      </w:r>
      <w:r w:rsidRPr="00621580">
        <w:rPr>
          <w:rFonts w:ascii="Calibri" w:eastAsia="Calibri" w:hAnsi="Calibri" w:cs="Times New Roman"/>
          <w:lang w:val="fr-FR"/>
        </w:rPr>
        <w:t xml:space="preserve">période moderne, et à étudier la représentation textuelle de cette question dans des sources juridiques ou administratives et narratives. On portera une attention toute particulière aux </w:t>
      </w:r>
      <w:r w:rsidRPr="00621580">
        <w:rPr>
          <w:rFonts w:ascii="Calibri" w:eastAsia="Calibri" w:hAnsi="Calibri" w:cs="Times New Roman"/>
          <w:lang w:val="fr-FR"/>
        </w:rPr>
        <w:t>textes de droit coutumier</w:t>
      </w:r>
      <w:r w:rsidRPr="00621580">
        <w:rPr>
          <w:rFonts w:ascii="Calibri" w:eastAsia="Calibri" w:hAnsi="Calibri" w:cs="Times New Roman"/>
          <w:lang w:val="fr-FR"/>
        </w:rPr>
        <w:t xml:space="preserve"> (des articles portant sur le </w:t>
      </w:r>
      <w:r w:rsidRPr="00621580">
        <w:rPr>
          <w:rFonts w:ascii="Calibri" w:eastAsia="Calibri" w:hAnsi="Calibri" w:cs="Times New Roman"/>
          <w:i/>
          <w:iCs/>
          <w:lang w:val="fr-FR"/>
        </w:rPr>
        <w:t>Très Ancien Coutumier de Normandie</w:t>
      </w:r>
      <w:r w:rsidRPr="00621580">
        <w:rPr>
          <w:rFonts w:ascii="Calibri" w:eastAsia="Calibri" w:hAnsi="Calibri" w:cs="Times New Roman"/>
          <w:lang w:val="fr-FR"/>
        </w:rPr>
        <w:t xml:space="preserve"> et le </w:t>
      </w:r>
      <w:r w:rsidRPr="00621580">
        <w:rPr>
          <w:rFonts w:ascii="Calibri" w:eastAsia="Calibri" w:hAnsi="Calibri" w:cs="Times New Roman"/>
          <w:i/>
          <w:iCs/>
          <w:lang w:val="fr-FR"/>
        </w:rPr>
        <w:t>Sachsenspiegel</w:t>
      </w:r>
      <w:r w:rsidRPr="00621580">
        <w:rPr>
          <w:rFonts w:ascii="Calibri" w:eastAsia="Calibri" w:hAnsi="Calibri" w:cs="Times New Roman"/>
          <w:lang w:val="fr-FR"/>
        </w:rPr>
        <w:t xml:space="preserve"> paraîtron</w:t>
      </w:r>
      <w:r w:rsidRPr="00621580">
        <w:rPr>
          <w:rFonts w:ascii="Calibri" w:eastAsia="Calibri" w:hAnsi="Calibri" w:cs="Times New Roman"/>
          <w:lang w:val="fr-FR"/>
        </w:rPr>
        <w:t>t</w:t>
      </w:r>
      <w:r>
        <w:rPr>
          <w:rFonts w:ascii="Calibri" w:eastAsia="Calibri" w:hAnsi="Calibri" w:cs="Times New Roman"/>
          <w:lang w:val="fr-FR"/>
        </w:rPr>
        <w:t xml:space="preserve"> en 2020 et 2021), aux femmes qui travaillaient dans les villes et les zones urbaines (commerces, artisanat, négoces), à la régence féminine et aux femmes dans les ordres religieux. Dans la mesure du possible, l</w:t>
      </w:r>
      <w:r w:rsidR="009D7A6B">
        <w:rPr>
          <w:rFonts w:ascii="Calibri" w:eastAsia="Calibri" w:hAnsi="Calibri" w:cs="Times New Roman"/>
          <w:lang w:val="fr-FR"/>
        </w:rPr>
        <w:t>’</w:t>
      </w:r>
      <w:r>
        <w:rPr>
          <w:rFonts w:ascii="Calibri" w:eastAsia="Calibri" w:hAnsi="Calibri" w:cs="Times New Roman"/>
          <w:lang w:val="fr-FR"/>
        </w:rPr>
        <w:t xml:space="preserve">étude sera comparative, sur </w:t>
      </w:r>
      <w:proofErr w:type="gramStart"/>
      <w:r>
        <w:rPr>
          <w:rFonts w:ascii="Calibri" w:eastAsia="Calibri" w:hAnsi="Calibri" w:cs="Times New Roman"/>
          <w:lang w:val="fr-FR"/>
        </w:rPr>
        <w:t xml:space="preserve">les plans tant </w:t>
      </w:r>
      <w:r>
        <w:rPr>
          <w:rFonts w:ascii="Calibri" w:eastAsia="Calibri" w:hAnsi="Calibri" w:cs="Times New Roman"/>
          <w:lang w:val="fr-FR"/>
        </w:rPr>
        <w:t>diachronique</w:t>
      </w:r>
      <w:proofErr w:type="gramEnd"/>
      <w:r>
        <w:rPr>
          <w:rFonts w:ascii="Calibri" w:eastAsia="Calibri" w:hAnsi="Calibri" w:cs="Times New Roman"/>
          <w:lang w:val="fr-FR"/>
        </w:rPr>
        <w:t xml:space="preserve"> que géographique. </w:t>
      </w:r>
    </w:p>
    <w:p w14:paraId="513FA0DF" w14:textId="366FE061" w:rsidR="00D92E9D" w:rsidRPr="00621580" w:rsidRDefault="00FD7FAD" w:rsidP="00D92E9D">
      <w:pPr>
        <w:rPr>
          <w:rFonts w:cstheme="minorHAnsi"/>
          <w:lang w:val="fr-CA"/>
        </w:rPr>
      </w:pPr>
      <w:r>
        <w:rPr>
          <w:rFonts w:ascii="Calibri" w:eastAsia="Calibri" w:hAnsi="Calibri" w:cs="Times New Roman"/>
          <w:lang w:val="fr-FR"/>
        </w:rPr>
        <w:tab/>
        <w:t>Le paradigme qui sous-tend ce proje</w:t>
      </w:r>
      <w:r>
        <w:rPr>
          <w:rFonts w:ascii="Calibri" w:eastAsia="Calibri" w:hAnsi="Calibri" w:cs="Times New Roman"/>
          <w:lang w:val="fr-FR"/>
        </w:rPr>
        <w:t>t est le suivant : le</w:t>
      </w:r>
      <w:r w:rsidR="00132771">
        <w:rPr>
          <w:rFonts w:ascii="Calibri" w:eastAsia="Calibri" w:hAnsi="Calibri" w:cs="Times New Roman"/>
          <w:lang w:val="fr-FR"/>
        </w:rPr>
        <w:t xml:space="preserve"> </w:t>
      </w:r>
      <w:r>
        <w:rPr>
          <w:rFonts w:ascii="Calibri" w:eastAsia="Calibri" w:hAnsi="Calibri" w:cs="Calibri"/>
          <w:lang w:val="fr-FR"/>
        </w:rPr>
        <w:t>manque de ca</w:t>
      </w:r>
      <w:r>
        <w:rPr>
          <w:rFonts w:ascii="Calibri" w:eastAsia="Calibri" w:hAnsi="Calibri" w:cs="Calibri"/>
          <w:lang w:val="fr-FR"/>
        </w:rPr>
        <w:t>pacité juridique est l’expression même de la position et de la dépendance des femmes dans la société et aux yeux de la loi. Étudier ces représentations textuelles de la capacité juridique en termes réels, rhétoriques et linguistiques, c’est-à-dire en appli</w:t>
      </w:r>
      <w:r>
        <w:rPr>
          <w:rFonts w:ascii="Calibri" w:eastAsia="Calibri" w:hAnsi="Calibri" w:cs="Calibri"/>
          <w:lang w:val="fr-FR"/>
        </w:rPr>
        <w:t>quant des méthodologies linguistiques et terminologiques diachroniques, revient à dépasser l</w:t>
      </w:r>
      <w:r w:rsidR="009D7A6B">
        <w:rPr>
          <w:rFonts w:ascii="Calibri" w:eastAsia="Calibri" w:hAnsi="Calibri" w:cs="Calibri"/>
          <w:lang w:val="fr-FR"/>
        </w:rPr>
        <w:t>’</w:t>
      </w:r>
      <w:r>
        <w:rPr>
          <w:rFonts w:ascii="Calibri" w:eastAsia="Calibri" w:hAnsi="Calibri" w:cs="Calibri"/>
          <w:lang w:val="fr-FR"/>
        </w:rPr>
        <w:t>analyse de contenu et à adopter une démarche qui s</w:t>
      </w:r>
      <w:r w:rsidR="009D7A6B">
        <w:rPr>
          <w:rFonts w:ascii="Calibri" w:eastAsia="Calibri" w:hAnsi="Calibri" w:cs="Calibri"/>
          <w:lang w:val="fr-FR"/>
        </w:rPr>
        <w:t>’</w:t>
      </w:r>
      <w:r>
        <w:rPr>
          <w:rFonts w:ascii="Calibri" w:eastAsia="Calibri" w:hAnsi="Calibri" w:cs="Calibri"/>
          <w:lang w:val="fr-FR"/>
        </w:rPr>
        <w:t xml:space="preserve">apparente à la </w:t>
      </w:r>
      <w:proofErr w:type="spellStart"/>
      <w:r>
        <w:rPr>
          <w:rFonts w:ascii="Calibri" w:eastAsia="Calibri" w:hAnsi="Calibri" w:cs="Calibri"/>
          <w:i/>
          <w:iCs/>
          <w:lang w:val="fr-FR"/>
        </w:rPr>
        <w:t>Begriffsgeschichte</w:t>
      </w:r>
      <w:proofErr w:type="spellEnd"/>
      <w:r>
        <w:rPr>
          <w:rFonts w:ascii="Calibri" w:eastAsia="Calibri" w:hAnsi="Calibri" w:cs="Calibri"/>
          <w:i/>
          <w:iCs/>
          <w:lang w:val="fr-FR"/>
        </w:rPr>
        <w:t xml:space="preserve"> </w:t>
      </w:r>
      <w:r>
        <w:rPr>
          <w:rFonts w:ascii="Calibri" w:eastAsia="Calibri" w:hAnsi="Calibri" w:cs="Calibri"/>
          <w:lang w:val="fr-FR"/>
        </w:rPr>
        <w:t xml:space="preserve">du projet </w:t>
      </w:r>
      <w:r>
        <w:rPr>
          <w:rFonts w:ascii="Calibri" w:eastAsia="Calibri" w:hAnsi="Calibri" w:cs="Calibri"/>
          <w:i/>
          <w:iCs/>
          <w:lang w:val="fr-FR"/>
        </w:rPr>
        <w:t>Geschichtliche Grundbegriffe</w:t>
      </w:r>
      <w:r>
        <w:rPr>
          <w:rFonts w:ascii="Calibri" w:eastAsia="Calibri" w:hAnsi="Calibri" w:cs="Calibri"/>
          <w:lang w:val="fr-FR"/>
        </w:rPr>
        <w:t xml:space="preserve">. Une telle étude fera le lien entre la théorie et la pratique du droit. </w:t>
      </w:r>
      <w:r>
        <w:rPr>
          <w:rFonts w:ascii="Calibri" w:eastAsia="Calibri" w:hAnsi="Calibri" w:cs="Times New Roman"/>
          <w:lang w:val="fr-FR"/>
        </w:rPr>
        <w:t xml:space="preserve">Elle montrera </w:t>
      </w:r>
      <w:r w:rsidR="00132771">
        <w:rPr>
          <w:rFonts w:ascii="Calibri" w:eastAsia="Calibri" w:hAnsi="Calibri" w:cs="Times New Roman"/>
          <w:lang w:val="fr-FR"/>
        </w:rPr>
        <w:t>dans quelle mesure les</w:t>
      </w:r>
      <w:r>
        <w:rPr>
          <w:rFonts w:ascii="Calibri" w:eastAsia="Calibri" w:hAnsi="Calibri" w:cs="Times New Roman"/>
          <w:lang w:val="fr-FR"/>
        </w:rPr>
        <w:t xml:space="preserve"> femmes </w:t>
      </w:r>
      <w:r w:rsidR="00132771">
        <w:rPr>
          <w:rFonts w:ascii="Calibri" w:eastAsia="Calibri" w:hAnsi="Calibri" w:cs="Times New Roman"/>
          <w:lang w:val="fr-FR"/>
        </w:rPr>
        <w:t>pouvaient</w:t>
      </w:r>
      <w:r>
        <w:rPr>
          <w:rFonts w:ascii="Calibri" w:eastAsia="Calibri" w:hAnsi="Calibri" w:cs="Times New Roman"/>
          <w:lang w:val="fr-FR"/>
        </w:rPr>
        <w:t xml:space="preserve"> hériter, posséder et transmettre des terre</w:t>
      </w:r>
      <w:r>
        <w:rPr>
          <w:rFonts w:ascii="Calibri" w:eastAsia="Calibri" w:hAnsi="Calibri" w:cs="Times New Roman"/>
          <w:lang w:val="fr-FR"/>
        </w:rPr>
        <w:t xml:space="preserve">s, </w:t>
      </w:r>
      <w:r>
        <w:rPr>
          <w:rFonts w:ascii="Calibri" w:eastAsia="Calibri" w:hAnsi="Calibri" w:cs="Times New Roman"/>
          <w:lang w:val="fr-FR"/>
        </w:rPr>
        <w:t xml:space="preserve">gérer un négoce, </w:t>
      </w:r>
      <w:r>
        <w:rPr>
          <w:rFonts w:ascii="Calibri" w:eastAsia="Calibri" w:hAnsi="Calibri" w:cs="Times New Roman"/>
          <w:lang w:val="fr-FR"/>
        </w:rPr>
        <w:t xml:space="preserve">exercer une activité commerciale ou artisanale et </w:t>
      </w:r>
      <w:r>
        <w:rPr>
          <w:rFonts w:ascii="Calibri" w:eastAsia="Calibri" w:hAnsi="Calibri" w:cs="Times New Roman"/>
          <w:lang w:val="fr-FR"/>
        </w:rPr>
        <w:t xml:space="preserve">se représenter elles-mêmes devant un tribunal (analyse de contenu). Par ailleurs, </w:t>
      </w:r>
      <w:r w:rsidR="00132771">
        <w:rPr>
          <w:rFonts w:ascii="Calibri" w:eastAsia="Calibri" w:hAnsi="Calibri" w:cs="Times New Roman"/>
          <w:lang w:val="fr-FR"/>
        </w:rPr>
        <w:t>elle</w:t>
      </w:r>
      <w:r>
        <w:rPr>
          <w:rFonts w:ascii="Calibri" w:eastAsia="Calibri" w:hAnsi="Calibri" w:cs="Times New Roman"/>
          <w:lang w:val="fr-FR"/>
        </w:rPr>
        <w:t xml:space="preserve"> mettra également en lumière le discours portant sur la participation des femmes à des activit</w:t>
      </w:r>
      <w:r>
        <w:rPr>
          <w:rFonts w:ascii="Calibri" w:eastAsia="Calibri" w:hAnsi="Calibri" w:cs="Times New Roman"/>
          <w:lang w:val="fr-FR"/>
        </w:rPr>
        <w:t>és habituellement réservées aux hommes (analyse linguistique et de discours).</w:t>
      </w:r>
      <w:r>
        <w:rPr>
          <w:rFonts w:ascii="Calibri" w:eastAsia="Calibri" w:hAnsi="Calibri" w:cs="Calibri"/>
          <w:lang w:val="fr-FR"/>
        </w:rPr>
        <w:t xml:space="preserve"> </w:t>
      </w:r>
      <w:r w:rsidR="000F7453">
        <w:rPr>
          <w:rFonts w:ascii="Calibri" w:eastAsia="Calibri" w:hAnsi="Calibri" w:cs="Calibri"/>
          <w:lang w:val="fr-FR"/>
        </w:rPr>
        <w:t>En combinant</w:t>
      </w:r>
      <w:r w:rsidR="00132771">
        <w:rPr>
          <w:rFonts w:ascii="Calibri" w:eastAsia="Calibri" w:hAnsi="Calibri" w:cs="Calibri"/>
          <w:lang w:val="fr-FR"/>
        </w:rPr>
        <w:t xml:space="preserve"> </w:t>
      </w:r>
      <w:r w:rsidR="000F7453">
        <w:rPr>
          <w:rFonts w:ascii="Calibri" w:eastAsia="Calibri" w:hAnsi="Calibri" w:cs="Calibri"/>
          <w:lang w:val="fr-FR"/>
        </w:rPr>
        <w:t xml:space="preserve">des </w:t>
      </w:r>
      <w:r w:rsidR="00132771">
        <w:rPr>
          <w:rFonts w:ascii="Calibri" w:eastAsia="Calibri" w:hAnsi="Calibri" w:cs="Calibri"/>
          <w:lang w:val="fr-FR"/>
        </w:rPr>
        <w:t>informations et de</w:t>
      </w:r>
      <w:r w:rsidR="000F7453">
        <w:rPr>
          <w:rFonts w:ascii="Calibri" w:eastAsia="Calibri" w:hAnsi="Calibri" w:cs="Calibri"/>
          <w:lang w:val="fr-FR"/>
        </w:rPr>
        <w:t>s</w:t>
      </w:r>
      <w:r w:rsidR="00132771">
        <w:rPr>
          <w:rFonts w:ascii="Calibri" w:eastAsia="Calibri" w:hAnsi="Calibri" w:cs="Calibri"/>
          <w:lang w:val="fr-FR"/>
        </w:rPr>
        <w:t xml:space="preserve"> données obtenues par l</w:t>
      </w:r>
      <w:r w:rsidR="009D7A6B">
        <w:rPr>
          <w:rFonts w:ascii="Calibri" w:eastAsia="Calibri" w:hAnsi="Calibri" w:cs="Calibri"/>
          <w:lang w:val="fr-FR"/>
        </w:rPr>
        <w:t>’</w:t>
      </w:r>
      <w:r w:rsidR="00132771">
        <w:rPr>
          <w:rFonts w:ascii="Calibri" w:eastAsia="Calibri" w:hAnsi="Calibri" w:cs="Calibri"/>
          <w:lang w:val="fr-FR"/>
        </w:rPr>
        <w:t xml:space="preserve">analyse du contenu, </w:t>
      </w:r>
      <w:r w:rsidR="00FB4934">
        <w:rPr>
          <w:rFonts w:ascii="Calibri" w:eastAsia="Calibri" w:hAnsi="Calibri" w:cs="Calibri"/>
          <w:lang w:val="fr-FR"/>
        </w:rPr>
        <w:t>du</w:t>
      </w:r>
      <w:r w:rsidR="00132771">
        <w:rPr>
          <w:rFonts w:ascii="Calibri" w:eastAsia="Calibri" w:hAnsi="Calibri" w:cs="Calibri"/>
          <w:lang w:val="fr-FR"/>
        </w:rPr>
        <w:t xml:space="preserve"> sens, de la terminologie et du discours</w:t>
      </w:r>
      <w:r w:rsidR="00132771">
        <w:rPr>
          <w:rFonts w:ascii="Calibri" w:eastAsia="Calibri" w:hAnsi="Calibri" w:cs="Calibri"/>
          <w:lang w:val="fr-FR"/>
        </w:rPr>
        <w:t>, cette étude</w:t>
      </w:r>
      <w:r>
        <w:rPr>
          <w:rFonts w:ascii="Calibri" w:eastAsia="Calibri" w:hAnsi="Calibri" w:cs="Calibri"/>
          <w:lang w:val="fr-FR"/>
        </w:rPr>
        <w:t xml:space="preserve"> permettra de mieux comprendre la manière dont la capacité juridique des femmes se traduisait dan</w:t>
      </w:r>
      <w:r>
        <w:rPr>
          <w:rFonts w:ascii="Calibri" w:eastAsia="Calibri" w:hAnsi="Calibri" w:cs="Calibri"/>
          <w:lang w:val="fr-FR"/>
        </w:rPr>
        <w:t>s leur vie sociale</w:t>
      </w:r>
      <w:r w:rsidR="00C92C9D">
        <w:rPr>
          <w:rFonts w:ascii="Calibri" w:eastAsia="Calibri" w:hAnsi="Calibri" w:cs="Calibri"/>
          <w:lang w:val="fr-FR"/>
        </w:rPr>
        <w:t>.</w:t>
      </w:r>
      <w:r>
        <w:rPr>
          <w:rFonts w:ascii="Calibri" w:eastAsia="Calibri" w:hAnsi="Calibri" w:cs="Calibri"/>
          <w:lang w:val="fr-FR"/>
        </w:rPr>
        <w:t xml:space="preserve"> </w:t>
      </w:r>
      <w:r>
        <w:rPr>
          <w:rFonts w:ascii="Calibri" w:eastAsia="Calibri" w:hAnsi="Calibri" w:cs="Calibri"/>
          <w:lang w:val="fr-FR"/>
        </w:rPr>
        <w:t xml:space="preserve">Elle </w:t>
      </w:r>
      <w:r w:rsidR="00C92C9D">
        <w:rPr>
          <w:rFonts w:ascii="Calibri" w:eastAsia="Calibri" w:hAnsi="Calibri" w:cs="Calibri"/>
          <w:lang w:val="fr-FR"/>
        </w:rPr>
        <w:t>offrira</w:t>
      </w:r>
      <w:r>
        <w:rPr>
          <w:rFonts w:ascii="Calibri" w:eastAsia="Calibri" w:hAnsi="Calibri" w:cs="Calibri"/>
          <w:lang w:val="fr-FR"/>
        </w:rPr>
        <w:t xml:space="preserve"> ainsi une vision contextualisée des (in)dépendances juridiques qualifiant la vie quotidien</w:t>
      </w:r>
      <w:r>
        <w:rPr>
          <w:rFonts w:ascii="Calibri" w:eastAsia="Calibri" w:hAnsi="Calibri" w:cs="Calibri"/>
          <w:lang w:val="fr-FR"/>
        </w:rPr>
        <w:t>ne des femmes.</w:t>
      </w:r>
    </w:p>
    <w:p w14:paraId="110B5ABD" w14:textId="771D33C7" w:rsidR="00D92E9D" w:rsidRPr="00621580" w:rsidRDefault="00FD7FAD" w:rsidP="00D92E9D">
      <w:pPr>
        <w:rPr>
          <w:rFonts w:cstheme="minorHAnsi"/>
          <w:lang w:val="fr-CA"/>
        </w:rPr>
      </w:pPr>
      <w:r>
        <w:rPr>
          <w:rFonts w:ascii="Calibri" w:eastAsia="Calibri" w:hAnsi="Calibri" w:cs="Calibri"/>
          <w:lang w:val="fr-FR"/>
        </w:rPr>
        <w:tab/>
        <w:t xml:space="preserve">Ce type de démarche interdisciplinaire, qui élargit le contexte de disciplines individuelles, est de plus en plus utilisé </w:t>
      </w:r>
      <w:r w:rsidR="00C92C9D">
        <w:rPr>
          <w:rFonts w:ascii="Calibri" w:eastAsia="Calibri" w:hAnsi="Calibri" w:cs="Calibri"/>
          <w:lang w:val="fr-FR"/>
        </w:rPr>
        <w:t>en</w:t>
      </w:r>
      <w:r>
        <w:rPr>
          <w:rFonts w:ascii="Calibri" w:eastAsia="Calibri" w:hAnsi="Calibri" w:cs="Calibri"/>
          <w:lang w:val="fr-FR"/>
        </w:rPr>
        <w:t xml:space="preserve"> recherche juridique et historique</w:t>
      </w:r>
      <w:r>
        <w:rPr>
          <w:rFonts w:ascii="Calibri" w:eastAsia="Calibri" w:hAnsi="Calibri" w:cs="Calibri"/>
          <w:lang w:val="fr-FR"/>
        </w:rPr>
        <w:t>. Elle s</w:t>
      </w:r>
      <w:r w:rsidR="009D7A6B">
        <w:rPr>
          <w:rFonts w:ascii="Calibri" w:eastAsia="Calibri" w:hAnsi="Calibri" w:cs="Calibri"/>
          <w:lang w:val="fr-FR"/>
        </w:rPr>
        <w:t>’</w:t>
      </w:r>
      <w:r>
        <w:rPr>
          <w:rFonts w:ascii="Calibri" w:eastAsia="Calibri" w:hAnsi="Calibri" w:cs="Calibri"/>
          <w:lang w:val="fr-FR"/>
        </w:rPr>
        <w:t>adresse aux chercheurs en histoire du droit, en droit et en langues, et en linguistique.</w:t>
      </w:r>
    </w:p>
    <w:p w14:paraId="7BA4C253" w14:textId="77777777" w:rsidR="00076C95" w:rsidRPr="00621580" w:rsidRDefault="00076C95">
      <w:pPr>
        <w:rPr>
          <w:lang w:val="fr-CA"/>
        </w:rPr>
      </w:pPr>
    </w:p>
    <w:sectPr w:rsidR="00076C95" w:rsidRPr="00621580" w:rsidSect="00923A62">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8ABB" w14:textId="77777777" w:rsidR="00FD7FAD" w:rsidRDefault="00FD7FAD" w:rsidP="009D7A6B">
      <w:r>
        <w:separator/>
      </w:r>
    </w:p>
  </w:endnote>
  <w:endnote w:type="continuationSeparator" w:id="0">
    <w:p w14:paraId="19EBC1D9" w14:textId="77777777" w:rsidR="00FD7FAD" w:rsidRDefault="00FD7FAD" w:rsidP="009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C14DF" w14:textId="77777777" w:rsidR="009D7A6B" w:rsidRDefault="009D7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FEBB" w14:textId="77777777" w:rsidR="009D7A6B" w:rsidRDefault="009D7A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799C" w14:textId="77777777" w:rsidR="009D7A6B" w:rsidRDefault="009D7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4F6D0" w14:textId="77777777" w:rsidR="00FD7FAD" w:rsidRDefault="00FD7FAD" w:rsidP="009D7A6B">
      <w:r>
        <w:separator/>
      </w:r>
    </w:p>
  </w:footnote>
  <w:footnote w:type="continuationSeparator" w:id="0">
    <w:p w14:paraId="5AD79FC6" w14:textId="77777777" w:rsidR="00FD7FAD" w:rsidRDefault="00FD7FAD" w:rsidP="009D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418B" w14:textId="77777777" w:rsidR="009D7A6B" w:rsidRDefault="009D7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47DBF" w14:textId="77777777" w:rsidR="009D7A6B" w:rsidRDefault="009D7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8F4D" w14:textId="77777777" w:rsidR="009D7A6B" w:rsidRDefault="009D7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1EB6"/>
    <w:multiLevelType w:val="hybridMultilevel"/>
    <w:tmpl w:val="C8748D18"/>
    <w:lvl w:ilvl="0" w:tplc="C3063324">
      <w:start w:val="1"/>
      <w:numFmt w:val="bullet"/>
      <w:lvlText w:val=""/>
      <w:lvlJc w:val="left"/>
      <w:pPr>
        <w:ind w:left="720" w:hanging="360"/>
      </w:pPr>
      <w:rPr>
        <w:rFonts w:ascii="Symbol" w:hAnsi="Symbol" w:hint="default"/>
      </w:rPr>
    </w:lvl>
    <w:lvl w:ilvl="1" w:tplc="5734DFD4">
      <w:start w:val="1"/>
      <w:numFmt w:val="bullet"/>
      <w:lvlText w:val=""/>
      <w:lvlJc w:val="left"/>
      <w:pPr>
        <w:ind w:left="1440" w:hanging="360"/>
      </w:pPr>
      <w:rPr>
        <w:rFonts w:ascii="Symbol" w:hAnsi="Symbol" w:hint="default"/>
      </w:rPr>
    </w:lvl>
    <w:lvl w:ilvl="2" w:tplc="54EE7ED8" w:tentative="1">
      <w:start w:val="1"/>
      <w:numFmt w:val="bullet"/>
      <w:lvlText w:val=""/>
      <w:lvlJc w:val="left"/>
      <w:pPr>
        <w:ind w:left="2160" w:hanging="360"/>
      </w:pPr>
      <w:rPr>
        <w:rFonts w:ascii="Wingdings" w:hAnsi="Wingdings" w:hint="default"/>
      </w:rPr>
    </w:lvl>
    <w:lvl w:ilvl="3" w:tplc="9EA222E4" w:tentative="1">
      <w:start w:val="1"/>
      <w:numFmt w:val="bullet"/>
      <w:lvlText w:val=""/>
      <w:lvlJc w:val="left"/>
      <w:pPr>
        <w:ind w:left="2880" w:hanging="360"/>
      </w:pPr>
      <w:rPr>
        <w:rFonts w:ascii="Symbol" w:hAnsi="Symbol" w:hint="default"/>
      </w:rPr>
    </w:lvl>
    <w:lvl w:ilvl="4" w:tplc="0226B266" w:tentative="1">
      <w:start w:val="1"/>
      <w:numFmt w:val="bullet"/>
      <w:lvlText w:val="o"/>
      <w:lvlJc w:val="left"/>
      <w:pPr>
        <w:ind w:left="3600" w:hanging="360"/>
      </w:pPr>
      <w:rPr>
        <w:rFonts w:ascii="Courier New" w:hAnsi="Courier New" w:cs="Courier New" w:hint="default"/>
      </w:rPr>
    </w:lvl>
    <w:lvl w:ilvl="5" w:tplc="97E48C26" w:tentative="1">
      <w:start w:val="1"/>
      <w:numFmt w:val="bullet"/>
      <w:lvlText w:val=""/>
      <w:lvlJc w:val="left"/>
      <w:pPr>
        <w:ind w:left="4320" w:hanging="360"/>
      </w:pPr>
      <w:rPr>
        <w:rFonts w:ascii="Wingdings" w:hAnsi="Wingdings" w:hint="default"/>
      </w:rPr>
    </w:lvl>
    <w:lvl w:ilvl="6" w:tplc="FB2A47DC" w:tentative="1">
      <w:start w:val="1"/>
      <w:numFmt w:val="bullet"/>
      <w:lvlText w:val=""/>
      <w:lvlJc w:val="left"/>
      <w:pPr>
        <w:ind w:left="5040" w:hanging="360"/>
      </w:pPr>
      <w:rPr>
        <w:rFonts w:ascii="Symbol" w:hAnsi="Symbol" w:hint="default"/>
      </w:rPr>
    </w:lvl>
    <w:lvl w:ilvl="7" w:tplc="1E9C879A" w:tentative="1">
      <w:start w:val="1"/>
      <w:numFmt w:val="bullet"/>
      <w:lvlText w:val="o"/>
      <w:lvlJc w:val="left"/>
      <w:pPr>
        <w:ind w:left="5760" w:hanging="360"/>
      </w:pPr>
      <w:rPr>
        <w:rFonts w:ascii="Courier New" w:hAnsi="Courier New" w:cs="Courier New" w:hint="default"/>
      </w:rPr>
    </w:lvl>
    <w:lvl w:ilvl="8" w:tplc="8384DEEC" w:tentative="1">
      <w:start w:val="1"/>
      <w:numFmt w:val="bullet"/>
      <w:lvlText w:val=""/>
      <w:lvlJc w:val="left"/>
      <w:pPr>
        <w:ind w:left="6480" w:hanging="360"/>
      </w:pPr>
      <w:rPr>
        <w:rFonts w:ascii="Wingdings" w:hAnsi="Wingdings" w:hint="default"/>
      </w:rPr>
    </w:lvl>
  </w:abstractNum>
  <w:abstractNum w:abstractNumId="1" w15:restartNumberingAfterBreak="0">
    <w:nsid w:val="3BB60463"/>
    <w:multiLevelType w:val="hybridMultilevel"/>
    <w:tmpl w:val="EA46217A"/>
    <w:lvl w:ilvl="0" w:tplc="9580C754">
      <w:start w:val="1"/>
      <w:numFmt w:val="bullet"/>
      <w:lvlText w:val=""/>
      <w:lvlJc w:val="left"/>
      <w:pPr>
        <w:ind w:left="720" w:hanging="360"/>
      </w:pPr>
      <w:rPr>
        <w:rFonts w:ascii="Symbol" w:hAnsi="Symbol" w:hint="default"/>
      </w:rPr>
    </w:lvl>
    <w:lvl w:ilvl="1" w:tplc="7C4289D2" w:tentative="1">
      <w:start w:val="1"/>
      <w:numFmt w:val="bullet"/>
      <w:lvlText w:val="o"/>
      <w:lvlJc w:val="left"/>
      <w:pPr>
        <w:ind w:left="1440" w:hanging="360"/>
      </w:pPr>
      <w:rPr>
        <w:rFonts w:ascii="Courier New" w:hAnsi="Courier New" w:cs="Courier New" w:hint="default"/>
      </w:rPr>
    </w:lvl>
    <w:lvl w:ilvl="2" w:tplc="E45676A6" w:tentative="1">
      <w:start w:val="1"/>
      <w:numFmt w:val="bullet"/>
      <w:lvlText w:val=""/>
      <w:lvlJc w:val="left"/>
      <w:pPr>
        <w:ind w:left="2160" w:hanging="360"/>
      </w:pPr>
      <w:rPr>
        <w:rFonts w:ascii="Wingdings" w:hAnsi="Wingdings" w:hint="default"/>
      </w:rPr>
    </w:lvl>
    <w:lvl w:ilvl="3" w:tplc="3C1EC4AE" w:tentative="1">
      <w:start w:val="1"/>
      <w:numFmt w:val="bullet"/>
      <w:lvlText w:val=""/>
      <w:lvlJc w:val="left"/>
      <w:pPr>
        <w:ind w:left="2880" w:hanging="360"/>
      </w:pPr>
      <w:rPr>
        <w:rFonts w:ascii="Symbol" w:hAnsi="Symbol" w:hint="default"/>
      </w:rPr>
    </w:lvl>
    <w:lvl w:ilvl="4" w:tplc="C49AD168" w:tentative="1">
      <w:start w:val="1"/>
      <w:numFmt w:val="bullet"/>
      <w:lvlText w:val="o"/>
      <w:lvlJc w:val="left"/>
      <w:pPr>
        <w:ind w:left="3600" w:hanging="360"/>
      </w:pPr>
      <w:rPr>
        <w:rFonts w:ascii="Courier New" w:hAnsi="Courier New" w:cs="Courier New" w:hint="default"/>
      </w:rPr>
    </w:lvl>
    <w:lvl w:ilvl="5" w:tplc="2E48EE04" w:tentative="1">
      <w:start w:val="1"/>
      <w:numFmt w:val="bullet"/>
      <w:lvlText w:val=""/>
      <w:lvlJc w:val="left"/>
      <w:pPr>
        <w:ind w:left="4320" w:hanging="360"/>
      </w:pPr>
      <w:rPr>
        <w:rFonts w:ascii="Wingdings" w:hAnsi="Wingdings" w:hint="default"/>
      </w:rPr>
    </w:lvl>
    <w:lvl w:ilvl="6" w:tplc="982A157C" w:tentative="1">
      <w:start w:val="1"/>
      <w:numFmt w:val="bullet"/>
      <w:lvlText w:val=""/>
      <w:lvlJc w:val="left"/>
      <w:pPr>
        <w:ind w:left="5040" w:hanging="360"/>
      </w:pPr>
      <w:rPr>
        <w:rFonts w:ascii="Symbol" w:hAnsi="Symbol" w:hint="default"/>
      </w:rPr>
    </w:lvl>
    <w:lvl w:ilvl="7" w:tplc="AE98B44C" w:tentative="1">
      <w:start w:val="1"/>
      <w:numFmt w:val="bullet"/>
      <w:lvlText w:val="o"/>
      <w:lvlJc w:val="left"/>
      <w:pPr>
        <w:ind w:left="5760" w:hanging="360"/>
      </w:pPr>
      <w:rPr>
        <w:rFonts w:ascii="Courier New" w:hAnsi="Courier New" w:cs="Courier New" w:hint="default"/>
      </w:rPr>
    </w:lvl>
    <w:lvl w:ilvl="8" w:tplc="5D505C7A" w:tentative="1">
      <w:start w:val="1"/>
      <w:numFmt w:val="bullet"/>
      <w:lvlText w:val=""/>
      <w:lvlJc w:val="left"/>
      <w:pPr>
        <w:ind w:left="6480" w:hanging="360"/>
      </w:pPr>
      <w:rPr>
        <w:rFonts w:ascii="Wingdings" w:hAnsi="Wingdings" w:hint="default"/>
      </w:rPr>
    </w:lvl>
  </w:abstractNum>
  <w:abstractNum w:abstractNumId="2" w15:restartNumberingAfterBreak="0">
    <w:nsid w:val="5A8C05C9"/>
    <w:multiLevelType w:val="hybridMultilevel"/>
    <w:tmpl w:val="6546BFF6"/>
    <w:lvl w:ilvl="0" w:tplc="2FC26C0C">
      <w:start w:val="1"/>
      <w:numFmt w:val="bullet"/>
      <w:lvlText w:val=""/>
      <w:lvlJc w:val="left"/>
      <w:pPr>
        <w:ind w:left="720" w:hanging="360"/>
      </w:pPr>
      <w:rPr>
        <w:rFonts w:ascii="Symbol" w:hAnsi="Symbol" w:hint="default"/>
      </w:rPr>
    </w:lvl>
    <w:lvl w:ilvl="1" w:tplc="8BA493BE" w:tentative="1">
      <w:start w:val="1"/>
      <w:numFmt w:val="bullet"/>
      <w:lvlText w:val="o"/>
      <w:lvlJc w:val="left"/>
      <w:pPr>
        <w:ind w:left="1440" w:hanging="360"/>
      </w:pPr>
      <w:rPr>
        <w:rFonts w:ascii="Courier New" w:hAnsi="Courier New" w:cs="Courier New" w:hint="default"/>
      </w:rPr>
    </w:lvl>
    <w:lvl w:ilvl="2" w:tplc="5E5A1BEE" w:tentative="1">
      <w:start w:val="1"/>
      <w:numFmt w:val="bullet"/>
      <w:lvlText w:val=""/>
      <w:lvlJc w:val="left"/>
      <w:pPr>
        <w:ind w:left="2160" w:hanging="360"/>
      </w:pPr>
      <w:rPr>
        <w:rFonts w:ascii="Wingdings" w:hAnsi="Wingdings" w:hint="default"/>
      </w:rPr>
    </w:lvl>
    <w:lvl w:ilvl="3" w:tplc="BB24CD46" w:tentative="1">
      <w:start w:val="1"/>
      <w:numFmt w:val="bullet"/>
      <w:lvlText w:val=""/>
      <w:lvlJc w:val="left"/>
      <w:pPr>
        <w:ind w:left="2880" w:hanging="360"/>
      </w:pPr>
      <w:rPr>
        <w:rFonts w:ascii="Symbol" w:hAnsi="Symbol" w:hint="default"/>
      </w:rPr>
    </w:lvl>
    <w:lvl w:ilvl="4" w:tplc="6A2A59F0" w:tentative="1">
      <w:start w:val="1"/>
      <w:numFmt w:val="bullet"/>
      <w:lvlText w:val="o"/>
      <w:lvlJc w:val="left"/>
      <w:pPr>
        <w:ind w:left="3600" w:hanging="360"/>
      </w:pPr>
      <w:rPr>
        <w:rFonts w:ascii="Courier New" w:hAnsi="Courier New" w:cs="Courier New" w:hint="default"/>
      </w:rPr>
    </w:lvl>
    <w:lvl w:ilvl="5" w:tplc="B52867D0" w:tentative="1">
      <w:start w:val="1"/>
      <w:numFmt w:val="bullet"/>
      <w:lvlText w:val=""/>
      <w:lvlJc w:val="left"/>
      <w:pPr>
        <w:ind w:left="4320" w:hanging="360"/>
      </w:pPr>
      <w:rPr>
        <w:rFonts w:ascii="Wingdings" w:hAnsi="Wingdings" w:hint="default"/>
      </w:rPr>
    </w:lvl>
    <w:lvl w:ilvl="6" w:tplc="29C82E58" w:tentative="1">
      <w:start w:val="1"/>
      <w:numFmt w:val="bullet"/>
      <w:lvlText w:val=""/>
      <w:lvlJc w:val="left"/>
      <w:pPr>
        <w:ind w:left="5040" w:hanging="360"/>
      </w:pPr>
      <w:rPr>
        <w:rFonts w:ascii="Symbol" w:hAnsi="Symbol" w:hint="default"/>
      </w:rPr>
    </w:lvl>
    <w:lvl w:ilvl="7" w:tplc="55BA307E" w:tentative="1">
      <w:start w:val="1"/>
      <w:numFmt w:val="bullet"/>
      <w:lvlText w:val="o"/>
      <w:lvlJc w:val="left"/>
      <w:pPr>
        <w:ind w:left="5760" w:hanging="360"/>
      </w:pPr>
      <w:rPr>
        <w:rFonts w:ascii="Courier New" w:hAnsi="Courier New" w:cs="Courier New" w:hint="default"/>
      </w:rPr>
    </w:lvl>
    <w:lvl w:ilvl="8" w:tplc="DB9EDCF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9D"/>
    <w:rsid w:val="00076C95"/>
    <w:rsid w:val="000F7453"/>
    <w:rsid w:val="00132771"/>
    <w:rsid w:val="00621580"/>
    <w:rsid w:val="00735167"/>
    <w:rsid w:val="00923A62"/>
    <w:rsid w:val="00967B3F"/>
    <w:rsid w:val="009D7A6B"/>
    <w:rsid w:val="00AE5F8B"/>
    <w:rsid w:val="00C566A7"/>
    <w:rsid w:val="00C92C9D"/>
    <w:rsid w:val="00CB0462"/>
    <w:rsid w:val="00D92E9D"/>
    <w:rsid w:val="00FB4934"/>
    <w:rsid w:val="00FD7F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96A"/>
  <w15:chartTrackingRefBased/>
  <w15:docId w15:val="{B7B9E54F-830D-D44C-96A5-602D451B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E9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2E9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92E9D"/>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9D7A6B"/>
    <w:pPr>
      <w:tabs>
        <w:tab w:val="center" w:pos="4680"/>
        <w:tab w:val="right" w:pos="9360"/>
      </w:tabs>
    </w:pPr>
  </w:style>
  <w:style w:type="character" w:customStyle="1" w:styleId="HeaderChar">
    <w:name w:val="Header Char"/>
    <w:basedOn w:val="DefaultParagraphFont"/>
    <w:link w:val="Header"/>
    <w:uiPriority w:val="99"/>
    <w:rsid w:val="009D7A6B"/>
    <w:rPr>
      <w:lang w:val="en-GB"/>
    </w:rPr>
  </w:style>
  <w:style w:type="paragraph" w:styleId="Footer">
    <w:name w:val="footer"/>
    <w:basedOn w:val="Normal"/>
    <w:link w:val="FooterChar"/>
    <w:uiPriority w:val="99"/>
    <w:unhideWhenUsed/>
    <w:rsid w:val="009D7A6B"/>
    <w:pPr>
      <w:tabs>
        <w:tab w:val="center" w:pos="4680"/>
        <w:tab w:val="right" w:pos="9360"/>
      </w:tabs>
    </w:pPr>
  </w:style>
  <w:style w:type="character" w:customStyle="1" w:styleId="FooterChar">
    <w:name w:val="Footer Char"/>
    <w:basedOn w:val="DefaultParagraphFont"/>
    <w:link w:val="Footer"/>
    <w:uiPriority w:val="99"/>
    <w:rsid w:val="009D7A6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373</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Laske</dc:creator>
  <cp:lastModifiedBy>Laurence Ibrahim Aibo</cp:lastModifiedBy>
  <cp:revision>9</cp:revision>
  <dcterms:created xsi:type="dcterms:W3CDTF">2020-11-11T16:48:00Z</dcterms:created>
  <dcterms:modified xsi:type="dcterms:W3CDTF">2020-11-13T22:21:00Z</dcterms:modified>
</cp:coreProperties>
</file>