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cs" w:cs="Times New Roman"/>
          <w:i w:val="0"/>
          <w:iCs w:val="0"/>
          <w:u w:val="none"/>
          <w:lang w:val="pt-PT" w:bidi="he-IL"/>
        </w:rPr>
      </w:pPr>
      <w:r>
        <w:rPr>
          <w:rFonts w:hint="default" w:cs="Times New Roman"/>
          <w:i w:val="0"/>
          <w:iCs w:val="0"/>
          <w:u w:val="none"/>
          <w:lang w:val="en-US" w:bidi="he-IL"/>
        </w:rPr>
        <w:t>18</w:t>
      </w:r>
      <w:r>
        <w:rPr>
          <w:rFonts w:hint="default" w:cs="Times New Roman"/>
          <w:i w:val="0"/>
          <w:iCs w:val="0"/>
          <w:u w:val="none"/>
          <w:vertAlign w:val="superscript"/>
          <w:lang w:val="en-US" w:bidi="he-IL"/>
        </w:rPr>
        <w:t>th</w:t>
      </w:r>
      <w:r>
        <w:rPr>
          <w:rFonts w:hint="default" w:cs="Times New Roman"/>
          <w:i w:val="0"/>
          <w:iCs w:val="0"/>
          <w:u w:val="none"/>
          <w:lang w:val="en-US" w:bidi="he-IL"/>
        </w:rPr>
        <w:t xml:space="preserve"> of Nisan, 5479</w:t>
      </w:r>
    </w:p>
    <w:p>
      <w:pPr>
        <w:spacing w:line="360" w:lineRule="auto"/>
        <w:jc w:val="right"/>
        <w:rPr>
          <w:rFonts w:hint="default" w:cs="Times New Roman"/>
          <w:i w:val="0"/>
          <w:iCs w:val="0"/>
          <w:u w:val="none"/>
          <w:lang w:val="en-US" w:bidi="he-IL"/>
        </w:rPr>
      </w:pPr>
      <w:r>
        <w:rPr>
          <w:rFonts w:hint="default" w:cs="Times New Roman"/>
          <w:i w:val="0"/>
          <w:iCs w:val="0"/>
          <w:u w:val="none"/>
          <w:lang w:val="en-US" w:bidi="he-IL"/>
        </w:rPr>
        <w:t>23/04/2019</w:t>
      </w:r>
    </w:p>
    <w:p>
      <w:pPr>
        <w:spacing w:line="360" w:lineRule="auto"/>
        <w:jc w:val="right"/>
        <w:rPr>
          <w:rFonts w:hint="default" w:cs="Times New Roman"/>
          <w:i w:val="0"/>
          <w:iCs w:val="0"/>
          <w:u w:val="none"/>
          <w:lang w:val="en-US" w:bidi="he-IL"/>
        </w:rPr>
      </w:pPr>
    </w:p>
    <w:p>
      <w:pPr>
        <w:spacing w:line="360" w:lineRule="auto"/>
        <w:jc w:val="right"/>
        <w:rPr>
          <w:rFonts w:hint="default" w:cs="Times New Roman"/>
          <w:i w:val="0"/>
          <w:iCs w:val="0"/>
          <w:u w:val="single"/>
          <w:lang w:val="en-US" w:bidi="he-IL"/>
        </w:rPr>
      </w:pPr>
      <w:r>
        <w:rPr>
          <w:rFonts w:hint="default" w:cs="Times New Roman"/>
          <w:i w:val="0"/>
          <w:iCs w:val="0"/>
          <w:u w:val="single"/>
          <w:lang w:val="en-US" w:bidi="he-IL"/>
        </w:rPr>
        <w:t>To</w:t>
      </w:r>
    </w:p>
    <w:p>
      <w:pPr>
        <w:spacing w:line="360" w:lineRule="auto"/>
        <w:jc w:val="right"/>
        <w:rPr>
          <w:rFonts w:hint="default" w:cs="Times New Roman"/>
          <w:i w:val="0"/>
          <w:iCs w:val="0"/>
          <w:u w:val="none"/>
          <w:lang w:val="en-US" w:bidi="he-IL"/>
        </w:rPr>
      </w:pPr>
      <w:r>
        <w:rPr>
          <w:rFonts w:hint="default" w:cs="Times New Roman"/>
          <w:i w:val="0"/>
          <w:iCs w:val="0"/>
          <w:u w:val="none"/>
          <w:lang w:val="en-US" w:bidi="he-IL"/>
        </w:rPr>
        <w:t>Israel Science Foundation</w:t>
      </w:r>
    </w:p>
    <w:p>
      <w:pPr>
        <w:spacing w:line="360" w:lineRule="auto"/>
        <w:jc w:val="right"/>
        <w:rPr>
          <w:rFonts w:hint="default" w:cs="Times New Roman"/>
          <w:i w:val="0"/>
          <w:iCs w:val="0"/>
          <w:u w:val="none"/>
          <w:lang w:val="en-US" w:bidi="he-IL"/>
        </w:rPr>
      </w:pPr>
      <w:r>
        <w:rPr>
          <w:rFonts w:hint="default" w:cs="Times New Roman"/>
          <w:i w:val="0"/>
          <w:iCs w:val="0"/>
          <w:u w:val="none"/>
          <w:lang w:val="en-US" w:bidi="he-IL"/>
        </w:rPr>
        <w:t>Jabotinsky, 43</w:t>
      </w:r>
    </w:p>
    <w:p>
      <w:pPr>
        <w:spacing w:line="360" w:lineRule="auto"/>
        <w:jc w:val="right"/>
        <w:rPr>
          <w:rFonts w:hint="default" w:cs="Times New Roman"/>
          <w:i w:val="0"/>
          <w:iCs w:val="0"/>
          <w:u w:val="none"/>
          <w:lang w:val="en-US" w:bidi="he-IL"/>
        </w:rPr>
      </w:pPr>
      <w:r>
        <w:rPr>
          <w:rFonts w:hint="default" w:cs="Times New Roman"/>
          <w:i w:val="0"/>
          <w:iCs w:val="0"/>
          <w:u w:val="none"/>
          <w:lang w:val="en-US" w:bidi="he-IL"/>
        </w:rPr>
        <w:t>Jerusalem</w:t>
      </w:r>
    </w:p>
    <w:p>
      <w:pPr>
        <w:spacing w:line="360" w:lineRule="auto"/>
        <w:jc w:val="right"/>
        <w:rPr>
          <w:rFonts w:hint="default" w:cs="Times New Roman"/>
          <w:i w:val="0"/>
          <w:iCs w:val="0"/>
          <w:u w:val="none"/>
          <w:lang w:val="en-US" w:bidi="he-IL"/>
        </w:rPr>
      </w:pPr>
    </w:p>
    <w:p>
      <w:pPr>
        <w:spacing w:line="360" w:lineRule="auto"/>
        <w:jc w:val="right"/>
        <w:rPr>
          <w:rFonts w:hint="default" w:cs="Times New Roman"/>
          <w:i w:val="0"/>
          <w:iCs w:val="0"/>
          <w:u w:val="none"/>
          <w:lang w:val="en-US" w:bidi="he-IL"/>
        </w:rPr>
      </w:pPr>
      <w:r>
        <w:rPr>
          <w:rFonts w:hint="default" w:cs="Times New Roman"/>
          <w:i w:val="0"/>
          <w:iCs w:val="0"/>
          <w:u w:val="single"/>
          <w:lang w:val="en-US" w:bidi="he-IL"/>
        </w:rPr>
        <w:t>Re:</w:t>
      </w:r>
    </w:p>
    <w:p>
      <w:pPr>
        <w:spacing w:line="360" w:lineRule="auto"/>
        <w:jc w:val="right"/>
        <w:rPr>
          <w:rFonts w:hint="default" w:cs="Times New Roman"/>
          <w:i w:val="0"/>
          <w:iCs w:val="0"/>
          <w:u w:val="none"/>
          <w:lang w:val="en-US" w:bidi="he-IL"/>
        </w:rPr>
      </w:pPr>
      <w:r>
        <w:rPr>
          <w:rFonts w:hint="default" w:cs="Times New Roman"/>
          <w:i w:val="0"/>
          <w:iCs w:val="0"/>
          <w:u w:val="none"/>
          <w:lang w:val="en-US" w:bidi="he-IL"/>
        </w:rPr>
        <w:t xml:space="preserve">A review of research proposal no. 929/19: The </w:t>
      </w:r>
      <w:r>
        <w:rPr>
          <w:rFonts w:hint="cs" w:cs="Times New Roman"/>
          <w:i w:val="0"/>
          <w:iCs w:val="0"/>
          <w:u w:val="none"/>
          <w:rtl/>
          <w:cs/>
          <w:lang w:val="en-US" w:bidi="he-IL"/>
        </w:rPr>
        <w:t>A</w:t>
      </w:r>
      <w:r>
        <w:rPr>
          <w:rFonts w:hint="default" w:cs="Times New Roman"/>
          <w:i w:val="0"/>
          <w:iCs w:val="0"/>
          <w:u w:val="none"/>
          <w:lang w:val="en-US" w:bidi="he-IL"/>
        </w:rPr>
        <w:t>ttitudes of Mediaval Commentators to Biblical Ambiguity.</w:t>
      </w:r>
    </w:p>
    <w:p>
      <w:pPr>
        <w:spacing w:line="360" w:lineRule="auto"/>
        <w:jc w:val="right"/>
        <w:rPr>
          <w:rFonts w:hint="default" w:cs="Times New Roman"/>
          <w:i w:val="0"/>
          <w:iCs w:val="0"/>
          <w:u w:val="none"/>
          <w:lang w:val="en-US" w:bidi="he-IL"/>
        </w:rPr>
      </w:pPr>
    </w:p>
    <w:p>
      <w:pPr>
        <w:spacing w:line="360" w:lineRule="auto"/>
        <w:jc w:val="right"/>
        <w:rPr>
          <w:rFonts w:hint="default" w:cs="Times New Roman"/>
          <w:i w:val="0"/>
          <w:iCs w:val="0"/>
          <w:u w:val="none"/>
          <w:lang w:val="en-US" w:bidi="he-IL"/>
        </w:rPr>
      </w:pPr>
      <w:r>
        <w:rPr>
          <w:rFonts w:hint="default" w:cs="Times New Roman"/>
          <w:i w:val="0"/>
          <w:iCs w:val="0"/>
          <w:u w:val="none"/>
          <w:lang w:val="en-US" w:bidi="he-IL"/>
        </w:rPr>
        <w:t>The recent generation of researchers has a great interest in how literary devices are re</w:t>
      </w:r>
      <w:r>
        <w:rPr>
          <w:rFonts w:hint="default" w:cs="Times New Roman"/>
          <w:i w:val="0"/>
          <w:iCs w:val="0"/>
          <w:u w:val="none"/>
          <w:lang w:val="pt-PT" w:bidi="he-IL"/>
        </w:rPr>
        <w:t>f</w:t>
      </w:r>
      <w:r>
        <w:rPr>
          <w:rFonts w:hint="default" w:cs="Times New Roman"/>
          <w:i w:val="0"/>
          <w:iCs w:val="0"/>
          <w:u w:val="none"/>
          <w:lang w:val="en-US" w:bidi="he-IL"/>
        </w:rPr>
        <w:t>lected in mediev</w:t>
      </w:r>
      <w:r>
        <w:rPr>
          <w:rFonts w:hint="default" w:cs="Times New Roman"/>
          <w:i w:val="0"/>
          <w:iCs w:val="0"/>
          <w:u w:val="none"/>
          <w:lang w:val="it-IT" w:bidi="he-IL"/>
        </w:rPr>
        <w:t>a</w:t>
      </w:r>
      <w:r>
        <w:rPr>
          <w:rFonts w:hint="default" w:cs="Times New Roman"/>
          <w:i w:val="0"/>
          <w:iCs w:val="0"/>
          <w:u w:val="none"/>
          <w:lang w:val="en-US" w:bidi="he-IL"/>
        </w:rPr>
        <w:t>l peshat commentary. Research proposal no. 929/19 by Prof. X and Prof. Y is concerned with the attitudes of medieval commentators to biblical ambiguity.</w:t>
      </w:r>
    </w:p>
    <w:p>
      <w:pPr>
        <w:spacing w:line="360" w:lineRule="auto"/>
        <w:jc w:val="right"/>
        <w:rPr>
          <w:rFonts w:hint="default" w:cs="Times New Roman"/>
          <w:i w:val="0"/>
          <w:iCs w:val="0"/>
          <w:u w:val="none"/>
          <w:lang w:val="en-US" w:bidi="he-IL"/>
        </w:rPr>
      </w:pPr>
      <w:r>
        <w:rPr>
          <w:rFonts w:hint="default" w:cs="Times New Roman"/>
          <w:i w:val="0"/>
          <w:iCs w:val="0"/>
          <w:u w:val="none"/>
          <w:lang w:val="en-US" w:bidi="he-IL"/>
        </w:rPr>
        <w:t>Numerous literary and linguistic phenomena fall under the definition of ambiguity. X and Y are interested in cases where the commentator presents two (or more) peshat interpretation</w:t>
      </w:r>
      <w:r>
        <w:rPr>
          <w:rFonts w:hint="default" w:cs="Times New Roman"/>
          <w:i w:val="0"/>
          <w:iCs w:val="0"/>
          <w:u w:val="none"/>
          <w:lang w:val="it-IT" w:bidi="he-IL"/>
        </w:rPr>
        <w:t>s</w:t>
      </w:r>
      <w:r>
        <w:rPr>
          <w:rFonts w:hint="default" w:cs="Times New Roman"/>
          <w:i w:val="0"/>
          <w:iCs w:val="0"/>
          <w:u w:val="none"/>
          <w:lang w:val="en-US" w:bidi="he-IL"/>
        </w:rPr>
        <w:t xml:space="preserve"> of a single textual unit (one word, several words or a verse). They intend to gather such examples from peshat commentary written in Europe, focusing on the 12</w:t>
      </w:r>
      <w:r>
        <w:rPr>
          <w:rFonts w:hint="default" w:cs="Times New Roman"/>
          <w:i w:val="0"/>
          <w:iCs w:val="0"/>
          <w:u w:val="none"/>
          <w:vertAlign w:val="superscript"/>
          <w:lang w:val="en-US" w:bidi="he-IL"/>
        </w:rPr>
        <w:t>th</w:t>
      </w:r>
      <w:r>
        <w:rPr>
          <w:rFonts w:hint="default" w:cs="Times New Roman"/>
          <w:i w:val="0"/>
          <w:iCs w:val="0"/>
          <w:u w:val="none"/>
          <w:lang w:val="en-US" w:bidi="he-IL"/>
        </w:rPr>
        <w:t xml:space="preserve"> and 13</w:t>
      </w:r>
      <w:r>
        <w:rPr>
          <w:rFonts w:hint="default" w:cs="Times New Roman"/>
          <w:i w:val="0"/>
          <w:iCs w:val="0"/>
          <w:u w:val="none"/>
          <w:vertAlign w:val="superscript"/>
          <w:lang w:val="en-US" w:bidi="he-IL"/>
        </w:rPr>
        <w:t>th</w:t>
      </w:r>
      <w:r>
        <w:rPr>
          <w:rFonts w:hint="default" w:cs="Times New Roman"/>
          <w:i w:val="0"/>
          <w:iCs w:val="0"/>
          <w:u w:val="none"/>
          <w:lang w:val="en-US" w:bidi="he-IL"/>
        </w:rPr>
        <w:t xml:space="preserve"> centuries.</w:t>
      </w:r>
    </w:p>
    <w:p>
      <w:pPr>
        <w:spacing w:line="360" w:lineRule="auto"/>
        <w:jc w:val="right"/>
        <w:rPr>
          <w:rFonts w:hint="default" w:cs="Times New Roman"/>
          <w:i w:val="0"/>
          <w:iCs w:val="0"/>
          <w:u w:val="none"/>
          <w:lang w:val="en-US" w:bidi="he-IL"/>
        </w:rPr>
      </w:pPr>
      <w:r>
        <w:rPr>
          <w:rFonts w:hint="default" w:cs="Times New Roman"/>
          <w:i w:val="0"/>
          <w:iCs w:val="0"/>
          <w:u w:val="none"/>
          <w:lang w:val="en-US" w:bidi="he-IL"/>
        </w:rPr>
        <w:t xml:space="preserve">This research proposal continues and expands on X’s previous work, in which he gathered examples of ambiguities of this nature in the commentary of </w:t>
      </w:r>
      <w:commentRangeStart w:id="0"/>
      <w:r>
        <w:rPr>
          <w:rFonts w:hint="default" w:cs="Times New Roman"/>
          <w:i w:val="0"/>
          <w:iCs w:val="0"/>
          <w:u w:val="none"/>
          <w:lang w:val="en-US" w:bidi="he-IL"/>
        </w:rPr>
        <w:t>R. Joseph Bekhor Shor</w:t>
      </w:r>
      <w:commentRangeEnd w:id="0"/>
      <w:r>
        <w:commentReference w:id="0"/>
      </w:r>
      <w:r>
        <w:rPr>
          <w:rFonts w:hint="default" w:cs="Times New Roman"/>
          <w:i w:val="0"/>
          <w:iCs w:val="0"/>
          <w:u w:val="none"/>
          <w:lang w:val="en-US" w:bidi="he-IL"/>
        </w:rPr>
        <w:t xml:space="preserve">. A systematic examination of earlier commentary, such as Karaite and </w:t>
      </w:r>
      <w:commentRangeStart w:id="1"/>
      <w:r>
        <w:rPr>
          <w:rFonts w:hint="default" w:cs="Times New Roman"/>
          <w:i w:val="0"/>
          <w:iCs w:val="0"/>
          <w:u w:val="none"/>
          <w:lang w:val="en-US" w:bidi="he-IL"/>
        </w:rPr>
        <w:t>Geonim</w:t>
      </w:r>
      <w:commentRangeEnd w:id="1"/>
      <w:r>
        <w:commentReference w:id="1"/>
      </w:r>
      <w:r>
        <w:rPr>
          <w:rFonts w:hint="default" w:cs="Times New Roman"/>
          <w:i w:val="0"/>
          <w:iCs w:val="0"/>
          <w:u w:val="none"/>
          <w:lang w:val="en-US" w:bidi="he-IL"/>
        </w:rPr>
        <w:t xml:space="preserve"> commentary, may reveal much more interesting material. The influence of Quran commentary is briefly (and inaccurately) mentioned in the introduction, and the influence of Muslim aesthtic perception, which is not mentioned at all, may be a necessary background.</w:t>
      </w:r>
    </w:p>
    <w:p>
      <w:pPr>
        <w:spacing w:line="360" w:lineRule="auto"/>
        <w:jc w:val="right"/>
        <w:rPr>
          <w:rFonts w:hint="default" w:cs="Times New Roman"/>
          <w:i w:val="0"/>
          <w:iCs w:val="0"/>
          <w:u w:val="none"/>
          <w:lang w:val="en-US" w:bidi="he-IL"/>
        </w:rPr>
      </w:pPr>
      <w:r>
        <w:rPr>
          <w:rFonts w:hint="default" w:cs="Times New Roman"/>
          <w:i w:val="0"/>
          <w:iCs w:val="0"/>
          <w:u w:val="none"/>
          <w:lang w:val="en-US" w:bidi="he-IL"/>
        </w:rPr>
        <w:t xml:space="preserve">The discussion of the history of ambiguity in ancient literature is poor and insufficient. The description of the phenomenon in Sages’ literature is </w:t>
      </w:r>
      <w:r>
        <w:rPr>
          <w:rFonts w:hint="default" w:cs="Times New Roman"/>
          <w:i w:val="0"/>
          <w:iCs w:val="0"/>
          <w:u w:val="none"/>
          <w:lang w:val="pt-PT" w:bidi="he-IL"/>
        </w:rPr>
        <w:t>inaccurate, as is</w:t>
      </w:r>
      <w:r>
        <w:rPr>
          <w:rFonts w:hint="default" w:cs="Times New Roman"/>
          <w:i w:val="0"/>
          <w:iCs w:val="0"/>
          <w:u w:val="none"/>
          <w:lang w:val="en-US" w:bidi="he-IL"/>
        </w:rPr>
        <w:t xml:space="preserve"> </w:t>
      </w:r>
      <w:r>
        <w:rPr>
          <w:rFonts w:hint="default" w:cs="Times New Roman"/>
          <w:i w:val="0"/>
          <w:iCs w:val="0"/>
          <w:u w:val="none"/>
          <w:lang w:val="pt-PT" w:bidi="he-IL"/>
        </w:rPr>
        <w:t>t</w:t>
      </w:r>
      <w:r>
        <w:rPr>
          <w:rFonts w:hint="default" w:cs="Times New Roman"/>
          <w:i w:val="0"/>
          <w:iCs w:val="0"/>
          <w:u w:val="none"/>
          <w:lang w:val="en-US" w:bidi="he-IL"/>
        </w:rPr>
        <w:t>he descri</w:t>
      </w:r>
      <w:r>
        <w:rPr>
          <w:rFonts w:hint="default" w:cs="Times New Roman"/>
          <w:i w:val="0"/>
          <w:iCs w:val="0"/>
          <w:u w:val="none"/>
          <w:lang w:val="pt-PT" w:bidi="he-IL"/>
        </w:rPr>
        <w:t>ption of</w:t>
      </w:r>
      <w:r>
        <w:rPr>
          <w:rFonts w:hint="default" w:cs="Times New Roman"/>
          <w:i w:val="0"/>
          <w:iCs w:val="0"/>
          <w:u w:val="none"/>
          <w:lang w:val="en-US" w:bidi="he-IL"/>
        </w:rPr>
        <w:t xml:space="preserve"> Ibn Ezra’s attitude to the issue. The researchers cite examples meant to clarify what peshat ambiguities are and how they are different from other categories of ambiguity, but these are not always </w:t>
      </w:r>
      <w:r>
        <w:rPr>
          <w:rFonts w:hint="default" w:cs="Times New Roman"/>
          <w:i w:val="0"/>
          <w:iCs w:val="0"/>
          <w:u w:val="none"/>
          <w:lang w:val="pt-PT" w:bidi="he-IL"/>
        </w:rPr>
        <w:t>fitting</w:t>
      </w:r>
      <w:r>
        <w:rPr>
          <w:rFonts w:hint="default" w:cs="Times New Roman"/>
          <w:i w:val="0"/>
          <w:iCs w:val="0"/>
          <w:u w:val="none"/>
          <w:lang w:val="en-US" w:bidi="he-IL"/>
        </w:rPr>
        <w:t>.</w:t>
      </w:r>
    </w:p>
    <w:p>
      <w:pPr>
        <w:spacing w:line="360" w:lineRule="auto"/>
        <w:jc w:val="right"/>
        <w:rPr>
          <w:rFonts w:hint="default" w:cs="Times New Roman"/>
          <w:i w:val="0"/>
          <w:iCs w:val="0"/>
          <w:u w:val="none"/>
          <w:lang w:val="en-US" w:bidi="he-IL"/>
        </w:rPr>
      </w:pPr>
    </w:p>
    <w:p>
      <w:pPr>
        <w:spacing w:line="360" w:lineRule="auto"/>
        <w:jc w:val="right"/>
        <w:rPr>
          <w:rFonts w:hint="cs" w:cs="Times New Roman"/>
          <w:i w:val="0"/>
          <w:iCs w:val="0"/>
          <w:u w:val="none"/>
          <w:lang w:val="pt-PT" w:bidi="he-IL"/>
        </w:rPr>
      </w:pPr>
      <w:r>
        <w:rPr>
          <w:rFonts w:hint="default" w:cs="Times New Roman"/>
          <w:i w:val="0"/>
          <w:iCs w:val="0"/>
          <w:u w:val="none"/>
          <w:lang w:val="en-US" w:bidi="he-IL"/>
        </w:rPr>
        <w:t xml:space="preserve">As mentioned, Prof. X has dealt with the relevant phenomena in the commentary of Joseph Bekhor Shor, and is the most suitable researcher to </w:t>
      </w:r>
      <w:r>
        <w:rPr>
          <w:rFonts w:hint="default" w:cs="Times New Roman"/>
          <w:i w:val="0"/>
          <w:iCs w:val="0"/>
          <w:u w:val="none"/>
          <w:lang w:val="pt-PT" w:bidi="he-IL"/>
        </w:rPr>
        <w:t>lead</w:t>
      </w:r>
      <w:r>
        <w:rPr>
          <w:rFonts w:hint="default" w:cs="Times New Roman"/>
          <w:i w:val="0"/>
          <w:iCs w:val="0"/>
          <w:u w:val="none"/>
          <w:lang w:val="en-US" w:bidi="he-IL"/>
        </w:rPr>
        <w:t xml:space="preserve"> the proposed project. Prof. Y has dealt with ambiguity in the </w:t>
      </w:r>
      <w:r>
        <w:rPr>
          <w:rFonts w:hint="default" w:cs="Times New Roman"/>
          <w:i w:val="0"/>
          <w:iCs w:val="0"/>
          <w:u w:val="none"/>
          <w:lang w:val="pt-PT" w:bidi="he-IL"/>
        </w:rPr>
        <w:t xml:space="preserve">Tanakh, and his contribution </w:t>
      </w:r>
      <w:r>
        <w:rPr>
          <w:rFonts w:hint="default" w:cs="Times New Roman"/>
          <w:i w:val="0"/>
          <w:iCs w:val="0"/>
          <w:u w:val="none"/>
          <w:lang w:val="en-US" w:bidi="he-IL"/>
        </w:rPr>
        <w:t xml:space="preserve">to the project </w:t>
      </w:r>
      <w:r>
        <w:rPr>
          <w:rFonts w:hint="default" w:cs="Times New Roman"/>
          <w:i w:val="0"/>
          <w:iCs w:val="0"/>
          <w:u w:val="none"/>
          <w:lang w:val="pt-PT" w:bidi="he-IL"/>
        </w:rPr>
        <w:t>is</w:t>
      </w:r>
      <w:r>
        <w:rPr>
          <w:rFonts w:hint="default" w:cs="Times New Roman"/>
          <w:i w:val="0"/>
          <w:iCs w:val="0"/>
          <w:u w:val="none"/>
          <w:lang w:val="en-US" w:bidi="he-IL"/>
        </w:rPr>
        <w:t xml:space="preserve"> essential</w:t>
      </w:r>
      <w:r>
        <w:rPr>
          <w:rFonts w:hint="default" w:cs="Times New Roman"/>
          <w:i w:val="0"/>
          <w:iCs w:val="0"/>
          <w:u w:val="none"/>
          <w:lang w:val="pt-PT" w:bidi="he-IL"/>
        </w:rPr>
        <w:t>.</w:t>
      </w:r>
      <w:bookmarkStart w:id="0" w:name="_GoBack"/>
      <w:bookmarkEnd w:id="0"/>
    </w:p>
    <w:sectPr>
      <w:footerReference r:id="rId5" w:type="default"/>
      <w:footerReference r:id="rId6" w:type="even"/>
      <w:pgSz w:w="11906" w:h="16838"/>
      <w:pgMar w:top="1440" w:right="1800" w:bottom="1440" w:left="1800" w:header="708" w:footer="708" w:gutter="0"/>
      <w:cols w:space="708" w:num="1"/>
      <w:bidi/>
      <w:rtlGutter w:val="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tom atkins" w:date="2019-04-30T09:19:14Z" w:initials="t">
    <w:p w14:paraId="05857B0A">
      <w:pPr>
        <w:pStyle w:val="2"/>
        <w:wordWrap w:val="0"/>
        <w:rPr>
          <w:rFonts w:hint="cs" w:cs="Times New Roman"/>
          <w:lang w:val="en-US" w:bidi="he-IL"/>
        </w:rPr>
      </w:pPr>
      <w:r>
        <w:rPr>
          <w:rFonts w:hint="cs" w:cs="Times New Roman"/>
          <w:rtl/>
          <w:cs/>
          <w:lang w:val="en-US" w:bidi="he-IL"/>
        </w:rPr>
        <w:t>במקור - ר</w:t>
      </w:r>
      <w:r>
        <w:rPr>
          <w:rFonts w:hint="default" w:cs="Times New Roman"/>
          <w:rtl/>
          <w:cs/>
          <w:lang w:val="en-US" w:bidi="he-IL"/>
        </w:rPr>
        <w:t>’</w:t>
      </w:r>
      <w:r>
        <w:rPr>
          <w:rFonts w:hint="cs" w:cs="Times New Roman"/>
          <w:rtl/>
          <w:cs/>
          <w:lang w:val="en-US" w:bidi="he-IL"/>
        </w:rPr>
        <w:t xml:space="preserve"> יוסף בכור שור</w:t>
      </w:r>
    </w:p>
    <w:p w14:paraId="6E30448F">
      <w:pPr>
        <w:pStyle w:val="2"/>
        <w:wordWrap w:val="0"/>
        <w:rPr>
          <w:lang w:val="en-US"/>
        </w:rPr>
      </w:pPr>
      <w:r>
        <w:rPr>
          <w:lang w:val="en-US"/>
        </w:rPr>
        <w:t>Most sources I found use the latinized form Joseph.</w:t>
      </w:r>
    </w:p>
    <w:p w14:paraId="61B3767D">
      <w:pPr>
        <w:pStyle w:val="2"/>
        <w:wordWrap w:val="0"/>
        <w:rPr>
          <w:lang w:val="en-US"/>
        </w:rPr>
      </w:pPr>
      <w:r>
        <w:rPr>
          <w:lang w:val="en-US"/>
        </w:rPr>
        <w:t>Some, mostly based in Israel, use the transliteration Yosef</w:t>
      </w:r>
    </w:p>
  </w:comment>
  <w:comment w:id="1" w:author="tom atkins" w:date="2019-04-30T09:22:28Z" w:initials="t">
    <w:p w14:paraId="3B1F18AD">
      <w:pPr>
        <w:pStyle w:val="2"/>
        <w:wordWrap w:val="0"/>
        <w:jc w:val="center"/>
        <w:rPr>
          <w:rFonts w:hint="cs" w:cs="Times New Roman"/>
          <w:rtl/>
          <w:cs/>
          <w:lang w:val="en-US" w:bidi="he-IL"/>
        </w:rPr>
      </w:pPr>
      <w:r>
        <w:rPr>
          <w:rFonts w:hint="cs" w:cs="Times New Roman"/>
          <w:rtl/>
          <w:cs/>
          <w:lang w:val="en-US" w:bidi="he-IL"/>
        </w:rPr>
        <w:t>במקור - גאונים</w:t>
      </w:r>
    </w:p>
    <w:p w14:paraId="14ED2A19">
      <w:pPr>
        <w:pStyle w:val="2"/>
        <w:wordWrap w:val="0"/>
        <w:jc w:val="center"/>
        <w:rPr>
          <w:rFonts w:hint="cs" w:cs="Times New Roman"/>
          <w:rtl/>
          <w:cs w:val="0"/>
          <w:lang w:val="en-US" w:bidi="he-IL"/>
        </w:rPr>
      </w:pPr>
      <w:r>
        <w:rPr>
          <w:rFonts w:hint="default" w:cs="Times New Roman"/>
          <w:rtl w:val="0"/>
          <w:cs w:val="0"/>
          <w:lang w:val="en-US" w:bidi="he-IL"/>
        </w:rPr>
        <w:t>Not a translation issue, but the Geonim period is considered to have ended in the early 11</w:t>
      </w:r>
      <w:r>
        <w:rPr>
          <w:rFonts w:hint="default" w:cs="Times New Roman"/>
          <w:vertAlign w:val="superscript"/>
          <w:rtl w:val="0"/>
          <w:cs w:val="0"/>
          <w:lang w:val="en-US" w:bidi="he-IL"/>
        </w:rPr>
        <w:t>th</w:t>
      </w:r>
      <w:r>
        <w:rPr>
          <w:rFonts w:hint="default" w:cs="Times New Roman"/>
          <w:rtl w:val="0"/>
          <w:cs w:val="0"/>
          <w:lang w:val="en-US" w:bidi="he-IL"/>
        </w:rPr>
        <w:t xml:space="preserve"> century, while the research proposal deals with the 12</w:t>
      </w:r>
      <w:r>
        <w:rPr>
          <w:rFonts w:hint="default" w:cs="Times New Roman"/>
          <w:vertAlign w:val="superscript"/>
          <w:rtl w:val="0"/>
          <w:cs w:val="0"/>
          <w:lang w:val="en-US" w:bidi="he-IL"/>
        </w:rPr>
        <w:t>th</w:t>
      </w:r>
      <w:r>
        <w:rPr>
          <w:rFonts w:hint="default" w:cs="Times New Roman"/>
          <w:rtl w:val="0"/>
          <w:cs w:val="0"/>
          <w:lang w:val="en-US" w:bidi="he-IL"/>
        </w:rPr>
        <w:t xml:space="preserve"> and 13</w:t>
      </w:r>
      <w:r>
        <w:rPr>
          <w:rFonts w:hint="default" w:cs="Times New Roman"/>
          <w:vertAlign w:val="superscript"/>
          <w:rtl w:val="0"/>
          <w:cs w:val="0"/>
          <w:lang w:val="en-US" w:bidi="he-IL"/>
        </w:rPr>
        <w:t>th</w:t>
      </w:r>
      <w:r>
        <w:rPr>
          <w:rFonts w:hint="default" w:cs="Times New Roman"/>
          <w:rtl w:val="0"/>
          <w:cs w:val="0"/>
          <w:lang w:val="en-US" w:bidi="he-IL"/>
        </w:rPr>
        <w:t xml:space="preserve"> century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B3767D" w15:done="0"/>
  <w15:commentEx w15:paraId="14ED2A1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等线">
    <w:altName w:val="SimSun"/>
    <w:panose1 w:val="00000000000000000000"/>
    <w:charset w:val="86"/>
    <w:family w:val="auto"/>
    <w:pitch w:val="default"/>
    <w:sig w:usb0="00000000" w:usb1="00000000" w:usb2="00000000" w:usb3="00000000" w:csb0="00000000" w:csb1="00000000"/>
  </w:font>
  <w:font w:name="等线">
    <w:altName w:val="SimSun"/>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Narkisim">
    <w:altName w:val="Segoe Print"/>
    <w:panose1 w:val="020E0502050101010101"/>
    <w:charset w:val="00"/>
    <w:family w:val="swiss"/>
    <w:pitch w:val="default"/>
    <w:sig w:usb0="00000000" w:usb1="00000000" w:usb2="00000000" w:usb3="00000000" w:csb0="00000021" w:csb1="00000000"/>
  </w:font>
  <w:font w:name="David">
    <w:altName w:val="Segoe Print"/>
    <w:panose1 w:val="020E0502060401010101"/>
    <w:charset w:val="00"/>
    <w:family w:val="swiss"/>
    <w:pitch w:val="default"/>
    <w:sig w:usb0="00000000" w:usb1="00000000" w:usb2="00000000" w:usb3="00000000" w:csb0="00000021" w:csb1="00000000"/>
  </w:font>
  <w:font w:name="ArialMT">
    <w:altName w:val="Arial"/>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text" w:y="1"/>
      <w:rPr>
        <w:rStyle w:val="5"/>
      </w:rPr>
    </w:pPr>
    <w:r>
      <w:rPr>
        <w:rStyle w:val="5"/>
        <w:rtl/>
      </w:rPr>
      <w:fldChar w:fldCharType="begin"/>
    </w:r>
    <w:r>
      <w:rPr>
        <w:rStyle w:val="5"/>
      </w:rPr>
      <w:instrText xml:space="preserve">PAGE  </w:instrText>
    </w:r>
    <w:r>
      <w:rPr>
        <w:rStyle w:val="5"/>
        <w:rtl/>
      </w:rPr>
      <w:fldChar w:fldCharType="separate"/>
    </w:r>
    <w:r>
      <w:rPr>
        <w:rStyle w:val="5"/>
        <w:rtl/>
      </w:rPr>
      <w:t>2</w:t>
    </w:r>
    <w:r>
      <w:rPr>
        <w:rStyle w:val="5"/>
        <w:rtl/>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text" w:y="1"/>
      <w:rPr>
        <w:rStyle w:val="5"/>
      </w:rPr>
    </w:pPr>
    <w:r>
      <w:rPr>
        <w:rStyle w:val="5"/>
        <w:rtl/>
      </w:rPr>
      <w:fldChar w:fldCharType="begin"/>
    </w:r>
    <w:r>
      <w:rPr>
        <w:rStyle w:val="5"/>
      </w:rPr>
      <w:instrText xml:space="preserve">PAGE  </w:instrText>
    </w:r>
    <w:r>
      <w:rPr>
        <w:rStyle w:val="5"/>
        <w:rtl/>
      </w:rPr>
      <w:fldChar w:fldCharType="end"/>
    </w:r>
  </w:p>
  <w:p>
    <w:pPr>
      <w:pStyle w:val="3"/>
      <w:ind w:right="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om atkins">
    <w15:presenceInfo w15:providerId="None" w15:userId="tom atki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3E"/>
    <w:rsid w:val="00185FA3"/>
    <w:rsid w:val="0040057C"/>
    <w:rsid w:val="005774BC"/>
    <w:rsid w:val="00611160"/>
    <w:rsid w:val="00754F81"/>
    <w:rsid w:val="00773D94"/>
    <w:rsid w:val="007935DE"/>
    <w:rsid w:val="007938F7"/>
    <w:rsid w:val="007B0985"/>
    <w:rsid w:val="0082001D"/>
    <w:rsid w:val="008757F4"/>
    <w:rsid w:val="008C54B3"/>
    <w:rsid w:val="00915B62"/>
    <w:rsid w:val="00A1348C"/>
    <w:rsid w:val="00A2633E"/>
    <w:rsid w:val="00D5617E"/>
    <w:rsid w:val="00E20097"/>
    <w:rsid w:val="3C9466A1"/>
    <w:rsid w:val="3CA10845"/>
    <w:rsid w:val="514F54AB"/>
    <w:rsid w:val="6A7A3F17"/>
    <w:rsid w:val="7D174996"/>
  </w:rsids>
  <m:mathPr>
    <m:mathFont m:val="Cambria Math"/>
    <m:brkBin m:val="before"/>
    <m:brkBinSub m:val="--"/>
    <m:smallFrac m:val="0"/>
    <m:dispDef/>
    <m:lMargin m:val="0"/>
    <m:rMargin m:val="0"/>
    <m:defJc m:val="centerGroup"/>
    <m:wrapIndent m:val="1440"/>
    <m:intLim m:val="subSup"/>
    <m:naryLim m:val="undOvr"/>
  </m:mathPr>
  <w:themeFontLang w:val="zh-CN"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0" w:line="240" w:lineRule="auto"/>
    </w:pPr>
    <w:rPr>
      <w:rFonts w:ascii="Times New Roman" w:hAnsi="Times New Roman" w:eastAsia="Times New Roman" w:cs="Narkisim"/>
      <w:sz w:val="24"/>
      <w:szCs w:val="24"/>
      <w:lang w:val="en-US" w:eastAsia="en-US" w:bidi="he-IL"/>
    </w:rPr>
  </w:style>
  <w:style w:type="character" w:default="1" w:styleId="4">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7"/>
    <w:uiPriority w:val="0"/>
    <w:pPr>
      <w:tabs>
        <w:tab w:val="center" w:pos="4153"/>
        <w:tab w:val="right" w:pos="8306"/>
      </w:tabs>
    </w:pPr>
  </w:style>
  <w:style w:type="character" w:styleId="5">
    <w:name w:val="page number"/>
    <w:basedOn w:val="4"/>
    <w:uiPriority w:val="0"/>
  </w:style>
  <w:style w:type="character" w:customStyle="1" w:styleId="7">
    <w:name w:val="Footer Char"/>
    <w:basedOn w:val="4"/>
    <w:link w:val="3"/>
    <w:qFormat/>
    <w:uiPriority w:val="0"/>
    <w:rPr>
      <w:rFonts w:ascii="Times New Roman" w:hAnsi="Times New Roman" w:eastAsia="Times New Roman" w:cs="Narkisim"/>
      <w:sz w:val="24"/>
      <w:szCs w:val="24"/>
      <w:lang w:val="en-US"/>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230</Words>
  <Characters>1316</Characters>
  <Lines>10</Lines>
  <Paragraphs>3</Paragraphs>
  <TotalTime>119</TotalTime>
  <ScaleCrop>false</ScaleCrop>
  <LinksUpToDate>false</LinksUpToDate>
  <CharactersWithSpaces>1543</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2019-04-23T12:02:00Z</dcterms:created>
  <dc:creator>user</dc:creator>
  <cp:lastModifiedBy>tom atkins</cp:lastModifiedBy>
  <dcterms:modified xsi:type="dcterms:W3CDTF">2019-05-01T09:58:10Z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