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30E8B" w14:textId="77777777" w:rsidR="00AD330D" w:rsidRDefault="001C637C" w:rsidP="001C637C">
      <w:pPr>
        <w:spacing w:after="120"/>
        <w:jc w:val="center"/>
      </w:pPr>
      <w:commentRangeStart w:id="0"/>
      <w:r>
        <w:t xml:space="preserve">“It </w:t>
      </w:r>
      <w:r w:rsidR="000C39AD">
        <w:t>Does Not Relate to</w:t>
      </w:r>
      <w:r>
        <w:t xml:space="preserve"> Me”</w:t>
      </w:r>
      <w:r w:rsidR="000C39AD">
        <w:t>:</w:t>
      </w:r>
    </w:p>
    <w:p w14:paraId="7E51B3B3" w14:textId="77777777" w:rsidR="001C637C" w:rsidRDefault="001C637C" w:rsidP="001C637C">
      <w:pPr>
        <w:spacing w:after="120"/>
        <w:jc w:val="center"/>
      </w:pPr>
      <w:r>
        <w:t>R</w:t>
      </w:r>
      <w:r w:rsidR="002F4889">
        <w:t>abbi</w:t>
      </w:r>
      <w:r>
        <w:t xml:space="preserve"> Israel </w:t>
      </w:r>
      <w:proofErr w:type="spellStart"/>
      <w:r>
        <w:t>Salanter</w:t>
      </w:r>
      <w:proofErr w:type="spellEnd"/>
      <w:r w:rsidR="002F4889">
        <w:t xml:space="preserve"> and the</w:t>
      </w:r>
      <w:r>
        <w:t xml:space="preserve"> Kabbalah</w:t>
      </w:r>
      <w:commentRangeEnd w:id="0"/>
      <w:r w:rsidR="002F4889">
        <w:rPr>
          <w:rStyle w:val="CommentReference"/>
        </w:rPr>
        <w:commentReference w:id="0"/>
      </w:r>
    </w:p>
    <w:p w14:paraId="1F67C5A0" w14:textId="77777777" w:rsidR="001C637C" w:rsidRDefault="001C637C" w:rsidP="001C637C">
      <w:pPr>
        <w:spacing w:after="120"/>
        <w:jc w:val="center"/>
      </w:pPr>
      <w:r>
        <w:t>Benjamin Brown</w:t>
      </w:r>
      <w:r w:rsidR="003C34A0">
        <w:rPr>
          <w:rStyle w:val="FootnoteReference"/>
        </w:rPr>
        <w:footnoteReference w:id="1"/>
      </w:r>
    </w:p>
    <w:p w14:paraId="6B155EAB" w14:textId="77777777" w:rsidR="001C637C" w:rsidRDefault="001C637C" w:rsidP="001C637C">
      <w:pPr>
        <w:spacing w:after="120"/>
        <w:jc w:val="center"/>
      </w:pPr>
    </w:p>
    <w:p w14:paraId="2DDDB444" w14:textId="77777777" w:rsidR="001C637C" w:rsidRPr="001C637C" w:rsidRDefault="001C637C" w:rsidP="001C637C">
      <w:pPr>
        <w:spacing w:after="120"/>
        <w:jc w:val="center"/>
        <w:rPr>
          <w:b/>
          <w:bCs/>
        </w:rPr>
      </w:pPr>
      <w:r w:rsidRPr="001C637C">
        <w:rPr>
          <w:b/>
          <w:bCs/>
        </w:rPr>
        <w:t xml:space="preserve">1. Introduction: The </w:t>
      </w:r>
      <w:r w:rsidR="00341389" w:rsidRPr="001C637C">
        <w:rPr>
          <w:b/>
          <w:bCs/>
        </w:rPr>
        <w:t xml:space="preserve">Scholarly </w:t>
      </w:r>
      <w:r w:rsidR="00341389">
        <w:rPr>
          <w:b/>
          <w:bCs/>
        </w:rPr>
        <w:t>Controversy and Its</w:t>
      </w:r>
      <w:r w:rsidR="00341389" w:rsidRPr="001C637C">
        <w:rPr>
          <w:b/>
          <w:bCs/>
        </w:rPr>
        <w:t xml:space="preserve"> </w:t>
      </w:r>
      <w:r w:rsidRPr="001C637C">
        <w:rPr>
          <w:b/>
          <w:bCs/>
        </w:rPr>
        <w:t>Significance</w:t>
      </w:r>
    </w:p>
    <w:p w14:paraId="2D596F25" w14:textId="5B6A4729" w:rsidR="004272B0" w:rsidRDefault="000C39AD" w:rsidP="004272B0">
      <w:pPr>
        <w:spacing w:after="120"/>
      </w:pPr>
      <w:r>
        <w:t>The new flourishing of the kabbalah in recent decades has followed a long dry period that began in the 19</w:t>
      </w:r>
      <w:r w:rsidRPr="000C39AD">
        <w:rPr>
          <w:vertAlign w:val="superscript"/>
        </w:rPr>
        <w:t>th</w:t>
      </w:r>
      <w:r>
        <w:t xml:space="preserve"> century.</w:t>
      </w:r>
      <w:r w:rsidR="00DA0921">
        <w:t xml:space="preserve"> </w:t>
      </w:r>
      <w:r>
        <w:t xml:space="preserve">During this period, </w:t>
      </w:r>
      <w:r w:rsidR="002F4889">
        <w:t>many fewer people,</w:t>
      </w:r>
      <w:r>
        <w:t xml:space="preserve"> </w:t>
      </w:r>
      <w:r w:rsidR="002F4889">
        <w:t>especially among the religious leadership</w:t>
      </w:r>
      <w:r w:rsidR="002F4889">
        <w:t xml:space="preserve">, were </w:t>
      </w:r>
      <w:r w:rsidR="00341389">
        <w:t>involved</w:t>
      </w:r>
      <w:r>
        <w:t xml:space="preserve"> with kabbalah</w:t>
      </w:r>
      <w:r w:rsidR="00341389">
        <w:t>.</w:t>
      </w:r>
      <w:r w:rsidR="00DA0921">
        <w:t xml:space="preserve"> </w:t>
      </w:r>
      <w:r w:rsidR="00341389">
        <w:t>There was much less written</w:t>
      </w:r>
      <w:r w:rsidR="003C34A0">
        <w:t xml:space="preserve"> on kabbalah and </w:t>
      </w:r>
      <w:r w:rsidR="00341389">
        <w:t>what was written was much less innovative</w:t>
      </w:r>
      <w:r w:rsidR="003C34A0">
        <w:t>.</w:t>
      </w:r>
      <w:r w:rsidR="00DA0921">
        <w:t xml:space="preserve"> </w:t>
      </w:r>
      <w:r w:rsidR="003C34A0">
        <w:t xml:space="preserve">Hasidism, which in its first generations relied on kabbalistic sources, </w:t>
      </w:r>
      <w:r w:rsidR="00341389">
        <w:t xml:space="preserve">began to </w:t>
      </w:r>
      <w:r w:rsidR="003C34A0">
        <w:t xml:space="preserve">turn toward “the </w:t>
      </w:r>
      <w:r w:rsidR="006009A2">
        <w:t>heteronomous</w:t>
      </w:r>
      <w:r w:rsidR="003C34A0">
        <w:t xml:space="preserve"> sources of religion” (to use the terminology of M. </w:t>
      </w:r>
      <w:proofErr w:type="spellStart"/>
      <w:r w:rsidR="006009A2" w:rsidRPr="006009A2">
        <w:t>Piekarz</w:t>
      </w:r>
      <w:proofErr w:type="spellEnd"/>
      <w:r w:rsidR="003C34A0">
        <w:t>)</w:t>
      </w:r>
      <w:r w:rsidR="006009A2">
        <w:t>,</w:t>
      </w:r>
      <w:r w:rsidR="001F06E4">
        <w:rPr>
          <w:rStyle w:val="FootnoteReference"/>
        </w:rPr>
        <w:footnoteReference w:id="2"/>
      </w:r>
      <w:r w:rsidR="006009A2">
        <w:t xml:space="preserve"> and the Lithuanian </w:t>
      </w:r>
      <w:proofErr w:type="spellStart"/>
      <w:r w:rsidR="00341389">
        <w:rPr>
          <w:i/>
          <w:iCs/>
        </w:rPr>
        <w:t>M</w:t>
      </w:r>
      <w:r w:rsidR="006009A2">
        <w:rPr>
          <w:i/>
          <w:iCs/>
        </w:rPr>
        <w:t>i</w:t>
      </w:r>
      <w:r w:rsidR="00341389">
        <w:rPr>
          <w:i/>
          <w:iCs/>
        </w:rPr>
        <w:t>s</w:t>
      </w:r>
      <w:r w:rsidR="006009A2">
        <w:rPr>
          <w:i/>
          <w:iCs/>
        </w:rPr>
        <w:t>nagdic</w:t>
      </w:r>
      <w:proofErr w:type="spellEnd"/>
      <w:r w:rsidR="006009A2">
        <w:t xml:space="preserve"> world focused more and more on the study of “legal Torah”</w:t>
      </w:r>
      <w:r w:rsidR="002F4889">
        <w:t xml:space="preserve"> (</w:t>
      </w:r>
      <w:r w:rsidR="002F4889">
        <w:rPr>
          <w:i/>
          <w:iCs/>
        </w:rPr>
        <w:t>ha-</w:t>
      </w:r>
      <w:proofErr w:type="spellStart"/>
      <w:r w:rsidR="002F4889">
        <w:rPr>
          <w:i/>
          <w:iCs/>
        </w:rPr>
        <w:t>torah</w:t>
      </w:r>
      <w:proofErr w:type="spellEnd"/>
      <w:r w:rsidR="002F4889">
        <w:rPr>
          <w:i/>
          <w:iCs/>
        </w:rPr>
        <w:t xml:space="preserve"> ha-</w:t>
      </w:r>
      <w:proofErr w:type="spellStart"/>
      <w:r w:rsidR="002F4889">
        <w:rPr>
          <w:i/>
          <w:iCs/>
        </w:rPr>
        <w:t>dinit</w:t>
      </w:r>
      <w:proofErr w:type="spellEnd"/>
      <w:r w:rsidR="002F4889">
        <w:t>).</w:t>
      </w:r>
      <w:r w:rsidR="006009A2">
        <w:rPr>
          <w:rStyle w:val="FootnoteReference"/>
        </w:rPr>
        <w:footnoteReference w:id="3"/>
      </w:r>
      <w:r w:rsidR="00DA0921">
        <w:t xml:space="preserve"> </w:t>
      </w:r>
      <w:r w:rsidR="00B26560">
        <w:t xml:space="preserve">Gershom </w:t>
      </w:r>
      <w:proofErr w:type="spellStart"/>
      <w:r w:rsidR="00B26560">
        <w:t>Scholem</w:t>
      </w:r>
      <w:proofErr w:type="spellEnd"/>
      <w:r w:rsidR="00B26560">
        <w:t xml:space="preserve"> concluded from this that Hasidism – by which he meant early Hasidism – was “the last stage” of </w:t>
      </w:r>
      <w:r w:rsidR="002A3F96">
        <w:t>the vibrant creativity of Jewish mysticism,</w:t>
      </w:r>
      <w:r w:rsidR="00B26560">
        <w:rPr>
          <w:rStyle w:val="FootnoteReference"/>
        </w:rPr>
        <w:footnoteReference w:id="4"/>
      </w:r>
      <w:r w:rsidR="00B26560">
        <w:t xml:space="preserve"> after</w:t>
      </w:r>
      <w:r w:rsidR="002A3F96">
        <w:t xml:space="preserve"> which began a time of twilight when,</w:t>
      </w:r>
      <w:r w:rsidR="00B26560">
        <w:t xml:space="preserve"> at most</w:t>
      </w:r>
      <w:r w:rsidR="002A3F96">
        <w:t>,</w:t>
      </w:r>
      <w:r w:rsidR="00B26560">
        <w:t xml:space="preserve"> it is</w:t>
      </w:r>
      <w:r w:rsidR="002A3F96">
        <w:t xml:space="preserve"> occasionally</w:t>
      </w:r>
      <w:r w:rsidR="00B26560">
        <w:t xml:space="preserve"> possible to find some fragments of creativity.</w:t>
      </w:r>
      <w:r w:rsidR="00DA0921">
        <w:t xml:space="preserve"> </w:t>
      </w:r>
      <w:r w:rsidR="002A3F96">
        <w:t xml:space="preserve">Nor did the students of the Gaon of Vilna escape </w:t>
      </w:r>
      <w:r w:rsidR="00B26560">
        <w:t xml:space="preserve">this serious </w:t>
      </w:r>
      <w:r w:rsidR="002A3F96">
        <w:t>accusation</w:t>
      </w:r>
      <w:r w:rsidR="00B26560">
        <w:t>.</w:t>
      </w:r>
      <w:r w:rsidR="00DA0921">
        <w:t xml:space="preserve"> </w:t>
      </w:r>
      <w:r w:rsidR="00B26560">
        <w:t>The downfall of the kabbalah, after centuries during which it had a profound, all-encompassing influence, was an amazingly quick process.</w:t>
      </w:r>
      <w:r w:rsidR="00DA0921">
        <w:t xml:space="preserve"> </w:t>
      </w:r>
      <w:r w:rsidR="00B26560">
        <w:t>No more than three or four generations after the Baal Shem Tov and the Gaon</w:t>
      </w:r>
      <w:r w:rsidR="00341389">
        <w:t xml:space="preserve"> of Vilna</w:t>
      </w:r>
      <w:r w:rsidR="00B26560">
        <w:t xml:space="preserve">, </w:t>
      </w:r>
      <w:r w:rsidR="00A67BD7">
        <w:t>both of who</w:t>
      </w:r>
      <w:r w:rsidR="00DF16BE">
        <w:t>se</w:t>
      </w:r>
      <w:r w:rsidR="00A67BD7">
        <w:t xml:space="preserve"> intellectual perspectives</w:t>
      </w:r>
      <w:r w:rsidR="00DF16BE">
        <w:t xml:space="preserve"> were</w:t>
      </w:r>
      <w:r w:rsidR="00A67BD7">
        <w:t xml:space="preserve"> profoundly shaped</w:t>
      </w:r>
      <w:r w:rsidR="00B26560">
        <w:t xml:space="preserve"> </w:t>
      </w:r>
      <w:r w:rsidR="00A67BD7">
        <w:t>by</w:t>
      </w:r>
      <w:r w:rsidR="00B26560">
        <w:t xml:space="preserve"> kabbal</w:t>
      </w:r>
      <w:r w:rsidR="00A67BD7">
        <w:t>ah</w:t>
      </w:r>
      <w:r w:rsidR="00B26560">
        <w:t xml:space="preserve">, </w:t>
      </w:r>
      <w:r w:rsidR="00DF5385">
        <w:t>most</w:t>
      </w:r>
      <w:r w:rsidR="00B26560">
        <w:t xml:space="preserve"> of the leaders of ultra-Orthodox Judaism in Eastern Europe, who saw themselves as </w:t>
      </w:r>
      <w:r w:rsidR="00B26560">
        <w:lastRenderedPageBreak/>
        <w:t>continuing the paths</w:t>
      </w:r>
      <w:r w:rsidR="00DF5385">
        <w:t xml:space="preserve"> of the Gaon and the </w:t>
      </w:r>
      <w:proofErr w:type="spellStart"/>
      <w:r w:rsidR="00DF5385">
        <w:t>Besht</w:t>
      </w:r>
      <w:proofErr w:type="spellEnd"/>
      <w:r w:rsidR="00B26560">
        <w:t xml:space="preserve">, </w:t>
      </w:r>
      <w:r w:rsidR="00DF5385">
        <w:t>espoused</w:t>
      </w:r>
      <w:r w:rsidR="00B26560">
        <w:t xml:space="preserve"> an ideal of “simple faith,” which replaced the ideal of </w:t>
      </w:r>
      <w:r w:rsidR="009E4C5A">
        <w:t>intellectual,</w:t>
      </w:r>
      <w:r w:rsidR="00B26560">
        <w:t xml:space="preserve"> kabbalistic </w:t>
      </w:r>
      <w:r w:rsidR="009E4C5A">
        <w:t>faith</w:t>
      </w:r>
      <w:r w:rsidR="00B26560">
        <w:t>.</w:t>
      </w:r>
      <w:r w:rsidR="00B26560">
        <w:rPr>
          <w:rStyle w:val="FootnoteReference"/>
        </w:rPr>
        <w:footnoteReference w:id="5"/>
      </w:r>
    </w:p>
    <w:p w14:paraId="5B099B22" w14:textId="0AD8A2BD" w:rsidR="004272B0" w:rsidRPr="00DF16BE" w:rsidRDefault="00FE4488" w:rsidP="004272B0">
      <w:pPr>
        <w:spacing w:after="120"/>
      </w:pPr>
      <w:r w:rsidRPr="00DF16BE">
        <w:t xml:space="preserve">This is </w:t>
      </w:r>
      <w:r w:rsidR="004272B0" w:rsidRPr="00DF16BE">
        <w:t xml:space="preserve">one of the most important </w:t>
      </w:r>
      <w:r w:rsidRPr="00DF16BE">
        <w:t>transformations</w:t>
      </w:r>
      <w:r w:rsidR="004272B0" w:rsidRPr="00DF16BE">
        <w:t xml:space="preserve"> in Jewish spirituality </w:t>
      </w:r>
      <w:r w:rsidRPr="00DF16BE">
        <w:t>of the modern era</w:t>
      </w:r>
      <w:r w:rsidR="009961B2" w:rsidRPr="00DF16BE">
        <w:t>, and</w:t>
      </w:r>
      <w:r w:rsidR="005C7DF7">
        <w:t xml:space="preserve"> so</w:t>
      </w:r>
      <w:r w:rsidR="004272B0" w:rsidRPr="00DF16BE">
        <w:t xml:space="preserve"> it is important to clarify </w:t>
      </w:r>
      <w:r w:rsidRPr="00DF16BE">
        <w:t>the depth</w:t>
      </w:r>
      <w:r w:rsidR="004272B0" w:rsidRPr="00DF16BE">
        <w:t xml:space="preserve"> and reach</w:t>
      </w:r>
      <w:r w:rsidRPr="00DF16BE">
        <w:t xml:space="preserve"> of this transformation</w:t>
      </w:r>
      <w:r w:rsidR="004272B0" w:rsidRPr="00DF16BE">
        <w:t>.</w:t>
      </w:r>
      <w:r w:rsidR="00DA0921">
        <w:t xml:space="preserve"> </w:t>
      </w:r>
      <w:r w:rsidR="00DF16BE">
        <w:t>I</w:t>
      </w:r>
      <w:r w:rsidRPr="00DF16BE">
        <w:t xml:space="preserve">t is obviously </w:t>
      </w:r>
      <w:r w:rsidR="00DF16BE">
        <w:t>necessary</w:t>
      </w:r>
      <w:r w:rsidR="009961B2" w:rsidRPr="00DF16BE">
        <w:t xml:space="preserve"> first</w:t>
      </w:r>
      <w:r w:rsidR="004272B0" w:rsidRPr="00DF16BE">
        <w:t xml:space="preserve"> to analyze the </w:t>
      </w:r>
      <w:r w:rsidRPr="00DF16BE">
        <w:t>detailed</w:t>
      </w:r>
      <w:r w:rsidR="004272B0" w:rsidRPr="00DF16BE">
        <w:t xml:space="preserve"> positions of influential personalities in the Jewish spiritual world in th</w:t>
      </w:r>
      <w:r w:rsidR="00DF16BE">
        <w:t>is</w:t>
      </w:r>
      <w:r w:rsidR="004272B0" w:rsidRPr="00DF16BE">
        <w:t xml:space="preserve"> period</w:t>
      </w:r>
      <w:r w:rsidR="00DF16BE" w:rsidRPr="00DF16BE">
        <w:t xml:space="preserve"> </w:t>
      </w:r>
      <w:r w:rsidR="00DF16BE">
        <w:t>i</w:t>
      </w:r>
      <w:r w:rsidR="00DF16BE" w:rsidRPr="00DF16BE">
        <w:t>n order to reach general conclusions</w:t>
      </w:r>
      <w:r w:rsidR="004272B0" w:rsidRPr="00DF16BE">
        <w:t>.</w:t>
      </w:r>
      <w:r w:rsidR="00DA0921">
        <w:t xml:space="preserve"> </w:t>
      </w:r>
      <w:r w:rsidRPr="00DF16BE">
        <w:t>With this in mind, it is</w:t>
      </w:r>
      <w:r w:rsidR="004272B0" w:rsidRPr="00DF16BE">
        <w:t xml:space="preserve"> possible to understand the great interest that </w:t>
      </w:r>
      <w:r w:rsidR="009961B2" w:rsidRPr="00DF16BE">
        <w:t>has arisen in</w:t>
      </w:r>
      <w:r w:rsidR="004272B0" w:rsidRPr="00DF16BE">
        <w:t xml:space="preserve"> the question of the relationship between R. Israel Lipkin (</w:t>
      </w:r>
      <w:r w:rsidR="009961B2" w:rsidRPr="00DF16BE">
        <w:t xml:space="preserve">known as R. Israel </w:t>
      </w:r>
      <w:proofErr w:type="spellStart"/>
      <w:r w:rsidR="009961B2" w:rsidRPr="00DF16BE">
        <w:t>Salanter</w:t>
      </w:r>
      <w:proofErr w:type="spellEnd"/>
      <w:r w:rsidR="009961B2" w:rsidRPr="00DF16BE">
        <w:t xml:space="preserve">, </w:t>
      </w:r>
      <w:r w:rsidR="004272B0" w:rsidRPr="00DF16BE">
        <w:t xml:space="preserve">1810–1883), and </w:t>
      </w:r>
      <w:r w:rsidR="009961B2" w:rsidRPr="00DF16BE">
        <w:t>Jewish mysticism</w:t>
      </w:r>
      <w:r w:rsidR="004272B0" w:rsidRPr="00DF16BE">
        <w:t>.</w:t>
      </w:r>
      <w:r w:rsidR="00DA0921">
        <w:t xml:space="preserve"> </w:t>
      </w:r>
      <w:r w:rsidR="004272B0" w:rsidRPr="00DF16BE">
        <w:t xml:space="preserve">R. </w:t>
      </w:r>
      <w:proofErr w:type="spellStart"/>
      <w:r w:rsidR="004272B0" w:rsidRPr="00DF16BE">
        <w:t>Salanter</w:t>
      </w:r>
      <w:proofErr w:type="spellEnd"/>
      <w:r w:rsidR="004272B0" w:rsidRPr="00DF16BE">
        <w:t xml:space="preserve">, </w:t>
      </w:r>
      <w:r w:rsidR="009961B2" w:rsidRPr="00DF16BE">
        <w:t>who</w:t>
      </w:r>
      <w:r w:rsidR="004272B0" w:rsidRPr="00DF16BE">
        <w:t xml:space="preserve"> is </w:t>
      </w:r>
      <w:r w:rsidR="009961B2" w:rsidRPr="00DF16BE">
        <w:t xml:space="preserve">rightly </w:t>
      </w:r>
      <w:r w:rsidR="004272B0" w:rsidRPr="00DF16BE">
        <w:t xml:space="preserve">considered </w:t>
      </w:r>
      <w:r w:rsidR="00322C62" w:rsidRPr="00DF16BE">
        <w:t>the progenitor of the Musar movement, was one of the</w:t>
      </w:r>
      <w:r w:rsidR="005C7DF7">
        <w:t xml:space="preserve"> most</w:t>
      </w:r>
      <w:r w:rsidR="00322C62" w:rsidRPr="00DF16BE">
        <w:t xml:space="preserve"> influential individuals</w:t>
      </w:r>
      <w:r w:rsidR="005C7DF7">
        <w:t xml:space="preserve">, and </w:t>
      </w:r>
      <w:proofErr w:type="spellStart"/>
      <w:r w:rsidR="005C7DF7">
        <w:t xml:space="preserve">Musar </w:t>
      </w:r>
      <w:proofErr w:type="spellEnd"/>
      <w:r w:rsidR="005C7DF7">
        <w:t>was</w:t>
      </w:r>
      <w:r w:rsidR="00322C62" w:rsidRPr="00DF16BE">
        <w:t xml:space="preserve"> one of the main movements</w:t>
      </w:r>
      <w:r w:rsidR="005C7DF7">
        <w:t>,</w:t>
      </w:r>
      <w:r w:rsidR="00322C62" w:rsidRPr="00DF16BE">
        <w:t xml:space="preserve"> in </w:t>
      </w:r>
      <w:r w:rsidR="005C7DF7" w:rsidRPr="00DF16BE">
        <w:t>19</w:t>
      </w:r>
      <w:r w:rsidR="005C7DF7" w:rsidRPr="00DF16BE">
        <w:rPr>
          <w:vertAlign w:val="superscript"/>
        </w:rPr>
        <w:t>th</w:t>
      </w:r>
      <w:r w:rsidR="005C7DF7">
        <w:t xml:space="preserve">- </w:t>
      </w:r>
      <w:r w:rsidR="005C7DF7" w:rsidRPr="00DF16BE">
        <w:t>and 20</w:t>
      </w:r>
      <w:r w:rsidR="005C7DF7" w:rsidRPr="00DF16BE">
        <w:rPr>
          <w:vertAlign w:val="superscript"/>
        </w:rPr>
        <w:t>th</w:t>
      </w:r>
      <w:r w:rsidR="005C7DF7">
        <w:t>-</w:t>
      </w:r>
      <w:r w:rsidR="005C7DF7" w:rsidRPr="00DF16BE">
        <w:t>centur</w:t>
      </w:r>
      <w:r w:rsidR="005C7DF7">
        <w:t>y</w:t>
      </w:r>
      <w:r w:rsidR="005C7DF7" w:rsidRPr="00DF16BE">
        <w:t xml:space="preserve"> </w:t>
      </w:r>
      <w:r w:rsidR="00322C62" w:rsidRPr="00DF16BE">
        <w:t>Eastern European Jewry</w:t>
      </w:r>
      <w:r w:rsidR="005C7DF7">
        <w:t xml:space="preserve"> – a man and a movement in which developed </w:t>
      </w:r>
      <w:r w:rsidR="005C7DF7" w:rsidRPr="00DF16BE">
        <w:t>a fascinating new intellectual creativity</w:t>
      </w:r>
      <w:r w:rsidR="005C7DF7">
        <w:t>.</w:t>
      </w:r>
      <w:r w:rsidR="00DA0921">
        <w:t xml:space="preserve"> </w:t>
      </w:r>
      <w:r w:rsidR="005C7DF7">
        <w:t>A</w:t>
      </w:r>
      <w:r w:rsidR="00322C62" w:rsidRPr="00DF16BE">
        <w:t xml:space="preserve"> </w:t>
      </w:r>
      <w:r w:rsidR="005C7DF7" w:rsidRPr="00DF16BE">
        <w:t xml:space="preserve">clarification of his stance is therefore </w:t>
      </w:r>
      <w:r w:rsidR="005C7DF7">
        <w:t>critical in order to understand</w:t>
      </w:r>
      <w:r w:rsidR="00322C62" w:rsidRPr="00DF16BE">
        <w:t xml:space="preserve"> the nature of this process as a whole.</w:t>
      </w:r>
    </w:p>
    <w:p w14:paraId="1A914623" w14:textId="40BFBBC3" w:rsidR="00322C62" w:rsidRDefault="00322C62" w:rsidP="004272B0">
      <w:pPr>
        <w:spacing w:after="120"/>
      </w:pPr>
      <w:r>
        <w:t xml:space="preserve">The publications of Yehuda </w:t>
      </w:r>
      <w:proofErr w:type="spellStart"/>
      <w:r>
        <w:t>Liebes</w:t>
      </w:r>
      <w:proofErr w:type="spellEnd"/>
      <w:r>
        <w:t xml:space="preserve"> </w:t>
      </w:r>
      <w:r w:rsidR="00F9342A">
        <w:t>on</w:t>
      </w:r>
      <w:r>
        <w:t xml:space="preserve"> Lithuanian kabbalah after the Gaon,</w:t>
      </w:r>
      <w:r>
        <w:rPr>
          <w:rStyle w:val="FootnoteReference"/>
        </w:rPr>
        <w:footnoteReference w:id="6"/>
      </w:r>
      <w:r>
        <w:t xml:space="preserve"> </w:t>
      </w:r>
      <w:r w:rsidR="009A7660">
        <w:t>as well as</w:t>
      </w:r>
      <w:r>
        <w:t xml:space="preserve"> other </w:t>
      </w:r>
      <w:r w:rsidR="00F9342A">
        <w:t>studies</w:t>
      </w:r>
      <w:r>
        <w:t xml:space="preserve"> of the last few decades,</w:t>
      </w:r>
      <w:r>
        <w:rPr>
          <w:rStyle w:val="FootnoteReference"/>
        </w:rPr>
        <w:footnoteReference w:id="7"/>
      </w:r>
      <w:r>
        <w:t xml:space="preserve"> </w:t>
      </w:r>
      <w:r w:rsidR="009A7660">
        <w:t>have drawn</w:t>
      </w:r>
      <w:r>
        <w:t xml:space="preserve"> our attention to the rise of rich </w:t>
      </w:r>
      <w:r w:rsidR="0023240C">
        <w:t>mystical</w:t>
      </w:r>
      <w:r>
        <w:t xml:space="preserve"> thought </w:t>
      </w:r>
      <w:r w:rsidR="0023240C">
        <w:t>even</w:t>
      </w:r>
      <w:r>
        <w:t xml:space="preserve"> </w:t>
      </w:r>
      <w:r w:rsidR="0023240C">
        <w:t>in the stronghold</w:t>
      </w:r>
      <w:r>
        <w:t xml:space="preserve"> of th</w:t>
      </w:r>
      <w:r w:rsidR="0023240C">
        <w:t xml:space="preserve">ose </w:t>
      </w:r>
      <w:r>
        <w:t xml:space="preserve">scholars who </w:t>
      </w:r>
      <w:r w:rsidR="0023240C">
        <w:t>were immersed in</w:t>
      </w:r>
      <w:r>
        <w:t xml:space="preserve"> Talmud and codes.</w:t>
      </w:r>
      <w:r w:rsidR="00DA0921">
        <w:t xml:space="preserve"> </w:t>
      </w:r>
      <w:r>
        <w:t>Yet in contrast to the first and second generation</w:t>
      </w:r>
      <w:r w:rsidR="005C7DF7">
        <w:t>s</w:t>
      </w:r>
      <w:r>
        <w:t xml:space="preserve"> of </w:t>
      </w:r>
      <w:r w:rsidR="0023240C">
        <w:t>the Gaon’s</w:t>
      </w:r>
      <w:r>
        <w:t xml:space="preserve"> school, which </w:t>
      </w:r>
      <w:r w:rsidR="005C7DF7">
        <w:t>had</w:t>
      </w:r>
      <w:r w:rsidR="00014E82">
        <w:t xml:space="preserve"> </w:t>
      </w:r>
      <w:r>
        <w:t xml:space="preserve">a profound attachment to the world of the kabbalah, from the third generation on </w:t>
      </w:r>
      <w:r w:rsidR="00837937">
        <w:t>we</w:t>
      </w:r>
      <w:r>
        <w:t xml:space="preserve"> </w:t>
      </w:r>
      <w:r w:rsidR="00014E82">
        <w:t>find</w:t>
      </w:r>
      <w:r>
        <w:t xml:space="preserve"> a </w:t>
      </w:r>
      <w:r w:rsidR="00014E82">
        <w:t>definite drop</w:t>
      </w:r>
      <w:r>
        <w:t xml:space="preserve"> in </w:t>
      </w:r>
      <w:r w:rsidR="00014E82">
        <w:t>engagement</w:t>
      </w:r>
      <w:r>
        <w:t xml:space="preserve"> </w:t>
      </w:r>
      <w:r w:rsidR="00014E82">
        <w:t xml:space="preserve">and familiarity </w:t>
      </w:r>
      <w:r>
        <w:t xml:space="preserve">with </w:t>
      </w:r>
      <w:r w:rsidR="00014E82">
        <w:t>mysticism</w:t>
      </w:r>
      <w:r>
        <w:t>.</w:t>
      </w:r>
      <w:r w:rsidR="00DA0921">
        <w:t xml:space="preserve"> </w:t>
      </w:r>
      <w:r>
        <w:t xml:space="preserve">To be sure, there were important kabbalistic thinkers, like R. Yitzhak Isaac </w:t>
      </w:r>
      <w:commentRangeStart w:id="1"/>
      <w:r>
        <w:t>Haber</w:t>
      </w:r>
      <w:r>
        <w:rPr>
          <w:rStyle w:val="FootnoteReference"/>
        </w:rPr>
        <w:footnoteReference w:id="8"/>
      </w:r>
      <w:r>
        <w:t xml:space="preserve"> </w:t>
      </w:r>
      <w:commentRangeEnd w:id="1"/>
      <w:r w:rsidR="005C7DF7">
        <w:rPr>
          <w:rStyle w:val="CommentReference"/>
        </w:rPr>
        <w:commentReference w:id="1"/>
      </w:r>
      <w:r>
        <w:t xml:space="preserve">and </w:t>
      </w:r>
      <w:r>
        <w:lastRenderedPageBreak/>
        <w:t xml:space="preserve">R. </w:t>
      </w:r>
      <w:proofErr w:type="spellStart"/>
      <w:r>
        <w:t>Shlomo</w:t>
      </w:r>
      <w:proofErr w:type="spellEnd"/>
      <w:r>
        <w:t xml:space="preserve"> </w:t>
      </w:r>
      <w:proofErr w:type="spellStart"/>
      <w:r>
        <w:t>Elyash</w:t>
      </w:r>
      <w:r w:rsidR="00014E82">
        <w:t>i</w:t>
      </w:r>
      <w:r>
        <w:t>v</w:t>
      </w:r>
      <w:proofErr w:type="spellEnd"/>
      <w:r>
        <w:t>,</w:t>
      </w:r>
      <w:r>
        <w:rPr>
          <w:rStyle w:val="FootnoteReference"/>
        </w:rPr>
        <w:footnoteReference w:id="9"/>
      </w:r>
      <w:r>
        <w:t xml:space="preserve"> but they did not </w:t>
      </w:r>
      <w:r w:rsidR="004C6EF2">
        <w:t xml:space="preserve">go beyond individual </w:t>
      </w:r>
      <w:r>
        <w:t>isolated</w:t>
      </w:r>
      <w:r w:rsidR="004C6EF2">
        <w:t xml:space="preserve"> glimpses</w:t>
      </w:r>
      <w:r>
        <w:t xml:space="preserve"> of kabbalistic creativity, which had no widespread influence.</w:t>
      </w:r>
      <w:r w:rsidR="00DA0921">
        <w:t xml:space="preserve"> </w:t>
      </w:r>
      <w:r w:rsidR="00A61EAC">
        <w:t xml:space="preserve">In Haredi literature there </w:t>
      </w:r>
      <w:r w:rsidR="004C6EF2">
        <w:t>do appear from time to time</w:t>
      </w:r>
      <w:r w:rsidR="00A61EAC">
        <w:t xml:space="preserve"> </w:t>
      </w:r>
      <w:r w:rsidR="004C6EF2">
        <w:t>assertions</w:t>
      </w:r>
      <w:r w:rsidR="00A61EAC">
        <w:t xml:space="preserve"> that the Lithuanian Torah greats of the last generations secretly occupied themselves with kabbalah, but these </w:t>
      </w:r>
      <w:r w:rsidR="004C6EF2">
        <w:t>assertions</w:t>
      </w:r>
      <w:r w:rsidR="00A61EAC">
        <w:t xml:space="preserve"> are not really supported with convincing evidence, and it would seem possible to dismiss them as baseless.</w:t>
      </w:r>
      <w:r w:rsidR="00385B71">
        <w:rPr>
          <w:rStyle w:val="FootnoteReference"/>
        </w:rPr>
        <w:footnoteReference w:id="10"/>
      </w:r>
      <w:r w:rsidR="00DA0921">
        <w:t xml:space="preserve"> </w:t>
      </w:r>
      <w:r w:rsidR="004C6EF2">
        <w:t>With</w:t>
      </w:r>
      <w:r w:rsidR="00385B71">
        <w:t xml:space="preserve"> regard to R. </w:t>
      </w:r>
      <w:proofErr w:type="spellStart"/>
      <w:r w:rsidR="00385B71">
        <w:t>Salanter</w:t>
      </w:r>
      <w:proofErr w:type="spellEnd"/>
      <w:r w:rsidR="004C6EF2">
        <w:t>, however,</w:t>
      </w:r>
      <w:r w:rsidR="00385B71">
        <w:t xml:space="preserve"> the picture is somewhat more complicated.</w:t>
      </w:r>
      <w:r w:rsidR="00DA0921">
        <w:t xml:space="preserve"> </w:t>
      </w:r>
      <w:r w:rsidR="00385B71">
        <w:t xml:space="preserve">On the one hand, there are sources that clearly testify to his </w:t>
      </w:r>
      <w:r w:rsidR="00C21FF0">
        <w:t>disapproval of</w:t>
      </w:r>
      <w:r w:rsidR="00385B71">
        <w:t xml:space="preserve"> mystic</w:t>
      </w:r>
      <w:r w:rsidR="00C21FF0">
        <w:t>ism</w:t>
      </w:r>
      <w:r w:rsidR="00385B71">
        <w:t xml:space="preserve">, yet on the other hand there are threads that link him to it, and what’s more, in the third and fourth generations of the Musar movement there is a </w:t>
      </w:r>
      <w:r w:rsidR="00C21FF0">
        <w:t>definite willingness to accept</w:t>
      </w:r>
      <w:r w:rsidR="00385B71">
        <w:t xml:space="preserve"> </w:t>
      </w:r>
      <w:r w:rsidR="00C21FF0">
        <w:t xml:space="preserve">kabbalistic texts and terminology, </w:t>
      </w:r>
      <w:r w:rsidR="00385B71">
        <w:t xml:space="preserve">albeit selectively and </w:t>
      </w:r>
      <w:r w:rsidR="00D77CBF">
        <w:t>with significant adaptation</w:t>
      </w:r>
      <w:r w:rsidR="00385B71">
        <w:t>.</w:t>
      </w:r>
      <w:r w:rsidR="00385B71">
        <w:rPr>
          <w:rStyle w:val="FootnoteReference"/>
        </w:rPr>
        <w:footnoteReference w:id="11"/>
      </w:r>
    </w:p>
    <w:p w14:paraId="523C7DF0" w14:textId="77777777" w:rsidR="00BF6DC6" w:rsidRPr="006009A2" w:rsidRDefault="00BF6DC6" w:rsidP="004272B0">
      <w:pPr>
        <w:spacing w:after="120"/>
      </w:pPr>
    </w:p>
    <w:sectPr w:rsidR="00BF6DC6" w:rsidRPr="00600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Carasik, Michael" w:date="2022-01-23T16:35:00Z" w:initials="CM">
    <w:p w14:paraId="4E3CC534" w14:textId="77777777" w:rsidR="002F4889" w:rsidRDefault="002F4889">
      <w:pPr>
        <w:pStyle w:val="CommentText"/>
      </w:pPr>
      <w:r>
        <w:rPr>
          <w:rStyle w:val="CommentReference"/>
        </w:rPr>
        <w:annotationRef/>
      </w:r>
      <w:r>
        <w:t>This is the title of the Hebrew version on academia.edu.</w:t>
      </w:r>
    </w:p>
  </w:comment>
  <w:comment w:id="1" w:author="Carasik, Michael" w:date="2022-01-23T16:43:00Z" w:initials="CM">
    <w:p w14:paraId="540DE8FE" w14:textId="022EB0F9" w:rsidR="005C7DF7" w:rsidRDefault="005C7DF7">
      <w:pPr>
        <w:pStyle w:val="CommentText"/>
      </w:pPr>
      <w:r>
        <w:rPr>
          <w:rStyle w:val="CommentReference"/>
        </w:rPr>
        <w:annotationRef/>
      </w:r>
      <w:r>
        <w:t xml:space="preserve">I did not understand the use of the word </w:t>
      </w:r>
      <w:r>
        <w:rPr>
          <w:rFonts w:ascii="`˘q∫ò" w:hAnsi="`˘q∫ò" w:cs="Times New Roman"/>
          <w:sz w:val="19"/>
          <w:szCs w:val="19"/>
          <w:rtl/>
        </w:rPr>
        <w:t>אקטואליים</w:t>
      </w:r>
      <w:r>
        <w:rPr>
          <w:rFonts w:ascii="`˘q∫ò" w:hAnsi="`˘q∫ò" w:cs="`˘q∫ò"/>
          <w:sz w:val="19"/>
          <w:szCs w:val="19"/>
        </w:rPr>
        <w:t xml:space="preserve"> in this footnote.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E3CC534" w15:done="0"/>
  <w15:commentEx w15:paraId="540DE8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8023D" w16cex:dateUtc="2022-01-23T21:35:00Z"/>
  <w16cex:commentExtensible w16cex:durableId="2598043E" w16cex:dateUtc="2022-01-23T2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E3CC534" w16cid:durableId="2598023D"/>
  <w16cid:commentId w16cid:paraId="540DE8FE" w16cid:durableId="259804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D2ABB" w14:textId="77777777" w:rsidR="00C70CA0" w:rsidRDefault="00C70CA0" w:rsidP="003C34A0">
      <w:pPr>
        <w:spacing w:line="240" w:lineRule="auto"/>
      </w:pPr>
      <w:r>
        <w:separator/>
      </w:r>
    </w:p>
  </w:endnote>
  <w:endnote w:type="continuationSeparator" w:id="0">
    <w:p w14:paraId="17397687" w14:textId="77777777" w:rsidR="00C70CA0" w:rsidRDefault="00C70CA0" w:rsidP="003C34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`˘q∫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86459" w14:textId="77777777" w:rsidR="00C70CA0" w:rsidRDefault="00C70CA0" w:rsidP="003C34A0">
      <w:pPr>
        <w:spacing w:line="240" w:lineRule="auto"/>
      </w:pPr>
      <w:r>
        <w:separator/>
      </w:r>
    </w:p>
  </w:footnote>
  <w:footnote w:type="continuationSeparator" w:id="0">
    <w:p w14:paraId="27479FEE" w14:textId="77777777" w:rsidR="00C70CA0" w:rsidRDefault="00C70CA0" w:rsidP="003C34A0">
      <w:pPr>
        <w:spacing w:line="240" w:lineRule="auto"/>
      </w:pPr>
      <w:r>
        <w:continuationSeparator/>
      </w:r>
    </w:p>
  </w:footnote>
  <w:footnote w:id="1">
    <w:p w14:paraId="4FA1A42A" w14:textId="1E9DB0F1" w:rsidR="003C34A0" w:rsidRDefault="003C34A0">
      <w:pPr>
        <w:pStyle w:val="FootnoteText"/>
      </w:pPr>
      <w:r>
        <w:rPr>
          <w:rStyle w:val="FootnoteReference"/>
        </w:rPr>
        <w:footnoteRef/>
      </w:r>
      <w:r>
        <w:t xml:space="preserve"> My thanks to Prof. </w:t>
      </w:r>
      <w:r w:rsidR="00341389" w:rsidRPr="00341389">
        <w:t>Jonathan Garb</w:t>
      </w:r>
      <w:r w:rsidR="00341389">
        <w:t xml:space="preserve"> </w:t>
      </w:r>
      <w:r>
        <w:t>for many helpful comments.</w:t>
      </w:r>
      <w:r w:rsidR="00DA0921">
        <w:t xml:space="preserve"> </w:t>
      </w:r>
      <w:r>
        <w:t xml:space="preserve">His </w:t>
      </w:r>
      <w:r w:rsidR="00673A08">
        <w:t>views</w:t>
      </w:r>
      <w:r>
        <w:t xml:space="preserve"> on this, which </w:t>
      </w:r>
      <w:r w:rsidR="00673A08">
        <w:t xml:space="preserve">diverge </w:t>
      </w:r>
      <w:r>
        <w:t xml:space="preserve">in many respects from my own, assisted me in </w:t>
      </w:r>
      <w:r w:rsidR="00673A08">
        <w:t>formulating</w:t>
      </w:r>
      <w:r>
        <w:t xml:space="preserve"> and sharpening my argument.</w:t>
      </w:r>
    </w:p>
  </w:footnote>
  <w:footnote w:id="2">
    <w:p w14:paraId="0723BD5F" w14:textId="77777777" w:rsidR="001F06E4" w:rsidRDefault="001F06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6009A2" w:rsidRPr="006009A2">
        <w:t>Piekarz</w:t>
      </w:r>
      <w:proofErr w:type="spellEnd"/>
      <w:r>
        <w:t>, 5750, p. 50.</w:t>
      </w:r>
    </w:p>
  </w:footnote>
  <w:footnote w:id="3">
    <w:p w14:paraId="01249E63" w14:textId="77777777" w:rsidR="006009A2" w:rsidRPr="006009A2" w:rsidRDefault="006009A2">
      <w:pPr>
        <w:pStyle w:val="FootnoteText"/>
      </w:pPr>
      <w:r>
        <w:rPr>
          <w:rStyle w:val="FootnoteReference"/>
        </w:rPr>
        <w:footnoteRef/>
      </w:r>
      <w:r>
        <w:t xml:space="preserve"> R. Avraham Yeshayahu </w:t>
      </w:r>
      <w:proofErr w:type="spellStart"/>
      <w:r>
        <w:t>Karelitz</w:t>
      </w:r>
      <w:proofErr w:type="spellEnd"/>
      <w:r>
        <w:t xml:space="preserve">, </w:t>
      </w:r>
      <w:r>
        <w:rPr>
          <w:i/>
          <w:iCs/>
        </w:rPr>
        <w:t xml:space="preserve">The </w:t>
      </w:r>
      <w:proofErr w:type="spellStart"/>
      <w:r>
        <w:rPr>
          <w:i/>
          <w:iCs/>
        </w:rPr>
        <w:t>Hazon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Ish</w:t>
      </w:r>
      <w:proofErr w:type="spellEnd"/>
      <w:r>
        <w:rPr>
          <w:i/>
          <w:iCs/>
        </w:rPr>
        <w:t xml:space="preserve"> on Faith and Trust</w:t>
      </w:r>
      <w:r>
        <w:t xml:space="preserve"> (Tel Aviv: 5744) 3:18.</w:t>
      </w:r>
    </w:p>
  </w:footnote>
  <w:footnote w:id="4">
    <w:p w14:paraId="74DCEA45" w14:textId="77777777" w:rsidR="00B26560" w:rsidRDefault="00B2656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Scholem</w:t>
      </w:r>
      <w:proofErr w:type="spellEnd"/>
      <w:r>
        <w:t>, 1954, 325.</w:t>
      </w:r>
    </w:p>
  </w:footnote>
  <w:footnote w:id="5">
    <w:p w14:paraId="5A143CA5" w14:textId="6D02BF04" w:rsidR="00B26560" w:rsidRDefault="00B26560">
      <w:pPr>
        <w:pStyle w:val="FootnoteText"/>
      </w:pPr>
      <w:r>
        <w:rPr>
          <w:rStyle w:val="FootnoteReference"/>
        </w:rPr>
        <w:footnoteRef/>
      </w:r>
      <w:r>
        <w:t xml:space="preserve"> I have written more extensively on this process in my article “</w:t>
      </w:r>
      <w:r w:rsidR="005F0C22" w:rsidRPr="005F0C22">
        <w:t xml:space="preserve">The Comeback of </w:t>
      </w:r>
      <w:r w:rsidR="005C7DF7">
        <w:t>‘</w:t>
      </w:r>
      <w:r w:rsidR="005F0C22" w:rsidRPr="005F0C22">
        <w:t>Simple Faith</w:t>
      </w:r>
      <w:r w:rsidR="005C7DF7">
        <w:t>’</w:t>
      </w:r>
      <w:r w:rsidR="005F0C22" w:rsidRPr="005F0C22">
        <w:t>: The Ultra-Orthodox Concept of Faith and Its Development in the Nineteenth Century</w:t>
      </w:r>
      <w:r>
        <w:t>” (</w:t>
      </w:r>
      <w:r w:rsidR="00A76C52">
        <w:t>in</w:t>
      </w:r>
      <w:r w:rsidR="005F0C22">
        <w:t xml:space="preserve"> </w:t>
      </w:r>
      <w:r w:rsidR="005F0C22" w:rsidRPr="005F0C22">
        <w:rPr>
          <w:i/>
          <w:iCs/>
        </w:rPr>
        <w:t>Dynamics of Continuity and Change in Jewish Religious Life</w:t>
      </w:r>
      <w:r w:rsidR="005F0C22" w:rsidRPr="005F0C22">
        <w:t>, 2017</w:t>
      </w:r>
      <w:r w:rsidR="00A76C52">
        <w:t>).</w:t>
      </w:r>
    </w:p>
  </w:footnote>
  <w:footnote w:id="6">
    <w:p w14:paraId="55677AC1" w14:textId="77777777" w:rsidR="00322C62" w:rsidRDefault="00322C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9A7660">
        <w:t>Liebes</w:t>
      </w:r>
      <w:proofErr w:type="spellEnd"/>
      <w:r w:rsidR="009A7660">
        <w:t>, 5763a, 5763b, 5768.</w:t>
      </w:r>
    </w:p>
  </w:footnote>
  <w:footnote w:id="7">
    <w:p w14:paraId="7DDD1EC4" w14:textId="77777777" w:rsidR="00322C62" w:rsidRDefault="00322C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A7660">
        <w:t xml:space="preserve">I note here just a selection of them: </w:t>
      </w:r>
      <w:proofErr w:type="spellStart"/>
      <w:r w:rsidR="00C8562A">
        <w:t>Lamm</w:t>
      </w:r>
      <w:proofErr w:type="spellEnd"/>
      <w:r w:rsidR="00C8562A">
        <w:t xml:space="preserve">, 5732; Ross, 5742; </w:t>
      </w:r>
      <w:proofErr w:type="spellStart"/>
      <w:r w:rsidR="00C8562A">
        <w:t>Avivi</w:t>
      </w:r>
      <w:proofErr w:type="spellEnd"/>
      <w:r w:rsidR="00C8562A">
        <w:t xml:space="preserve">, 5753; Brill 1993, Wax, 5755; Nadler, 1997; Morgenstern, 5759; </w:t>
      </w:r>
      <w:proofErr w:type="spellStart"/>
      <w:r w:rsidR="00C8562A">
        <w:t>Idel</w:t>
      </w:r>
      <w:proofErr w:type="spellEnd"/>
      <w:r w:rsidR="00C8562A">
        <w:t xml:space="preserve">, 5763a; Eisenman, 5763; M. </w:t>
      </w:r>
      <w:proofErr w:type="spellStart"/>
      <w:r w:rsidR="009C615C" w:rsidRPr="00812FC7">
        <w:t>Pachter</w:t>
      </w:r>
      <w:proofErr w:type="spellEnd"/>
      <w:r w:rsidR="00C8562A">
        <w:t xml:space="preserve">, 5763; Rivlin, 5763; R. B. </w:t>
      </w:r>
      <w:proofErr w:type="spellStart"/>
      <w:r w:rsidR="00C8562A">
        <w:t>Sh</w:t>
      </w:r>
      <w:r w:rsidR="009C615C">
        <w:t>u</w:t>
      </w:r>
      <w:r w:rsidR="00C8562A">
        <w:t>chat</w:t>
      </w:r>
      <w:proofErr w:type="spellEnd"/>
      <w:r w:rsidR="00C8562A">
        <w:t>, 5764; ibid., 5768; and in many more of his articles.</w:t>
      </w:r>
    </w:p>
  </w:footnote>
  <w:footnote w:id="8">
    <w:p w14:paraId="26F2518C" w14:textId="6389F4C6" w:rsidR="00322C62" w:rsidRDefault="00322C62" w:rsidP="005C7D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13978">
        <w:t xml:space="preserve">Also known as R. Isaac </w:t>
      </w:r>
      <w:proofErr w:type="spellStart"/>
      <w:r w:rsidR="00113978">
        <w:t>Eisik</w:t>
      </w:r>
      <w:proofErr w:type="spellEnd"/>
      <w:r w:rsidR="00113978">
        <w:t xml:space="preserve"> </w:t>
      </w:r>
      <w:proofErr w:type="spellStart"/>
      <w:r w:rsidR="00113978">
        <w:t>Wildmann</w:t>
      </w:r>
      <w:proofErr w:type="spellEnd"/>
      <w:r w:rsidR="00113978">
        <w:t xml:space="preserve"> (</w:t>
      </w:r>
      <w:r w:rsidR="00113978" w:rsidRPr="00113978">
        <w:t>1789–1853</w:t>
      </w:r>
      <w:r w:rsidR="00113978">
        <w:t>)</w:t>
      </w:r>
      <w:r w:rsidR="00C8562A">
        <w:t>.</w:t>
      </w:r>
      <w:r w:rsidR="00DA0921">
        <w:t xml:space="preserve"> </w:t>
      </w:r>
      <w:r w:rsidR="00C8562A">
        <w:t>The work of this important thinker still await</w:t>
      </w:r>
      <w:r w:rsidR="00B67B16">
        <w:t xml:space="preserve">s </w:t>
      </w:r>
      <w:r w:rsidR="00C8562A">
        <w:t>serious study.</w:t>
      </w:r>
      <w:r w:rsidR="00DA0921">
        <w:t xml:space="preserve"> </w:t>
      </w:r>
      <w:r w:rsidR="00C8562A">
        <w:t xml:space="preserve">Beside </w:t>
      </w:r>
      <w:r w:rsidR="0015344A">
        <w:t>an impressive</w:t>
      </w:r>
      <w:r w:rsidR="00C8562A">
        <w:t xml:space="preserve"> systematization of the kabbalah and an attempt to resolve some of the differences between the mystical thought of the Gaon and the Ari, R. </w:t>
      </w:r>
      <w:proofErr w:type="spellStart"/>
      <w:r w:rsidR="00C8562A">
        <w:t>Wildmann</w:t>
      </w:r>
      <w:proofErr w:type="spellEnd"/>
      <w:r w:rsidR="00C8562A">
        <w:t xml:space="preserve"> </w:t>
      </w:r>
      <w:r w:rsidR="0015344A">
        <w:t>instructively</w:t>
      </w:r>
      <w:r w:rsidR="00C8562A">
        <w:t xml:space="preserve"> attempts to </w:t>
      </w:r>
      <w:r w:rsidR="0015344A">
        <w:t>offer an explanation of</w:t>
      </w:r>
      <w:r w:rsidR="00C8562A">
        <w:t xml:space="preserve"> historic </w:t>
      </w:r>
      <w:r w:rsidR="0015344A">
        <w:t>developments</w:t>
      </w:r>
      <w:r w:rsidR="00C8562A">
        <w:t xml:space="preserve"> in kabbal</w:t>
      </w:r>
      <w:r w:rsidR="0015344A">
        <w:t xml:space="preserve">istic terminology, some of them quite </w:t>
      </w:r>
      <w:r w:rsidR="005C7DF7" w:rsidRPr="005C7DF7">
        <w:rPr>
          <w:highlight w:val="yellow"/>
          <w:rtl/>
        </w:rPr>
        <w:t>אקטואליים</w:t>
      </w:r>
      <w:r w:rsidR="00C8562A">
        <w:t>.</w:t>
      </w:r>
    </w:p>
  </w:footnote>
  <w:footnote w:id="9">
    <w:p w14:paraId="392F2394" w14:textId="77777777" w:rsidR="00322C62" w:rsidRDefault="00322C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13978">
        <w:t xml:space="preserve">Or </w:t>
      </w:r>
      <w:proofErr w:type="spellStart"/>
      <w:r w:rsidR="00113978">
        <w:t>Eliashov</w:t>
      </w:r>
      <w:proofErr w:type="spellEnd"/>
      <w:r w:rsidR="00113978">
        <w:t xml:space="preserve"> (1841–1926); see </w:t>
      </w:r>
      <w:r w:rsidR="00C8562A">
        <w:t xml:space="preserve">M. </w:t>
      </w:r>
      <w:proofErr w:type="spellStart"/>
      <w:r w:rsidR="009C615C" w:rsidRPr="00812FC7">
        <w:t>Pachter</w:t>
      </w:r>
      <w:proofErr w:type="spellEnd"/>
      <w:r w:rsidR="009C615C">
        <w:t xml:space="preserve">, </w:t>
      </w:r>
      <w:r w:rsidR="00C8562A">
        <w:t>5763; Wax, 5755.</w:t>
      </w:r>
    </w:p>
  </w:footnote>
  <w:footnote w:id="10">
    <w:p w14:paraId="6074B5B0" w14:textId="6216C8A4" w:rsidR="00385B71" w:rsidRPr="002F5070" w:rsidRDefault="00385B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D4556">
        <w:t xml:space="preserve">The motivation to </w:t>
      </w:r>
      <w:r w:rsidR="0015344A">
        <w:t>attribute esoteric</w:t>
      </w:r>
      <w:r w:rsidR="009D4556">
        <w:t xml:space="preserve"> knowledge to people whose </w:t>
      </w:r>
      <w:r w:rsidR="0015344A">
        <w:t>main strength</w:t>
      </w:r>
      <w:r w:rsidR="009D4556">
        <w:t xml:space="preserve"> was in </w:t>
      </w:r>
      <w:r w:rsidR="0015344A">
        <w:t>the exoteric</w:t>
      </w:r>
      <w:r w:rsidR="009D4556">
        <w:t xml:space="preserve"> – like the </w:t>
      </w:r>
      <w:proofErr w:type="spellStart"/>
      <w:r w:rsidR="009D4556">
        <w:t>Hafetz</w:t>
      </w:r>
      <w:proofErr w:type="spellEnd"/>
      <w:r w:rsidR="009D4556">
        <w:t xml:space="preserve"> Haim and the </w:t>
      </w:r>
      <w:proofErr w:type="spellStart"/>
      <w:r w:rsidR="009D4556">
        <w:t>Hazon</w:t>
      </w:r>
      <w:proofErr w:type="spellEnd"/>
      <w:r w:rsidR="009D4556">
        <w:t xml:space="preserve"> </w:t>
      </w:r>
      <w:proofErr w:type="spellStart"/>
      <w:r w:rsidR="009D4556">
        <w:t>Ish</w:t>
      </w:r>
      <w:proofErr w:type="spellEnd"/>
      <w:r w:rsidR="009D4556">
        <w:t xml:space="preserve"> – generally </w:t>
      </w:r>
      <w:r w:rsidR="0015344A">
        <w:t xml:space="preserve">comes from a </w:t>
      </w:r>
      <w:r w:rsidR="009D4556">
        <w:t xml:space="preserve">desire to </w:t>
      </w:r>
      <w:r w:rsidR="0015344A">
        <w:t>glorify</w:t>
      </w:r>
      <w:r w:rsidR="009D4556">
        <w:t xml:space="preserve"> these individuals as </w:t>
      </w:r>
      <w:r w:rsidR="0015344A">
        <w:t>knowing all the secrets</w:t>
      </w:r>
      <w:r w:rsidR="009D4556">
        <w:t xml:space="preserve"> of Torah.</w:t>
      </w:r>
      <w:r w:rsidR="00DA0921">
        <w:t xml:space="preserve"> </w:t>
      </w:r>
      <w:r w:rsidR="0015344A">
        <w:t>Describing</w:t>
      </w:r>
      <w:r w:rsidR="009D4556">
        <w:t xml:space="preserve"> such </w:t>
      </w:r>
      <w:proofErr w:type="spellStart"/>
      <w:r w:rsidR="009D4556">
        <w:rPr>
          <w:i/>
          <w:iCs/>
        </w:rPr>
        <w:t>gedolim</w:t>
      </w:r>
      <w:proofErr w:type="spellEnd"/>
      <w:r w:rsidR="009D4556">
        <w:t xml:space="preserve"> as </w:t>
      </w:r>
      <w:r w:rsidR="0015344A">
        <w:t>“walking [Torah]</w:t>
      </w:r>
      <w:r w:rsidR="009D4556">
        <w:t xml:space="preserve"> </w:t>
      </w:r>
      <w:r w:rsidR="0015344A">
        <w:t>encyclopedias,”</w:t>
      </w:r>
      <w:r w:rsidR="009D4556">
        <w:t xml:space="preserve"> not </w:t>
      </w:r>
      <w:r w:rsidR="0015344A">
        <w:t>limited to just</w:t>
      </w:r>
      <w:r w:rsidR="009D4556">
        <w:t xml:space="preserve"> a single </w:t>
      </w:r>
      <w:r w:rsidR="0015344A">
        <w:t>“</w:t>
      </w:r>
      <w:r w:rsidR="009D4556">
        <w:t>trade</w:t>
      </w:r>
      <w:r w:rsidR="0015344A">
        <w:t>,”</w:t>
      </w:r>
      <w:r w:rsidR="009D4556">
        <w:t xml:space="preserve"> </w:t>
      </w:r>
      <w:r w:rsidR="0015344A">
        <w:t>demands</w:t>
      </w:r>
      <w:r w:rsidR="009D4556">
        <w:t xml:space="preserve"> – as we learn from the stories of the Hasidic </w:t>
      </w:r>
      <w:r w:rsidR="009D4556">
        <w:rPr>
          <w:i/>
          <w:iCs/>
        </w:rPr>
        <w:t>tzaddikim</w:t>
      </w:r>
      <w:r w:rsidR="009D4556">
        <w:t xml:space="preserve"> –</w:t>
      </w:r>
      <w:r w:rsidR="0015344A">
        <w:t xml:space="preserve"> </w:t>
      </w:r>
      <w:r w:rsidR="009D4556">
        <w:t xml:space="preserve">that these </w:t>
      </w:r>
      <w:proofErr w:type="spellStart"/>
      <w:r w:rsidR="009D4556">
        <w:rPr>
          <w:i/>
          <w:iCs/>
        </w:rPr>
        <w:t>gedolim</w:t>
      </w:r>
      <w:proofErr w:type="spellEnd"/>
      <w:r w:rsidR="0015344A">
        <w:t>,</w:t>
      </w:r>
      <w:r w:rsidR="009D4556">
        <w:t xml:space="preserve"> </w:t>
      </w:r>
      <w:r w:rsidR="0015344A">
        <w:t xml:space="preserve">on account of their humility, </w:t>
      </w:r>
      <w:r w:rsidR="009D4556">
        <w:t>did not</w:t>
      </w:r>
      <w:r w:rsidR="0015344A">
        <w:t xml:space="preserve"> put</w:t>
      </w:r>
      <w:r w:rsidR="009D4556">
        <w:t xml:space="preserve"> all their wisdom</w:t>
      </w:r>
      <w:r w:rsidR="0015344A" w:rsidRPr="0015344A">
        <w:t xml:space="preserve"> </w:t>
      </w:r>
      <w:r w:rsidR="0015344A">
        <w:t>on display</w:t>
      </w:r>
      <w:r w:rsidR="009D4556">
        <w:t>.</w:t>
      </w:r>
      <w:r w:rsidR="00DA0921">
        <w:t xml:space="preserve"> </w:t>
      </w:r>
      <w:r w:rsidR="009D4556">
        <w:t xml:space="preserve">Mysticism </w:t>
      </w:r>
      <w:r w:rsidR="008C63C0">
        <w:t>in particular lends itself</w:t>
      </w:r>
      <w:r w:rsidR="009D4556">
        <w:t xml:space="preserve"> to such an assertion, since </w:t>
      </w:r>
      <w:r w:rsidR="008C63C0">
        <w:t>the esoteric</w:t>
      </w:r>
      <w:r w:rsidR="009D4556">
        <w:t xml:space="preserve"> is </w:t>
      </w:r>
      <w:r w:rsidR="00B67B16">
        <w:t xml:space="preserve">to begin with </w:t>
      </w:r>
      <w:r w:rsidR="008C63C0">
        <w:t>understood as something not</w:t>
      </w:r>
      <w:r w:rsidR="009D4556">
        <w:t xml:space="preserve"> </w:t>
      </w:r>
      <w:r w:rsidR="008C63C0">
        <w:t>performed in public</w:t>
      </w:r>
      <w:r w:rsidR="009D4556">
        <w:t>.</w:t>
      </w:r>
      <w:r w:rsidR="00DA0921">
        <w:t xml:space="preserve"> </w:t>
      </w:r>
      <w:r w:rsidR="009D4556">
        <w:t xml:space="preserve">It is worth </w:t>
      </w:r>
      <w:r w:rsidR="008C63C0">
        <w:t>noting</w:t>
      </w:r>
      <w:r w:rsidR="009D4556">
        <w:t xml:space="preserve"> that </w:t>
      </w:r>
      <w:r w:rsidR="008C63C0">
        <w:t>such assertions need not necessarily be deliberately fictional;</w:t>
      </w:r>
      <w:r w:rsidR="009D4556">
        <w:t xml:space="preserve"> </w:t>
      </w:r>
      <w:r w:rsidR="008C63C0">
        <w:t>more likely, they are based on genuine belief</w:t>
      </w:r>
      <w:r w:rsidR="00366A2D">
        <w:t>.</w:t>
      </w:r>
      <w:r w:rsidR="00DA0921">
        <w:t xml:space="preserve"> </w:t>
      </w:r>
      <w:r w:rsidR="00366A2D">
        <w:t xml:space="preserve">There is, as it were, a presumption that these great Torah scholars were indeed so great that no aspect of Torah could be </w:t>
      </w:r>
      <w:r w:rsidR="001909CC">
        <w:t>beyond</w:t>
      </w:r>
      <w:r w:rsidR="00366A2D">
        <w:t xml:space="preserve"> them.</w:t>
      </w:r>
      <w:r w:rsidR="00DA0921">
        <w:t xml:space="preserve"> </w:t>
      </w:r>
      <w:r w:rsidR="00D520D3">
        <w:t>On the face of it one might consider</w:t>
      </w:r>
      <w:r w:rsidR="00366A2D">
        <w:t xml:space="preserve"> this literary phenomenon surprising, since the Haredi </w:t>
      </w:r>
      <w:proofErr w:type="spellStart"/>
      <w:r w:rsidR="00366A2D">
        <w:rPr>
          <w:i/>
          <w:iCs/>
        </w:rPr>
        <w:t>hashkafah</w:t>
      </w:r>
      <w:proofErr w:type="spellEnd"/>
      <w:r w:rsidR="00366A2D">
        <w:t xml:space="preserve"> </w:t>
      </w:r>
      <w:r w:rsidR="00D520D3">
        <w:t>displays some reluctance</w:t>
      </w:r>
      <w:r w:rsidR="00366A2D">
        <w:t xml:space="preserve"> to</w:t>
      </w:r>
      <w:r w:rsidR="00D520D3">
        <w:t xml:space="preserve"> </w:t>
      </w:r>
      <w:r w:rsidR="00366A2D">
        <w:t>engage</w:t>
      </w:r>
      <w:r w:rsidR="00D520D3">
        <w:t xml:space="preserve"> with</w:t>
      </w:r>
      <w:r w:rsidR="00366A2D">
        <w:t xml:space="preserve"> kabbalah; but in </w:t>
      </w:r>
      <w:r w:rsidR="002F5070">
        <w:t xml:space="preserve">actuality the attempt to </w:t>
      </w:r>
      <w:r w:rsidR="00D520D3">
        <w:t>associate</w:t>
      </w:r>
      <w:r w:rsidR="002F5070">
        <w:t xml:space="preserve"> great Torah scholars</w:t>
      </w:r>
      <w:r w:rsidR="00D520D3">
        <w:t xml:space="preserve"> with kabbalah</w:t>
      </w:r>
      <w:r w:rsidR="002F5070">
        <w:t xml:space="preserve"> serves (somewhat paradoxically) to distance them from it.</w:t>
      </w:r>
      <w:r w:rsidR="00DA0921">
        <w:t xml:space="preserve"> </w:t>
      </w:r>
      <w:r w:rsidR="00D520D3">
        <w:t>The undercurrent</w:t>
      </w:r>
      <w:r w:rsidR="002F5070">
        <w:rPr>
          <w:rFonts w:cs="Arial"/>
        </w:rPr>
        <w:t xml:space="preserve"> of </w:t>
      </w:r>
      <w:r w:rsidR="00D520D3">
        <w:rPr>
          <w:rFonts w:cs="Arial"/>
        </w:rPr>
        <w:t>such</w:t>
      </w:r>
      <w:r w:rsidR="002F5070">
        <w:rPr>
          <w:rFonts w:cs="Arial"/>
        </w:rPr>
        <w:t xml:space="preserve"> descriptions implies that the </w:t>
      </w:r>
      <w:proofErr w:type="spellStart"/>
      <w:r w:rsidR="002F5070">
        <w:rPr>
          <w:rFonts w:cs="Arial"/>
          <w:i/>
          <w:iCs/>
        </w:rPr>
        <w:t>gedolim</w:t>
      </w:r>
      <w:proofErr w:type="spellEnd"/>
      <w:r w:rsidR="002F5070">
        <w:rPr>
          <w:rFonts w:cs="Arial"/>
        </w:rPr>
        <w:t xml:space="preserve"> </w:t>
      </w:r>
      <w:r w:rsidR="00D520D3">
        <w:rPr>
          <w:rFonts w:cs="Arial"/>
        </w:rPr>
        <w:t>were perfectly capable of dealing with Torah on an esoteric level</w:t>
      </w:r>
      <w:r w:rsidR="002F5070">
        <w:rPr>
          <w:rFonts w:cs="Arial"/>
        </w:rPr>
        <w:t xml:space="preserve">, but they thereby in large measure </w:t>
      </w:r>
      <w:r w:rsidR="00D520D3">
        <w:rPr>
          <w:rFonts w:cs="Arial"/>
        </w:rPr>
        <w:t>release</w:t>
      </w:r>
      <w:r w:rsidR="002F5070">
        <w:rPr>
          <w:rFonts w:cs="Arial"/>
        </w:rPr>
        <w:t xml:space="preserve"> us ordinary people</w:t>
      </w:r>
      <w:r w:rsidR="00D520D3">
        <w:rPr>
          <w:rFonts w:cs="Arial"/>
        </w:rPr>
        <w:t>,</w:t>
      </w:r>
      <w:r w:rsidR="002F5070">
        <w:rPr>
          <w:rFonts w:cs="Arial"/>
        </w:rPr>
        <w:t xml:space="preserve"> who do not have th</w:t>
      </w:r>
      <w:r w:rsidR="00B67B16">
        <w:rPr>
          <w:rFonts w:cs="Arial"/>
        </w:rPr>
        <w:t>at</w:t>
      </w:r>
      <w:r w:rsidR="002F5070">
        <w:rPr>
          <w:rFonts w:cs="Arial"/>
        </w:rPr>
        <w:t xml:space="preserve"> capability, from the obligation to </w:t>
      </w:r>
      <w:r w:rsidR="00463059">
        <w:rPr>
          <w:rFonts w:cs="Arial"/>
        </w:rPr>
        <w:t>enter</w:t>
      </w:r>
      <w:r w:rsidR="002F5070">
        <w:rPr>
          <w:rFonts w:cs="Arial"/>
        </w:rPr>
        <w:t xml:space="preserve"> </w:t>
      </w:r>
      <w:r w:rsidR="00463059">
        <w:rPr>
          <w:rFonts w:cs="Arial"/>
        </w:rPr>
        <w:t>such</w:t>
      </w:r>
      <w:r w:rsidR="002F5070">
        <w:rPr>
          <w:rFonts w:cs="Arial"/>
        </w:rPr>
        <w:t xml:space="preserve"> dangerous </w:t>
      </w:r>
      <w:r w:rsidR="00463059">
        <w:rPr>
          <w:rFonts w:cs="Arial"/>
        </w:rPr>
        <w:t>territory</w:t>
      </w:r>
      <w:r w:rsidR="002F5070">
        <w:rPr>
          <w:rFonts w:cs="Arial"/>
        </w:rPr>
        <w:t>.</w:t>
      </w:r>
    </w:p>
  </w:footnote>
  <w:footnote w:id="11">
    <w:p w14:paraId="786B015E" w14:textId="68935BE3" w:rsidR="00385B71" w:rsidRDefault="00385B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95829">
        <w:t xml:space="preserve">M. </w:t>
      </w:r>
      <w:proofErr w:type="spellStart"/>
      <w:r w:rsidR="00812FC7" w:rsidRPr="00812FC7">
        <w:t>Pachter</w:t>
      </w:r>
      <w:proofErr w:type="spellEnd"/>
      <w:r w:rsidR="00195829">
        <w:t xml:space="preserve">, 234-243 (on R. Joseph </w:t>
      </w:r>
      <w:proofErr w:type="spellStart"/>
      <w:r w:rsidR="00195829">
        <w:t>Leib</w:t>
      </w:r>
      <w:proofErr w:type="spellEnd"/>
      <w:r w:rsidR="00195829">
        <w:t xml:space="preserve"> Bloch of </w:t>
      </w:r>
      <w:proofErr w:type="spellStart"/>
      <w:r w:rsidR="00195829">
        <w:t>Telz</w:t>
      </w:r>
      <w:proofErr w:type="spellEnd"/>
      <w:r w:rsidR="00195829">
        <w:t xml:space="preserve">), and 246 (on R. </w:t>
      </w:r>
      <w:r w:rsidR="0089228D">
        <w:t>Elijah Eliezer</w:t>
      </w:r>
      <w:r w:rsidR="00195829">
        <w:t xml:space="preserve"> </w:t>
      </w:r>
      <w:proofErr w:type="spellStart"/>
      <w:r w:rsidR="00195829">
        <w:t>Dessler</w:t>
      </w:r>
      <w:proofErr w:type="spellEnd"/>
      <w:r w:rsidR="00195829">
        <w:t xml:space="preserve">); </w:t>
      </w:r>
      <w:r w:rsidR="00260864">
        <w:t xml:space="preserve">Ross, 5744; Brown, 5769, 263-267 (a general look </w:t>
      </w:r>
      <w:r w:rsidR="00F6744D">
        <w:t xml:space="preserve">at the transformation that took place </w:t>
      </w:r>
      <w:r w:rsidR="00B67B16">
        <w:t>in the Musar movement</w:t>
      </w:r>
      <w:r w:rsidR="00B67B16">
        <w:t xml:space="preserve"> with regard to</w:t>
      </w:r>
      <w:r w:rsidR="00F6744D">
        <w:t xml:space="preserve"> this).</w:t>
      </w:r>
      <w:r w:rsidR="00DA0921">
        <w:t xml:space="preserve"> </w:t>
      </w:r>
      <w:r w:rsidR="00F6744D">
        <w:t xml:space="preserve">As I note there, even in the teaching of R. </w:t>
      </w:r>
      <w:proofErr w:type="spellStart"/>
      <w:r w:rsidR="00C41C85" w:rsidRPr="00C41C85">
        <w:t>Jeroham</w:t>
      </w:r>
      <w:proofErr w:type="spellEnd"/>
      <w:r w:rsidR="00C41C85" w:rsidRPr="00C41C85">
        <w:t xml:space="preserve"> </w:t>
      </w:r>
      <w:proofErr w:type="spellStart"/>
      <w:r w:rsidR="00C41C85" w:rsidRPr="00C41C85">
        <w:t>Lebovitch</w:t>
      </w:r>
      <w:proofErr w:type="spellEnd"/>
      <w:r w:rsidR="00C41C85" w:rsidRPr="00C41C85">
        <w:t xml:space="preserve"> </w:t>
      </w:r>
      <w:r w:rsidR="00F6744D">
        <w:t xml:space="preserve">of Mir, one of the great Musar thinkers of the third generation, </w:t>
      </w:r>
      <w:r w:rsidR="00C41C85">
        <w:t>one can</w:t>
      </w:r>
      <w:r w:rsidR="00F6744D">
        <w:t xml:space="preserve"> recognize trace influence</w:t>
      </w:r>
      <w:r w:rsidR="00C41C85">
        <w:t>s</w:t>
      </w:r>
      <w:r w:rsidR="00F6744D">
        <w:t xml:space="preserve"> of kabbalistic terminology and </w:t>
      </w:r>
      <w:r w:rsidR="00C41C85">
        <w:t>a mystical outlook</w:t>
      </w:r>
      <w:r w:rsidR="00F6744D">
        <w:t xml:space="preserve">, but </w:t>
      </w:r>
      <w:r w:rsidR="00591AE8">
        <w:t xml:space="preserve">these are </w:t>
      </w:r>
      <w:r w:rsidR="00F6744D">
        <w:t xml:space="preserve">mainly </w:t>
      </w:r>
      <w:r w:rsidR="00591AE8">
        <w:t>quite</w:t>
      </w:r>
      <w:r w:rsidR="00F6744D">
        <w:t xml:space="preserve"> general</w:t>
      </w:r>
      <w:r w:rsidR="00591AE8">
        <w:t xml:space="preserve"> or even extraneous</w:t>
      </w:r>
      <w:r w:rsidR="00F6744D">
        <w:t>.</w:t>
      </w:r>
      <w:r w:rsidR="00DA0921">
        <w:t xml:space="preserve"> </w:t>
      </w:r>
      <w:r w:rsidR="00F6744D">
        <w:t xml:space="preserve">This subject still </w:t>
      </w:r>
      <w:r w:rsidR="00A118F9">
        <w:t>needs</w:t>
      </w:r>
      <w:r w:rsidR="00F6744D">
        <w:t xml:space="preserve"> </w:t>
      </w:r>
      <w:r w:rsidR="00A118F9">
        <w:t>comprehensive study</w:t>
      </w:r>
      <w:r w:rsidR="00F6744D">
        <w:t>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rasik, Michael">
    <w15:presenceInfo w15:providerId="AD" w15:userId="S::mcarasik@upenn.edu::9990313c-bf8d-4469-91d3-37ce94004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7C"/>
    <w:rsid w:val="00014E82"/>
    <w:rsid w:val="000C39AD"/>
    <w:rsid w:val="00113978"/>
    <w:rsid w:val="0015344A"/>
    <w:rsid w:val="001909CC"/>
    <w:rsid w:val="00195829"/>
    <w:rsid w:val="001C637C"/>
    <w:rsid w:val="001F06E4"/>
    <w:rsid w:val="0023240C"/>
    <w:rsid w:val="00260864"/>
    <w:rsid w:val="002A3F96"/>
    <w:rsid w:val="002F4889"/>
    <w:rsid w:val="002F5070"/>
    <w:rsid w:val="00322C62"/>
    <w:rsid w:val="00341389"/>
    <w:rsid w:val="00366A2D"/>
    <w:rsid w:val="00385B71"/>
    <w:rsid w:val="003C34A0"/>
    <w:rsid w:val="004272B0"/>
    <w:rsid w:val="00463059"/>
    <w:rsid w:val="004C6EF2"/>
    <w:rsid w:val="004D7AD5"/>
    <w:rsid w:val="00591AE8"/>
    <w:rsid w:val="005C7DF7"/>
    <w:rsid w:val="005F0C22"/>
    <w:rsid w:val="006009A2"/>
    <w:rsid w:val="00612493"/>
    <w:rsid w:val="00673A08"/>
    <w:rsid w:val="007F7DE3"/>
    <w:rsid w:val="00812FC7"/>
    <w:rsid w:val="00837937"/>
    <w:rsid w:val="0089228D"/>
    <w:rsid w:val="008C63C0"/>
    <w:rsid w:val="009131D6"/>
    <w:rsid w:val="009961B2"/>
    <w:rsid w:val="009A7660"/>
    <w:rsid w:val="009C615C"/>
    <w:rsid w:val="009D4556"/>
    <w:rsid w:val="009E4C5A"/>
    <w:rsid w:val="00A10F52"/>
    <w:rsid w:val="00A118F9"/>
    <w:rsid w:val="00A61EAC"/>
    <w:rsid w:val="00A67BD7"/>
    <w:rsid w:val="00A76C52"/>
    <w:rsid w:val="00AD330D"/>
    <w:rsid w:val="00B26560"/>
    <w:rsid w:val="00B43EC8"/>
    <w:rsid w:val="00B62D80"/>
    <w:rsid w:val="00B67B16"/>
    <w:rsid w:val="00BF6DC6"/>
    <w:rsid w:val="00C21FF0"/>
    <w:rsid w:val="00C41C85"/>
    <w:rsid w:val="00C70CA0"/>
    <w:rsid w:val="00C8562A"/>
    <w:rsid w:val="00D520D3"/>
    <w:rsid w:val="00D633E2"/>
    <w:rsid w:val="00D77CBF"/>
    <w:rsid w:val="00DA0921"/>
    <w:rsid w:val="00DF16BE"/>
    <w:rsid w:val="00DF5385"/>
    <w:rsid w:val="00EA7D6A"/>
    <w:rsid w:val="00F6744D"/>
    <w:rsid w:val="00F9342A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75EB12"/>
  <w15:chartTrackingRefBased/>
  <w15:docId w15:val="{9AA28B5C-EAB6-8C42-A835-55327F70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LE Normal"/>
    <w:qFormat/>
    <w:rsid w:val="001C637C"/>
    <w:pPr>
      <w:spacing w:line="360" w:lineRule="auto"/>
      <w:jc w:val="both"/>
    </w:pPr>
    <w:rPr>
      <w:rFonts w:asciiTheme="majorBidi" w:hAnsi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A7D6A"/>
    <w:pPr>
      <w:ind w:firstLine="360"/>
    </w:pPr>
    <w:rPr>
      <w:color w:val="0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7D6A"/>
    <w:rPr>
      <w:color w:val="000000"/>
    </w:rPr>
  </w:style>
  <w:style w:type="paragraph" w:customStyle="1" w:styleId="Quotation">
    <w:name w:val="Quotation"/>
    <w:basedOn w:val="Normal"/>
    <w:autoRedefine/>
    <w:rsid w:val="00B62D80"/>
    <w:pPr>
      <w:ind w:left="720" w:right="360"/>
    </w:pPr>
    <w:rPr>
      <w:rFonts w:eastAsiaTheme="minorEastAsia" w:cs="Geneva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3C34A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F48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8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889"/>
    <w:rPr>
      <w:rFonts w:asciiTheme="majorBidi" w:hAnsiTheme="maj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889"/>
    <w:rPr>
      <w:rFonts w:asciiTheme="majorBidi" w:hAnsiTheme="maj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88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8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Carasik, Michael</dc:creator>
  <cp:keywords/>
  <dc:description/>
  <cp:lastModifiedBy>Carasik, Michael</cp:lastModifiedBy>
  <cp:revision>51</cp:revision>
  <cp:lastPrinted>2022-01-21T17:33:00Z</cp:lastPrinted>
  <dcterms:created xsi:type="dcterms:W3CDTF">2022-01-20T16:47:00Z</dcterms:created>
  <dcterms:modified xsi:type="dcterms:W3CDTF">2022-01-23T21:46:00Z</dcterms:modified>
</cp:coreProperties>
</file>