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08CA" w14:textId="1E0771DE" w:rsidR="004B1B10" w:rsidRPr="003A5878" w:rsidRDefault="002C0B3C" w:rsidP="009825B0">
      <w:pPr>
        <w:pStyle w:val="Title"/>
        <w:bidi/>
        <w:spacing w:line="360" w:lineRule="auto"/>
        <w:rPr>
          <w:rFonts w:cstheme="majorHAnsi"/>
          <w:rtl/>
        </w:rPr>
      </w:pPr>
      <w:r>
        <w:rPr>
          <w:rFonts w:cstheme="majorHAnsi" w:hint="cs"/>
          <w:rtl/>
        </w:rPr>
        <w:t>שם המחקר</w:t>
      </w:r>
    </w:p>
    <w:p w14:paraId="4E7E311C" w14:textId="4F9D3EC7" w:rsidR="003A5878" w:rsidRPr="002C0B3C" w:rsidRDefault="004B1B10" w:rsidP="009825B0">
      <w:pPr>
        <w:bidi/>
        <w:spacing w:line="360" w:lineRule="auto"/>
        <w:rPr>
          <w:rFonts w:asciiTheme="majorHAnsi" w:hAnsiTheme="majorHAnsi" w:cstheme="majorHAnsi"/>
          <w:sz w:val="28"/>
          <w:szCs w:val="28"/>
          <w:rtl/>
        </w:rPr>
      </w:pPr>
      <w:r w:rsidRPr="002C0B3C">
        <w:rPr>
          <w:rFonts w:asciiTheme="majorHAnsi" w:hAnsiTheme="majorHAnsi" w:cstheme="majorHAnsi"/>
          <w:sz w:val="28"/>
          <w:szCs w:val="28"/>
          <w:rtl/>
        </w:rPr>
        <w:t xml:space="preserve">השוואת רגישות </w:t>
      </w:r>
      <w:r w:rsidR="003A5878" w:rsidRPr="002C0B3C">
        <w:rPr>
          <w:rFonts w:asciiTheme="majorHAnsi" w:hAnsiTheme="majorHAnsi" w:cstheme="majorHAnsi"/>
          <w:sz w:val="28"/>
          <w:szCs w:val="28"/>
          <w:rtl/>
        </w:rPr>
        <w:t>פרומסטיגוטים של לישמניה טרופיקה לפרומומיצין וסודיום סטיבוגלוקונט בתנאי מעבדה</w:t>
      </w:r>
    </w:p>
    <w:p w14:paraId="5E7E4204" w14:textId="77777777" w:rsidR="003A5878" w:rsidRDefault="003A5878" w:rsidP="009825B0">
      <w:pPr>
        <w:spacing w:line="360" w:lineRule="auto"/>
        <w:rPr>
          <w:rFonts w:asciiTheme="majorHAnsi" w:hAnsiTheme="majorHAnsi" w:cstheme="majorHAnsi"/>
          <w:rtl/>
        </w:rPr>
      </w:pPr>
      <w:r>
        <w:rPr>
          <w:rFonts w:asciiTheme="majorHAnsi" w:hAnsiTheme="majorHAnsi" w:cstheme="majorHAnsi"/>
          <w:rtl/>
        </w:rPr>
        <w:br w:type="page"/>
      </w:r>
      <w:bookmarkStart w:id="0" w:name="_GoBack"/>
      <w:bookmarkEnd w:id="0"/>
    </w:p>
    <w:p w14:paraId="2CF79BCC" w14:textId="6FCFDFE1" w:rsidR="00735B15" w:rsidRPr="00864EB5" w:rsidRDefault="003A5878" w:rsidP="009825B0">
      <w:pPr>
        <w:bidi/>
        <w:spacing w:line="360" w:lineRule="auto"/>
        <w:rPr>
          <w:rFonts w:asciiTheme="majorHAnsi" w:hAnsiTheme="majorHAnsi" w:cstheme="majorHAnsi"/>
          <w:b/>
          <w:bCs/>
        </w:rPr>
      </w:pPr>
      <w:r w:rsidRPr="00864EB5">
        <w:rPr>
          <w:rFonts w:asciiTheme="majorHAnsi" w:hAnsiTheme="majorHAnsi" w:cstheme="majorHAnsi"/>
          <w:b/>
          <w:bCs/>
          <w:rtl/>
        </w:rPr>
        <w:lastRenderedPageBreak/>
        <w:t>תקציר</w:t>
      </w:r>
    </w:p>
    <w:p w14:paraId="44C73B7F" w14:textId="266B6AC1" w:rsidR="00864EB5" w:rsidRDefault="003A5878" w:rsidP="009825B0">
      <w:pPr>
        <w:bidi/>
        <w:spacing w:line="360" w:lineRule="auto"/>
        <w:rPr>
          <w:rFonts w:asciiTheme="majorHAnsi" w:hAnsiTheme="majorHAnsi" w:cstheme="majorHAnsi"/>
          <w:rtl/>
        </w:rPr>
      </w:pPr>
      <w:r w:rsidRPr="00864EB5">
        <w:rPr>
          <w:rFonts w:asciiTheme="majorHAnsi" w:hAnsiTheme="majorHAnsi" w:cstheme="majorHAnsi"/>
          <w:b/>
          <w:bCs/>
          <w:rtl/>
        </w:rPr>
        <w:t>רקע:</w:t>
      </w:r>
      <w:r w:rsidRPr="003A5878">
        <w:rPr>
          <w:rFonts w:asciiTheme="majorHAnsi" w:hAnsiTheme="majorHAnsi" w:cstheme="majorHAnsi"/>
          <w:rtl/>
        </w:rPr>
        <w:t xml:space="preserve"> </w:t>
      </w:r>
      <w:r>
        <w:rPr>
          <w:rFonts w:asciiTheme="majorHAnsi" w:hAnsiTheme="majorHAnsi" w:cstheme="majorHAnsi" w:hint="cs"/>
          <w:rtl/>
        </w:rPr>
        <w:t>לישמניאזיס של העור (</w:t>
      </w:r>
      <w:r>
        <w:rPr>
          <w:rFonts w:asciiTheme="majorHAnsi" w:hAnsiTheme="majorHAnsi" w:cstheme="majorHAnsi"/>
        </w:rPr>
        <w:t>Cutaneous leishmaniasis – CL</w:t>
      </w:r>
      <w:r w:rsidR="0069424C">
        <w:rPr>
          <w:rFonts w:asciiTheme="majorHAnsi" w:hAnsiTheme="majorHAnsi" w:cstheme="majorHAnsi" w:hint="cs"/>
          <w:rtl/>
        </w:rPr>
        <w:t>, "שושנת יריחו"</w:t>
      </w:r>
      <w:r>
        <w:rPr>
          <w:rFonts w:asciiTheme="majorHAnsi" w:hAnsiTheme="majorHAnsi" w:cstheme="majorHAnsi" w:hint="cs"/>
          <w:rtl/>
        </w:rPr>
        <w:t xml:space="preserve">) הוא מחלה זיהומית המועברת על-ידי זבובי חול נגועים ממין נקבה, ונגרמת על-ידי כמה זנים של טפילים חד-תאיים המשגשגים בתוך תאי המאכסן. היארעות לישמניאזיס של העור בעולם נעה בין 0.69 ל-1.21 מיליון מקרים בשנה, ומרבית המקרים המדווחים מגיעים מאמריקה הלטינית, אגן הים התיכון, המזרח התיכון ומרכז אסיה. בישראל, לישמניאזיס של העור נגרמת בעיקר על-ידי </w:t>
      </w:r>
      <w:r w:rsidRPr="00864EB5">
        <w:rPr>
          <w:rFonts w:asciiTheme="majorHAnsi" w:hAnsiTheme="majorHAnsi" w:cstheme="majorHAnsi"/>
          <w:i/>
          <w:iCs/>
        </w:rPr>
        <w:t>L. major</w:t>
      </w:r>
      <w:r>
        <w:rPr>
          <w:rFonts w:asciiTheme="majorHAnsi" w:hAnsiTheme="majorHAnsi" w:cstheme="majorHAnsi" w:hint="cs"/>
          <w:rtl/>
        </w:rPr>
        <w:t xml:space="preserve">, והיארעותה יציבה לאורך השנים, עם 0.2-7 מקרים לכל 100,000 איש. יחד עם זאת, בשנים האחרונות אירעו התפרצויות משמעותיות של </w:t>
      </w:r>
      <w:r>
        <w:rPr>
          <w:rFonts w:asciiTheme="majorHAnsi" w:hAnsiTheme="majorHAnsi" w:cstheme="majorHAnsi" w:hint="cs"/>
        </w:rPr>
        <w:t>CL</w:t>
      </w:r>
      <w:r>
        <w:rPr>
          <w:rFonts w:asciiTheme="majorHAnsi" w:hAnsiTheme="majorHAnsi" w:cstheme="majorHAnsi" w:hint="cs"/>
          <w:rtl/>
        </w:rPr>
        <w:t xml:space="preserve"> עם מאות מקרים חדשים שדווחו בפרברי ירושלים, טבריה ובשטחי הגדה המערבית. הגורם הבלעדי למקרים חדשים אלה היה הטפיל </w:t>
      </w:r>
      <w:r>
        <w:rPr>
          <w:rFonts w:asciiTheme="majorHAnsi" w:hAnsiTheme="majorHAnsi" w:cstheme="majorHAnsi"/>
        </w:rPr>
        <w:t>L. tropica</w:t>
      </w:r>
      <w:r>
        <w:rPr>
          <w:rFonts w:asciiTheme="majorHAnsi" w:hAnsiTheme="majorHAnsi" w:cstheme="majorHAnsi" w:hint="cs"/>
          <w:rtl/>
        </w:rPr>
        <w:t xml:space="preserve">, והמחלה התאפיינה במהלך קליני אגרסיבי </w:t>
      </w:r>
      <w:r w:rsidR="00864EB5">
        <w:rPr>
          <w:rFonts w:asciiTheme="majorHAnsi" w:hAnsiTheme="majorHAnsi" w:cstheme="majorHAnsi" w:hint="cs"/>
          <w:rtl/>
        </w:rPr>
        <w:t>ועיקש יותר לנוכח הטיפול שניתן.</w:t>
      </w:r>
    </w:p>
    <w:p w14:paraId="5426FE59" w14:textId="77777777" w:rsidR="00864EB5" w:rsidRDefault="00864EB5" w:rsidP="009825B0">
      <w:pPr>
        <w:bidi/>
        <w:spacing w:line="360" w:lineRule="auto"/>
        <w:rPr>
          <w:rFonts w:asciiTheme="majorHAnsi" w:hAnsiTheme="majorHAnsi" w:cstheme="majorHAnsi"/>
          <w:rtl/>
        </w:rPr>
      </w:pPr>
      <w:r w:rsidRPr="00864EB5">
        <w:rPr>
          <w:rFonts w:asciiTheme="majorHAnsi" w:hAnsiTheme="majorHAnsi" w:cstheme="majorHAnsi" w:hint="cs"/>
          <w:b/>
          <w:bCs/>
          <w:rtl/>
        </w:rPr>
        <w:t>מטרה:</w:t>
      </w:r>
      <w:r>
        <w:rPr>
          <w:rFonts w:asciiTheme="majorHAnsi" w:hAnsiTheme="majorHAnsi" w:cstheme="majorHAnsi" w:hint="cs"/>
          <w:rtl/>
        </w:rPr>
        <w:t xml:space="preserve"> להשוות את רגישות הפרומסטיגוטים של </w:t>
      </w:r>
      <w:r w:rsidRPr="00864EB5">
        <w:rPr>
          <w:rFonts w:asciiTheme="majorHAnsi" w:hAnsiTheme="majorHAnsi" w:cstheme="majorHAnsi"/>
          <w:i/>
          <w:iCs/>
        </w:rPr>
        <w:t>L. tropica</w:t>
      </w:r>
      <w:r>
        <w:rPr>
          <w:rFonts w:asciiTheme="majorHAnsi" w:hAnsiTheme="majorHAnsi" w:cstheme="majorHAnsi" w:hint="cs"/>
          <w:rtl/>
        </w:rPr>
        <w:t xml:space="preserve"> לפרומומיצין וסודיום סטיבוגלוקונט.</w:t>
      </w:r>
    </w:p>
    <w:p w14:paraId="14CCBB65" w14:textId="0A3BE5E5" w:rsidR="003A5878" w:rsidRDefault="00864EB5" w:rsidP="009825B0">
      <w:pPr>
        <w:bidi/>
        <w:spacing w:line="360" w:lineRule="auto"/>
        <w:rPr>
          <w:rFonts w:asciiTheme="majorHAnsi" w:hAnsiTheme="majorHAnsi" w:cstheme="majorHAnsi"/>
          <w:rtl/>
        </w:rPr>
      </w:pPr>
      <w:r w:rsidRPr="00864EB5">
        <w:rPr>
          <w:rFonts w:asciiTheme="majorHAnsi" w:hAnsiTheme="majorHAnsi" w:cstheme="majorHAnsi" w:hint="cs"/>
          <w:b/>
          <w:bCs/>
          <w:rtl/>
        </w:rPr>
        <w:t>שיטות:</w:t>
      </w:r>
      <w:r>
        <w:rPr>
          <w:rFonts w:asciiTheme="majorHAnsi" w:hAnsiTheme="majorHAnsi" w:cstheme="majorHAnsi" w:hint="cs"/>
          <w:rtl/>
        </w:rPr>
        <w:t xml:space="preserve"> 18 דגימות קפואות של טפילי </w:t>
      </w:r>
      <w:r w:rsidRPr="00864EB5">
        <w:rPr>
          <w:rFonts w:asciiTheme="majorHAnsi" w:hAnsiTheme="majorHAnsi" w:cstheme="majorHAnsi"/>
          <w:i/>
          <w:iCs/>
        </w:rPr>
        <w:t>L. tropica</w:t>
      </w:r>
      <w:r w:rsidRPr="00864EB5">
        <w:rPr>
          <w:rFonts w:asciiTheme="majorHAnsi" w:hAnsiTheme="majorHAnsi" w:cstheme="majorHAnsi" w:hint="cs"/>
          <w:i/>
          <w:iCs/>
          <w:rtl/>
        </w:rPr>
        <w:t xml:space="preserve"> </w:t>
      </w:r>
      <w:r>
        <w:rPr>
          <w:rFonts w:asciiTheme="majorHAnsi" w:hAnsiTheme="majorHAnsi" w:cstheme="majorHAnsi" w:hint="cs"/>
          <w:rtl/>
        </w:rPr>
        <w:t>הופשרו ותורבתו בצורה הפרומסטיגוטית שלהם. בחינת הרגישות לסודיום סטיבוגלוקונט ופרומומיצין התבצעה על-ידי ניתוח הפעילות המטבולית של הטפיל, כסמן לחיוניותו. פעילות זו נמדדה באמצעות כרומטוגרפיה.</w:t>
      </w:r>
    </w:p>
    <w:p w14:paraId="0F117F3A" w14:textId="393D2A31" w:rsidR="00864EB5" w:rsidRDefault="00864EB5" w:rsidP="009825B0">
      <w:pPr>
        <w:bidi/>
        <w:spacing w:line="360" w:lineRule="auto"/>
        <w:rPr>
          <w:rFonts w:asciiTheme="majorHAnsi" w:hAnsiTheme="majorHAnsi" w:cstheme="majorHAnsi"/>
          <w:rtl/>
        </w:rPr>
      </w:pPr>
      <w:r w:rsidRPr="00864EB5">
        <w:rPr>
          <w:rFonts w:asciiTheme="majorHAnsi" w:hAnsiTheme="majorHAnsi" w:cstheme="majorHAnsi" w:hint="cs"/>
          <w:b/>
          <w:bCs/>
          <w:rtl/>
        </w:rPr>
        <w:t>תוצאות:</w:t>
      </w:r>
      <w:r>
        <w:rPr>
          <w:rFonts w:asciiTheme="majorHAnsi" w:hAnsiTheme="majorHAnsi" w:cstheme="majorHAnsi" w:hint="cs"/>
          <w:rtl/>
        </w:rPr>
        <w:t xml:space="preserve"> ניתן היה לתרבת רק 11 מתוך 18 הדגימות שהופשרו לריכוזים המתאימים. עבור 8 מתוך 11 זנים, הרגישות לפרמומיצין הייתה גבוהה מן הרגישות לסודיום סטיבוגלוקונט.</w:t>
      </w:r>
    </w:p>
    <w:p w14:paraId="0BF4A901" w14:textId="31F50D26" w:rsidR="00864EB5" w:rsidRDefault="00864EB5" w:rsidP="009825B0">
      <w:pPr>
        <w:bidi/>
        <w:spacing w:line="360" w:lineRule="auto"/>
        <w:rPr>
          <w:rFonts w:asciiTheme="majorHAnsi" w:hAnsiTheme="majorHAnsi" w:cstheme="majorHAnsi"/>
          <w:rtl/>
        </w:rPr>
      </w:pPr>
      <w:r w:rsidRPr="00864EB5">
        <w:rPr>
          <w:rFonts w:asciiTheme="majorHAnsi" w:hAnsiTheme="majorHAnsi" w:cstheme="majorHAnsi" w:hint="cs"/>
          <w:b/>
          <w:bCs/>
          <w:rtl/>
        </w:rPr>
        <w:t>דיון:</w:t>
      </w:r>
      <w:r>
        <w:rPr>
          <w:rFonts w:asciiTheme="majorHAnsi" w:hAnsiTheme="majorHAnsi" w:cstheme="majorHAnsi" w:hint="cs"/>
          <w:rtl/>
        </w:rPr>
        <w:t xml:space="preserve"> בתנאים קליניים רגילים (</w:t>
      </w:r>
      <w:r w:rsidRPr="00864EB5">
        <w:rPr>
          <w:rFonts w:asciiTheme="majorHAnsi" w:hAnsiTheme="majorHAnsi" w:cstheme="majorHAnsi"/>
          <w:i/>
          <w:iCs/>
        </w:rPr>
        <w:t>in vivo</w:t>
      </w:r>
      <w:r>
        <w:rPr>
          <w:rFonts w:asciiTheme="majorHAnsi" w:hAnsiTheme="majorHAnsi" w:cstheme="majorHAnsi" w:hint="cs"/>
          <w:rtl/>
        </w:rPr>
        <w:t xml:space="preserve">), סודיום סטיבוגלוקונט יעיל יותר מפרמומיצין לטיפול בנגעי עור שנגרמו על-ידי </w:t>
      </w:r>
      <w:r w:rsidRPr="00864EB5">
        <w:rPr>
          <w:rFonts w:asciiTheme="majorHAnsi" w:hAnsiTheme="majorHAnsi" w:cstheme="majorHAnsi" w:hint="cs"/>
          <w:i/>
          <w:iCs/>
        </w:rPr>
        <w:t>L</w:t>
      </w:r>
      <w:r w:rsidRPr="00864EB5">
        <w:rPr>
          <w:rFonts w:asciiTheme="majorHAnsi" w:hAnsiTheme="majorHAnsi" w:cstheme="majorHAnsi"/>
          <w:i/>
          <w:iCs/>
        </w:rPr>
        <w:t>. tropica</w:t>
      </w:r>
      <w:r>
        <w:rPr>
          <w:rFonts w:asciiTheme="majorHAnsi" w:hAnsiTheme="majorHAnsi" w:cstheme="majorHAnsi" w:hint="cs"/>
          <w:rtl/>
        </w:rPr>
        <w:t xml:space="preserve">, והדבר נוגד את תוצאות המעבדה שלנו. משמעות הדבר היא שרגישות בתנאי </w:t>
      </w:r>
      <w:r w:rsidR="00A44E9F">
        <w:rPr>
          <w:rFonts w:asciiTheme="majorHAnsi" w:hAnsiTheme="majorHAnsi" w:cstheme="majorHAnsi" w:hint="cs"/>
          <w:rtl/>
        </w:rPr>
        <w:t>מעבדה</w:t>
      </w:r>
      <w:r>
        <w:rPr>
          <w:rFonts w:asciiTheme="majorHAnsi" w:hAnsiTheme="majorHAnsi" w:cstheme="majorHAnsi" w:hint="cs"/>
          <w:rtl/>
        </w:rPr>
        <w:t xml:space="preserve"> אינה מתואמת היטב עם רגישות קלינית אין ויוו.</w:t>
      </w:r>
    </w:p>
    <w:p w14:paraId="609FFCB6" w14:textId="77777777" w:rsidR="00864EB5" w:rsidRDefault="00864EB5" w:rsidP="009825B0">
      <w:pPr>
        <w:spacing w:line="360" w:lineRule="auto"/>
        <w:rPr>
          <w:rFonts w:asciiTheme="majorHAnsi" w:hAnsiTheme="majorHAnsi" w:cstheme="majorHAnsi"/>
          <w:rtl/>
        </w:rPr>
      </w:pPr>
      <w:r>
        <w:rPr>
          <w:rFonts w:asciiTheme="majorHAnsi" w:hAnsiTheme="majorHAnsi" w:cstheme="majorHAnsi"/>
          <w:rtl/>
        </w:rPr>
        <w:br w:type="page"/>
      </w:r>
    </w:p>
    <w:p w14:paraId="7AC6621B" w14:textId="38A726B0" w:rsidR="00E31F4E" w:rsidRPr="0069424C" w:rsidRDefault="00864EB5" w:rsidP="009825B0">
      <w:pPr>
        <w:bidi/>
        <w:spacing w:line="360" w:lineRule="auto"/>
        <w:rPr>
          <w:rFonts w:asciiTheme="majorHAnsi" w:eastAsiaTheme="majorEastAsia" w:hAnsiTheme="majorHAnsi" w:cstheme="majorHAnsi"/>
          <w:b/>
          <w:bCs/>
          <w:sz w:val="28"/>
          <w:szCs w:val="28"/>
          <w:rtl/>
        </w:rPr>
      </w:pPr>
      <w:r w:rsidRPr="0069424C">
        <w:rPr>
          <w:rFonts w:asciiTheme="majorHAnsi" w:eastAsiaTheme="majorEastAsia" w:hAnsiTheme="majorHAnsi" w:cstheme="majorHAnsi" w:hint="cs"/>
          <w:b/>
          <w:bCs/>
          <w:sz w:val="28"/>
          <w:szCs w:val="28"/>
          <w:rtl/>
        </w:rPr>
        <w:lastRenderedPageBreak/>
        <w:t>מבוא</w:t>
      </w:r>
    </w:p>
    <w:p w14:paraId="7F83ED8C" w14:textId="484791D6" w:rsidR="00864EB5" w:rsidRPr="009825B0" w:rsidRDefault="00864EB5" w:rsidP="009825B0">
      <w:pPr>
        <w:bidi/>
        <w:spacing w:line="360" w:lineRule="auto"/>
        <w:rPr>
          <w:rFonts w:asciiTheme="majorHAnsi" w:eastAsiaTheme="majorEastAsia" w:hAnsiTheme="majorHAnsi" w:cstheme="majorHAnsi"/>
          <w:sz w:val="24"/>
          <w:szCs w:val="24"/>
          <w:rtl/>
        </w:rPr>
      </w:pPr>
      <w:r w:rsidRPr="009825B0">
        <w:rPr>
          <w:rFonts w:asciiTheme="majorHAnsi" w:eastAsiaTheme="majorEastAsia" w:hAnsiTheme="majorHAnsi" w:cstheme="majorHAnsi" w:hint="cs"/>
          <w:sz w:val="24"/>
          <w:szCs w:val="24"/>
          <w:rtl/>
        </w:rPr>
        <w:t xml:space="preserve">היארעות לישמניאזיס, על צורותיו השונות, בעולם הנה 12 מיליון מקרים בשנה, בעוד היארעות לישמניאזיס של העור לבדה הינה כ-2 מיליון מקרים בשנה. בשנים האחרונות, עלתה הימצאות הלישמניאזיס </w:t>
      </w:r>
      <w:r w:rsidR="0069424C" w:rsidRPr="009825B0">
        <w:rPr>
          <w:rFonts w:asciiTheme="majorHAnsi" w:eastAsiaTheme="majorEastAsia" w:hAnsiTheme="majorHAnsi" w:cstheme="majorHAnsi" w:hint="cs"/>
          <w:sz w:val="24"/>
          <w:szCs w:val="24"/>
          <w:rtl/>
        </w:rPr>
        <w:t xml:space="preserve">בשל חדירת בני-אדם לאזורי הגידול של בעלי-החיים נשאי הטפילים, והשתכנותם באזורים אלה כחלק ממאבקים פוליטיים באותם אזורים. לישמניאזיס של העור מופיעה לרוב באזורים טרופיים וסוב-טרופיים, כאשר זנים שונים אנדמיים לאזורים גאוגרפיים שונים. לישמניאזיס של "העולם הישן" מופיעה לרוב באפגניסטן, אלג'יר, עירק, איראן, ערב הסעודית, אתיופיה ובמזרח התיכון, בעוד זני לישמניה של "העולם החדש" מופיעים בברזיל, מקסיקו, בוליביה ופרו. הזנים הגורמים ללישמניאזיס של העולם הישן כוללים את </w:t>
      </w:r>
      <w:r w:rsidR="0069424C" w:rsidRPr="009079D0">
        <w:rPr>
          <w:rFonts w:asciiTheme="majorHAnsi" w:eastAsiaTheme="majorEastAsia" w:hAnsiTheme="majorHAnsi" w:cstheme="majorHAnsi"/>
          <w:i/>
          <w:iCs/>
          <w:sz w:val="24"/>
          <w:szCs w:val="24"/>
        </w:rPr>
        <w:t>L. major</w:t>
      </w:r>
      <w:r w:rsidR="0069424C" w:rsidRPr="009825B0">
        <w:rPr>
          <w:rFonts w:asciiTheme="majorHAnsi" w:eastAsiaTheme="majorEastAsia" w:hAnsiTheme="majorHAnsi" w:cstheme="majorHAnsi"/>
          <w:sz w:val="24"/>
          <w:szCs w:val="24"/>
        </w:rPr>
        <w:t xml:space="preserve">, </w:t>
      </w:r>
      <w:r w:rsidR="0069424C" w:rsidRPr="009079D0">
        <w:rPr>
          <w:rFonts w:asciiTheme="majorHAnsi" w:eastAsiaTheme="majorEastAsia" w:hAnsiTheme="majorHAnsi" w:cstheme="majorHAnsi"/>
          <w:i/>
          <w:iCs/>
          <w:sz w:val="24"/>
          <w:szCs w:val="24"/>
        </w:rPr>
        <w:t>L. tropica</w:t>
      </w:r>
      <w:r w:rsidR="0069424C" w:rsidRPr="009825B0">
        <w:rPr>
          <w:rFonts w:asciiTheme="majorHAnsi" w:eastAsiaTheme="majorEastAsia" w:hAnsiTheme="majorHAnsi" w:cstheme="majorHAnsi" w:hint="cs"/>
          <w:sz w:val="24"/>
          <w:szCs w:val="24"/>
          <w:rtl/>
        </w:rPr>
        <w:t xml:space="preserve"> ו-</w:t>
      </w:r>
      <w:r w:rsidR="0069424C" w:rsidRPr="009079D0">
        <w:rPr>
          <w:rFonts w:asciiTheme="majorHAnsi" w:eastAsiaTheme="majorEastAsia" w:hAnsiTheme="majorHAnsi" w:cstheme="majorHAnsi"/>
          <w:i/>
          <w:iCs/>
          <w:sz w:val="24"/>
          <w:szCs w:val="24"/>
        </w:rPr>
        <w:t>L. aethiopica</w:t>
      </w:r>
      <w:r w:rsidR="0069424C" w:rsidRPr="009825B0">
        <w:rPr>
          <w:rFonts w:asciiTheme="majorHAnsi" w:eastAsiaTheme="majorEastAsia" w:hAnsiTheme="majorHAnsi" w:cstheme="majorHAnsi" w:hint="cs"/>
          <w:sz w:val="24"/>
          <w:szCs w:val="24"/>
          <w:rtl/>
        </w:rPr>
        <w:t xml:space="preserve">, בעוד לישמניאזיס של העולם החדש מסווגת לוויסצרלית (מערבת אברים פנימיים) ומוקו-קוטנאית (של העור והריריות). הסוג המוקו-קוטנאי נגרם על-ידי </w:t>
      </w:r>
      <w:r w:rsidR="0069424C" w:rsidRPr="009079D0">
        <w:rPr>
          <w:rFonts w:asciiTheme="majorHAnsi" w:eastAsiaTheme="majorEastAsia" w:hAnsiTheme="majorHAnsi" w:cstheme="majorHAnsi"/>
          <w:i/>
          <w:iCs/>
          <w:sz w:val="24"/>
          <w:szCs w:val="24"/>
        </w:rPr>
        <w:t>L. mexicana</w:t>
      </w:r>
      <w:r w:rsidR="0069424C" w:rsidRPr="009825B0">
        <w:rPr>
          <w:rFonts w:asciiTheme="majorHAnsi" w:eastAsiaTheme="majorEastAsia" w:hAnsiTheme="majorHAnsi" w:cstheme="majorHAnsi"/>
          <w:sz w:val="24"/>
          <w:szCs w:val="24"/>
        </w:rPr>
        <w:t xml:space="preserve">, </w:t>
      </w:r>
      <w:r w:rsidR="0069424C" w:rsidRPr="009079D0">
        <w:rPr>
          <w:rFonts w:asciiTheme="majorHAnsi" w:eastAsiaTheme="majorEastAsia" w:hAnsiTheme="majorHAnsi" w:cstheme="majorHAnsi"/>
          <w:i/>
          <w:iCs/>
          <w:sz w:val="24"/>
          <w:szCs w:val="24"/>
        </w:rPr>
        <w:t>L. venezuelensis</w:t>
      </w:r>
      <w:r w:rsidR="0069424C" w:rsidRPr="009825B0">
        <w:rPr>
          <w:rFonts w:asciiTheme="majorHAnsi" w:eastAsiaTheme="majorEastAsia" w:hAnsiTheme="majorHAnsi" w:cstheme="majorHAnsi" w:hint="cs"/>
          <w:sz w:val="24"/>
          <w:szCs w:val="24"/>
          <w:rtl/>
        </w:rPr>
        <w:t xml:space="preserve"> ו-</w:t>
      </w:r>
      <w:r w:rsidR="0069424C" w:rsidRPr="009079D0">
        <w:rPr>
          <w:rFonts w:asciiTheme="majorHAnsi" w:eastAsiaTheme="majorEastAsia" w:hAnsiTheme="majorHAnsi" w:cstheme="majorHAnsi"/>
          <w:i/>
          <w:iCs/>
          <w:sz w:val="24"/>
          <w:szCs w:val="24"/>
        </w:rPr>
        <w:t>L. amazonensis</w:t>
      </w:r>
      <w:r w:rsidR="0069424C" w:rsidRPr="009825B0">
        <w:rPr>
          <w:rFonts w:asciiTheme="majorHAnsi" w:eastAsiaTheme="majorEastAsia" w:hAnsiTheme="majorHAnsi" w:cstheme="majorHAnsi" w:hint="cs"/>
          <w:sz w:val="24"/>
          <w:szCs w:val="24"/>
          <w:rtl/>
        </w:rPr>
        <w:t>, בעוד לישמניאזיס ויסצרלית נגרמת בעיקר על-יד</w:t>
      </w:r>
      <w:r w:rsidR="009079D0">
        <w:rPr>
          <w:rFonts w:asciiTheme="majorHAnsi" w:eastAsiaTheme="majorEastAsia" w:hAnsiTheme="majorHAnsi" w:cstheme="majorHAnsi" w:hint="cs"/>
          <w:sz w:val="24"/>
          <w:szCs w:val="24"/>
          <w:rtl/>
        </w:rPr>
        <w:t xml:space="preserve">י </w:t>
      </w:r>
      <w:r w:rsidR="009079D0" w:rsidRPr="00E329E4">
        <w:rPr>
          <w:rFonts w:asciiTheme="majorHAnsi" w:eastAsiaTheme="majorEastAsia" w:hAnsiTheme="majorHAnsi" w:cstheme="majorHAnsi"/>
          <w:i/>
          <w:iCs/>
          <w:sz w:val="24"/>
          <w:szCs w:val="24"/>
        </w:rPr>
        <w:t>L. donovani</w:t>
      </w:r>
      <w:r w:rsidR="009079D0">
        <w:rPr>
          <w:rFonts w:asciiTheme="majorHAnsi" w:eastAsiaTheme="majorEastAsia" w:hAnsiTheme="majorHAnsi" w:cstheme="majorHAnsi"/>
          <w:sz w:val="24"/>
          <w:szCs w:val="24"/>
        </w:rPr>
        <w:t xml:space="preserve">, </w:t>
      </w:r>
      <w:r w:rsidR="009079D0" w:rsidRPr="00E329E4">
        <w:rPr>
          <w:rFonts w:asciiTheme="majorHAnsi" w:eastAsiaTheme="majorEastAsia" w:hAnsiTheme="majorHAnsi" w:cstheme="majorHAnsi"/>
          <w:i/>
          <w:iCs/>
          <w:sz w:val="24"/>
          <w:szCs w:val="24"/>
        </w:rPr>
        <w:t>L. infantum</w:t>
      </w:r>
      <w:r w:rsidR="009079D0">
        <w:rPr>
          <w:rFonts w:asciiTheme="majorHAnsi" w:eastAsiaTheme="majorEastAsia" w:hAnsiTheme="majorHAnsi" w:cstheme="majorHAnsi" w:hint="cs"/>
          <w:sz w:val="24"/>
          <w:szCs w:val="24"/>
          <w:rtl/>
        </w:rPr>
        <w:t xml:space="preserve"> </w:t>
      </w:r>
      <w:r w:rsidR="0069424C" w:rsidRPr="009825B0">
        <w:rPr>
          <w:rFonts w:asciiTheme="majorHAnsi" w:eastAsiaTheme="majorEastAsia" w:hAnsiTheme="majorHAnsi" w:cstheme="majorHAnsi" w:hint="cs"/>
          <w:sz w:val="24"/>
          <w:szCs w:val="24"/>
          <w:rtl/>
        </w:rPr>
        <w:t>(בעולם הישן) ו-</w:t>
      </w:r>
      <w:r w:rsidR="0069424C" w:rsidRPr="009079D0">
        <w:rPr>
          <w:rFonts w:asciiTheme="majorHAnsi" w:eastAsiaTheme="majorEastAsia" w:hAnsiTheme="majorHAnsi" w:cstheme="majorHAnsi"/>
          <w:i/>
          <w:iCs/>
          <w:sz w:val="24"/>
          <w:szCs w:val="24"/>
        </w:rPr>
        <w:t>L. chagasi</w:t>
      </w:r>
      <w:r w:rsidR="0069424C" w:rsidRPr="009825B0">
        <w:rPr>
          <w:rFonts w:asciiTheme="majorHAnsi" w:eastAsiaTheme="majorEastAsia" w:hAnsiTheme="majorHAnsi" w:cstheme="majorHAnsi" w:hint="cs"/>
          <w:sz w:val="24"/>
          <w:szCs w:val="24"/>
          <w:rtl/>
        </w:rPr>
        <w:t xml:space="preserve"> (בעולם החדש), אשר עשויים, במקרים נדירים, לגרום גם ללישמניאזיס מוקו-קוטנאית.  </w:t>
      </w:r>
    </w:p>
    <w:p w14:paraId="7CB4CF4B" w14:textId="3C72AFD6" w:rsidR="0069424C" w:rsidRPr="009825B0" w:rsidRDefault="0069424C" w:rsidP="009825B0">
      <w:pPr>
        <w:bidi/>
        <w:spacing w:line="360" w:lineRule="auto"/>
        <w:rPr>
          <w:rFonts w:asciiTheme="majorHAnsi" w:eastAsiaTheme="majorEastAsia" w:hAnsiTheme="majorHAnsi" w:cstheme="majorHAnsi"/>
          <w:b/>
          <w:bCs/>
          <w:sz w:val="24"/>
          <w:szCs w:val="24"/>
          <w:rtl/>
        </w:rPr>
      </w:pPr>
      <w:r w:rsidRPr="009825B0">
        <w:rPr>
          <w:rFonts w:asciiTheme="majorHAnsi" w:eastAsiaTheme="majorEastAsia" w:hAnsiTheme="majorHAnsi" w:cstheme="majorHAnsi" w:hint="cs"/>
          <w:b/>
          <w:bCs/>
          <w:sz w:val="24"/>
          <w:szCs w:val="24"/>
          <w:rtl/>
        </w:rPr>
        <w:t>פתוגנזה</w:t>
      </w:r>
    </w:p>
    <w:p w14:paraId="59E90424" w14:textId="0A466F5D" w:rsidR="0069424C" w:rsidRDefault="0069424C" w:rsidP="009825B0">
      <w:pPr>
        <w:bidi/>
        <w:spacing w:line="360" w:lineRule="auto"/>
        <w:rPr>
          <w:rFonts w:asciiTheme="majorHAnsi" w:eastAsiaTheme="majorEastAsia" w:hAnsiTheme="majorHAnsi" w:cstheme="majorHAnsi"/>
          <w:sz w:val="24"/>
          <w:szCs w:val="24"/>
          <w:rtl/>
        </w:rPr>
      </w:pPr>
      <w:r w:rsidRPr="009825B0">
        <w:rPr>
          <w:rFonts w:asciiTheme="majorHAnsi" w:eastAsiaTheme="majorEastAsia" w:hAnsiTheme="majorHAnsi" w:cstheme="majorHAnsi" w:hint="cs"/>
          <w:b/>
          <w:bCs/>
          <w:sz w:val="24"/>
          <w:szCs w:val="24"/>
          <w:rtl/>
        </w:rPr>
        <w:t xml:space="preserve">נשא: </w:t>
      </w:r>
      <w:r w:rsidRPr="009825B0">
        <w:rPr>
          <w:rFonts w:asciiTheme="majorHAnsi" w:eastAsiaTheme="majorEastAsia" w:hAnsiTheme="majorHAnsi" w:cstheme="majorHAnsi" w:hint="cs"/>
          <w:sz w:val="24"/>
          <w:szCs w:val="24"/>
          <w:rtl/>
        </w:rPr>
        <w:t>לישמניה מועברת על-ידי קבוצה של נשאים פרוקי</w:t>
      </w:r>
      <w:r w:rsidR="009825B0" w:rsidRPr="009825B0">
        <w:rPr>
          <w:rFonts w:asciiTheme="majorHAnsi" w:eastAsiaTheme="majorEastAsia" w:hAnsiTheme="majorHAnsi" w:cstheme="majorHAnsi" w:hint="cs"/>
          <w:sz w:val="24"/>
          <w:szCs w:val="24"/>
          <w:rtl/>
        </w:rPr>
        <w:t>-רגליים המוכרים לציבור כזבובי-חול. לישמניה של העולם הישן מועברת על-ידי זבובים ממשפחת ה-</w:t>
      </w:r>
      <w:r w:rsidR="009825B0" w:rsidRPr="00E329E4">
        <w:rPr>
          <w:rFonts w:asciiTheme="majorHAnsi" w:eastAsiaTheme="majorEastAsia" w:hAnsiTheme="majorHAnsi" w:cstheme="majorHAnsi"/>
          <w:i/>
          <w:iCs/>
          <w:sz w:val="24"/>
          <w:szCs w:val="24"/>
        </w:rPr>
        <w:t>Phlebotomus</w:t>
      </w:r>
      <w:r w:rsidR="009825B0" w:rsidRPr="009825B0">
        <w:rPr>
          <w:rFonts w:asciiTheme="majorHAnsi" w:eastAsiaTheme="majorEastAsia" w:hAnsiTheme="majorHAnsi" w:cstheme="majorHAnsi" w:hint="cs"/>
          <w:sz w:val="24"/>
          <w:szCs w:val="24"/>
          <w:rtl/>
        </w:rPr>
        <w:t xml:space="preserve">, בעוד לישמניה של העולם החדש מועברת על-ידי זנים שונים של </w:t>
      </w:r>
      <w:r w:rsidR="009825B0" w:rsidRPr="00E329E4">
        <w:rPr>
          <w:rFonts w:asciiTheme="majorHAnsi" w:eastAsiaTheme="majorEastAsia" w:hAnsiTheme="majorHAnsi" w:cstheme="majorHAnsi"/>
          <w:i/>
          <w:iCs/>
          <w:sz w:val="24"/>
          <w:szCs w:val="24"/>
        </w:rPr>
        <w:t>Lutzomyia</w:t>
      </w:r>
      <w:r w:rsidR="009825B0" w:rsidRPr="009825B0">
        <w:rPr>
          <w:rFonts w:asciiTheme="majorHAnsi" w:eastAsiaTheme="majorEastAsia" w:hAnsiTheme="majorHAnsi" w:cstheme="majorHAnsi" w:hint="cs"/>
          <w:sz w:val="24"/>
          <w:szCs w:val="24"/>
          <w:rtl/>
        </w:rPr>
        <w:t xml:space="preserve">. אזורי המחיה של זבובים אלה מגוונים וכוללים מדבריות, יערות גשם, מישורים ואזורים הרריים. זבובי-חול הנם חרקים המעופפים למרחקים קצרים, ומשמעות הדבר היא שהם יכולים להתרחק רק מאות מטרים בודדות מאזורי הגידול שלהם. </w:t>
      </w:r>
      <w:r w:rsidR="009825B0">
        <w:rPr>
          <w:rFonts w:asciiTheme="majorHAnsi" w:eastAsiaTheme="majorEastAsia" w:hAnsiTheme="majorHAnsi" w:cstheme="majorHAnsi" w:hint="cs"/>
          <w:sz w:val="24"/>
          <w:szCs w:val="24"/>
          <w:rtl/>
        </w:rPr>
        <w:t xml:space="preserve">גודלם הקטן (2-3 מ"מ) מאפשר להם לעבור דרך רשתות חרקים, אך הם רגישים מאוד לקוטלי חרקים כימיים. </w:t>
      </w:r>
    </w:p>
    <w:p w14:paraId="4B2AE9F9" w14:textId="04024861" w:rsidR="009825B0" w:rsidRPr="009825B0" w:rsidRDefault="009825B0" w:rsidP="009825B0">
      <w:pPr>
        <w:bidi/>
        <w:spacing w:line="360" w:lineRule="auto"/>
        <w:rPr>
          <w:rFonts w:asciiTheme="majorHAnsi" w:eastAsiaTheme="majorEastAsia" w:hAnsiTheme="majorHAnsi" w:cstheme="majorHAnsi"/>
          <w:b/>
          <w:bCs/>
          <w:sz w:val="24"/>
          <w:szCs w:val="24"/>
          <w:rtl/>
        </w:rPr>
      </w:pPr>
      <w:r w:rsidRPr="009825B0">
        <w:rPr>
          <w:rFonts w:asciiTheme="majorHAnsi" w:eastAsiaTheme="majorEastAsia" w:hAnsiTheme="majorHAnsi" w:cstheme="majorHAnsi" w:hint="cs"/>
          <w:b/>
          <w:bCs/>
          <w:sz w:val="24"/>
          <w:szCs w:val="24"/>
          <w:rtl/>
        </w:rPr>
        <w:t>מאגר</w:t>
      </w:r>
    </w:p>
    <w:p w14:paraId="04162078" w14:textId="77777777" w:rsidR="009825B0" w:rsidRDefault="009825B0" w:rsidP="009825B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 xml:space="preserve">מרבית זני הלישמניה הנם זואופיליים, והמאגרים העיקריים שלהם הנם חיות בר, כגון מכרסמים, שפני סלע וחיות כיס, אך גם כלבים מבויתים. </w:t>
      </w:r>
    </w:p>
    <w:p w14:paraId="59D89FF0" w14:textId="49206E48" w:rsidR="009825B0" w:rsidRDefault="009825B0" w:rsidP="009825B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 xml:space="preserve">לישמניאזיס של העור בבני-אדם מופיעה בדרך-כלל כאשר בני-האדם חודרים לתוך אזורי המחיה הטבעיים של זבובי-חול נגועים. בדיקות לבני-אדם המתגוררים באזורים אנדמיים למחלה מציגות תבחיני עור חיוביים אצל 10% עד 32% מן </w:t>
      </w:r>
      <w:r w:rsidR="00D93959">
        <w:rPr>
          <w:rFonts w:asciiTheme="majorHAnsi" w:eastAsiaTheme="majorEastAsia" w:hAnsiTheme="majorHAnsi" w:cstheme="majorHAnsi" w:hint="cs"/>
          <w:sz w:val="24"/>
          <w:szCs w:val="24"/>
          <w:rtl/>
        </w:rPr>
        <w:t>האוכלוסיי</w:t>
      </w:r>
      <w:r w:rsidR="00D93959">
        <w:rPr>
          <w:rFonts w:asciiTheme="majorHAnsi" w:eastAsiaTheme="majorEastAsia" w:hAnsiTheme="majorHAnsi" w:cstheme="majorHAnsi" w:hint="eastAsia"/>
          <w:sz w:val="24"/>
          <w:szCs w:val="24"/>
          <w:rtl/>
        </w:rPr>
        <w:t>ה</w:t>
      </w:r>
      <w:r>
        <w:rPr>
          <w:rFonts w:asciiTheme="majorHAnsi" w:eastAsiaTheme="majorEastAsia" w:hAnsiTheme="majorHAnsi" w:cstheme="majorHAnsi" w:hint="cs"/>
          <w:sz w:val="24"/>
          <w:szCs w:val="24"/>
          <w:rtl/>
        </w:rPr>
        <w:t xml:space="preserve">. תבחין עור הזהה לתבחין טוברקולין מדגים חשיפה לטפיל. </w:t>
      </w:r>
    </w:p>
    <w:p w14:paraId="6F5F007E" w14:textId="243F733E" w:rsidR="009825B0" w:rsidRDefault="009825B0" w:rsidP="009825B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זיהוי בעלי-חיים נגועים וטיפול בהם עשוי להוות אמצעי יעיל לשליטה במחלה.</w:t>
      </w:r>
    </w:p>
    <w:p w14:paraId="3134E478" w14:textId="4466E1D6" w:rsidR="009825B0" w:rsidRPr="009825B0" w:rsidRDefault="009825B0" w:rsidP="009825B0">
      <w:pPr>
        <w:bidi/>
        <w:spacing w:line="360" w:lineRule="auto"/>
        <w:rPr>
          <w:rFonts w:asciiTheme="majorHAnsi" w:eastAsiaTheme="majorEastAsia" w:hAnsiTheme="majorHAnsi" w:cstheme="majorHAnsi"/>
          <w:b/>
          <w:bCs/>
          <w:sz w:val="24"/>
          <w:szCs w:val="24"/>
          <w:rtl/>
        </w:rPr>
      </w:pPr>
      <w:r w:rsidRPr="009825B0">
        <w:rPr>
          <w:rFonts w:asciiTheme="majorHAnsi" w:eastAsiaTheme="majorEastAsia" w:hAnsiTheme="majorHAnsi" w:cstheme="majorHAnsi" w:hint="cs"/>
          <w:b/>
          <w:bCs/>
          <w:sz w:val="24"/>
          <w:szCs w:val="24"/>
          <w:rtl/>
        </w:rPr>
        <w:lastRenderedPageBreak/>
        <w:t>מחזור חיי הטפיל:</w:t>
      </w:r>
    </w:p>
    <w:p w14:paraId="39F2A67C" w14:textId="331B1F38" w:rsidR="009825B0" w:rsidRDefault="009825B0" w:rsidP="009825B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 xml:space="preserve">מחזור חיים שלם של טפיל הלישמניה כולל מאגר </w:t>
      </w:r>
      <w:r>
        <w:rPr>
          <w:rFonts w:asciiTheme="majorHAnsi" w:eastAsiaTheme="majorEastAsia" w:hAnsiTheme="majorHAnsi" w:cstheme="majorHAnsi"/>
          <w:sz w:val="24"/>
          <w:szCs w:val="24"/>
          <w:rtl/>
        </w:rPr>
        <w:t>–</w:t>
      </w:r>
      <w:r>
        <w:rPr>
          <w:rFonts w:asciiTheme="majorHAnsi" w:eastAsiaTheme="majorEastAsia" w:hAnsiTheme="majorHAnsi" w:cstheme="majorHAnsi" w:hint="cs"/>
          <w:sz w:val="24"/>
          <w:szCs w:val="24"/>
          <w:rtl/>
        </w:rPr>
        <w:t xml:space="preserve"> בעל-חיים יונק, ונשא </w:t>
      </w:r>
      <w:r>
        <w:rPr>
          <w:rFonts w:asciiTheme="majorHAnsi" w:eastAsiaTheme="majorEastAsia" w:hAnsiTheme="majorHAnsi" w:cstheme="majorHAnsi"/>
          <w:sz w:val="24"/>
          <w:szCs w:val="24"/>
          <w:rtl/>
        </w:rPr>
        <w:t>–</w:t>
      </w:r>
      <w:r>
        <w:rPr>
          <w:rFonts w:asciiTheme="majorHAnsi" w:eastAsiaTheme="majorEastAsia" w:hAnsiTheme="majorHAnsi" w:cstheme="majorHAnsi" w:hint="cs"/>
          <w:sz w:val="24"/>
          <w:szCs w:val="24"/>
          <w:rtl/>
        </w:rPr>
        <w:t xml:space="preserve"> זבוב-חול. הטפיל מתקיים, לרוב, בשתי צורות עיקריות </w:t>
      </w:r>
      <w:r>
        <w:rPr>
          <w:rFonts w:asciiTheme="majorHAnsi" w:eastAsiaTheme="majorEastAsia" w:hAnsiTheme="majorHAnsi" w:cstheme="majorHAnsi"/>
          <w:sz w:val="24"/>
          <w:szCs w:val="24"/>
          <w:rtl/>
        </w:rPr>
        <w:t>–</w:t>
      </w:r>
      <w:r>
        <w:rPr>
          <w:rFonts w:asciiTheme="majorHAnsi" w:eastAsiaTheme="majorEastAsia" w:hAnsiTheme="majorHAnsi" w:cstheme="majorHAnsi" w:hint="cs"/>
          <w:sz w:val="24"/>
          <w:szCs w:val="24"/>
          <w:rtl/>
        </w:rPr>
        <w:t xml:space="preserve"> בשלב הפרומסטיגוט, הטפיל חי בתוך זבוב-החול כטפיל חוץ-תאי, ולו שוטון </w:t>
      </w:r>
      <w:r w:rsidR="009079D0">
        <w:rPr>
          <w:rFonts w:asciiTheme="majorHAnsi" w:eastAsiaTheme="majorEastAsia" w:hAnsiTheme="majorHAnsi" w:cstheme="majorHAnsi" w:hint="cs"/>
          <w:sz w:val="24"/>
          <w:szCs w:val="24"/>
          <w:rtl/>
        </w:rPr>
        <w:t xml:space="preserve">ניעתי אופייני, בעוד האמסטיגוט התוך-תאי מצוי ביונקים ואין לו שוטון. </w:t>
      </w:r>
    </w:p>
    <w:p w14:paraId="1A9E2834" w14:textId="7C339532" w:rsidR="009079D0" w:rsidRDefault="009079D0" w:rsidP="009079D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נקבת זבוב-החול נדבקת בצורה האמסטיגוטית של הטפיל בעודה ניזונה מדמו של יונק נגוע. בקיב</w:t>
      </w:r>
      <w:r w:rsidR="00D93959">
        <w:rPr>
          <w:rFonts w:asciiTheme="majorHAnsi" w:eastAsiaTheme="majorEastAsia" w:hAnsiTheme="majorHAnsi" w:cstheme="majorHAnsi" w:hint="cs"/>
          <w:sz w:val="24"/>
          <w:szCs w:val="24"/>
          <w:rtl/>
        </w:rPr>
        <w:t>ת</w:t>
      </w:r>
      <w:r>
        <w:rPr>
          <w:rFonts w:asciiTheme="majorHAnsi" w:eastAsiaTheme="majorEastAsia" w:hAnsiTheme="majorHAnsi" w:cstheme="majorHAnsi" w:hint="cs"/>
          <w:sz w:val="24"/>
          <w:szCs w:val="24"/>
          <w:rtl/>
        </w:rPr>
        <w:t>ה האחורית של הזבובה, הטפיל מתמיין לצורה הפרומסטיגוטית שלו ומתחיל להתרבות במהירות. בשלב זה, הטפיל דוחף את עצמו אל הקיבה הקדמית, ואז מוזרק אל המאכסן החדש כאשר זבובת-החול מזינה את עצמה במנת דם נוספת.</w:t>
      </w:r>
    </w:p>
    <w:p w14:paraId="0345EFE5" w14:textId="368DE68C" w:rsidR="009079D0" w:rsidRPr="009079D0" w:rsidRDefault="009079D0" w:rsidP="009079D0">
      <w:pPr>
        <w:bidi/>
        <w:spacing w:line="360" w:lineRule="auto"/>
        <w:rPr>
          <w:rFonts w:asciiTheme="majorHAnsi" w:eastAsiaTheme="majorEastAsia" w:hAnsiTheme="majorHAnsi" w:cstheme="majorHAnsi"/>
          <w:b/>
          <w:bCs/>
          <w:sz w:val="24"/>
          <w:szCs w:val="24"/>
          <w:rtl/>
        </w:rPr>
      </w:pPr>
      <w:r w:rsidRPr="009079D0">
        <w:rPr>
          <w:rFonts w:asciiTheme="majorHAnsi" w:eastAsiaTheme="majorEastAsia" w:hAnsiTheme="majorHAnsi" w:cstheme="majorHAnsi" w:hint="cs"/>
          <w:b/>
          <w:bCs/>
          <w:sz w:val="24"/>
          <w:szCs w:val="24"/>
          <w:rtl/>
        </w:rPr>
        <w:t>מאפיינים קליניים של לישמניאזיס עורית:</w:t>
      </w:r>
    </w:p>
    <w:p w14:paraId="7CD268FD" w14:textId="6C0FD32D" w:rsidR="009079D0" w:rsidRDefault="009079D0" w:rsidP="009079D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 xml:space="preserve">אתר עקיצת זבוב-החול (לרוב בעור חשוף) מציג נגע פפולרי אדמדם בגודל 3-5 מ"מ, ואינו מאופיין בתסמינים נוספים. הנגע גדל באיטיות לאורך מספר חודשים עד שנים, ומתפתח לקשרית בגודל של 3-5 ס"מ, המותירה אחריה צלקת אופיינית. </w:t>
      </w:r>
    </w:p>
    <w:p w14:paraId="1AA21E42" w14:textId="04497FD3" w:rsidR="009079D0" w:rsidRDefault="009079D0" w:rsidP="009079D0">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תקופת הדגירה, המצג הקליני, מספר הנגעים ומהירות התפתחותם תלויים בזן הטפיל המסוים. לדוגמא, ל-</w:t>
      </w:r>
      <w:r w:rsidRPr="00E329E4">
        <w:rPr>
          <w:rFonts w:asciiTheme="majorHAnsi" w:eastAsiaTheme="majorEastAsia" w:hAnsiTheme="majorHAnsi" w:cstheme="majorHAnsi"/>
          <w:i/>
          <w:iCs/>
          <w:sz w:val="24"/>
          <w:szCs w:val="24"/>
        </w:rPr>
        <w:t>L. major</w:t>
      </w:r>
      <w:r>
        <w:rPr>
          <w:rFonts w:asciiTheme="majorHAnsi" w:eastAsiaTheme="majorEastAsia" w:hAnsiTheme="majorHAnsi" w:cstheme="majorHAnsi" w:hint="cs"/>
          <w:sz w:val="24"/>
          <w:szCs w:val="24"/>
          <w:rtl/>
        </w:rPr>
        <w:t xml:space="preserve"> תקופת דגירה הנמשכת 2-8 שבועות לאחר העקיצה, בעוד ל-</w:t>
      </w:r>
      <w:r w:rsidRPr="00E329E4">
        <w:rPr>
          <w:rFonts w:asciiTheme="majorHAnsi" w:eastAsiaTheme="majorEastAsia" w:hAnsiTheme="majorHAnsi" w:cstheme="majorHAnsi"/>
          <w:i/>
          <w:iCs/>
          <w:sz w:val="24"/>
          <w:szCs w:val="24"/>
        </w:rPr>
        <w:t>L. tropica</w:t>
      </w:r>
      <w:r>
        <w:rPr>
          <w:rFonts w:asciiTheme="majorHAnsi" w:eastAsiaTheme="majorEastAsia" w:hAnsiTheme="majorHAnsi" w:cstheme="majorHAnsi" w:hint="cs"/>
          <w:sz w:val="24"/>
          <w:szCs w:val="24"/>
          <w:rtl/>
        </w:rPr>
        <w:t xml:space="preserve"> תקופת דגירה ארוכה יותר של כ-8 חודשים. </w:t>
      </w:r>
    </w:p>
    <w:p w14:paraId="1B6DD39B" w14:textId="77777777" w:rsidR="00E329E4" w:rsidRPr="00E329E4" w:rsidRDefault="00E329E4" w:rsidP="009079D0">
      <w:pPr>
        <w:bidi/>
        <w:spacing w:line="360" w:lineRule="auto"/>
        <w:rPr>
          <w:rFonts w:asciiTheme="majorHAnsi" w:eastAsiaTheme="majorEastAsia" w:hAnsiTheme="majorHAnsi" w:cstheme="majorHAnsi"/>
          <w:b/>
          <w:bCs/>
          <w:sz w:val="24"/>
          <w:szCs w:val="24"/>
          <w:rtl/>
        </w:rPr>
      </w:pPr>
      <w:r w:rsidRPr="00E329E4">
        <w:rPr>
          <w:rFonts w:asciiTheme="majorHAnsi" w:eastAsiaTheme="majorEastAsia" w:hAnsiTheme="majorHAnsi" w:cstheme="majorHAnsi" w:hint="cs"/>
          <w:b/>
          <w:bCs/>
          <w:sz w:val="24"/>
          <w:szCs w:val="24"/>
          <w:rtl/>
        </w:rPr>
        <w:t>טיפול:</w:t>
      </w:r>
    </w:p>
    <w:p w14:paraId="278B620D" w14:textId="46C2E2C1" w:rsidR="0078376E" w:rsidRDefault="00E329E4" w:rsidP="00E329E4">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 xml:space="preserve">הספרות מציעה אפשרויות טיפול רבות ללישמניאזיס עורית, אך המלצות אלה מבוססות על מספר קטן למדי של תיאורי מקרה. ישנם רק מחקרים מעטים שהנם מבוקרים, אקראיים ובסמיות כפולה. לעתים קרובות, הרופאים נאלצים לטפל במטופליהם תוך שימוש באמצעי טיפול, מינונים ומשכי טיפול המתאימים לאזורים גיאוגרפיים שונים לגמרי, ולעתים אפילו לזנים שונים מאלה שנחקרו בעבר, ולכן שיעורי התגובה, בהתאם, אינם עקביים. </w:t>
      </w:r>
    </w:p>
    <w:p w14:paraId="201974CD" w14:textId="3309E123" w:rsidR="00E329E4" w:rsidRDefault="00E329E4" w:rsidP="00E329E4">
      <w:pPr>
        <w:bidi/>
        <w:spacing w:line="360" w:lineRule="auto"/>
        <w:rPr>
          <w:rFonts w:asciiTheme="majorHAnsi" w:eastAsiaTheme="majorEastAsia" w:hAnsiTheme="majorHAnsi" w:cstheme="majorHAnsi"/>
          <w:sz w:val="24"/>
          <w:szCs w:val="24"/>
          <w:rtl/>
        </w:rPr>
      </w:pPr>
      <w:r>
        <w:rPr>
          <w:rFonts w:asciiTheme="majorHAnsi" w:eastAsiaTheme="majorEastAsia" w:hAnsiTheme="majorHAnsi" w:cstheme="majorHAnsi" w:hint="cs"/>
          <w:sz w:val="24"/>
          <w:szCs w:val="24"/>
          <w:rtl/>
        </w:rPr>
        <w:t>שיטות הטיפול הזמינות כוללות אנטימון פנטאוולנטי, סודיום סטיבוגלוקונט, מגלומין אנטימוניט, הקסדצילפוספוכולין, אמפוטריצין בי, פנטמידין, דפסון, אזולים, פרומומיצין, אימיקווימוד, טיפול בהקפאה וטיפול פוטודינמי. מרביתם של טיפולים אלה מלווה בדיווחים על עמידות.</w:t>
      </w:r>
    </w:p>
    <w:p w14:paraId="1D0EC260" w14:textId="5A439B5D" w:rsidR="00E329E4" w:rsidRDefault="00E329E4" w:rsidP="00E329E4">
      <w:pPr>
        <w:bidi/>
        <w:spacing w:line="360" w:lineRule="auto"/>
        <w:rPr>
          <w:rFonts w:asciiTheme="majorHAnsi" w:eastAsiaTheme="majorEastAsia" w:hAnsiTheme="majorHAnsi" w:cstheme="majorHAnsi"/>
          <w:sz w:val="24"/>
          <w:szCs w:val="24"/>
          <w:rtl/>
        </w:rPr>
      </w:pPr>
    </w:p>
    <w:p w14:paraId="6EAC2B5B" w14:textId="3BD57B9A" w:rsidR="00E329E4" w:rsidRPr="00E329E4" w:rsidRDefault="00E329E4" w:rsidP="00E329E4">
      <w:pPr>
        <w:bidi/>
        <w:spacing w:line="360" w:lineRule="auto"/>
        <w:rPr>
          <w:rFonts w:asciiTheme="majorHAnsi" w:eastAsiaTheme="majorEastAsia" w:hAnsiTheme="majorHAnsi" w:cstheme="majorHAnsi"/>
          <w:b/>
          <w:bCs/>
          <w:sz w:val="28"/>
          <w:szCs w:val="28"/>
          <w:rtl/>
        </w:rPr>
      </w:pPr>
      <w:r w:rsidRPr="00E329E4">
        <w:rPr>
          <w:rFonts w:asciiTheme="majorHAnsi" w:eastAsiaTheme="majorEastAsia" w:hAnsiTheme="majorHAnsi" w:cstheme="majorHAnsi" w:hint="cs"/>
          <w:b/>
          <w:bCs/>
          <w:sz w:val="28"/>
          <w:szCs w:val="28"/>
          <w:rtl/>
        </w:rPr>
        <w:t>מטרות:</w:t>
      </w:r>
    </w:p>
    <w:p w14:paraId="68BEAAAA" w14:textId="75A63729" w:rsidR="00E329E4" w:rsidRDefault="00E329E4" w:rsidP="00E329E4">
      <w:pPr>
        <w:bidi/>
        <w:spacing w:line="360" w:lineRule="auto"/>
        <w:rPr>
          <w:rFonts w:asciiTheme="majorHAnsi" w:hAnsiTheme="majorHAnsi" w:cstheme="majorHAnsi"/>
          <w:sz w:val="24"/>
          <w:szCs w:val="24"/>
          <w:rtl/>
        </w:rPr>
      </w:pPr>
      <w:r w:rsidRPr="00E329E4">
        <w:rPr>
          <w:rFonts w:asciiTheme="majorHAnsi" w:hAnsiTheme="majorHAnsi" w:cstheme="majorHAnsi" w:hint="cs"/>
          <w:sz w:val="24"/>
          <w:szCs w:val="24"/>
          <w:rtl/>
        </w:rPr>
        <w:t xml:space="preserve">להשוות את רגישות הפרומסטיגוטים של </w:t>
      </w:r>
      <w:r w:rsidRPr="00E329E4">
        <w:rPr>
          <w:rFonts w:asciiTheme="majorHAnsi" w:hAnsiTheme="majorHAnsi" w:cstheme="majorHAnsi"/>
          <w:i/>
          <w:iCs/>
          <w:sz w:val="24"/>
          <w:szCs w:val="24"/>
        </w:rPr>
        <w:t>L. tropica</w:t>
      </w:r>
      <w:r w:rsidRPr="00E329E4">
        <w:rPr>
          <w:rFonts w:asciiTheme="majorHAnsi" w:hAnsiTheme="majorHAnsi" w:cstheme="majorHAnsi" w:hint="cs"/>
          <w:sz w:val="24"/>
          <w:szCs w:val="24"/>
          <w:rtl/>
        </w:rPr>
        <w:t xml:space="preserve"> לפרומומיצין וסודיום סטיבוגלוקונט.</w:t>
      </w:r>
    </w:p>
    <w:p w14:paraId="049F2652" w14:textId="688DC62B" w:rsidR="00E329E4" w:rsidRDefault="00E329E4" w:rsidP="00E329E4">
      <w:pPr>
        <w:bidi/>
        <w:spacing w:line="360" w:lineRule="auto"/>
        <w:rPr>
          <w:rFonts w:asciiTheme="majorHAnsi" w:hAnsiTheme="majorHAnsi" w:cstheme="majorHAnsi"/>
          <w:sz w:val="24"/>
          <w:szCs w:val="24"/>
          <w:rtl/>
        </w:rPr>
      </w:pPr>
    </w:p>
    <w:p w14:paraId="21F84A2C" w14:textId="5FECBDF5" w:rsidR="00E329E4" w:rsidRPr="00E329E4" w:rsidRDefault="00E329E4" w:rsidP="00E329E4">
      <w:pPr>
        <w:bidi/>
        <w:spacing w:line="360" w:lineRule="auto"/>
        <w:rPr>
          <w:rFonts w:asciiTheme="majorHAnsi" w:hAnsiTheme="majorHAnsi" w:cstheme="majorHAnsi"/>
          <w:b/>
          <w:bCs/>
          <w:sz w:val="28"/>
          <w:szCs w:val="28"/>
          <w:rtl/>
        </w:rPr>
      </w:pPr>
      <w:r w:rsidRPr="00E329E4">
        <w:rPr>
          <w:rFonts w:asciiTheme="majorHAnsi" w:hAnsiTheme="majorHAnsi" w:cstheme="majorHAnsi" w:hint="cs"/>
          <w:b/>
          <w:bCs/>
          <w:sz w:val="28"/>
          <w:szCs w:val="28"/>
          <w:rtl/>
        </w:rPr>
        <w:t>שיטות:</w:t>
      </w:r>
    </w:p>
    <w:p w14:paraId="18405A84" w14:textId="7093DF8B" w:rsidR="00E329E4" w:rsidRPr="00E329E4" w:rsidRDefault="00E329E4" w:rsidP="00E329E4">
      <w:pPr>
        <w:bidi/>
        <w:spacing w:line="360" w:lineRule="auto"/>
        <w:rPr>
          <w:rFonts w:asciiTheme="majorHAnsi" w:hAnsiTheme="majorHAnsi" w:cstheme="majorHAnsi"/>
          <w:b/>
          <w:bCs/>
          <w:sz w:val="24"/>
          <w:szCs w:val="24"/>
          <w:rtl/>
        </w:rPr>
      </w:pPr>
      <w:r w:rsidRPr="00E329E4">
        <w:rPr>
          <w:rFonts w:asciiTheme="majorHAnsi" w:hAnsiTheme="majorHAnsi" w:cstheme="majorHAnsi" w:hint="cs"/>
          <w:b/>
          <w:bCs/>
          <w:sz w:val="24"/>
          <w:szCs w:val="24"/>
          <w:rtl/>
        </w:rPr>
        <w:t>טפילים:</w:t>
      </w:r>
    </w:p>
    <w:p w14:paraId="73F3D539" w14:textId="50374406" w:rsidR="00E329E4" w:rsidRDefault="00E329E4" w:rsidP="00E329E4">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הטפילים נלקחו מדגימות מעבדה תקניות קפואות של </w:t>
      </w:r>
      <w:r w:rsidRPr="00E329E4">
        <w:rPr>
          <w:rFonts w:asciiTheme="majorHAnsi" w:hAnsiTheme="majorHAnsi" w:cstheme="majorHAnsi"/>
          <w:i/>
          <w:iCs/>
          <w:sz w:val="24"/>
          <w:szCs w:val="24"/>
        </w:rPr>
        <w:t>L. tropica</w:t>
      </w:r>
      <w:r>
        <w:rPr>
          <w:rFonts w:asciiTheme="majorHAnsi" w:hAnsiTheme="majorHAnsi" w:cstheme="majorHAnsi" w:hint="cs"/>
          <w:sz w:val="24"/>
          <w:szCs w:val="24"/>
          <w:rtl/>
        </w:rPr>
        <w:t xml:space="preserve"> השמורות במרכז הלישמניאזיס הלאומי במרכז קובין לחקר מחלות טרופיות של המכון למחקר רפואי ישראל-קנדה ובית-הספר לרפואה של האוניברסיטה העברית והדסה בירושלים, ישראל. הדגימות הופשרו והטפילים תורבתו בטמפרטורה של 26 מעלות צלסיוס, במדיום המתאים, עד שריכוז הטפילים הגיע ל-</w:t>
      </w:r>
      <w:r w:rsidR="001277DC">
        <w:rPr>
          <w:rFonts w:asciiTheme="majorHAnsi" w:hAnsiTheme="majorHAnsi" w:cstheme="majorHAnsi"/>
          <w:sz w:val="24"/>
          <w:szCs w:val="24"/>
        </w:rPr>
        <w:t>2X10</w:t>
      </w:r>
      <w:r w:rsidR="001277DC" w:rsidRPr="001277DC">
        <w:rPr>
          <w:rFonts w:asciiTheme="majorHAnsi" w:hAnsiTheme="majorHAnsi" w:cstheme="majorHAnsi"/>
          <w:sz w:val="24"/>
          <w:szCs w:val="24"/>
          <w:vertAlign w:val="superscript"/>
        </w:rPr>
        <w:t>7</w:t>
      </w:r>
      <w:r w:rsidR="001277DC">
        <w:rPr>
          <w:rFonts w:asciiTheme="majorHAnsi" w:hAnsiTheme="majorHAnsi" w:cstheme="majorHAnsi" w:hint="cs"/>
          <w:sz w:val="24"/>
          <w:szCs w:val="24"/>
          <w:rtl/>
        </w:rPr>
        <w:t xml:space="preserve"> פרומסטיגוטים למ"ל. </w:t>
      </w:r>
    </w:p>
    <w:p w14:paraId="73397657" w14:textId="586BB585" w:rsidR="001277DC" w:rsidRPr="001277DC" w:rsidRDefault="001277DC" w:rsidP="001277DC">
      <w:pPr>
        <w:bidi/>
        <w:spacing w:line="360" w:lineRule="auto"/>
        <w:rPr>
          <w:rFonts w:asciiTheme="majorHAnsi" w:hAnsiTheme="majorHAnsi" w:cstheme="majorHAnsi"/>
          <w:b/>
          <w:bCs/>
          <w:sz w:val="24"/>
          <w:szCs w:val="24"/>
          <w:rtl/>
        </w:rPr>
      </w:pPr>
      <w:r w:rsidRPr="001277DC">
        <w:rPr>
          <w:rFonts w:asciiTheme="majorHAnsi" w:hAnsiTheme="majorHAnsi" w:cstheme="majorHAnsi" w:hint="cs"/>
          <w:b/>
          <w:bCs/>
          <w:sz w:val="24"/>
          <w:szCs w:val="24"/>
          <w:rtl/>
        </w:rPr>
        <w:t>מדיום גידול:</w:t>
      </w:r>
    </w:p>
    <w:p w14:paraId="371F86FC" w14:textId="5566365B" w:rsidR="001277DC" w:rsidRDefault="001277DC" w:rsidP="001277DC">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מדיום-199 (סיגמא-אולדריץ', סט. לואיס, מונטנה, ארה"ב) בתוספת 2 מילימולר </w:t>
      </w:r>
      <w:r>
        <w:rPr>
          <w:rFonts w:asciiTheme="majorHAnsi" w:hAnsiTheme="majorHAnsi" w:cstheme="majorHAnsi"/>
          <w:sz w:val="24"/>
          <w:szCs w:val="24"/>
        </w:rPr>
        <w:t>L</w:t>
      </w:r>
      <w:r>
        <w:rPr>
          <w:rFonts w:asciiTheme="majorHAnsi" w:hAnsiTheme="majorHAnsi" w:cstheme="majorHAnsi" w:hint="cs"/>
          <w:sz w:val="24"/>
          <w:szCs w:val="24"/>
          <w:rtl/>
        </w:rPr>
        <w:t xml:space="preserve">-גלוטמין, 100 פיקומולר אדנוזין, 23 פיקומולר חומצה פולית, אנטיביוטיקה (100 יב"ל פניצילין </w:t>
      </w:r>
      <w:r>
        <w:rPr>
          <w:rFonts w:asciiTheme="majorHAnsi" w:hAnsiTheme="majorHAnsi" w:cstheme="majorHAnsi" w:hint="cs"/>
          <w:sz w:val="24"/>
          <w:szCs w:val="24"/>
        </w:rPr>
        <w:t>G</w:t>
      </w:r>
      <w:r>
        <w:rPr>
          <w:rFonts w:asciiTheme="majorHAnsi" w:hAnsiTheme="majorHAnsi" w:cstheme="majorHAnsi" w:hint="cs"/>
          <w:sz w:val="24"/>
          <w:szCs w:val="24"/>
          <w:rtl/>
        </w:rPr>
        <w:t xml:space="preserve"> ו-100 פיקוגרם למיליליטר סטרפטומיצין), 1 </w:t>
      </w:r>
      <w:r>
        <w:rPr>
          <w:rFonts w:asciiTheme="majorHAnsi" w:hAnsiTheme="majorHAnsi" w:cstheme="majorHAnsi" w:hint="cs"/>
          <w:sz w:val="24"/>
          <w:szCs w:val="24"/>
        </w:rPr>
        <w:t>X</w:t>
      </w:r>
      <w:r>
        <w:rPr>
          <w:rFonts w:asciiTheme="majorHAnsi" w:hAnsiTheme="majorHAnsi" w:cstheme="majorHAnsi" w:hint="cs"/>
          <w:sz w:val="24"/>
          <w:szCs w:val="24"/>
          <w:rtl/>
        </w:rPr>
        <w:t xml:space="preserve"> תערובת ויטמינים </w:t>
      </w:r>
      <w:r>
        <w:rPr>
          <w:rFonts w:asciiTheme="majorHAnsi" w:hAnsiTheme="majorHAnsi" w:cstheme="majorHAnsi" w:hint="cs"/>
          <w:sz w:val="24"/>
          <w:szCs w:val="24"/>
        </w:rPr>
        <w:t>BME</w:t>
      </w:r>
      <w:r>
        <w:rPr>
          <w:rFonts w:asciiTheme="majorHAnsi" w:hAnsiTheme="majorHAnsi" w:cstheme="majorHAnsi" w:hint="cs"/>
          <w:sz w:val="24"/>
          <w:szCs w:val="24"/>
          <w:rtl/>
        </w:rPr>
        <w:t>, 2 מיקרומולר 2-(</w:t>
      </w:r>
      <w:r>
        <w:rPr>
          <w:rFonts w:asciiTheme="majorHAnsi" w:hAnsiTheme="majorHAnsi" w:cstheme="majorHAnsi" w:hint="cs"/>
          <w:sz w:val="24"/>
          <w:szCs w:val="24"/>
        </w:rPr>
        <w:t>N</w:t>
      </w:r>
      <w:r>
        <w:rPr>
          <w:rFonts w:asciiTheme="majorHAnsi" w:hAnsiTheme="majorHAnsi" w:cstheme="majorHAnsi" w:hint="cs"/>
          <w:sz w:val="24"/>
          <w:szCs w:val="24"/>
          <w:rtl/>
        </w:rPr>
        <w:t>-מורפולינו)-אתנסולפונט (</w:t>
      </w:r>
      <w:r>
        <w:rPr>
          <w:rFonts w:asciiTheme="majorHAnsi" w:hAnsiTheme="majorHAnsi" w:cstheme="majorHAnsi" w:hint="cs"/>
          <w:sz w:val="24"/>
          <w:szCs w:val="24"/>
        </w:rPr>
        <w:t>MES</w:t>
      </w:r>
      <w:r>
        <w:rPr>
          <w:rFonts w:asciiTheme="majorHAnsi" w:hAnsiTheme="majorHAnsi" w:cstheme="majorHAnsi" w:hint="cs"/>
          <w:sz w:val="24"/>
          <w:szCs w:val="24"/>
          <w:rtl/>
        </w:rPr>
        <w:t xml:space="preserve">), 4.2 מיקרומולר </w:t>
      </w:r>
      <w:r w:rsidR="00867483">
        <w:rPr>
          <w:rFonts w:asciiTheme="majorHAnsi" w:hAnsiTheme="majorHAnsi" w:cstheme="majorHAnsi" w:hint="cs"/>
          <w:sz w:val="24"/>
          <w:szCs w:val="24"/>
          <w:rtl/>
        </w:rPr>
        <w:t>סודיום</w:t>
      </w:r>
      <w:r>
        <w:rPr>
          <w:rFonts w:asciiTheme="majorHAnsi" w:hAnsiTheme="majorHAnsi" w:cstheme="majorHAnsi" w:hint="cs"/>
          <w:sz w:val="24"/>
          <w:szCs w:val="24"/>
          <w:rtl/>
        </w:rPr>
        <w:t xml:space="preserve"> ביקרבונט וסרום עגל עוברי מומת בחום (</w:t>
      </w:r>
      <w:r>
        <w:rPr>
          <w:rFonts w:asciiTheme="majorHAnsi" w:hAnsiTheme="majorHAnsi" w:cstheme="majorHAnsi"/>
          <w:sz w:val="24"/>
          <w:szCs w:val="24"/>
        </w:rPr>
        <w:t>fcs, 10% v/v</w:t>
      </w:r>
      <w:r>
        <w:rPr>
          <w:rFonts w:asciiTheme="majorHAnsi" w:hAnsiTheme="majorHAnsi" w:cstheme="majorHAnsi" w:hint="cs"/>
          <w:sz w:val="24"/>
          <w:szCs w:val="24"/>
          <w:rtl/>
        </w:rPr>
        <w:t xml:space="preserve">) המותאם לרמת </w:t>
      </w:r>
      <w:r>
        <w:rPr>
          <w:rFonts w:asciiTheme="majorHAnsi" w:hAnsiTheme="majorHAnsi" w:cstheme="majorHAnsi"/>
          <w:sz w:val="24"/>
          <w:szCs w:val="24"/>
        </w:rPr>
        <w:t>pH</w:t>
      </w:r>
      <w:r>
        <w:rPr>
          <w:rFonts w:asciiTheme="majorHAnsi" w:hAnsiTheme="majorHAnsi" w:cstheme="majorHAnsi" w:hint="cs"/>
          <w:sz w:val="24"/>
          <w:szCs w:val="24"/>
          <w:rtl/>
        </w:rPr>
        <w:t xml:space="preserve"> 6.8. </w:t>
      </w:r>
    </w:p>
    <w:p w14:paraId="55E7C0A9" w14:textId="461A0E35" w:rsidR="001277DC" w:rsidRPr="001277DC" w:rsidRDefault="001277DC" w:rsidP="001277DC">
      <w:pPr>
        <w:bidi/>
        <w:spacing w:line="360" w:lineRule="auto"/>
        <w:rPr>
          <w:rFonts w:asciiTheme="majorHAnsi" w:hAnsiTheme="majorHAnsi" w:cstheme="majorHAnsi"/>
          <w:b/>
          <w:bCs/>
          <w:sz w:val="24"/>
          <w:szCs w:val="24"/>
          <w:rtl/>
        </w:rPr>
      </w:pPr>
      <w:r w:rsidRPr="001277DC">
        <w:rPr>
          <w:rFonts w:asciiTheme="majorHAnsi" w:hAnsiTheme="majorHAnsi" w:cstheme="majorHAnsi" w:hint="cs"/>
          <w:b/>
          <w:bCs/>
          <w:sz w:val="24"/>
          <w:szCs w:val="24"/>
          <w:rtl/>
        </w:rPr>
        <w:t>בדיקת רגישות:</w:t>
      </w:r>
    </w:p>
    <w:p w14:paraId="709FD5C7" w14:textId="72431142" w:rsidR="001277DC" w:rsidRDefault="001277DC" w:rsidP="001277DC">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בדיקת רגישות הפרומסטיגוטים בוצעה באמצעות ניתוח הפעילות המטבולית של הטפיל. זהו סמן לחיוניות הטפיל, ולפיכך, סמן ליעילות הטיפול. הפעילות המטבולית נמדדה באמצעות כרומטוגרפיה, במדיומים הבאים:</w:t>
      </w:r>
    </w:p>
    <w:p w14:paraId="11F9FCE0" w14:textId="6D8F6A9F" w:rsidR="001277DC" w:rsidRDefault="001277DC" w:rsidP="001277DC">
      <w:pPr>
        <w:pStyle w:val="ListParagraph"/>
        <w:numPr>
          <w:ilvl w:val="0"/>
          <w:numId w:val="2"/>
        </w:numPr>
        <w:bidi/>
        <w:spacing w:line="360" w:lineRule="auto"/>
        <w:rPr>
          <w:rFonts w:asciiTheme="majorHAnsi" w:hAnsiTheme="majorHAnsi" w:cstheme="majorHAnsi"/>
          <w:sz w:val="24"/>
          <w:szCs w:val="24"/>
        </w:rPr>
      </w:pPr>
      <w:r>
        <w:rPr>
          <w:rFonts w:asciiTheme="majorHAnsi" w:hAnsiTheme="majorHAnsi" w:cstheme="majorHAnsi" w:hint="cs"/>
          <w:sz w:val="24"/>
          <w:szCs w:val="24"/>
          <w:rtl/>
        </w:rPr>
        <w:t xml:space="preserve">מדיום גידול (נקי) </w:t>
      </w:r>
      <w:r>
        <w:rPr>
          <w:rFonts w:asciiTheme="majorHAnsi" w:hAnsiTheme="majorHAnsi" w:cstheme="majorHAnsi"/>
          <w:sz w:val="24"/>
          <w:szCs w:val="24"/>
          <w:rtl/>
        </w:rPr>
        <w:t>–</w:t>
      </w:r>
      <w:r>
        <w:rPr>
          <w:rFonts w:asciiTheme="majorHAnsi" w:hAnsiTheme="majorHAnsi" w:cstheme="majorHAnsi" w:hint="cs"/>
          <w:sz w:val="24"/>
          <w:szCs w:val="24"/>
          <w:rtl/>
        </w:rPr>
        <w:t xml:space="preserve"> ביקורת</w:t>
      </w:r>
    </w:p>
    <w:p w14:paraId="533FEB1F" w14:textId="2903E18D" w:rsidR="001277DC" w:rsidRDefault="00867483" w:rsidP="001277DC">
      <w:pPr>
        <w:pStyle w:val="ListParagraph"/>
        <w:numPr>
          <w:ilvl w:val="0"/>
          <w:numId w:val="2"/>
        </w:numPr>
        <w:bidi/>
        <w:spacing w:line="360" w:lineRule="auto"/>
        <w:rPr>
          <w:rFonts w:asciiTheme="majorHAnsi" w:hAnsiTheme="majorHAnsi" w:cstheme="majorHAnsi"/>
          <w:sz w:val="24"/>
          <w:szCs w:val="24"/>
        </w:rPr>
      </w:pPr>
      <w:r>
        <w:rPr>
          <w:rFonts w:asciiTheme="majorHAnsi" w:hAnsiTheme="majorHAnsi" w:cstheme="majorHAnsi" w:hint="cs"/>
          <w:sz w:val="24"/>
          <w:szCs w:val="24"/>
          <w:rtl/>
        </w:rPr>
        <w:t xml:space="preserve">מדיום גידול עם פרומסטיגוטים </w:t>
      </w:r>
      <w:r>
        <w:rPr>
          <w:rFonts w:asciiTheme="majorHAnsi" w:hAnsiTheme="majorHAnsi" w:cstheme="majorHAnsi"/>
          <w:sz w:val="24"/>
          <w:szCs w:val="24"/>
          <w:rtl/>
        </w:rPr>
        <w:t>–</w:t>
      </w:r>
      <w:r>
        <w:rPr>
          <w:rFonts w:asciiTheme="majorHAnsi" w:hAnsiTheme="majorHAnsi" w:cstheme="majorHAnsi" w:hint="cs"/>
          <w:sz w:val="24"/>
          <w:szCs w:val="24"/>
          <w:rtl/>
        </w:rPr>
        <w:t xml:space="preserve"> מכוון לייצג 100% פעילות מטבולית של הטפיל</w:t>
      </w:r>
    </w:p>
    <w:p w14:paraId="20CA6779" w14:textId="5ABEB9BE" w:rsidR="00867483" w:rsidRDefault="00867483" w:rsidP="00867483">
      <w:pPr>
        <w:pStyle w:val="ListParagraph"/>
        <w:numPr>
          <w:ilvl w:val="0"/>
          <w:numId w:val="2"/>
        </w:numPr>
        <w:bidi/>
        <w:spacing w:line="360" w:lineRule="auto"/>
        <w:rPr>
          <w:rFonts w:asciiTheme="majorHAnsi" w:hAnsiTheme="majorHAnsi" w:cstheme="majorHAnsi"/>
          <w:sz w:val="24"/>
          <w:szCs w:val="24"/>
        </w:rPr>
      </w:pPr>
      <w:r>
        <w:rPr>
          <w:rFonts w:asciiTheme="majorHAnsi" w:hAnsiTheme="majorHAnsi" w:cstheme="majorHAnsi" w:hint="cs"/>
          <w:sz w:val="24"/>
          <w:szCs w:val="24"/>
          <w:rtl/>
        </w:rPr>
        <w:t xml:space="preserve">מדיום גידול עם פרומסטיגוטים ואמפוטריצין-בי </w:t>
      </w:r>
      <w:r>
        <w:rPr>
          <w:rFonts w:asciiTheme="majorHAnsi" w:hAnsiTheme="majorHAnsi" w:cstheme="majorHAnsi"/>
          <w:sz w:val="24"/>
          <w:szCs w:val="24"/>
          <w:rtl/>
        </w:rPr>
        <w:t>–</w:t>
      </w:r>
      <w:r>
        <w:rPr>
          <w:rFonts w:asciiTheme="majorHAnsi" w:hAnsiTheme="majorHAnsi" w:cstheme="majorHAnsi" w:hint="cs"/>
          <w:sz w:val="24"/>
          <w:szCs w:val="24"/>
          <w:rtl/>
        </w:rPr>
        <w:t xml:space="preserve"> מייצג 100% דיכוי של פעילות הטפיל</w:t>
      </w:r>
    </w:p>
    <w:p w14:paraId="0B10318F" w14:textId="55A69AD6" w:rsidR="00867483" w:rsidRDefault="00867483" w:rsidP="00867483">
      <w:pPr>
        <w:pStyle w:val="ListParagraph"/>
        <w:numPr>
          <w:ilvl w:val="0"/>
          <w:numId w:val="2"/>
        </w:numPr>
        <w:bidi/>
        <w:spacing w:line="360" w:lineRule="auto"/>
        <w:rPr>
          <w:rFonts w:asciiTheme="majorHAnsi" w:hAnsiTheme="majorHAnsi" w:cstheme="majorHAnsi"/>
          <w:sz w:val="24"/>
          <w:szCs w:val="24"/>
        </w:rPr>
      </w:pPr>
      <w:r>
        <w:rPr>
          <w:rFonts w:asciiTheme="majorHAnsi" w:hAnsiTheme="majorHAnsi" w:cstheme="majorHAnsi" w:hint="cs"/>
          <w:sz w:val="24"/>
          <w:szCs w:val="24"/>
          <w:rtl/>
        </w:rPr>
        <w:t>מדיום גידול, פרומסטיגוטים ו-5 ריכוזים שונים של פרומומיצין, לשם חישוב אחוז דיכוי הפעילות המטבולית של הטפיל</w:t>
      </w:r>
    </w:p>
    <w:p w14:paraId="2275CA91" w14:textId="738ED51D" w:rsidR="00867483" w:rsidRDefault="00867483" w:rsidP="00867483">
      <w:pPr>
        <w:pStyle w:val="ListParagraph"/>
        <w:numPr>
          <w:ilvl w:val="0"/>
          <w:numId w:val="2"/>
        </w:numPr>
        <w:bidi/>
        <w:spacing w:line="360" w:lineRule="auto"/>
        <w:rPr>
          <w:rFonts w:asciiTheme="majorHAnsi" w:hAnsiTheme="majorHAnsi" w:cstheme="majorHAnsi"/>
          <w:sz w:val="24"/>
          <w:szCs w:val="24"/>
        </w:rPr>
      </w:pPr>
      <w:r>
        <w:rPr>
          <w:rFonts w:asciiTheme="majorHAnsi" w:hAnsiTheme="majorHAnsi" w:cstheme="majorHAnsi" w:hint="cs"/>
          <w:sz w:val="24"/>
          <w:szCs w:val="24"/>
          <w:rtl/>
        </w:rPr>
        <w:t>מדיום גידול, פרומסטיגוטים ו-5 ריכוזים שונים של סודיום סטיבוגלוקונט, לשם חישוב אחוז דיכוי הפעילות המטבולית של הטפיל</w:t>
      </w:r>
    </w:p>
    <w:p w14:paraId="49929D6A" w14:textId="1609C2FB" w:rsidR="00867483" w:rsidRDefault="00867483" w:rsidP="00867483">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כל צלחת גידול כללה 3 תאים שונים, על-מנת לאפשר מדידה מדויקת יותר ולהוות ביקורת נוספת לניסוי.</w:t>
      </w:r>
    </w:p>
    <w:p w14:paraId="73C368F0" w14:textId="2F0D9B3A" w:rsidR="00867483" w:rsidRPr="00867483" w:rsidRDefault="00867483" w:rsidP="00867483">
      <w:pPr>
        <w:bidi/>
        <w:spacing w:line="360" w:lineRule="auto"/>
        <w:rPr>
          <w:rFonts w:asciiTheme="majorHAnsi" w:hAnsiTheme="majorHAnsi" w:cstheme="majorHAnsi"/>
          <w:b/>
          <w:bCs/>
          <w:sz w:val="24"/>
          <w:szCs w:val="24"/>
          <w:rtl/>
        </w:rPr>
      </w:pPr>
      <w:r w:rsidRPr="00867483">
        <w:rPr>
          <w:rFonts w:asciiTheme="majorHAnsi" w:hAnsiTheme="majorHAnsi" w:cstheme="majorHAnsi" w:hint="cs"/>
          <w:b/>
          <w:bCs/>
          <w:sz w:val="24"/>
          <w:szCs w:val="24"/>
          <w:rtl/>
        </w:rPr>
        <w:t>חישוב אחוז הדיכוי:</w:t>
      </w:r>
    </w:p>
    <w:p w14:paraId="3808D1D1" w14:textId="0ECC1FD1" w:rsidR="00867483" w:rsidRDefault="00867483" w:rsidP="00867483">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אחוז דיכוי הטפיל חושב באמצעות הנוסחה הבאה לכל ריכוז של האנטימון:</w:t>
      </w:r>
    </w:p>
    <w:p w14:paraId="47ED57FD" w14:textId="264FBA03" w:rsidR="00867483" w:rsidRDefault="00867483" w:rsidP="00867483">
      <w:pPr>
        <w:spacing w:line="360" w:lineRule="auto"/>
        <w:rPr>
          <w:rFonts w:asciiTheme="majorHAnsi" w:hAnsiTheme="majorHAnsi" w:cstheme="majorHAnsi"/>
          <w:sz w:val="24"/>
          <w:szCs w:val="24"/>
          <w:rtl/>
        </w:rPr>
      </w:pPr>
      <w:r w:rsidRPr="003A5878">
        <w:rPr>
          <w:rFonts w:asciiTheme="majorHAnsi" w:hAnsiTheme="majorHAnsi" w:cstheme="majorHAnsi"/>
          <w:b/>
          <w:bCs/>
          <w:sz w:val="24"/>
          <w:szCs w:val="24"/>
        </w:rPr>
        <w:lastRenderedPageBreak/>
        <w:t xml:space="preserve">   Y = [(k-y)/k] * 100</w:t>
      </w:r>
      <w:r w:rsidRPr="003A5878">
        <w:rPr>
          <w:rFonts w:asciiTheme="majorHAnsi" w:hAnsiTheme="majorHAnsi" w:cstheme="majorHAnsi"/>
          <w:sz w:val="24"/>
          <w:szCs w:val="24"/>
        </w:rPr>
        <w:t xml:space="preserve">  </w:t>
      </w:r>
    </w:p>
    <w:p w14:paraId="5B9FC048" w14:textId="0BDE855D" w:rsidR="00867483" w:rsidRDefault="00867483" w:rsidP="00867483">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מנוסחה זו נגזר ה-</w:t>
      </w:r>
      <w:r>
        <w:rPr>
          <w:rFonts w:asciiTheme="majorHAnsi" w:hAnsiTheme="majorHAnsi" w:cstheme="majorHAnsi"/>
          <w:sz w:val="24"/>
          <w:szCs w:val="24"/>
        </w:rPr>
        <w:t>EC50</w:t>
      </w:r>
      <w:r>
        <w:rPr>
          <w:rFonts w:asciiTheme="majorHAnsi" w:hAnsiTheme="majorHAnsi" w:cstheme="majorHAnsi" w:hint="cs"/>
          <w:sz w:val="24"/>
          <w:szCs w:val="24"/>
          <w:rtl/>
        </w:rPr>
        <w:t xml:space="preserve"> (חצי הריכוז האפקטיבי). ככל שה-</w:t>
      </w:r>
      <w:r>
        <w:rPr>
          <w:rFonts w:asciiTheme="majorHAnsi" w:hAnsiTheme="majorHAnsi" w:cstheme="majorHAnsi"/>
          <w:sz w:val="24"/>
          <w:szCs w:val="24"/>
        </w:rPr>
        <w:t>EC50</w:t>
      </w:r>
      <w:r>
        <w:rPr>
          <w:rFonts w:asciiTheme="majorHAnsi" w:hAnsiTheme="majorHAnsi" w:cstheme="majorHAnsi" w:hint="cs"/>
          <w:sz w:val="24"/>
          <w:szCs w:val="24"/>
          <w:rtl/>
        </w:rPr>
        <w:t xml:space="preserve"> נמוך יותר, כך רגישות הטפיל לאנטימון גבוהה יותר. </w:t>
      </w:r>
    </w:p>
    <w:p w14:paraId="72AF032B" w14:textId="3F198647" w:rsidR="00867483" w:rsidRDefault="00867483" w:rsidP="00867483">
      <w:pPr>
        <w:bidi/>
        <w:spacing w:line="360" w:lineRule="auto"/>
        <w:rPr>
          <w:rFonts w:asciiTheme="majorHAnsi" w:hAnsiTheme="majorHAnsi" w:cstheme="majorHAnsi"/>
          <w:sz w:val="24"/>
          <w:szCs w:val="24"/>
          <w:rtl/>
        </w:rPr>
      </w:pPr>
    </w:p>
    <w:p w14:paraId="51411CCC" w14:textId="76502956" w:rsidR="00867483" w:rsidRPr="00867483" w:rsidRDefault="00867483" w:rsidP="00867483">
      <w:pPr>
        <w:bidi/>
        <w:spacing w:line="360" w:lineRule="auto"/>
        <w:rPr>
          <w:rFonts w:asciiTheme="majorHAnsi" w:hAnsiTheme="majorHAnsi" w:cstheme="majorHAnsi"/>
          <w:b/>
          <w:bCs/>
          <w:sz w:val="28"/>
          <w:szCs w:val="28"/>
          <w:rtl/>
        </w:rPr>
      </w:pPr>
      <w:r w:rsidRPr="00867483">
        <w:rPr>
          <w:rFonts w:asciiTheme="majorHAnsi" w:hAnsiTheme="majorHAnsi" w:cstheme="majorHAnsi" w:hint="cs"/>
          <w:b/>
          <w:bCs/>
          <w:sz w:val="28"/>
          <w:szCs w:val="28"/>
          <w:rtl/>
        </w:rPr>
        <w:t>תוצאות:</w:t>
      </w:r>
    </w:p>
    <w:p w14:paraId="7C4EACA5" w14:textId="48BA7AD5" w:rsidR="00867483" w:rsidRDefault="00867483" w:rsidP="00867483">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18 דגימות </w:t>
      </w:r>
      <w:r w:rsidRPr="00A44E9F">
        <w:rPr>
          <w:rFonts w:asciiTheme="majorHAnsi" w:hAnsiTheme="majorHAnsi" w:cstheme="majorHAnsi"/>
          <w:i/>
          <w:iCs/>
          <w:sz w:val="24"/>
          <w:szCs w:val="24"/>
        </w:rPr>
        <w:t>L. tropica</w:t>
      </w:r>
      <w:r>
        <w:rPr>
          <w:rFonts w:asciiTheme="majorHAnsi" w:hAnsiTheme="majorHAnsi" w:cstheme="majorHAnsi" w:hint="cs"/>
          <w:sz w:val="24"/>
          <w:szCs w:val="24"/>
          <w:rtl/>
        </w:rPr>
        <w:t xml:space="preserve"> הופשרו ותורבתו במדיום המתאים. </w:t>
      </w:r>
      <w:r w:rsidRPr="00867483">
        <w:rPr>
          <w:rFonts w:asciiTheme="majorHAnsi" w:hAnsiTheme="majorHAnsi" w:cstheme="majorHAnsi" w:hint="cs"/>
          <w:sz w:val="24"/>
          <w:szCs w:val="24"/>
          <w:rtl/>
        </w:rPr>
        <w:t xml:space="preserve">ניתן היה לתרבת רק 11 מתוך 18 הדגימות שהופשרו לריכוז הנדרש של </w:t>
      </w:r>
      <w:r>
        <w:rPr>
          <w:rFonts w:asciiTheme="majorHAnsi" w:hAnsiTheme="majorHAnsi" w:cstheme="majorHAnsi"/>
          <w:sz w:val="24"/>
          <w:szCs w:val="24"/>
        </w:rPr>
        <w:t>2x10</w:t>
      </w:r>
      <w:r w:rsidRPr="00867483">
        <w:rPr>
          <w:rFonts w:asciiTheme="majorHAnsi" w:hAnsiTheme="majorHAnsi" w:cstheme="majorHAnsi"/>
          <w:sz w:val="24"/>
          <w:szCs w:val="24"/>
          <w:vertAlign w:val="superscript"/>
        </w:rPr>
        <w:t>7</w:t>
      </w:r>
      <w:r>
        <w:rPr>
          <w:rFonts w:asciiTheme="majorHAnsi" w:hAnsiTheme="majorHAnsi" w:cstheme="majorHAnsi" w:hint="cs"/>
          <w:sz w:val="24"/>
          <w:szCs w:val="24"/>
          <w:rtl/>
        </w:rPr>
        <w:t xml:space="preserve"> פרומסטיגוטים למ"ל </w:t>
      </w:r>
      <w:r>
        <w:rPr>
          <w:rFonts w:asciiTheme="majorHAnsi" w:hAnsiTheme="majorHAnsi" w:cstheme="majorHAnsi"/>
          <w:sz w:val="24"/>
          <w:szCs w:val="24"/>
          <w:rtl/>
        </w:rPr>
        <w:t>–</w:t>
      </w:r>
      <w:r>
        <w:rPr>
          <w:rFonts w:asciiTheme="majorHAnsi" w:hAnsiTheme="majorHAnsi" w:cstheme="majorHAnsi" w:hint="cs"/>
          <w:sz w:val="24"/>
          <w:szCs w:val="24"/>
          <w:rtl/>
        </w:rPr>
        <w:t xml:space="preserve"> הריכוז המינימלי הנדרש לבדיקת רגישות. </w:t>
      </w:r>
    </w:p>
    <w:p w14:paraId="35072442" w14:textId="7EA18855" w:rsidR="00867483" w:rsidRDefault="00867483" w:rsidP="00867483">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טבלה 1 משווה את רגישויות 11 זני ה-</w:t>
      </w:r>
      <w:r w:rsidRPr="00A44E9F">
        <w:rPr>
          <w:rFonts w:asciiTheme="majorHAnsi" w:hAnsiTheme="majorHAnsi" w:cstheme="majorHAnsi"/>
          <w:i/>
          <w:iCs/>
          <w:sz w:val="24"/>
          <w:szCs w:val="24"/>
        </w:rPr>
        <w:t>L. tropica</w:t>
      </w:r>
      <w:r>
        <w:rPr>
          <w:rFonts w:asciiTheme="majorHAnsi" w:hAnsiTheme="majorHAnsi" w:cstheme="majorHAnsi" w:hint="cs"/>
          <w:sz w:val="24"/>
          <w:szCs w:val="24"/>
          <w:rtl/>
        </w:rPr>
        <w:t xml:space="preserve"> לסודיום סטיבוגלוקונט ופרמומיצין, על-ידי הצגת חצי הריכוז האפקטיבי הנדרש. </w:t>
      </w:r>
      <w:r w:rsidR="00A44E9F">
        <w:rPr>
          <w:rFonts w:asciiTheme="majorHAnsi" w:hAnsiTheme="majorHAnsi" w:cstheme="majorHAnsi" w:hint="cs"/>
          <w:sz w:val="24"/>
          <w:szCs w:val="24"/>
          <w:rtl/>
        </w:rPr>
        <w:t>עבור סודיום סטיבוגלוקונט, ערכי ה-</w:t>
      </w:r>
      <w:r w:rsidR="00A44E9F">
        <w:rPr>
          <w:rFonts w:asciiTheme="majorHAnsi" w:hAnsiTheme="majorHAnsi" w:cstheme="majorHAnsi"/>
          <w:sz w:val="24"/>
          <w:szCs w:val="24"/>
        </w:rPr>
        <w:t>EC50</w:t>
      </w:r>
      <w:r w:rsidR="00A44E9F">
        <w:rPr>
          <w:rFonts w:asciiTheme="majorHAnsi" w:hAnsiTheme="majorHAnsi" w:cstheme="majorHAnsi" w:hint="cs"/>
          <w:sz w:val="24"/>
          <w:szCs w:val="24"/>
          <w:rtl/>
        </w:rPr>
        <w:t xml:space="preserve"> נעו בין 22-250, ואילו עבור פרומומיצין הערכים נעו בין 17-250. ב-8 מתוך 11 הזנים, הרגישות לפרמומיצין הייתה גבוהה משמעותית מאשר הרגישות לסודיום סטיבוגלוקונט (</w:t>
      </w:r>
      <w:r w:rsidR="00A44E9F">
        <w:rPr>
          <w:rFonts w:asciiTheme="majorHAnsi" w:hAnsiTheme="majorHAnsi" w:cstheme="majorHAnsi"/>
          <w:sz w:val="24"/>
          <w:szCs w:val="24"/>
        </w:rPr>
        <w:t>p=0.013</w:t>
      </w:r>
      <w:r w:rsidR="00A44E9F">
        <w:rPr>
          <w:rFonts w:asciiTheme="majorHAnsi" w:hAnsiTheme="majorHAnsi" w:cstheme="majorHAnsi" w:hint="cs"/>
          <w:sz w:val="24"/>
          <w:szCs w:val="24"/>
          <w:rtl/>
        </w:rPr>
        <w:t xml:space="preserve">, מבחן ווילקוקסון למדגמים מזווגים). </w:t>
      </w:r>
    </w:p>
    <w:p w14:paraId="1EA57A01" w14:textId="2F852823" w:rsidR="00867483" w:rsidRPr="00A44E9F" w:rsidRDefault="00A44E9F" w:rsidP="00A44E9F">
      <w:pPr>
        <w:bidi/>
        <w:spacing w:line="360" w:lineRule="auto"/>
        <w:rPr>
          <w:rFonts w:asciiTheme="majorHAnsi" w:hAnsiTheme="majorHAnsi" w:cstheme="majorHAnsi"/>
          <w:sz w:val="28"/>
          <w:szCs w:val="28"/>
          <w:rtl/>
        </w:rPr>
      </w:pPr>
      <w:r>
        <w:rPr>
          <w:rFonts w:asciiTheme="majorHAnsi" w:hAnsiTheme="majorHAnsi" w:cstheme="majorHAnsi" w:hint="cs"/>
          <w:sz w:val="24"/>
          <w:szCs w:val="24"/>
          <w:rtl/>
        </w:rPr>
        <w:t xml:space="preserve">טבלה 1. רגישות פרומסטיגוטים של </w:t>
      </w:r>
      <w:r w:rsidRPr="00A44E9F">
        <w:rPr>
          <w:rFonts w:asciiTheme="majorHAnsi" w:hAnsiTheme="majorHAnsi" w:cstheme="majorHAnsi"/>
          <w:i/>
          <w:iCs/>
          <w:sz w:val="24"/>
          <w:szCs w:val="24"/>
        </w:rPr>
        <w:t>L. tropica</w:t>
      </w:r>
      <w:r>
        <w:rPr>
          <w:rFonts w:asciiTheme="majorHAnsi" w:hAnsiTheme="majorHAnsi" w:cstheme="majorHAnsi" w:hint="cs"/>
          <w:sz w:val="24"/>
          <w:szCs w:val="24"/>
          <w:rtl/>
        </w:rPr>
        <w:t xml:space="preserve"> לסודיום סטיבוגלוקונט ופרומומיצין בערכי </w:t>
      </w:r>
      <w:r>
        <w:rPr>
          <w:rFonts w:asciiTheme="majorHAnsi" w:hAnsiTheme="majorHAnsi" w:cstheme="majorHAnsi"/>
          <w:sz w:val="24"/>
          <w:szCs w:val="24"/>
        </w:rPr>
        <w:t>EC50</w:t>
      </w:r>
      <w:r>
        <w:rPr>
          <w:rFonts w:asciiTheme="majorHAnsi" w:hAnsiTheme="majorHAnsi" w:cstheme="majorHAnsi" w:hint="cs"/>
          <w:sz w:val="24"/>
          <w:szCs w:val="24"/>
          <w:rtl/>
        </w:rPr>
        <w:t>.</w:t>
      </w:r>
    </w:p>
    <w:tbl>
      <w:tblPr>
        <w:tblStyle w:val="TableGrid"/>
        <w:bidiVisual/>
        <w:tblW w:w="0" w:type="auto"/>
        <w:tblLook w:val="04A0" w:firstRow="1" w:lastRow="0" w:firstColumn="1" w:lastColumn="0" w:noHBand="0" w:noVBand="1"/>
      </w:tblPr>
      <w:tblGrid>
        <w:gridCol w:w="743"/>
        <w:gridCol w:w="755"/>
        <w:gridCol w:w="1796"/>
        <w:gridCol w:w="1034"/>
      </w:tblGrid>
      <w:tr w:rsidR="00A44E9F" w:rsidRPr="003A5878" w14:paraId="7DB37183" w14:textId="77777777" w:rsidTr="00A44E9F">
        <w:tc>
          <w:tcPr>
            <w:tcW w:w="0" w:type="auto"/>
          </w:tcPr>
          <w:p w14:paraId="6295FDBD" w14:textId="3F034C3F" w:rsidR="00A44E9F" w:rsidRPr="003A5878" w:rsidRDefault="00A44E9F" w:rsidP="009825B0">
            <w:pPr>
              <w:spacing w:line="360" w:lineRule="auto"/>
              <w:rPr>
                <w:rFonts w:asciiTheme="majorHAnsi" w:hAnsiTheme="majorHAnsi" w:cstheme="majorHAnsi"/>
              </w:rPr>
            </w:pPr>
          </w:p>
        </w:tc>
        <w:tc>
          <w:tcPr>
            <w:tcW w:w="0" w:type="auto"/>
          </w:tcPr>
          <w:p w14:paraId="2F3433B2" w14:textId="3AB02879" w:rsidR="00A44E9F" w:rsidRPr="003A5878" w:rsidRDefault="00A44E9F" w:rsidP="009825B0">
            <w:pPr>
              <w:spacing w:line="360" w:lineRule="auto"/>
              <w:rPr>
                <w:rFonts w:asciiTheme="majorHAnsi" w:hAnsiTheme="majorHAnsi" w:cstheme="majorHAnsi"/>
              </w:rPr>
            </w:pPr>
          </w:p>
        </w:tc>
        <w:tc>
          <w:tcPr>
            <w:tcW w:w="0" w:type="auto"/>
            <w:gridSpan w:val="2"/>
          </w:tcPr>
          <w:p w14:paraId="7CF1A04F" w14:textId="6248A97F" w:rsidR="00A44E9F" w:rsidRPr="003A5878" w:rsidRDefault="00A44E9F" w:rsidP="009825B0">
            <w:pPr>
              <w:spacing w:line="360" w:lineRule="auto"/>
              <w:jc w:val="center"/>
              <w:rPr>
                <w:rFonts w:asciiTheme="majorHAnsi" w:hAnsiTheme="majorHAnsi" w:cstheme="majorHAnsi"/>
              </w:rPr>
            </w:pPr>
            <w:r w:rsidRPr="003A5878">
              <w:rPr>
                <w:rFonts w:asciiTheme="majorHAnsi" w:hAnsiTheme="majorHAnsi" w:cstheme="majorHAnsi"/>
              </w:rPr>
              <w:t>EC50</w:t>
            </w:r>
          </w:p>
        </w:tc>
      </w:tr>
      <w:tr w:rsidR="00A44E9F" w:rsidRPr="003A5878" w14:paraId="28CE11C1" w14:textId="77777777" w:rsidTr="00A44E9F">
        <w:tc>
          <w:tcPr>
            <w:tcW w:w="0" w:type="auto"/>
          </w:tcPr>
          <w:p w14:paraId="6816BBC1" w14:textId="68AABAFD" w:rsidR="00A44E9F" w:rsidRPr="003A5878" w:rsidRDefault="00A44E9F" w:rsidP="00A44E9F">
            <w:pPr>
              <w:bidi/>
              <w:spacing w:line="360" w:lineRule="auto"/>
              <w:rPr>
                <w:rFonts w:asciiTheme="majorHAnsi" w:hAnsiTheme="majorHAnsi" w:cstheme="majorHAnsi"/>
              </w:rPr>
            </w:pPr>
            <w:r>
              <w:rPr>
                <w:rFonts w:asciiTheme="majorHAnsi" w:hAnsiTheme="majorHAnsi" w:cstheme="majorHAnsi" w:hint="cs"/>
                <w:rtl/>
              </w:rPr>
              <w:t>דגימה</w:t>
            </w:r>
            <w:r w:rsidRPr="003A5878">
              <w:rPr>
                <w:rFonts w:asciiTheme="majorHAnsi" w:hAnsiTheme="majorHAnsi" w:cstheme="majorHAnsi"/>
              </w:rPr>
              <w:t xml:space="preserve"> </w:t>
            </w:r>
          </w:p>
        </w:tc>
        <w:tc>
          <w:tcPr>
            <w:tcW w:w="0" w:type="auto"/>
          </w:tcPr>
          <w:p w14:paraId="4B2DBD0B" w14:textId="7478824A" w:rsidR="00A44E9F" w:rsidRPr="003A5878" w:rsidRDefault="00A44E9F" w:rsidP="00A44E9F">
            <w:pPr>
              <w:bidi/>
              <w:spacing w:line="360" w:lineRule="auto"/>
              <w:rPr>
                <w:rFonts w:asciiTheme="majorHAnsi" w:hAnsiTheme="majorHAnsi" w:cstheme="majorHAnsi"/>
              </w:rPr>
            </w:pPr>
            <w:r>
              <w:rPr>
                <w:rFonts w:asciiTheme="majorHAnsi" w:hAnsiTheme="majorHAnsi" w:cstheme="majorHAnsi" w:hint="cs"/>
                <w:rtl/>
              </w:rPr>
              <w:t>זן</w:t>
            </w:r>
          </w:p>
        </w:tc>
        <w:tc>
          <w:tcPr>
            <w:tcW w:w="0" w:type="auto"/>
          </w:tcPr>
          <w:p w14:paraId="34BA3859" w14:textId="17BBFC47" w:rsidR="00A44E9F" w:rsidRPr="003A5878" w:rsidRDefault="00A44E9F" w:rsidP="00A44E9F">
            <w:pPr>
              <w:bidi/>
              <w:spacing w:line="360" w:lineRule="auto"/>
              <w:jc w:val="center"/>
              <w:rPr>
                <w:rFonts w:asciiTheme="majorHAnsi" w:hAnsiTheme="majorHAnsi" w:cstheme="majorHAnsi"/>
              </w:rPr>
            </w:pPr>
            <w:r>
              <w:rPr>
                <w:rFonts w:asciiTheme="majorHAnsi" w:hAnsiTheme="majorHAnsi" w:cstheme="majorHAnsi" w:hint="cs"/>
                <w:rtl/>
              </w:rPr>
              <w:t>סודיום סטיבוגלוקונט</w:t>
            </w:r>
          </w:p>
        </w:tc>
        <w:tc>
          <w:tcPr>
            <w:tcW w:w="0" w:type="auto"/>
          </w:tcPr>
          <w:p w14:paraId="671070A4" w14:textId="6719AAB5" w:rsidR="00A44E9F" w:rsidRPr="003A5878" w:rsidRDefault="00A44E9F" w:rsidP="00A44E9F">
            <w:pPr>
              <w:bidi/>
              <w:spacing w:line="360" w:lineRule="auto"/>
              <w:jc w:val="center"/>
              <w:rPr>
                <w:rFonts w:asciiTheme="majorHAnsi" w:hAnsiTheme="majorHAnsi" w:cstheme="majorHAnsi"/>
              </w:rPr>
            </w:pPr>
            <w:r>
              <w:rPr>
                <w:rFonts w:asciiTheme="majorHAnsi" w:hAnsiTheme="majorHAnsi" w:cstheme="majorHAnsi" w:hint="cs"/>
                <w:rtl/>
              </w:rPr>
              <w:t>פרומומיצין</w:t>
            </w:r>
          </w:p>
        </w:tc>
      </w:tr>
      <w:tr w:rsidR="00A44E9F" w:rsidRPr="003A5878" w14:paraId="4415EE7C" w14:textId="77777777" w:rsidTr="00A44E9F">
        <w:tc>
          <w:tcPr>
            <w:tcW w:w="0" w:type="auto"/>
          </w:tcPr>
          <w:p w14:paraId="048BE4DF" w14:textId="0C4B8C9D"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1</w:t>
            </w:r>
          </w:p>
        </w:tc>
        <w:tc>
          <w:tcPr>
            <w:tcW w:w="0" w:type="auto"/>
          </w:tcPr>
          <w:p w14:paraId="05D7E4A1" w14:textId="6CB85587"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i/>
                <w:iCs/>
                <w:u w:val="single"/>
              </w:rPr>
              <w:t>L1638</w:t>
            </w:r>
          </w:p>
        </w:tc>
        <w:tc>
          <w:tcPr>
            <w:tcW w:w="0" w:type="auto"/>
          </w:tcPr>
          <w:p w14:paraId="466AAF02" w14:textId="66DEECC4"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67</w:t>
            </w:r>
          </w:p>
        </w:tc>
        <w:tc>
          <w:tcPr>
            <w:tcW w:w="0" w:type="auto"/>
          </w:tcPr>
          <w:p w14:paraId="05C8B440" w14:textId="63104765"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18</w:t>
            </w:r>
          </w:p>
        </w:tc>
      </w:tr>
      <w:tr w:rsidR="00A44E9F" w:rsidRPr="003A5878" w14:paraId="4F4B9AC8" w14:textId="77777777" w:rsidTr="00A44E9F">
        <w:tc>
          <w:tcPr>
            <w:tcW w:w="0" w:type="auto"/>
          </w:tcPr>
          <w:p w14:paraId="186AE530" w14:textId="495E2A5E"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2</w:t>
            </w:r>
          </w:p>
        </w:tc>
        <w:tc>
          <w:tcPr>
            <w:tcW w:w="0" w:type="auto"/>
          </w:tcPr>
          <w:p w14:paraId="57E7299E" w14:textId="76B610EE"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i/>
                <w:iCs/>
                <w:u w:val="single"/>
              </w:rPr>
              <w:t>L1504</w:t>
            </w:r>
          </w:p>
        </w:tc>
        <w:tc>
          <w:tcPr>
            <w:tcW w:w="0" w:type="auto"/>
          </w:tcPr>
          <w:p w14:paraId="5A3481AA" w14:textId="112E0262"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55</w:t>
            </w:r>
          </w:p>
        </w:tc>
        <w:tc>
          <w:tcPr>
            <w:tcW w:w="0" w:type="auto"/>
          </w:tcPr>
          <w:p w14:paraId="2B5F4CD9" w14:textId="028FC98F"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56</w:t>
            </w:r>
          </w:p>
        </w:tc>
      </w:tr>
      <w:tr w:rsidR="00A44E9F" w:rsidRPr="003A5878" w14:paraId="45CDFCA8" w14:textId="77777777" w:rsidTr="00A44E9F">
        <w:tc>
          <w:tcPr>
            <w:tcW w:w="0" w:type="auto"/>
          </w:tcPr>
          <w:p w14:paraId="227DD309" w14:textId="3C8C2EFE"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3</w:t>
            </w:r>
          </w:p>
        </w:tc>
        <w:tc>
          <w:tcPr>
            <w:tcW w:w="0" w:type="auto"/>
          </w:tcPr>
          <w:p w14:paraId="5015CBB9" w14:textId="41B46216"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i/>
                <w:iCs/>
                <w:u w:val="single"/>
              </w:rPr>
              <w:t>L1534</w:t>
            </w:r>
          </w:p>
        </w:tc>
        <w:tc>
          <w:tcPr>
            <w:tcW w:w="0" w:type="auto"/>
          </w:tcPr>
          <w:p w14:paraId="6F354EAC" w14:textId="2D1E21A6"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69</w:t>
            </w:r>
          </w:p>
        </w:tc>
        <w:tc>
          <w:tcPr>
            <w:tcW w:w="0" w:type="auto"/>
          </w:tcPr>
          <w:p w14:paraId="6B180DD9" w14:textId="61341A96"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48</w:t>
            </w:r>
          </w:p>
        </w:tc>
      </w:tr>
      <w:tr w:rsidR="00A44E9F" w:rsidRPr="003A5878" w14:paraId="5B567897" w14:textId="77777777" w:rsidTr="00A44E9F">
        <w:tc>
          <w:tcPr>
            <w:tcW w:w="0" w:type="auto"/>
          </w:tcPr>
          <w:p w14:paraId="0A628CA8" w14:textId="68F38DC1"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4</w:t>
            </w:r>
          </w:p>
        </w:tc>
        <w:tc>
          <w:tcPr>
            <w:tcW w:w="0" w:type="auto"/>
          </w:tcPr>
          <w:p w14:paraId="01BAB16C" w14:textId="4023C7EC"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i/>
                <w:iCs/>
                <w:u w:val="single"/>
              </w:rPr>
              <w:t>L1566</w:t>
            </w:r>
          </w:p>
        </w:tc>
        <w:tc>
          <w:tcPr>
            <w:tcW w:w="0" w:type="auto"/>
          </w:tcPr>
          <w:p w14:paraId="72352C09" w14:textId="77FDB20C"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53</w:t>
            </w:r>
          </w:p>
        </w:tc>
        <w:tc>
          <w:tcPr>
            <w:tcW w:w="0" w:type="auto"/>
          </w:tcPr>
          <w:p w14:paraId="7CE75120" w14:textId="26ECC9B5"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17</w:t>
            </w:r>
          </w:p>
        </w:tc>
      </w:tr>
      <w:tr w:rsidR="00A44E9F" w:rsidRPr="003A5878" w14:paraId="038BACCD" w14:textId="77777777" w:rsidTr="00A44E9F">
        <w:tc>
          <w:tcPr>
            <w:tcW w:w="0" w:type="auto"/>
          </w:tcPr>
          <w:p w14:paraId="1F5D1F82" w14:textId="629209E4"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5</w:t>
            </w:r>
          </w:p>
        </w:tc>
        <w:tc>
          <w:tcPr>
            <w:tcW w:w="0" w:type="auto"/>
          </w:tcPr>
          <w:p w14:paraId="528E9238" w14:textId="37B99216"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i/>
                <w:iCs/>
                <w:u w:val="single"/>
              </w:rPr>
              <w:t>L1567</w:t>
            </w:r>
          </w:p>
        </w:tc>
        <w:tc>
          <w:tcPr>
            <w:tcW w:w="0" w:type="auto"/>
          </w:tcPr>
          <w:p w14:paraId="428C5FEF" w14:textId="5AA460E8"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60</w:t>
            </w:r>
          </w:p>
        </w:tc>
        <w:tc>
          <w:tcPr>
            <w:tcW w:w="0" w:type="auto"/>
          </w:tcPr>
          <w:p w14:paraId="1E493BC1" w14:textId="6502EDBB"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30</w:t>
            </w:r>
          </w:p>
        </w:tc>
      </w:tr>
      <w:tr w:rsidR="00A44E9F" w:rsidRPr="003A5878" w14:paraId="5B56B0FA" w14:textId="77777777" w:rsidTr="00A44E9F">
        <w:tc>
          <w:tcPr>
            <w:tcW w:w="0" w:type="auto"/>
          </w:tcPr>
          <w:p w14:paraId="2070D61E" w14:textId="1792556F"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6</w:t>
            </w:r>
          </w:p>
        </w:tc>
        <w:tc>
          <w:tcPr>
            <w:tcW w:w="0" w:type="auto"/>
          </w:tcPr>
          <w:p w14:paraId="23D305BB" w14:textId="6526184D"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L1559</w:t>
            </w:r>
          </w:p>
        </w:tc>
        <w:tc>
          <w:tcPr>
            <w:tcW w:w="0" w:type="auto"/>
          </w:tcPr>
          <w:p w14:paraId="718F9FB0" w14:textId="6F268982"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170.6</w:t>
            </w:r>
          </w:p>
        </w:tc>
        <w:tc>
          <w:tcPr>
            <w:tcW w:w="0" w:type="auto"/>
          </w:tcPr>
          <w:p w14:paraId="2DEE0B17" w14:textId="3C671BFD"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76.9</w:t>
            </w:r>
          </w:p>
        </w:tc>
      </w:tr>
      <w:tr w:rsidR="00A44E9F" w:rsidRPr="003A5878" w14:paraId="49E2DCB3" w14:textId="77777777" w:rsidTr="00A44E9F">
        <w:tc>
          <w:tcPr>
            <w:tcW w:w="0" w:type="auto"/>
          </w:tcPr>
          <w:p w14:paraId="27D04E00" w14:textId="63E4427D"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7</w:t>
            </w:r>
          </w:p>
        </w:tc>
        <w:tc>
          <w:tcPr>
            <w:tcW w:w="0" w:type="auto"/>
          </w:tcPr>
          <w:p w14:paraId="7D4D0E0B" w14:textId="017F38AA"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L1579</w:t>
            </w:r>
          </w:p>
        </w:tc>
        <w:tc>
          <w:tcPr>
            <w:tcW w:w="0" w:type="auto"/>
          </w:tcPr>
          <w:p w14:paraId="1020B71B" w14:textId="34762947"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&gt;250</w:t>
            </w:r>
          </w:p>
        </w:tc>
        <w:tc>
          <w:tcPr>
            <w:tcW w:w="0" w:type="auto"/>
          </w:tcPr>
          <w:p w14:paraId="521D4B11" w14:textId="5AA998D1"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152.1</w:t>
            </w:r>
          </w:p>
        </w:tc>
      </w:tr>
      <w:tr w:rsidR="00A44E9F" w:rsidRPr="003A5878" w14:paraId="03D0EAD5" w14:textId="77777777" w:rsidTr="00A44E9F">
        <w:tc>
          <w:tcPr>
            <w:tcW w:w="0" w:type="auto"/>
          </w:tcPr>
          <w:p w14:paraId="1F399473" w14:textId="46D793F8"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8</w:t>
            </w:r>
          </w:p>
        </w:tc>
        <w:tc>
          <w:tcPr>
            <w:tcW w:w="0" w:type="auto"/>
          </w:tcPr>
          <w:p w14:paraId="7F00B5F2" w14:textId="08AD7A73"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L1601</w:t>
            </w:r>
          </w:p>
        </w:tc>
        <w:tc>
          <w:tcPr>
            <w:tcW w:w="0" w:type="auto"/>
          </w:tcPr>
          <w:p w14:paraId="595111A1" w14:textId="341A55BF"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92.91</w:t>
            </w:r>
          </w:p>
        </w:tc>
        <w:tc>
          <w:tcPr>
            <w:tcW w:w="0" w:type="auto"/>
          </w:tcPr>
          <w:p w14:paraId="161E2C20" w14:textId="375876F3"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33.17</w:t>
            </w:r>
          </w:p>
        </w:tc>
      </w:tr>
      <w:tr w:rsidR="00A44E9F" w:rsidRPr="003A5878" w14:paraId="0DF986A1" w14:textId="77777777" w:rsidTr="00A44E9F">
        <w:tc>
          <w:tcPr>
            <w:tcW w:w="0" w:type="auto"/>
          </w:tcPr>
          <w:p w14:paraId="00CDAD39" w14:textId="575473C6"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9</w:t>
            </w:r>
          </w:p>
        </w:tc>
        <w:tc>
          <w:tcPr>
            <w:tcW w:w="0" w:type="auto"/>
          </w:tcPr>
          <w:p w14:paraId="6D7B0DE4" w14:textId="023F3319"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L1607</w:t>
            </w:r>
          </w:p>
        </w:tc>
        <w:tc>
          <w:tcPr>
            <w:tcW w:w="0" w:type="auto"/>
          </w:tcPr>
          <w:p w14:paraId="24D0C7C9" w14:textId="715848C4"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&gt;250</w:t>
            </w:r>
          </w:p>
        </w:tc>
        <w:tc>
          <w:tcPr>
            <w:tcW w:w="0" w:type="auto"/>
          </w:tcPr>
          <w:p w14:paraId="788D34DF" w14:textId="57D806C4"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&gt;250</w:t>
            </w:r>
          </w:p>
        </w:tc>
      </w:tr>
      <w:tr w:rsidR="00A44E9F" w:rsidRPr="003A5878" w14:paraId="19360A88" w14:textId="77777777" w:rsidTr="00A44E9F">
        <w:tc>
          <w:tcPr>
            <w:tcW w:w="0" w:type="auto"/>
          </w:tcPr>
          <w:p w14:paraId="38AE8616" w14:textId="5DEA553C"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10</w:t>
            </w:r>
          </w:p>
        </w:tc>
        <w:tc>
          <w:tcPr>
            <w:tcW w:w="0" w:type="auto"/>
          </w:tcPr>
          <w:p w14:paraId="1A5ACB4B" w14:textId="4D97F03B"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L1623</w:t>
            </w:r>
          </w:p>
        </w:tc>
        <w:tc>
          <w:tcPr>
            <w:tcW w:w="0" w:type="auto"/>
          </w:tcPr>
          <w:p w14:paraId="2835B2CC" w14:textId="62EC72E0"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22</w:t>
            </w:r>
          </w:p>
        </w:tc>
        <w:tc>
          <w:tcPr>
            <w:tcW w:w="0" w:type="auto"/>
          </w:tcPr>
          <w:p w14:paraId="2F18F894" w14:textId="158879C7"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&gt;27</w:t>
            </w:r>
          </w:p>
        </w:tc>
      </w:tr>
      <w:tr w:rsidR="00A44E9F" w:rsidRPr="003A5878" w14:paraId="3FF7FC68" w14:textId="77777777" w:rsidTr="00A44E9F">
        <w:tc>
          <w:tcPr>
            <w:tcW w:w="0" w:type="auto"/>
          </w:tcPr>
          <w:p w14:paraId="493EB1F0" w14:textId="01D4C4A1"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rPr>
              <w:t>11</w:t>
            </w:r>
          </w:p>
        </w:tc>
        <w:tc>
          <w:tcPr>
            <w:tcW w:w="0" w:type="auto"/>
          </w:tcPr>
          <w:p w14:paraId="053D1650" w14:textId="58E7D4B9" w:rsidR="00A44E9F" w:rsidRPr="003A5878" w:rsidRDefault="00A44E9F" w:rsidP="00A44E9F">
            <w:pPr>
              <w:bidi/>
              <w:spacing w:line="360" w:lineRule="auto"/>
              <w:rPr>
                <w:rFonts w:asciiTheme="majorHAnsi" w:hAnsiTheme="majorHAnsi" w:cstheme="majorHAnsi"/>
              </w:rPr>
            </w:pPr>
            <w:r w:rsidRPr="003A5878">
              <w:rPr>
                <w:rFonts w:asciiTheme="majorHAnsi" w:hAnsiTheme="majorHAnsi" w:cstheme="majorHAnsi"/>
                <w:u w:val="single"/>
              </w:rPr>
              <w:t>L1558</w:t>
            </w:r>
          </w:p>
        </w:tc>
        <w:tc>
          <w:tcPr>
            <w:tcW w:w="0" w:type="auto"/>
          </w:tcPr>
          <w:p w14:paraId="138DB18A" w14:textId="23FFD5F7"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&gt;80</w:t>
            </w:r>
          </w:p>
        </w:tc>
        <w:tc>
          <w:tcPr>
            <w:tcW w:w="0" w:type="auto"/>
          </w:tcPr>
          <w:p w14:paraId="3DE0B0A2" w14:textId="2FB48256" w:rsidR="00A44E9F" w:rsidRPr="003A5878" w:rsidRDefault="00A44E9F" w:rsidP="00A44E9F">
            <w:pPr>
              <w:bidi/>
              <w:spacing w:line="360" w:lineRule="auto"/>
              <w:jc w:val="center"/>
              <w:rPr>
                <w:rFonts w:asciiTheme="majorHAnsi" w:hAnsiTheme="majorHAnsi" w:cstheme="majorHAnsi"/>
              </w:rPr>
            </w:pPr>
            <w:r w:rsidRPr="003A5878">
              <w:rPr>
                <w:rFonts w:asciiTheme="majorHAnsi" w:hAnsiTheme="majorHAnsi" w:cstheme="majorHAnsi"/>
              </w:rPr>
              <w:t>68.96</w:t>
            </w:r>
          </w:p>
        </w:tc>
      </w:tr>
    </w:tbl>
    <w:p w14:paraId="722D9D80" w14:textId="068506A1" w:rsidR="006E7B35" w:rsidRPr="00A44E9F" w:rsidRDefault="0088187E" w:rsidP="009825B0">
      <w:pPr>
        <w:spacing w:line="360" w:lineRule="auto"/>
        <w:rPr>
          <w:rFonts w:asciiTheme="majorHAnsi" w:hAnsiTheme="majorHAnsi" w:cstheme="majorHAnsi"/>
          <w:b/>
          <w:bCs/>
          <w:sz w:val="28"/>
          <w:szCs w:val="28"/>
        </w:rPr>
      </w:pPr>
      <w:r w:rsidRPr="00A44E9F">
        <w:rPr>
          <w:rFonts w:asciiTheme="majorHAnsi" w:hAnsiTheme="majorHAnsi" w:cstheme="majorHAnsi"/>
          <w:b/>
          <w:bCs/>
          <w:sz w:val="28"/>
          <w:szCs w:val="28"/>
        </w:rPr>
        <w:fldChar w:fldCharType="begin"/>
      </w:r>
      <w:r w:rsidRPr="00A44E9F">
        <w:rPr>
          <w:rFonts w:asciiTheme="majorHAnsi" w:hAnsiTheme="majorHAnsi" w:cstheme="majorHAnsi"/>
          <w:b/>
          <w:bCs/>
          <w:sz w:val="28"/>
          <w:szCs w:val="28"/>
        </w:rPr>
        <w:instrText xml:space="preserve"> LINK </w:instrText>
      </w:r>
      <w:r w:rsidR="005036C9" w:rsidRPr="00A44E9F">
        <w:rPr>
          <w:rFonts w:asciiTheme="majorHAnsi" w:hAnsiTheme="majorHAnsi" w:cstheme="majorHAnsi"/>
          <w:b/>
          <w:bCs/>
          <w:sz w:val="28"/>
          <w:szCs w:val="28"/>
        </w:rPr>
        <w:instrText xml:space="preserve">Excel.Sheet.12 "C:\\Users\\Sari Murad\\Desktop\\SariSummery +LEE Adds.xlsx" Sheet1!R2C6:R23C10 </w:instrText>
      </w:r>
      <w:r w:rsidRPr="00A44E9F">
        <w:rPr>
          <w:rFonts w:asciiTheme="majorHAnsi" w:hAnsiTheme="majorHAnsi" w:cstheme="majorHAnsi"/>
          <w:b/>
          <w:bCs/>
          <w:sz w:val="28"/>
          <w:szCs w:val="28"/>
        </w:rPr>
        <w:instrText xml:space="preserve">\a \f 5 \h  \* MERGEFORMAT </w:instrText>
      </w:r>
      <w:r w:rsidRPr="00A44E9F">
        <w:rPr>
          <w:rFonts w:asciiTheme="majorHAnsi" w:hAnsiTheme="majorHAnsi" w:cstheme="majorHAnsi"/>
          <w:b/>
          <w:bCs/>
          <w:sz w:val="28"/>
          <w:szCs w:val="28"/>
        </w:rPr>
        <w:fldChar w:fldCharType="separate"/>
      </w:r>
    </w:p>
    <w:p w14:paraId="34D7C878" w14:textId="665A9B35" w:rsidR="0078376E" w:rsidRPr="00A44E9F" w:rsidRDefault="0088187E" w:rsidP="00A44E9F">
      <w:pPr>
        <w:bidi/>
        <w:spacing w:line="360" w:lineRule="auto"/>
        <w:rPr>
          <w:rFonts w:asciiTheme="majorHAnsi" w:hAnsiTheme="majorHAnsi" w:cstheme="majorHAnsi"/>
          <w:b/>
          <w:bCs/>
          <w:sz w:val="28"/>
          <w:szCs w:val="28"/>
          <w:rtl/>
        </w:rPr>
      </w:pPr>
      <w:r w:rsidRPr="00A44E9F">
        <w:rPr>
          <w:rFonts w:asciiTheme="majorHAnsi" w:hAnsiTheme="majorHAnsi" w:cstheme="majorHAnsi"/>
          <w:b/>
          <w:bCs/>
          <w:sz w:val="28"/>
          <w:szCs w:val="28"/>
        </w:rPr>
        <w:fldChar w:fldCharType="end"/>
      </w:r>
      <w:r w:rsidR="00A44E9F" w:rsidRPr="00A44E9F">
        <w:rPr>
          <w:rFonts w:asciiTheme="majorHAnsi" w:hAnsiTheme="majorHAnsi" w:cstheme="majorHAnsi" w:hint="cs"/>
          <w:b/>
          <w:bCs/>
          <w:sz w:val="28"/>
          <w:szCs w:val="28"/>
          <w:rtl/>
        </w:rPr>
        <w:t>דיון:</w:t>
      </w:r>
    </w:p>
    <w:p w14:paraId="3D013A03" w14:textId="593934E4" w:rsidR="00A44E9F" w:rsidRDefault="00A44E9F" w:rsidP="00A44E9F">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lastRenderedPageBreak/>
        <w:t xml:space="preserve">מטרת מחקר זה הייתה להשוות את רגישות הפרומסטיגוטים של </w:t>
      </w:r>
      <w:r w:rsidRPr="00A44E9F">
        <w:rPr>
          <w:rFonts w:asciiTheme="majorHAnsi" w:hAnsiTheme="majorHAnsi" w:cstheme="majorHAnsi"/>
          <w:i/>
          <w:iCs/>
          <w:sz w:val="24"/>
          <w:szCs w:val="24"/>
        </w:rPr>
        <w:t>L. tropica</w:t>
      </w:r>
      <w:r w:rsidRPr="00A44E9F">
        <w:rPr>
          <w:rFonts w:asciiTheme="majorHAnsi" w:hAnsiTheme="majorHAnsi" w:cstheme="majorHAnsi" w:hint="cs"/>
          <w:i/>
          <w:iCs/>
          <w:sz w:val="24"/>
          <w:szCs w:val="24"/>
          <w:rtl/>
        </w:rPr>
        <w:t xml:space="preserve"> </w:t>
      </w:r>
      <w:r>
        <w:rPr>
          <w:rFonts w:asciiTheme="majorHAnsi" w:hAnsiTheme="majorHAnsi" w:cstheme="majorHAnsi" w:hint="cs"/>
          <w:sz w:val="24"/>
          <w:szCs w:val="24"/>
          <w:rtl/>
        </w:rPr>
        <w:t>לפרומומיצין וסודיום סטיבוגלוקונט בתנאי מעבדה. ישנן אפשרויות טיפול רבות ללישמניאזיס, ובחירה באפשרות מסוימת מונעת לרוב משיקולים לא-ביולוגיים, כגון המיקום האנטומי של הנגע, משך הטיפול, דרך מתן הטיפול והעדפות המטופל. לכן, האפשרות להתאים את בחירת הטיפול לתוצאות בחינת רגישות הטפילים מעוררת עניין רב.</w:t>
      </w:r>
    </w:p>
    <w:p w14:paraId="01750939" w14:textId="34649E8E" w:rsidR="00A44E9F" w:rsidRDefault="00A44E9F" w:rsidP="00A44E9F">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בניגוד לתוצאות הניסוי המעבדתי שלנו, הניסיון הקליני מראה בבירור כי סודיום סטיבוגלוקונט יעיל יותר מפרומומיצין לטיפול בנגעים עוריים הנגרמים על-ידי </w:t>
      </w:r>
      <w:r w:rsidRPr="002C0B3C">
        <w:rPr>
          <w:rFonts w:asciiTheme="majorHAnsi" w:hAnsiTheme="majorHAnsi" w:cstheme="majorHAnsi"/>
          <w:i/>
          <w:iCs/>
          <w:sz w:val="24"/>
          <w:szCs w:val="24"/>
        </w:rPr>
        <w:t>L. tropica</w:t>
      </w:r>
      <w:r>
        <w:rPr>
          <w:rFonts w:asciiTheme="majorHAnsi" w:hAnsiTheme="majorHAnsi" w:cstheme="majorHAnsi" w:hint="cs"/>
          <w:sz w:val="24"/>
          <w:szCs w:val="24"/>
          <w:rtl/>
        </w:rPr>
        <w:t>.</w:t>
      </w:r>
    </w:p>
    <w:p w14:paraId="13237CCA" w14:textId="39CD4439" w:rsidR="00A44E9F" w:rsidRDefault="00A44E9F" w:rsidP="00A44E9F">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משמעות הדבר היא שרגישות בתנאי מעבדה אינה מתואמת היטב עם רגישות אין ויוו. חוקרים אחרים אשר בדקו את רגישות </w:t>
      </w:r>
      <w:r w:rsidRPr="00A44E9F">
        <w:rPr>
          <w:rFonts w:asciiTheme="majorHAnsi" w:hAnsiTheme="majorHAnsi" w:cstheme="majorHAnsi"/>
          <w:i/>
          <w:iCs/>
          <w:sz w:val="24"/>
          <w:szCs w:val="24"/>
        </w:rPr>
        <w:t>L. donovani</w:t>
      </w:r>
      <w:r>
        <w:rPr>
          <w:rFonts w:asciiTheme="majorHAnsi" w:hAnsiTheme="majorHAnsi" w:cstheme="majorHAnsi" w:hint="cs"/>
          <w:sz w:val="24"/>
          <w:szCs w:val="24"/>
          <w:rtl/>
        </w:rPr>
        <w:t xml:space="preserve"> לסודיום סטיבוגלוקונט במעבדה ובקליניקה הגיעו למסקנות זהות. </w:t>
      </w:r>
    </w:p>
    <w:p w14:paraId="12BF0D3C" w14:textId="042B2DF2" w:rsidR="002C0B3C" w:rsidRDefault="002C0B3C" w:rsidP="002C0B3C">
      <w:pPr>
        <w:bidi/>
        <w:spacing w:line="360" w:lineRule="auto"/>
        <w:rPr>
          <w:rFonts w:asciiTheme="majorHAnsi" w:hAnsiTheme="majorHAnsi" w:cstheme="majorHAnsi"/>
          <w:sz w:val="24"/>
          <w:szCs w:val="24"/>
          <w:rtl/>
        </w:rPr>
      </w:pPr>
      <w:r>
        <w:rPr>
          <w:rFonts w:asciiTheme="majorHAnsi" w:hAnsiTheme="majorHAnsi" w:cstheme="majorHAnsi" w:hint="cs"/>
          <w:sz w:val="24"/>
          <w:szCs w:val="24"/>
          <w:rtl/>
        </w:rPr>
        <w:t xml:space="preserve">הסברים אפשריים לחוסר התאימות בין רגישויות הטפילים בתנאי מעבדה ואין ויוו ניתן למצוא בסביבות הגידול השונות, כגון חסינות המאכסן, המשחקת תפקיד חשוב בקליניקה, אך אינה מהווה חלק מתנאי המעבדה. בנוסף, בדיקת המעבדה מתבצעת על הצורה הפרומסטיגוטית, בעוד ביצורים חיים הטפיל מתקיים בצורת אמסטיגוט תוך-תאי. ישנה בעייתיות בגידול הצורה האמסטיגוטית ובמדידת רגישותה לטיפול. שיטת בדיקת רגישות האמסטיגוטים לטיפול היא הדבקת תאים מאקרופגים בפרומסטיגוטים. יחד עם זאת, ישנם גורמים העשויים להטות תוצאות אלה, כגון השונות הרחבה ביכולת הטפיל להדביק מאקרופגים ולהתרבות בתוכם. בשנים האחרונות נעשו ניסיונות לשפר שיטות אלה, אך הם נכשלו. </w:t>
      </w:r>
    </w:p>
    <w:p w14:paraId="1C49936A" w14:textId="29C00EA3" w:rsidR="0078376E" w:rsidRPr="002C0B3C" w:rsidRDefault="002C0B3C" w:rsidP="002C0B3C">
      <w:pPr>
        <w:bidi/>
        <w:spacing w:line="360" w:lineRule="auto"/>
        <w:rPr>
          <w:rFonts w:asciiTheme="majorHAnsi" w:hAnsiTheme="majorHAnsi" w:cstheme="majorHAnsi"/>
          <w:sz w:val="24"/>
          <w:szCs w:val="24"/>
        </w:rPr>
      </w:pPr>
      <w:r>
        <w:rPr>
          <w:rFonts w:asciiTheme="majorHAnsi" w:hAnsiTheme="majorHAnsi" w:cstheme="majorHAnsi" w:hint="cs"/>
          <w:sz w:val="24"/>
          <w:szCs w:val="24"/>
          <w:rtl/>
        </w:rPr>
        <w:t>חשיבותו של מחקר זה בהדגשת חשיבות השיפור של בחינת צורת הטפיל האמסטיגוטית.</w:t>
      </w:r>
    </w:p>
    <w:sectPr w:rsidR="0078376E" w:rsidRPr="002C0B3C">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7D549" w14:textId="77777777" w:rsidR="00352C37" w:rsidRDefault="00352C37" w:rsidP="001D0630">
      <w:pPr>
        <w:spacing w:after="0" w:line="240" w:lineRule="auto"/>
      </w:pPr>
      <w:r>
        <w:separator/>
      </w:r>
    </w:p>
  </w:endnote>
  <w:endnote w:type="continuationSeparator" w:id="0">
    <w:p w14:paraId="3A159ABF" w14:textId="77777777" w:rsidR="00352C37" w:rsidRDefault="00352C37" w:rsidP="001D0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561686"/>
      <w:docPartObj>
        <w:docPartGallery w:val="Page Numbers (Bottom of Page)"/>
        <w:docPartUnique/>
      </w:docPartObj>
    </w:sdtPr>
    <w:sdtEndPr>
      <w:rPr>
        <w:noProof/>
      </w:rPr>
    </w:sdtEndPr>
    <w:sdtContent>
      <w:p w14:paraId="2CBC202E" w14:textId="3EEEC5E6" w:rsidR="0030756D" w:rsidRDefault="0030756D">
        <w:pPr>
          <w:pStyle w:val="Footer"/>
          <w:jc w:val="right"/>
        </w:pPr>
        <w:r>
          <w:fldChar w:fldCharType="begin"/>
        </w:r>
        <w:r>
          <w:instrText xml:space="preserve"> PAGE   \* MERGEFORMAT </w:instrText>
        </w:r>
        <w:r>
          <w:fldChar w:fldCharType="separate"/>
        </w:r>
        <w:r w:rsidR="00881C2C">
          <w:rPr>
            <w:noProof/>
          </w:rPr>
          <w:t>7</w:t>
        </w:r>
        <w:r>
          <w:rPr>
            <w:noProof/>
          </w:rPr>
          <w:fldChar w:fldCharType="end"/>
        </w:r>
      </w:p>
    </w:sdtContent>
  </w:sdt>
  <w:p w14:paraId="7C6A3D7A" w14:textId="77777777" w:rsidR="0030756D" w:rsidRDefault="00307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0A8F9" w14:textId="77777777" w:rsidR="00352C37" w:rsidRDefault="00352C37" w:rsidP="001D0630">
      <w:pPr>
        <w:spacing w:after="0" w:line="240" w:lineRule="auto"/>
      </w:pPr>
      <w:r>
        <w:separator/>
      </w:r>
    </w:p>
  </w:footnote>
  <w:footnote w:type="continuationSeparator" w:id="0">
    <w:p w14:paraId="434EFDFD" w14:textId="77777777" w:rsidR="00352C37" w:rsidRDefault="00352C37" w:rsidP="001D0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7E6521"/>
    <w:multiLevelType w:val="hybridMultilevel"/>
    <w:tmpl w:val="B5086E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1A45FAF"/>
    <w:multiLevelType w:val="hybridMultilevel"/>
    <w:tmpl w:val="F796C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sjQ2NbWwtDQ0NbJU0lEKTi0uzszPAykwrgUARUEmlCwAAAA="/>
  </w:docVars>
  <w:rsids>
    <w:rsidRoot w:val="00E0603B"/>
    <w:rsid w:val="00016463"/>
    <w:rsid w:val="0003012E"/>
    <w:rsid w:val="000642C7"/>
    <w:rsid w:val="000E6FC4"/>
    <w:rsid w:val="001277DC"/>
    <w:rsid w:val="001C7B19"/>
    <w:rsid w:val="001D0630"/>
    <w:rsid w:val="001F0328"/>
    <w:rsid w:val="001F0A0F"/>
    <w:rsid w:val="00210886"/>
    <w:rsid w:val="00224063"/>
    <w:rsid w:val="0023129F"/>
    <w:rsid w:val="002C0B3C"/>
    <w:rsid w:val="002C3776"/>
    <w:rsid w:val="0030756D"/>
    <w:rsid w:val="00352C37"/>
    <w:rsid w:val="003A5878"/>
    <w:rsid w:val="003E5ACF"/>
    <w:rsid w:val="00404F97"/>
    <w:rsid w:val="0042797C"/>
    <w:rsid w:val="00451052"/>
    <w:rsid w:val="00454B5E"/>
    <w:rsid w:val="00475792"/>
    <w:rsid w:val="004B1B10"/>
    <w:rsid w:val="004F402E"/>
    <w:rsid w:val="005036C9"/>
    <w:rsid w:val="00511B30"/>
    <w:rsid w:val="00517114"/>
    <w:rsid w:val="005257FE"/>
    <w:rsid w:val="00527421"/>
    <w:rsid w:val="005D3B9D"/>
    <w:rsid w:val="005F21A2"/>
    <w:rsid w:val="00610930"/>
    <w:rsid w:val="006419AF"/>
    <w:rsid w:val="00657080"/>
    <w:rsid w:val="00662E38"/>
    <w:rsid w:val="0068127C"/>
    <w:rsid w:val="0069424C"/>
    <w:rsid w:val="006D270B"/>
    <w:rsid w:val="006E7B35"/>
    <w:rsid w:val="00715DDA"/>
    <w:rsid w:val="00735B15"/>
    <w:rsid w:val="0076754A"/>
    <w:rsid w:val="00773527"/>
    <w:rsid w:val="0078376E"/>
    <w:rsid w:val="007973DC"/>
    <w:rsid w:val="007A4B7F"/>
    <w:rsid w:val="007D4844"/>
    <w:rsid w:val="007D6F2B"/>
    <w:rsid w:val="007F25F2"/>
    <w:rsid w:val="008055C4"/>
    <w:rsid w:val="00864EB5"/>
    <w:rsid w:val="00867483"/>
    <w:rsid w:val="0088187E"/>
    <w:rsid w:val="00881C2C"/>
    <w:rsid w:val="0089078D"/>
    <w:rsid w:val="00896138"/>
    <w:rsid w:val="008D156C"/>
    <w:rsid w:val="008D2EEB"/>
    <w:rsid w:val="008D44DD"/>
    <w:rsid w:val="008E1E68"/>
    <w:rsid w:val="009079D0"/>
    <w:rsid w:val="00971FE5"/>
    <w:rsid w:val="009825B0"/>
    <w:rsid w:val="009F0117"/>
    <w:rsid w:val="00A02C17"/>
    <w:rsid w:val="00A117D1"/>
    <w:rsid w:val="00A15AC0"/>
    <w:rsid w:val="00A44E9F"/>
    <w:rsid w:val="00AF7114"/>
    <w:rsid w:val="00B27D0E"/>
    <w:rsid w:val="00B7596A"/>
    <w:rsid w:val="00B76ABC"/>
    <w:rsid w:val="00BA03A6"/>
    <w:rsid w:val="00BA41A9"/>
    <w:rsid w:val="00C53BD8"/>
    <w:rsid w:val="00C81B26"/>
    <w:rsid w:val="00D02F60"/>
    <w:rsid w:val="00D15409"/>
    <w:rsid w:val="00D53328"/>
    <w:rsid w:val="00D93959"/>
    <w:rsid w:val="00DA0860"/>
    <w:rsid w:val="00DD453C"/>
    <w:rsid w:val="00E0603B"/>
    <w:rsid w:val="00E112D0"/>
    <w:rsid w:val="00E31F4E"/>
    <w:rsid w:val="00E329E4"/>
    <w:rsid w:val="00E55035"/>
    <w:rsid w:val="00F02887"/>
    <w:rsid w:val="00F039F3"/>
    <w:rsid w:val="00F1490C"/>
    <w:rsid w:val="00F57618"/>
    <w:rsid w:val="00F74EDA"/>
    <w:rsid w:val="00FD16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C4A21"/>
  <w15:docId w15:val="{6CED04E5-EB1A-4373-B527-24B33B48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7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376E"/>
    <w:pPr>
      <w:keepNext/>
      <w:keepLines/>
      <w:spacing w:before="40" w:after="0"/>
      <w:outlineLvl w:val="1"/>
    </w:pPr>
    <w:rPr>
      <w:rFonts w:asciiTheme="majorHAnsi" w:eastAsiaTheme="majorEastAsia" w:hAnsiTheme="majorHAnsi" w:cstheme="majorBidi"/>
      <w:b/>
      <w:bCs/>
      <w:color w:val="2F5496" w:themeColor="accent1" w:themeShade="BF"/>
      <w:sz w:val="28"/>
      <w:szCs w:val="28"/>
      <w:u w:val="single"/>
    </w:rPr>
  </w:style>
  <w:style w:type="paragraph" w:styleId="Heading3">
    <w:name w:val="heading 3"/>
    <w:basedOn w:val="Normal"/>
    <w:next w:val="Normal"/>
    <w:link w:val="Heading3Char"/>
    <w:uiPriority w:val="9"/>
    <w:unhideWhenUsed/>
    <w:qFormat/>
    <w:rsid w:val="007837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03B"/>
    <w:rPr>
      <w:sz w:val="16"/>
      <w:szCs w:val="16"/>
    </w:rPr>
  </w:style>
  <w:style w:type="paragraph" w:styleId="CommentText">
    <w:name w:val="annotation text"/>
    <w:basedOn w:val="Normal"/>
    <w:link w:val="CommentTextChar"/>
    <w:uiPriority w:val="99"/>
    <w:semiHidden/>
    <w:unhideWhenUsed/>
    <w:rsid w:val="00E0603B"/>
    <w:pPr>
      <w:spacing w:line="240" w:lineRule="auto"/>
    </w:pPr>
    <w:rPr>
      <w:sz w:val="20"/>
      <w:szCs w:val="20"/>
    </w:rPr>
  </w:style>
  <w:style w:type="character" w:customStyle="1" w:styleId="CommentTextChar">
    <w:name w:val="Comment Text Char"/>
    <w:basedOn w:val="DefaultParagraphFont"/>
    <w:link w:val="CommentText"/>
    <w:uiPriority w:val="99"/>
    <w:semiHidden/>
    <w:rsid w:val="00E0603B"/>
    <w:rPr>
      <w:sz w:val="20"/>
      <w:szCs w:val="20"/>
    </w:rPr>
  </w:style>
  <w:style w:type="paragraph" w:styleId="CommentSubject">
    <w:name w:val="annotation subject"/>
    <w:basedOn w:val="CommentText"/>
    <w:next w:val="CommentText"/>
    <w:link w:val="CommentSubjectChar"/>
    <w:uiPriority w:val="99"/>
    <w:semiHidden/>
    <w:unhideWhenUsed/>
    <w:rsid w:val="00E0603B"/>
    <w:rPr>
      <w:b/>
      <w:bCs/>
    </w:rPr>
  </w:style>
  <w:style w:type="character" w:customStyle="1" w:styleId="CommentSubjectChar">
    <w:name w:val="Comment Subject Char"/>
    <w:basedOn w:val="CommentTextChar"/>
    <w:link w:val="CommentSubject"/>
    <w:uiPriority w:val="99"/>
    <w:semiHidden/>
    <w:rsid w:val="00E0603B"/>
    <w:rPr>
      <w:b/>
      <w:bCs/>
      <w:sz w:val="20"/>
      <w:szCs w:val="20"/>
    </w:rPr>
  </w:style>
  <w:style w:type="paragraph" w:styleId="BalloonText">
    <w:name w:val="Balloon Text"/>
    <w:basedOn w:val="Normal"/>
    <w:link w:val="BalloonTextChar"/>
    <w:uiPriority w:val="99"/>
    <w:semiHidden/>
    <w:unhideWhenUsed/>
    <w:rsid w:val="00E06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3B"/>
    <w:rPr>
      <w:rFonts w:ascii="Segoe UI" w:hAnsi="Segoe UI" w:cs="Segoe UI"/>
      <w:sz w:val="18"/>
      <w:szCs w:val="18"/>
    </w:rPr>
  </w:style>
  <w:style w:type="table" w:styleId="TableGrid">
    <w:name w:val="Table Grid"/>
    <w:basedOn w:val="TableNormal"/>
    <w:uiPriority w:val="39"/>
    <w:rsid w:val="00783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78376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78376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7837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376E"/>
    <w:rPr>
      <w:rFonts w:asciiTheme="majorHAnsi" w:eastAsiaTheme="majorEastAsia" w:hAnsiTheme="majorHAnsi" w:cstheme="majorBidi"/>
      <w:b/>
      <w:bCs/>
      <w:color w:val="2F5496" w:themeColor="accent1" w:themeShade="BF"/>
      <w:sz w:val="28"/>
      <w:szCs w:val="28"/>
      <w:u w:val="single"/>
    </w:rPr>
  </w:style>
  <w:style w:type="character" w:customStyle="1" w:styleId="Heading3Char">
    <w:name w:val="Heading 3 Char"/>
    <w:basedOn w:val="DefaultParagraphFont"/>
    <w:link w:val="Heading3"/>
    <w:uiPriority w:val="9"/>
    <w:rsid w:val="0078376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8376E"/>
    <w:pPr>
      <w:ind w:left="720"/>
      <w:contextualSpacing/>
    </w:pPr>
  </w:style>
  <w:style w:type="paragraph" w:styleId="Header">
    <w:name w:val="header"/>
    <w:basedOn w:val="Normal"/>
    <w:link w:val="HeaderChar"/>
    <w:uiPriority w:val="99"/>
    <w:unhideWhenUsed/>
    <w:rsid w:val="001D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630"/>
  </w:style>
  <w:style w:type="paragraph" w:styleId="Footer">
    <w:name w:val="footer"/>
    <w:basedOn w:val="Normal"/>
    <w:link w:val="FooterChar"/>
    <w:uiPriority w:val="99"/>
    <w:unhideWhenUsed/>
    <w:rsid w:val="001D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630"/>
  </w:style>
  <w:style w:type="paragraph" w:styleId="Title">
    <w:name w:val="Title"/>
    <w:basedOn w:val="Normal"/>
    <w:next w:val="Normal"/>
    <w:link w:val="TitleChar"/>
    <w:uiPriority w:val="10"/>
    <w:qFormat/>
    <w:rsid w:val="008055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5C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203423">
      <w:bodyDiv w:val="1"/>
      <w:marLeft w:val="0"/>
      <w:marRight w:val="0"/>
      <w:marTop w:val="0"/>
      <w:marBottom w:val="0"/>
      <w:divBdr>
        <w:top w:val="none" w:sz="0" w:space="0" w:color="auto"/>
        <w:left w:val="none" w:sz="0" w:space="0" w:color="auto"/>
        <w:bottom w:val="none" w:sz="0" w:space="0" w:color="auto"/>
        <w:right w:val="none" w:sz="0" w:space="0" w:color="auto"/>
      </w:divBdr>
    </w:div>
    <w:div w:id="786966283">
      <w:bodyDiv w:val="1"/>
      <w:marLeft w:val="0"/>
      <w:marRight w:val="0"/>
      <w:marTop w:val="0"/>
      <w:marBottom w:val="0"/>
      <w:divBdr>
        <w:top w:val="none" w:sz="0" w:space="0" w:color="auto"/>
        <w:left w:val="none" w:sz="0" w:space="0" w:color="auto"/>
        <w:bottom w:val="none" w:sz="0" w:space="0" w:color="auto"/>
        <w:right w:val="none" w:sz="0" w:space="0" w:color="auto"/>
      </w:divBdr>
    </w:div>
    <w:div w:id="874006378">
      <w:bodyDiv w:val="1"/>
      <w:marLeft w:val="0"/>
      <w:marRight w:val="0"/>
      <w:marTop w:val="0"/>
      <w:marBottom w:val="0"/>
      <w:divBdr>
        <w:top w:val="none" w:sz="0" w:space="0" w:color="auto"/>
        <w:left w:val="none" w:sz="0" w:space="0" w:color="auto"/>
        <w:bottom w:val="none" w:sz="0" w:space="0" w:color="auto"/>
        <w:right w:val="none" w:sz="0" w:space="0" w:color="auto"/>
      </w:divBdr>
    </w:div>
    <w:div w:id="1131097305">
      <w:bodyDiv w:val="1"/>
      <w:marLeft w:val="0"/>
      <w:marRight w:val="0"/>
      <w:marTop w:val="0"/>
      <w:marBottom w:val="0"/>
      <w:divBdr>
        <w:top w:val="none" w:sz="0" w:space="0" w:color="auto"/>
        <w:left w:val="none" w:sz="0" w:space="0" w:color="auto"/>
        <w:bottom w:val="none" w:sz="0" w:space="0" w:color="auto"/>
        <w:right w:val="none" w:sz="0" w:space="0" w:color="auto"/>
      </w:divBdr>
    </w:div>
    <w:div w:id="204166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F20F-AED4-41E3-9C2B-F5C9A393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1387</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2019-05-06T18:13:00Z</dcterms:created>
  <dcterms:modified xsi:type="dcterms:W3CDTF">2019-05-08T13:53:00Z</dcterms:modified>
</cp:coreProperties>
</file>