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9D9ED" w14:textId="77777777" w:rsidR="00C66A3B" w:rsidRDefault="00C66A3B">
      <w:r>
        <w:t>Abstract</w:t>
      </w:r>
    </w:p>
    <w:p w14:paraId="3D4A11AB" w14:textId="17A20690" w:rsidR="00C66A3B" w:rsidRDefault="00C66A3B">
      <w:r>
        <w:t xml:space="preserve">Poland-Lithuania of the 16th and 17th centuries was a world exceedingly rich in Torah scholarship, in terms of both content and </w:t>
      </w:r>
      <w:r w:rsidR="00AD2A84">
        <w:t xml:space="preserve">the </w:t>
      </w:r>
      <w:r>
        <w:t>extent</w:t>
      </w:r>
      <w:r w:rsidR="00AD2A84">
        <w:t xml:space="preserve"> of activity</w:t>
      </w:r>
      <w:r>
        <w:t xml:space="preserve">. Alongside the giants of heuristics and Talmudic hermeneutics like R. </w:t>
      </w:r>
      <w:proofErr w:type="spellStart"/>
      <w:r>
        <w:t>Shlomo</w:t>
      </w:r>
      <w:proofErr w:type="spellEnd"/>
      <w:r>
        <w:t xml:space="preserve"> Luria</w:t>
      </w:r>
      <w:r w:rsidR="00AD2A84">
        <w:t xml:space="preserve"> (</w:t>
      </w:r>
      <w:proofErr w:type="spellStart"/>
      <w:r w:rsidR="00AD2A84">
        <w:t>Maharshal</w:t>
      </w:r>
      <w:proofErr w:type="spellEnd"/>
      <w:r w:rsidR="00AD2A84">
        <w:t>)</w:t>
      </w:r>
      <w:r>
        <w:t xml:space="preserve">, R. Shmuel </w:t>
      </w:r>
      <w:proofErr w:type="spellStart"/>
      <w:r>
        <w:t>Edels</w:t>
      </w:r>
      <w:proofErr w:type="spellEnd"/>
      <w:r w:rsidR="00AD2A84">
        <w:t xml:space="preserve"> (</w:t>
      </w:r>
      <w:proofErr w:type="spellStart"/>
      <w:r w:rsidR="00AD2A84">
        <w:t>Maharsha</w:t>
      </w:r>
      <w:proofErr w:type="spellEnd"/>
      <w:r w:rsidR="00AD2A84">
        <w:t>)</w:t>
      </w:r>
      <w:r>
        <w:t xml:space="preserve">, and R. Meir </w:t>
      </w:r>
      <w:r w:rsidR="00AD2A84">
        <w:t xml:space="preserve">(Maharam) </w:t>
      </w:r>
      <w:r>
        <w:t xml:space="preserve">of Lublin arose new generations of halakhic </w:t>
      </w:r>
      <w:proofErr w:type="spellStart"/>
      <w:r>
        <w:t>decisors</w:t>
      </w:r>
      <w:proofErr w:type="spellEnd"/>
      <w:r>
        <w:t xml:space="preserve"> whose work revolved around two central halakhic codes – the </w:t>
      </w:r>
      <w:proofErr w:type="spellStart"/>
      <w:r w:rsidRPr="00AD2A84">
        <w:rPr>
          <w:i/>
          <w:iCs/>
        </w:rPr>
        <w:t>Shulhan</w:t>
      </w:r>
      <w:proofErr w:type="spellEnd"/>
      <w:r w:rsidRPr="00AD2A84">
        <w:rPr>
          <w:i/>
          <w:iCs/>
        </w:rPr>
        <w:t xml:space="preserve"> </w:t>
      </w:r>
      <w:proofErr w:type="spellStart"/>
      <w:r w:rsidRPr="00AD2A84">
        <w:rPr>
          <w:i/>
          <w:iCs/>
        </w:rPr>
        <w:t>Arukh</w:t>
      </w:r>
      <w:proofErr w:type="spellEnd"/>
      <w:r>
        <w:t xml:space="preserve"> and, to a lesser extent, the </w:t>
      </w:r>
      <w:r w:rsidRPr="00AD2A84">
        <w:rPr>
          <w:i/>
          <w:iCs/>
        </w:rPr>
        <w:t>Tur</w:t>
      </w:r>
      <w:r w:rsidR="00AD2A84">
        <w:t>;</w:t>
      </w:r>
      <w:r>
        <w:t xml:space="preserve"> they became known as the </w:t>
      </w:r>
      <w:proofErr w:type="spellStart"/>
      <w:r w:rsidRPr="00C66A3B">
        <w:rPr>
          <w:i/>
          <w:iCs/>
        </w:rPr>
        <w:t>nosei</w:t>
      </w:r>
      <w:proofErr w:type="spellEnd"/>
      <w:r w:rsidRPr="00C66A3B">
        <w:rPr>
          <w:i/>
          <w:iCs/>
        </w:rPr>
        <w:t xml:space="preserve"> </w:t>
      </w:r>
      <w:proofErr w:type="spellStart"/>
      <w:r w:rsidRPr="00C66A3B">
        <w:rPr>
          <w:i/>
          <w:iCs/>
        </w:rPr>
        <w:t>kelim</w:t>
      </w:r>
      <w:proofErr w:type="spellEnd"/>
      <w:r>
        <w:t xml:space="preserve"> or “attendants” at the “set table” of the </w:t>
      </w:r>
      <w:proofErr w:type="spellStart"/>
      <w:r w:rsidRPr="00AD2A84">
        <w:rPr>
          <w:i/>
          <w:iCs/>
        </w:rPr>
        <w:t>Shulhan</w:t>
      </w:r>
      <w:proofErr w:type="spellEnd"/>
      <w:r w:rsidRPr="00AD2A84">
        <w:rPr>
          <w:i/>
          <w:iCs/>
        </w:rPr>
        <w:t xml:space="preserve"> </w:t>
      </w:r>
      <w:proofErr w:type="spellStart"/>
      <w:r w:rsidRPr="00AD2A84">
        <w:rPr>
          <w:i/>
          <w:iCs/>
        </w:rPr>
        <w:t>Arukh</w:t>
      </w:r>
      <w:proofErr w:type="spellEnd"/>
      <w:r>
        <w:t xml:space="preserve"> and the </w:t>
      </w:r>
      <w:r w:rsidRPr="00AD2A84">
        <w:rPr>
          <w:i/>
          <w:iCs/>
        </w:rPr>
        <w:t>Tur</w:t>
      </w:r>
      <w:r>
        <w:t xml:space="preserve">. </w:t>
      </w:r>
      <w:r w:rsidR="00AD2A84">
        <w:t>A</w:t>
      </w:r>
      <w:r>
        <w:t>uthors of rabbinic responsa</w:t>
      </w:r>
      <w:r w:rsidR="00AD2A84">
        <w:t xml:space="preserve"> were also operating in parallel</w:t>
      </w:r>
      <w:r w:rsidR="00CD2214">
        <w:t xml:space="preserve">, though </w:t>
      </w:r>
      <w:r w:rsidR="00AD2A84">
        <w:t>they were of</w:t>
      </w:r>
      <w:r w:rsidR="00CD2214">
        <w:t xml:space="preserve"> lesser renown.</w:t>
      </w:r>
    </w:p>
    <w:p w14:paraId="3A315771" w14:textId="1A709E26" w:rsidR="00451071" w:rsidRDefault="00CD2214" w:rsidP="00CD2214">
      <w:pPr>
        <w:ind w:firstLine="360"/>
      </w:pPr>
      <w:r>
        <w:t xml:space="preserve">This flourishing of halakhic literature was driven in large part by the close connection with the Judaism of the Near East, first and foremost the writings of R. Yosef Karo, whose monumental works the </w:t>
      </w:r>
      <w:r w:rsidRPr="00AD2A84">
        <w:rPr>
          <w:i/>
          <w:iCs/>
        </w:rPr>
        <w:t>Beit Yosef</w:t>
      </w:r>
      <w:r w:rsidR="00CD1BF1">
        <w:t xml:space="preserve"> (a commentary on the </w:t>
      </w:r>
      <w:r w:rsidR="00CD1BF1" w:rsidRPr="00AD2A84">
        <w:rPr>
          <w:i/>
          <w:iCs/>
        </w:rPr>
        <w:t>Tur</w:t>
      </w:r>
      <w:r w:rsidR="00CD1BF1">
        <w:t xml:space="preserve">) and the </w:t>
      </w:r>
      <w:proofErr w:type="spellStart"/>
      <w:r w:rsidR="00CD1BF1" w:rsidRPr="00AD2A84">
        <w:rPr>
          <w:i/>
          <w:iCs/>
        </w:rPr>
        <w:t>Shulhan</w:t>
      </w:r>
      <w:proofErr w:type="spellEnd"/>
      <w:r w:rsidR="00CD1BF1" w:rsidRPr="00AD2A84">
        <w:rPr>
          <w:i/>
          <w:iCs/>
        </w:rPr>
        <w:t xml:space="preserve"> </w:t>
      </w:r>
      <w:proofErr w:type="spellStart"/>
      <w:r w:rsidR="00CD1BF1" w:rsidRPr="00AD2A84">
        <w:rPr>
          <w:i/>
          <w:iCs/>
        </w:rPr>
        <w:t>Arukh</w:t>
      </w:r>
      <w:proofErr w:type="spellEnd"/>
      <w:r w:rsidR="00CD1BF1">
        <w:t xml:space="preserve"> were published in the mid-16th century and </w:t>
      </w:r>
      <w:r w:rsidR="00DE0052">
        <w:t xml:space="preserve">were </w:t>
      </w:r>
      <w:r w:rsidR="00CD1BF1">
        <w:t xml:space="preserve">immediately </w:t>
      </w:r>
      <w:r w:rsidR="00DE0052">
        <w:t>received by</w:t>
      </w:r>
      <w:r w:rsidR="00CD1BF1">
        <w:t xml:space="preserve"> European Jewry. Karo even corresponded with R. Moshe </w:t>
      </w:r>
      <w:proofErr w:type="spellStart"/>
      <w:r w:rsidR="00CD1BF1">
        <w:t>Isserles</w:t>
      </w:r>
      <w:proofErr w:type="spellEnd"/>
      <w:r w:rsidR="00DE0052">
        <w:t xml:space="preserve"> (the Rema)</w:t>
      </w:r>
      <w:r w:rsidR="00CD1BF1">
        <w:t xml:space="preserve"> of Cracow, considered until today to be the most important Ashkenazi halakhist of the last several centuries. The Ashkenazi response to these books was varied</w:t>
      </w:r>
      <w:r w:rsidR="00DE0052">
        <w:t>;</w:t>
      </w:r>
      <w:r w:rsidR="00CD1BF1">
        <w:t xml:space="preserve"> some Polish scholars opposed these books on the grounds that they did not take the Ashkenazi tradition more fully into account. As he wrote in his introduction, Karo made his halakhic decisions according to the majority rule of two out of three halakhic giants: R. Yitzhak </w:t>
      </w:r>
      <w:proofErr w:type="spellStart"/>
      <w:r w:rsidR="00CD1BF1">
        <w:t>Alfasi</w:t>
      </w:r>
      <w:proofErr w:type="spellEnd"/>
      <w:r w:rsidR="00CD1BF1">
        <w:t xml:space="preserve"> (the Rif), R. Moshe Maimonides (the Rambam), and R. Asher (the Rosh). Since two of them were Sephardic, many decisions were based on the Sephardic majority they created. </w:t>
      </w:r>
      <w:proofErr w:type="spellStart"/>
      <w:r w:rsidR="00451071">
        <w:t>Isserles</w:t>
      </w:r>
      <w:proofErr w:type="spellEnd"/>
      <w:r w:rsidR="00451071">
        <w:t xml:space="preserve"> tried at first to compose his own code, but gave up that endeavor when the </w:t>
      </w:r>
      <w:r w:rsidR="00451071" w:rsidRPr="00DE0052">
        <w:rPr>
          <w:i/>
          <w:iCs/>
        </w:rPr>
        <w:t>Beit Yosef</w:t>
      </w:r>
      <w:r w:rsidR="00451071">
        <w:t xml:space="preserve"> and </w:t>
      </w:r>
      <w:proofErr w:type="spellStart"/>
      <w:r w:rsidR="00451071" w:rsidRPr="00DE0052">
        <w:rPr>
          <w:i/>
          <w:iCs/>
        </w:rPr>
        <w:t>Shulhan</w:t>
      </w:r>
      <w:proofErr w:type="spellEnd"/>
      <w:r w:rsidR="00451071" w:rsidRPr="00DE0052">
        <w:rPr>
          <w:i/>
          <w:iCs/>
        </w:rPr>
        <w:t xml:space="preserve"> </w:t>
      </w:r>
      <w:proofErr w:type="spellStart"/>
      <w:r w:rsidR="00451071" w:rsidRPr="00DE0052">
        <w:rPr>
          <w:i/>
          <w:iCs/>
        </w:rPr>
        <w:t>Arukh</w:t>
      </w:r>
      <w:proofErr w:type="spellEnd"/>
      <w:r w:rsidR="00451071">
        <w:t xml:space="preserve"> were published, choosing instead to write the </w:t>
      </w:r>
      <w:proofErr w:type="spellStart"/>
      <w:r w:rsidR="00451071" w:rsidRPr="00451071">
        <w:rPr>
          <w:i/>
          <w:iCs/>
        </w:rPr>
        <w:t>Mapah</w:t>
      </w:r>
      <w:proofErr w:type="spellEnd"/>
      <w:r w:rsidR="00451071">
        <w:t xml:space="preserve"> (the “tablecloth”), a collection of glosses and notes on the </w:t>
      </w:r>
      <w:proofErr w:type="spellStart"/>
      <w:r w:rsidR="00451071" w:rsidRPr="00DE0052">
        <w:rPr>
          <w:i/>
          <w:iCs/>
        </w:rPr>
        <w:t>Shulhan</w:t>
      </w:r>
      <w:proofErr w:type="spellEnd"/>
      <w:r w:rsidR="00451071" w:rsidRPr="00DE0052">
        <w:rPr>
          <w:i/>
          <w:iCs/>
        </w:rPr>
        <w:t xml:space="preserve"> </w:t>
      </w:r>
      <w:proofErr w:type="spellStart"/>
      <w:r w:rsidR="00451071" w:rsidRPr="00DE0052">
        <w:rPr>
          <w:i/>
          <w:iCs/>
        </w:rPr>
        <w:t>Arukh</w:t>
      </w:r>
      <w:proofErr w:type="spellEnd"/>
      <w:r w:rsidR="00451071">
        <w:t xml:space="preserve">, as well as a revised version of </w:t>
      </w:r>
      <w:proofErr w:type="spellStart"/>
      <w:r w:rsidR="00451071" w:rsidRPr="00451071">
        <w:rPr>
          <w:i/>
          <w:iCs/>
        </w:rPr>
        <w:t>Darkei</w:t>
      </w:r>
      <w:proofErr w:type="spellEnd"/>
      <w:r w:rsidR="00451071" w:rsidRPr="00451071">
        <w:rPr>
          <w:i/>
          <w:iCs/>
        </w:rPr>
        <w:t xml:space="preserve"> Moshe</w:t>
      </w:r>
      <w:r w:rsidR="00451071">
        <w:t xml:space="preserve">, his commentary on the </w:t>
      </w:r>
      <w:r w:rsidR="00451071" w:rsidRPr="00DE0052">
        <w:rPr>
          <w:i/>
          <w:iCs/>
        </w:rPr>
        <w:t>Tur</w:t>
      </w:r>
      <w:r w:rsidR="00451071">
        <w:t xml:space="preserve">. </w:t>
      </w:r>
    </w:p>
    <w:p w14:paraId="03F72542" w14:textId="66BA14B6" w:rsidR="00CD2214" w:rsidRDefault="00451071" w:rsidP="00CD2214">
      <w:pPr>
        <w:ind w:firstLine="360"/>
      </w:pPr>
      <w:r>
        <w:t xml:space="preserve">Others, however, were more fundamentally opposed to the work of Karo and </w:t>
      </w:r>
      <w:proofErr w:type="spellStart"/>
      <w:r>
        <w:t>Isserles</w:t>
      </w:r>
      <w:proofErr w:type="spellEnd"/>
      <w:r>
        <w:t xml:space="preserve">. Among the strongest charges against them was the critique that the </w:t>
      </w:r>
      <w:proofErr w:type="spellStart"/>
      <w:r w:rsidRPr="00DE0052">
        <w:rPr>
          <w:i/>
          <w:iCs/>
        </w:rPr>
        <w:t>Shulhan</w:t>
      </w:r>
      <w:proofErr w:type="spellEnd"/>
      <w:r w:rsidRPr="00DE0052">
        <w:rPr>
          <w:i/>
          <w:iCs/>
        </w:rPr>
        <w:t xml:space="preserve"> </w:t>
      </w:r>
      <w:proofErr w:type="spellStart"/>
      <w:r w:rsidRPr="00DE0052">
        <w:rPr>
          <w:i/>
          <w:iCs/>
        </w:rPr>
        <w:t>Arukh</w:t>
      </w:r>
      <w:proofErr w:type="spellEnd"/>
      <w:r>
        <w:t xml:space="preserve"> did not include sources for Karo’s decisions. These staunch opponents included R. </w:t>
      </w:r>
      <w:proofErr w:type="spellStart"/>
      <w:r>
        <w:t>Shlomo</w:t>
      </w:r>
      <w:proofErr w:type="spellEnd"/>
      <w:r>
        <w:t xml:space="preserve"> Luria, R. </w:t>
      </w:r>
      <w:proofErr w:type="spellStart"/>
      <w:r>
        <w:t>Yehiel</w:t>
      </w:r>
      <w:proofErr w:type="spellEnd"/>
      <w:r>
        <w:t xml:space="preserve"> Ashkenazi, R. Haim for </w:t>
      </w:r>
      <w:proofErr w:type="spellStart"/>
      <w:r>
        <w:t>Friedburg</w:t>
      </w:r>
      <w:proofErr w:type="spellEnd"/>
      <w:r>
        <w:t xml:space="preserve">, R. Meir of Lublin, and R. Shmuel </w:t>
      </w:r>
      <w:proofErr w:type="spellStart"/>
      <w:r>
        <w:t>Edels</w:t>
      </w:r>
      <w:proofErr w:type="spellEnd"/>
      <w:r>
        <w:t>, all of them halakhists from the second half of the 16th century (though some lived into the 17th century). Other halakhists attempted to form a synthesis</w:t>
      </w:r>
      <w:r w:rsidR="009E10FE">
        <w:t xml:space="preserve">; for example, R. Mordechai Jaffe, author of the </w:t>
      </w:r>
      <w:proofErr w:type="spellStart"/>
      <w:r w:rsidR="009E10FE" w:rsidRPr="00DE0052">
        <w:rPr>
          <w:i/>
          <w:iCs/>
        </w:rPr>
        <w:t>Levushim</w:t>
      </w:r>
      <w:proofErr w:type="spellEnd"/>
      <w:r w:rsidR="009E10FE">
        <w:t>, made</w:t>
      </w:r>
      <w:r w:rsidR="00B20FFC">
        <w:t xml:space="preserve"> Karo’s and </w:t>
      </w:r>
      <w:proofErr w:type="spellStart"/>
      <w:r w:rsidR="00B20FFC">
        <w:t>Isserles’ work</w:t>
      </w:r>
      <w:proofErr w:type="spellEnd"/>
      <w:r w:rsidR="00B20FFC">
        <w:t xml:space="preserve"> </w:t>
      </w:r>
      <w:r w:rsidR="009E10FE">
        <w:t>t</w:t>
      </w:r>
      <w:r w:rsidR="00B20FFC">
        <w:t xml:space="preserve">he </w:t>
      </w:r>
      <w:r w:rsidR="009E10FE">
        <w:t xml:space="preserve">basis of his own, but added to it and supplemented the rulings with </w:t>
      </w:r>
      <w:r w:rsidR="00DE0052">
        <w:t xml:space="preserve">earlier </w:t>
      </w:r>
      <w:r w:rsidR="009E10FE">
        <w:t xml:space="preserve">sources. The series of commentaries on the Talmud had a similar aim; Luria’s </w:t>
      </w:r>
      <w:r w:rsidR="009E10FE" w:rsidRPr="00DE0052">
        <w:rPr>
          <w:i/>
          <w:iCs/>
        </w:rPr>
        <w:t xml:space="preserve">Yam </w:t>
      </w:r>
      <w:proofErr w:type="spellStart"/>
      <w:r w:rsidR="009E10FE" w:rsidRPr="00DE0052">
        <w:rPr>
          <w:i/>
          <w:iCs/>
        </w:rPr>
        <w:t>shel</w:t>
      </w:r>
      <w:proofErr w:type="spellEnd"/>
      <w:r w:rsidR="009E10FE" w:rsidRPr="00DE0052">
        <w:rPr>
          <w:i/>
          <w:iCs/>
        </w:rPr>
        <w:t xml:space="preserve"> </w:t>
      </w:r>
      <w:proofErr w:type="spellStart"/>
      <w:r w:rsidR="009E10FE" w:rsidRPr="00DE0052">
        <w:rPr>
          <w:i/>
          <w:iCs/>
        </w:rPr>
        <w:t>Shlomo</w:t>
      </w:r>
      <w:proofErr w:type="spellEnd"/>
      <w:r w:rsidR="009E10FE">
        <w:t xml:space="preserve">, for example, was an attempt at a codification of the </w:t>
      </w:r>
      <w:proofErr w:type="spellStart"/>
      <w:r w:rsidR="009E10FE">
        <w:t>halakhah</w:t>
      </w:r>
      <w:proofErr w:type="spellEnd"/>
      <w:r w:rsidR="009E10FE">
        <w:t xml:space="preserve">, though organized by Talmudic tractate, not topically, as was the </w:t>
      </w:r>
      <w:proofErr w:type="spellStart"/>
      <w:r w:rsidR="009E10FE" w:rsidRPr="00DE0052">
        <w:rPr>
          <w:i/>
          <w:iCs/>
        </w:rPr>
        <w:t>Shulhan</w:t>
      </w:r>
      <w:proofErr w:type="spellEnd"/>
      <w:r w:rsidR="009E10FE" w:rsidRPr="00DE0052">
        <w:rPr>
          <w:i/>
          <w:iCs/>
        </w:rPr>
        <w:t xml:space="preserve"> </w:t>
      </w:r>
      <w:proofErr w:type="spellStart"/>
      <w:r w:rsidR="009E10FE" w:rsidRPr="00DE0052">
        <w:rPr>
          <w:i/>
          <w:iCs/>
        </w:rPr>
        <w:t>Arukh</w:t>
      </w:r>
      <w:proofErr w:type="spellEnd"/>
      <w:r w:rsidR="009E10FE">
        <w:t xml:space="preserve">. Even in </w:t>
      </w:r>
      <w:commentRangeStart w:id="0"/>
      <w:proofErr w:type="spellStart"/>
      <w:r w:rsidR="009E10FE">
        <w:t>Ashkenaz</w:t>
      </w:r>
      <w:proofErr w:type="spellEnd"/>
      <w:r w:rsidR="009E10FE">
        <w:t xml:space="preserve"> </w:t>
      </w:r>
      <w:commentRangeEnd w:id="0"/>
      <w:r w:rsidR="009E10FE">
        <w:rPr>
          <w:rStyle w:val="CommentReference"/>
        </w:rPr>
        <w:commentReference w:id="0"/>
      </w:r>
      <w:r w:rsidR="009E10FE">
        <w:t xml:space="preserve">and Prague, the </w:t>
      </w:r>
      <w:proofErr w:type="spellStart"/>
      <w:r w:rsidR="009E10FE" w:rsidRPr="00DE0052">
        <w:rPr>
          <w:i/>
          <w:iCs/>
        </w:rPr>
        <w:t>Shulhan</w:t>
      </w:r>
      <w:proofErr w:type="spellEnd"/>
      <w:r w:rsidR="009E10FE" w:rsidRPr="00DE0052">
        <w:rPr>
          <w:i/>
          <w:iCs/>
        </w:rPr>
        <w:t xml:space="preserve"> </w:t>
      </w:r>
      <w:proofErr w:type="spellStart"/>
      <w:r w:rsidR="009E10FE" w:rsidRPr="00DE0052">
        <w:rPr>
          <w:i/>
          <w:iCs/>
        </w:rPr>
        <w:t>Arukh</w:t>
      </w:r>
      <w:proofErr w:type="spellEnd"/>
      <w:r w:rsidR="009E10FE">
        <w:t xml:space="preserve"> was frequently met with a certain reticence, expressed in part by R. Haim of </w:t>
      </w:r>
      <w:proofErr w:type="spellStart"/>
      <w:r w:rsidR="009E10FE">
        <w:t>Friedburg</w:t>
      </w:r>
      <w:proofErr w:type="spellEnd"/>
      <w:r w:rsidR="009E10FE">
        <w:t xml:space="preserve">, mentioned above, as well as R. Yehuda Loeb of Prague (the </w:t>
      </w:r>
      <w:proofErr w:type="spellStart"/>
      <w:r w:rsidR="009E10FE">
        <w:t>Maharal</w:t>
      </w:r>
      <w:proofErr w:type="spellEnd"/>
      <w:r w:rsidR="009E10FE">
        <w:t xml:space="preserve">) and R. </w:t>
      </w:r>
      <w:proofErr w:type="spellStart"/>
      <w:r w:rsidR="009E10FE">
        <w:t>Shlomo</w:t>
      </w:r>
      <w:proofErr w:type="spellEnd"/>
      <w:r w:rsidR="009E10FE">
        <w:t xml:space="preserve"> Efraim of </w:t>
      </w:r>
      <w:proofErr w:type="spellStart"/>
      <w:r w:rsidR="009E10FE">
        <w:t>Luntschitz</w:t>
      </w:r>
      <w:proofErr w:type="spellEnd"/>
      <w:r w:rsidR="009E10FE">
        <w:t>.</w:t>
      </w:r>
    </w:p>
    <w:p w14:paraId="0A2DF6E9" w14:textId="61E8710D" w:rsidR="009E10FE" w:rsidRDefault="009E10FE" w:rsidP="00CD2214">
      <w:pPr>
        <w:ind w:firstLine="360"/>
      </w:pPr>
      <w:r>
        <w:t>Against this background rose new generation</w:t>
      </w:r>
      <w:r w:rsidR="0082482E">
        <w:t>s</w:t>
      </w:r>
      <w:r w:rsidR="00DE0052">
        <w:t xml:space="preserve"> of scholars</w:t>
      </w:r>
      <w:r>
        <w:t xml:space="preserve">, the students of Luria and </w:t>
      </w:r>
      <w:proofErr w:type="spellStart"/>
      <w:r>
        <w:t>Isserles</w:t>
      </w:r>
      <w:proofErr w:type="spellEnd"/>
      <w:r>
        <w:t xml:space="preserve">, </w:t>
      </w:r>
      <w:r w:rsidR="0082482E">
        <w:t xml:space="preserve">born in the second half of the 16th century, and their own students, born at the end of that century or early in the next. These </w:t>
      </w:r>
      <w:r w:rsidR="00DE0052">
        <w:t>scholars</w:t>
      </w:r>
      <w:r w:rsidR="0082482E">
        <w:t xml:space="preserve"> greatly expanded the literature of famous commentaries on the </w:t>
      </w:r>
      <w:proofErr w:type="spellStart"/>
      <w:r w:rsidR="0082482E" w:rsidRPr="00DE0052">
        <w:rPr>
          <w:i/>
          <w:iCs/>
        </w:rPr>
        <w:t>Shulhan</w:t>
      </w:r>
      <w:proofErr w:type="spellEnd"/>
      <w:r w:rsidR="0082482E" w:rsidRPr="00DE0052">
        <w:rPr>
          <w:i/>
          <w:iCs/>
        </w:rPr>
        <w:t xml:space="preserve"> </w:t>
      </w:r>
      <w:proofErr w:type="spellStart"/>
      <w:r w:rsidR="0082482E" w:rsidRPr="00DE0052">
        <w:rPr>
          <w:i/>
          <w:iCs/>
        </w:rPr>
        <w:t>Arukh</w:t>
      </w:r>
      <w:proofErr w:type="spellEnd"/>
      <w:r w:rsidR="0082482E">
        <w:t xml:space="preserve"> and the </w:t>
      </w:r>
      <w:r w:rsidR="0082482E" w:rsidRPr="00DE0052">
        <w:rPr>
          <w:i/>
          <w:iCs/>
        </w:rPr>
        <w:t>Tur</w:t>
      </w:r>
      <w:r w:rsidR="00752297">
        <w:t>.</w:t>
      </w:r>
      <w:r w:rsidR="0082482E">
        <w:t xml:space="preserve"> R. Yehoshua </w:t>
      </w:r>
      <w:proofErr w:type="spellStart"/>
      <w:r w:rsidR="0082482E">
        <w:t>HaKohen</w:t>
      </w:r>
      <w:proofErr w:type="spellEnd"/>
      <w:r w:rsidR="0082482E">
        <w:t xml:space="preserve"> Falk</w:t>
      </w:r>
      <w:r w:rsidR="00752297">
        <w:t xml:space="preserve"> </w:t>
      </w:r>
      <w:r w:rsidR="0082482E">
        <w:t xml:space="preserve">and R. </w:t>
      </w:r>
      <w:proofErr w:type="spellStart"/>
      <w:r w:rsidR="0082482E">
        <w:t>Yoel</w:t>
      </w:r>
      <w:proofErr w:type="spellEnd"/>
      <w:r w:rsidR="0082482E">
        <w:t xml:space="preserve"> </w:t>
      </w:r>
      <w:proofErr w:type="spellStart"/>
      <w:r w:rsidR="0082482E">
        <w:t>Sirkes</w:t>
      </w:r>
      <w:proofErr w:type="spellEnd"/>
      <w:r w:rsidR="0082482E">
        <w:t xml:space="preserve"> became the leading commentators on the </w:t>
      </w:r>
      <w:r w:rsidR="0082482E" w:rsidRPr="00DE0052">
        <w:rPr>
          <w:i/>
          <w:iCs/>
        </w:rPr>
        <w:t>Tur</w:t>
      </w:r>
      <w:r w:rsidR="0082482E">
        <w:t xml:space="preserve">, </w:t>
      </w:r>
      <w:r w:rsidR="00752297">
        <w:t xml:space="preserve">with their commentaries </w:t>
      </w:r>
      <w:proofErr w:type="spellStart"/>
      <w:r w:rsidR="00752297" w:rsidRPr="00DE0052">
        <w:rPr>
          <w:i/>
          <w:iCs/>
        </w:rPr>
        <w:t>Drishah</w:t>
      </w:r>
      <w:proofErr w:type="spellEnd"/>
      <w:r w:rsidR="00752297" w:rsidRPr="00DE0052">
        <w:rPr>
          <w:i/>
          <w:iCs/>
        </w:rPr>
        <w:t xml:space="preserve"> </w:t>
      </w:r>
      <w:proofErr w:type="spellStart"/>
      <w:r w:rsidR="00752297" w:rsidRPr="00DE0052">
        <w:rPr>
          <w:i/>
          <w:iCs/>
        </w:rPr>
        <w:t>uPrishah</w:t>
      </w:r>
      <w:proofErr w:type="spellEnd"/>
      <w:r w:rsidR="00752297">
        <w:t xml:space="preserve"> and </w:t>
      </w:r>
      <w:r w:rsidR="00752297" w:rsidRPr="00DE0052">
        <w:rPr>
          <w:i/>
          <w:iCs/>
        </w:rPr>
        <w:t xml:space="preserve">Bait </w:t>
      </w:r>
      <w:proofErr w:type="spellStart"/>
      <w:r w:rsidR="00752297" w:rsidRPr="00DE0052">
        <w:rPr>
          <w:i/>
          <w:iCs/>
        </w:rPr>
        <w:t>Hadash</w:t>
      </w:r>
      <w:proofErr w:type="spellEnd"/>
      <w:r w:rsidR="00752297">
        <w:t xml:space="preserve">, respectively, </w:t>
      </w:r>
      <w:r w:rsidR="0082482E">
        <w:t xml:space="preserve">while commentaries on the </w:t>
      </w:r>
      <w:r w:rsidR="0082482E" w:rsidRPr="00DE0052">
        <w:rPr>
          <w:i/>
          <w:iCs/>
        </w:rPr>
        <w:t xml:space="preserve">Shulhan </w:t>
      </w:r>
      <w:proofErr w:type="spellStart"/>
      <w:r w:rsidR="0082482E" w:rsidRPr="00DE0052">
        <w:rPr>
          <w:i/>
          <w:iCs/>
        </w:rPr>
        <w:t>Arukh</w:t>
      </w:r>
      <w:proofErr w:type="spellEnd"/>
      <w:r w:rsidR="0082482E">
        <w:t xml:space="preserve"> included Falk’s </w:t>
      </w:r>
      <w:proofErr w:type="spellStart"/>
      <w:r w:rsidR="0082482E" w:rsidRPr="00DE0052">
        <w:rPr>
          <w:i/>
          <w:iCs/>
        </w:rPr>
        <w:t>Sefer</w:t>
      </w:r>
      <w:proofErr w:type="spellEnd"/>
      <w:r w:rsidR="0082482E" w:rsidRPr="00DE0052">
        <w:rPr>
          <w:i/>
          <w:iCs/>
        </w:rPr>
        <w:t xml:space="preserve"> </w:t>
      </w:r>
      <w:proofErr w:type="spellStart"/>
      <w:r w:rsidR="0082482E" w:rsidRPr="00DE0052">
        <w:rPr>
          <w:i/>
          <w:iCs/>
        </w:rPr>
        <w:t>Meirat</w:t>
      </w:r>
      <w:proofErr w:type="spellEnd"/>
      <w:r w:rsidR="0082482E" w:rsidRPr="00DE0052">
        <w:rPr>
          <w:i/>
          <w:iCs/>
        </w:rPr>
        <w:t xml:space="preserve"> </w:t>
      </w:r>
      <w:proofErr w:type="spellStart"/>
      <w:r w:rsidR="0082482E" w:rsidRPr="00DE0052">
        <w:rPr>
          <w:i/>
          <w:iCs/>
        </w:rPr>
        <w:t>Einayim</w:t>
      </w:r>
      <w:proofErr w:type="spellEnd"/>
      <w:r w:rsidR="0082482E">
        <w:t xml:space="preserve"> on </w:t>
      </w:r>
      <w:proofErr w:type="spellStart"/>
      <w:r w:rsidR="0082482E" w:rsidRPr="00DE0052">
        <w:rPr>
          <w:i/>
          <w:iCs/>
        </w:rPr>
        <w:t>Hoshen</w:t>
      </w:r>
      <w:proofErr w:type="spellEnd"/>
      <w:r w:rsidR="0082482E" w:rsidRPr="00DE0052">
        <w:rPr>
          <w:i/>
          <w:iCs/>
        </w:rPr>
        <w:t xml:space="preserve"> </w:t>
      </w:r>
      <w:proofErr w:type="spellStart"/>
      <w:r w:rsidR="0082482E" w:rsidRPr="00DE0052">
        <w:rPr>
          <w:i/>
          <w:iCs/>
        </w:rPr>
        <w:t>Mishpa</w:t>
      </w:r>
      <w:r w:rsidR="00752297" w:rsidRPr="00DE0052">
        <w:rPr>
          <w:i/>
          <w:iCs/>
        </w:rPr>
        <w:t>t</w:t>
      </w:r>
      <w:proofErr w:type="spellEnd"/>
      <w:r w:rsidR="00752297">
        <w:t xml:space="preserve">, as well as the landmark work of </w:t>
      </w:r>
      <w:proofErr w:type="spellStart"/>
      <w:r w:rsidR="0082482E">
        <w:t>Shabbatai</w:t>
      </w:r>
      <w:proofErr w:type="spellEnd"/>
      <w:r w:rsidR="0082482E">
        <w:t xml:space="preserve"> Kohen, the subject of this study</w:t>
      </w:r>
      <w:r w:rsidR="00752297">
        <w:t xml:space="preserve">: </w:t>
      </w:r>
      <w:proofErr w:type="spellStart"/>
      <w:r w:rsidR="00752297" w:rsidRPr="00DE0052">
        <w:rPr>
          <w:i/>
          <w:iCs/>
        </w:rPr>
        <w:t>Siftei</w:t>
      </w:r>
      <w:proofErr w:type="spellEnd"/>
      <w:r w:rsidR="00752297" w:rsidRPr="00DE0052">
        <w:rPr>
          <w:i/>
          <w:iCs/>
        </w:rPr>
        <w:t xml:space="preserve"> Kohen</w:t>
      </w:r>
      <w:r w:rsidR="00752297">
        <w:t xml:space="preserve"> on </w:t>
      </w:r>
      <w:proofErr w:type="spellStart"/>
      <w:r w:rsidR="00752297" w:rsidRPr="00DE0052">
        <w:rPr>
          <w:i/>
          <w:iCs/>
        </w:rPr>
        <w:t>Yoreh</w:t>
      </w:r>
      <w:proofErr w:type="spellEnd"/>
      <w:r w:rsidR="00752297" w:rsidRPr="00DE0052">
        <w:rPr>
          <w:i/>
          <w:iCs/>
        </w:rPr>
        <w:t xml:space="preserve"> </w:t>
      </w:r>
      <w:proofErr w:type="spellStart"/>
      <w:r w:rsidR="00752297" w:rsidRPr="00DE0052">
        <w:rPr>
          <w:i/>
          <w:iCs/>
        </w:rPr>
        <w:t>Deah</w:t>
      </w:r>
      <w:proofErr w:type="spellEnd"/>
      <w:r w:rsidR="00752297">
        <w:t xml:space="preserve"> and </w:t>
      </w:r>
      <w:proofErr w:type="spellStart"/>
      <w:r w:rsidR="00752297" w:rsidRPr="00DE0052">
        <w:rPr>
          <w:i/>
          <w:iCs/>
        </w:rPr>
        <w:t>Hoshen</w:t>
      </w:r>
      <w:proofErr w:type="spellEnd"/>
      <w:r w:rsidR="00752297" w:rsidRPr="00DE0052">
        <w:rPr>
          <w:i/>
          <w:iCs/>
        </w:rPr>
        <w:t xml:space="preserve"> </w:t>
      </w:r>
      <w:proofErr w:type="spellStart"/>
      <w:r w:rsidR="00752297" w:rsidRPr="00DE0052">
        <w:rPr>
          <w:i/>
          <w:iCs/>
        </w:rPr>
        <w:t>Mishpat</w:t>
      </w:r>
      <w:proofErr w:type="spellEnd"/>
      <w:r w:rsidR="00C510AE">
        <w:t xml:space="preserve">, known by its acronym as “the </w:t>
      </w:r>
      <w:proofErr w:type="spellStart"/>
      <w:r w:rsidR="00C510AE" w:rsidRPr="00DE0052">
        <w:t>Shakh</w:t>
      </w:r>
      <w:proofErr w:type="spellEnd"/>
      <w:r w:rsidR="00C510AE">
        <w:t>,” a term also used to refer to Kohen himself</w:t>
      </w:r>
      <w:r w:rsidR="00752297">
        <w:t xml:space="preserve">. Kohen’s commentary on </w:t>
      </w:r>
      <w:proofErr w:type="spellStart"/>
      <w:r w:rsidR="00752297" w:rsidRPr="00DE0052">
        <w:rPr>
          <w:i/>
          <w:iCs/>
        </w:rPr>
        <w:t>Yoreh</w:t>
      </w:r>
      <w:proofErr w:type="spellEnd"/>
      <w:r w:rsidR="00752297" w:rsidRPr="00DE0052">
        <w:rPr>
          <w:i/>
          <w:iCs/>
        </w:rPr>
        <w:t xml:space="preserve"> </w:t>
      </w:r>
      <w:proofErr w:type="spellStart"/>
      <w:r w:rsidR="00752297" w:rsidRPr="00DE0052">
        <w:rPr>
          <w:i/>
          <w:iCs/>
        </w:rPr>
        <w:lastRenderedPageBreak/>
        <w:t>Deah</w:t>
      </w:r>
      <w:proofErr w:type="spellEnd"/>
      <w:r w:rsidR="00752297" w:rsidRPr="00DE0052">
        <w:rPr>
          <w:i/>
          <w:iCs/>
        </w:rPr>
        <w:t xml:space="preserve"> </w:t>
      </w:r>
      <w:r w:rsidR="00752297">
        <w:t xml:space="preserve">was published by the author in Cracow in 1646-47; in the same year, R. David Segal published his parallel commentary, </w:t>
      </w:r>
      <w:proofErr w:type="spellStart"/>
      <w:r w:rsidR="00752297" w:rsidRPr="00DE0052">
        <w:rPr>
          <w:i/>
          <w:iCs/>
        </w:rPr>
        <w:t>Turei</w:t>
      </w:r>
      <w:proofErr w:type="spellEnd"/>
      <w:r w:rsidR="00752297" w:rsidRPr="00DE0052">
        <w:rPr>
          <w:i/>
          <w:iCs/>
        </w:rPr>
        <w:t xml:space="preserve"> </w:t>
      </w:r>
      <w:proofErr w:type="spellStart"/>
      <w:r w:rsidR="00752297" w:rsidRPr="00DE0052">
        <w:rPr>
          <w:i/>
          <w:iCs/>
        </w:rPr>
        <w:t>Zahav</w:t>
      </w:r>
      <w:proofErr w:type="spellEnd"/>
      <w:r w:rsidR="00752297">
        <w:t xml:space="preserve">. (We will not address the commentators on the other sections of the </w:t>
      </w:r>
      <w:proofErr w:type="spellStart"/>
      <w:r w:rsidR="00752297" w:rsidRPr="00DE0052">
        <w:rPr>
          <w:i/>
          <w:iCs/>
        </w:rPr>
        <w:t>Shulhan</w:t>
      </w:r>
      <w:proofErr w:type="spellEnd"/>
      <w:r w:rsidR="00752297" w:rsidRPr="00DE0052">
        <w:rPr>
          <w:i/>
          <w:iCs/>
        </w:rPr>
        <w:t xml:space="preserve"> </w:t>
      </w:r>
      <w:proofErr w:type="spellStart"/>
      <w:r w:rsidR="00752297" w:rsidRPr="00DE0052">
        <w:rPr>
          <w:i/>
          <w:iCs/>
        </w:rPr>
        <w:t>Arukh</w:t>
      </w:r>
      <w:proofErr w:type="spellEnd"/>
      <w:r w:rsidR="00752297">
        <w:t xml:space="preserve">, </w:t>
      </w:r>
      <w:r w:rsidR="00752297" w:rsidRPr="00DE0052">
        <w:rPr>
          <w:i/>
          <w:iCs/>
        </w:rPr>
        <w:t xml:space="preserve">Even </w:t>
      </w:r>
      <w:proofErr w:type="spellStart"/>
      <w:r w:rsidR="00752297" w:rsidRPr="00DE0052">
        <w:rPr>
          <w:i/>
          <w:iCs/>
        </w:rPr>
        <w:t>haEzer</w:t>
      </w:r>
      <w:proofErr w:type="spellEnd"/>
      <w:r w:rsidR="00752297">
        <w:t xml:space="preserve"> and </w:t>
      </w:r>
      <w:proofErr w:type="spellStart"/>
      <w:r w:rsidR="00752297" w:rsidRPr="00DE0052">
        <w:rPr>
          <w:i/>
          <w:iCs/>
        </w:rPr>
        <w:t>Orah</w:t>
      </w:r>
      <w:proofErr w:type="spellEnd"/>
      <w:r w:rsidR="00752297" w:rsidRPr="00DE0052">
        <w:rPr>
          <w:i/>
          <w:iCs/>
        </w:rPr>
        <w:t xml:space="preserve"> Haim</w:t>
      </w:r>
      <w:r w:rsidR="00752297">
        <w:t xml:space="preserve">, since these lie outside the </w:t>
      </w:r>
      <w:r w:rsidR="00C510AE">
        <w:t>bounds</w:t>
      </w:r>
      <w:r w:rsidR="00752297">
        <w:t xml:space="preserve"> of </w:t>
      </w:r>
      <w:r w:rsidR="00C510AE">
        <w:t>our discussion</w:t>
      </w:r>
      <w:r w:rsidR="00752297">
        <w:t>.)</w:t>
      </w:r>
    </w:p>
    <w:p w14:paraId="1D78D87E" w14:textId="0828455B" w:rsidR="00752297" w:rsidRDefault="00C510AE" w:rsidP="00CD2214">
      <w:pPr>
        <w:ind w:firstLine="360"/>
      </w:pPr>
      <w:r>
        <w:t xml:space="preserve">The generally accepted form of study in the yeshivas and study halls of Poland-Lithuania at the time was that of </w:t>
      </w:r>
      <w:r w:rsidRPr="00C510AE">
        <w:rPr>
          <w:i/>
          <w:iCs/>
        </w:rPr>
        <w:t>pilpul</w:t>
      </w:r>
      <w:r>
        <w:t xml:space="preserve"> or heuristics, but halakhic </w:t>
      </w:r>
      <w:proofErr w:type="spellStart"/>
      <w:r>
        <w:t>decisors</w:t>
      </w:r>
      <w:proofErr w:type="spellEnd"/>
      <w:r>
        <w:t xml:space="preserve"> employed a more practical method. The </w:t>
      </w:r>
      <w:commentRangeStart w:id="1"/>
      <w:proofErr w:type="spellStart"/>
      <w:r>
        <w:t>Shakh</w:t>
      </w:r>
      <w:commentRangeEnd w:id="1"/>
      <w:proofErr w:type="spellEnd"/>
      <w:r>
        <w:rPr>
          <w:rStyle w:val="CommentReference"/>
        </w:rPr>
        <w:commentReference w:id="1"/>
      </w:r>
      <w:r>
        <w:t xml:space="preserve">, for example, would bring several Talmudic sources to bear on a given discussion but read them for their practical ramifications when deciding the </w:t>
      </w:r>
      <w:proofErr w:type="spellStart"/>
      <w:r>
        <w:t>halakhah</w:t>
      </w:r>
      <w:proofErr w:type="spellEnd"/>
      <w:r>
        <w:t xml:space="preserve">. He sought to rule in every matter according to the majority of </w:t>
      </w:r>
      <w:proofErr w:type="spellStart"/>
      <w:r>
        <w:t>decisors</w:t>
      </w:r>
      <w:proofErr w:type="spellEnd"/>
      <w:r>
        <w:t xml:space="preserve">, at the same time striving to illustrate how those </w:t>
      </w:r>
      <w:proofErr w:type="spellStart"/>
      <w:r>
        <w:t>decisors</w:t>
      </w:r>
      <w:proofErr w:type="spellEnd"/>
      <w:r>
        <w:t xml:space="preserve"> ruled in accordance with the earlier sources. When a conflict arose, he did not hesitate to contradict his predecessors, </w:t>
      </w:r>
      <w:r w:rsidR="00205728">
        <w:t xml:space="preserve">including even such famous scholars as Maimonides and the very authors of the </w:t>
      </w:r>
      <w:proofErr w:type="spellStart"/>
      <w:r w:rsidR="00205728" w:rsidRPr="00DE0052">
        <w:rPr>
          <w:i/>
          <w:iCs/>
        </w:rPr>
        <w:t>Shulhan</w:t>
      </w:r>
      <w:proofErr w:type="spellEnd"/>
      <w:r w:rsidR="00205728" w:rsidRPr="00DE0052">
        <w:rPr>
          <w:i/>
          <w:iCs/>
        </w:rPr>
        <w:t xml:space="preserve"> </w:t>
      </w:r>
      <w:proofErr w:type="spellStart"/>
      <w:r w:rsidR="00205728" w:rsidRPr="00DE0052">
        <w:rPr>
          <w:i/>
          <w:iCs/>
        </w:rPr>
        <w:t>Arukh</w:t>
      </w:r>
      <w:proofErr w:type="spellEnd"/>
      <w:r w:rsidR="00205728">
        <w:t xml:space="preserve"> and the </w:t>
      </w:r>
      <w:proofErr w:type="spellStart"/>
      <w:r w:rsidR="00205728" w:rsidRPr="00DE0052">
        <w:rPr>
          <w:i/>
          <w:iCs/>
        </w:rPr>
        <w:t>Mapah</w:t>
      </w:r>
      <w:proofErr w:type="spellEnd"/>
      <w:r w:rsidR="00205728">
        <w:t xml:space="preserve">, Karo and </w:t>
      </w:r>
      <w:proofErr w:type="spellStart"/>
      <w:r w:rsidR="00205728">
        <w:t>Isserles</w:t>
      </w:r>
      <w:proofErr w:type="spellEnd"/>
      <w:r w:rsidR="00205728">
        <w:t xml:space="preserve">, since truth was </w:t>
      </w:r>
      <w:r w:rsidR="00DE0052">
        <w:t>the</w:t>
      </w:r>
      <w:r w:rsidR="00205728">
        <w:t xml:space="preserve"> ultimate value guiding his decisions. He was also proficient in logical reasoning, often arriving at his own independent conclusions, which at times even contradicted his predecessors’. </w:t>
      </w:r>
    </w:p>
    <w:p w14:paraId="2C664CBC" w14:textId="64092CC4" w:rsidR="00205728" w:rsidRDefault="00205728" w:rsidP="00CD2214">
      <w:pPr>
        <w:ind w:firstLine="360"/>
      </w:pPr>
      <w:r>
        <w:t xml:space="preserve">The </w:t>
      </w:r>
      <w:r w:rsidRPr="00205728">
        <w:rPr>
          <w:b/>
          <w:bCs/>
        </w:rPr>
        <w:t>primary goal</w:t>
      </w:r>
      <w:r>
        <w:t xml:space="preserve"> of this study is to reveal the methodological foundations of the </w:t>
      </w:r>
      <w:proofErr w:type="spellStart"/>
      <w:r>
        <w:t>Shakh’s</w:t>
      </w:r>
      <w:proofErr w:type="spellEnd"/>
      <w:r>
        <w:t xml:space="preserve"> rulings in cases of doubt (</w:t>
      </w:r>
      <w:proofErr w:type="spellStart"/>
      <w:r w:rsidRPr="00205728">
        <w:rPr>
          <w:i/>
          <w:iCs/>
        </w:rPr>
        <w:t>sefeikot</w:t>
      </w:r>
      <w:proofErr w:type="spellEnd"/>
      <w:r>
        <w:t xml:space="preserve">), especially in the area of monetary claims. Though the </w:t>
      </w:r>
      <w:proofErr w:type="spellStart"/>
      <w:r>
        <w:t>Shakh</w:t>
      </w:r>
      <w:proofErr w:type="spellEnd"/>
      <w:r>
        <w:t xml:space="preserve"> would become recognized as a major halakhist, in his commentary on </w:t>
      </w:r>
      <w:proofErr w:type="spellStart"/>
      <w:r w:rsidRPr="008319D2">
        <w:rPr>
          <w:i/>
          <w:iCs/>
        </w:rPr>
        <w:t>Yoreh</w:t>
      </w:r>
      <w:proofErr w:type="spellEnd"/>
      <w:r w:rsidRPr="008319D2">
        <w:rPr>
          <w:i/>
          <w:iCs/>
        </w:rPr>
        <w:t xml:space="preserve"> </w:t>
      </w:r>
      <w:proofErr w:type="spellStart"/>
      <w:r w:rsidRPr="008319D2">
        <w:rPr>
          <w:i/>
          <w:iCs/>
        </w:rPr>
        <w:t>Deah</w:t>
      </w:r>
      <w:proofErr w:type="spellEnd"/>
      <w:r>
        <w:t xml:space="preserve"> he turns out to be quite conservative; in his commentary on </w:t>
      </w:r>
      <w:proofErr w:type="spellStart"/>
      <w:r w:rsidRPr="008319D2">
        <w:rPr>
          <w:i/>
          <w:iCs/>
        </w:rPr>
        <w:t>Hoshen</w:t>
      </w:r>
      <w:proofErr w:type="spellEnd"/>
      <w:r w:rsidRPr="008319D2">
        <w:rPr>
          <w:i/>
          <w:iCs/>
        </w:rPr>
        <w:t xml:space="preserve"> </w:t>
      </w:r>
      <w:proofErr w:type="spellStart"/>
      <w:r w:rsidRPr="008319D2">
        <w:rPr>
          <w:i/>
          <w:iCs/>
        </w:rPr>
        <w:t>Mishpat</w:t>
      </w:r>
      <w:proofErr w:type="spellEnd"/>
      <w:r>
        <w:t xml:space="preserve">, on the other hand, he strikes out on an independent and innovative hermeneutic path. There he focuses more on procedure and the laws of testimony, but also probes deeply into matters of content, as can be seen, for example, in his lengthy commentary on </w:t>
      </w:r>
      <w:proofErr w:type="spellStart"/>
      <w:r w:rsidRPr="00364129">
        <w:rPr>
          <w:i/>
          <w:iCs/>
        </w:rPr>
        <w:t>dinei</w:t>
      </w:r>
      <w:proofErr w:type="spellEnd"/>
      <w:r w:rsidRPr="00364129">
        <w:rPr>
          <w:i/>
          <w:iCs/>
        </w:rPr>
        <w:t xml:space="preserve"> </w:t>
      </w:r>
      <w:proofErr w:type="spellStart"/>
      <w:r w:rsidRPr="00364129">
        <w:rPr>
          <w:i/>
          <w:iCs/>
        </w:rPr>
        <w:t>degarmei</w:t>
      </w:r>
      <w:proofErr w:type="spellEnd"/>
      <w:r w:rsidR="008319D2">
        <w:t>,</w:t>
      </w:r>
      <w:r>
        <w:t xml:space="preserve"> </w:t>
      </w:r>
      <w:r w:rsidR="00364129">
        <w:t>cases of indirect damage (</w:t>
      </w:r>
      <w:proofErr w:type="spellStart"/>
      <w:r w:rsidR="00364129" w:rsidRPr="008319D2">
        <w:rPr>
          <w:i/>
          <w:iCs/>
        </w:rPr>
        <w:t>Hoshen</w:t>
      </w:r>
      <w:proofErr w:type="spellEnd"/>
      <w:r w:rsidR="00364129" w:rsidRPr="008319D2">
        <w:rPr>
          <w:i/>
          <w:iCs/>
        </w:rPr>
        <w:t xml:space="preserve"> </w:t>
      </w:r>
      <w:proofErr w:type="spellStart"/>
      <w:r w:rsidR="00364129" w:rsidRPr="008319D2">
        <w:rPr>
          <w:i/>
          <w:iCs/>
        </w:rPr>
        <w:t>Mishpat</w:t>
      </w:r>
      <w:proofErr w:type="spellEnd"/>
      <w:r w:rsidR="00364129">
        <w:t xml:space="preserve"> 386). He takes special interest in the </w:t>
      </w:r>
      <w:r w:rsidR="004531F5">
        <w:t>principl</w:t>
      </w:r>
      <w:r w:rsidR="005C43B1">
        <w:t>e</w:t>
      </w:r>
      <w:r w:rsidR="00364129">
        <w:t xml:space="preserve"> of </w:t>
      </w:r>
      <w:r w:rsidR="00E54909" w:rsidRPr="00E54909">
        <w:rPr>
          <w:i/>
          <w:iCs/>
        </w:rPr>
        <w:t xml:space="preserve">natal </w:t>
      </w:r>
      <w:proofErr w:type="spellStart"/>
      <w:r w:rsidR="00E54909">
        <w:rPr>
          <w:i/>
          <w:iCs/>
        </w:rPr>
        <w:t>ha</w:t>
      </w:r>
      <w:r w:rsidR="00E54909" w:rsidRPr="00E54909">
        <w:rPr>
          <w:i/>
          <w:iCs/>
        </w:rPr>
        <w:t>rayah</w:t>
      </w:r>
      <w:proofErr w:type="spellEnd"/>
      <w:r w:rsidR="00E54909">
        <w:t xml:space="preserve"> </w:t>
      </w:r>
      <w:r w:rsidR="004531F5">
        <w:t>(“the burden of proof is on the one who seeks compensation”) and the principl</w:t>
      </w:r>
      <w:r w:rsidR="005C43B1">
        <w:t>e</w:t>
      </w:r>
      <w:r w:rsidR="004531F5">
        <w:t xml:space="preserve"> of </w:t>
      </w:r>
      <w:proofErr w:type="spellStart"/>
      <w:r w:rsidR="004531F5" w:rsidRPr="004531F5">
        <w:rPr>
          <w:i/>
          <w:iCs/>
        </w:rPr>
        <w:t>kim</w:t>
      </w:r>
      <w:proofErr w:type="spellEnd"/>
      <w:r w:rsidR="004531F5" w:rsidRPr="004531F5">
        <w:rPr>
          <w:i/>
          <w:iCs/>
        </w:rPr>
        <w:t xml:space="preserve"> li</w:t>
      </w:r>
      <w:r w:rsidR="004531F5">
        <w:t xml:space="preserve"> (“I am certain”) in cases of judicial error</w:t>
      </w:r>
      <w:r w:rsidR="000D09AF">
        <w:t xml:space="preserve">, including the concept of </w:t>
      </w:r>
      <w:proofErr w:type="spellStart"/>
      <w:r w:rsidR="000D09AF" w:rsidRPr="000D09AF">
        <w:rPr>
          <w:i/>
          <w:iCs/>
        </w:rPr>
        <w:t>sugya</w:t>
      </w:r>
      <w:proofErr w:type="spellEnd"/>
      <w:r w:rsidR="000D09AF" w:rsidRPr="000D09AF">
        <w:rPr>
          <w:i/>
          <w:iCs/>
        </w:rPr>
        <w:t xml:space="preserve"> </w:t>
      </w:r>
      <w:proofErr w:type="spellStart"/>
      <w:r w:rsidR="000D09AF" w:rsidRPr="000D09AF">
        <w:rPr>
          <w:i/>
          <w:iCs/>
        </w:rPr>
        <w:t>d’alma</w:t>
      </w:r>
      <w:proofErr w:type="spellEnd"/>
      <w:r w:rsidR="000D09AF">
        <w:t xml:space="preserve"> (roughly, “case law”), and in </w:t>
      </w:r>
      <w:r w:rsidR="00CC1E0A">
        <w:t xml:space="preserve">doubtful </w:t>
      </w:r>
      <w:r w:rsidR="000D09AF">
        <w:t xml:space="preserve">cases of </w:t>
      </w:r>
      <w:r w:rsidR="00CC1E0A">
        <w:t xml:space="preserve">property ownership. These topics are dealt with at length by the </w:t>
      </w:r>
      <w:proofErr w:type="spellStart"/>
      <w:r w:rsidR="00CC1E0A">
        <w:t>Shakh</w:t>
      </w:r>
      <w:proofErr w:type="spellEnd"/>
      <w:r w:rsidR="00CC1E0A">
        <w:t xml:space="preserve"> in his commentary on </w:t>
      </w:r>
      <w:proofErr w:type="spellStart"/>
      <w:r w:rsidR="00CC1E0A" w:rsidRPr="008319D2">
        <w:rPr>
          <w:i/>
          <w:iCs/>
        </w:rPr>
        <w:t>Hoshen</w:t>
      </w:r>
      <w:proofErr w:type="spellEnd"/>
      <w:r w:rsidR="00CC1E0A" w:rsidRPr="008319D2">
        <w:rPr>
          <w:i/>
          <w:iCs/>
        </w:rPr>
        <w:t xml:space="preserve"> </w:t>
      </w:r>
      <w:proofErr w:type="spellStart"/>
      <w:r w:rsidR="00CC1E0A" w:rsidRPr="008319D2">
        <w:rPr>
          <w:i/>
          <w:iCs/>
        </w:rPr>
        <w:t>Mishpat</w:t>
      </w:r>
      <w:proofErr w:type="spellEnd"/>
      <w:r w:rsidR="00CC1E0A">
        <w:t xml:space="preserve"> 25; some are also addressed in his halakhic monograph </w:t>
      </w:r>
      <w:proofErr w:type="spellStart"/>
      <w:r w:rsidR="00CC1E0A" w:rsidRPr="00CC1E0A">
        <w:rPr>
          <w:i/>
          <w:iCs/>
        </w:rPr>
        <w:t>Takfu</w:t>
      </w:r>
      <w:proofErr w:type="spellEnd"/>
      <w:r w:rsidR="00CC1E0A" w:rsidRPr="00CC1E0A">
        <w:rPr>
          <w:i/>
          <w:iCs/>
        </w:rPr>
        <w:t xml:space="preserve"> Kohen</w:t>
      </w:r>
      <w:r w:rsidR="00CC1E0A">
        <w:t>.</w:t>
      </w:r>
    </w:p>
    <w:p w14:paraId="6CC4B5AE" w14:textId="6E486EE8" w:rsidR="00CC1E0A" w:rsidRDefault="008319D2" w:rsidP="00CD2214">
      <w:pPr>
        <w:ind w:firstLine="360"/>
      </w:pPr>
      <w:r>
        <w:t>In this context I also aim</w:t>
      </w:r>
      <w:r w:rsidR="00CC1E0A">
        <w:t xml:space="preserve"> to reveal and describe the methods and hermeneutical tools employed by the </w:t>
      </w:r>
      <w:proofErr w:type="spellStart"/>
      <w:r w:rsidR="00CC1E0A">
        <w:t>Shakh</w:t>
      </w:r>
      <w:proofErr w:type="spellEnd"/>
      <w:r w:rsidR="00CC1E0A">
        <w:t xml:space="preserve"> in arriving at his halakhic rulings. Here we encounter unprecedented innovation and a uniquely wide array of such tools in comparison to other halakhists.</w:t>
      </w:r>
    </w:p>
    <w:p w14:paraId="28AE8CC6" w14:textId="60CCCF2C" w:rsidR="00CC1E0A" w:rsidRDefault="00CC1E0A" w:rsidP="00CD2214">
      <w:pPr>
        <w:ind w:firstLine="360"/>
      </w:pPr>
      <w:r>
        <w:t xml:space="preserve">The second goal of the study is to confirm if, and to what extent, the </w:t>
      </w:r>
      <w:proofErr w:type="spellStart"/>
      <w:r>
        <w:t>Shakh</w:t>
      </w:r>
      <w:proofErr w:type="spellEnd"/>
      <w:r>
        <w:t xml:space="preserve"> </w:t>
      </w:r>
      <w:proofErr w:type="gramStart"/>
      <w:r>
        <w:t>can be seen as</w:t>
      </w:r>
      <w:proofErr w:type="gramEnd"/>
      <w:r>
        <w:t xml:space="preserve"> a forerunner of the conceptual method in approaching halakhic concepts in general, and of the </w:t>
      </w:r>
      <w:r w:rsidR="00DB77A4">
        <w:t xml:space="preserve">Lithuanian </w:t>
      </w:r>
      <w:commentRangeStart w:id="2"/>
      <w:proofErr w:type="spellStart"/>
      <w:r w:rsidR="00CE39E6" w:rsidRPr="00DB77A4">
        <w:rPr>
          <w:i/>
          <w:iCs/>
        </w:rPr>
        <w:t>shitat</w:t>
      </w:r>
      <w:proofErr w:type="spellEnd"/>
      <w:r w:rsidR="00CE39E6" w:rsidRPr="00DB77A4">
        <w:rPr>
          <w:i/>
          <w:iCs/>
        </w:rPr>
        <w:t xml:space="preserve"> </w:t>
      </w:r>
      <w:proofErr w:type="spellStart"/>
      <w:r w:rsidR="00CE39E6" w:rsidRPr="00DB77A4">
        <w:rPr>
          <w:i/>
          <w:iCs/>
        </w:rPr>
        <w:t>hahavanah</w:t>
      </w:r>
      <w:proofErr w:type="spellEnd"/>
      <w:r w:rsidR="00CE39E6" w:rsidRPr="00DB77A4">
        <w:rPr>
          <w:i/>
          <w:iCs/>
        </w:rPr>
        <w:t xml:space="preserve"> </w:t>
      </w:r>
      <w:commentRangeEnd w:id="2"/>
      <w:r w:rsidR="00DB77A4">
        <w:rPr>
          <w:rStyle w:val="CommentReference"/>
        </w:rPr>
        <w:commentReference w:id="2"/>
      </w:r>
      <w:r w:rsidR="00DB77A4">
        <w:t xml:space="preserve">in particular. This study shows that the </w:t>
      </w:r>
      <w:proofErr w:type="spellStart"/>
      <w:r w:rsidR="00DB77A4">
        <w:t>Shakh</w:t>
      </w:r>
      <w:proofErr w:type="spellEnd"/>
      <w:r w:rsidR="00DB77A4">
        <w:t xml:space="preserve"> dealt quite a bit in the conceptualization of ideas from Jewish </w:t>
      </w:r>
      <w:r w:rsidR="008319D2">
        <w:t xml:space="preserve">Talmudic and halakhic </w:t>
      </w:r>
      <w:r w:rsidR="00DB77A4">
        <w:t xml:space="preserve">scholarship. The path between these two </w:t>
      </w:r>
      <w:r w:rsidR="008319D2">
        <w:t>points</w:t>
      </w:r>
      <w:r w:rsidR="00DB77A4">
        <w:t xml:space="preserve"> (the </w:t>
      </w:r>
      <w:proofErr w:type="spellStart"/>
      <w:r w:rsidR="00DB77A4">
        <w:t>Shakh</w:t>
      </w:r>
      <w:proofErr w:type="spellEnd"/>
      <w:r w:rsidR="00DB77A4">
        <w:t xml:space="preserve"> on one side and the Lithuanian scholars on the other) leads through the books </w:t>
      </w:r>
      <w:proofErr w:type="spellStart"/>
      <w:r w:rsidR="00DB77A4" w:rsidRPr="00DB77A4">
        <w:rPr>
          <w:i/>
          <w:iCs/>
        </w:rPr>
        <w:t>Kitzvot</w:t>
      </w:r>
      <w:proofErr w:type="spellEnd"/>
      <w:r w:rsidR="00DB77A4" w:rsidRPr="00DB77A4">
        <w:rPr>
          <w:i/>
          <w:iCs/>
        </w:rPr>
        <w:t xml:space="preserve"> </w:t>
      </w:r>
      <w:proofErr w:type="spellStart"/>
      <w:r w:rsidR="00DB77A4" w:rsidRPr="00DB77A4">
        <w:rPr>
          <w:i/>
          <w:iCs/>
        </w:rPr>
        <w:t>haHoshen</w:t>
      </w:r>
      <w:proofErr w:type="spellEnd"/>
      <w:r w:rsidR="00DB77A4">
        <w:t xml:space="preserve"> and </w:t>
      </w:r>
      <w:r w:rsidR="00DB77A4" w:rsidRPr="00DB77A4">
        <w:rPr>
          <w:i/>
          <w:iCs/>
        </w:rPr>
        <w:t xml:space="preserve">Netivot </w:t>
      </w:r>
      <w:proofErr w:type="spellStart"/>
      <w:r w:rsidR="00DB77A4" w:rsidRPr="00DB77A4">
        <w:rPr>
          <w:i/>
          <w:iCs/>
        </w:rPr>
        <w:t>haMishpat</w:t>
      </w:r>
      <w:proofErr w:type="spellEnd"/>
      <w:r w:rsidR="00DB77A4">
        <w:t xml:space="preserve">. </w:t>
      </w:r>
    </w:p>
    <w:p w14:paraId="41973EC7" w14:textId="614220A5" w:rsidR="00DB77A4" w:rsidRDefault="00DB77A4" w:rsidP="00CD2214">
      <w:pPr>
        <w:ind w:firstLine="360"/>
      </w:pPr>
      <w:r>
        <w:t xml:space="preserve">My </w:t>
      </w:r>
      <w:r w:rsidRPr="00D82E45">
        <w:rPr>
          <w:b/>
          <w:bCs/>
        </w:rPr>
        <w:t>methodology</w:t>
      </w:r>
      <w:r>
        <w:t xml:space="preserve"> begins with phenomenology but, after revealing the </w:t>
      </w:r>
      <w:proofErr w:type="spellStart"/>
      <w:r>
        <w:t>Shakh’s</w:t>
      </w:r>
      <w:proofErr w:type="spellEnd"/>
      <w:r>
        <w:t xml:space="preserve"> </w:t>
      </w:r>
      <w:commentRangeStart w:id="3"/>
      <w:r w:rsidR="00D82E45">
        <w:t xml:space="preserve">scholarly-halakhic </w:t>
      </w:r>
      <w:commentRangeEnd w:id="3"/>
      <w:r w:rsidR="008319D2">
        <w:rPr>
          <w:rStyle w:val="CommentReference"/>
        </w:rPr>
        <w:commentReference w:id="3"/>
      </w:r>
      <w:r>
        <w:t xml:space="preserve">method in deriving </w:t>
      </w:r>
      <w:proofErr w:type="spellStart"/>
      <w:r>
        <w:t>halakhah</w:t>
      </w:r>
      <w:proofErr w:type="spellEnd"/>
      <w:r>
        <w:t>, turns to a comparative analysis of the methods of other halakhists, as we will see in the following sections.</w:t>
      </w:r>
    </w:p>
    <w:p w14:paraId="06A2B8FA" w14:textId="3D9C02BD" w:rsidR="00DB77A4" w:rsidRDefault="00DB77A4" w:rsidP="00CD2214">
      <w:pPr>
        <w:ind w:firstLine="360"/>
      </w:pPr>
      <w:r>
        <w:t xml:space="preserve">The study opens with </w:t>
      </w:r>
      <w:r w:rsidRPr="00814601">
        <w:rPr>
          <w:b/>
          <w:bCs/>
        </w:rPr>
        <w:t>the current abstract and a foreword</w:t>
      </w:r>
      <w:r>
        <w:t xml:space="preserve"> that </w:t>
      </w:r>
      <w:r w:rsidR="00814601">
        <w:t xml:space="preserve">delineates the goals of the study, </w:t>
      </w:r>
      <w:commentRangeStart w:id="4"/>
      <w:r w:rsidR="00814601">
        <w:t>its history</w:t>
      </w:r>
      <w:commentRangeEnd w:id="4"/>
      <w:r w:rsidR="00814601">
        <w:rPr>
          <w:rStyle w:val="CommentReference"/>
        </w:rPr>
        <w:commentReference w:id="4"/>
      </w:r>
      <w:r w:rsidR="00814601">
        <w:t xml:space="preserve">, and its methodology. </w:t>
      </w:r>
      <w:r w:rsidR="00814601" w:rsidRPr="00814601">
        <w:rPr>
          <w:b/>
          <w:bCs/>
        </w:rPr>
        <w:t xml:space="preserve">The body of the study is divided into </w:t>
      </w:r>
      <w:proofErr w:type="gramStart"/>
      <w:r w:rsidR="00814601" w:rsidRPr="00814601">
        <w:rPr>
          <w:b/>
          <w:bCs/>
        </w:rPr>
        <w:t>a number of</w:t>
      </w:r>
      <w:proofErr w:type="gramEnd"/>
      <w:r w:rsidR="00814601" w:rsidRPr="00814601">
        <w:rPr>
          <w:b/>
          <w:bCs/>
        </w:rPr>
        <w:t xml:space="preserve"> sections</w:t>
      </w:r>
      <w:r w:rsidR="00814601">
        <w:t>:</w:t>
      </w:r>
    </w:p>
    <w:p w14:paraId="2521EC32" w14:textId="12161DDC" w:rsidR="00814601" w:rsidRDefault="00814601" w:rsidP="00814601">
      <w:r w:rsidRPr="005754BF">
        <w:rPr>
          <w:b/>
          <w:bCs/>
        </w:rPr>
        <w:t>The first section</w:t>
      </w:r>
      <w:r>
        <w:t xml:space="preserve"> provides the historical background preceding the </w:t>
      </w:r>
      <w:proofErr w:type="spellStart"/>
      <w:r>
        <w:t>Shakh</w:t>
      </w:r>
      <w:proofErr w:type="spellEnd"/>
      <w:r>
        <w:t xml:space="preserve"> as well as his biography. This section includes three chapters.</w:t>
      </w:r>
    </w:p>
    <w:p w14:paraId="75843B4A" w14:textId="2E885B8B" w:rsidR="00814601" w:rsidRDefault="005754BF" w:rsidP="00CD2214">
      <w:pPr>
        <w:ind w:firstLine="360"/>
      </w:pPr>
      <w:r>
        <w:rPr>
          <w:b/>
          <w:bCs/>
        </w:rPr>
        <w:lastRenderedPageBreak/>
        <w:t>C</w:t>
      </w:r>
      <w:r w:rsidR="00814601" w:rsidRPr="005754BF">
        <w:rPr>
          <w:b/>
          <w:bCs/>
        </w:rPr>
        <w:t>hapter</w:t>
      </w:r>
      <w:r w:rsidR="00814601">
        <w:t xml:space="preserve"> </w:t>
      </w:r>
      <w:r w:rsidRPr="005754BF">
        <w:rPr>
          <w:b/>
          <w:bCs/>
        </w:rPr>
        <w:t>1</w:t>
      </w:r>
      <w:r>
        <w:t xml:space="preserve"> </w:t>
      </w:r>
      <w:r w:rsidR="00814601">
        <w:t xml:space="preserve">discusses the historical situation of the Jews in 16th-17th century Poland-Lithuania, until the </w:t>
      </w:r>
      <w:proofErr w:type="spellStart"/>
      <w:r w:rsidR="00814601">
        <w:t>Chmielnicki</w:t>
      </w:r>
      <w:proofErr w:type="spellEnd"/>
      <w:r w:rsidR="00814601">
        <w:t xml:space="preserve"> massacres of 1648-49, from the social, economic, and legal perspectives, followed by a discussion of the world of Torah learning.</w:t>
      </w:r>
    </w:p>
    <w:p w14:paraId="385F593A" w14:textId="062B0992" w:rsidR="00814601" w:rsidRDefault="005754BF" w:rsidP="00CD2214">
      <w:pPr>
        <w:ind w:firstLine="360"/>
      </w:pPr>
      <w:r>
        <w:rPr>
          <w:b/>
          <w:bCs/>
        </w:rPr>
        <w:t>C</w:t>
      </w:r>
      <w:r w:rsidRPr="005754BF">
        <w:rPr>
          <w:b/>
          <w:bCs/>
        </w:rPr>
        <w:t>hapter</w:t>
      </w:r>
      <w:r>
        <w:t xml:space="preserve"> </w:t>
      </w:r>
      <w:r w:rsidRPr="005754BF">
        <w:rPr>
          <w:b/>
          <w:bCs/>
        </w:rPr>
        <w:t>2</w:t>
      </w:r>
      <w:r>
        <w:t xml:space="preserve"> </w:t>
      </w:r>
      <w:r w:rsidR="00814601">
        <w:t>includ</w:t>
      </w:r>
      <w:r>
        <w:t>es</w:t>
      </w:r>
      <w:r w:rsidR="00814601">
        <w:t xml:space="preserve"> the biography of </w:t>
      </w:r>
      <w:r>
        <w:t xml:space="preserve">“the </w:t>
      </w:r>
      <w:proofErr w:type="spellStart"/>
      <w:r>
        <w:t>Shakh</w:t>
      </w:r>
      <w:proofErr w:type="spellEnd"/>
      <w:r>
        <w:t xml:space="preserve">,” </w:t>
      </w:r>
      <w:proofErr w:type="spellStart"/>
      <w:r w:rsidR="00814601">
        <w:t>Shabbatai</w:t>
      </w:r>
      <w:proofErr w:type="spellEnd"/>
      <w:r w:rsidR="00814601">
        <w:t xml:space="preserve"> Kohen,</w:t>
      </w:r>
      <w:r>
        <w:t xml:space="preserve"> </w:t>
      </w:r>
      <w:r w:rsidR="00814601">
        <w:t xml:space="preserve">including information about his family, his teachers, and his writings, as well as his central place among the halakhists of his generation and in contemporary folklore. </w:t>
      </w:r>
      <w:r w:rsidR="000256D5">
        <w:t>Within this framework, I critique several common assumptions regarding the history of Kohen and his family.</w:t>
      </w:r>
    </w:p>
    <w:p w14:paraId="29D4F017" w14:textId="137016DC" w:rsidR="000256D5" w:rsidRDefault="005754BF" w:rsidP="00CD2214">
      <w:pPr>
        <w:ind w:firstLine="360"/>
      </w:pPr>
      <w:r>
        <w:rPr>
          <w:b/>
          <w:bCs/>
        </w:rPr>
        <w:t>C</w:t>
      </w:r>
      <w:r w:rsidRPr="005754BF">
        <w:rPr>
          <w:b/>
          <w:bCs/>
        </w:rPr>
        <w:t>hapter</w:t>
      </w:r>
      <w:r>
        <w:t xml:space="preserve"> </w:t>
      </w:r>
      <w:r>
        <w:rPr>
          <w:b/>
          <w:bCs/>
        </w:rPr>
        <w:t>3</w:t>
      </w:r>
      <w:r>
        <w:t xml:space="preserve"> </w:t>
      </w:r>
      <w:r w:rsidR="000256D5">
        <w:t>gives the broader European background to the Jewish Torah world in Poland-Lithuania during the period under discussion. Topics addressed include the influence of the invention of the printing press on Jewish religious literature, that of the general European trend toward codification in the 16th century on Jewish law, and that of economic ties between Jews and non-Jews in Poland-Lithuania on halakhic positions, among others.</w:t>
      </w:r>
    </w:p>
    <w:p w14:paraId="75CB2626" w14:textId="77777777" w:rsidR="005754BF" w:rsidRDefault="005754BF" w:rsidP="00D82E45">
      <w:r w:rsidRPr="005754BF">
        <w:rPr>
          <w:b/>
          <w:bCs/>
        </w:rPr>
        <w:t>The second section</w:t>
      </w:r>
      <w:r>
        <w:t xml:space="preserve"> of the study, the first of two central sections, addresses the </w:t>
      </w:r>
      <w:proofErr w:type="spellStart"/>
      <w:r>
        <w:t>Shakh’s</w:t>
      </w:r>
      <w:proofErr w:type="spellEnd"/>
      <w:r>
        <w:t xml:space="preserve"> unique scholarly-halakhic method. It includes six chapters.</w:t>
      </w:r>
    </w:p>
    <w:p w14:paraId="00CDA7A7" w14:textId="17324D25" w:rsidR="005754BF" w:rsidRDefault="005754BF" w:rsidP="00CD2214">
      <w:pPr>
        <w:ind w:firstLine="360"/>
      </w:pPr>
      <w:r w:rsidRPr="00D82E45">
        <w:rPr>
          <w:b/>
          <w:bCs/>
        </w:rPr>
        <w:t>Chapter 4</w:t>
      </w:r>
      <w:r>
        <w:t xml:space="preserve"> </w:t>
      </w:r>
      <w:r w:rsidR="00D82E45">
        <w:t xml:space="preserve">provides an overview of this method within the context of commentators on the </w:t>
      </w:r>
      <w:proofErr w:type="spellStart"/>
      <w:r w:rsidR="00D82E45" w:rsidRPr="008319D2">
        <w:rPr>
          <w:i/>
          <w:iCs/>
        </w:rPr>
        <w:t>Shulhan</w:t>
      </w:r>
      <w:proofErr w:type="spellEnd"/>
      <w:r w:rsidR="00D82E45" w:rsidRPr="008319D2">
        <w:rPr>
          <w:i/>
          <w:iCs/>
        </w:rPr>
        <w:t xml:space="preserve"> </w:t>
      </w:r>
      <w:proofErr w:type="spellStart"/>
      <w:r w:rsidR="00D82E45" w:rsidRPr="008319D2">
        <w:rPr>
          <w:i/>
          <w:iCs/>
        </w:rPr>
        <w:t>Aruk</w:t>
      </w:r>
      <w:r w:rsidR="005C43B1" w:rsidRPr="008319D2">
        <w:rPr>
          <w:i/>
          <w:iCs/>
        </w:rPr>
        <w:t>h</w:t>
      </w:r>
      <w:proofErr w:type="spellEnd"/>
      <w:r w:rsidR="00D82E45">
        <w:t xml:space="preserve"> and includes an explanation of my description of the </w:t>
      </w:r>
      <w:proofErr w:type="spellStart"/>
      <w:r w:rsidR="00D82E45">
        <w:t>Shakh’s</w:t>
      </w:r>
      <w:proofErr w:type="spellEnd"/>
      <w:r w:rsidR="00D82E45">
        <w:t xml:space="preserve"> method as “scholarly-halakhic.”</w:t>
      </w:r>
      <w:r w:rsidR="00551F5A">
        <w:t xml:space="preserve"> </w:t>
      </w:r>
    </w:p>
    <w:p w14:paraId="1D85A55E" w14:textId="2849A0EB" w:rsidR="005C43B1" w:rsidRDefault="005C43B1" w:rsidP="005C43B1">
      <w:pPr>
        <w:ind w:firstLine="360"/>
      </w:pPr>
      <w:r w:rsidRPr="005C43B1">
        <w:rPr>
          <w:b/>
          <w:bCs/>
        </w:rPr>
        <w:t>Chapter 5</w:t>
      </w:r>
      <w:r>
        <w:t xml:space="preserve"> presents the halakhic method – to be distinguished from the scholarly one – which can also be referred to as “the </w:t>
      </w:r>
      <w:proofErr w:type="spellStart"/>
      <w:r>
        <w:t>Shakh’s</w:t>
      </w:r>
      <w:proofErr w:type="spellEnd"/>
      <w:r>
        <w:t xml:space="preserve"> pecuniary theory of ruling in</w:t>
      </w:r>
      <w:r w:rsidR="008319D2">
        <w:t xml:space="preserve"> cases of</w:t>
      </w:r>
      <w:r>
        <w:t xml:space="preserve"> doubtful property.” It deals primarily with the </w:t>
      </w:r>
      <w:proofErr w:type="spellStart"/>
      <w:r>
        <w:t>Shakh’s</w:t>
      </w:r>
      <w:proofErr w:type="spellEnd"/>
      <w:r>
        <w:t xml:space="preserve"> commentary on halakhic principles </w:t>
      </w:r>
      <w:r w:rsidR="008319D2">
        <w:t xml:space="preserve">in </w:t>
      </w:r>
      <w:r>
        <w:t>property cases involving doubt</w:t>
      </w:r>
      <w:r>
        <w:rPr>
          <w:rStyle w:val="CommentReference"/>
        </w:rPr>
        <w:commentReference w:id="5"/>
      </w:r>
      <w:r>
        <w:t>, such as the principle</w:t>
      </w:r>
      <w:r w:rsidR="00E54909">
        <w:t>s</w:t>
      </w:r>
      <w:r>
        <w:t xml:space="preserve"> of</w:t>
      </w:r>
      <w:r w:rsidR="00E54909">
        <w:t xml:space="preserve"> </w:t>
      </w:r>
      <w:r w:rsidR="00E54909" w:rsidRPr="00E54909">
        <w:rPr>
          <w:i/>
          <w:iCs/>
        </w:rPr>
        <w:t xml:space="preserve">natal </w:t>
      </w:r>
      <w:proofErr w:type="spellStart"/>
      <w:r w:rsidR="00E54909">
        <w:rPr>
          <w:i/>
          <w:iCs/>
        </w:rPr>
        <w:t>ha</w:t>
      </w:r>
      <w:r w:rsidR="00E54909" w:rsidRPr="00E54909">
        <w:rPr>
          <w:i/>
          <w:iCs/>
        </w:rPr>
        <w:t>rayah</w:t>
      </w:r>
      <w:proofErr w:type="spellEnd"/>
      <w:r w:rsidR="00E54909">
        <w:t xml:space="preserve"> (burden of proof), </w:t>
      </w:r>
      <w:proofErr w:type="spellStart"/>
      <w:r w:rsidR="00E54909" w:rsidRPr="00E54909">
        <w:rPr>
          <w:i/>
          <w:iCs/>
        </w:rPr>
        <w:t>kim</w:t>
      </w:r>
      <w:proofErr w:type="spellEnd"/>
      <w:r w:rsidR="00E54909" w:rsidRPr="00E54909">
        <w:rPr>
          <w:i/>
          <w:iCs/>
        </w:rPr>
        <w:t xml:space="preserve"> li</w:t>
      </w:r>
      <w:r w:rsidR="00E54909">
        <w:t xml:space="preserve"> (certainty), and </w:t>
      </w:r>
      <w:proofErr w:type="spellStart"/>
      <w:r w:rsidR="00E54909" w:rsidRPr="00E54909">
        <w:rPr>
          <w:i/>
          <w:iCs/>
        </w:rPr>
        <w:t>halakhah</w:t>
      </w:r>
      <w:proofErr w:type="spellEnd"/>
      <w:r w:rsidR="00E54909" w:rsidRPr="00E54909">
        <w:rPr>
          <w:i/>
          <w:iCs/>
        </w:rPr>
        <w:t xml:space="preserve"> </w:t>
      </w:r>
      <w:proofErr w:type="spellStart"/>
      <w:r w:rsidR="00E54909" w:rsidRPr="00E54909">
        <w:rPr>
          <w:i/>
          <w:iCs/>
        </w:rPr>
        <w:t>kebatrai</w:t>
      </w:r>
      <w:proofErr w:type="spellEnd"/>
      <w:r w:rsidR="00E54909">
        <w:t xml:space="preserve"> (preference for later rulings)</w:t>
      </w:r>
      <w:r w:rsidR="005D41F8">
        <w:t xml:space="preserve">, as well as </w:t>
      </w:r>
      <w:r w:rsidR="00E54909">
        <w:t xml:space="preserve">the </w:t>
      </w:r>
      <w:r w:rsidR="005D41F8">
        <w:t xml:space="preserve">case of a judge who erred. I found </w:t>
      </w:r>
      <w:r w:rsidR="00B63A4F">
        <w:t xml:space="preserve">new </w:t>
      </w:r>
      <w:r w:rsidR="00AD5DC9">
        <w:t xml:space="preserve">principles of halakhic decision-making that scholars, both rabbinic and academic, did not fully explore, such as the extent of authority of </w:t>
      </w:r>
      <w:proofErr w:type="spellStart"/>
      <w:r w:rsidR="00AD5DC9" w:rsidRPr="00AD5DC9">
        <w:rPr>
          <w:i/>
          <w:iCs/>
        </w:rPr>
        <w:t>sugya</w:t>
      </w:r>
      <w:proofErr w:type="spellEnd"/>
      <w:r w:rsidR="00AD5DC9" w:rsidRPr="00AD5DC9">
        <w:rPr>
          <w:i/>
          <w:iCs/>
        </w:rPr>
        <w:t xml:space="preserve"> </w:t>
      </w:r>
      <w:proofErr w:type="spellStart"/>
      <w:r w:rsidR="00AD5DC9" w:rsidRPr="00AD5DC9">
        <w:rPr>
          <w:i/>
          <w:iCs/>
        </w:rPr>
        <w:t>d’alma</w:t>
      </w:r>
      <w:proofErr w:type="spellEnd"/>
      <w:r w:rsidR="00AD5DC9">
        <w:t xml:space="preserve"> and the meaning of the concept of </w:t>
      </w:r>
      <w:proofErr w:type="spellStart"/>
      <w:r w:rsidR="00AD5DC9" w:rsidRPr="00AD5DC9">
        <w:rPr>
          <w:i/>
          <w:iCs/>
        </w:rPr>
        <w:t>shikul</w:t>
      </w:r>
      <w:proofErr w:type="spellEnd"/>
      <w:r w:rsidR="00AD5DC9" w:rsidRPr="00AD5DC9">
        <w:rPr>
          <w:i/>
          <w:iCs/>
        </w:rPr>
        <w:t xml:space="preserve"> </w:t>
      </w:r>
      <w:proofErr w:type="spellStart"/>
      <w:r w:rsidR="00AD5DC9" w:rsidRPr="00AD5DC9">
        <w:rPr>
          <w:i/>
          <w:iCs/>
        </w:rPr>
        <w:t>da’at</w:t>
      </w:r>
      <w:proofErr w:type="spellEnd"/>
      <w:r w:rsidR="00AD5DC9">
        <w:t>.</w:t>
      </w:r>
    </w:p>
    <w:p w14:paraId="3B28F24F" w14:textId="2BAF2021" w:rsidR="00734EB9" w:rsidRDefault="00734EB9" w:rsidP="005C43B1">
      <w:pPr>
        <w:ind w:firstLine="360"/>
      </w:pPr>
      <w:r>
        <w:t xml:space="preserve">Another topic addressed in this chapter – which is built on the foundation of the preceding chapters and which joins them into a single unit – is the position of the </w:t>
      </w:r>
      <w:proofErr w:type="spellStart"/>
      <w:r>
        <w:t>Shakh</w:t>
      </w:r>
      <w:proofErr w:type="spellEnd"/>
      <w:r>
        <w:t xml:space="preserve"> regarding the autonomy granted a rabbinic judge at the time of his ruling.</w:t>
      </w:r>
      <w:r w:rsidR="001B75A4">
        <w:t xml:space="preserve"> </w:t>
      </w:r>
      <w:r w:rsidR="0052148E">
        <w:t>It should be stressed that the current discussion is not primarily dedicated to judicial decision-making based on th</w:t>
      </w:r>
      <w:r w:rsidR="008F2089">
        <w:t xml:space="preserve">e details of a particular monetary dispute nor to the principles of such decisions such as </w:t>
      </w:r>
      <w:proofErr w:type="spellStart"/>
      <w:r w:rsidR="008F2089" w:rsidRPr="008F2089">
        <w:rPr>
          <w:i/>
          <w:iCs/>
        </w:rPr>
        <w:t>rov</w:t>
      </w:r>
      <w:proofErr w:type="spellEnd"/>
      <w:r w:rsidR="008F2089">
        <w:t xml:space="preserve">, </w:t>
      </w:r>
      <w:proofErr w:type="spellStart"/>
      <w:r w:rsidR="008F2089" w:rsidRPr="008F2089">
        <w:rPr>
          <w:i/>
          <w:iCs/>
        </w:rPr>
        <w:t>hazakah</w:t>
      </w:r>
      <w:proofErr w:type="spellEnd"/>
      <w:r w:rsidR="008F2089">
        <w:t xml:space="preserve">, or </w:t>
      </w:r>
      <w:proofErr w:type="spellStart"/>
      <w:r w:rsidR="008F2089" w:rsidRPr="008F2089">
        <w:rPr>
          <w:i/>
          <w:iCs/>
        </w:rPr>
        <w:t>migo</w:t>
      </w:r>
      <w:proofErr w:type="spellEnd"/>
      <w:r w:rsidR="008F2089">
        <w:t>; rather, it deals primarily with the meta-principles that come into play only after it has become clear that a decision cannot be reached based on the evidence or standard halakhic process.</w:t>
      </w:r>
    </w:p>
    <w:p w14:paraId="5F9E234F" w14:textId="063F92F0" w:rsidR="008F2089" w:rsidRDefault="00CD2442" w:rsidP="005C43B1">
      <w:pPr>
        <w:ind w:firstLine="360"/>
      </w:pPr>
      <w:r>
        <w:t>Nowhere does t</w:t>
      </w:r>
      <w:r w:rsidR="008F2089">
        <w:t xml:space="preserve">he </w:t>
      </w:r>
      <w:proofErr w:type="spellStart"/>
      <w:r w:rsidR="008F2089">
        <w:t>Shakh</w:t>
      </w:r>
      <w:proofErr w:type="spellEnd"/>
      <w:r w:rsidR="008F2089">
        <w:t xml:space="preserve"> present </w:t>
      </w:r>
      <w:r>
        <w:t xml:space="preserve">a summary of </w:t>
      </w:r>
      <w:r w:rsidR="008F2089">
        <w:t>his judicial theory</w:t>
      </w:r>
      <w:r>
        <w:t xml:space="preserve">, and so we must </w:t>
      </w:r>
      <w:r w:rsidR="008319D2">
        <w:t>cull</w:t>
      </w:r>
      <w:r>
        <w:t xml:space="preserve"> the relevant statements</w:t>
      </w:r>
      <w:r w:rsidR="008319D2">
        <w:t xml:space="preserve"> scattered throughout his work</w:t>
      </w:r>
      <w:r>
        <w:t xml:space="preserve">, the bulk of which are found in his commentary on </w:t>
      </w:r>
      <w:proofErr w:type="spellStart"/>
      <w:r w:rsidRPr="008319D2">
        <w:rPr>
          <w:i/>
          <w:iCs/>
        </w:rPr>
        <w:t>Hoshen</w:t>
      </w:r>
      <w:proofErr w:type="spellEnd"/>
      <w:r w:rsidRPr="008319D2">
        <w:rPr>
          <w:i/>
          <w:iCs/>
        </w:rPr>
        <w:t xml:space="preserve"> </w:t>
      </w:r>
      <w:proofErr w:type="spellStart"/>
      <w:r w:rsidRPr="008319D2">
        <w:rPr>
          <w:i/>
          <w:iCs/>
        </w:rPr>
        <w:t>Mishpat</w:t>
      </w:r>
      <w:proofErr w:type="spellEnd"/>
      <w:r>
        <w:t xml:space="preserve"> and the remainder </w:t>
      </w:r>
      <w:proofErr w:type="spellStart"/>
      <w:r>
        <w:t xml:space="preserve">in </w:t>
      </w:r>
      <w:proofErr w:type="spellEnd"/>
      <w:r>
        <w:t xml:space="preserve">the monograph </w:t>
      </w:r>
      <w:proofErr w:type="spellStart"/>
      <w:r w:rsidRPr="008319D2">
        <w:rPr>
          <w:i/>
          <w:iCs/>
        </w:rPr>
        <w:t>Takfu</w:t>
      </w:r>
      <w:proofErr w:type="spellEnd"/>
      <w:r w:rsidRPr="008319D2">
        <w:rPr>
          <w:i/>
          <w:iCs/>
        </w:rPr>
        <w:t xml:space="preserve"> Kohen</w:t>
      </w:r>
      <w:r>
        <w:t>.</w:t>
      </w:r>
    </w:p>
    <w:p w14:paraId="7B313938" w14:textId="7FF506A5" w:rsidR="00CD2442" w:rsidRDefault="00CD2442" w:rsidP="005C43B1">
      <w:pPr>
        <w:ind w:firstLine="360"/>
      </w:pPr>
      <w:r w:rsidRPr="00C462AD">
        <w:rPr>
          <w:b/>
          <w:bCs/>
        </w:rPr>
        <w:t>Chapter Six</w:t>
      </w:r>
      <w:r>
        <w:t xml:space="preserve"> describes the fundamental characteristics of the scholarly method, to be distinguished from the halakhic one. In this description, the </w:t>
      </w:r>
      <w:proofErr w:type="spellStart"/>
      <w:r>
        <w:t>Shakh</w:t>
      </w:r>
      <w:proofErr w:type="spellEnd"/>
      <w:r>
        <w:t xml:space="preserve"> is revealed to be a uniquely independent halakhist, one unafraid of coming out against his predecessors, at times </w:t>
      </w:r>
      <w:r w:rsidR="00C462AD">
        <w:t>battling</w:t>
      </w:r>
      <w:r>
        <w:t xml:space="preserve"> not only Karo and </w:t>
      </w:r>
      <w:proofErr w:type="spellStart"/>
      <w:r>
        <w:t>Isserles</w:t>
      </w:r>
      <w:proofErr w:type="spellEnd"/>
      <w:r>
        <w:t xml:space="preserve"> but also the Rif, the Rambam, and the Rosh, the greatest of the </w:t>
      </w:r>
      <w:commentRangeStart w:id="6"/>
      <w:proofErr w:type="spellStart"/>
      <w:r>
        <w:t>Rishonim</w:t>
      </w:r>
      <w:commentRangeEnd w:id="6"/>
      <w:proofErr w:type="spellEnd"/>
      <w:r>
        <w:rPr>
          <w:rStyle w:val="CommentReference"/>
        </w:rPr>
        <w:commentReference w:id="6"/>
      </w:r>
      <w:r>
        <w:t>.</w:t>
      </w:r>
      <w:r w:rsidR="00C462AD">
        <w:t xml:space="preserve"> Logical arguments are his primary weapons in this battle, and he wields them well.</w:t>
      </w:r>
    </w:p>
    <w:p w14:paraId="760CEDFC" w14:textId="259912D6" w:rsidR="00AF433F" w:rsidRPr="00AF433F" w:rsidRDefault="00AF433F" w:rsidP="005C43B1">
      <w:pPr>
        <w:ind w:firstLine="360"/>
      </w:pPr>
      <w:r w:rsidRPr="00C462AD">
        <w:rPr>
          <w:b/>
          <w:bCs/>
        </w:rPr>
        <w:t>Chapter Seven</w:t>
      </w:r>
      <w:r>
        <w:rPr>
          <w:b/>
          <w:bCs/>
        </w:rPr>
        <w:t xml:space="preserve"> </w:t>
      </w:r>
      <w:r>
        <w:t xml:space="preserve">discusses the remaining characteristics of the </w:t>
      </w:r>
      <w:proofErr w:type="spellStart"/>
      <w:r>
        <w:t>Shakh’s</w:t>
      </w:r>
      <w:proofErr w:type="spellEnd"/>
      <w:r>
        <w:t xml:space="preserve"> method.</w:t>
      </w:r>
    </w:p>
    <w:p w14:paraId="2131AD3A" w14:textId="2F7393AC" w:rsidR="00C462AD" w:rsidRDefault="00C462AD" w:rsidP="005C43B1">
      <w:pPr>
        <w:ind w:firstLine="360"/>
      </w:pPr>
      <w:r w:rsidRPr="00C462AD">
        <w:rPr>
          <w:b/>
          <w:bCs/>
        </w:rPr>
        <w:lastRenderedPageBreak/>
        <w:t xml:space="preserve">Chapter </w:t>
      </w:r>
      <w:r w:rsidR="00AF433F">
        <w:rPr>
          <w:b/>
          <w:bCs/>
        </w:rPr>
        <w:t>Eight</w:t>
      </w:r>
      <w:r>
        <w:t xml:space="preserve"> discusses the heuristic approach known as </w:t>
      </w:r>
      <w:r w:rsidRPr="008319D2">
        <w:rPr>
          <w:i/>
          <w:iCs/>
        </w:rPr>
        <w:t>pilpul</w:t>
      </w:r>
      <w:r>
        <w:t xml:space="preserve"> and the </w:t>
      </w:r>
      <w:proofErr w:type="spellStart"/>
      <w:r>
        <w:t>Shakh’s</w:t>
      </w:r>
      <w:proofErr w:type="spellEnd"/>
      <w:r>
        <w:t xml:space="preserve"> limited use of it in making halakhic decisions. I show that the </w:t>
      </w:r>
      <w:proofErr w:type="spellStart"/>
      <w:r>
        <w:t>Shakh</w:t>
      </w:r>
      <w:proofErr w:type="spellEnd"/>
      <w:r>
        <w:t xml:space="preserve"> apparently learned from his master, R. Yehoshua </w:t>
      </w:r>
      <w:proofErr w:type="spellStart"/>
      <w:r>
        <w:t>Harif</w:t>
      </w:r>
      <w:proofErr w:type="spellEnd"/>
      <w:r>
        <w:t xml:space="preserve">, not to bring such heuristics into the process when attempting to reach a practical halakhic decision. I likewise reveal the </w:t>
      </w:r>
      <w:proofErr w:type="spellStart"/>
      <w:r>
        <w:t>Shakh’s</w:t>
      </w:r>
      <w:proofErr w:type="spellEnd"/>
      <w:r>
        <w:t xml:space="preserve"> abilities in making heuristic distinctions based on factors of ontology and taxonomy.</w:t>
      </w:r>
    </w:p>
    <w:p w14:paraId="77E9DD99" w14:textId="4FD50DCD" w:rsidR="00AD5DC9" w:rsidRDefault="00C462AD" w:rsidP="005C43B1">
      <w:pPr>
        <w:ind w:firstLine="360"/>
      </w:pPr>
      <w:r w:rsidRPr="008319D2">
        <w:rPr>
          <w:b/>
          <w:bCs/>
        </w:rPr>
        <w:t>Chapter Nine</w:t>
      </w:r>
      <w:r>
        <w:t xml:space="preserve"> addresses the </w:t>
      </w:r>
      <w:proofErr w:type="spellStart"/>
      <w:r>
        <w:t>Shakh’s</w:t>
      </w:r>
      <w:proofErr w:type="spellEnd"/>
      <w:r>
        <w:t xml:space="preserve"> methods in his commentary on </w:t>
      </w:r>
      <w:proofErr w:type="spellStart"/>
      <w:r>
        <w:t>Yoreh</w:t>
      </w:r>
      <w:proofErr w:type="spellEnd"/>
      <w:r>
        <w:t xml:space="preserve"> </w:t>
      </w:r>
      <w:proofErr w:type="spellStart"/>
      <w:r>
        <w:t>Deah</w:t>
      </w:r>
      <w:proofErr w:type="spellEnd"/>
      <w:r>
        <w:t xml:space="preserve">, based on his multiple writings on that section of the </w:t>
      </w:r>
      <w:proofErr w:type="spellStart"/>
      <w:r>
        <w:t>Shulhan</w:t>
      </w:r>
      <w:proofErr w:type="spellEnd"/>
      <w:r>
        <w:t xml:space="preserve"> </w:t>
      </w:r>
      <w:proofErr w:type="spellStart"/>
      <w:r>
        <w:t>Arukh</w:t>
      </w:r>
      <w:proofErr w:type="spellEnd"/>
      <w:r>
        <w:t xml:space="preserve">: </w:t>
      </w:r>
      <w:proofErr w:type="spellStart"/>
      <w:r w:rsidRPr="00C462AD">
        <w:rPr>
          <w:i/>
          <w:iCs/>
        </w:rPr>
        <w:t>Siftei</w:t>
      </w:r>
      <w:proofErr w:type="spellEnd"/>
      <w:r w:rsidRPr="00C462AD">
        <w:rPr>
          <w:i/>
          <w:iCs/>
        </w:rPr>
        <w:t xml:space="preserve"> Kohen</w:t>
      </w:r>
      <w:r>
        <w:t xml:space="preserve"> and </w:t>
      </w:r>
      <w:proofErr w:type="spellStart"/>
      <w:r w:rsidRPr="00C462AD">
        <w:rPr>
          <w:i/>
          <w:iCs/>
        </w:rPr>
        <w:t>Sefer</w:t>
      </w:r>
      <w:proofErr w:type="spellEnd"/>
      <w:r w:rsidRPr="00C462AD">
        <w:rPr>
          <w:i/>
          <w:iCs/>
        </w:rPr>
        <w:t xml:space="preserve"> </w:t>
      </w:r>
      <w:proofErr w:type="spellStart"/>
      <w:r>
        <w:rPr>
          <w:i/>
          <w:iCs/>
        </w:rPr>
        <w:t>h</w:t>
      </w:r>
      <w:r w:rsidRPr="00C462AD">
        <w:rPr>
          <w:i/>
          <w:iCs/>
        </w:rPr>
        <w:t>aArukh</w:t>
      </w:r>
      <w:proofErr w:type="spellEnd"/>
      <w:r w:rsidRPr="00C462AD">
        <w:rPr>
          <w:i/>
          <w:iCs/>
        </w:rPr>
        <w:t xml:space="preserve"> </w:t>
      </w:r>
      <w:proofErr w:type="spellStart"/>
      <w:r w:rsidRPr="00C462AD">
        <w:rPr>
          <w:i/>
          <w:iCs/>
        </w:rPr>
        <w:t>miShakh</w:t>
      </w:r>
      <w:proofErr w:type="spellEnd"/>
      <w:r>
        <w:t xml:space="preserve">, as well as </w:t>
      </w:r>
      <w:proofErr w:type="spellStart"/>
      <w:r w:rsidRPr="00C462AD">
        <w:rPr>
          <w:i/>
          <w:iCs/>
        </w:rPr>
        <w:t>Kuntres</w:t>
      </w:r>
      <w:proofErr w:type="spellEnd"/>
      <w:r w:rsidRPr="00C462AD">
        <w:rPr>
          <w:i/>
          <w:iCs/>
        </w:rPr>
        <w:t xml:space="preserve"> </w:t>
      </w:r>
      <w:proofErr w:type="spellStart"/>
      <w:r w:rsidRPr="00C462AD">
        <w:rPr>
          <w:i/>
          <w:iCs/>
        </w:rPr>
        <w:t>haAharon</w:t>
      </w:r>
      <w:proofErr w:type="spellEnd"/>
      <w:r>
        <w:t xml:space="preserve"> and </w:t>
      </w:r>
      <w:proofErr w:type="spellStart"/>
      <w:r w:rsidRPr="00C462AD">
        <w:rPr>
          <w:i/>
          <w:iCs/>
        </w:rPr>
        <w:t>Nekudot</w:t>
      </w:r>
      <w:proofErr w:type="spellEnd"/>
      <w:r w:rsidRPr="00C462AD">
        <w:rPr>
          <w:i/>
          <w:iCs/>
        </w:rPr>
        <w:t xml:space="preserve"> </w:t>
      </w:r>
      <w:proofErr w:type="spellStart"/>
      <w:r w:rsidRPr="00C462AD">
        <w:rPr>
          <w:i/>
          <w:iCs/>
        </w:rPr>
        <w:t>haKesef</w:t>
      </w:r>
      <w:proofErr w:type="spellEnd"/>
      <w:r>
        <w:t xml:space="preserve"> (both written as part of his scholarly dispute with the </w:t>
      </w:r>
      <w:proofErr w:type="spellStart"/>
      <w:r w:rsidRPr="00C462AD">
        <w:rPr>
          <w:i/>
          <w:iCs/>
        </w:rPr>
        <w:t>Turei</w:t>
      </w:r>
      <w:proofErr w:type="spellEnd"/>
      <w:r w:rsidRPr="00C462AD">
        <w:rPr>
          <w:i/>
          <w:iCs/>
        </w:rPr>
        <w:t xml:space="preserve"> </w:t>
      </w:r>
      <w:proofErr w:type="spellStart"/>
      <w:r w:rsidRPr="00C462AD">
        <w:rPr>
          <w:i/>
          <w:iCs/>
        </w:rPr>
        <w:t>Zahav</w:t>
      </w:r>
      <w:proofErr w:type="spellEnd"/>
      <w:r>
        <w:t>).</w:t>
      </w:r>
      <w:r w:rsidR="00C51F12">
        <w:t xml:space="preserve"> These works were all written relatively early in the </w:t>
      </w:r>
      <w:proofErr w:type="spellStart"/>
      <w:r w:rsidR="00C51F12">
        <w:t>Shakh’s</w:t>
      </w:r>
      <w:proofErr w:type="spellEnd"/>
      <w:r w:rsidR="00C51F12">
        <w:t xml:space="preserve"> career, before his great breakthrough in depth, breadth, and conceptualization that we witness in his commentary on </w:t>
      </w:r>
      <w:proofErr w:type="spellStart"/>
      <w:r w:rsidR="00C51F12" w:rsidRPr="00AF433F">
        <w:rPr>
          <w:i/>
          <w:iCs/>
        </w:rPr>
        <w:t>Hoshen</w:t>
      </w:r>
      <w:proofErr w:type="spellEnd"/>
      <w:r w:rsidR="00C51F12" w:rsidRPr="00AF433F">
        <w:rPr>
          <w:i/>
          <w:iCs/>
        </w:rPr>
        <w:t xml:space="preserve"> </w:t>
      </w:r>
      <w:proofErr w:type="spellStart"/>
      <w:r w:rsidR="00C51F12" w:rsidRPr="00AF433F">
        <w:rPr>
          <w:i/>
          <w:iCs/>
        </w:rPr>
        <w:t>Mishpat</w:t>
      </w:r>
      <w:proofErr w:type="spellEnd"/>
      <w:r w:rsidR="00C51F12">
        <w:t xml:space="preserve"> and </w:t>
      </w:r>
      <w:proofErr w:type="spellStart"/>
      <w:r w:rsidR="00C51F12" w:rsidRPr="00AF433F">
        <w:rPr>
          <w:i/>
          <w:iCs/>
        </w:rPr>
        <w:t>Takfu</w:t>
      </w:r>
      <w:proofErr w:type="spellEnd"/>
      <w:r w:rsidR="00C51F12" w:rsidRPr="00AF433F">
        <w:rPr>
          <w:i/>
          <w:iCs/>
        </w:rPr>
        <w:t xml:space="preserve"> Kohen</w:t>
      </w:r>
      <w:r w:rsidR="00C51F12">
        <w:t xml:space="preserve"> on cases of doubt in monetary claims.</w:t>
      </w:r>
    </w:p>
    <w:p w14:paraId="24B5C248" w14:textId="6BEB11A1" w:rsidR="00C51F12" w:rsidRDefault="00C51F12" w:rsidP="00C51F12">
      <w:r w:rsidRPr="00C51F12">
        <w:rPr>
          <w:b/>
          <w:bCs/>
        </w:rPr>
        <w:t>The third section</w:t>
      </w:r>
      <w:r>
        <w:t xml:space="preserve"> deals with the influence of earlier halakhists on the </w:t>
      </w:r>
      <w:proofErr w:type="spellStart"/>
      <w:r>
        <w:t>Shakh</w:t>
      </w:r>
      <w:proofErr w:type="spellEnd"/>
      <w:r>
        <w:t>, beginning with the Geonim and concluding with his elder contemporaries. This section includes two chapters.</w:t>
      </w:r>
    </w:p>
    <w:p w14:paraId="41C080F6" w14:textId="207DFB8B" w:rsidR="00C51F12" w:rsidRDefault="00C51F12" w:rsidP="005C43B1">
      <w:pPr>
        <w:ind w:firstLine="360"/>
      </w:pPr>
      <w:r w:rsidRPr="00C51F12">
        <w:rPr>
          <w:b/>
          <w:bCs/>
        </w:rPr>
        <w:t>Chapter Ten</w:t>
      </w:r>
      <w:r>
        <w:t xml:space="preserve">, a lengthy chapter outlining the </w:t>
      </w:r>
      <w:proofErr w:type="spellStart"/>
      <w:r>
        <w:t>Shakh’s</w:t>
      </w:r>
      <w:proofErr w:type="spellEnd"/>
      <w:r>
        <w:t xml:space="preserve"> affinities with his predecessors, is at the center of this section. Among the </w:t>
      </w:r>
      <w:proofErr w:type="spellStart"/>
      <w:r>
        <w:t>Rishonim</w:t>
      </w:r>
      <w:proofErr w:type="spellEnd"/>
      <w:r>
        <w:t xml:space="preserve"> I found four major influences. This chapter also discusses some early </w:t>
      </w:r>
      <w:commentRangeStart w:id="7"/>
      <w:proofErr w:type="spellStart"/>
      <w:r>
        <w:t>Aharonim</w:t>
      </w:r>
      <w:commentRangeEnd w:id="7"/>
      <w:proofErr w:type="spellEnd"/>
      <w:r>
        <w:rPr>
          <w:rStyle w:val="CommentReference"/>
        </w:rPr>
        <w:commentReference w:id="7"/>
      </w:r>
      <w:r>
        <w:t xml:space="preserve">, with an emphasis on R. </w:t>
      </w:r>
      <w:proofErr w:type="spellStart"/>
      <w:r>
        <w:t>Shlomo</w:t>
      </w:r>
      <w:proofErr w:type="spellEnd"/>
      <w:r>
        <w:t xml:space="preserve"> Luria and R. Yehoshua Falk (both mentioned above), who had the greatest influence on the </w:t>
      </w:r>
      <w:proofErr w:type="spellStart"/>
      <w:r>
        <w:t>Shakh</w:t>
      </w:r>
      <w:proofErr w:type="spellEnd"/>
      <w:r w:rsidR="00D50C74">
        <w:t xml:space="preserve"> among </w:t>
      </w:r>
      <w:proofErr w:type="spellStart"/>
      <w:r w:rsidR="00D50C74">
        <w:t>the</w:t>
      </w:r>
      <w:proofErr w:type="spellEnd"/>
      <w:r w:rsidR="00D50C74">
        <w:t xml:space="preserve"> </w:t>
      </w:r>
      <w:proofErr w:type="spellStart"/>
      <w:r w:rsidR="00D50C74">
        <w:t>Aharonim</w:t>
      </w:r>
      <w:proofErr w:type="spellEnd"/>
      <w:r w:rsidR="00D50C74">
        <w:t xml:space="preserve">. (Luria’s scholarly method was a palpable influence, as were his halakhic decisions, which are frequently adopted by the </w:t>
      </w:r>
      <w:proofErr w:type="spellStart"/>
      <w:r w:rsidR="00D50C74">
        <w:t>Shakh</w:t>
      </w:r>
      <w:proofErr w:type="spellEnd"/>
      <w:r w:rsidR="00D50C74">
        <w:t xml:space="preserve">; Falk’s influence, on the other hand, was more structural, in that he commented on every entry in </w:t>
      </w:r>
      <w:proofErr w:type="spellStart"/>
      <w:r w:rsidR="00D50C74" w:rsidRPr="00AF433F">
        <w:rPr>
          <w:i/>
          <w:iCs/>
        </w:rPr>
        <w:t>Hoshen</w:t>
      </w:r>
      <w:proofErr w:type="spellEnd"/>
      <w:r w:rsidR="00D50C74" w:rsidRPr="00AF433F">
        <w:rPr>
          <w:i/>
          <w:iCs/>
        </w:rPr>
        <w:t xml:space="preserve"> </w:t>
      </w:r>
      <w:proofErr w:type="spellStart"/>
      <w:r w:rsidR="00D50C74" w:rsidRPr="00AF433F">
        <w:rPr>
          <w:i/>
          <w:iCs/>
        </w:rPr>
        <w:t>Mishpat</w:t>
      </w:r>
      <w:proofErr w:type="spellEnd"/>
      <w:r w:rsidR="00D50C74">
        <w:t xml:space="preserve">, providing the </w:t>
      </w:r>
      <w:proofErr w:type="spellStart"/>
      <w:r w:rsidR="00D50C74">
        <w:t>Shakh</w:t>
      </w:r>
      <w:proofErr w:type="spellEnd"/>
      <w:r w:rsidR="00D50C74">
        <w:t xml:space="preserve"> with a basis for discussion on multiple occasions even if he ultimately rejected Falk’s arguments.) </w:t>
      </w:r>
      <w:proofErr w:type="spellStart"/>
      <w:r w:rsidR="00D50C74">
        <w:t>Shakh’s</w:t>
      </w:r>
      <w:proofErr w:type="spellEnd"/>
      <w:r w:rsidR="00D50C74">
        <w:t xml:space="preserve"> own teachers, including his father, R. Meir Ashkenazi-Katz, were also influential, but their influence is revealed </w:t>
      </w:r>
      <w:proofErr w:type="gramStart"/>
      <w:r w:rsidR="00D50C74">
        <w:t>in particular instances</w:t>
      </w:r>
      <w:proofErr w:type="gramEnd"/>
      <w:r w:rsidR="00D50C74">
        <w:t xml:space="preserve"> and is not </w:t>
      </w:r>
      <w:r w:rsidR="00AF433F">
        <w:t>noticeable on a global scale</w:t>
      </w:r>
      <w:r w:rsidR="00D50C74">
        <w:t xml:space="preserve"> across the </w:t>
      </w:r>
      <w:proofErr w:type="spellStart"/>
      <w:r w:rsidR="00D50C74">
        <w:t>Shakh’s</w:t>
      </w:r>
      <w:proofErr w:type="spellEnd"/>
      <w:r w:rsidR="00D50C74">
        <w:t xml:space="preserve"> work. The influence of </w:t>
      </w:r>
      <w:r w:rsidR="00D50C74" w:rsidRPr="00AF433F">
        <w:rPr>
          <w:i/>
          <w:iCs/>
        </w:rPr>
        <w:t>pilpul</w:t>
      </w:r>
      <w:r w:rsidR="00D50C74">
        <w:t xml:space="preserve"> is discussed in Chapter Eight.</w:t>
      </w:r>
    </w:p>
    <w:p w14:paraId="068BE5E4" w14:textId="0635E177" w:rsidR="00D50C74" w:rsidRDefault="00D50C74" w:rsidP="005C43B1">
      <w:pPr>
        <w:ind w:firstLine="360"/>
      </w:pPr>
      <w:r w:rsidRPr="00111769">
        <w:rPr>
          <w:b/>
          <w:bCs/>
        </w:rPr>
        <w:t>Chapter Eleven</w:t>
      </w:r>
      <w:r>
        <w:t xml:space="preserve"> is sui generis in that there I propose a theory on the </w:t>
      </w:r>
      <w:proofErr w:type="spellStart"/>
      <w:r>
        <w:t>Shakh’s</w:t>
      </w:r>
      <w:proofErr w:type="spellEnd"/>
      <w:r>
        <w:t xml:space="preserve"> true goal in writing the halakhic monograph </w:t>
      </w:r>
      <w:proofErr w:type="spellStart"/>
      <w:r w:rsidRPr="00AF433F">
        <w:rPr>
          <w:i/>
          <w:iCs/>
        </w:rPr>
        <w:t>Takfu</w:t>
      </w:r>
      <w:proofErr w:type="spellEnd"/>
      <w:r w:rsidRPr="00AF433F">
        <w:rPr>
          <w:i/>
          <w:iCs/>
        </w:rPr>
        <w:t xml:space="preserve"> Kohen</w:t>
      </w:r>
      <w:r>
        <w:t>. I argue that the book served as a defense o</w:t>
      </w:r>
      <w:r w:rsidR="00FB4FCF">
        <w:t xml:space="preserve">f the </w:t>
      </w:r>
      <w:proofErr w:type="spellStart"/>
      <w:r w:rsidR="00FB4FCF">
        <w:t>Shakh’s</w:t>
      </w:r>
      <w:proofErr w:type="spellEnd"/>
      <w:r w:rsidR="00FB4FCF">
        <w:t xml:space="preserve"> system</w:t>
      </w:r>
      <w:r w:rsidR="00111769">
        <w:t xml:space="preserve"> justifying ex post facto property acquisition in various cases involving halakhic doubt: a disagreement among halakhic </w:t>
      </w:r>
      <w:proofErr w:type="spellStart"/>
      <w:r w:rsidR="00111769">
        <w:t>decisors</w:t>
      </w:r>
      <w:proofErr w:type="spellEnd"/>
      <w:r w:rsidR="00111769">
        <w:t xml:space="preserve"> and Talmudic quandaries that are either left </w:t>
      </w:r>
      <w:r w:rsidR="00111769">
        <w:t>unresolved</w:t>
      </w:r>
      <w:r w:rsidR="00111769">
        <w:t xml:space="preserve"> or conclude with the word </w:t>
      </w:r>
      <w:proofErr w:type="spellStart"/>
      <w:r w:rsidR="00111769" w:rsidRPr="00111769">
        <w:rPr>
          <w:i/>
          <w:iCs/>
        </w:rPr>
        <w:t>teiku</w:t>
      </w:r>
      <w:proofErr w:type="spellEnd"/>
      <w:r w:rsidR="00AF433F">
        <w:t xml:space="preserve"> (“let it stand”)</w:t>
      </w:r>
      <w:r w:rsidR="00111769">
        <w:t xml:space="preserve">. The </w:t>
      </w:r>
      <w:proofErr w:type="spellStart"/>
      <w:r w:rsidR="00111769">
        <w:t>Shakh’s</w:t>
      </w:r>
      <w:proofErr w:type="spellEnd"/>
      <w:r w:rsidR="00111769">
        <w:t xml:space="preserve"> apologetic was directed against the method of R. Moshe Lima</w:t>
      </w:r>
      <w:r w:rsidR="00D50BEC">
        <w:t xml:space="preserve">, who wrote a short work on the laws of acquisition in cases of doubt, in which he </w:t>
      </w:r>
      <w:r w:rsidR="00AF433F">
        <w:t>disallows</w:t>
      </w:r>
      <w:r w:rsidR="00D50BEC">
        <w:t xml:space="preserve"> all forms of acquisition except </w:t>
      </w:r>
      <w:proofErr w:type="spellStart"/>
      <w:r w:rsidR="00D50BEC" w:rsidRPr="00D50BEC">
        <w:rPr>
          <w:i/>
          <w:iCs/>
        </w:rPr>
        <w:t>tefisah</w:t>
      </w:r>
      <w:proofErr w:type="spellEnd"/>
      <w:r w:rsidR="00D50BEC" w:rsidRPr="00D50BEC">
        <w:rPr>
          <w:i/>
          <w:iCs/>
        </w:rPr>
        <w:t xml:space="preserve"> </w:t>
      </w:r>
      <w:proofErr w:type="spellStart"/>
      <w:r w:rsidR="00D50BEC" w:rsidRPr="00D50BEC">
        <w:rPr>
          <w:i/>
          <w:iCs/>
        </w:rPr>
        <w:t>bereshut</w:t>
      </w:r>
      <w:proofErr w:type="spellEnd"/>
      <w:r w:rsidR="00D50BEC">
        <w:t xml:space="preserve">, which, according to his position, has multiple meanings. The </w:t>
      </w:r>
      <w:proofErr w:type="spellStart"/>
      <w:r w:rsidR="00D50BEC">
        <w:t>Shakh</w:t>
      </w:r>
      <w:proofErr w:type="spellEnd"/>
      <w:r w:rsidR="00D50BEC">
        <w:t xml:space="preserve"> was a rabbinic judge in the court for which Lima served as lead judge (</w:t>
      </w:r>
      <w:r w:rsidR="00D50BEC" w:rsidRPr="00D50BEC">
        <w:rPr>
          <w:i/>
          <w:iCs/>
        </w:rPr>
        <w:t xml:space="preserve">av </w:t>
      </w:r>
      <w:proofErr w:type="spellStart"/>
      <w:r w:rsidR="00D50BEC" w:rsidRPr="00D50BEC">
        <w:rPr>
          <w:i/>
          <w:iCs/>
        </w:rPr>
        <w:t>beit</w:t>
      </w:r>
      <w:proofErr w:type="spellEnd"/>
      <w:r w:rsidR="00D50BEC" w:rsidRPr="00D50BEC">
        <w:rPr>
          <w:i/>
          <w:iCs/>
        </w:rPr>
        <w:t xml:space="preserve"> din</w:t>
      </w:r>
      <w:r w:rsidR="00D50BEC">
        <w:t xml:space="preserve">), and the question of acquisition arose in the court’s proceedings. The </w:t>
      </w:r>
      <w:proofErr w:type="spellStart"/>
      <w:r w:rsidR="00D50BEC">
        <w:t>Shakh</w:t>
      </w:r>
      <w:proofErr w:type="spellEnd"/>
      <w:r w:rsidR="00D50BEC">
        <w:t xml:space="preserve"> writes that this question provided the motivation for his book, but </w:t>
      </w:r>
      <w:r w:rsidR="00F2437F">
        <w:t xml:space="preserve">I propose that </w:t>
      </w:r>
      <w:r w:rsidR="00F2437F">
        <w:t xml:space="preserve">the </w:t>
      </w:r>
      <w:proofErr w:type="spellStart"/>
      <w:r w:rsidR="00F2437F">
        <w:t>Shakh</w:t>
      </w:r>
      <w:proofErr w:type="spellEnd"/>
      <w:r w:rsidR="00F2437F">
        <w:t xml:space="preserve"> wanted to publicize his opinion and its halakhic basis in order to win the support of</w:t>
      </w:r>
      <w:r w:rsidR="00D50BEC">
        <w:t xml:space="preserve"> the Vilna rabbinic community</w:t>
      </w:r>
      <w:r w:rsidR="00F2437F">
        <w:t>, where a debate</w:t>
      </w:r>
      <w:r w:rsidR="00D50BEC">
        <w:t xml:space="preserve"> on the </w:t>
      </w:r>
      <w:r w:rsidR="00F2437F">
        <w:t xml:space="preserve">same </w:t>
      </w:r>
      <w:r w:rsidR="00D50BEC">
        <w:t>topic</w:t>
      </w:r>
      <w:r w:rsidR="00F2437F">
        <w:t xml:space="preserve"> occurred</w:t>
      </w:r>
      <w:r w:rsidR="00D50BEC">
        <w:t>.</w:t>
      </w:r>
    </w:p>
    <w:p w14:paraId="6D1B0ECC" w14:textId="7970720B" w:rsidR="00D50BEC" w:rsidRDefault="00D50BEC" w:rsidP="00D50BEC">
      <w:r w:rsidRPr="00D50BEC">
        <w:rPr>
          <w:b/>
          <w:bCs/>
        </w:rPr>
        <w:t>The fourth section</w:t>
      </w:r>
      <w:r>
        <w:t xml:space="preserve"> addresses the influence of the </w:t>
      </w:r>
      <w:proofErr w:type="spellStart"/>
      <w:r>
        <w:t>Shakh</w:t>
      </w:r>
      <w:proofErr w:type="spellEnd"/>
      <w:r>
        <w:t xml:space="preserve"> on later generations. It includes two chapters.</w:t>
      </w:r>
    </w:p>
    <w:p w14:paraId="03670244" w14:textId="0A307321" w:rsidR="00D50BEC" w:rsidRDefault="009A2BFF" w:rsidP="005C43B1">
      <w:pPr>
        <w:ind w:firstLine="360"/>
        <w:rPr>
          <w:i/>
          <w:iCs/>
        </w:rPr>
      </w:pPr>
      <w:r w:rsidRPr="003615E9">
        <w:rPr>
          <w:b/>
          <w:bCs/>
        </w:rPr>
        <w:t xml:space="preserve">Chapter </w:t>
      </w:r>
      <w:r w:rsidR="00C0686E">
        <w:rPr>
          <w:b/>
          <w:bCs/>
        </w:rPr>
        <w:t>T</w:t>
      </w:r>
      <w:r w:rsidRPr="003615E9">
        <w:rPr>
          <w:b/>
          <w:bCs/>
        </w:rPr>
        <w:t xml:space="preserve">welve </w:t>
      </w:r>
      <w:r w:rsidR="005E166C">
        <w:t xml:space="preserve">defines modern </w:t>
      </w:r>
      <w:r w:rsidR="003615E9">
        <w:t xml:space="preserve">the modern scholarly method of study known as </w:t>
      </w:r>
      <w:proofErr w:type="spellStart"/>
      <w:r w:rsidR="003615E9" w:rsidRPr="003615E9">
        <w:rPr>
          <w:i/>
          <w:iCs/>
        </w:rPr>
        <w:t>lamdanut</w:t>
      </w:r>
      <w:proofErr w:type="spellEnd"/>
      <w:r w:rsidR="003615E9">
        <w:t xml:space="preserve"> or </w:t>
      </w:r>
      <w:proofErr w:type="spellStart"/>
      <w:r w:rsidR="003615E9" w:rsidRPr="003615E9">
        <w:rPr>
          <w:i/>
          <w:iCs/>
        </w:rPr>
        <w:t>lomdus</w:t>
      </w:r>
      <w:proofErr w:type="spellEnd"/>
      <w:r w:rsidR="003615E9">
        <w:t xml:space="preserve">. I show that the </w:t>
      </w:r>
      <w:proofErr w:type="spellStart"/>
      <w:r w:rsidR="003615E9">
        <w:t>Shakh</w:t>
      </w:r>
      <w:proofErr w:type="spellEnd"/>
      <w:r w:rsidR="003615E9">
        <w:t xml:space="preserve"> had a tremendous influence on those who followed him, and that he also dealt with the conceptual dimensions of halakhic concepts</w:t>
      </w:r>
      <w:r w:rsidR="00450194">
        <w:t xml:space="preserve">, following the treatments of the Ashkenazi authors of the </w:t>
      </w:r>
      <w:proofErr w:type="spellStart"/>
      <w:r w:rsidR="00450194">
        <w:t>Tosafot</w:t>
      </w:r>
      <w:proofErr w:type="spellEnd"/>
      <w:r w:rsidR="00450194">
        <w:t xml:space="preserve"> and the Sephardi </w:t>
      </w:r>
      <w:proofErr w:type="spellStart"/>
      <w:r w:rsidR="00450194">
        <w:t>Rishonim</w:t>
      </w:r>
      <w:proofErr w:type="spellEnd"/>
      <w:r w:rsidR="00450194">
        <w:t xml:space="preserve">, as well as the responsa of certain Sephardi scholars from the 16th century. I argue that this trend greatly influenced the later commentaries the </w:t>
      </w:r>
      <w:proofErr w:type="spellStart"/>
      <w:r w:rsidR="00450194" w:rsidRPr="00450194">
        <w:rPr>
          <w:i/>
          <w:iCs/>
        </w:rPr>
        <w:t>Tumim</w:t>
      </w:r>
      <w:proofErr w:type="spellEnd"/>
      <w:r w:rsidR="00450194">
        <w:t xml:space="preserve">, </w:t>
      </w:r>
      <w:proofErr w:type="spellStart"/>
      <w:r w:rsidR="00450194" w:rsidRPr="00450194">
        <w:rPr>
          <w:i/>
          <w:iCs/>
        </w:rPr>
        <w:lastRenderedPageBreak/>
        <w:t>Ketzot</w:t>
      </w:r>
      <w:proofErr w:type="spellEnd"/>
      <w:r w:rsidR="00450194" w:rsidRPr="00450194">
        <w:rPr>
          <w:i/>
          <w:iCs/>
        </w:rPr>
        <w:t xml:space="preserve"> </w:t>
      </w:r>
      <w:proofErr w:type="spellStart"/>
      <w:r w:rsidR="00450194" w:rsidRPr="00450194">
        <w:rPr>
          <w:i/>
          <w:iCs/>
        </w:rPr>
        <w:t>haHoshen</w:t>
      </w:r>
      <w:proofErr w:type="spellEnd"/>
      <w:r w:rsidR="00450194">
        <w:t xml:space="preserve">, and </w:t>
      </w:r>
      <w:r w:rsidR="00450194" w:rsidRPr="00450194">
        <w:rPr>
          <w:i/>
          <w:iCs/>
        </w:rPr>
        <w:t xml:space="preserve">Netivot </w:t>
      </w:r>
      <w:proofErr w:type="spellStart"/>
      <w:r w:rsidR="00450194" w:rsidRPr="00450194">
        <w:rPr>
          <w:i/>
          <w:iCs/>
        </w:rPr>
        <w:t>haMishpat</w:t>
      </w:r>
      <w:proofErr w:type="spellEnd"/>
      <w:r w:rsidR="00450194">
        <w:t xml:space="preserve">, and, via the latter two, reached the leading scholars of Lithuania at the end of the 19th century and the start of the 20th. </w:t>
      </w:r>
      <w:r w:rsidR="00C0686E">
        <w:t xml:space="preserve">My </w:t>
      </w:r>
      <w:proofErr w:type="gramStart"/>
      <w:r w:rsidR="00C0686E">
        <w:t>final conclusion</w:t>
      </w:r>
      <w:proofErr w:type="gramEnd"/>
      <w:r w:rsidR="00C0686E">
        <w:t xml:space="preserve"> in this chapter is that we should see the </w:t>
      </w:r>
      <w:proofErr w:type="spellStart"/>
      <w:r w:rsidR="00C0686E">
        <w:t>Shakh</w:t>
      </w:r>
      <w:proofErr w:type="spellEnd"/>
      <w:r w:rsidR="00C0686E">
        <w:t xml:space="preserve"> as an important forerunner, perhaps even the first, of the Lithuanian </w:t>
      </w:r>
      <w:proofErr w:type="spellStart"/>
      <w:r w:rsidR="00C0686E" w:rsidRPr="00C0686E">
        <w:rPr>
          <w:i/>
          <w:iCs/>
        </w:rPr>
        <w:t>shitat</w:t>
      </w:r>
      <w:proofErr w:type="spellEnd"/>
      <w:r w:rsidR="00C0686E" w:rsidRPr="00C0686E">
        <w:rPr>
          <w:i/>
          <w:iCs/>
        </w:rPr>
        <w:t xml:space="preserve"> </w:t>
      </w:r>
      <w:proofErr w:type="spellStart"/>
      <w:r w:rsidR="00C0686E" w:rsidRPr="00C0686E">
        <w:rPr>
          <w:i/>
          <w:iCs/>
        </w:rPr>
        <w:t>hahavanah</w:t>
      </w:r>
      <w:proofErr w:type="spellEnd"/>
      <w:r w:rsidR="00C0686E">
        <w:t xml:space="preserve">, mediated through </w:t>
      </w:r>
      <w:proofErr w:type="spellStart"/>
      <w:r w:rsidR="00C0686E" w:rsidRPr="00450194">
        <w:rPr>
          <w:i/>
          <w:iCs/>
        </w:rPr>
        <w:t>Ketzot</w:t>
      </w:r>
      <w:proofErr w:type="spellEnd"/>
      <w:r w:rsidR="00C0686E" w:rsidRPr="00450194">
        <w:rPr>
          <w:i/>
          <w:iCs/>
        </w:rPr>
        <w:t xml:space="preserve"> </w:t>
      </w:r>
      <w:proofErr w:type="spellStart"/>
      <w:r w:rsidR="00C0686E" w:rsidRPr="00450194">
        <w:rPr>
          <w:i/>
          <w:iCs/>
        </w:rPr>
        <w:t>haHoshen</w:t>
      </w:r>
      <w:proofErr w:type="spellEnd"/>
      <w:r w:rsidR="00C0686E">
        <w:t xml:space="preserve"> and </w:t>
      </w:r>
      <w:r w:rsidR="00C0686E" w:rsidRPr="00450194">
        <w:rPr>
          <w:i/>
          <w:iCs/>
        </w:rPr>
        <w:t xml:space="preserve">Netivot </w:t>
      </w:r>
      <w:proofErr w:type="spellStart"/>
      <w:r w:rsidR="00C0686E" w:rsidRPr="00450194">
        <w:rPr>
          <w:i/>
          <w:iCs/>
        </w:rPr>
        <w:t>haMishpat</w:t>
      </w:r>
      <w:proofErr w:type="spellEnd"/>
      <w:r w:rsidR="00C0686E">
        <w:rPr>
          <w:i/>
          <w:iCs/>
        </w:rPr>
        <w:t>.</w:t>
      </w:r>
    </w:p>
    <w:p w14:paraId="15FB98E5" w14:textId="71A2A57F" w:rsidR="00C0686E" w:rsidRDefault="00C0686E" w:rsidP="005C43B1">
      <w:pPr>
        <w:ind w:firstLine="360"/>
      </w:pPr>
      <w:r w:rsidRPr="00F2437F">
        <w:rPr>
          <w:b/>
          <w:bCs/>
        </w:rPr>
        <w:t>Chapter Thirteen</w:t>
      </w:r>
      <w:r>
        <w:t xml:space="preserve"> addresses the related question of </w:t>
      </w:r>
      <w:r w:rsidR="00F2437F">
        <w:t>the</w:t>
      </w:r>
      <w:r>
        <w:t xml:space="preserve"> extent </w:t>
      </w:r>
      <w:r w:rsidR="00F2437F">
        <w:t xml:space="preserve">to which </w:t>
      </w:r>
      <w:r>
        <w:t xml:space="preserve">the </w:t>
      </w:r>
      <w:proofErr w:type="spellStart"/>
      <w:r>
        <w:t>Shakh’s</w:t>
      </w:r>
      <w:proofErr w:type="spellEnd"/>
      <w:r>
        <w:t xml:space="preserve"> rulings were accepted as </w:t>
      </w:r>
      <w:proofErr w:type="spellStart"/>
      <w:r>
        <w:t>halakhah</w:t>
      </w:r>
      <w:proofErr w:type="spellEnd"/>
      <w:r>
        <w:t xml:space="preserve">. I conclude that in </w:t>
      </w:r>
      <w:proofErr w:type="spellStart"/>
      <w:r w:rsidRPr="00F2437F">
        <w:rPr>
          <w:i/>
          <w:iCs/>
        </w:rPr>
        <w:t>Yoreh</w:t>
      </w:r>
      <w:proofErr w:type="spellEnd"/>
      <w:r w:rsidRPr="00F2437F">
        <w:rPr>
          <w:i/>
          <w:iCs/>
        </w:rPr>
        <w:t xml:space="preserve"> </w:t>
      </w:r>
      <w:proofErr w:type="spellStart"/>
      <w:r w:rsidRPr="00F2437F">
        <w:rPr>
          <w:i/>
          <w:iCs/>
        </w:rPr>
        <w:t>Deah</w:t>
      </w:r>
      <w:proofErr w:type="spellEnd"/>
      <w:r>
        <w:t xml:space="preserve"> the rulings of the </w:t>
      </w:r>
      <w:proofErr w:type="spellStart"/>
      <w:r>
        <w:t>Shakh</w:t>
      </w:r>
      <w:proofErr w:type="spellEnd"/>
      <w:r>
        <w:t xml:space="preserve"> and those of the </w:t>
      </w:r>
      <w:proofErr w:type="spellStart"/>
      <w:r w:rsidRPr="00F2437F">
        <w:rPr>
          <w:i/>
          <w:iCs/>
        </w:rPr>
        <w:t>Turei</w:t>
      </w:r>
      <w:proofErr w:type="spellEnd"/>
      <w:r w:rsidRPr="00F2437F">
        <w:rPr>
          <w:i/>
          <w:iCs/>
        </w:rPr>
        <w:t xml:space="preserve"> </w:t>
      </w:r>
      <w:proofErr w:type="spellStart"/>
      <w:r w:rsidRPr="00F2437F">
        <w:rPr>
          <w:i/>
          <w:iCs/>
        </w:rPr>
        <w:t>Zahav</w:t>
      </w:r>
      <w:proofErr w:type="spellEnd"/>
      <w:r>
        <w:t xml:space="preserve"> </w:t>
      </w:r>
      <w:r w:rsidR="00F2437F">
        <w:t xml:space="preserve">hold relatively equal weight, </w:t>
      </w:r>
      <w:r>
        <w:t xml:space="preserve">with </w:t>
      </w:r>
      <w:r w:rsidR="00F2437F">
        <w:t xml:space="preserve">only </w:t>
      </w:r>
      <w:r>
        <w:t xml:space="preserve">a slight preference for the </w:t>
      </w:r>
      <w:proofErr w:type="spellStart"/>
      <w:r>
        <w:t>Shakh</w:t>
      </w:r>
      <w:proofErr w:type="spellEnd"/>
      <w:r>
        <w:t xml:space="preserve">. In </w:t>
      </w:r>
      <w:proofErr w:type="spellStart"/>
      <w:r w:rsidRPr="00F2437F">
        <w:rPr>
          <w:i/>
          <w:iCs/>
        </w:rPr>
        <w:t>Hoshen</w:t>
      </w:r>
      <w:proofErr w:type="spellEnd"/>
      <w:r w:rsidRPr="00F2437F">
        <w:rPr>
          <w:i/>
          <w:iCs/>
        </w:rPr>
        <w:t xml:space="preserve"> </w:t>
      </w:r>
      <w:proofErr w:type="spellStart"/>
      <w:r w:rsidRPr="00F2437F">
        <w:rPr>
          <w:i/>
          <w:iCs/>
        </w:rPr>
        <w:t>Mishpat</w:t>
      </w:r>
      <w:proofErr w:type="spellEnd"/>
      <w:r>
        <w:t xml:space="preserve">, on the other hand, the </w:t>
      </w:r>
      <w:proofErr w:type="spellStart"/>
      <w:r>
        <w:t>Shakh</w:t>
      </w:r>
      <w:proofErr w:type="spellEnd"/>
      <w:r>
        <w:t xml:space="preserve"> is clearly favored, </w:t>
      </w:r>
      <w:proofErr w:type="gramStart"/>
      <w:r>
        <w:t>despite the fact that</w:t>
      </w:r>
      <w:proofErr w:type="gramEnd"/>
      <w:r>
        <w:t xml:space="preserve"> the author of </w:t>
      </w:r>
      <w:proofErr w:type="spellStart"/>
      <w:r w:rsidRPr="007A184B">
        <w:rPr>
          <w:i/>
          <w:iCs/>
        </w:rPr>
        <w:t>Sefer</w:t>
      </w:r>
      <w:proofErr w:type="spellEnd"/>
      <w:r w:rsidRPr="007A184B">
        <w:rPr>
          <w:i/>
          <w:iCs/>
        </w:rPr>
        <w:t xml:space="preserve"> </w:t>
      </w:r>
      <w:proofErr w:type="spellStart"/>
      <w:r w:rsidRPr="007A184B">
        <w:rPr>
          <w:i/>
          <w:iCs/>
        </w:rPr>
        <w:t>Meirat</w:t>
      </w:r>
      <w:proofErr w:type="spellEnd"/>
      <w:r w:rsidRPr="007A184B">
        <w:rPr>
          <w:i/>
          <w:iCs/>
        </w:rPr>
        <w:t xml:space="preserve"> </w:t>
      </w:r>
      <w:proofErr w:type="spellStart"/>
      <w:r w:rsidRPr="007A184B">
        <w:rPr>
          <w:i/>
          <w:iCs/>
        </w:rPr>
        <w:t>Einayim</w:t>
      </w:r>
      <w:proofErr w:type="spellEnd"/>
      <w:r>
        <w:t xml:space="preserve"> is considered a major halakhist. </w:t>
      </w:r>
    </w:p>
    <w:p w14:paraId="2D7A5EEA" w14:textId="37C6A9BE" w:rsidR="007A184B" w:rsidRDefault="007A184B" w:rsidP="007A184B">
      <w:r w:rsidRPr="007A184B">
        <w:rPr>
          <w:b/>
          <w:bCs/>
        </w:rPr>
        <w:t>The fifth section</w:t>
      </w:r>
      <w:r>
        <w:t xml:space="preserve"> is comprised of a single chapter.</w:t>
      </w:r>
    </w:p>
    <w:p w14:paraId="53625288" w14:textId="20D9E3DC" w:rsidR="007A184B" w:rsidRDefault="007A184B" w:rsidP="005C43B1">
      <w:pPr>
        <w:ind w:firstLine="360"/>
      </w:pPr>
      <w:r w:rsidRPr="00F2437F">
        <w:rPr>
          <w:b/>
          <w:bCs/>
        </w:rPr>
        <w:t>Chapter Fourteen</w:t>
      </w:r>
      <w:r>
        <w:t xml:space="preserve"> discusses literary and bibliographic aspects of the </w:t>
      </w:r>
      <w:proofErr w:type="spellStart"/>
      <w:r>
        <w:t>Shakh’s</w:t>
      </w:r>
      <w:proofErr w:type="spellEnd"/>
      <w:r>
        <w:t xml:space="preserve"> works. The literary aspects are not limited to the </w:t>
      </w:r>
      <w:r w:rsidR="00E07B61">
        <w:t xml:space="preserve">bodies of the </w:t>
      </w:r>
      <w:r>
        <w:t xml:space="preserve">texts themselves but also </w:t>
      </w:r>
      <w:r w:rsidR="00E07B61">
        <w:t xml:space="preserve">apply to </w:t>
      </w:r>
      <w:commentRangeStart w:id="8"/>
      <w:r w:rsidR="00E07B61">
        <w:t xml:space="preserve">Metadata </w:t>
      </w:r>
      <w:commentRangeEnd w:id="8"/>
      <w:r w:rsidR="00E07B61">
        <w:rPr>
          <w:rStyle w:val="CommentReference"/>
        </w:rPr>
        <w:commentReference w:id="8"/>
      </w:r>
      <w:r w:rsidR="00E07B61">
        <w:t xml:space="preserve">found at the beginning and end of every composition, whether in the form of an introduction, poem, or colophon. The bibliographic aspects include the </w:t>
      </w:r>
      <w:commentRangeStart w:id="9"/>
      <w:r w:rsidR="00E07B61">
        <w:t xml:space="preserve">considerations </w:t>
      </w:r>
      <w:commentRangeEnd w:id="9"/>
      <w:r w:rsidR="00E07B61">
        <w:rPr>
          <w:rStyle w:val="CommentReference"/>
        </w:rPr>
        <w:commentReference w:id="9"/>
      </w:r>
      <w:r w:rsidR="00E07B61">
        <w:t>of the printers and their notes, historical details of the printers and their presses, and other features of the books.</w:t>
      </w:r>
    </w:p>
    <w:p w14:paraId="1DB7B883" w14:textId="77777777" w:rsidR="00E07B61" w:rsidRDefault="00E07B61" w:rsidP="005C43B1">
      <w:pPr>
        <w:ind w:firstLine="360"/>
      </w:pPr>
      <w:r>
        <w:t xml:space="preserve">The work concludes with a </w:t>
      </w:r>
      <w:r w:rsidRPr="00E07B61">
        <w:rPr>
          <w:b/>
          <w:bCs/>
        </w:rPr>
        <w:t>conclusion</w:t>
      </w:r>
      <w:r>
        <w:t xml:space="preserve"> and </w:t>
      </w:r>
      <w:commentRangeStart w:id="10"/>
      <w:r>
        <w:t>a bibliographic appendix</w:t>
      </w:r>
      <w:commentRangeEnd w:id="10"/>
      <w:r>
        <w:rPr>
          <w:rStyle w:val="CommentReference"/>
        </w:rPr>
        <w:commentReference w:id="10"/>
      </w:r>
      <w:r>
        <w:t>.</w:t>
      </w:r>
    </w:p>
    <w:p w14:paraId="3577B648" w14:textId="12E2BD61" w:rsidR="00E07B61" w:rsidRDefault="00E07B61" w:rsidP="005C43B1">
      <w:pPr>
        <w:ind w:firstLine="360"/>
      </w:pPr>
      <w:r w:rsidRPr="00E07B61">
        <w:rPr>
          <w:b/>
          <w:bCs/>
        </w:rPr>
        <w:t>To conclude</w:t>
      </w:r>
      <w:r>
        <w:t xml:space="preserve">, the current study is intended first and foremost to reveal and describe the scholarly-halakhic method of the </w:t>
      </w:r>
      <w:proofErr w:type="spellStart"/>
      <w:r>
        <w:t>Shakh</w:t>
      </w:r>
      <w:proofErr w:type="spellEnd"/>
      <w:r>
        <w:t xml:space="preserve">, </w:t>
      </w:r>
      <w:r w:rsidR="00EB3FDE">
        <w:t xml:space="preserve">which has yet to be </w:t>
      </w:r>
      <w:r w:rsidR="005F5B0D">
        <w:t>researched</w:t>
      </w:r>
      <w:r w:rsidR="00EB3FDE">
        <w:t xml:space="preserve"> by scholars. The major sources are </w:t>
      </w:r>
      <w:commentRangeStart w:id="11"/>
      <w:proofErr w:type="spellStart"/>
      <w:r w:rsidR="00EB3FDE">
        <w:t>Shabbatai</w:t>
      </w:r>
      <w:proofErr w:type="spellEnd"/>
      <w:r w:rsidR="00EB3FDE">
        <w:t xml:space="preserve"> Kohen’s commentary </w:t>
      </w:r>
      <w:proofErr w:type="spellStart"/>
      <w:r w:rsidR="00EB3FDE" w:rsidRPr="00EB3FDE">
        <w:rPr>
          <w:i/>
          <w:iCs/>
        </w:rPr>
        <w:t>Siftei</w:t>
      </w:r>
      <w:proofErr w:type="spellEnd"/>
      <w:r w:rsidR="00EB3FDE" w:rsidRPr="00EB3FDE">
        <w:rPr>
          <w:i/>
          <w:iCs/>
        </w:rPr>
        <w:t xml:space="preserve"> Kohen</w:t>
      </w:r>
      <w:r w:rsidR="00EB3FDE">
        <w:t xml:space="preserve"> on </w:t>
      </w:r>
      <w:commentRangeEnd w:id="11"/>
      <w:r w:rsidR="00EB3FDE">
        <w:rPr>
          <w:rStyle w:val="CommentReference"/>
        </w:rPr>
        <w:commentReference w:id="11"/>
      </w:r>
      <w:proofErr w:type="spellStart"/>
      <w:r w:rsidR="00EB3FDE" w:rsidRPr="00EB3FDE">
        <w:rPr>
          <w:i/>
          <w:iCs/>
        </w:rPr>
        <w:t>Shulhan</w:t>
      </w:r>
      <w:proofErr w:type="spellEnd"/>
      <w:r w:rsidR="00EB3FDE" w:rsidRPr="00EB3FDE">
        <w:rPr>
          <w:i/>
          <w:iCs/>
        </w:rPr>
        <w:t xml:space="preserve"> </w:t>
      </w:r>
      <w:proofErr w:type="spellStart"/>
      <w:r w:rsidR="00EB3FDE" w:rsidRPr="00EB3FDE">
        <w:rPr>
          <w:i/>
          <w:iCs/>
        </w:rPr>
        <w:t>Arukh</w:t>
      </w:r>
      <w:proofErr w:type="spellEnd"/>
      <w:r w:rsidR="005F5B0D">
        <w:rPr>
          <w:i/>
          <w:iCs/>
        </w:rPr>
        <w:t>:</w:t>
      </w:r>
      <w:r w:rsidR="00EB3FDE">
        <w:rPr>
          <w:i/>
          <w:iCs/>
        </w:rPr>
        <w:t xml:space="preserve"> </w:t>
      </w:r>
      <w:proofErr w:type="spellStart"/>
      <w:r w:rsidR="00EB3FDE">
        <w:rPr>
          <w:i/>
          <w:iCs/>
        </w:rPr>
        <w:t>Hoshen</w:t>
      </w:r>
      <w:proofErr w:type="spellEnd"/>
      <w:r w:rsidR="00EB3FDE">
        <w:rPr>
          <w:i/>
          <w:iCs/>
        </w:rPr>
        <w:t xml:space="preserve"> </w:t>
      </w:r>
      <w:proofErr w:type="spellStart"/>
      <w:r w:rsidR="00EB3FDE">
        <w:rPr>
          <w:i/>
          <w:iCs/>
        </w:rPr>
        <w:t>Mishpat</w:t>
      </w:r>
      <w:proofErr w:type="spellEnd"/>
      <w:r w:rsidR="00EB3FDE" w:rsidRPr="00EB3FDE">
        <w:rPr>
          <w:i/>
          <w:iCs/>
        </w:rPr>
        <w:t xml:space="preserve"> </w:t>
      </w:r>
      <w:r w:rsidR="00EB3FDE">
        <w:t xml:space="preserve">and </w:t>
      </w:r>
      <w:proofErr w:type="spellStart"/>
      <w:r w:rsidR="00EB3FDE" w:rsidRPr="00EB3FDE">
        <w:rPr>
          <w:i/>
          <w:iCs/>
        </w:rPr>
        <w:t>Takfu</w:t>
      </w:r>
      <w:proofErr w:type="spellEnd"/>
      <w:r w:rsidR="00EB3FDE" w:rsidRPr="00EB3FDE">
        <w:rPr>
          <w:i/>
          <w:iCs/>
        </w:rPr>
        <w:t xml:space="preserve"> Kohen</w:t>
      </w:r>
      <w:r w:rsidR="00EB3FDE">
        <w:t xml:space="preserve">, though I also dedicate a chapter to </w:t>
      </w:r>
      <w:proofErr w:type="spellStart"/>
      <w:r w:rsidR="00EB3FDE" w:rsidRPr="00EB3FDE">
        <w:rPr>
          <w:i/>
          <w:iCs/>
        </w:rPr>
        <w:t>Siftei</w:t>
      </w:r>
      <w:proofErr w:type="spellEnd"/>
      <w:r w:rsidR="00EB3FDE" w:rsidRPr="00EB3FDE">
        <w:rPr>
          <w:i/>
          <w:iCs/>
        </w:rPr>
        <w:t xml:space="preserve"> Kohen</w:t>
      </w:r>
      <w:r w:rsidR="00EB3FDE">
        <w:t xml:space="preserve"> on </w:t>
      </w:r>
      <w:proofErr w:type="spellStart"/>
      <w:r w:rsidR="00EB3FDE" w:rsidRPr="00EB3FDE">
        <w:rPr>
          <w:i/>
          <w:iCs/>
        </w:rPr>
        <w:t>Yoreh</w:t>
      </w:r>
      <w:proofErr w:type="spellEnd"/>
      <w:r w:rsidR="00EB3FDE" w:rsidRPr="00EB3FDE">
        <w:rPr>
          <w:i/>
          <w:iCs/>
        </w:rPr>
        <w:t xml:space="preserve"> </w:t>
      </w:r>
      <w:proofErr w:type="spellStart"/>
      <w:r w:rsidR="00EB3FDE" w:rsidRPr="00EB3FDE">
        <w:rPr>
          <w:i/>
          <w:iCs/>
        </w:rPr>
        <w:t>Deah</w:t>
      </w:r>
      <w:proofErr w:type="spellEnd"/>
      <w:r w:rsidR="00EB3FDE">
        <w:t xml:space="preserve">, as well as his approach to </w:t>
      </w:r>
      <w:r w:rsidR="00EB3FDE" w:rsidRPr="00EB3FDE">
        <w:rPr>
          <w:i/>
          <w:iCs/>
        </w:rPr>
        <w:t>pilpul</w:t>
      </w:r>
      <w:r w:rsidR="00EB3FDE">
        <w:t xml:space="preserve">. </w:t>
      </w:r>
      <w:r w:rsidR="00C81DA1">
        <w:t xml:space="preserve">In this context I also show the development of the </w:t>
      </w:r>
      <w:proofErr w:type="spellStart"/>
      <w:r w:rsidR="00C81DA1">
        <w:t>Shakh’s</w:t>
      </w:r>
      <w:proofErr w:type="spellEnd"/>
      <w:r w:rsidR="00C81DA1">
        <w:t xml:space="preserve"> scholarly method from a “traditional” commentary on </w:t>
      </w:r>
      <w:proofErr w:type="spellStart"/>
      <w:r w:rsidR="00C81DA1" w:rsidRPr="005F5B0D">
        <w:rPr>
          <w:i/>
          <w:iCs/>
        </w:rPr>
        <w:t>Yoreh</w:t>
      </w:r>
      <w:proofErr w:type="spellEnd"/>
      <w:r w:rsidR="00C81DA1" w:rsidRPr="005F5B0D">
        <w:rPr>
          <w:i/>
          <w:iCs/>
        </w:rPr>
        <w:t xml:space="preserve"> </w:t>
      </w:r>
      <w:proofErr w:type="spellStart"/>
      <w:r w:rsidR="00C81DA1" w:rsidRPr="005F5B0D">
        <w:rPr>
          <w:i/>
          <w:iCs/>
        </w:rPr>
        <w:t>Deah</w:t>
      </w:r>
      <w:proofErr w:type="spellEnd"/>
      <w:r w:rsidR="00C81DA1">
        <w:t xml:space="preserve"> to a combative and innovative one on </w:t>
      </w:r>
      <w:proofErr w:type="spellStart"/>
      <w:r w:rsidR="00C81DA1" w:rsidRPr="005F5B0D">
        <w:rPr>
          <w:i/>
          <w:iCs/>
        </w:rPr>
        <w:t>Hoshen</w:t>
      </w:r>
      <w:proofErr w:type="spellEnd"/>
      <w:r w:rsidR="00C81DA1" w:rsidRPr="005F5B0D">
        <w:rPr>
          <w:i/>
          <w:iCs/>
        </w:rPr>
        <w:t xml:space="preserve"> </w:t>
      </w:r>
      <w:proofErr w:type="spellStart"/>
      <w:r w:rsidR="00C81DA1" w:rsidRPr="005F5B0D">
        <w:rPr>
          <w:i/>
          <w:iCs/>
        </w:rPr>
        <w:t>Mishpat</w:t>
      </w:r>
      <w:commentRangeStart w:id="12"/>
      <w:proofErr w:type="spellEnd"/>
      <w:r w:rsidR="00C81DA1">
        <w:t>.</w:t>
      </w:r>
    </w:p>
    <w:p w14:paraId="32E7E91F" w14:textId="498FBEB8" w:rsidR="00C81DA1" w:rsidRDefault="00C81DA1" w:rsidP="005C43B1">
      <w:pPr>
        <w:ind w:firstLine="360"/>
      </w:pPr>
      <w:r>
        <w:t xml:space="preserve">I also research and categorize the influences of the </w:t>
      </w:r>
      <w:proofErr w:type="spellStart"/>
      <w:r>
        <w:t>Shakh’s</w:t>
      </w:r>
      <w:proofErr w:type="spellEnd"/>
      <w:r>
        <w:t xml:space="preserve"> predecessors on his work, influences that contributed to the creativity of his method.</w:t>
      </w:r>
    </w:p>
    <w:p w14:paraId="2A948531" w14:textId="24F82736" w:rsidR="00C81DA1" w:rsidRDefault="00C81DA1" w:rsidP="005C43B1">
      <w:pPr>
        <w:ind w:firstLine="360"/>
      </w:pPr>
      <w:r>
        <w:t xml:space="preserve">The aim of this study is to show that the </w:t>
      </w:r>
      <w:proofErr w:type="spellStart"/>
      <w:r>
        <w:t>Shakh</w:t>
      </w:r>
      <w:proofErr w:type="spellEnd"/>
      <w:r>
        <w:t xml:space="preserve"> should be recognized as an important forerunner of the Lithuanian </w:t>
      </w:r>
      <w:proofErr w:type="spellStart"/>
      <w:r w:rsidRPr="00C81DA1">
        <w:rPr>
          <w:i/>
          <w:iCs/>
        </w:rPr>
        <w:t>shitat</w:t>
      </w:r>
      <w:proofErr w:type="spellEnd"/>
      <w:r w:rsidRPr="00C81DA1">
        <w:rPr>
          <w:i/>
          <w:iCs/>
        </w:rPr>
        <w:t xml:space="preserve"> </w:t>
      </w:r>
      <w:proofErr w:type="spellStart"/>
      <w:r w:rsidRPr="00C81DA1">
        <w:rPr>
          <w:i/>
          <w:iCs/>
        </w:rPr>
        <w:t>hahavanah</w:t>
      </w:r>
      <w:proofErr w:type="spellEnd"/>
      <w:r>
        <w:t xml:space="preserve">, and to this end I researched the extent of the </w:t>
      </w:r>
      <w:proofErr w:type="spellStart"/>
      <w:r>
        <w:t>Shakh’s</w:t>
      </w:r>
      <w:proofErr w:type="spellEnd"/>
      <w:r>
        <w:t xml:space="preserve"> influence on the halakhists who followed him and the forms that influence took.</w:t>
      </w:r>
      <w:commentRangeEnd w:id="12"/>
      <w:r>
        <w:rPr>
          <w:rStyle w:val="CommentReference"/>
        </w:rPr>
        <w:commentReference w:id="12"/>
      </w:r>
    </w:p>
    <w:p w14:paraId="5F050BAC" w14:textId="6E3F9CE9" w:rsidR="00C81DA1" w:rsidRDefault="005F5B0D" w:rsidP="005C43B1">
      <w:pPr>
        <w:ind w:firstLine="360"/>
      </w:pPr>
      <w:r>
        <w:t xml:space="preserve">Finally, </w:t>
      </w:r>
      <w:r w:rsidR="00C81DA1">
        <w:t xml:space="preserve">I </w:t>
      </w:r>
      <w:bookmarkStart w:id="13" w:name="_GoBack"/>
      <w:bookmarkEnd w:id="13"/>
      <w:r w:rsidR="00C81DA1">
        <w:t xml:space="preserve">address several related topics, such as the </w:t>
      </w:r>
      <w:r w:rsidR="008D1E6E">
        <w:t xml:space="preserve">Torah world of Poland-Lithuania in the 16th and 17th centuries and the influences of the broader European culture on this world. The </w:t>
      </w:r>
      <w:proofErr w:type="spellStart"/>
      <w:r w:rsidR="008D1E6E">
        <w:t>Shakh’s</w:t>
      </w:r>
      <w:proofErr w:type="spellEnd"/>
      <w:r w:rsidR="008D1E6E">
        <w:t xml:space="preserve"> biography and bibliographical and literary aspects of his work are all addressed within the context of a critique of several widespread misconceptions. A special chapter, Chapter Eleven, is dedicated to describing my discovery of the true motivations behind the </w:t>
      </w:r>
      <w:proofErr w:type="spellStart"/>
      <w:r w:rsidR="008D1E6E">
        <w:t>Shakh’s</w:t>
      </w:r>
      <w:proofErr w:type="spellEnd"/>
      <w:r w:rsidR="008D1E6E">
        <w:t xml:space="preserve"> composition of the book </w:t>
      </w:r>
      <w:proofErr w:type="spellStart"/>
      <w:r w:rsidR="008D1E6E" w:rsidRPr="008D1E6E">
        <w:rPr>
          <w:i/>
          <w:iCs/>
        </w:rPr>
        <w:t>Takfu</w:t>
      </w:r>
      <w:proofErr w:type="spellEnd"/>
      <w:r w:rsidR="008D1E6E" w:rsidRPr="008D1E6E">
        <w:rPr>
          <w:i/>
          <w:iCs/>
        </w:rPr>
        <w:t xml:space="preserve"> Kohen</w:t>
      </w:r>
      <w:r w:rsidR="008D1E6E">
        <w:t>.</w:t>
      </w:r>
    </w:p>
    <w:p w14:paraId="63AB4575" w14:textId="6ED3FF7A" w:rsidR="004D172B" w:rsidRPr="00EB3FDE" w:rsidRDefault="004D172B" w:rsidP="005C43B1">
      <w:pPr>
        <w:ind w:firstLine="360"/>
      </w:pPr>
      <w:r>
        <w:t>My honored readers will hopefully find that these goals have been achieved by this study.</w:t>
      </w:r>
    </w:p>
    <w:sectPr w:rsidR="004D172B" w:rsidRPr="00EB3FD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eff Amshalem" w:date="2018-12-09T12:03:00Z" w:initials="JA">
    <w:p w14:paraId="1AA9C96D" w14:textId="76D5C0F5" w:rsidR="001B75A4" w:rsidRDefault="001B75A4">
      <w:pPr>
        <w:pStyle w:val="CommentText"/>
      </w:pPr>
      <w:r>
        <w:rPr>
          <w:rStyle w:val="CommentReference"/>
        </w:rPr>
        <w:annotationRef/>
      </w:r>
      <w:r>
        <w:t>Germany?</w:t>
      </w:r>
    </w:p>
  </w:comment>
  <w:comment w:id="1" w:author="Jeff Amshalem" w:date="2018-12-09T12:34:00Z" w:initials="JA">
    <w:p w14:paraId="1CF513BD" w14:textId="03F2F543" w:rsidR="001B75A4" w:rsidRDefault="001B75A4">
      <w:pPr>
        <w:pStyle w:val="CommentText"/>
      </w:pPr>
      <w:r>
        <w:rPr>
          <w:rStyle w:val="CommentReference"/>
        </w:rPr>
        <w:annotationRef/>
      </w:r>
      <w:r>
        <w:t>Use of acronyms is less common in English; you may prefer to refer to Kohen by name.</w:t>
      </w:r>
    </w:p>
  </w:comment>
  <w:comment w:id="2" w:author="Jeff Amshalem" w:date="2018-12-09T14:24:00Z" w:initials="JA">
    <w:p w14:paraId="1D6911D3" w14:textId="1AE1372F" w:rsidR="001B75A4" w:rsidRDefault="001B75A4">
      <w:pPr>
        <w:pStyle w:val="CommentText"/>
      </w:pPr>
      <w:r>
        <w:rPr>
          <w:rStyle w:val="CommentReference"/>
        </w:rPr>
        <w:annotationRef/>
      </w:r>
      <w:r>
        <w:t>“Brisker method”?</w:t>
      </w:r>
    </w:p>
  </w:comment>
  <w:comment w:id="3" w:author="Jeff Amshalem" w:date="2018-12-10T13:27:00Z" w:initials="JA">
    <w:p w14:paraId="2C34B4EF" w14:textId="52F4C681" w:rsidR="008319D2" w:rsidRDefault="008319D2">
      <w:pPr>
        <w:pStyle w:val="CommentText"/>
        <w:rPr>
          <w:rFonts w:hint="cs"/>
        </w:rPr>
      </w:pPr>
      <w:r>
        <w:rPr>
          <w:rStyle w:val="CommentReference"/>
        </w:rPr>
        <w:annotationRef/>
      </w:r>
      <w:r>
        <w:t xml:space="preserve">I have translated </w:t>
      </w:r>
      <w:r>
        <w:rPr>
          <w:rFonts w:hint="cs"/>
          <w:rtl/>
        </w:rPr>
        <w:t>למדני</w:t>
      </w:r>
      <w:r>
        <w:t xml:space="preserve"> as “scholarly” and </w:t>
      </w:r>
      <w:r>
        <w:rPr>
          <w:rFonts w:hint="cs"/>
          <w:rtl/>
        </w:rPr>
        <w:t>פסיקתי</w:t>
      </w:r>
      <w:r>
        <w:t xml:space="preserve"> as “halakhic.” You might translate the latter as “legal.” You also may want to explain the </w:t>
      </w:r>
      <w:proofErr w:type="gramStart"/>
      <w:r>
        <w:t>particular meaning</w:t>
      </w:r>
      <w:proofErr w:type="gramEnd"/>
      <w:r>
        <w:t xml:space="preserve"> of “scholarly” here as it relates to </w:t>
      </w:r>
      <w:proofErr w:type="spellStart"/>
      <w:r w:rsidRPr="008319D2">
        <w:rPr>
          <w:i/>
          <w:iCs/>
        </w:rPr>
        <w:t>lomdus</w:t>
      </w:r>
      <w:proofErr w:type="spellEnd"/>
      <w:r>
        <w:t xml:space="preserve">, or you may want to transliterate </w:t>
      </w:r>
      <w:proofErr w:type="spellStart"/>
      <w:r w:rsidRPr="008319D2">
        <w:rPr>
          <w:i/>
          <w:iCs/>
        </w:rPr>
        <w:t>lamdani</w:t>
      </w:r>
      <w:proofErr w:type="spellEnd"/>
      <w:r>
        <w:t xml:space="preserve">. There is </w:t>
      </w:r>
      <w:proofErr w:type="gramStart"/>
      <w:r>
        <w:t>really no</w:t>
      </w:r>
      <w:proofErr w:type="gramEnd"/>
      <w:r>
        <w:t xml:space="preserve"> good single translation for </w:t>
      </w:r>
      <w:proofErr w:type="spellStart"/>
      <w:r w:rsidRPr="008319D2">
        <w:rPr>
          <w:i/>
          <w:iCs/>
        </w:rPr>
        <w:t>lamdani</w:t>
      </w:r>
      <w:proofErr w:type="spellEnd"/>
      <w:r>
        <w:t>.</w:t>
      </w:r>
    </w:p>
  </w:comment>
  <w:comment w:id="4" w:author="Jeff Amshalem" w:date="2018-12-09T14:34:00Z" w:initials="JA">
    <w:p w14:paraId="623670E0" w14:textId="39430901" w:rsidR="001B75A4" w:rsidRDefault="001B75A4">
      <w:pPr>
        <w:pStyle w:val="CommentText"/>
      </w:pPr>
      <w:r>
        <w:rPr>
          <w:rStyle w:val="CommentReference"/>
        </w:rPr>
        <w:annotationRef/>
      </w:r>
      <w:r>
        <w:t>I think you mean the history of research on the topic. If so, I would write “that includes the goals of the study, a literature review, and a statement of methodology”</w:t>
      </w:r>
    </w:p>
  </w:comment>
  <w:comment w:id="5" w:author="Jeff Amshalem" w:date="2018-12-09T15:40:00Z" w:initials="JA">
    <w:p w14:paraId="026C549F" w14:textId="0CA0451C" w:rsidR="001B75A4" w:rsidRDefault="001B75A4" w:rsidP="005C43B1">
      <w:pPr>
        <w:pStyle w:val="CommentText"/>
      </w:pPr>
      <w:r>
        <w:rPr>
          <w:rStyle w:val="CommentReference"/>
        </w:rPr>
        <w:annotationRef/>
      </w:r>
      <w:r>
        <w:t>This is a long and awkward phrase, though the Hebrew also looks almost as long and awkward. If there are any parts of this clause that you could remove, it would make for a more readable clause. You might also choose to remove it altogether, since the very next sentence offers the same information in a more readable format.</w:t>
      </w:r>
    </w:p>
  </w:comment>
  <w:comment w:id="6" w:author="Jeff Amshalem" w:date="2018-12-10T09:54:00Z" w:initials="JA">
    <w:p w14:paraId="191BF491" w14:textId="20B5D8F8" w:rsidR="00CD2442" w:rsidRDefault="00CD2442">
      <w:pPr>
        <w:pStyle w:val="CommentText"/>
      </w:pPr>
      <w:r>
        <w:rPr>
          <w:rStyle w:val="CommentReference"/>
        </w:rPr>
        <w:annotationRef/>
      </w:r>
      <w:r>
        <w:t>If you assume your readers know this term. If not, “Medieval scholars.”</w:t>
      </w:r>
    </w:p>
  </w:comment>
  <w:comment w:id="7" w:author="Jeff Amshalem" w:date="2018-12-10T10:11:00Z" w:initials="JA">
    <w:p w14:paraId="0E052EA9" w14:textId="1E7A0104" w:rsidR="00C51F12" w:rsidRDefault="00C51F12">
      <w:pPr>
        <w:pStyle w:val="CommentText"/>
      </w:pPr>
      <w:r>
        <w:rPr>
          <w:rStyle w:val="CommentReference"/>
        </w:rPr>
        <w:annotationRef/>
      </w:r>
      <w:r>
        <w:t>If the audience is not familiar with this term, consider “early modern scholars”</w:t>
      </w:r>
    </w:p>
  </w:comment>
  <w:comment w:id="8" w:author="Jeff Amshalem" w:date="2018-12-10T11:29:00Z" w:initials="JA">
    <w:p w14:paraId="1F26DBBF" w14:textId="73E090F6" w:rsidR="00E07B61" w:rsidRDefault="00E07B61">
      <w:pPr>
        <w:pStyle w:val="CommentText"/>
      </w:pPr>
      <w:r>
        <w:rPr>
          <w:rStyle w:val="CommentReference"/>
        </w:rPr>
        <w:annotationRef/>
      </w:r>
      <w:r>
        <w:t xml:space="preserve">I would not capitalize this word unless you have a </w:t>
      </w:r>
      <w:proofErr w:type="gramStart"/>
      <w:r>
        <w:t>particular reason</w:t>
      </w:r>
      <w:proofErr w:type="gramEnd"/>
      <w:r>
        <w:t xml:space="preserve"> to do so.</w:t>
      </w:r>
    </w:p>
  </w:comment>
  <w:comment w:id="9" w:author="Jeff Amshalem" w:date="2018-12-10T11:33:00Z" w:initials="JA">
    <w:p w14:paraId="13D488E8" w14:textId="3A978B92" w:rsidR="00E07B61" w:rsidRDefault="00E07B61">
      <w:pPr>
        <w:pStyle w:val="CommentText"/>
      </w:pPr>
      <w:r>
        <w:rPr>
          <w:rStyle w:val="CommentReference"/>
        </w:rPr>
        <w:annotationRef/>
      </w:r>
      <w:r>
        <w:t>I’m not sure what this word means in context.</w:t>
      </w:r>
    </w:p>
  </w:comment>
  <w:comment w:id="10" w:author="Jeff Amshalem" w:date="2018-12-10T11:36:00Z" w:initials="JA">
    <w:p w14:paraId="65C0D4C3" w14:textId="494836B8" w:rsidR="00E07B61" w:rsidRDefault="00E07B61">
      <w:pPr>
        <w:pStyle w:val="CommentText"/>
      </w:pPr>
      <w:r>
        <w:rPr>
          <w:rStyle w:val="CommentReference"/>
        </w:rPr>
        <w:annotationRef/>
      </w:r>
      <w:r>
        <w:t>Is this just a works cited or bibliography? If so, use “works cited” or “bibliography”.</w:t>
      </w:r>
    </w:p>
  </w:comment>
  <w:comment w:id="11" w:author="Jeff Amshalem" w:date="2018-12-10T11:41:00Z" w:initials="JA">
    <w:p w14:paraId="66B670F3" w14:textId="1125F720" w:rsidR="00EB3FDE" w:rsidRDefault="00EB3FDE">
      <w:pPr>
        <w:pStyle w:val="CommentText"/>
      </w:pPr>
      <w:r>
        <w:rPr>
          <w:rStyle w:val="CommentReference"/>
        </w:rPr>
        <w:annotationRef/>
      </w:r>
      <w:r>
        <w:t xml:space="preserve">This is not included in the </w:t>
      </w:r>
      <w:proofErr w:type="gramStart"/>
      <w:r>
        <w:t>text</w:t>
      </w:r>
      <w:proofErr w:type="gramEnd"/>
      <w:r>
        <w:t xml:space="preserve"> but I assume you mean the commentary and not the </w:t>
      </w:r>
      <w:proofErr w:type="spellStart"/>
      <w:r>
        <w:t>Shulhan</w:t>
      </w:r>
      <w:proofErr w:type="spellEnd"/>
      <w:r>
        <w:t xml:space="preserve"> </w:t>
      </w:r>
      <w:proofErr w:type="spellStart"/>
      <w:r>
        <w:t>Arukh</w:t>
      </w:r>
      <w:proofErr w:type="spellEnd"/>
      <w:r>
        <w:t xml:space="preserve"> itself.</w:t>
      </w:r>
    </w:p>
  </w:comment>
  <w:comment w:id="12" w:author="Jeff Amshalem" w:date="2018-12-10T11:57:00Z" w:initials="JA">
    <w:p w14:paraId="5F9DA325" w14:textId="5AAA62E1" w:rsidR="00C81DA1" w:rsidRDefault="00C81DA1">
      <w:pPr>
        <w:pStyle w:val="CommentText"/>
      </w:pPr>
      <w:r>
        <w:rPr>
          <w:rStyle w:val="CommentReference"/>
        </w:rPr>
        <w:annotationRef/>
      </w:r>
      <w:r>
        <w:t>I have left these as separate paragraphs following your own formatting, but I would recommend combining them into a single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A9C96D" w15:done="0"/>
  <w15:commentEx w15:paraId="1CF513BD" w15:done="0"/>
  <w15:commentEx w15:paraId="1D6911D3" w15:done="0"/>
  <w15:commentEx w15:paraId="2C34B4EF" w15:done="0"/>
  <w15:commentEx w15:paraId="623670E0" w15:done="0"/>
  <w15:commentEx w15:paraId="026C549F" w15:done="0"/>
  <w15:commentEx w15:paraId="191BF491" w15:done="0"/>
  <w15:commentEx w15:paraId="0E052EA9" w15:done="0"/>
  <w15:commentEx w15:paraId="1F26DBBF" w15:done="0"/>
  <w15:commentEx w15:paraId="13D488E8" w15:done="0"/>
  <w15:commentEx w15:paraId="65C0D4C3" w15:done="0"/>
  <w15:commentEx w15:paraId="66B670F3" w15:done="0"/>
  <w15:commentEx w15:paraId="5F9DA3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A9C96D" w16cid:durableId="1FB7830B"/>
  <w16cid:commentId w16cid:paraId="1CF513BD" w16cid:durableId="1FB78A41"/>
  <w16cid:commentId w16cid:paraId="1D6911D3" w16cid:durableId="1FB7A43B"/>
  <w16cid:commentId w16cid:paraId="2C34B4EF" w16cid:durableId="1FB8E82B"/>
  <w16cid:commentId w16cid:paraId="623670E0" w16cid:durableId="1FB7A67A"/>
  <w16cid:commentId w16cid:paraId="191BF491" w16cid:durableId="1FB8B644"/>
  <w16cid:commentId w16cid:paraId="0E052EA9" w16cid:durableId="1FB8BA56"/>
  <w16cid:commentId w16cid:paraId="1F26DBBF" w16cid:durableId="1FB8CCA3"/>
  <w16cid:commentId w16cid:paraId="13D488E8" w16cid:durableId="1FB8CD9B"/>
  <w16cid:commentId w16cid:paraId="65C0D4C3" w16cid:durableId="1FB8CE24"/>
  <w16cid:commentId w16cid:paraId="66B670F3" w16cid:durableId="1FB8CF61"/>
  <w16cid:commentId w16cid:paraId="5F9DA325" w16cid:durableId="1FB8D3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ff Amshalem">
    <w15:presenceInfo w15:providerId="Windows Live" w15:userId="78a894ceb085e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3B"/>
    <w:rsid w:val="000256D5"/>
    <w:rsid w:val="000D09AF"/>
    <w:rsid w:val="00111769"/>
    <w:rsid w:val="001B75A4"/>
    <w:rsid w:val="00205728"/>
    <w:rsid w:val="003615E9"/>
    <w:rsid w:val="00364129"/>
    <w:rsid w:val="00450194"/>
    <w:rsid w:val="00451071"/>
    <w:rsid w:val="004531F5"/>
    <w:rsid w:val="004D172B"/>
    <w:rsid w:val="0052148E"/>
    <w:rsid w:val="00551F5A"/>
    <w:rsid w:val="005754BF"/>
    <w:rsid w:val="005C43B1"/>
    <w:rsid w:val="005D41F8"/>
    <w:rsid w:val="005E166C"/>
    <w:rsid w:val="005F5B0D"/>
    <w:rsid w:val="00734EB9"/>
    <w:rsid w:val="00752297"/>
    <w:rsid w:val="007A184B"/>
    <w:rsid w:val="00814601"/>
    <w:rsid w:val="0082482E"/>
    <w:rsid w:val="008319D2"/>
    <w:rsid w:val="008D1E6E"/>
    <w:rsid w:val="008F2089"/>
    <w:rsid w:val="009A2BFF"/>
    <w:rsid w:val="009E10FE"/>
    <w:rsid w:val="00AD2A84"/>
    <w:rsid w:val="00AD5DC9"/>
    <w:rsid w:val="00AF433F"/>
    <w:rsid w:val="00B20FFC"/>
    <w:rsid w:val="00B63A4F"/>
    <w:rsid w:val="00C0686E"/>
    <w:rsid w:val="00C462AD"/>
    <w:rsid w:val="00C510AE"/>
    <w:rsid w:val="00C51F12"/>
    <w:rsid w:val="00C66A3B"/>
    <w:rsid w:val="00C81DA1"/>
    <w:rsid w:val="00CC1E0A"/>
    <w:rsid w:val="00CD1BF1"/>
    <w:rsid w:val="00CD2214"/>
    <w:rsid w:val="00CD2442"/>
    <w:rsid w:val="00CE39E6"/>
    <w:rsid w:val="00D50BEC"/>
    <w:rsid w:val="00D50C74"/>
    <w:rsid w:val="00D82E45"/>
    <w:rsid w:val="00DB77A4"/>
    <w:rsid w:val="00DE0052"/>
    <w:rsid w:val="00E07B61"/>
    <w:rsid w:val="00E54909"/>
    <w:rsid w:val="00EB3FDE"/>
    <w:rsid w:val="00F211F0"/>
    <w:rsid w:val="00F2437F"/>
    <w:rsid w:val="00FB4F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A043"/>
  <w15:chartTrackingRefBased/>
  <w15:docId w15:val="{EBA0CB40-3B8D-4F80-9A5E-3215AA5D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10FE"/>
    <w:rPr>
      <w:sz w:val="16"/>
      <w:szCs w:val="16"/>
    </w:rPr>
  </w:style>
  <w:style w:type="paragraph" w:styleId="CommentText">
    <w:name w:val="annotation text"/>
    <w:basedOn w:val="Normal"/>
    <w:link w:val="CommentTextChar"/>
    <w:uiPriority w:val="99"/>
    <w:semiHidden/>
    <w:unhideWhenUsed/>
    <w:rsid w:val="009E10FE"/>
    <w:pPr>
      <w:spacing w:line="240" w:lineRule="auto"/>
    </w:pPr>
    <w:rPr>
      <w:sz w:val="20"/>
      <w:szCs w:val="20"/>
    </w:rPr>
  </w:style>
  <w:style w:type="character" w:customStyle="1" w:styleId="CommentTextChar">
    <w:name w:val="Comment Text Char"/>
    <w:basedOn w:val="DefaultParagraphFont"/>
    <w:link w:val="CommentText"/>
    <w:uiPriority w:val="99"/>
    <w:semiHidden/>
    <w:rsid w:val="009E10FE"/>
    <w:rPr>
      <w:sz w:val="20"/>
      <w:szCs w:val="20"/>
    </w:rPr>
  </w:style>
  <w:style w:type="paragraph" w:styleId="CommentSubject">
    <w:name w:val="annotation subject"/>
    <w:basedOn w:val="CommentText"/>
    <w:next w:val="CommentText"/>
    <w:link w:val="CommentSubjectChar"/>
    <w:uiPriority w:val="99"/>
    <w:semiHidden/>
    <w:unhideWhenUsed/>
    <w:rsid w:val="009E10FE"/>
    <w:rPr>
      <w:b/>
      <w:bCs/>
    </w:rPr>
  </w:style>
  <w:style w:type="character" w:customStyle="1" w:styleId="CommentSubjectChar">
    <w:name w:val="Comment Subject Char"/>
    <w:basedOn w:val="CommentTextChar"/>
    <w:link w:val="CommentSubject"/>
    <w:uiPriority w:val="99"/>
    <w:semiHidden/>
    <w:rsid w:val="009E10FE"/>
    <w:rPr>
      <w:b/>
      <w:bCs/>
      <w:sz w:val="20"/>
      <w:szCs w:val="20"/>
    </w:rPr>
  </w:style>
  <w:style w:type="paragraph" w:styleId="BalloonText">
    <w:name w:val="Balloon Text"/>
    <w:basedOn w:val="Normal"/>
    <w:link w:val="BalloonTextChar"/>
    <w:uiPriority w:val="99"/>
    <w:semiHidden/>
    <w:unhideWhenUsed/>
    <w:rsid w:val="009E1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0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1413</TotalTime>
  <Pages>5</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Amshalem</dc:creator>
  <cp:keywords/>
  <dc:description/>
  <cp:lastModifiedBy>Jeff Amshalem</cp:lastModifiedBy>
  <cp:revision>12</cp:revision>
  <dcterms:created xsi:type="dcterms:W3CDTF">2018-12-09T08:58:00Z</dcterms:created>
  <dcterms:modified xsi:type="dcterms:W3CDTF">2018-12-10T11:45:00Z</dcterms:modified>
</cp:coreProperties>
</file>