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0A" w:rsidRPr="00410311" w:rsidRDefault="006B160A" w:rsidP="0089207E">
      <w:r>
        <w:t>The “healthy immigrant” phenomenon attributes health benefit</w:t>
      </w:r>
      <w:r w:rsidR="0089207E">
        <w:t>s</w:t>
      </w:r>
      <w:r>
        <w:t xml:space="preserve"> to immigrants. </w:t>
      </w:r>
      <w:r w:rsidR="0089207E">
        <w:t>We</w:t>
      </w:r>
      <w:r>
        <w:t xml:space="preserve"> </w:t>
      </w:r>
      <w:r>
        <w:t xml:space="preserve">examined this phenomenon </w:t>
      </w:r>
      <w:r>
        <w:t>using</w:t>
      </w:r>
      <w:r>
        <w:t xml:space="preserve"> the relationship between immigration and mortality,</w:t>
      </w:r>
      <w:r>
        <w:t xml:space="preserve"> by </w:t>
      </w:r>
      <w:r>
        <w:t xml:space="preserve">income level, among </w:t>
      </w:r>
      <w:r w:rsidR="0089207E">
        <w:t xml:space="preserve">Soviet immigrants </w:t>
      </w:r>
      <w:r>
        <w:t>to Israel</w:t>
      </w:r>
      <w:r w:rsidR="0089207E">
        <w:t xml:space="preserve"> in the 1990s</w:t>
      </w:r>
      <w:r>
        <w:t>, in comparison to veteran immigrants with similar genetic makeup.</w:t>
      </w:r>
    </w:p>
    <w:p w:rsidR="006B160A" w:rsidRDefault="006B160A" w:rsidP="006B160A">
      <w:r>
        <w:t>A</w:t>
      </w:r>
      <w:r>
        <w:t xml:space="preserve"> retrospective cohort study of mortality </w:t>
      </w:r>
      <w:r>
        <w:t>during</w:t>
      </w:r>
      <w:r>
        <w:t xml:space="preserve"> 1996</w:t>
      </w:r>
      <w:r>
        <w:t>–</w:t>
      </w:r>
      <w:r>
        <w:t xml:space="preserve">2016 was conducted among 99,037 immigrants born </w:t>
      </w:r>
      <w:r>
        <w:t xml:space="preserve">during </w:t>
      </w:r>
      <w:r>
        <w:t>1940</w:t>
      </w:r>
      <w:r>
        <w:t>–</w:t>
      </w:r>
      <w:r>
        <w:t>1955 in the USSR or Eastern Europe</w:t>
      </w:r>
      <w:r>
        <w:t xml:space="preserve"> </w:t>
      </w:r>
      <w:r>
        <w:t xml:space="preserve">who </w:t>
      </w:r>
      <w:r>
        <w:t>immigrated</w:t>
      </w:r>
      <w:r>
        <w:t xml:space="preserve"> </w:t>
      </w:r>
      <w:r>
        <w:t>during</w:t>
      </w:r>
      <w:r>
        <w:t xml:space="preserve"> 1990</w:t>
      </w:r>
      <w:r>
        <w:t>–</w:t>
      </w:r>
      <w:r>
        <w:t xml:space="preserve">1995, compared to a control group of 119,150 Jews born </w:t>
      </w:r>
      <w:r>
        <w:t>during</w:t>
      </w:r>
      <w:r>
        <w:t xml:space="preserve"> 1940</w:t>
      </w:r>
      <w:r>
        <w:t>–</w:t>
      </w:r>
      <w:r>
        <w:t xml:space="preserve">1955 who and/or whose parents were born in those same countries and </w:t>
      </w:r>
      <w:r>
        <w:t>immigrated</w:t>
      </w:r>
      <w:r>
        <w:t xml:space="preserve"> by 1960.</w:t>
      </w:r>
    </w:p>
    <w:p w:rsidR="006B160A" w:rsidRDefault="0089207E" w:rsidP="0089207E">
      <w:pPr>
        <w:rPr>
          <w:rFonts w:eastAsia="Calibri" w:cstheme="minorHAnsi"/>
        </w:rPr>
      </w:pPr>
      <w:r>
        <w:t xml:space="preserve">Mortality was higher </w:t>
      </w:r>
      <w:r w:rsidR="006B160A">
        <w:t xml:space="preserve">among immigrants compared to non-immigrants after </w:t>
      </w:r>
      <w:r w:rsidR="006B160A">
        <w:t xml:space="preserve">adjusting </w:t>
      </w:r>
      <w:r>
        <w:t>for gender, age, income</w:t>
      </w:r>
      <w:r w:rsidR="006B160A">
        <w:t xml:space="preserve"> and marital status. </w:t>
      </w:r>
      <w:r w:rsidR="006B160A">
        <w:t>Classifying by gender and</w:t>
      </w:r>
      <w:r w:rsidR="006B160A">
        <w:t xml:space="preserve"> income level, and after </w:t>
      </w:r>
      <w:r w:rsidR="006B160A">
        <w:t>adjusting for age and marital sta</w:t>
      </w:r>
      <w:r w:rsidR="006B160A">
        <w:t xml:space="preserve">tus, </w:t>
      </w:r>
      <w:r w:rsidR="006B160A">
        <w:t>we found higher m</w:t>
      </w:r>
      <w:r w:rsidR="006B160A">
        <w:t xml:space="preserve">ortality among immigrants compared to non-immigrants </w:t>
      </w:r>
      <w:r w:rsidR="006B160A">
        <w:t>for</w:t>
      </w:r>
      <w:r w:rsidR="006B160A">
        <w:t xml:space="preserve"> 27,563 men </w:t>
      </w:r>
      <w:r w:rsidR="006B160A">
        <w:rPr>
          <w:rFonts w:eastAsia="Calibri" w:cstheme="minorHAnsi"/>
        </w:rPr>
        <w:t xml:space="preserve">and </w:t>
      </w:r>
      <w:r w:rsidR="006B160A">
        <w:rPr>
          <w:rFonts w:eastAsia="Calibri" w:cstheme="minorHAnsi"/>
        </w:rPr>
        <w:t>for</w:t>
      </w:r>
      <w:r w:rsidR="006B160A" w:rsidRPr="00234CA4">
        <w:rPr>
          <w:rFonts w:eastAsia="Calibri" w:cstheme="minorHAnsi"/>
        </w:rPr>
        <w:t xml:space="preserve"> </w:t>
      </w:r>
      <w:r w:rsidR="006B160A">
        <w:rPr>
          <w:rFonts w:eastAsia="Calibri" w:cstheme="minorHAnsi"/>
        </w:rPr>
        <w:t>32,220 women with low income</w:t>
      </w:r>
      <w:r w:rsidR="006B160A">
        <w:rPr>
          <w:rFonts w:eastAsia="Calibri" w:cstheme="minorHAnsi"/>
        </w:rPr>
        <w:t>s</w:t>
      </w:r>
      <w:r w:rsidR="006B160A">
        <w:rPr>
          <w:rFonts w:eastAsia="Calibri" w:cstheme="minorHAnsi"/>
        </w:rPr>
        <w:t xml:space="preserve">. The opposite relationship was found </w:t>
      </w:r>
      <w:r w:rsidR="006B160A">
        <w:rPr>
          <w:rFonts w:eastAsia="Calibri" w:cstheme="minorHAnsi"/>
        </w:rPr>
        <w:t>for</w:t>
      </w:r>
      <w:r w:rsidR="006B160A">
        <w:rPr>
          <w:rFonts w:eastAsia="Calibri" w:cstheme="minorHAnsi"/>
        </w:rPr>
        <w:t xml:space="preserve"> 45</w:t>
      </w:r>
      <w:r w:rsidR="006B160A" w:rsidRPr="0062529D">
        <w:rPr>
          <w:rFonts w:eastAsia="Calibri" w:cstheme="minorHAnsi"/>
        </w:rPr>
        <w:t xml:space="preserve">,863 men and </w:t>
      </w:r>
      <w:r w:rsidR="006B160A">
        <w:rPr>
          <w:rFonts w:eastAsia="Calibri" w:cstheme="minorHAnsi"/>
        </w:rPr>
        <w:t>for</w:t>
      </w:r>
      <w:r w:rsidR="006B160A" w:rsidRPr="0062529D">
        <w:rPr>
          <w:rFonts w:eastAsia="Calibri" w:cstheme="minorHAnsi"/>
        </w:rPr>
        <w:t xml:space="preserve"> 24,852 women </w:t>
      </w:r>
      <w:r w:rsidR="006B160A">
        <w:rPr>
          <w:rFonts w:eastAsia="Calibri" w:cstheme="minorHAnsi"/>
        </w:rPr>
        <w:t>with high income</w:t>
      </w:r>
      <w:r w:rsidR="006B160A">
        <w:rPr>
          <w:rFonts w:eastAsia="Calibri" w:cstheme="minorHAnsi"/>
        </w:rPr>
        <w:t>s</w:t>
      </w:r>
      <w:r w:rsidR="006B160A">
        <w:rPr>
          <w:rFonts w:eastAsia="Calibri" w:cstheme="minorHAnsi"/>
        </w:rPr>
        <w:t xml:space="preserve">. At the middle income level, no significant relationship between immigration and mortality was found </w:t>
      </w:r>
      <w:r>
        <w:rPr>
          <w:rFonts w:eastAsia="Calibri" w:cstheme="minorHAnsi"/>
        </w:rPr>
        <w:t>for</w:t>
      </w:r>
      <w:r w:rsidR="006B160A">
        <w:rPr>
          <w:rFonts w:eastAsia="Calibri" w:cstheme="minorHAnsi"/>
        </w:rPr>
        <w:t xml:space="preserve"> 37,094 men, while </w:t>
      </w:r>
      <w:r>
        <w:rPr>
          <w:rFonts w:eastAsia="Calibri" w:cstheme="minorHAnsi"/>
        </w:rPr>
        <w:t>for</w:t>
      </w:r>
      <w:r w:rsidR="006B160A">
        <w:rPr>
          <w:rFonts w:eastAsia="Calibri" w:cstheme="minorHAnsi"/>
        </w:rPr>
        <w:t xml:space="preserve"> </w:t>
      </w:r>
      <w:r w:rsidR="006B160A" w:rsidRPr="00234CA4">
        <w:rPr>
          <w:rFonts w:eastAsia="Calibri" w:cstheme="minorHAnsi"/>
        </w:rPr>
        <w:t>50,959 women</w:t>
      </w:r>
      <w:r w:rsidR="006B160A">
        <w:rPr>
          <w:rFonts w:eastAsia="Calibri" w:cstheme="minorHAnsi"/>
        </w:rPr>
        <w:t>, a “healthy immigrant” trend was observed.</w:t>
      </w:r>
    </w:p>
    <w:p w:rsidR="006B160A" w:rsidRDefault="006B160A" w:rsidP="0089207E">
      <w:r>
        <w:rPr>
          <w:rFonts w:eastAsia="Calibri" w:cstheme="minorHAnsi"/>
        </w:rPr>
        <w:t xml:space="preserve">For the </w:t>
      </w:r>
      <w:r>
        <w:rPr>
          <w:rFonts w:eastAsia="Calibri" w:cstheme="minorHAnsi"/>
        </w:rPr>
        <w:t xml:space="preserve">total study </w:t>
      </w:r>
      <w:r>
        <w:rPr>
          <w:rFonts w:eastAsia="Calibri" w:cstheme="minorHAnsi"/>
        </w:rPr>
        <w:t xml:space="preserve">population, </w:t>
      </w:r>
      <w:r>
        <w:rPr>
          <w:rFonts w:eastAsia="Calibri" w:cstheme="minorHAnsi"/>
        </w:rPr>
        <w:t xml:space="preserve">we </w:t>
      </w:r>
      <w:r>
        <w:rPr>
          <w:rFonts w:eastAsia="Calibri" w:cstheme="minorHAnsi"/>
        </w:rPr>
        <w:t>found support for the “sick immigrant” phenomenon. However, both genders in the high-income subgroup</w:t>
      </w:r>
      <w:r w:rsidR="0089207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and women in the middle-income subgroup, </w:t>
      </w:r>
      <w:r w:rsidR="0089207E">
        <w:rPr>
          <w:rFonts w:eastAsia="Calibri" w:cstheme="minorHAnsi"/>
        </w:rPr>
        <w:t xml:space="preserve">demonstrated </w:t>
      </w:r>
      <w:r>
        <w:rPr>
          <w:rFonts w:eastAsia="Calibri" w:cstheme="minorHAnsi"/>
        </w:rPr>
        <w:t xml:space="preserve">the “healthy immigrant” phenomenon. </w:t>
      </w:r>
      <w:r>
        <w:t xml:space="preserve">Decision makers in Israel should devote particular attention to immigrants from a low socioeconomic level. </w:t>
      </w:r>
      <w:r w:rsidR="0089207E">
        <w:t>Our results</w:t>
      </w:r>
      <w:r>
        <w:t xml:space="preserve"> emphasize the need </w:t>
      </w:r>
      <w:r>
        <w:t>for social stratification when</w:t>
      </w:r>
      <w:r>
        <w:t xml:space="preserve"> examin</w:t>
      </w:r>
      <w:r>
        <w:t>ing</w:t>
      </w:r>
      <w:r>
        <w:t xml:space="preserve"> the relationships between immigration and health outcomes.</w:t>
      </w:r>
    </w:p>
    <w:p w:rsidR="00EE7535" w:rsidRDefault="00EE7535">
      <w:bookmarkStart w:id="0" w:name="_GoBack"/>
      <w:bookmarkEnd w:id="0"/>
    </w:p>
    <w:sectPr w:rsidR="00EE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0A"/>
    <w:rsid w:val="006B160A"/>
    <w:rsid w:val="0089207E"/>
    <w:rsid w:val="00E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1</cp:revision>
  <dcterms:created xsi:type="dcterms:W3CDTF">2019-11-12T10:37:00Z</dcterms:created>
  <dcterms:modified xsi:type="dcterms:W3CDTF">2019-11-12T10:56:00Z</dcterms:modified>
</cp:coreProperties>
</file>