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3B68" w14:textId="77777777" w:rsidR="006C5AC0" w:rsidRDefault="006C5AC0" w:rsidP="006C5AC0">
      <w:pPr>
        <w:pStyle w:val="FootnoteText"/>
        <w:bidi w:val="0"/>
        <w:jc w:val="both"/>
      </w:pPr>
    </w:p>
    <w:p w14:paraId="02086352" w14:textId="77777777" w:rsidR="00F341DC" w:rsidRPr="00F341DC" w:rsidRDefault="00F341DC" w:rsidP="0035208C">
      <w:pPr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F341DC">
        <w:rPr>
          <w:rFonts w:asciiTheme="majorBidi" w:hAnsiTheme="majorBidi" w:cstheme="majorBidi"/>
          <w:b/>
          <w:bCs/>
          <w:sz w:val="20"/>
          <w:szCs w:val="20"/>
          <w:lang w:val="en-US"/>
        </w:rPr>
        <w:t>Reference List</w:t>
      </w:r>
    </w:p>
    <w:p w14:paraId="0BC9FB0E" w14:textId="25D1F09C" w:rsidR="00486100" w:rsidRDefault="0035208C" w:rsidP="0035208C">
      <w:pPr>
        <w:rPr>
          <w:rFonts w:asciiTheme="majorBidi" w:hAnsiTheme="majorBidi" w:cstheme="majorBidi"/>
          <w:sz w:val="20"/>
          <w:szCs w:val="20"/>
          <w:lang w:val="en-US"/>
        </w:rPr>
      </w:pPr>
      <w:r w:rsidRPr="0035208C">
        <w:rPr>
          <w:rFonts w:asciiTheme="majorBidi" w:hAnsiTheme="majorBidi" w:cstheme="majorBidi"/>
          <w:sz w:val="20"/>
          <w:szCs w:val="20"/>
        </w:rPr>
        <w:t xml:space="preserve">Abitbol, M. </w:t>
      </w:r>
      <w:r w:rsidRPr="0035208C">
        <w:rPr>
          <w:rFonts w:asciiTheme="majorBidi" w:hAnsiTheme="majorBidi" w:cstheme="majorBidi"/>
          <w:sz w:val="20"/>
          <w:szCs w:val="20"/>
          <w:lang w:val="en-US"/>
        </w:rPr>
        <w:t xml:space="preserve">1993. </w:t>
      </w:r>
      <w:r w:rsidRPr="0035208C">
        <w:rPr>
          <w:rFonts w:asciiTheme="majorBidi" w:hAnsiTheme="majorBidi" w:cstheme="majorBidi"/>
          <w:i/>
          <w:iCs/>
          <w:sz w:val="20"/>
          <w:szCs w:val="20"/>
        </w:rPr>
        <w:t xml:space="preserve">From </w:t>
      </w:r>
      <w:proofErr w:type="spellStart"/>
      <w:r w:rsidRPr="0035208C">
        <w:rPr>
          <w:rFonts w:asciiTheme="majorBidi" w:hAnsiTheme="majorBidi" w:cstheme="majorBidi"/>
          <w:i/>
          <w:iCs/>
          <w:sz w:val="20"/>
          <w:szCs w:val="20"/>
        </w:rPr>
        <w:t>Crémieux</w:t>
      </w:r>
      <w:proofErr w:type="spellEnd"/>
      <w:r w:rsidRPr="0035208C">
        <w:rPr>
          <w:rFonts w:asciiTheme="majorBidi" w:hAnsiTheme="majorBidi" w:cstheme="majorBidi"/>
          <w:i/>
          <w:iCs/>
          <w:sz w:val="20"/>
          <w:szCs w:val="20"/>
        </w:rPr>
        <w:t xml:space="preserve"> to </w:t>
      </w:r>
      <w:proofErr w:type="spellStart"/>
      <w:r w:rsidRPr="0035208C">
        <w:rPr>
          <w:rFonts w:asciiTheme="majorBidi" w:hAnsiTheme="majorBidi" w:cstheme="majorBidi"/>
          <w:i/>
          <w:iCs/>
          <w:sz w:val="20"/>
          <w:szCs w:val="20"/>
        </w:rPr>
        <w:t>Pétain</w:t>
      </w:r>
      <w:proofErr w:type="spellEnd"/>
      <w:r w:rsidRPr="0035208C">
        <w:rPr>
          <w:rFonts w:asciiTheme="majorBidi" w:hAnsiTheme="majorBidi" w:cstheme="majorBidi"/>
          <w:i/>
          <w:iCs/>
          <w:sz w:val="20"/>
          <w:szCs w:val="20"/>
        </w:rPr>
        <w:t>. Antisemitism in Colonial Algeria (1870–1940)</w:t>
      </w:r>
      <w:r w:rsidRPr="0035208C">
        <w:rPr>
          <w:rFonts w:asciiTheme="majorBidi" w:hAnsiTheme="majorBidi" w:cstheme="majorBidi"/>
          <w:sz w:val="20"/>
          <w:szCs w:val="20"/>
        </w:rPr>
        <w:t xml:space="preserve">, </w:t>
      </w:r>
      <w:commentRangeStart w:id="0"/>
      <w:r w:rsidRPr="0035208C">
        <w:rPr>
          <w:rFonts w:asciiTheme="majorBidi" w:hAnsiTheme="majorBidi" w:cstheme="majorBidi"/>
          <w:sz w:val="20"/>
          <w:szCs w:val="20"/>
        </w:rPr>
        <w:t>Jerusalem</w:t>
      </w:r>
      <w:commentRangeEnd w:id="0"/>
      <w:r w:rsidRPr="0035208C">
        <w:rPr>
          <w:rStyle w:val="CommentReference"/>
          <w:rFonts w:asciiTheme="majorBidi" w:hAnsiTheme="majorBidi" w:cstheme="majorBidi"/>
          <w:sz w:val="20"/>
          <w:szCs w:val="20"/>
        </w:rPr>
        <w:commentReference w:id="0"/>
      </w:r>
      <w:r w:rsidR="00486100">
        <w:rPr>
          <w:rFonts w:asciiTheme="majorBidi" w:hAnsiTheme="majorBidi" w:cstheme="majorBidi"/>
          <w:sz w:val="20"/>
          <w:szCs w:val="20"/>
          <w:lang w:val="en-US"/>
        </w:rPr>
        <w:t>.</w:t>
      </w:r>
      <w:r w:rsidRPr="0035208C">
        <w:rPr>
          <w:rFonts w:asciiTheme="majorBidi" w:hAnsiTheme="majorBidi" w:cstheme="majorBidi"/>
          <w:sz w:val="20"/>
          <w:szCs w:val="20"/>
        </w:rPr>
        <w:t xml:space="preserve"> (Hebrew)</w:t>
      </w:r>
      <w:r w:rsidR="00486100">
        <w:rPr>
          <w:rFonts w:asciiTheme="majorBidi" w:hAnsiTheme="majorBidi" w:cstheme="majorBidi"/>
          <w:sz w:val="20"/>
          <w:szCs w:val="20"/>
          <w:lang w:val="en-US"/>
        </w:rPr>
        <w:t>.</w:t>
      </w:r>
    </w:p>
    <w:p w14:paraId="5EB10C58" w14:textId="77777777" w:rsidR="00486100" w:rsidRPr="00486100" w:rsidRDefault="00486100" w:rsidP="00486100">
      <w:pPr>
        <w:rPr>
          <w:rFonts w:asciiTheme="majorBidi" w:hAnsiTheme="majorBidi" w:cstheme="majorBidi"/>
          <w:sz w:val="20"/>
          <w:szCs w:val="20"/>
          <w:lang w:val="en-US"/>
        </w:rPr>
      </w:pPr>
      <w:proofErr w:type="spellStart"/>
      <w:r w:rsidRPr="00486100">
        <w:rPr>
          <w:rFonts w:asciiTheme="majorBidi" w:hAnsiTheme="majorBidi" w:cstheme="majorBidi"/>
          <w:sz w:val="20"/>
          <w:szCs w:val="20"/>
        </w:rPr>
        <w:t>Allouche</w:t>
      </w:r>
      <w:proofErr w:type="spellEnd"/>
      <w:r w:rsidRPr="00486100">
        <w:rPr>
          <w:rFonts w:asciiTheme="majorBidi" w:hAnsiTheme="majorBidi" w:cstheme="majorBidi"/>
          <w:sz w:val="20"/>
          <w:szCs w:val="20"/>
        </w:rPr>
        <w:t>-Benayoun</w:t>
      </w:r>
      <w:r w:rsidRPr="00486100">
        <w:rPr>
          <w:rFonts w:asciiTheme="majorBidi" w:hAnsiTheme="majorBidi" w:cstheme="majorBidi"/>
          <w:sz w:val="20"/>
          <w:szCs w:val="20"/>
          <w:lang w:val="en-US"/>
        </w:rPr>
        <w:t>,</w:t>
      </w:r>
      <w:r w:rsidRPr="00486100">
        <w:rPr>
          <w:rFonts w:asciiTheme="majorBidi" w:hAnsiTheme="majorBidi" w:cstheme="majorBidi"/>
          <w:sz w:val="20"/>
          <w:szCs w:val="20"/>
        </w:rPr>
        <w:t xml:space="preserve"> J. </w:t>
      </w:r>
      <w:r w:rsidRPr="00486100">
        <w:rPr>
          <w:rFonts w:asciiTheme="majorBidi" w:hAnsiTheme="majorBidi" w:cstheme="majorBidi"/>
          <w:sz w:val="20"/>
          <w:szCs w:val="20"/>
          <w:lang w:val="en-US"/>
        </w:rPr>
        <w:t>and</w:t>
      </w:r>
      <w:r w:rsidRPr="00486100">
        <w:rPr>
          <w:rFonts w:asciiTheme="majorBidi" w:hAnsiTheme="majorBidi" w:cstheme="majorBidi"/>
          <w:sz w:val="20"/>
          <w:szCs w:val="20"/>
        </w:rPr>
        <w:t xml:space="preserve"> Bensimon, D. 1989</w:t>
      </w:r>
      <w:r w:rsidRPr="00486100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  <w:proofErr w:type="spellStart"/>
      <w:r w:rsidRPr="00486100">
        <w:rPr>
          <w:rFonts w:asciiTheme="majorBidi" w:hAnsiTheme="majorBidi" w:cstheme="majorBidi"/>
          <w:i/>
          <w:iCs/>
          <w:sz w:val="20"/>
          <w:szCs w:val="20"/>
        </w:rPr>
        <w:t>Juifs</w:t>
      </w:r>
      <w:proofErr w:type="spellEnd"/>
      <w:r w:rsidRPr="0048610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486100">
        <w:rPr>
          <w:rFonts w:asciiTheme="majorBidi" w:hAnsiTheme="majorBidi" w:cstheme="majorBidi"/>
          <w:i/>
          <w:iCs/>
          <w:sz w:val="20"/>
          <w:szCs w:val="20"/>
        </w:rPr>
        <w:t>d'Algérie</w:t>
      </w:r>
      <w:proofErr w:type="spellEnd"/>
      <w:r w:rsidRPr="00486100">
        <w:rPr>
          <w:rFonts w:asciiTheme="majorBidi" w:hAnsiTheme="majorBidi" w:cstheme="majorBidi"/>
          <w:i/>
          <w:iCs/>
          <w:sz w:val="20"/>
          <w:szCs w:val="20"/>
        </w:rPr>
        <w:t xml:space="preserve">: </w:t>
      </w:r>
      <w:proofErr w:type="spellStart"/>
      <w:r w:rsidRPr="00486100">
        <w:rPr>
          <w:rFonts w:asciiTheme="majorBidi" w:hAnsiTheme="majorBidi" w:cstheme="majorBidi"/>
          <w:i/>
          <w:iCs/>
          <w:sz w:val="20"/>
          <w:szCs w:val="20"/>
        </w:rPr>
        <w:t>hier</w:t>
      </w:r>
      <w:proofErr w:type="spellEnd"/>
      <w:r w:rsidRPr="00486100">
        <w:rPr>
          <w:rFonts w:asciiTheme="majorBidi" w:hAnsiTheme="majorBidi" w:cstheme="majorBidi"/>
          <w:i/>
          <w:iCs/>
          <w:sz w:val="20"/>
          <w:szCs w:val="20"/>
        </w:rPr>
        <w:t xml:space="preserve"> et </w:t>
      </w:r>
      <w:proofErr w:type="spellStart"/>
      <w:r w:rsidRPr="00486100">
        <w:rPr>
          <w:rFonts w:asciiTheme="majorBidi" w:hAnsiTheme="majorBidi" w:cstheme="majorBidi"/>
          <w:i/>
          <w:iCs/>
          <w:sz w:val="20"/>
          <w:szCs w:val="20"/>
        </w:rPr>
        <w:t>aujourd'hui</w:t>
      </w:r>
      <w:proofErr w:type="spellEnd"/>
      <w:r w:rsidRPr="00486100">
        <w:rPr>
          <w:rFonts w:asciiTheme="majorBidi" w:hAnsiTheme="majorBidi" w:cstheme="majorBidi"/>
          <w:i/>
          <w:iCs/>
          <w:sz w:val="20"/>
          <w:szCs w:val="20"/>
          <w:lang w:val="en-US"/>
        </w:rPr>
        <w:t>.</w:t>
      </w:r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commentRangeStart w:id="1"/>
      <w:r w:rsidRPr="00486100">
        <w:rPr>
          <w:rFonts w:asciiTheme="majorBidi" w:hAnsiTheme="majorBidi" w:cstheme="majorBidi"/>
          <w:sz w:val="20"/>
          <w:szCs w:val="20"/>
        </w:rPr>
        <w:t>Toulouse</w:t>
      </w:r>
      <w:commentRangeEnd w:id="1"/>
      <w:r>
        <w:rPr>
          <w:rStyle w:val="CommentReference"/>
        </w:rPr>
        <w:commentReference w:id="1"/>
      </w:r>
      <w:r w:rsidRPr="00486100">
        <w:rPr>
          <w:rFonts w:asciiTheme="majorBidi" w:hAnsiTheme="majorBidi" w:cstheme="majorBidi"/>
          <w:sz w:val="20"/>
          <w:szCs w:val="20"/>
          <w:lang w:val="en-US"/>
        </w:rPr>
        <w:t>.</w:t>
      </w:r>
    </w:p>
    <w:p w14:paraId="427E6B1D" w14:textId="5C8BC71B" w:rsidR="004F6075" w:rsidRDefault="004F6075" w:rsidP="004F6075">
      <w:pPr>
        <w:pStyle w:val="BodyText"/>
        <w:bidi w:val="0"/>
      </w:pPr>
      <w:proofErr w:type="spellStart"/>
      <w:r>
        <w:t>Aminoach</w:t>
      </w:r>
      <w:proofErr w:type="spellEnd"/>
      <w:r>
        <w:t xml:space="preserve">, N. </w:t>
      </w:r>
      <w:r w:rsidRPr="004E1191">
        <w:t>5764</w:t>
      </w:r>
      <w:r>
        <w:t>. “</w:t>
      </w:r>
      <w:proofErr w:type="spellStart"/>
      <w:r w:rsidRPr="004F6075">
        <w:t>Algeir</w:t>
      </w:r>
      <w:proofErr w:type="spellEnd"/>
      <w:r w:rsidRPr="004F6075">
        <w:t xml:space="preserve"> </w:t>
      </w:r>
      <w:proofErr w:type="spellStart"/>
      <w:r w:rsidRPr="004F6075">
        <w:t>Ir</w:t>
      </w:r>
      <w:proofErr w:type="spellEnd"/>
      <w:r w:rsidRPr="004F6075">
        <w:t xml:space="preserve"> ha-</w:t>
      </w:r>
      <w:proofErr w:type="spellStart"/>
      <w:r w:rsidRPr="004F6075">
        <w:t>Hora’ah</w:t>
      </w:r>
      <w:proofErr w:type="spellEnd"/>
      <w:r w:rsidRPr="004F6075">
        <w:t xml:space="preserve"> </w:t>
      </w:r>
      <w:proofErr w:type="spellStart"/>
      <w:r w:rsidRPr="004F6075">
        <w:t>bimey</w:t>
      </w:r>
      <w:proofErr w:type="spellEnd"/>
      <w:r w:rsidRPr="004F6075">
        <w:t xml:space="preserve"> ha-</w:t>
      </w:r>
      <w:proofErr w:type="spellStart"/>
      <w:r w:rsidRPr="004F6075">
        <w:t>RYVaSh</w:t>
      </w:r>
      <w:proofErr w:type="spellEnd"/>
      <w:r w:rsidRPr="004F6075">
        <w:t xml:space="preserve"> </w:t>
      </w:r>
      <w:proofErr w:type="spellStart"/>
      <w:r w:rsidRPr="004F6075">
        <w:t>ve</w:t>
      </w:r>
      <w:proofErr w:type="spellEnd"/>
      <w:r w:rsidRPr="004F6075">
        <w:t>-ha-</w:t>
      </w:r>
      <w:commentRangeStart w:id="2"/>
      <w:proofErr w:type="spellStart"/>
      <w:r w:rsidRPr="004F6075">
        <w:t>RaSHBaTZ</w:t>
      </w:r>
      <w:commentRangeEnd w:id="2"/>
      <w:proofErr w:type="spellEnd"/>
      <w:r>
        <w:rPr>
          <w:rStyle w:val="CommentReference"/>
          <w:rFonts w:asciiTheme="minorHAnsi" w:eastAsiaTheme="minorEastAsia" w:hAnsiTheme="minorHAnsi" w:cstheme="minorBidi"/>
          <w:lang w:val="en-IL" w:eastAsia="zh-CN"/>
        </w:rPr>
        <w:commentReference w:id="2"/>
      </w:r>
      <w:r>
        <w:rPr>
          <w:i/>
          <w:iCs/>
        </w:rPr>
        <w:t xml:space="preserve">” Sinai </w:t>
      </w:r>
      <w:r w:rsidRPr="004E1191">
        <w:t>134</w:t>
      </w:r>
      <w:r>
        <w:t xml:space="preserve"> (</w:t>
      </w:r>
      <w:r w:rsidRPr="004E1191">
        <w:t>Nisan-Elul): 92–133.</w:t>
      </w:r>
    </w:p>
    <w:p w14:paraId="796247F2" w14:textId="77777777" w:rsidR="004F6075" w:rsidRDefault="004F6075" w:rsidP="004F6075">
      <w:pPr>
        <w:pStyle w:val="BodyText"/>
        <w:bidi w:val="0"/>
      </w:pPr>
    </w:p>
    <w:p w14:paraId="00FD45E0" w14:textId="77777777" w:rsidR="00486100" w:rsidRDefault="006608F1" w:rsidP="00486100">
      <w:pPr>
        <w:rPr>
          <w:rFonts w:asciiTheme="majorBidi" w:hAnsiTheme="majorBidi" w:cstheme="majorBidi"/>
          <w:sz w:val="20"/>
          <w:szCs w:val="20"/>
        </w:rPr>
      </w:pPr>
      <w:r w:rsidRPr="006608F1">
        <w:rPr>
          <w:rFonts w:asciiTheme="majorBidi" w:hAnsiTheme="majorBidi" w:cstheme="majorBidi"/>
          <w:sz w:val="20"/>
          <w:szCs w:val="20"/>
        </w:rPr>
        <w:t xml:space="preserve">Archives </w:t>
      </w:r>
      <w:proofErr w:type="spellStart"/>
      <w:r w:rsidRPr="006608F1">
        <w:rPr>
          <w:rFonts w:asciiTheme="majorBidi" w:hAnsiTheme="majorBidi" w:cstheme="majorBidi"/>
          <w:sz w:val="20"/>
          <w:szCs w:val="20"/>
        </w:rPr>
        <w:t>Centrales</w:t>
      </w:r>
      <w:proofErr w:type="spellEnd"/>
      <w:r w:rsidRPr="006608F1">
        <w:rPr>
          <w:rFonts w:asciiTheme="majorBidi" w:hAnsiTheme="majorBidi" w:cstheme="majorBidi"/>
          <w:sz w:val="20"/>
          <w:szCs w:val="20"/>
        </w:rPr>
        <w:t xml:space="preserve"> de l</w:t>
      </w:r>
      <w:r>
        <w:rPr>
          <w:rFonts w:asciiTheme="majorBidi" w:hAnsiTheme="majorBidi" w:cstheme="majorBidi"/>
          <w:sz w:val="20"/>
          <w:szCs w:val="20"/>
          <w:lang w:val="en-US"/>
        </w:rPr>
        <w:t>’</w:t>
      </w:r>
      <w:proofErr w:type="spellStart"/>
      <w:r w:rsidRPr="006608F1">
        <w:rPr>
          <w:rFonts w:asciiTheme="majorBidi" w:hAnsiTheme="majorBidi" w:cstheme="majorBidi"/>
          <w:sz w:val="20"/>
          <w:szCs w:val="20"/>
        </w:rPr>
        <w:t>Histoire</w:t>
      </w:r>
      <w:proofErr w:type="spellEnd"/>
      <w:r w:rsidRPr="006608F1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6608F1">
        <w:rPr>
          <w:rFonts w:asciiTheme="majorBidi" w:hAnsiTheme="majorBidi" w:cstheme="majorBidi"/>
          <w:sz w:val="20"/>
          <w:szCs w:val="20"/>
        </w:rPr>
        <w:t>Juive</w:t>
      </w:r>
      <w:proofErr w:type="spellEnd"/>
      <w:r w:rsidRPr="006608F1">
        <w:rPr>
          <w:rFonts w:asciiTheme="majorBidi" w:hAnsiTheme="majorBidi" w:cstheme="majorBidi"/>
          <w:sz w:val="20"/>
          <w:szCs w:val="20"/>
        </w:rPr>
        <w:t xml:space="preserve"> (ACHJ), </w:t>
      </w:r>
      <w:commentRangeStart w:id="3"/>
      <w:r w:rsidRPr="006608F1">
        <w:rPr>
          <w:rFonts w:asciiTheme="majorBidi" w:hAnsiTheme="majorBidi" w:cstheme="majorBidi"/>
          <w:sz w:val="20"/>
          <w:szCs w:val="20"/>
        </w:rPr>
        <w:t>Jerusalem</w:t>
      </w:r>
      <w:commentRangeEnd w:id="3"/>
      <w:r>
        <w:rPr>
          <w:rStyle w:val="CommentReference"/>
        </w:rPr>
        <w:commentReference w:id="3"/>
      </w:r>
      <w:r>
        <w:rPr>
          <w:rFonts w:asciiTheme="majorBidi" w:hAnsiTheme="majorBidi" w:cstheme="majorBidi"/>
          <w:sz w:val="20"/>
          <w:szCs w:val="20"/>
          <w:lang w:val="en-US"/>
        </w:rPr>
        <w:t>.</w:t>
      </w:r>
      <w:r w:rsidRPr="006608F1">
        <w:rPr>
          <w:rFonts w:asciiTheme="majorBidi" w:hAnsiTheme="majorBidi" w:cstheme="majorBidi"/>
          <w:sz w:val="20"/>
          <w:szCs w:val="20"/>
        </w:rPr>
        <w:t xml:space="preserve"> </w:t>
      </w:r>
    </w:p>
    <w:p w14:paraId="2F454FB1" w14:textId="68BD4E0E" w:rsidR="006608F1" w:rsidRPr="00486100" w:rsidRDefault="00486100" w:rsidP="00486100">
      <w:pPr>
        <w:rPr>
          <w:rFonts w:asciiTheme="majorBidi" w:hAnsiTheme="majorBidi" w:cstheme="majorBidi"/>
          <w:sz w:val="20"/>
          <w:szCs w:val="20"/>
          <w:lang w:val="en-US"/>
        </w:rPr>
      </w:pPr>
      <w:r w:rsidRPr="00486100">
        <w:rPr>
          <w:rFonts w:asciiTheme="majorBidi" w:hAnsiTheme="majorBidi" w:cstheme="majorBidi"/>
        </w:rPr>
        <w:t>Archives diplomatiques</w:t>
      </w:r>
      <w:r>
        <w:rPr>
          <w:rFonts w:asciiTheme="majorBidi" w:hAnsiTheme="majorBidi" w:cstheme="majorBidi"/>
          <w:lang w:val="en-US"/>
        </w:rPr>
        <w:t>,</w:t>
      </w:r>
      <w:r w:rsidRPr="00486100">
        <w:rPr>
          <w:rFonts w:asciiTheme="majorBidi" w:hAnsiTheme="majorBidi" w:cstheme="majorBidi"/>
        </w:rPr>
        <w:t xml:space="preserve"> </w:t>
      </w:r>
      <w:r w:rsidRPr="00486100">
        <w:rPr>
          <w:rFonts w:asciiTheme="majorBidi" w:hAnsiTheme="majorBidi" w:cstheme="majorBidi"/>
        </w:rPr>
        <w:t>Nantes</w:t>
      </w:r>
      <w:r>
        <w:rPr>
          <w:rFonts w:asciiTheme="majorBidi" w:hAnsiTheme="majorBidi" w:cstheme="majorBidi"/>
          <w:lang w:val="en-US"/>
        </w:rPr>
        <w:t>.</w:t>
      </w:r>
    </w:p>
    <w:p w14:paraId="783ED44C" w14:textId="142C26E9" w:rsidR="00486100" w:rsidRDefault="00486100" w:rsidP="00486100">
      <w:pPr>
        <w:rPr>
          <w:rFonts w:asciiTheme="majorBidi" w:hAnsiTheme="majorBidi" w:cstheme="majorBidi"/>
        </w:rPr>
      </w:pPr>
      <w:r w:rsidRPr="00486100">
        <w:rPr>
          <w:rFonts w:asciiTheme="majorBidi" w:hAnsiTheme="majorBidi" w:cstheme="majorBidi"/>
        </w:rPr>
        <w:t xml:space="preserve">Archives </w:t>
      </w:r>
      <w:proofErr w:type="spellStart"/>
      <w:r w:rsidRPr="00486100">
        <w:rPr>
          <w:rFonts w:asciiTheme="majorBidi" w:hAnsiTheme="majorBidi" w:cstheme="majorBidi"/>
        </w:rPr>
        <w:t>Sionistes</w:t>
      </w:r>
      <w:proofErr w:type="spellEnd"/>
      <w:r w:rsidRPr="00486100">
        <w:rPr>
          <w:rFonts w:asciiTheme="majorBidi" w:hAnsiTheme="majorBidi" w:cstheme="majorBidi"/>
        </w:rPr>
        <w:t>, Jerusalem</w:t>
      </w:r>
      <w:r>
        <w:rPr>
          <w:rFonts w:asciiTheme="majorBidi" w:hAnsiTheme="majorBidi" w:cstheme="majorBidi"/>
          <w:lang w:val="en-US"/>
        </w:rPr>
        <w:t>.</w:t>
      </w:r>
      <w:r w:rsidRPr="00486100">
        <w:rPr>
          <w:rFonts w:asciiTheme="majorBidi" w:hAnsiTheme="majorBidi" w:cstheme="majorBidi"/>
        </w:rPr>
        <w:t xml:space="preserve"> Y. </w:t>
      </w:r>
    </w:p>
    <w:p w14:paraId="557873B5" w14:textId="42EA4659" w:rsidR="007A409B" w:rsidRPr="00486100" w:rsidRDefault="007A409B" w:rsidP="007A409B">
      <w:pPr>
        <w:rPr>
          <w:rFonts w:asciiTheme="majorBidi" w:hAnsiTheme="majorBidi" w:cstheme="majorBidi"/>
          <w:sz w:val="20"/>
          <w:szCs w:val="20"/>
        </w:rPr>
      </w:pPr>
      <w:r w:rsidRPr="00486100">
        <w:rPr>
          <w:rFonts w:asciiTheme="majorBidi" w:hAnsiTheme="majorBidi" w:cstheme="majorBidi"/>
          <w:sz w:val="20"/>
          <w:szCs w:val="20"/>
        </w:rPr>
        <w:t>Attal</w:t>
      </w:r>
      <w:r>
        <w:rPr>
          <w:rFonts w:asciiTheme="majorBidi" w:hAnsiTheme="majorBidi" w:cstheme="majorBidi"/>
          <w:sz w:val="20"/>
          <w:szCs w:val="20"/>
          <w:lang w:val="en-US"/>
        </w:rPr>
        <w:t>,</w:t>
      </w:r>
      <w:r w:rsidRPr="007A409B">
        <w:rPr>
          <w:rFonts w:asciiTheme="majorBidi" w:hAnsiTheme="majorBidi" w:cstheme="majorBidi"/>
          <w:sz w:val="20"/>
          <w:szCs w:val="20"/>
        </w:rPr>
        <w:t xml:space="preserve"> </w:t>
      </w:r>
      <w:r w:rsidRPr="00486100">
        <w:rPr>
          <w:rFonts w:asciiTheme="majorBidi" w:hAnsiTheme="majorBidi" w:cstheme="majorBidi"/>
          <w:sz w:val="20"/>
          <w:szCs w:val="20"/>
        </w:rPr>
        <w:t xml:space="preserve">R. </w:t>
      </w:r>
      <w:r w:rsidRPr="00486100">
        <w:rPr>
          <w:rFonts w:asciiTheme="majorBidi" w:hAnsiTheme="majorBidi" w:cstheme="majorBidi"/>
          <w:i/>
          <w:iCs/>
          <w:sz w:val="20"/>
          <w:szCs w:val="20"/>
        </w:rPr>
        <w:t xml:space="preserve">Regards sur les </w:t>
      </w:r>
      <w:proofErr w:type="spellStart"/>
      <w:r w:rsidRPr="00486100">
        <w:rPr>
          <w:rFonts w:asciiTheme="majorBidi" w:hAnsiTheme="majorBidi" w:cstheme="majorBidi"/>
          <w:i/>
          <w:iCs/>
          <w:sz w:val="20"/>
          <w:szCs w:val="20"/>
        </w:rPr>
        <w:t>Juifs</w:t>
      </w:r>
      <w:proofErr w:type="spellEnd"/>
      <w:r w:rsidRPr="0048610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486100">
        <w:rPr>
          <w:rFonts w:asciiTheme="majorBidi" w:hAnsiTheme="majorBidi" w:cstheme="majorBidi"/>
          <w:i/>
          <w:iCs/>
          <w:sz w:val="20"/>
          <w:szCs w:val="20"/>
        </w:rPr>
        <w:t>d’Algérie</w:t>
      </w:r>
      <w:proofErr w:type="spellEnd"/>
      <w:r w:rsidRPr="00486100">
        <w:rPr>
          <w:rFonts w:asciiTheme="majorBidi" w:hAnsiTheme="majorBidi" w:cstheme="majorBidi"/>
          <w:sz w:val="20"/>
          <w:szCs w:val="20"/>
        </w:rPr>
        <w:t>, Paris</w:t>
      </w:r>
      <w:r>
        <w:rPr>
          <w:rFonts w:asciiTheme="majorBidi" w:hAnsiTheme="majorBidi" w:cstheme="majorBidi"/>
          <w:sz w:val="20"/>
          <w:szCs w:val="20"/>
          <w:lang w:val="en-US"/>
        </w:rPr>
        <w:t>:</w:t>
      </w:r>
      <w:commentRangeStart w:id="4"/>
      <w:r>
        <w:rPr>
          <w:rFonts w:asciiTheme="majorBidi" w:hAnsiTheme="majorBidi" w:cstheme="majorBidi"/>
          <w:sz w:val="20"/>
          <w:szCs w:val="20"/>
          <w:lang w:val="en-US"/>
        </w:rPr>
        <w:t>xxx</w:t>
      </w:r>
      <w:commentRangeEnd w:id="4"/>
      <w:r>
        <w:rPr>
          <w:rStyle w:val="CommentReference"/>
        </w:rPr>
        <w:commentReference w:id="4"/>
      </w:r>
      <w:r w:rsidRPr="00486100">
        <w:rPr>
          <w:rFonts w:asciiTheme="majorBidi" w:hAnsiTheme="majorBidi" w:cstheme="majorBidi"/>
          <w:sz w:val="20"/>
          <w:szCs w:val="20"/>
        </w:rPr>
        <w:t xml:space="preserve"> 1996; </w:t>
      </w:r>
    </w:p>
    <w:p w14:paraId="0902AEC7" w14:textId="77777777" w:rsidR="00486100" w:rsidRDefault="00486100" w:rsidP="00486100">
      <w:pPr>
        <w:rPr>
          <w:rFonts w:cs="FrankRuehl"/>
          <w:sz w:val="20"/>
          <w:szCs w:val="20"/>
        </w:rPr>
      </w:pPr>
      <w:proofErr w:type="spellStart"/>
      <w:r w:rsidRPr="00486100">
        <w:rPr>
          <w:rFonts w:asciiTheme="majorBidi" w:hAnsiTheme="majorBidi" w:cstheme="majorBidi"/>
          <w:sz w:val="20"/>
          <w:szCs w:val="20"/>
        </w:rPr>
        <w:t>Ayoun</w:t>
      </w:r>
      <w:proofErr w:type="spellEnd"/>
      <w:r w:rsidRPr="00486100">
        <w:rPr>
          <w:rFonts w:asciiTheme="majorBidi" w:hAnsiTheme="majorBidi" w:cstheme="majorBidi"/>
          <w:sz w:val="20"/>
          <w:szCs w:val="20"/>
          <w:lang w:val="en-US"/>
        </w:rPr>
        <w:t>,</w:t>
      </w:r>
      <w:r w:rsidRPr="00486100">
        <w:rPr>
          <w:rFonts w:asciiTheme="majorBidi" w:hAnsiTheme="majorBidi" w:cstheme="majorBidi"/>
          <w:sz w:val="20"/>
          <w:szCs w:val="20"/>
        </w:rPr>
        <w:t xml:space="preserve"> R. </w:t>
      </w:r>
      <w:r w:rsidRPr="00486100">
        <w:rPr>
          <w:rFonts w:asciiTheme="majorBidi" w:hAnsiTheme="majorBidi" w:cstheme="majorBidi"/>
          <w:sz w:val="20"/>
          <w:szCs w:val="20"/>
          <w:lang w:val="en-US"/>
        </w:rPr>
        <w:t>and</w:t>
      </w:r>
      <w:r w:rsidRPr="00486100">
        <w:rPr>
          <w:rFonts w:asciiTheme="majorBidi" w:hAnsiTheme="majorBidi" w:cstheme="majorBidi"/>
          <w:sz w:val="20"/>
          <w:szCs w:val="20"/>
        </w:rPr>
        <w:t xml:space="preserve"> Cohen,</w:t>
      </w:r>
      <w:r w:rsidRPr="00486100">
        <w:rPr>
          <w:rFonts w:asciiTheme="majorBidi" w:hAnsiTheme="majorBidi" w:cstheme="majorBidi"/>
          <w:sz w:val="20"/>
          <w:szCs w:val="20"/>
          <w:lang w:val="en-US"/>
        </w:rPr>
        <w:t xml:space="preserve"> B. </w:t>
      </w:r>
      <w:r w:rsidRPr="00486100">
        <w:rPr>
          <w:rFonts w:asciiTheme="majorBidi" w:hAnsiTheme="majorBidi" w:cstheme="majorBidi"/>
          <w:sz w:val="20"/>
          <w:szCs w:val="20"/>
        </w:rPr>
        <w:t xml:space="preserve"> 1982</w:t>
      </w:r>
      <w:r w:rsidRPr="00486100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  <w:r w:rsidRPr="00486100">
        <w:rPr>
          <w:rFonts w:asciiTheme="majorBidi" w:hAnsiTheme="majorBidi" w:cstheme="majorBidi"/>
          <w:i/>
          <w:iCs/>
          <w:sz w:val="20"/>
          <w:szCs w:val="20"/>
        </w:rPr>
        <w:t xml:space="preserve">Les </w:t>
      </w:r>
      <w:proofErr w:type="spellStart"/>
      <w:r w:rsidRPr="00486100">
        <w:rPr>
          <w:rFonts w:asciiTheme="majorBidi" w:hAnsiTheme="majorBidi" w:cstheme="majorBidi"/>
          <w:i/>
          <w:iCs/>
          <w:sz w:val="20"/>
          <w:szCs w:val="20"/>
        </w:rPr>
        <w:t>Juifs</w:t>
      </w:r>
      <w:proofErr w:type="spellEnd"/>
      <w:r w:rsidRPr="0048610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486100">
        <w:rPr>
          <w:rFonts w:asciiTheme="majorBidi" w:hAnsiTheme="majorBidi" w:cstheme="majorBidi"/>
          <w:i/>
          <w:iCs/>
          <w:sz w:val="20"/>
          <w:szCs w:val="20"/>
        </w:rPr>
        <w:t>d'Algérie</w:t>
      </w:r>
      <w:proofErr w:type="spellEnd"/>
      <w:r w:rsidRPr="0048610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486100">
        <w:rPr>
          <w:rFonts w:asciiTheme="majorBidi" w:hAnsiTheme="majorBidi" w:cstheme="majorBidi"/>
          <w:i/>
          <w:iCs/>
          <w:sz w:val="20"/>
          <w:szCs w:val="20"/>
          <w:rtl/>
        </w:rPr>
        <w:t>–</w:t>
      </w:r>
      <w:r w:rsidRPr="00486100">
        <w:rPr>
          <w:rFonts w:asciiTheme="majorBidi" w:hAnsiTheme="majorBidi" w:cstheme="majorBidi"/>
          <w:i/>
          <w:iCs/>
          <w:sz w:val="20"/>
          <w:szCs w:val="20"/>
        </w:rPr>
        <w:t xml:space="preserve"> Deux </w:t>
      </w:r>
      <w:proofErr w:type="spellStart"/>
      <w:r w:rsidRPr="00486100">
        <w:rPr>
          <w:rFonts w:asciiTheme="majorBidi" w:hAnsiTheme="majorBidi" w:cstheme="majorBidi"/>
          <w:i/>
          <w:iCs/>
          <w:sz w:val="20"/>
          <w:szCs w:val="20"/>
        </w:rPr>
        <w:t>milles</w:t>
      </w:r>
      <w:proofErr w:type="spellEnd"/>
      <w:r w:rsidRPr="0048610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486100">
        <w:rPr>
          <w:rFonts w:asciiTheme="majorBidi" w:hAnsiTheme="majorBidi" w:cstheme="majorBidi"/>
          <w:i/>
          <w:iCs/>
          <w:sz w:val="20"/>
          <w:szCs w:val="20"/>
        </w:rPr>
        <w:t>ans</w:t>
      </w:r>
      <w:proofErr w:type="spellEnd"/>
      <w:r w:rsidRPr="0048610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486100">
        <w:rPr>
          <w:rFonts w:asciiTheme="majorBidi" w:hAnsiTheme="majorBidi" w:cstheme="majorBidi"/>
          <w:i/>
          <w:iCs/>
          <w:sz w:val="20"/>
          <w:szCs w:val="20"/>
        </w:rPr>
        <w:t>d'histoire</w:t>
      </w:r>
      <w:proofErr w:type="spellEnd"/>
      <w:r w:rsidRPr="00486100">
        <w:rPr>
          <w:rFonts w:asciiTheme="majorBidi" w:hAnsiTheme="majorBidi" w:cstheme="majorBidi"/>
          <w:i/>
          <w:iCs/>
          <w:sz w:val="20"/>
          <w:szCs w:val="20"/>
          <w:lang w:val="en-US"/>
        </w:rPr>
        <w:t>.</w:t>
      </w:r>
      <w:r w:rsidRPr="0048610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commentRangeStart w:id="5"/>
      <w:r w:rsidRPr="00486100">
        <w:rPr>
          <w:rFonts w:asciiTheme="majorBidi" w:hAnsiTheme="majorBidi" w:cstheme="majorBidi"/>
          <w:sz w:val="20"/>
          <w:szCs w:val="20"/>
        </w:rPr>
        <w:t>Paris</w:t>
      </w:r>
      <w:commentRangeEnd w:id="5"/>
      <w:r w:rsidRPr="00486100">
        <w:rPr>
          <w:rStyle w:val="CommentReference"/>
          <w:rFonts w:asciiTheme="majorBidi" w:hAnsiTheme="majorBidi" w:cstheme="majorBidi"/>
        </w:rPr>
        <w:commentReference w:id="5"/>
      </w:r>
      <w:r>
        <w:rPr>
          <w:rFonts w:cs="FrankRuehl"/>
          <w:sz w:val="20"/>
          <w:szCs w:val="20"/>
          <w:lang w:val="en-US"/>
        </w:rPr>
        <w:t>.</w:t>
      </w:r>
    </w:p>
    <w:p w14:paraId="3E31152F" w14:textId="77777777" w:rsidR="0035208C" w:rsidRDefault="0035208C" w:rsidP="0035208C">
      <w:pPr>
        <w:pStyle w:val="FootnoteText"/>
        <w:bidi w:val="0"/>
        <w:jc w:val="both"/>
      </w:pPr>
      <w:proofErr w:type="spellStart"/>
      <w:r>
        <w:t>Berchet</w:t>
      </w:r>
      <w:proofErr w:type="spellEnd"/>
      <w:r w:rsidRPr="0090421A">
        <w:rPr>
          <w:i/>
          <w:iCs/>
        </w:rPr>
        <w:t xml:space="preserve">, </w:t>
      </w:r>
      <w:r>
        <w:t xml:space="preserve">J.C. 1985. </w:t>
      </w:r>
      <w:r w:rsidRPr="0090421A">
        <w:rPr>
          <w:i/>
          <w:iCs/>
        </w:rPr>
        <w:t xml:space="preserve">Le Voyage </w:t>
      </w:r>
      <w:proofErr w:type="spellStart"/>
      <w:r w:rsidRPr="0090421A">
        <w:rPr>
          <w:i/>
          <w:iCs/>
        </w:rPr>
        <w:t>en</w:t>
      </w:r>
      <w:proofErr w:type="spellEnd"/>
      <w:r w:rsidRPr="0090421A">
        <w:rPr>
          <w:i/>
          <w:iCs/>
        </w:rPr>
        <w:t xml:space="preserve"> Orient</w:t>
      </w:r>
      <w:r>
        <w:rPr>
          <w:i/>
          <w:iCs/>
        </w:rPr>
        <w:t>.</w:t>
      </w:r>
      <w:r>
        <w:t xml:space="preserve"> Paris: Editions Robert </w:t>
      </w:r>
      <w:proofErr w:type="spellStart"/>
      <w:r>
        <w:t>Laffon</w:t>
      </w:r>
      <w:proofErr w:type="spellEnd"/>
      <w:r>
        <w:t>. 3–</w:t>
      </w:r>
      <w:commentRangeStart w:id="6"/>
      <w:r>
        <w:t>20</w:t>
      </w:r>
      <w:commentRangeEnd w:id="6"/>
      <w:r>
        <w:rPr>
          <w:rStyle w:val="CommentReference"/>
          <w:rFonts w:asciiTheme="minorHAnsi" w:eastAsiaTheme="minorEastAsia" w:hAnsiTheme="minorHAnsi" w:cstheme="minorBidi"/>
          <w:lang w:val="en-IL" w:eastAsia="zh-CN"/>
        </w:rPr>
        <w:commentReference w:id="6"/>
      </w:r>
      <w:r>
        <w:t>.</w:t>
      </w:r>
    </w:p>
    <w:p w14:paraId="4DD04292" w14:textId="77777777" w:rsidR="0035208C" w:rsidRDefault="0035208C" w:rsidP="00523915">
      <w:pPr>
        <w:pStyle w:val="FootnoteText"/>
        <w:bidi w:val="0"/>
        <w:jc w:val="both"/>
        <w:rPr>
          <w:szCs w:val="24"/>
        </w:rPr>
      </w:pPr>
    </w:p>
    <w:p w14:paraId="6A5287FD" w14:textId="4254E489" w:rsidR="00523915" w:rsidRPr="006D5520" w:rsidRDefault="00523915" w:rsidP="0035208C">
      <w:pPr>
        <w:pStyle w:val="FootnoteText"/>
        <w:bidi w:val="0"/>
        <w:jc w:val="both"/>
        <w:rPr>
          <w:szCs w:val="24"/>
        </w:rPr>
      </w:pPr>
      <w:r>
        <w:rPr>
          <w:szCs w:val="24"/>
        </w:rPr>
        <w:t xml:space="preserve">Bashan, A. </w:t>
      </w:r>
      <w:commentRangeStart w:id="7"/>
      <w:r w:rsidRPr="006D5520">
        <w:rPr>
          <w:szCs w:val="24"/>
        </w:rPr>
        <w:t>5766</w:t>
      </w:r>
      <w:commentRangeEnd w:id="7"/>
      <w:r>
        <w:rPr>
          <w:rStyle w:val="CommentReference"/>
          <w:rFonts w:asciiTheme="minorHAnsi" w:eastAsiaTheme="minorEastAsia" w:hAnsiTheme="minorHAnsi" w:cstheme="minorBidi"/>
          <w:lang w:val="en-IL" w:eastAsia="zh-CN"/>
        </w:rPr>
        <w:commentReference w:id="7"/>
      </w:r>
      <w:r>
        <w:rPr>
          <w:szCs w:val="24"/>
        </w:rPr>
        <w:t>. “</w:t>
      </w:r>
      <w:r w:rsidRPr="005A672C">
        <w:rPr>
          <w:i/>
          <w:iCs/>
          <w:szCs w:val="24"/>
        </w:rPr>
        <w:t xml:space="preserve">Al </w:t>
      </w:r>
      <w:proofErr w:type="spellStart"/>
      <w:r w:rsidRPr="005A672C">
        <w:rPr>
          <w:i/>
          <w:iCs/>
          <w:szCs w:val="24"/>
        </w:rPr>
        <w:t>Ma’amadah</w:t>
      </w:r>
      <w:proofErr w:type="spellEnd"/>
      <w:r w:rsidRPr="005A672C">
        <w:rPr>
          <w:i/>
          <w:iCs/>
          <w:szCs w:val="24"/>
        </w:rPr>
        <w:t xml:space="preserve"> ha-</w:t>
      </w:r>
      <w:proofErr w:type="spellStart"/>
      <w:r w:rsidRPr="005A672C">
        <w:rPr>
          <w:i/>
          <w:iCs/>
          <w:szCs w:val="24"/>
        </w:rPr>
        <w:t>Hevrati</w:t>
      </w:r>
      <w:proofErr w:type="spellEnd"/>
      <w:r w:rsidRPr="005A672C">
        <w:rPr>
          <w:i/>
          <w:iCs/>
          <w:szCs w:val="24"/>
        </w:rPr>
        <w:t xml:space="preserve"> </w:t>
      </w:r>
      <w:proofErr w:type="spellStart"/>
      <w:r w:rsidRPr="005A672C">
        <w:rPr>
          <w:i/>
          <w:iCs/>
          <w:szCs w:val="24"/>
        </w:rPr>
        <w:t>ve</w:t>
      </w:r>
      <w:proofErr w:type="spellEnd"/>
      <w:r w:rsidRPr="005A672C">
        <w:rPr>
          <w:i/>
          <w:iCs/>
          <w:szCs w:val="24"/>
        </w:rPr>
        <w:t>-ha-</w:t>
      </w:r>
      <w:proofErr w:type="spellStart"/>
      <w:r w:rsidRPr="005A672C">
        <w:rPr>
          <w:i/>
          <w:iCs/>
          <w:szCs w:val="24"/>
        </w:rPr>
        <w:t>Haskalati</w:t>
      </w:r>
      <w:proofErr w:type="spellEnd"/>
      <w:r w:rsidRPr="005A672C">
        <w:rPr>
          <w:i/>
          <w:iCs/>
          <w:szCs w:val="24"/>
        </w:rPr>
        <w:t xml:space="preserve"> </w:t>
      </w:r>
      <w:proofErr w:type="spellStart"/>
      <w:r w:rsidRPr="005A672C">
        <w:rPr>
          <w:i/>
          <w:iCs/>
          <w:szCs w:val="24"/>
        </w:rPr>
        <w:t>shel</w:t>
      </w:r>
      <w:proofErr w:type="spellEnd"/>
      <w:r w:rsidRPr="005A672C">
        <w:rPr>
          <w:i/>
          <w:iCs/>
          <w:szCs w:val="24"/>
        </w:rPr>
        <w:t xml:space="preserve"> ha-</w:t>
      </w:r>
      <w:proofErr w:type="spellStart"/>
      <w:r w:rsidRPr="005A672C">
        <w:rPr>
          <w:i/>
          <w:iCs/>
          <w:szCs w:val="24"/>
        </w:rPr>
        <w:t>Ishah</w:t>
      </w:r>
      <w:proofErr w:type="spellEnd"/>
      <w:r w:rsidRPr="005A672C">
        <w:rPr>
          <w:i/>
          <w:iCs/>
          <w:szCs w:val="24"/>
        </w:rPr>
        <w:t xml:space="preserve"> ha-</w:t>
      </w:r>
      <w:proofErr w:type="spellStart"/>
      <w:r w:rsidRPr="005A672C">
        <w:rPr>
          <w:i/>
          <w:iCs/>
          <w:szCs w:val="24"/>
        </w:rPr>
        <w:t>Yehudiyah</w:t>
      </w:r>
      <w:proofErr w:type="spellEnd"/>
      <w:r w:rsidRPr="005A672C">
        <w:rPr>
          <w:i/>
          <w:iCs/>
          <w:szCs w:val="24"/>
        </w:rPr>
        <w:t xml:space="preserve"> be-</w:t>
      </w:r>
      <w:proofErr w:type="spellStart"/>
      <w:r w:rsidRPr="005A672C">
        <w:rPr>
          <w:i/>
          <w:iCs/>
          <w:szCs w:val="24"/>
        </w:rPr>
        <w:t>Mizrah</w:t>
      </w:r>
      <w:proofErr w:type="spellEnd"/>
      <w:r w:rsidRPr="005A672C">
        <w:rPr>
          <w:i/>
          <w:iCs/>
          <w:szCs w:val="24"/>
        </w:rPr>
        <w:t xml:space="preserve"> ha-Tikhon u-be-Maghreb</w:t>
      </w:r>
      <w:r>
        <w:rPr>
          <w:szCs w:val="24"/>
        </w:rPr>
        <w:t xml:space="preserve">” In </w:t>
      </w:r>
      <w:r>
        <w:rPr>
          <w:i/>
          <w:iCs/>
          <w:szCs w:val="24"/>
        </w:rPr>
        <w:t>Mi-</w:t>
      </w:r>
      <w:proofErr w:type="spellStart"/>
      <w:r>
        <w:rPr>
          <w:i/>
          <w:iCs/>
          <w:szCs w:val="24"/>
        </w:rPr>
        <w:t>Mizrah</w:t>
      </w:r>
      <w:proofErr w:type="spellEnd"/>
      <w:r>
        <w:rPr>
          <w:i/>
          <w:iCs/>
          <w:szCs w:val="24"/>
        </w:rPr>
        <w:t xml:space="preserve"> Shemesh ad </w:t>
      </w:r>
      <w:proofErr w:type="spellStart"/>
      <w:r>
        <w:rPr>
          <w:i/>
          <w:iCs/>
          <w:szCs w:val="24"/>
        </w:rPr>
        <w:t>Mevo’o</w:t>
      </w:r>
      <w:proofErr w:type="spellEnd"/>
      <w:r>
        <w:rPr>
          <w:i/>
          <w:iCs/>
          <w:szCs w:val="24"/>
        </w:rPr>
        <w:t xml:space="preserve">, </w:t>
      </w:r>
      <w:proofErr w:type="spellStart"/>
      <w:r>
        <w:rPr>
          <w:i/>
          <w:iCs/>
          <w:szCs w:val="24"/>
        </w:rPr>
        <w:t>Perakim</w:t>
      </w:r>
      <w:proofErr w:type="spellEnd"/>
      <w:r>
        <w:rPr>
          <w:i/>
          <w:iCs/>
          <w:szCs w:val="24"/>
        </w:rPr>
        <w:t xml:space="preserve"> be-</w:t>
      </w:r>
      <w:proofErr w:type="spellStart"/>
      <w:r>
        <w:rPr>
          <w:i/>
          <w:iCs/>
          <w:szCs w:val="24"/>
        </w:rPr>
        <w:t>Toldot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Yehudey</w:t>
      </w:r>
      <w:proofErr w:type="spellEnd"/>
      <w:r>
        <w:rPr>
          <w:i/>
          <w:iCs/>
          <w:szCs w:val="24"/>
        </w:rPr>
        <w:t xml:space="preserve"> ha-</w:t>
      </w:r>
      <w:proofErr w:type="spellStart"/>
      <w:r>
        <w:rPr>
          <w:i/>
          <w:iCs/>
          <w:szCs w:val="24"/>
        </w:rPr>
        <w:t>Mizrah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ve</w:t>
      </w:r>
      <w:proofErr w:type="spellEnd"/>
      <w:r>
        <w:rPr>
          <w:i/>
          <w:iCs/>
          <w:szCs w:val="24"/>
        </w:rPr>
        <w:t xml:space="preserve">-ha-Maghreb: </w:t>
      </w:r>
      <w:proofErr w:type="spellStart"/>
      <w:r>
        <w:rPr>
          <w:i/>
          <w:iCs/>
          <w:szCs w:val="24"/>
        </w:rPr>
        <w:t>Hevrah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ve-Kalkalah</w:t>
      </w:r>
      <w:proofErr w:type="spellEnd"/>
      <w:r>
        <w:rPr>
          <w:i/>
          <w:iCs/>
          <w:szCs w:val="24"/>
        </w:rPr>
        <w:t xml:space="preserve">, </w:t>
      </w:r>
      <w:r w:rsidRPr="006D5520">
        <w:rPr>
          <w:szCs w:val="24"/>
        </w:rPr>
        <w:t>147–155</w:t>
      </w:r>
      <w:r>
        <w:rPr>
          <w:szCs w:val="24"/>
        </w:rPr>
        <w:t xml:space="preserve">. </w:t>
      </w:r>
      <w:r w:rsidRPr="006D5520">
        <w:rPr>
          <w:szCs w:val="24"/>
        </w:rPr>
        <w:t>Lod</w:t>
      </w:r>
      <w:r>
        <w:rPr>
          <w:szCs w:val="24"/>
        </w:rPr>
        <w:t xml:space="preserve">: </w:t>
      </w:r>
      <w:proofErr w:type="spellStart"/>
      <w:r w:rsidRPr="006D5520">
        <w:rPr>
          <w:szCs w:val="24"/>
        </w:rPr>
        <w:t>Orot</w:t>
      </w:r>
      <w:proofErr w:type="spellEnd"/>
      <w:r w:rsidRPr="006D5520">
        <w:rPr>
          <w:szCs w:val="24"/>
        </w:rPr>
        <w:t xml:space="preserve"> </w:t>
      </w:r>
      <w:proofErr w:type="spellStart"/>
      <w:r w:rsidRPr="006D5520">
        <w:rPr>
          <w:szCs w:val="24"/>
        </w:rPr>
        <w:t>Yahadut</w:t>
      </w:r>
      <w:proofErr w:type="spellEnd"/>
      <w:r w:rsidRPr="006D5520">
        <w:rPr>
          <w:szCs w:val="24"/>
        </w:rPr>
        <w:t xml:space="preserve"> ha-Maghreb</w:t>
      </w:r>
      <w:r>
        <w:rPr>
          <w:szCs w:val="24"/>
        </w:rPr>
        <w:t>.</w:t>
      </w:r>
      <w:commentRangeStart w:id="8"/>
      <w:commentRangeEnd w:id="8"/>
      <w:r>
        <w:rPr>
          <w:rStyle w:val="CommentReference"/>
          <w:rFonts w:asciiTheme="minorHAnsi" w:eastAsiaTheme="minorEastAsia" w:hAnsiTheme="minorHAnsi" w:cstheme="minorBidi"/>
          <w:lang w:val="en-IL" w:eastAsia="zh-CN"/>
        </w:rPr>
        <w:commentReference w:id="8"/>
      </w:r>
    </w:p>
    <w:p w14:paraId="355FA3EA" w14:textId="77777777" w:rsidR="00523915" w:rsidRDefault="00523915" w:rsidP="006C5AC0">
      <w:pPr>
        <w:pStyle w:val="FootnoteText"/>
        <w:bidi w:val="0"/>
        <w:jc w:val="both"/>
      </w:pPr>
    </w:p>
    <w:p w14:paraId="42AC1FAA" w14:textId="3D183EDC" w:rsidR="006608F1" w:rsidRDefault="006608F1" w:rsidP="00523915">
      <w:pPr>
        <w:pStyle w:val="FootnoteText"/>
        <w:bidi w:val="0"/>
        <w:jc w:val="both"/>
      </w:pPr>
      <w:r>
        <w:t xml:space="preserve">Bulletin de </w:t>
      </w:r>
      <w:proofErr w:type="spellStart"/>
      <w:r>
        <w:t>l’AIU</w:t>
      </w:r>
      <w:proofErr w:type="spellEnd"/>
      <w:r>
        <w:t xml:space="preserve">. 1911Statistiques des </w:t>
      </w:r>
      <w:proofErr w:type="spellStart"/>
      <w:r>
        <w:t>Ecoles</w:t>
      </w:r>
      <w:proofErr w:type="spellEnd"/>
      <w:r>
        <w:t xml:space="preserve">, Constantine, 1902–1912. In “Le Talmud Torah de Constantine.” 645–649. </w:t>
      </w:r>
      <w:proofErr w:type="spellStart"/>
      <w:r w:rsidRPr="009F1E24">
        <w:t>Univers</w:t>
      </w:r>
      <w:proofErr w:type="spellEnd"/>
      <w:r w:rsidRPr="009F1E24">
        <w:t xml:space="preserve"> </w:t>
      </w:r>
      <w:commentRangeStart w:id="9"/>
      <w:proofErr w:type="spellStart"/>
      <w:r w:rsidRPr="009F1E24">
        <w:t>Israélites</w:t>
      </w:r>
      <w:commentRangeEnd w:id="9"/>
      <w:proofErr w:type="spellEnd"/>
      <w:r>
        <w:rPr>
          <w:rStyle w:val="CommentReference"/>
          <w:rFonts w:asciiTheme="minorHAnsi" w:eastAsiaTheme="minorEastAsia" w:hAnsiTheme="minorHAnsi" w:cstheme="minorBidi"/>
          <w:lang w:val="en-IL" w:eastAsia="zh-CN"/>
        </w:rPr>
        <w:commentReference w:id="9"/>
      </w:r>
      <w:r>
        <w:t>.</w:t>
      </w:r>
      <w:r w:rsidRPr="0029165A">
        <w:t xml:space="preserve"> </w:t>
      </w:r>
    </w:p>
    <w:p w14:paraId="348067BB" w14:textId="77777777" w:rsidR="006608F1" w:rsidRDefault="006608F1" w:rsidP="006608F1">
      <w:pPr>
        <w:pStyle w:val="FootnoteText"/>
        <w:bidi w:val="0"/>
        <w:jc w:val="both"/>
      </w:pPr>
    </w:p>
    <w:p w14:paraId="2ACCCCC7" w14:textId="77777777" w:rsidR="00C718CE" w:rsidRDefault="00C718CE" w:rsidP="00C718CE">
      <w:pPr>
        <w:pStyle w:val="FootnoteText"/>
        <w:bidi w:val="0"/>
        <w:jc w:val="both"/>
      </w:pPr>
      <w:r>
        <w:t xml:space="preserve">The Central Archives for the History of the Jewish People (CAHJP) </w:t>
      </w:r>
      <w:commentRangeStart w:id="10"/>
      <w:r>
        <w:t>1066</w:t>
      </w:r>
      <w:commentRangeEnd w:id="10"/>
      <w:r>
        <w:rPr>
          <w:rStyle w:val="CommentReference"/>
          <w:rFonts w:asciiTheme="minorHAnsi" w:eastAsiaTheme="minorEastAsia" w:hAnsiTheme="minorHAnsi" w:cstheme="minorBidi"/>
          <w:lang w:val="en-IL" w:eastAsia="zh-CN"/>
        </w:rPr>
        <w:commentReference w:id="10"/>
      </w:r>
      <w:r>
        <w:t>.</w:t>
      </w:r>
    </w:p>
    <w:p w14:paraId="4F51DFBB" w14:textId="77777777" w:rsidR="00C718CE" w:rsidRDefault="00C718CE" w:rsidP="00C718CE">
      <w:pPr>
        <w:pStyle w:val="FootnoteText"/>
        <w:bidi w:val="0"/>
        <w:jc w:val="both"/>
      </w:pPr>
    </w:p>
    <w:p w14:paraId="53907530" w14:textId="4E40EAEF" w:rsidR="00C718CE" w:rsidRDefault="00C718CE" w:rsidP="00C718CE">
      <w:pPr>
        <w:pStyle w:val="FootnoteText"/>
        <w:bidi w:val="0"/>
        <w:jc w:val="both"/>
      </w:pPr>
      <w:r>
        <w:t>The Central Archives for the History of the Jewish People (CAHJP) 1856.</w:t>
      </w:r>
      <w:r>
        <w:t xml:space="preserve"> </w:t>
      </w:r>
      <w:r>
        <w:t xml:space="preserve">AL 3, p. 205; </w:t>
      </w:r>
      <w:r w:rsidRPr="00303BA3">
        <w:rPr>
          <w:i/>
          <w:iCs/>
        </w:rPr>
        <w:t xml:space="preserve">Archives </w:t>
      </w:r>
      <w:proofErr w:type="spellStart"/>
      <w:r w:rsidRPr="00303BA3">
        <w:rPr>
          <w:i/>
          <w:iCs/>
        </w:rPr>
        <w:t>Israélites</w:t>
      </w:r>
      <w:proofErr w:type="spellEnd"/>
      <w:r w:rsidRPr="00303BA3">
        <w:t xml:space="preserve"> 1856, pp. 552</w:t>
      </w:r>
      <w:r w:rsidR="00775941">
        <w:t>–</w:t>
      </w:r>
      <w:r w:rsidRPr="00303BA3">
        <w:t>553 (Constantine le 17.8.1856</w:t>
      </w:r>
      <w:r>
        <w:t>)</w:t>
      </w:r>
      <w:r w:rsidR="00775941">
        <w:t>.</w:t>
      </w:r>
    </w:p>
    <w:p w14:paraId="7B365AD7" w14:textId="77777777" w:rsidR="00B34FFC" w:rsidRDefault="00B34FFC" w:rsidP="00B34FFC">
      <w:pPr>
        <w:pStyle w:val="FootnoteText"/>
        <w:bidi w:val="0"/>
        <w:jc w:val="both"/>
      </w:pPr>
    </w:p>
    <w:p w14:paraId="6F47E1C3" w14:textId="77777777" w:rsidR="00B34FFC" w:rsidRDefault="00B34FFC" w:rsidP="00B34FFC">
      <w:pPr>
        <w:pStyle w:val="FootnoteText"/>
        <w:bidi w:val="0"/>
      </w:pPr>
      <w:r>
        <w:t xml:space="preserve">The Central Archives for the History of the Jewish People (CAHJP) HM 2 4948. </w:t>
      </w:r>
    </w:p>
    <w:p w14:paraId="40A33439" w14:textId="77777777" w:rsidR="00B34FFC" w:rsidRDefault="00B34FFC" w:rsidP="007A409B">
      <w:pPr>
        <w:pStyle w:val="FootnoteText"/>
        <w:bidi w:val="0"/>
        <w:jc w:val="both"/>
      </w:pPr>
    </w:p>
    <w:p w14:paraId="3D278A35" w14:textId="3D0839BD" w:rsidR="007A409B" w:rsidRDefault="007A409B" w:rsidP="00B34FFC">
      <w:pPr>
        <w:pStyle w:val="FootnoteText"/>
        <w:bidi w:val="0"/>
        <w:jc w:val="both"/>
      </w:pPr>
      <w:r>
        <w:t>The Central Archives for the History of the Jewish People (CAHJP) HM 2 5106</w:t>
      </w:r>
      <w:r w:rsidR="00B34FFC">
        <w:t>.</w:t>
      </w:r>
    </w:p>
    <w:p w14:paraId="7F9BD907" w14:textId="18E1EBCA" w:rsidR="003356CF" w:rsidRDefault="003356CF" w:rsidP="003356CF">
      <w:pPr>
        <w:pStyle w:val="FootnoteText"/>
        <w:bidi w:val="0"/>
        <w:jc w:val="both"/>
      </w:pPr>
    </w:p>
    <w:p w14:paraId="77994164" w14:textId="77777777" w:rsidR="003356CF" w:rsidRDefault="003356CF" w:rsidP="003356CF">
      <w:pPr>
        <w:pStyle w:val="FootnoteText"/>
        <w:bidi w:val="0"/>
        <w:jc w:val="both"/>
      </w:pPr>
      <w:r>
        <w:t>The Central Archives for the History of the Jewish People (CAHJP) HM 2 5106, January 1899, April 1900, February and December 1901, June 1902.</w:t>
      </w:r>
    </w:p>
    <w:p w14:paraId="32294957" w14:textId="77777777" w:rsidR="007A409B" w:rsidRDefault="007A409B" w:rsidP="007A409B">
      <w:pPr>
        <w:pStyle w:val="FootnoteText"/>
        <w:bidi w:val="0"/>
        <w:jc w:val="both"/>
      </w:pPr>
    </w:p>
    <w:p w14:paraId="7CE61E36" w14:textId="50174074" w:rsidR="000F15C1" w:rsidRDefault="000F15C1" w:rsidP="007A409B">
      <w:pPr>
        <w:pStyle w:val="FootnoteText"/>
        <w:bidi w:val="0"/>
        <w:jc w:val="both"/>
      </w:pPr>
      <w:r>
        <w:t xml:space="preserve">The Central Archives for the History of the Jewish People </w:t>
      </w:r>
      <w:bookmarkStart w:id="11" w:name="_Hlk151815216"/>
      <w:r>
        <w:t>(CAHJP) HM 2 5190 a, b (3.3.1903)</w:t>
      </w:r>
      <w:r>
        <w:t>.</w:t>
      </w:r>
      <w:r>
        <w:t xml:space="preserve"> </w:t>
      </w:r>
      <w:bookmarkEnd w:id="11"/>
    </w:p>
    <w:p w14:paraId="27108280" w14:textId="3F6B329B" w:rsidR="00B34FFC" w:rsidRDefault="00B34FFC" w:rsidP="00B34FFC">
      <w:pPr>
        <w:pStyle w:val="FootnoteText"/>
        <w:bidi w:val="0"/>
        <w:jc w:val="both"/>
      </w:pPr>
    </w:p>
    <w:p w14:paraId="0D2C0126" w14:textId="70CFB3CC" w:rsidR="00B34FFC" w:rsidRPr="00B34FFC" w:rsidRDefault="00B34FFC" w:rsidP="00B34FFC">
      <w:pPr>
        <w:rPr>
          <w:rFonts w:asciiTheme="majorBidi" w:hAnsiTheme="majorBidi" w:cstheme="majorBidi"/>
          <w:sz w:val="20"/>
          <w:szCs w:val="20"/>
          <w:lang w:val="en-US"/>
        </w:rPr>
      </w:pPr>
      <w:r w:rsidRPr="007A409B">
        <w:rPr>
          <w:rFonts w:asciiTheme="majorBidi" w:hAnsiTheme="majorBidi" w:cstheme="majorBidi"/>
          <w:sz w:val="20"/>
          <w:szCs w:val="20"/>
        </w:rPr>
        <w:t>The Central Archives for the History of the Jewish People (CAHJP) HM 2 5206: “</w:t>
      </w:r>
      <w:r w:rsidRPr="007A409B">
        <w:rPr>
          <w:rFonts w:asciiTheme="majorBidi" w:hAnsiTheme="majorBidi" w:cstheme="majorBidi"/>
          <w:i/>
          <w:iCs/>
          <w:sz w:val="20"/>
          <w:szCs w:val="20"/>
        </w:rPr>
        <w:t xml:space="preserve">Plan de reorganisation de </w:t>
      </w:r>
      <w:proofErr w:type="spellStart"/>
      <w:r w:rsidRPr="007A409B">
        <w:rPr>
          <w:rFonts w:asciiTheme="majorBidi" w:hAnsiTheme="majorBidi" w:cstheme="majorBidi"/>
          <w:i/>
          <w:iCs/>
          <w:sz w:val="20"/>
          <w:szCs w:val="20"/>
        </w:rPr>
        <w:t>l'Instruction</w:t>
      </w:r>
      <w:proofErr w:type="spellEnd"/>
      <w:r w:rsidRPr="007A409B">
        <w:rPr>
          <w:rFonts w:asciiTheme="majorBidi" w:hAnsiTheme="majorBidi" w:cstheme="majorBidi"/>
          <w:i/>
          <w:iCs/>
          <w:sz w:val="20"/>
          <w:szCs w:val="20"/>
        </w:rPr>
        <w:t xml:space="preserve"> Religieuse et du </w:t>
      </w:r>
      <w:proofErr w:type="spellStart"/>
      <w:r w:rsidRPr="007A409B">
        <w:rPr>
          <w:rFonts w:asciiTheme="majorBidi" w:hAnsiTheme="majorBidi" w:cstheme="majorBidi"/>
          <w:i/>
          <w:iCs/>
          <w:sz w:val="20"/>
          <w:szCs w:val="20"/>
        </w:rPr>
        <w:t>Rabbinat</w:t>
      </w:r>
      <w:proofErr w:type="spellEnd"/>
      <w:r w:rsidRPr="007A409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7A409B">
        <w:rPr>
          <w:rFonts w:asciiTheme="majorBidi" w:hAnsiTheme="majorBidi" w:cstheme="majorBidi"/>
          <w:i/>
          <w:iCs/>
          <w:sz w:val="20"/>
          <w:szCs w:val="20"/>
        </w:rPr>
        <w:t>Indigène</w:t>
      </w:r>
      <w:proofErr w:type="spellEnd"/>
      <w:r w:rsidRPr="007A409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7A409B">
        <w:rPr>
          <w:rFonts w:asciiTheme="majorBidi" w:hAnsiTheme="majorBidi" w:cstheme="majorBidi"/>
          <w:i/>
          <w:iCs/>
          <w:sz w:val="20"/>
          <w:szCs w:val="20"/>
        </w:rPr>
        <w:t>en</w:t>
      </w:r>
      <w:proofErr w:type="spellEnd"/>
      <w:r w:rsidRPr="007A409B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7A409B">
        <w:rPr>
          <w:rFonts w:asciiTheme="majorBidi" w:hAnsiTheme="majorBidi" w:cstheme="majorBidi"/>
          <w:i/>
          <w:iCs/>
          <w:sz w:val="20"/>
          <w:szCs w:val="20"/>
        </w:rPr>
        <w:t>Algérie</w:t>
      </w:r>
      <w:proofErr w:type="spellEnd"/>
      <w:r w:rsidRPr="007A409B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proofErr w:type="spellStart"/>
      <w:r w:rsidRPr="007A409B">
        <w:rPr>
          <w:rFonts w:asciiTheme="majorBidi" w:hAnsiTheme="majorBidi" w:cstheme="majorBidi"/>
          <w:i/>
          <w:iCs/>
          <w:sz w:val="20"/>
          <w:szCs w:val="20"/>
        </w:rPr>
        <w:t>présenté</w:t>
      </w:r>
      <w:proofErr w:type="spellEnd"/>
      <w:r w:rsidRPr="007A409B">
        <w:rPr>
          <w:rFonts w:asciiTheme="majorBidi" w:hAnsiTheme="majorBidi" w:cstheme="majorBidi"/>
          <w:i/>
          <w:iCs/>
          <w:sz w:val="20"/>
          <w:szCs w:val="20"/>
        </w:rPr>
        <w:t xml:space="preserve"> par I. Bloch, Grand </w:t>
      </w:r>
      <w:proofErr w:type="spellStart"/>
      <w:r w:rsidRPr="007A409B">
        <w:rPr>
          <w:rFonts w:asciiTheme="majorBidi" w:hAnsiTheme="majorBidi" w:cstheme="majorBidi"/>
          <w:i/>
          <w:iCs/>
          <w:sz w:val="20"/>
          <w:szCs w:val="20"/>
        </w:rPr>
        <w:t>Rabbin</w:t>
      </w:r>
      <w:proofErr w:type="spellEnd"/>
      <w:r w:rsidRPr="007A409B">
        <w:rPr>
          <w:rFonts w:asciiTheme="majorBidi" w:hAnsiTheme="majorBidi" w:cstheme="majorBidi"/>
          <w:i/>
          <w:iCs/>
          <w:sz w:val="20"/>
          <w:szCs w:val="20"/>
        </w:rPr>
        <w:t xml:space="preserve"> de Nancy, 10.1.1913</w:t>
      </w:r>
      <w:r w:rsidRPr="007A409B">
        <w:rPr>
          <w:rFonts w:asciiTheme="majorBidi" w:hAnsiTheme="majorBidi" w:cstheme="majorBidi"/>
          <w:sz w:val="20"/>
          <w:szCs w:val="20"/>
        </w:rPr>
        <w:t>.”</w:t>
      </w:r>
      <w:r w:rsidRPr="007A409B">
        <w:rPr>
          <w:rFonts w:asciiTheme="majorBidi" w:hAnsiTheme="majorBidi" w:cstheme="majorBidi"/>
          <w:sz w:val="20"/>
          <w:szCs w:val="20"/>
          <w:rtl/>
        </w:rPr>
        <w:t xml:space="preserve"> </w:t>
      </w:r>
      <w:proofErr w:type="spellStart"/>
      <w:r w:rsidRPr="007A409B">
        <w:rPr>
          <w:rFonts w:asciiTheme="majorBidi" w:hAnsiTheme="majorBidi" w:cstheme="majorBidi"/>
          <w:sz w:val="20"/>
          <w:szCs w:val="20"/>
        </w:rPr>
        <w:t>i</w:t>
      </w:r>
      <w:proofErr w:type="spellEnd"/>
      <w:r w:rsidRPr="007A409B">
        <w:rPr>
          <w:rFonts w:asciiTheme="majorBidi" w:hAnsiTheme="majorBidi" w:cstheme="majorBidi"/>
          <w:sz w:val="20"/>
          <w:szCs w:val="20"/>
        </w:rPr>
        <w:t>, “The struggle for Jewish Emancipation in Algeria after the French occupation</w:t>
      </w:r>
      <w:r>
        <w:rPr>
          <w:rFonts w:asciiTheme="majorBidi" w:hAnsiTheme="majorBidi" w:cstheme="majorBidi"/>
          <w:sz w:val="20"/>
          <w:szCs w:val="20"/>
          <w:lang w:val="en-US"/>
        </w:rPr>
        <w:t>,</w:t>
      </w:r>
      <w:r w:rsidRPr="007A409B">
        <w:rPr>
          <w:rFonts w:asciiTheme="majorBidi" w:hAnsiTheme="majorBidi" w:cstheme="majorBidi"/>
          <w:sz w:val="20"/>
          <w:szCs w:val="20"/>
        </w:rPr>
        <w:t xml:space="preserve">” in </w:t>
      </w:r>
      <w:r w:rsidRPr="007A409B">
        <w:rPr>
          <w:rFonts w:asciiTheme="majorBidi" w:hAnsiTheme="majorBidi" w:cstheme="majorBidi"/>
          <w:i/>
          <w:iCs/>
          <w:sz w:val="20"/>
          <w:szCs w:val="20"/>
        </w:rPr>
        <w:t>Historia Judaica XVIII,</w:t>
      </w:r>
      <w:r w:rsidRPr="007A409B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7A409B">
        <w:rPr>
          <w:rFonts w:asciiTheme="majorBidi" w:hAnsiTheme="majorBidi" w:cstheme="majorBidi"/>
          <w:sz w:val="20"/>
          <w:szCs w:val="20"/>
        </w:rPr>
        <w:t>1956, pp. 27</w:t>
      </w:r>
      <w:r w:rsidRPr="007A409B">
        <w:rPr>
          <w:rFonts w:asciiTheme="majorBidi" w:hAnsiTheme="majorBidi" w:cstheme="majorBidi"/>
          <w:i/>
          <w:iCs/>
          <w:sz w:val="20"/>
          <w:szCs w:val="20"/>
        </w:rPr>
        <w:t>–</w:t>
      </w:r>
      <w:commentRangeStart w:id="12"/>
      <w:commentRangeStart w:id="13"/>
      <w:r w:rsidRPr="007A409B">
        <w:rPr>
          <w:rFonts w:asciiTheme="majorBidi" w:hAnsiTheme="majorBidi" w:cstheme="majorBidi"/>
          <w:sz w:val="20"/>
          <w:szCs w:val="20"/>
        </w:rPr>
        <w:t>40</w:t>
      </w:r>
      <w:commentRangeEnd w:id="12"/>
      <w:r>
        <w:rPr>
          <w:rStyle w:val="CommentReference"/>
        </w:rPr>
        <w:commentReference w:id="12"/>
      </w:r>
      <w:commentRangeEnd w:id="13"/>
      <w:r>
        <w:rPr>
          <w:rStyle w:val="CommentReference"/>
        </w:rPr>
        <w:commentReference w:id="13"/>
      </w:r>
      <w:r>
        <w:rPr>
          <w:rFonts w:asciiTheme="majorBidi" w:hAnsiTheme="majorBidi" w:cstheme="majorBidi"/>
          <w:sz w:val="20"/>
          <w:szCs w:val="20"/>
          <w:lang w:val="en-US"/>
        </w:rPr>
        <w:t>.</w:t>
      </w:r>
    </w:p>
    <w:p w14:paraId="0E813070" w14:textId="77777777" w:rsidR="00B34FFC" w:rsidRPr="00B34FFC" w:rsidRDefault="00B34FFC" w:rsidP="00B34FFC">
      <w:pPr>
        <w:pStyle w:val="FootnoteText"/>
        <w:bidi w:val="0"/>
        <w:jc w:val="both"/>
        <w:rPr>
          <w:lang w:val="en-IL"/>
        </w:rPr>
      </w:pPr>
    </w:p>
    <w:p w14:paraId="385B1DD4" w14:textId="139977DC" w:rsidR="002634FA" w:rsidRDefault="002634FA" w:rsidP="002634FA">
      <w:pPr>
        <w:pStyle w:val="FootnoteText"/>
        <w:bidi w:val="0"/>
        <w:jc w:val="both"/>
      </w:pPr>
      <w:r>
        <w:t xml:space="preserve">The Central Archives for the History of the Jewish People (CAHJP) </w:t>
      </w:r>
      <w:r w:rsidRPr="00030349">
        <w:t>HM 2 5</w:t>
      </w:r>
      <w:r>
        <w:t>898</w:t>
      </w:r>
      <w:r>
        <w:t>.</w:t>
      </w:r>
    </w:p>
    <w:p w14:paraId="365AAF88" w14:textId="77777777" w:rsidR="002634FA" w:rsidRDefault="002634FA" w:rsidP="002634FA">
      <w:pPr>
        <w:pStyle w:val="FootnoteText"/>
        <w:bidi w:val="0"/>
        <w:jc w:val="both"/>
      </w:pPr>
    </w:p>
    <w:p w14:paraId="6527964F" w14:textId="7B0C8578" w:rsidR="0035208C" w:rsidRDefault="0035208C" w:rsidP="0035208C">
      <w:pPr>
        <w:pStyle w:val="FootnoteText"/>
        <w:bidi w:val="0"/>
        <w:jc w:val="both"/>
      </w:pPr>
      <w:r>
        <w:t>The Central Archives for the History of the Jewish People (CAHJP) HM 2 5898 a, b</w:t>
      </w:r>
      <w:r w:rsidR="002634FA">
        <w:t>.</w:t>
      </w:r>
      <w:r>
        <w:t xml:space="preserve"> </w:t>
      </w:r>
    </w:p>
    <w:p w14:paraId="2A694A40" w14:textId="24524441" w:rsidR="002634FA" w:rsidRDefault="002634FA" w:rsidP="002634FA">
      <w:pPr>
        <w:pStyle w:val="FootnoteText"/>
        <w:bidi w:val="0"/>
        <w:jc w:val="both"/>
      </w:pPr>
    </w:p>
    <w:p w14:paraId="4882DE95" w14:textId="71BE2C91" w:rsidR="002634FA" w:rsidRDefault="002634FA" w:rsidP="002634FA">
      <w:pPr>
        <w:pStyle w:val="FootnoteText"/>
        <w:bidi w:val="0"/>
        <w:jc w:val="both"/>
      </w:pPr>
      <w:r>
        <w:t xml:space="preserve">The Central Archives for the History of the Jewish People (CAHJP) AL 3, p. 205; </w:t>
      </w:r>
    </w:p>
    <w:p w14:paraId="27C0B5FB" w14:textId="2712290A" w:rsidR="00B34FFC" w:rsidRDefault="00B34FFC" w:rsidP="00B34FFC">
      <w:pPr>
        <w:pStyle w:val="FootnoteText"/>
        <w:bidi w:val="0"/>
        <w:jc w:val="both"/>
      </w:pPr>
    </w:p>
    <w:p w14:paraId="36A05B3D" w14:textId="77777777" w:rsidR="00B34FFC" w:rsidRDefault="00B34FFC" w:rsidP="00B34FFC">
      <w:pPr>
        <w:pStyle w:val="FootnoteText"/>
        <w:bidi w:val="0"/>
        <w:jc w:val="both"/>
      </w:pPr>
      <w:r>
        <w:t xml:space="preserve">The Central Archives for the History of the Jewish People (CAHJP) AL3, p. 159 (10.11.1878); </w:t>
      </w:r>
    </w:p>
    <w:p w14:paraId="40D913AB" w14:textId="77777777" w:rsidR="00B34FFC" w:rsidRDefault="00B34FFC" w:rsidP="00B34FFC">
      <w:pPr>
        <w:pStyle w:val="FootnoteText"/>
        <w:bidi w:val="0"/>
        <w:jc w:val="both"/>
      </w:pPr>
    </w:p>
    <w:p w14:paraId="62D45F29" w14:textId="77777777" w:rsidR="00B34FFC" w:rsidRDefault="00B34FFC" w:rsidP="00B34FFC">
      <w:pPr>
        <w:pStyle w:val="FootnoteText"/>
        <w:bidi w:val="0"/>
        <w:jc w:val="both"/>
      </w:pPr>
      <w:r>
        <w:t xml:space="preserve">The Central Archives for the History of the Jewish People (CAHJP) AL4, pp. 47, 89, 95; </w:t>
      </w:r>
    </w:p>
    <w:p w14:paraId="08539226" w14:textId="77777777" w:rsidR="00B34FFC" w:rsidRDefault="00B34FFC" w:rsidP="00B34FFC">
      <w:pPr>
        <w:pStyle w:val="FootnoteText"/>
        <w:bidi w:val="0"/>
        <w:jc w:val="both"/>
      </w:pPr>
    </w:p>
    <w:p w14:paraId="091A5EA6" w14:textId="77777777" w:rsidR="00B34FFC" w:rsidRDefault="00B34FFC" w:rsidP="00B34FFC">
      <w:pPr>
        <w:pStyle w:val="FootnoteText"/>
        <w:bidi w:val="0"/>
        <w:jc w:val="both"/>
      </w:pPr>
      <w:r>
        <w:t xml:space="preserve">The Central Archives for the History of the Jewish People (CAHJP) AL5; </w:t>
      </w:r>
    </w:p>
    <w:p w14:paraId="7EBD29B7" w14:textId="77777777" w:rsidR="00B34FFC" w:rsidRDefault="00B34FFC" w:rsidP="00B34FFC">
      <w:pPr>
        <w:pStyle w:val="FootnoteText"/>
        <w:bidi w:val="0"/>
        <w:jc w:val="both"/>
      </w:pPr>
    </w:p>
    <w:p w14:paraId="031144A3" w14:textId="77777777" w:rsidR="002634FA" w:rsidRDefault="002634FA" w:rsidP="002634FA">
      <w:pPr>
        <w:pStyle w:val="FootnoteText"/>
        <w:bidi w:val="0"/>
        <w:jc w:val="both"/>
      </w:pPr>
    </w:p>
    <w:p w14:paraId="2AC49E24" w14:textId="47947E1F" w:rsidR="0035208C" w:rsidRDefault="0035208C" w:rsidP="002634FA">
      <w:pPr>
        <w:pStyle w:val="FootnoteText"/>
        <w:bidi w:val="0"/>
        <w:jc w:val="both"/>
      </w:pPr>
      <w:r>
        <w:t>The Central Archives for the History of the Jewish People (CAHJP) HM AL 7, p. 27 (30.10.1912), pp. 233, 240–250, 255</w:t>
      </w:r>
      <w:r w:rsidR="002634FA">
        <w:t>.</w:t>
      </w:r>
      <w:r>
        <w:t xml:space="preserve"> </w:t>
      </w:r>
    </w:p>
    <w:p w14:paraId="53F3848C" w14:textId="77777777" w:rsidR="0035208C" w:rsidRDefault="0035208C" w:rsidP="0035208C">
      <w:pPr>
        <w:pStyle w:val="FootnoteText"/>
        <w:bidi w:val="0"/>
        <w:jc w:val="both"/>
      </w:pPr>
    </w:p>
    <w:p w14:paraId="4030D4E9" w14:textId="77777777" w:rsidR="0035208C" w:rsidRDefault="0035208C" w:rsidP="0035208C">
      <w:pPr>
        <w:pStyle w:val="FootnoteText"/>
        <w:bidi w:val="0"/>
        <w:jc w:val="both"/>
      </w:pPr>
      <w:r>
        <w:t>The Central Archives for the History of the Jewish People (CAHJP) AL 8, p. 72.</w:t>
      </w:r>
      <w:r w:rsidRPr="009F1E24">
        <w:t xml:space="preserve"> </w:t>
      </w:r>
    </w:p>
    <w:p w14:paraId="2C64D79F" w14:textId="77777777" w:rsidR="0035208C" w:rsidRDefault="0035208C" w:rsidP="0035208C">
      <w:pPr>
        <w:pStyle w:val="FootnoteText"/>
        <w:bidi w:val="0"/>
        <w:jc w:val="both"/>
      </w:pPr>
    </w:p>
    <w:p w14:paraId="19314EFC" w14:textId="77777777" w:rsidR="0035208C" w:rsidRDefault="0035208C" w:rsidP="0035208C">
      <w:pPr>
        <w:pStyle w:val="FootnoteText"/>
        <w:bidi w:val="0"/>
        <w:jc w:val="both"/>
      </w:pPr>
      <w:r>
        <w:t xml:space="preserve">The Central Archives for the History of the Jewish People (CAHJP) AL 7, pp. 6, 198, 200, 233, 317; </w:t>
      </w:r>
    </w:p>
    <w:p w14:paraId="13AFD079" w14:textId="77777777" w:rsidR="0035208C" w:rsidRDefault="0035208C" w:rsidP="0035208C">
      <w:pPr>
        <w:pStyle w:val="FootnoteText"/>
        <w:bidi w:val="0"/>
        <w:jc w:val="both"/>
      </w:pPr>
    </w:p>
    <w:p w14:paraId="21F90A2E" w14:textId="7E7F859B" w:rsidR="00A21CB6" w:rsidRDefault="00A21CB6" w:rsidP="00A21CB6">
      <w:pPr>
        <w:pStyle w:val="FootnoteText"/>
        <w:bidi w:val="0"/>
      </w:pPr>
      <w:r>
        <w:t xml:space="preserve">The Central Archives for the History of the Jewish People (CAHJP) AL 7, pp. 10, 198, 239, </w:t>
      </w:r>
      <w:commentRangeStart w:id="14"/>
      <w:r>
        <w:t>317</w:t>
      </w:r>
      <w:commentRangeEnd w:id="14"/>
      <w:r w:rsidR="00004BFA">
        <w:rPr>
          <w:rStyle w:val="CommentReference"/>
          <w:rFonts w:asciiTheme="minorHAnsi" w:eastAsiaTheme="minorEastAsia" w:hAnsiTheme="minorHAnsi" w:cstheme="minorBidi"/>
          <w:lang w:val="en-IL" w:eastAsia="zh-CN"/>
        </w:rPr>
        <w:commentReference w:id="14"/>
      </w:r>
      <w:r w:rsidR="00004BFA">
        <w:t>.</w:t>
      </w:r>
      <w:r>
        <w:t xml:space="preserve"> </w:t>
      </w:r>
    </w:p>
    <w:p w14:paraId="4B2F12BF" w14:textId="67EF05EC" w:rsidR="00C25E57" w:rsidRDefault="00C25E57" w:rsidP="00C25E57">
      <w:pPr>
        <w:pStyle w:val="FootnoteText"/>
        <w:bidi w:val="0"/>
      </w:pPr>
    </w:p>
    <w:p w14:paraId="5D7CC1B5" w14:textId="0222DDD9" w:rsidR="002634FA" w:rsidRDefault="002634FA" w:rsidP="002634FA">
      <w:pPr>
        <w:pStyle w:val="FootnoteText"/>
        <w:bidi w:val="0"/>
        <w:jc w:val="both"/>
      </w:pPr>
      <w:r>
        <w:t>The Central Archives for the History of the Jewish People (CAHJP) AL 9, p. 10.</w:t>
      </w:r>
    </w:p>
    <w:p w14:paraId="0EA588E1" w14:textId="77777777" w:rsidR="002634FA" w:rsidRDefault="002634FA" w:rsidP="002634FA">
      <w:pPr>
        <w:pStyle w:val="FootnoteText"/>
        <w:bidi w:val="0"/>
        <w:jc w:val="both"/>
      </w:pPr>
    </w:p>
    <w:p w14:paraId="0CF744DD" w14:textId="3A763F0C" w:rsidR="002634FA" w:rsidRDefault="002634FA" w:rsidP="002634FA">
      <w:pPr>
        <w:pStyle w:val="FootnoteText"/>
        <w:bidi w:val="0"/>
        <w:jc w:val="both"/>
      </w:pPr>
      <w:r>
        <w:t>The Central Archives for the History of the Jewish People (CAHJP) AL 9, p. 14</w:t>
      </w:r>
      <w:r>
        <w:t>.</w:t>
      </w:r>
      <w:r>
        <w:t xml:space="preserve"> </w:t>
      </w:r>
    </w:p>
    <w:p w14:paraId="41C27DC4" w14:textId="77777777" w:rsidR="002634FA" w:rsidRDefault="002634FA" w:rsidP="002634FA">
      <w:pPr>
        <w:pStyle w:val="FootnoteText"/>
        <w:bidi w:val="0"/>
        <w:jc w:val="both"/>
      </w:pPr>
    </w:p>
    <w:p w14:paraId="5C69E1D9" w14:textId="29EE6F6D" w:rsidR="00C25E57" w:rsidRDefault="002634FA" w:rsidP="002634FA">
      <w:pPr>
        <w:pStyle w:val="FootnoteText"/>
        <w:bidi w:val="0"/>
        <w:jc w:val="both"/>
      </w:pPr>
      <w:r>
        <w:t>The Central Archives for the History of the Jewish People (CAHJP) AL 10</w:t>
      </w:r>
      <w:r>
        <w:t xml:space="preserve">, </w:t>
      </w:r>
      <w:r w:rsidR="00C25E57">
        <w:t>a, b</w:t>
      </w:r>
      <w:r>
        <w:t>.</w:t>
      </w:r>
      <w:r w:rsidR="00C25E57">
        <w:t xml:space="preserve"> </w:t>
      </w:r>
    </w:p>
    <w:p w14:paraId="09A13080" w14:textId="77777777" w:rsidR="004A2BD4" w:rsidRDefault="004A2BD4" w:rsidP="004A2BD4">
      <w:pPr>
        <w:pStyle w:val="FootnoteText"/>
        <w:bidi w:val="0"/>
        <w:jc w:val="both"/>
      </w:pPr>
      <w:proofErr w:type="spellStart"/>
      <w:r w:rsidRPr="0029165A">
        <w:t>Charvit</w:t>
      </w:r>
      <w:proofErr w:type="spellEnd"/>
      <w:r w:rsidRPr="0029165A">
        <w:t>, Y. 2019</w:t>
      </w:r>
      <w:r>
        <w:t xml:space="preserve">. </w:t>
      </w:r>
      <w:r w:rsidRPr="0029165A">
        <w:rPr>
          <w:i/>
          <w:iCs/>
        </w:rPr>
        <w:t>Hebraism and Beyond,</w:t>
      </w:r>
      <w:r>
        <w:rPr>
          <w:i/>
          <w:iCs/>
        </w:rPr>
        <w:t xml:space="preserve"> </w:t>
      </w:r>
      <w:r w:rsidRPr="0029165A">
        <w:rPr>
          <w:i/>
          <w:iCs/>
        </w:rPr>
        <w:t xml:space="preserve">An Intellectual Portrait of Rabbi Y. L. </w:t>
      </w:r>
      <w:proofErr w:type="spellStart"/>
      <w:r w:rsidRPr="0029165A">
        <w:rPr>
          <w:i/>
          <w:iCs/>
        </w:rPr>
        <w:t>Askénazi</w:t>
      </w:r>
      <w:proofErr w:type="spellEnd"/>
      <w:r w:rsidRPr="0029165A">
        <w:rPr>
          <w:i/>
          <w:iCs/>
        </w:rPr>
        <w:t xml:space="preserve"> (Manitou)</w:t>
      </w:r>
      <w:r w:rsidRPr="0029165A">
        <w:t>, (1922</w:t>
      </w:r>
      <w:r>
        <w:t>–</w:t>
      </w:r>
      <w:r w:rsidRPr="0029165A">
        <w:t>1996), Tel</w:t>
      </w:r>
      <w:r>
        <w:t xml:space="preserve"> </w:t>
      </w:r>
      <w:r w:rsidRPr="0029165A">
        <w:t>Aviv</w:t>
      </w:r>
      <w:r>
        <w:t xml:space="preserve">: </w:t>
      </w:r>
      <w:proofErr w:type="spellStart"/>
      <w:r>
        <w:t>Idra</w:t>
      </w:r>
      <w:proofErr w:type="spellEnd"/>
      <w:r>
        <w:t xml:space="preserve"> Press (Hebrew).</w:t>
      </w:r>
    </w:p>
    <w:p w14:paraId="07CE4FA8" w14:textId="77777777" w:rsidR="004A2BD4" w:rsidRDefault="004A2BD4" w:rsidP="004A2BD4">
      <w:pPr>
        <w:pStyle w:val="FootnoteText"/>
        <w:bidi w:val="0"/>
        <w:jc w:val="both"/>
      </w:pPr>
    </w:p>
    <w:p w14:paraId="6F96DE4F" w14:textId="40AD45C5" w:rsidR="004A2BD4" w:rsidRDefault="004A2BD4" w:rsidP="004A2BD4">
      <w:pPr>
        <w:pStyle w:val="FootnoteText"/>
        <w:bidi w:val="0"/>
        <w:jc w:val="both"/>
      </w:pPr>
      <w:proofErr w:type="spellStart"/>
      <w:r>
        <w:t>Cgarvutm</w:t>
      </w:r>
      <w:proofErr w:type="spellEnd"/>
      <w:r>
        <w:t xml:space="preserve">. </w:t>
      </w:r>
      <w:commentRangeStart w:id="15"/>
      <w:r>
        <w:t>2019</w:t>
      </w:r>
      <w:commentRangeEnd w:id="15"/>
      <w:r>
        <w:rPr>
          <w:rStyle w:val="CommentReference"/>
          <w:rFonts w:asciiTheme="minorHAnsi" w:eastAsiaTheme="minorEastAsia" w:hAnsiTheme="minorHAnsi" w:cstheme="minorBidi"/>
          <w:lang w:val="en-IL" w:eastAsia="zh-CN"/>
        </w:rPr>
        <w:commentReference w:id="15"/>
      </w:r>
      <w:r>
        <w:t>.</w:t>
      </w:r>
    </w:p>
    <w:p w14:paraId="525A7A85" w14:textId="77777777" w:rsidR="004A2BD4" w:rsidRPr="002A0784" w:rsidRDefault="004A2BD4" w:rsidP="004A2BD4">
      <w:pPr>
        <w:pStyle w:val="FootnoteText"/>
        <w:bidi w:val="0"/>
        <w:jc w:val="both"/>
      </w:pPr>
    </w:p>
    <w:p w14:paraId="10D29981" w14:textId="77777777" w:rsidR="004A2BD4" w:rsidRDefault="004A2BD4" w:rsidP="004A2BD4">
      <w:pPr>
        <w:pStyle w:val="FootnoteText"/>
        <w:bidi w:val="0"/>
      </w:pPr>
      <w:proofErr w:type="spellStart"/>
      <w:r>
        <w:t>Charvit</w:t>
      </w:r>
      <w:proofErr w:type="spellEnd"/>
      <w:r>
        <w:t>, Y. 2019. “</w:t>
      </w:r>
      <w:proofErr w:type="spellStart"/>
      <w:r>
        <w:t>Inventaire</w:t>
      </w:r>
      <w:proofErr w:type="spellEnd"/>
      <w:r>
        <w:t xml:space="preserve"> de la production </w:t>
      </w:r>
      <w:proofErr w:type="spellStart"/>
      <w:r>
        <w:t>litt</w:t>
      </w:r>
      <w:r>
        <w:rPr>
          <w:rFonts w:ascii="EucrosiaUPC" w:cs="EucrosiaUPC" w:hint="cs"/>
        </w:rPr>
        <w:t>é</w:t>
      </w:r>
      <w:r>
        <w:t>raire</w:t>
      </w:r>
      <w:proofErr w:type="spellEnd"/>
      <w:r>
        <w:t xml:space="preserve"> </w:t>
      </w:r>
      <w:proofErr w:type="spellStart"/>
      <w:r>
        <w:t>rabbinique</w:t>
      </w:r>
      <w:proofErr w:type="spellEnd"/>
      <w:r>
        <w:t>.” In</w:t>
      </w:r>
      <w:r w:rsidRPr="00974ED4">
        <w:t xml:space="preserve"> </w:t>
      </w:r>
      <w:r w:rsidRPr="00974ED4">
        <w:rPr>
          <w:i/>
          <w:iCs/>
        </w:rPr>
        <w:t xml:space="preserve">Les </w:t>
      </w:r>
      <w:proofErr w:type="spellStart"/>
      <w:r w:rsidRPr="00974ED4">
        <w:rPr>
          <w:i/>
          <w:iCs/>
        </w:rPr>
        <w:t>Juifs</w:t>
      </w:r>
      <w:proofErr w:type="spellEnd"/>
      <w:r w:rsidRPr="00974ED4">
        <w:rPr>
          <w:i/>
          <w:iCs/>
        </w:rPr>
        <w:t xml:space="preserve"> </w:t>
      </w:r>
      <w:proofErr w:type="spellStart"/>
      <w:r w:rsidRPr="00974ED4">
        <w:rPr>
          <w:i/>
          <w:iCs/>
        </w:rPr>
        <w:t>d’Algérie</w:t>
      </w:r>
      <w:proofErr w:type="spellEnd"/>
      <w:r w:rsidRPr="00974ED4">
        <w:rPr>
          <w:i/>
          <w:iCs/>
        </w:rPr>
        <w:t xml:space="preserve">: </w:t>
      </w:r>
      <w:proofErr w:type="spellStart"/>
      <w:r w:rsidRPr="00974ED4">
        <w:rPr>
          <w:i/>
          <w:iCs/>
        </w:rPr>
        <w:t>Historiographie</w:t>
      </w:r>
      <w:proofErr w:type="spellEnd"/>
      <w:r w:rsidRPr="00974ED4">
        <w:rPr>
          <w:i/>
          <w:iCs/>
        </w:rPr>
        <w:t xml:space="preserve">, </w:t>
      </w:r>
      <w:proofErr w:type="spellStart"/>
      <w:r w:rsidRPr="00974ED4">
        <w:rPr>
          <w:i/>
          <w:iCs/>
        </w:rPr>
        <w:t>Méthodologie</w:t>
      </w:r>
      <w:proofErr w:type="spellEnd"/>
      <w:r w:rsidRPr="00974ED4">
        <w:rPr>
          <w:i/>
          <w:iCs/>
        </w:rPr>
        <w:t xml:space="preserve">, Tradition et </w:t>
      </w:r>
      <w:proofErr w:type="spellStart"/>
      <w:r w:rsidRPr="00974ED4">
        <w:rPr>
          <w:i/>
          <w:iCs/>
        </w:rPr>
        <w:t>Modernité</w:t>
      </w:r>
      <w:proofErr w:type="spellEnd"/>
      <w:r w:rsidRPr="00974ED4">
        <w:rPr>
          <w:i/>
          <w:iCs/>
        </w:rPr>
        <w:t xml:space="preserve"> (</w:t>
      </w:r>
      <w:commentRangeStart w:id="16"/>
      <w:r w:rsidRPr="00974ED4">
        <w:rPr>
          <w:i/>
          <w:iCs/>
        </w:rPr>
        <w:t>1750</w:t>
      </w:r>
      <w:commentRangeEnd w:id="16"/>
      <w:r>
        <w:rPr>
          <w:rStyle w:val="CommentReference"/>
          <w:rFonts w:asciiTheme="minorHAnsi" w:eastAsiaTheme="minorEastAsia" w:hAnsiTheme="minorHAnsi" w:cstheme="minorBidi"/>
          <w:lang w:val="en-IL" w:eastAsia="zh-CN"/>
        </w:rPr>
        <w:commentReference w:id="16"/>
      </w:r>
      <w:r>
        <w:t>–</w:t>
      </w:r>
      <w:r w:rsidRPr="00974ED4">
        <w:rPr>
          <w:i/>
          <w:iCs/>
        </w:rPr>
        <w:t>1914)</w:t>
      </w:r>
      <w:r w:rsidRPr="00974ED4">
        <w:rPr>
          <w:b/>
          <w:bCs/>
          <w:i/>
          <w:iCs/>
        </w:rPr>
        <w:t>,</w:t>
      </w:r>
      <w:r w:rsidRPr="00974ED4">
        <w:rPr>
          <w:b/>
          <w:bCs/>
        </w:rPr>
        <w:t xml:space="preserve"> </w:t>
      </w:r>
      <w:r w:rsidRPr="00BB1E27">
        <w:t>e</w:t>
      </w:r>
      <w:r>
        <w:t xml:space="preserve">dited by </w:t>
      </w:r>
      <w:commentRangeStart w:id="17"/>
      <w:r>
        <w:t>Y</w:t>
      </w:r>
      <w:commentRangeEnd w:id="17"/>
      <w:r>
        <w:rPr>
          <w:rStyle w:val="CommentReference"/>
          <w:rFonts w:asciiTheme="minorHAnsi" w:eastAsiaTheme="minorEastAsia" w:hAnsiTheme="minorHAnsi" w:cstheme="minorBidi"/>
          <w:lang w:val="en-IL" w:eastAsia="zh-CN"/>
        </w:rPr>
        <w:commentReference w:id="17"/>
      </w:r>
      <w:r>
        <w:t xml:space="preserve">. </w:t>
      </w:r>
      <w:proofErr w:type="spellStart"/>
      <w:r>
        <w:t>Charvit</w:t>
      </w:r>
      <w:proofErr w:type="spellEnd"/>
      <w:r>
        <w:t>, 88–10.</w:t>
      </w:r>
      <w:r>
        <w:rPr>
          <w:rtl/>
        </w:rPr>
        <w:t xml:space="preserve"> </w:t>
      </w:r>
      <w:proofErr w:type="spellStart"/>
      <w:r w:rsidRPr="00974ED4">
        <w:t>Sarrebruck</w:t>
      </w:r>
      <w:proofErr w:type="spellEnd"/>
      <w:r>
        <w:t>:</w:t>
      </w:r>
      <w:r w:rsidRPr="00BB1E27">
        <w:t xml:space="preserve"> Editions</w:t>
      </w:r>
      <w:r w:rsidRPr="00974ED4">
        <w:t xml:space="preserve"> </w:t>
      </w:r>
      <w:proofErr w:type="spellStart"/>
      <w:r w:rsidRPr="00974ED4">
        <w:t>Universitaires</w:t>
      </w:r>
      <w:proofErr w:type="spellEnd"/>
      <w:r w:rsidRPr="00974ED4">
        <w:t xml:space="preserve"> </w:t>
      </w:r>
      <w:proofErr w:type="spellStart"/>
      <w:r w:rsidRPr="00974ED4">
        <w:t>Européennes</w:t>
      </w:r>
      <w:proofErr w:type="spellEnd"/>
      <w:r>
        <w:t>.</w:t>
      </w:r>
      <w:r w:rsidRPr="00974ED4">
        <w:t xml:space="preserve"> </w:t>
      </w:r>
    </w:p>
    <w:p w14:paraId="7A57A98D" w14:textId="77777777" w:rsidR="004A2BD4" w:rsidRDefault="004A2BD4" w:rsidP="004A2BD4">
      <w:pPr>
        <w:pStyle w:val="FootnoteText"/>
        <w:bidi w:val="0"/>
      </w:pPr>
    </w:p>
    <w:p w14:paraId="10106F33" w14:textId="77777777" w:rsidR="004A2BD4" w:rsidRDefault="004A2BD4" w:rsidP="004A2BD4">
      <w:pPr>
        <w:pStyle w:val="FootnoteText"/>
        <w:bidi w:val="0"/>
      </w:pPr>
      <w:proofErr w:type="spellStart"/>
      <w:r w:rsidRPr="003D1421">
        <w:t>Charvit</w:t>
      </w:r>
      <w:proofErr w:type="spellEnd"/>
      <w:r w:rsidRPr="003D1421">
        <w:t>, Y. 2019</w:t>
      </w:r>
      <w:r>
        <w:t xml:space="preserve">. </w:t>
      </w:r>
      <w:r w:rsidRPr="003D1421">
        <w:rPr>
          <w:i/>
          <w:iCs/>
        </w:rPr>
        <w:t xml:space="preserve">Les </w:t>
      </w:r>
      <w:proofErr w:type="spellStart"/>
      <w:r w:rsidRPr="003D1421">
        <w:rPr>
          <w:i/>
          <w:iCs/>
        </w:rPr>
        <w:t>Juifs</w:t>
      </w:r>
      <w:proofErr w:type="spellEnd"/>
      <w:r w:rsidRPr="003D1421">
        <w:rPr>
          <w:i/>
          <w:iCs/>
        </w:rPr>
        <w:t xml:space="preserve"> </w:t>
      </w:r>
      <w:proofErr w:type="spellStart"/>
      <w:r w:rsidRPr="003D1421">
        <w:rPr>
          <w:i/>
          <w:iCs/>
        </w:rPr>
        <w:t>d’Algérie</w:t>
      </w:r>
      <w:proofErr w:type="spellEnd"/>
      <w:r w:rsidRPr="003D1421">
        <w:rPr>
          <w:i/>
          <w:iCs/>
        </w:rPr>
        <w:t xml:space="preserve">: </w:t>
      </w:r>
      <w:proofErr w:type="spellStart"/>
      <w:r w:rsidRPr="003D1421">
        <w:rPr>
          <w:i/>
          <w:iCs/>
        </w:rPr>
        <w:t>Historiographie</w:t>
      </w:r>
      <w:proofErr w:type="spellEnd"/>
      <w:r w:rsidRPr="003D1421">
        <w:rPr>
          <w:i/>
          <w:iCs/>
        </w:rPr>
        <w:t xml:space="preserve">, </w:t>
      </w:r>
      <w:proofErr w:type="spellStart"/>
      <w:r w:rsidRPr="003D1421">
        <w:rPr>
          <w:i/>
          <w:iCs/>
        </w:rPr>
        <w:t>Méthodologie</w:t>
      </w:r>
      <w:proofErr w:type="spellEnd"/>
      <w:r w:rsidRPr="003D1421">
        <w:rPr>
          <w:i/>
          <w:iCs/>
        </w:rPr>
        <w:t xml:space="preserve">, Tradition et </w:t>
      </w:r>
      <w:proofErr w:type="spellStart"/>
      <w:r w:rsidRPr="003D1421">
        <w:rPr>
          <w:i/>
          <w:iCs/>
        </w:rPr>
        <w:t>Modernité</w:t>
      </w:r>
      <w:proofErr w:type="spellEnd"/>
      <w:r w:rsidRPr="003D1421">
        <w:rPr>
          <w:i/>
          <w:iCs/>
        </w:rPr>
        <w:t xml:space="preserve"> (1750</w:t>
      </w:r>
      <w:r>
        <w:rPr>
          <w:i/>
          <w:iCs/>
        </w:rPr>
        <w:t>–</w:t>
      </w:r>
      <w:r w:rsidRPr="003D1421">
        <w:rPr>
          <w:i/>
          <w:iCs/>
        </w:rPr>
        <w:t>1914),</w:t>
      </w:r>
      <w:r w:rsidRPr="003D1421">
        <w:t xml:space="preserve"> </w:t>
      </w:r>
      <w:proofErr w:type="spellStart"/>
      <w:r w:rsidRPr="003D1421">
        <w:t>Sarrebruck</w:t>
      </w:r>
      <w:proofErr w:type="spellEnd"/>
      <w:r>
        <w:t>:</w:t>
      </w:r>
      <w:r w:rsidRPr="003D1421">
        <w:t xml:space="preserve"> Editions </w:t>
      </w:r>
      <w:proofErr w:type="spellStart"/>
      <w:r>
        <w:t>U</w:t>
      </w:r>
      <w:r w:rsidRPr="003D1421">
        <w:t>niversitaires</w:t>
      </w:r>
      <w:proofErr w:type="spellEnd"/>
      <w:r w:rsidRPr="003D1421">
        <w:t xml:space="preserve"> </w:t>
      </w:r>
      <w:proofErr w:type="spellStart"/>
      <w:r>
        <w:t>E</w:t>
      </w:r>
      <w:r w:rsidRPr="003D1421">
        <w:t>uropéennes</w:t>
      </w:r>
      <w:proofErr w:type="spellEnd"/>
      <w:r>
        <w:t>.</w:t>
      </w:r>
      <w:r w:rsidRPr="003D1421">
        <w:t xml:space="preserve"> 35</w:t>
      </w:r>
      <w:r>
        <w:t>–</w:t>
      </w:r>
      <w:commentRangeStart w:id="18"/>
      <w:r w:rsidRPr="003D1421">
        <w:t>50</w:t>
      </w:r>
      <w:commentRangeEnd w:id="18"/>
      <w:r>
        <w:rPr>
          <w:rStyle w:val="CommentReference"/>
          <w:rFonts w:asciiTheme="minorHAnsi" w:eastAsiaTheme="minorEastAsia" w:hAnsiTheme="minorHAnsi" w:cstheme="minorBidi"/>
          <w:lang w:val="en-IL" w:eastAsia="zh-CN"/>
        </w:rPr>
        <w:commentReference w:id="18"/>
      </w:r>
      <w:r>
        <w:t xml:space="preserve">; </w:t>
      </w:r>
      <w:r w:rsidRPr="006C5AC0">
        <w:t xml:space="preserve"> </w:t>
      </w:r>
      <w:r>
        <w:t>88–</w:t>
      </w:r>
      <w:commentRangeStart w:id="19"/>
      <w:r>
        <w:t>101</w:t>
      </w:r>
      <w:commentRangeStart w:id="20"/>
      <w:commentRangeEnd w:id="20"/>
      <w:r>
        <w:rPr>
          <w:rStyle w:val="CommentReference"/>
          <w:rFonts w:asciiTheme="minorHAnsi" w:eastAsiaTheme="minorEastAsia" w:hAnsiTheme="minorHAnsi" w:cstheme="minorBidi"/>
          <w:lang w:val="en-IL" w:eastAsia="zh-CN"/>
        </w:rPr>
        <w:commentReference w:id="20"/>
      </w:r>
      <w:commentRangeEnd w:id="19"/>
      <w:r>
        <w:rPr>
          <w:rStyle w:val="CommentReference"/>
          <w:rFonts w:asciiTheme="minorHAnsi" w:eastAsiaTheme="minorEastAsia" w:hAnsiTheme="minorHAnsi" w:cstheme="minorBidi"/>
          <w:lang w:val="en-IL" w:eastAsia="zh-CN"/>
        </w:rPr>
        <w:commentReference w:id="19"/>
      </w:r>
      <w:r w:rsidRPr="003D1421">
        <w:t>.</w:t>
      </w:r>
    </w:p>
    <w:p w14:paraId="6186BD6F" w14:textId="77777777" w:rsidR="004A2BD4" w:rsidRDefault="004A2BD4" w:rsidP="004A2BD4">
      <w:pPr>
        <w:pStyle w:val="FootnoteText"/>
        <w:bidi w:val="0"/>
        <w:jc w:val="both"/>
      </w:pPr>
    </w:p>
    <w:p w14:paraId="091E373A" w14:textId="77777777" w:rsidR="004A2BD4" w:rsidRDefault="004A2BD4" w:rsidP="004A2BD4">
      <w:pPr>
        <w:pStyle w:val="FootnoteText"/>
        <w:bidi w:val="0"/>
        <w:jc w:val="both"/>
        <w:rPr>
          <w:szCs w:val="24"/>
        </w:rPr>
      </w:pPr>
      <w:proofErr w:type="spellStart"/>
      <w:r>
        <w:rPr>
          <w:szCs w:val="24"/>
        </w:rPr>
        <w:t>Charvit</w:t>
      </w:r>
      <w:proofErr w:type="spellEnd"/>
      <w:r>
        <w:rPr>
          <w:szCs w:val="24"/>
        </w:rPr>
        <w:t xml:space="preserve">, Y. </w:t>
      </w:r>
      <w:r w:rsidRPr="00462623">
        <w:rPr>
          <w:szCs w:val="24"/>
        </w:rPr>
        <w:t>2016</w:t>
      </w:r>
      <w:r>
        <w:rPr>
          <w:szCs w:val="24"/>
        </w:rPr>
        <w:t>. “</w:t>
      </w:r>
      <w:r w:rsidRPr="00462623">
        <w:rPr>
          <w:szCs w:val="24"/>
        </w:rPr>
        <w:t>To Embrace or to Evade? The Jewish Woman</w:t>
      </w:r>
      <w:r>
        <w:rPr>
          <w:szCs w:val="24"/>
        </w:rPr>
        <w:t xml:space="preserve"> in Algeria Confronts Modernity</w:t>
      </w:r>
      <w:r w:rsidRPr="00462623">
        <w:rPr>
          <w:szCs w:val="24"/>
        </w:rPr>
        <w:t>,</w:t>
      </w:r>
      <w:r>
        <w:rPr>
          <w:szCs w:val="24"/>
        </w:rPr>
        <w:t>”</w:t>
      </w:r>
      <w:r w:rsidRPr="00462623">
        <w:rPr>
          <w:szCs w:val="24"/>
        </w:rPr>
        <w:t xml:space="preserve"> </w:t>
      </w:r>
      <w:r w:rsidRPr="00462623">
        <w:rPr>
          <w:i/>
          <w:iCs/>
          <w:szCs w:val="24"/>
        </w:rPr>
        <w:t>Women in Judaism – A Multidisciplinary Journal</w:t>
      </w:r>
      <w:r w:rsidRPr="00462623">
        <w:rPr>
          <w:szCs w:val="24"/>
        </w:rPr>
        <w:t>, 12</w:t>
      </w:r>
      <w:r>
        <w:rPr>
          <w:szCs w:val="24"/>
        </w:rPr>
        <w:t xml:space="preserve">(2): </w:t>
      </w:r>
      <w:r w:rsidRPr="00462623">
        <w:rPr>
          <w:szCs w:val="24"/>
        </w:rPr>
        <w:t>1</w:t>
      </w:r>
      <w:r>
        <w:rPr>
          <w:szCs w:val="24"/>
        </w:rPr>
        <w:t>–</w:t>
      </w:r>
      <w:r w:rsidRPr="00462623">
        <w:rPr>
          <w:szCs w:val="24"/>
        </w:rPr>
        <w:t>29</w:t>
      </w:r>
      <w:r>
        <w:rPr>
          <w:szCs w:val="24"/>
        </w:rPr>
        <w:t xml:space="preserve">. </w:t>
      </w:r>
    </w:p>
    <w:p w14:paraId="508D6DC5" w14:textId="77777777" w:rsidR="004A2BD4" w:rsidRDefault="004A2BD4" w:rsidP="004A2BD4">
      <w:pPr>
        <w:pStyle w:val="FootnoteText"/>
        <w:bidi w:val="0"/>
      </w:pPr>
    </w:p>
    <w:p w14:paraId="1C8F6C81" w14:textId="741B25FE" w:rsidR="004A2BD4" w:rsidRDefault="004A2BD4" w:rsidP="004A2BD4">
      <w:pPr>
        <w:pStyle w:val="FootnoteText"/>
        <w:bidi w:val="0"/>
      </w:pPr>
      <w:proofErr w:type="spellStart"/>
      <w:r w:rsidRPr="00462623">
        <w:t>Charvit</w:t>
      </w:r>
      <w:proofErr w:type="spellEnd"/>
      <w:r w:rsidRPr="00462623">
        <w:t>,</w:t>
      </w:r>
      <w:r>
        <w:t xml:space="preserve"> Y</w:t>
      </w:r>
      <w:r w:rsidRPr="00462623">
        <w:t>. 2015</w:t>
      </w:r>
      <w:r>
        <w:t>. “</w:t>
      </w:r>
      <w:r w:rsidRPr="00462623">
        <w:t xml:space="preserve">Un </w:t>
      </w:r>
      <w:proofErr w:type="spellStart"/>
      <w:r w:rsidRPr="00462623">
        <w:t>nouvel</w:t>
      </w:r>
      <w:proofErr w:type="spellEnd"/>
      <w:r w:rsidRPr="00462623">
        <w:t xml:space="preserve"> examen du </w:t>
      </w:r>
      <w:r>
        <w:t>‘</w:t>
      </w:r>
      <w:proofErr w:type="spellStart"/>
      <w:r w:rsidRPr="00462623">
        <w:t>Procès</w:t>
      </w:r>
      <w:proofErr w:type="spellEnd"/>
      <w:r w:rsidRPr="00462623">
        <w:t xml:space="preserve"> public</w:t>
      </w:r>
      <w:r>
        <w:t>’</w:t>
      </w:r>
      <w:r w:rsidRPr="00462623">
        <w:t xml:space="preserve"> des </w:t>
      </w:r>
      <w:proofErr w:type="spellStart"/>
      <w:r w:rsidRPr="00462623">
        <w:t>Juifs</w:t>
      </w:r>
      <w:proofErr w:type="spellEnd"/>
      <w:r w:rsidRPr="00462623">
        <w:t xml:space="preserve"> </w:t>
      </w:r>
      <w:proofErr w:type="spellStart"/>
      <w:r w:rsidRPr="00462623">
        <w:t>d'Algérie</w:t>
      </w:r>
      <w:proofErr w:type="spellEnd"/>
      <w:r w:rsidRPr="00462623">
        <w:t xml:space="preserve"> à </w:t>
      </w:r>
      <w:proofErr w:type="spellStart"/>
      <w:r w:rsidRPr="00462623">
        <w:t>Jérusalem</w:t>
      </w:r>
      <w:proofErr w:type="spellEnd"/>
      <w:r w:rsidRPr="00462623">
        <w:t xml:space="preserve"> (1963), sur fond </w:t>
      </w:r>
      <w:proofErr w:type="spellStart"/>
      <w:r w:rsidRPr="00462623">
        <w:t>d</w:t>
      </w:r>
      <w:r>
        <w:t>’</w:t>
      </w:r>
      <w:r w:rsidRPr="00462623">
        <w:t>immigration</w:t>
      </w:r>
      <w:proofErr w:type="spellEnd"/>
      <w:r w:rsidRPr="00462623">
        <w:t xml:space="preserve"> massive </w:t>
      </w:r>
      <w:proofErr w:type="spellStart"/>
      <w:r w:rsidRPr="00462623">
        <w:t>en</w:t>
      </w:r>
      <w:proofErr w:type="spellEnd"/>
      <w:r w:rsidRPr="00462623">
        <w:t xml:space="preserve"> France, face à </w:t>
      </w:r>
      <w:proofErr w:type="spellStart"/>
      <w:r w:rsidRPr="00462623">
        <w:t>l'immigration</w:t>
      </w:r>
      <w:proofErr w:type="spellEnd"/>
      <w:r w:rsidRPr="00462623">
        <w:t xml:space="preserve"> </w:t>
      </w:r>
      <w:proofErr w:type="spellStart"/>
      <w:r w:rsidRPr="00462623">
        <w:t>restreinte</w:t>
      </w:r>
      <w:proofErr w:type="spellEnd"/>
      <w:r w:rsidRPr="00462623">
        <w:t xml:space="preserve"> </w:t>
      </w:r>
      <w:proofErr w:type="spellStart"/>
      <w:r w:rsidRPr="00462623">
        <w:t>en</w:t>
      </w:r>
      <w:proofErr w:type="spellEnd"/>
      <w:r w:rsidRPr="00462623">
        <w:t xml:space="preserve"> </w:t>
      </w:r>
      <w:proofErr w:type="spellStart"/>
      <w:r w:rsidRPr="00462623">
        <w:t>Israël</w:t>
      </w:r>
      <w:proofErr w:type="spellEnd"/>
      <w:r w:rsidRPr="00462623">
        <w:t xml:space="preserve"> (1962)</w:t>
      </w:r>
      <w:r>
        <w:t>,”</w:t>
      </w:r>
      <w:r w:rsidRPr="00462623">
        <w:t xml:space="preserve"> </w:t>
      </w:r>
      <w:proofErr w:type="spellStart"/>
      <w:r w:rsidRPr="00462623">
        <w:rPr>
          <w:i/>
          <w:iCs/>
        </w:rPr>
        <w:t>Pardès</w:t>
      </w:r>
      <w:proofErr w:type="spellEnd"/>
      <w:r w:rsidRPr="00462623">
        <w:rPr>
          <w:i/>
          <w:iCs/>
        </w:rPr>
        <w:t xml:space="preserve"> – Études et culture </w:t>
      </w:r>
      <w:proofErr w:type="spellStart"/>
      <w:r w:rsidRPr="00462623">
        <w:rPr>
          <w:i/>
          <w:iCs/>
        </w:rPr>
        <w:t>juives</w:t>
      </w:r>
      <w:proofErr w:type="spellEnd"/>
      <w:r w:rsidRPr="00462623">
        <w:rPr>
          <w:i/>
          <w:iCs/>
        </w:rPr>
        <w:t xml:space="preserve">, </w:t>
      </w:r>
      <w:r w:rsidRPr="00462623">
        <w:t>56</w:t>
      </w:r>
      <w:r>
        <w:t xml:space="preserve">: </w:t>
      </w:r>
      <w:r w:rsidRPr="00462623">
        <w:t>285</w:t>
      </w:r>
      <w:r>
        <w:t>–</w:t>
      </w:r>
      <w:r w:rsidRPr="00462623">
        <w:t>294.</w:t>
      </w:r>
    </w:p>
    <w:p w14:paraId="4542464A" w14:textId="77777777" w:rsidR="004A2BD4" w:rsidRDefault="004A2BD4" w:rsidP="004A2BD4">
      <w:pPr>
        <w:pStyle w:val="FootnoteText"/>
        <w:bidi w:val="0"/>
      </w:pPr>
    </w:p>
    <w:p w14:paraId="1A8F4BEB" w14:textId="77777777" w:rsidR="004A2BD4" w:rsidRDefault="004A2BD4" w:rsidP="004A2BD4">
      <w:pPr>
        <w:pStyle w:val="FootnoteText"/>
        <w:bidi w:val="0"/>
      </w:pPr>
      <w:proofErr w:type="spellStart"/>
      <w:r w:rsidRPr="005B6FAF">
        <w:t>Charvit</w:t>
      </w:r>
      <w:proofErr w:type="spellEnd"/>
      <w:r w:rsidRPr="005B6FAF">
        <w:t>, Y. 2011</w:t>
      </w:r>
      <w:r>
        <w:t>. “</w:t>
      </w:r>
      <w:r w:rsidRPr="005B6FAF">
        <w:t>French Rabbis in the Jewish Community of Constantine, Algeria: Confluence and Collision</w:t>
      </w:r>
      <w:r>
        <w:t>,”</w:t>
      </w:r>
      <w:r w:rsidRPr="005B6FAF">
        <w:t xml:space="preserve"> </w:t>
      </w:r>
      <w:r>
        <w:t xml:space="preserve">In </w:t>
      </w:r>
      <w:proofErr w:type="gramStart"/>
      <w:r w:rsidRPr="005B6FAF">
        <w:rPr>
          <w:i/>
          <w:iCs/>
        </w:rPr>
        <w:t>The</w:t>
      </w:r>
      <w:proofErr w:type="gramEnd"/>
      <w:r w:rsidRPr="005B6FAF">
        <w:rPr>
          <w:i/>
          <w:iCs/>
        </w:rPr>
        <w:t xml:space="preserve"> Scepter shall not depart from Judah: Leadership, Rabbinate and Community in </w:t>
      </w:r>
      <w:r>
        <w:rPr>
          <w:i/>
          <w:iCs/>
        </w:rPr>
        <w:t>J</w:t>
      </w:r>
      <w:r w:rsidRPr="005B6FAF">
        <w:rPr>
          <w:i/>
          <w:iCs/>
        </w:rPr>
        <w:t xml:space="preserve">ewish </w:t>
      </w:r>
      <w:r>
        <w:rPr>
          <w:i/>
          <w:iCs/>
        </w:rPr>
        <w:t>H</w:t>
      </w:r>
      <w:r w:rsidRPr="005B6FAF">
        <w:rPr>
          <w:i/>
          <w:iCs/>
        </w:rPr>
        <w:t xml:space="preserve">istory. Studies Presented to Professor Simon </w:t>
      </w:r>
      <w:proofErr w:type="spellStart"/>
      <w:r w:rsidRPr="005B6FAF">
        <w:rPr>
          <w:i/>
          <w:iCs/>
        </w:rPr>
        <w:t>Schwarzfuchs</w:t>
      </w:r>
      <w:proofErr w:type="spellEnd"/>
      <w:r w:rsidRPr="005B6FAF">
        <w:t xml:space="preserve">, </w:t>
      </w:r>
      <w:r>
        <w:t xml:space="preserve">edited by </w:t>
      </w:r>
      <w:r w:rsidRPr="005B6FAF">
        <w:t xml:space="preserve">Joseph R. Hacker and </w:t>
      </w:r>
      <w:proofErr w:type="spellStart"/>
      <w:r w:rsidRPr="005B6FAF">
        <w:t>Yaron</w:t>
      </w:r>
      <w:proofErr w:type="spellEnd"/>
      <w:r w:rsidRPr="005B6FAF">
        <w:t xml:space="preserve"> </w:t>
      </w:r>
      <w:proofErr w:type="spellStart"/>
      <w:r w:rsidRPr="005B6FAF">
        <w:t>Harel</w:t>
      </w:r>
      <w:proofErr w:type="spellEnd"/>
      <w:r w:rsidRPr="005B6FAF">
        <w:t>, 353</w:t>
      </w:r>
      <w:r>
        <w:t>–</w:t>
      </w:r>
      <w:r w:rsidRPr="005B6FAF">
        <w:t>366</w:t>
      </w:r>
      <w:r>
        <w:t xml:space="preserve">. Jerusalem: </w:t>
      </w:r>
      <w:r w:rsidRPr="005B6FAF">
        <w:t>The Bialik Institute.</w:t>
      </w:r>
    </w:p>
    <w:p w14:paraId="06603158" w14:textId="77777777" w:rsidR="004A2BD4" w:rsidRDefault="004A2BD4" w:rsidP="004A2BD4">
      <w:pPr>
        <w:pStyle w:val="FootnoteText"/>
        <w:bidi w:val="0"/>
      </w:pPr>
    </w:p>
    <w:p w14:paraId="3351AE93" w14:textId="77777777" w:rsidR="004A2BD4" w:rsidRDefault="004A2BD4" w:rsidP="004A2BD4">
      <w:pPr>
        <w:pStyle w:val="FootnoteText"/>
        <w:bidi w:val="0"/>
        <w:jc w:val="both"/>
      </w:pPr>
      <w:proofErr w:type="spellStart"/>
      <w:r w:rsidRPr="003D1421">
        <w:t>Charvit</w:t>
      </w:r>
      <w:proofErr w:type="spellEnd"/>
      <w:r w:rsidRPr="003D1421">
        <w:t>, Y.</w:t>
      </w:r>
      <w:r>
        <w:t xml:space="preserve"> </w:t>
      </w:r>
      <w:r w:rsidRPr="003D1421">
        <w:t>2005</w:t>
      </w:r>
      <w:r>
        <w:t xml:space="preserve">. </w:t>
      </w:r>
      <w:r w:rsidRPr="003D1421">
        <w:rPr>
          <w:i/>
          <w:iCs/>
        </w:rPr>
        <w:t xml:space="preserve">La France, </w:t>
      </w:r>
      <w:proofErr w:type="spellStart"/>
      <w:r w:rsidRPr="003D1421">
        <w:rPr>
          <w:i/>
          <w:iCs/>
        </w:rPr>
        <w:t>l’élite</w:t>
      </w:r>
      <w:proofErr w:type="spellEnd"/>
      <w:r w:rsidRPr="003D1421">
        <w:rPr>
          <w:i/>
          <w:iCs/>
        </w:rPr>
        <w:t xml:space="preserve"> </w:t>
      </w:r>
      <w:proofErr w:type="spellStart"/>
      <w:r w:rsidRPr="003D1421">
        <w:rPr>
          <w:i/>
          <w:iCs/>
        </w:rPr>
        <w:t>rabbiniqu</w:t>
      </w:r>
      <w:r>
        <w:rPr>
          <w:i/>
          <w:iCs/>
        </w:rPr>
        <w:t>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d’Algérie</w:t>
      </w:r>
      <w:proofErr w:type="spellEnd"/>
      <w:r>
        <w:rPr>
          <w:i/>
          <w:iCs/>
        </w:rPr>
        <w:t xml:space="preserve"> et la Terre Sainte </w:t>
      </w:r>
      <w:r w:rsidRPr="003D1421">
        <w:rPr>
          <w:i/>
          <w:iCs/>
        </w:rPr>
        <w:t xml:space="preserve">au </w:t>
      </w:r>
      <w:proofErr w:type="spellStart"/>
      <w:r w:rsidRPr="003D1421">
        <w:rPr>
          <w:i/>
          <w:iCs/>
        </w:rPr>
        <w:t>XIXème</w:t>
      </w:r>
      <w:proofErr w:type="spellEnd"/>
      <w:r w:rsidRPr="003D1421">
        <w:rPr>
          <w:i/>
          <w:iCs/>
        </w:rPr>
        <w:t xml:space="preserve"> siècle – Tradition et </w:t>
      </w:r>
      <w:proofErr w:type="spellStart"/>
      <w:r w:rsidRPr="003D1421">
        <w:rPr>
          <w:i/>
          <w:iCs/>
        </w:rPr>
        <w:t>Modernité</w:t>
      </w:r>
      <w:proofErr w:type="spellEnd"/>
      <w:r>
        <w:rPr>
          <w:i/>
          <w:iCs/>
        </w:rPr>
        <w:t>.</w:t>
      </w:r>
      <w:r w:rsidRPr="003D1421">
        <w:t xml:space="preserve"> Honoré Champion</w:t>
      </w:r>
      <w:r>
        <w:t>,</w:t>
      </w:r>
      <w:r w:rsidRPr="003D1421">
        <w:t xml:space="preserve"> </w:t>
      </w:r>
      <w:commentRangeStart w:id="21"/>
      <w:r w:rsidRPr="003D1421">
        <w:t>Sorbonne</w:t>
      </w:r>
      <w:commentRangeEnd w:id="21"/>
      <w:r>
        <w:rPr>
          <w:rStyle w:val="CommentReference"/>
          <w:rFonts w:asciiTheme="minorHAnsi" w:eastAsiaTheme="minorEastAsia" w:hAnsiTheme="minorHAnsi" w:cstheme="minorBidi"/>
          <w:lang w:val="en-IL" w:eastAsia="zh-CN"/>
        </w:rPr>
        <w:commentReference w:id="21"/>
      </w:r>
      <w:r w:rsidRPr="003D1421">
        <w:t xml:space="preserve"> Université Paris IV,</w:t>
      </w:r>
      <w:r w:rsidRPr="00762D15">
        <w:t xml:space="preserve"> </w:t>
      </w:r>
      <w:r w:rsidRPr="003D1421">
        <w:t>Paris</w:t>
      </w:r>
      <w:r>
        <w:t>, France</w:t>
      </w:r>
      <w:r w:rsidRPr="003D1421">
        <w:t>.</w:t>
      </w:r>
      <w:r>
        <w:rPr>
          <w:rtl/>
        </w:rPr>
        <w:t xml:space="preserve"> </w:t>
      </w:r>
    </w:p>
    <w:p w14:paraId="5FA2FA51" w14:textId="77777777" w:rsidR="004A2BD4" w:rsidRPr="0035208C" w:rsidRDefault="004A2BD4" w:rsidP="004A2BD4">
      <w:pPr>
        <w:pStyle w:val="FootnoteText"/>
        <w:bidi w:val="0"/>
        <w:jc w:val="both"/>
        <w:rPr>
          <w:lang w:val="en-IL"/>
        </w:rPr>
      </w:pPr>
    </w:p>
    <w:p w14:paraId="0A69E91E" w14:textId="77777777" w:rsidR="004A2BD4" w:rsidRDefault="004A2BD4" w:rsidP="004A2BD4">
      <w:pPr>
        <w:pStyle w:val="FootnoteText"/>
        <w:bidi w:val="0"/>
        <w:jc w:val="both"/>
      </w:pPr>
      <w:proofErr w:type="spellStart"/>
      <w:r>
        <w:t>Charvit</w:t>
      </w:r>
      <w:proofErr w:type="spellEnd"/>
      <w:r>
        <w:t xml:space="preserve">, Y. </w:t>
      </w:r>
      <w:r w:rsidRPr="00385036">
        <w:t>2005</w:t>
      </w:r>
      <w:r>
        <w:t>.  “</w:t>
      </w:r>
      <w:r w:rsidRPr="00385036">
        <w:t xml:space="preserve">Rabbi </w:t>
      </w:r>
      <w:proofErr w:type="spellStart"/>
      <w:r w:rsidRPr="00385036">
        <w:t>Yossef</w:t>
      </w:r>
      <w:proofErr w:type="spellEnd"/>
      <w:r w:rsidRPr="00385036">
        <w:t xml:space="preserve"> </w:t>
      </w:r>
      <w:proofErr w:type="spellStart"/>
      <w:r w:rsidRPr="00385036">
        <w:t>Renassia</w:t>
      </w:r>
      <w:proofErr w:type="spellEnd"/>
      <w:r w:rsidRPr="00385036">
        <w:t>: A Portrait of a Spi</w:t>
      </w:r>
      <w:r>
        <w:t>ritual Leader in French Algeria.”</w:t>
      </w:r>
      <w:r w:rsidRPr="00385036">
        <w:t xml:space="preserve"> </w:t>
      </w:r>
      <w:r>
        <w:t>I</w:t>
      </w:r>
      <w:r w:rsidRPr="00385036">
        <w:t xml:space="preserve">n </w:t>
      </w:r>
      <w:r w:rsidRPr="00385036">
        <w:rPr>
          <w:i/>
          <w:iCs/>
        </w:rPr>
        <w:t>Progress and Tradition</w:t>
      </w:r>
      <w:r>
        <w:t xml:space="preserve">, edited by </w:t>
      </w:r>
      <w:r w:rsidRPr="00385036">
        <w:t xml:space="preserve">Moises </w:t>
      </w:r>
      <w:proofErr w:type="spellStart"/>
      <w:r w:rsidRPr="00385036">
        <w:t>Orfali</w:t>
      </w:r>
      <w:proofErr w:type="spellEnd"/>
      <w:r w:rsidRPr="00385036">
        <w:t xml:space="preserve"> </w:t>
      </w:r>
      <w:r>
        <w:t>and</w:t>
      </w:r>
      <w:r w:rsidRPr="00385036">
        <w:t xml:space="preserve"> Ephraim Hazan</w:t>
      </w:r>
      <w:r>
        <w:t xml:space="preserve">, </w:t>
      </w:r>
      <w:r w:rsidRPr="00385036">
        <w:t>89</w:t>
      </w:r>
      <w:r>
        <w:t>–</w:t>
      </w:r>
      <w:r w:rsidRPr="00385036">
        <w:t>98</w:t>
      </w:r>
      <w:r>
        <w:t xml:space="preserve">. Jerusalem: The </w:t>
      </w:r>
      <w:proofErr w:type="spellStart"/>
      <w:r>
        <w:t>Bialek</w:t>
      </w:r>
      <w:proofErr w:type="spellEnd"/>
      <w:r>
        <w:t xml:space="preserve"> Institute.</w:t>
      </w:r>
    </w:p>
    <w:p w14:paraId="1C20E8C3" w14:textId="77777777" w:rsidR="004A2BD4" w:rsidRDefault="004A2BD4" w:rsidP="004A2BD4">
      <w:pPr>
        <w:pStyle w:val="FootnoteText"/>
        <w:bidi w:val="0"/>
        <w:jc w:val="both"/>
      </w:pPr>
    </w:p>
    <w:p w14:paraId="358E318B" w14:textId="77777777" w:rsidR="004A2BD4" w:rsidRDefault="004A2BD4" w:rsidP="004A2BD4">
      <w:pPr>
        <w:pStyle w:val="FootnoteText"/>
        <w:bidi w:val="0"/>
      </w:pPr>
      <w:proofErr w:type="spellStart"/>
      <w:r w:rsidRPr="005B6FAF">
        <w:t>Charvit</w:t>
      </w:r>
      <w:proofErr w:type="spellEnd"/>
      <w:r>
        <w:t>,</w:t>
      </w:r>
      <w:r w:rsidRPr="005B6FAF">
        <w:t xml:space="preserve"> Y. 2003</w:t>
      </w:r>
      <w:r>
        <w:t>.</w:t>
      </w:r>
      <w:r w:rsidRPr="005B6FAF">
        <w:t xml:space="preserve"> “La tradition </w:t>
      </w:r>
      <w:proofErr w:type="spellStart"/>
      <w:r w:rsidRPr="005B6FAF">
        <w:t>rabbinique</w:t>
      </w:r>
      <w:proofErr w:type="spellEnd"/>
      <w:r w:rsidRPr="005B6FAF">
        <w:t xml:space="preserve"> </w:t>
      </w:r>
      <w:proofErr w:type="spellStart"/>
      <w:r w:rsidRPr="005B6FAF">
        <w:t>d’Algérie</w:t>
      </w:r>
      <w:proofErr w:type="spellEnd"/>
      <w:r w:rsidRPr="005B6FAF">
        <w:t xml:space="preserve"> face au </w:t>
      </w:r>
      <w:proofErr w:type="spellStart"/>
      <w:r w:rsidRPr="005B6FAF">
        <w:t>processus</w:t>
      </w:r>
      <w:proofErr w:type="spellEnd"/>
      <w:r w:rsidRPr="005B6FAF">
        <w:t xml:space="preserve"> </w:t>
      </w:r>
      <w:proofErr w:type="spellStart"/>
      <w:r w:rsidRPr="005B6FAF">
        <w:t>d’émancipation</w:t>
      </w:r>
      <w:proofErr w:type="spellEnd"/>
      <w:r>
        <w:t>.</w:t>
      </w:r>
      <w:r w:rsidRPr="005B6FAF">
        <w:t xml:space="preserve"> </w:t>
      </w:r>
      <w:r>
        <w:t xml:space="preserve">In </w:t>
      </w:r>
      <w:proofErr w:type="spellStart"/>
      <w:r w:rsidRPr="005B6FAF">
        <w:rPr>
          <w:i/>
          <w:iCs/>
        </w:rPr>
        <w:t>L’identité</w:t>
      </w:r>
      <w:proofErr w:type="spellEnd"/>
      <w:r w:rsidRPr="005B6FAF">
        <w:rPr>
          <w:i/>
          <w:iCs/>
        </w:rPr>
        <w:t xml:space="preserve"> des </w:t>
      </w:r>
      <w:proofErr w:type="spellStart"/>
      <w:r w:rsidRPr="005B6FAF">
        <w:rPr>
          <w:i/>
          <w:iCs/>
        </w:rPr>
        <w:t>Juifs</w:t>
      </w:r>
      <w:proofErr w:type="spellEnd"/>
      <w:r w:rsidRPr="005B6FAF">
        <w:rPr>
          <w:i/>
          <w:iCs/>
        </w:rPr>
        <w:t xml:space="preserve"> </w:t>
      </w:r>
      <w:proofErr w:type="spellStart"/>
      <w:r w:rsidRPr="005B6FAF">
        <w:rPr>
          <w:i/>
          <w:iCs/>
        </w:rPr>
        <w:t>d’Algérie</w:t>
      </w:r>
      <w:proofErr w:type="spellEnd"/>
      <w:r w:rsidRPr="005B6FAF">
        <w:rPr>
          <w:i/>
          <w:iCs/>
        </w:rPr>
        <w:t xml:space="preserve">, </w:t>
      </w:r>
      <w:proofErr w:type="spellStart"/>
      <w:r w:rsidRPr="005B6FAF">
        <w:rPr>
          <w:i/>
          <w:iCs/>
        </w:rPr>
        <w:t>une</w:t>
      </w:r>
      <w:proofErr w:type="spellEnd"/>
      <w:r w:rsidRPr="005B6FAF">
        <w:rPr>
          <w:i/>
          <w:iCs/>
        </w:rPr>
        <w:t xml:space="preserve"> </w:t>
      </w:r>
      <w:proofErr w:type="spellStart"/>
      <w:r w:rsidRPr="005B6FAF">
        <w:rPr>
          <w:i/>
          <w:iCs/>
        </w:rPr>
        <w:t>expérience</w:t>
      </w:r>
      <w:proofErr w:type="spellEnd"/>
      <w:r w:rsidRPr="005B6FAF">
        <w:rPr>
          <w:i/>
          <w:iCs/>
        </w:rPr>
        <w:t xml:space="preserve"> </w:t>
      </w:r>
      <w:proofErr w:type="spellStart"/>
      <w:r w:rsidRPr="005B6FAF">
        <w:rPr>
          <w:i/>
          <w:iCs/>
        </w:rPr>
        <w:t>originale</w:t>
      </w:r>
      <w:proofErr w:type="spellEnd"/>
      <w:r w:rsidRPr="005B6FAF">
        <w:rPr>
          <w:i/>
          <w:iCs/>
        </w:rPr>
        <w:t xml:space="preserve"> de la </w:t>
      </w:r>
      <w:commentRangeStart w:id="22"/>
      <w:proofErr w:type="spellStart"/>
      <w:r w:rsidRPr="005B6FAF">
        <w:rPr>
          <w:i/>
          <w:iCs/>
        </w:rPr>
        <w:t>modernité</w:t>
      </w:r>
      <w:commentRangeEnd w:id="22"/>
      <w:proofErr w:type="spellEnd"/>
      <w:r>
        <w:rPr>
          <w:rStyle w:val="CommentReference"/>
          <w:rFonts w:asciiTheme="minorHAnsi" w:eastAsiaTheme="minorEastAsia" w:hAnsiTheme="minorHAnsi" w:cstheme="minorBidi"/>
          <w:lang w:val="en-IL" w:eastAsia="zh-CN"/>
        </w:rPr>
        <w:commentReference w:id="22"/>
      </w:r>
      <w:r w:rsidRPr="005B6FAF">
        <w:t xml:space="preserve">, </w:t>
      </w:r>
      <w:r>
        <w:t xml:space="preserve">edited by Shmuel </w:t>
      </w:r>
      <w:proofErr w:type="spellStart"/>
      <w:r>
        <w:t>Trigano</w:t>
      </w:r>
      <w:proofErr w:type="spellEnd"/>
      <w:r>
        <w:t xml:space="preserve">, </w:t>
      </w:r>
      <w:r w:rsidRPr="005B6FAF">
        <w:t>95</w:t>
      </w:r>
      <w:r>
        <w:t>–</w:t>
      </w:r>
      <w:r w:rsidRPr="005B6FAF">
        <w:t>105</w:t>
      </w:r>
      <w:r>
        <w:t xml:space="preserve">. Paris: </w:t>
      </w:r>
      <w:r w:rsidRPr="005B6FAF">
        <w:t>Editions du Nadir, Paris</w:t>
      </w:r>
      <w:r>
        <w:t>.</w:t>
      </w:r>
      <w:r w:rsidRPr="005B6FAF">
        <w:t xml:space="preserve"> </w:t>
      </w:r>
    </w:p>
    <w:p w14:paraId="2B0F7DE2" w14:textId="77777777" w:rsidR="004A2BD4" w:rsidRDefault="004A2BD4" w:rsidP="004A2BD4">
      <w:pPr>
        <w:rPr>
          <w:rFonts w:asciiTheme="majorBidi" w:hAnsiTheme="majorBidi" w:cstheme="majorBidi"/>
          <w:sz w:val="20"/>
          <w:szCs w:val="20"/>
        </w:rPr>
      </w:pPr>
    </w:p>
    <w:p w14:paraId="0C5D1F85" w14:textId="77777777" w:rsidR="004A2BD4" w:rsidRPr="0035208C" w:rsidRDefault="004A2BD4" w:rsidP="004A2BD4">
      <w:pPr>
        <w:rPr>
          <w:rFonts w:asciiTheme="majorBidi" w:hAnsiTheme="majorBidi" w:cstheme="majorBidi"/>
          <w:sz w:val="20"/>
          <w:szCs w:val="20"/>
          <w:lang w:val="en-US"/>
        </w:rPr>
      </w:pPr>
      <w:proofErr w:type="spellStart"/>
      <w:r w:rsidRPr="0035208C">
        <w:rPr>
          <w:rFonts w:asciiTheme="majorBidi" w:hAnsiTheme="majorBidi" w:cstheme="majorBidi"/>
          <w:sz w:val="20"/>
          <w:szCs w:val="20"/>
        </w:rPr>
        <w:t>Charvit</w:t>
      </w:r>
      <w:proofErr w:type="spellEnd"/>
      <w:r w:rsidRPr="0035208C">
        <w:rPr>
          <w:rFonts w:asciiTheme="majorBidi" w:hAnsiTheme="majorBidi" w:cstheme="majorBidi"/>
          <w:sz w:val="20"/>
          <w:szCs w:val="20"/>
        </w:rPr>
        <w:t xml:space="preserve">, Y. </w:t>
      </w:r>
      <w:r w:rsidRPr="0035208C">
        <w:rPr>
          <w:rFonts w:asciiTheme="majorBidi" w:hAnsiTheme="majorBidi" w:cstheme="majorBidi"/>
          <w:sz w:val="20"/>
          <w:szCs w:val="20"/>
          <w:lang w:val="en-US"/>
        </w:rPr>
        <w:t xml:space="preserve">2001. </w:t>
      </w:r>
      <w:r w:rsidRPr="0035208C">
        <w:rPr>
          <w:rFonts w:asciiTheme="majorBidi" w:hAnsiTheme="majorBidi" w:cstheme="majorBidi"/>
          <w:i/>
          <w:iCs/>
          <w:sz w:val="20"/>
          <w:szCs w:val="20"/>
        </w:rPr>
        <w:t xml:space="preserve">Le </w:t>
      </w:r>
      <w:proofErr w:type="spellStart"/>
      <w:r w:rsidRPr="0035208C">
        <w:rPr>
          <w:rFonts w:asciiTheme="majorBidi" w:hAnsiTheme="majorBidi" w:cstheme="majorBidi"/>
          <w:i/>
          <w:iCs/>
          <w:sz w:val="20"/>
          <w:szCs w:val="20"/>
        </w:rPr>
        <w:t>Judaisme</w:t>
      </w:r>
      <w:proofErr w:type="spellEnd"/>
      <w:r w:rsidRPr="0035208C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35208C">
        <w:rPr>
          <w:rFonts w:asciiTheme="majorBidi" w:hAnsiTheme="majorBidi" w:cstheme="majorBidi"/>
          <w:i/>
          <w:iCs/>
          <w:sz w:val="20"/>
          <w:szCs w:val="20"/>
        </w:rPr>
        <w:t>Algérien</w:t>
      </w:r>
      <w:proofErr w:type="spellEnd"/>
      <w:r w:rsidRPr="0035208C">
        <w:rPr>
          <w:rFonts w:asciiTheme="majorBidi" w:hAnsiTheme="majorBidi" w:cstheme="majorBidi"/>
          <w:i/>
          <w:iCs/>
          <w:sz w:val="20"/>
          <w:szCs w:val="20"/>
        </w:rPr>
        <w:t xml:space="preserve"> - Reflexions</w:t>
      </w:r>
      <w:r w:rsidRPr="0035208C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Pr="0035208C">
        <w:rPr>
          <w:rFonts w:asciiTheme="majorBidi" w:hAnsiTheme="majorBidi" w:cstheme="majorBidi"/>
          <w:sz w:val="20"/>
          <w:szCs w:val="20"/>
        </w:rPr>
        <w:t>Jérusalem</w:t>
      </w:r>
      <w:proofErr w:type="spellEnd"/>
      <w:r w:rsidRPr="0035208C">
        <w:rPr>
          <w:rFonts w:asciiTheme="majorBidi" w:hAnsiTheme="majorBidi" w:cstheme="majorBidi"/>
          <w:sz w:val="20"/>
          <w:szCs w:val="20"/>
          <w:lang w:val="en-US"/>
        </w:rPr>
        <w:t>: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35208C">
        <w:rPr>
          <w:rFonts w:asciiTheme="majorBidi" w:hAnsiTheme="majorBidi" w:cstheme="majorBidi"/>
          <w:sz w:val="20"/>
          <w:szCs w:val="20"/>
        </w:rPr>
        <w:t xml:space="preserve">Editions </w:t>
      </w:r>
      <w:proofErr w:type="spellStart"/>
      <w:r w:rsidRPr="0035208C">
        <w:rPr>
          <w:rFonts w:asciiTheme="majorBidi" w:hAnsiTheme="majorBidi" w:cstheme="majorBidi"/>
          <w:sz w:val="20"/>
          <w:szCs w:val="20"/>
        </w:rPr>
        <w:t>Eliner</w:t>
      </w:r>
      <w:proofErr w:type="spellEnd"/>
      <w:r w:rsidRPr="0035208C">
        <w:rPr>
          <w:rFonts w:asciiTheme="majorBidi" w:hAnsiTheme="majorBidi" w:cstheme="majorBidi"/>
          <w:sz w:val="20"/>
          <w:szCs w:val="20"/>
          <w:lang w:val="en-US"/>
        </w:rPr>
        <w:t>.</w:t>
      </w:r>
    </w:p>
    <w:p w14:paraId="65DA7B2C" w14:textId="77777777" w:rsidR="004A2BD4" w:rsidRPr="006C5AC0" w:rsidRDefault="004A2BD4" w:rsidP="004A2BD4">
      <w:pPr>
        <w:pStyle w:val="FootnoteText"/>
        <w:bidi w:val="0"/>
        <w:jc w:val="both"/>
      </w:pPr>
      <w:proofErr w:type="spellStart"/>
      <w:r>
        <w:t>Charvit</w:t>
      </w:r>
      <w:proofErr w:type="spellEnd"/>
      <w:r>
        <w:t xml:space="preserve">, Y. 1995. Elite </w:t>
      </w:r>
      <w:proofErr w:type="spellStart"/>
      <w:r w:rsidRPr="006C5AC0">
        <w:t>Rabinique</w:t>
      </w:r>
      <w:proofErr w:type="spellEnd"/>
      <w:r w:rsidRPr="006C5AC0">
        <w:t xml:space="preserve"> </w:t>
      </w:r>
      <w:proofErr w:type="spellStart"/>
      <w:r w:rsidRPr="006C5AC0">
        <w:t>d’Alg</w:t>
      </w:r>
      <w:r w:rsidRPr="006C5AC0">
        <w:rPr>
          <w:rFonts w:cs="Koren"/>
          <w:i/>
          <w:iCs/>
        </w:rPr>
        <w:t>érie</w:t>
      </w:r>
      <w:proofErr w:type="spellEnd"/>
      <w:r w:rsidRPr="006C5AC0">
        <w:rPr>
          <w:rFonts w:cs="Koren"/>
          <w:i/>
          <w:iCs/>
        </w:rPr>
        <w:t xml:space="preserve"> et </w:t>
      </w:r>
      <w:proofErr w:type="spellStart"/>
      <w:r w:rsidRPr="006C5AC0">
        <w:rPr>
          <w:rFonts w:cs="Koren"/>
          <w:i/>
          <w:iCs/>
        </w:rPr>
        <w:t>Modernisation</w:t>
      </w:r>
      <w:proofErr w:type="spellEnd"/>
      <w:r w:rsidRPr="006C5AC0">
        <w:rPr>
          <w:rFonts w:cs="Koren"/>
          <w:i/>
          <w:iCs/>
        </w:rPr>
        <w:t xml:space="preserve"> </w:t>
      </w:r>
      <w:r w:rsidRPr="006C5AC0">
        <w:rPr>
          <w:rFonts w:cs="Koren"/>
        </w:rPr>
        <w:t>(</w:t>
      </w:r>
      <w:r w:rsidRPr="006C5AC0">
        <w:rPr>
          <w:rFonts w:cs="Koren"/>
          <w:i/>
          <w:iCs/>
        </w:rPr>
        <w:t>1750</w:t>
      </w:r>
      <w:r>
        <w:rPr>
          <w:i/>
          <w:iCs/>
        </w:rPr>
        <w:t>–</w:t>
      </w:r>
      <w:r w:rsidRPr="006C5AC0">
        <w:rPr>
          <w:rFonts w:cs="Koren"/>
          <w:i/>
          <w:iCs/>
        </w:rPr>
        <w:t>1914</w:t>
      </w:r>
      <w:r w:rsidRPr="006C5AC0">
        <w:rPr>
          <w:rFonts w:cs="Koren"/>
        </w:rPr>
        <w:t>)</w:t>
      </w:r>
      <w:r w:rsidRPr="006C5AC0">
        <w:rPr>
          <w:rFonts w:cs="Koren"/>
          <w:i/>
          <w:iCs/>
        </w:rPr>
        <w:t>.</w:t>
      </w:r>
      <w:r w:rsidRPr="006C5AC0">
        <w:rPr>
          <w:rFonts w:cs="Koren"/>
        </w:rPr>
        <w:t xml:space="preserve"> Jerusalem: Editions </w:t>
      </w:r>
      <w:proofErr w:type="spellStart"/>
      <w:r w:rsidRPr="006C5AC0">
        <w:rPr>
          <w:rFonts w:cs="Koren"/>
        </w:rPr>
        <w:t>Gaï</w:t>
      </w:r>
      <w:proofErr w:type="spellEnd"/>
      <w:r w:rsidRPr="006C5AC0">
        <w:rPr>
          <w:rFonts w:cs="Koren"/>
        </w:rPr>
        <w:t xml:space="preserve"> </w:t>
      </w:r>
      <w:proofErr w:type="spellStart"/>
      <w:r w:rsidRPr="006C5AC0">
        <w:rPr>
          <w:rFonts w:cs="Koren"/>
        </w:rPr>
        <w:t>Yinnassé</w:t>
      </w:r>
      <w:proofErr w:type="spellEnd"/>
    </w:p>
    <w:p w14:paraId="09B4349C" w14:textId="77777777" w:rsidR="004A2BD4" w:rsidRDefault="004A2BD4" w:rsidP="004A2BD4">
      <w:pPr>
        <w:pStyle w:val="FootnoteText"/>
        <w:bidi w:val="0"/>
        <w:jc w:val="both"/>
        <w:rPr>
          <w:szCs w:val="24"/>
        </w:rPr>
      </w:pPr>
    </w:p>
    <w:p w14:paraId="6152EE2E" w14:textId="77777777" w:rsidR="004A2BD4" w:rsidRPr="004A2BD4" w:rsidRDefault="004A2BD4" w:rsidP="004A2BD4">
      <w:pPr>
        <w:rPr>
          <w:rFonts w:asciiTheme="majorBidi" w:hAnsiTheme="majorBidi" w:cstheme="majorBidi"/>
          <w:sz w:val="20"/>
          <w:szCs w:val="20"/>
        </w:rPr>
      </w:pPr>
      <w:proofErr w:type="spellStart"/>
      <w:r w:rsidRPr="004A2BD4">
        <w:rPr>
          <w:rFonts w:asciiTheme="majorBidi" w:hAnsiTheme="majorBidi" w:cstheme="majorBidi"/>
          <w:sz w:val="20"/>
          <w:szCs w:val="20"/>
        </w:rPr>
        <w:t>Chemouilli</w:t>
      </w:r>
      <w:proofErr w:type="spellEnd"/>
      <w:r w:rsidRPr="004A2BD4">
        <w:rPr>
          <w:rFonts w:asciiTheme="majorBidi" w:hAnsiTheme="majorBidi" w:cstheme="majorBidi"/>
          <w:sz w:val="20"/>
          <w:szCs w:val="20"/>
        </w:rPr>
        <w:t xml:space="preserve">, H. </w:t>
      </w:r>
      <w:r w:rsidRPr="004A2BD4">
        <w:rPr>
          <w:rFonts w:asciiTheme="majorBidi" w:hAnsiTheme="majorBidi" w:cstheme="majorBidi"/>
          <w:sz w:val="20"/>
          <w:szCs w:val="20"/>
          <w:lang w:val="en-US"/>
        </w:rPr>
        <w:t xml:space="preserve">1976. </w:t>
      </w:r>
      <w:r w:rsidRPr="004A2BD4">
        <w:rPr>
          <w:rFonts w:asciiTheme="majorBidi" w:hAnsiTheme="majorBidi" w:cstheme="majorBidi"/>
          <w:i/>
          <w:iCs/>
          <w:sz w:val="20"/>
          <w:szCs w:val="20"/>
        </w:rPr>
        <w:t xml:space="preserve">Une Diaspora </w:t>
      </w:r>
      <w:proofErr w:type="spellStart"/>
      <w:r w:rsidRPr="004A2BD4">
        <w:rPr>
          <w:rFonts w:asciiTheme="majorBidi" w:hAnsiTheme="majorBidi" w:cstheme="majorBidi"/>
          <w:i/>
          <w:iCs/>
          <w:sz w:val="20"/>
          <w:szCs w:val="20"/>
        </w:rPr>
        <w:t>méconnue</w:t>
      </w:r>
      <w:proofErr w:type="spellEnd"/>
      <w:r w:rsidRPr="004A2BD4">
        <w:rPr>
          <w:rFonts w:asciiTheme="majorBidi" w:hAnsiTheme="majorBidi" w:cstheme="majorBidi"/>
          <w:i/>
          <w:iCs/>
          <w:sz w:val="20"/>
          <w:szCs w:val="20"/>
          <w:lang w:val="en-US"/>
        </w:rPr>
        <w:t>.</w:t>
      </w:r>
      <w:r w:rsidRPr="004A2BD4">
        <w:rPr>
          <w:rFonts w:asciiTheme="majorBidi" w:hAnsiTheme="majorBidi" w:cstheme="majorBidi"/>
          <w:sz w:val="20"/>
          <w:szCs w:val="20"/>
        </w:rPr>
        <w:t xml:space="preserve"> </w:t>
      </w:r>
      <w:commentRangeStart w:id="23"/>
      <w:r w:rsidRPr="004A2BD4">
        <w:rPr>
          <w:rFonts w:asciiTheme="majorBidi" w:hAnsiTheme="majorBidi" w:cstheme="majorBidi"/>
          <w:sz w:val="20"/>
          <w:szCs w:val="20"/>
        </w:rPr>
        <w:t>Paris</w:t>
      </w:r>
      <w:commentRangeEnd w:id="23"/>
      <w:r>
        <w:rPr>
          <w:rStyle w:val="CommentReference"/>
        </w:rPr>
        <w:commentReference w:id="23"/>
      </w:r>
      <w:r w:rsidRPr="004A2BD4">
        <w:rPr>
          <w:rFonts w:asciiTheme="majorBidi" w:hAnsiTheme="majorBidi" w:cstheme="majorBidi"/>
          <w:sz w:val="20"/>
          <w:szCs w:val="20"/>
          <w:lang w:val="en-US"/>
        </w:rPr>
        <w:t>.</w:t>
      </w:r>
      <w:r w:rsidRPr="004A2BD4">
        <w:rPr>
          <w:rFonts w:asciiTheme="majorBidi" w:hAnsiTheme="majorBidi" w:cstheme="majorBidi"/>
          <w:sz w:val="20"/>
          <w:szCs w:val="20"/>
        </w:rPr>
        <w:t xml:space="preserve"> </w:t>
      </w:r>
    </w:p>
    <w:p w14:paraId="4F30FEC9" w14:textId="59EF2652" w:rsidR="0035208C" w:rsidRDefault="0035208C" w:rsidP="0035208C">
      <w:pPr>
        <w:pStyle w:val="FootnoteText"/>
        <w:bidi w:val="0"/>
      </w:pPr>
      <w:r>
        <w:t>Cohen, David. 5755.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Mesoret</w:t>
      </w:r>
      <w:proofErr w:type="spellEnd"/>
      <w:r>
        <w:rPr>
          <w:i/>
          <w:iCs/>
        </w:rPr>
        <w:t xml:space="preserve"> u-</w:t>
      </w:r>
      <w:proofErr w:type="spellStart"/>
      <w:r>
        <w:rPr>
          <w:i/>
          <w:iCs/>
        </w:rPr>
        <w:t>Moderniyut</w:t>
      </w:r>
      <w:proofErr w:type="spellEnd"/>
      <w:r>
        <w:rPr>
          <w:i/>
          <w:iCs/>
        </w:rPr>
        <w:t>: Ha-</w:t>
      </w:r>
      <w:proofErr w:type="spellStart"/>
      <w:r>
        <w:rPr>
          <w:i/>
          <w:iCs/>
        </w:rPr>
        <w:t>Reformizim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shel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Ki’ach</w:t>
      </w:r>
      <w:proofErr w:type="spellEnd"/>
      <w:r>
        <w:rPr>
          <w:i/>
          <w:iCs/>
        </w:rPr>
        <w:t xml:space="preserve"> be-</w:t>
      </w:r>
      <w:proofErr w:type="spellStart"/>
      <w:r>
        <w:rPr>
          <w:i/>
          <w:iCs/>
        </w:rPr>
        <w:t>Talmudei</w:t>
      </w:r>
      <w:proofErr w:type="spellEnd"/>
      <w:r>
        <w:rPr>
          <w:i/>
          <w:iCs/>
        </w:rPr>
        <w:t xml:space="preserve"> Torah be-Algeria (1920–1939)</w:t>
      </w:r>
      <w:r>
        <w:t xml:space="preserve">,” </w:t>
      </w:r>
      <w:proofErr w:type="spellStart"/>
      <w:r w:rsidRPr="00424E70">
        <w:rPr>
          <w:i/>
          <w:iCs/>
        </w:rPr>
        <w:t>Miqqedem</w:t>
      </w:r>
      <w:proofErr w:type="spellEnd"/>
      <w:r w:rsidRPr="00424E70">
        <w:rPr>
          <w:i/>
          <w:iCs/>
        </w:rPr>
        <w:t xml:space="preserve"> </w:t>
      </w:r>
      <w:proofErr w:type="spellStart"/>
      <w:r w:rsidRPr="00424E70">
        <w:rPr>
          <w:i/>
          <w:iCs/>
        </w:rPr>
        <w:t>Umiyyam</w:t>
      </w:r>
      <w:proofErr w:type="spellEnd"/>
      <w:r>
        <w:t xml:space="preserve"> 6: 105–134. Haifa: Haifa </w:t>
      </w:r>
      <w:commentRangeStart w:id="24"/>
      <w:r>
        <w:t>University</w:t>
      </w:r>
      <w:commentRangeEnd w:id="24"/>
      <w:r>
        <w:rPr>
          <w:rStyle w:val="CommentReference"/>
          <w:rFonts w:asciiTheme="minorHAnsi" w:eastAsiaTheme="minorEastAsia" w:hAnsiTheme="minorHAnsi" w:cstheme="minorBidi"/>
          <w:lang w:val="en-IL" w:eastAsia="zh-CN"/>
        </w:rPr>
        <w:commentReference w:id="24"/>
      </w:r>
      <w:r>
        <w:t>.</w:t>
      </w:r>
    </w:p>
    <w:p w14:paraId="469E0556" w14:textId="373F7D26" w:rsidR="002634FA" w:rsidRDefault="002634FA" w:rsidP="002634FA">
      <w:pPr>
        <w:pStyle w:val="FootnoteText"/>
        <w:bidi w:val="0"/>
      </w:pPr>
    </w:p>
    <w:p w14:paraId="699B8A09" w14:textId="4E162132" w:rsidR="00A21CB6" w:rsidRDefault="00A21CB6" w:rsidP="00A21CB6">
      <w:pPr>
        <w:pStyle w:val="FootnoteText"/>
        <w:bidi w:val="0"/>
      </w:pPr>
      <w:proofErr w:type="spellStart"/>
      <w:r w:rsidRPr="00303BA3">
        <w:t>Eisenbeth</w:t>
      </w:r>
      <w:proofErr w:type="spellEnd"/>
      <w:r w:rsidRPr="00303BA3">
        <w:t xml:space="preserve">, </w:t>
      </w:r>
      <w:r w:rsidR="0035208C" w:rsidRPr="00303BA3">
        <w:t xml:space="preserve">M. </w:t>
      </w:r>
      <w:r w:rsidR="0035208C">
        <w:t xml:space="preserve">1930. </w:t>
      </w:r>
      <w:r w:rsidRPr="00303BA3">
        <w:rPr>
          <w:i/>
          <w:iCs/>
        </w:rPr>
        <w:t xml:space="preserve">Le </w:t>
      </w:r>
      <w:proofErr w:type="spellStart"/>
      <w:r w:rsidRPr="00303BA3">
        <w:rPr>
          <w:i/>
          <w:iCs/>
        </w:rPr>
        <w:t>Judaïsme</w:t>
      </w:r>
      <w:proofErr w:type="spellEnd"/>
      <w:r w:rsidRPr="00303BA3">
        <w:rPr>
          <w:i/>
          <w:iCs/>
        </w:rPr>
        <w:t xml:space="preserve"> Nord </w:t>
      </w:r>
      <w:proofErr w:type="spellStart"/>
      <w:r w:rsidRPr="00303BA3">
        <w:rPr>
          <w:i/>
          <w:iCs/>
        </w:rPr>
        <w:t>Africain</w:t>
      </w:r>
      <w:proofErr w:type="spellEnd"/>
      <w:r w:rsidR="0035208C">
        <w:t>.</w:t>
      </w:r>
      <w:r>
        <w:t xml:space="preserve"> </w:t>
      </w:r>
      <w:commentRangeStart w:id="25"/>
      <w:r>
        <w:t>Constantine</w:t>
      </w:r>
      <w:commentRangeEnd w:id="25"/>
      <w:r w:rsidR="0035208C">
        <w:rPr>
          <w:rStyle w:val="CommentReference"/>
          <w:rFonts w:asciiTheme="minorHAnsi" w:eastAsiaTheme="minorEastAsia" w:hAnsiTheme="minorHAnsi" w:cstheme="minorBidi"/>
          <w:lang w:val="en-IL" w:eastAsia="zh-CN"/>
        </w:rPr>
        <w:commentReference w:id="25"/>
      </w:r>
      <w:r w:rsidR="0035208C">
        <w:t>.</w:t>
      </w:r>
      <w:r>
        <w:t>,</w:t>
      </w:r>
      <w:r w:rsidRPr="00303BA3">
        <w:t xml:space="preserve"> 51</w:t>
      </w:r>
      <w:r>
        <w:t>–</w:t>
      </w:r>
      <w:r w:rsidRPr="00303BA3">
        <w:t>54.</w:t>
      </w:r>
    </w:p>
    <w:p w14:paraId="70A0A0A3" w14:textId="5D3F6ED8" w:rsidR="0035208C" w:rsidRDefault="0035208C" w:rsidP="0035208C">
      <w:pPr>
        <w:pStyle w:val="FootnoteText"/>
        <w:bidi w:val="0"/>
      </w:pPr>
    </w:p>
    <w:p w14:paraId="51C1B15D" w14:textId="77777777" w:rsidR="0035208C" w:rsidRDefault="0035208C" w:rsidP="0035208C">
      <w:pPr>
        <w:pStyle w:val="FootnoteText"/>
        <w:bidi w:val="0"/>
      </w:pPr>
      <w:proofErr w:type="spellStart"/>
      <w:r w:rsidRPr="00B11EA7">
        <w:rPr>
          <w:highlight w:val="cyan"/>
        </w:rPr>
        <w:lastRenderedPageBreak/>
        <w:t>G</w:t>
      </w:r>
      <w:r>
        <w:rPr>
          <w:highlight w:val="cyan"/>
        </w:rPr>
        <w:t>u</w:t>
      </w:r>
      <w:r w:rsidRPr="00B11EA7">
        <w:rPr>
          <w:highlight w:val="cyan"/>
        </w:rPr>
        <w:t>dge</w:t>
      </w:r>
      <w:proofErr w:type="spellEnd"/>
      <w:r>
        <w:t xml:space="preserve">, Eliyahu. 1887. </w:t>
      </w:r>
      <w:proofErr w:type="spellStart"/>
      <w:r w:rsidRPr="00B11EA7">
        <w:rPr>
          <w:i/>
          <w:iCs/>
        </w:rPr>
        <w:t>Siftei</w:t>
      </w:r>
      <w:proofErr w:type="spellEnd"/>
      <w:r w:rsidRPr="00B11EA7">
        <w:rPr>
          <w:i/>
          <w:iCs/>
        </w:rPr>
        <w:t xml:space="preserve"> </w:t>
      </w:r>
      <w:proofErr w:type="spellStart"/>
      <w:r w:rsidRPr="00B11EA7">
        <w:rPr>
          <w:i/>
          <w:iCs/>
        </w:rPr>
        <w:t>Renanot</w:t>
      </w:r>
      <w:proofErr w:type="spellEnd"/>
      <w:r>
        <w:t xml:space="preserve">, </w:t>
      </w:r>
      <w:commentRangeStart w:id="26"/>
      <w:r>
        <w:t>Algiers</w:t>
      </w:r>
      <w:commentRangeEnd w:id="26"/>
      <w:r>
        <w:rPr>
          <w:rStyle w:val="CommentReference"/>
          <w:rFonts w:asciiTheme="minorHAnsi" w:eastAsiaTheme="minorEastAsia" w:hAnsiTheme="minorHAnsi" w:cstheme="minorBidi"/>
          <w:lang w:val="en-IL" w:eastAsia="zh-CN"/>
        </w:rPr>
        <w:commentReference w:id="26"/>
      </w:r>
      <w:r>
        <w:t>.</w:t>
      </w:r>
    </w:p>
    <w:p w14:paraId="658C4861" w14:textId="77777777" w:rsidR="0035208C" w:rsidRDefault="0035208C" w:rsidP="0035208C">
      <w:pPr>
        <w:pStyle w:val="FootnoteText"/>
        <w:bidi w:val="0"/>
      </w:pPr>
    </w:p>
    <w:p w14:paraId="74DBEE08" w14:textId="77777777" w:rsidR="000D40A3" w:rsidRDefault="0038732B" w:rsidP="0038732B">
      <w:pPr>
        <w:pStyle w:val="FootnoteText"/>
        <w:bidi w:val="0"/>
        <w:jc w:val="both"/>
      </w:pPr>
      <w:r>
        <w:t xml:space="preserve">The Navon Report 1905, The Central Archives for the History of the Jewish People (CAHJP) HM 2 5898 a, b; </w:t>
      </w:r>
    </w:p>
    <w:p w14:paraId="3B0A361C" w14:textId="77777777" w:rsidR="000D40A3" w:rsidRDefault="000D40A3" w:rsidP="000D40A3">
      <w:pPr>
        <w:pStyle w:val="FootnoteText"/>
        <w:bidi w:val="0"/>
        <w:jc w:val="both"/>
      </w:pPr>
    </w:p>
    <w:p w14:paraId="46CAF790" w14:textId="3F10765E" w:rsidR="00FD5AAC" w:rsidRPr="00303BA3" w:rsidRDefault="00FD5AAC" w:rsidP="00FD5AAC">
      <w:pPr>
        <w:pStyle w:val="FootnoteText"/>
        <w:bidi w:val="0"/>
        <w:jc w:val="both"/>
      </w:pPr>
      <w:r>
        <w:t>Navon, A. H.</w:t>
      </w:r>
      <w:r w:rsidRPr="00303BA3">
        <w:t xml:space="preserve"> 1902</w:t>
      </w:r>
      <w:r>
        <w:t>–</w:t>
      </w:r>
      <w:commentRangeStart w:id="27"/>
      <w:r w:rsidRPr="00303BA3">
        <w:t>1903</w:t>
      </w:r>
      <w:commentRangeEnd w:id="27"/>
      <w:r>
        <w:rPr>
          <w:rStyle w:val="CommentReference"/>
          <w:rFonts w:asciiTheme="minorHAnsi" w:eastAsiaTheme="minorEastAsia" w:hAnsiTheme="minorHAnsi" w:cstheme="minorBidi"/>
          <w:lang w:val="en-IL" w:eastAsia="zh-CN"/>
        </w:rPr>
        <w:commentReference w:id="27"/>
      </w:r>
      <w:r>
        <w:t>.</w:t>
      </w:r>
      <w:r>
        <w:t xml:space="preserve"> “</w:t>
      </w:r>
      <w:r w:rsidRPr="00303BA3">
        <w:t xml:space="preserve">Les </w:t>
      </w:r>
      <w:proofErr w:type="spellStart"/>
      <w:r w:rsidRPr="00303BA3">
        <w:t>Juifs</w:t>
      </w:r>
      <w:proofErr w:type="spellEnd"/>
      <w:r w:rsidRPr="00303BA3">
        <w:t xml:space="preserve"> de Consta</w:t>
      </w:r>
      <w:r>
        <w:t xml:space="preserve">ntine,” Revue des </w:t>
      </w:r>
      <w:proofErr w:type="spellStart"/>
      <w:r>
        <w:t>Ecoles</w:t>
      </w:r>
      <w:proofErr w:type="spellEnd"/>
      <w:r>
        <w:t xml:space="preserve"> de </w:t>
      </w:r>
      <w:proofErr w:type="spellStart"/>
      <w:r>
        <w:t>l’</w:t>
      </w:r>
      <w:r w:rsidRPr="00303BA3">
        <w:t>AIU</w:t>
      </w:r>
      <w:proofErr w:type="spellEnd"/>
      <w:r w:rsidRPr="00303BA3">
        <w:t xml:space="preserve">, 8. </w:t>
      </w:r>
    </w:p>
    <w:p w14:paraId="1ECE42D7" w14:textId="77777777" w:rsidR="000D40A3" w:rsidRDefault="000D40A3" w:rsidP="000D40A3">
      <w:pPr>
        <w:pStyle w:val="FootnoteText"/>
        <w:bidi w:val="0"/>
        <w:jc w:val="both"/>
      </w:pPr>
    </w:p>
    <w:p w14:paraId="31077551" w14:textId="0D52DDB7" w:rsidR="0038732B" w:rsidRDefault="0038732B" w:rsidP="000D40A3">
      <w:pPr>
        <w:pStyle w:val="FootnoteText"/>
        <w:bidi w:val="0"/>
        <w:jc w:val="both"/>
      </w:pPr>
      <w:r w:rsidRPr="00303BA3">
        <w:t xml:space="preserve">Navon, </w:t>
      </w:r>
      <w:r w:rsidR="000F15C1" w:rsidRPr="00303BA3">
        <w:t xml:space="preserve">A.H. </w:t>
      </w:r>
      <w:r w:rsidR="00FD5AAC" w:rsidRPr="00303BA3">
        <w:t>1902</w:t>
      </w:r>
      <w:r w:rsidR="00FD5AAC">
        <w:t>–</w:t>
      </w:r>
      <w:r w:rsidR="00FD5AAC" w:rsidRPr="00303BA3">
        <w:t>1903</w:t>
      </w:r>
      <w:r w:rsidR="00FD5AAC">
        <w:t xml:space="preserve">. </w:t>
      </w:r>
      <w:r w:rsidRPr="00303BA3">
        <w:rPr>
          <w:i/>
          <w:iCs/>
        </w:rPr>
        <w:t xml:space="preserve">Les 70 </w:t>
      </w:r>
      <w:r>
        <w:rPr>
          <w:i/>
          <w:iCs/>
        </w:rPr>
        <w:t>A</w:t>
      </w:r>
      <w:r w:rsidRPr="00303BA3">
        <w:rPr>
          <w:i/>
          <w:iCs/>
        </w:rPr>
        <w:t xml:space="preserve">ns de </w:t>
      </w:r>
      <w:proofErr w:type="spellStart"/>
      <w:r w:rsidRPr="00303BA3">
        <w:rPr>
          <w:i/>
          <w:iCs/>
        </w:rPr>
        <w:t>l'Ecole</w:t>
      </w:r>
      <w:proofErr w:type="spellEnd"/>
      <w:r w:rsidRPr="00303BA3">
        <w:rPr>
          <w:i/>
          <w:iCs/>
        </w:rPr>
        <w:t xml:space="preserve"> </w:t>
      </w:r>
      <w:proofErr w:type="spellStart"/>
      <w:r w:rsidRPr="00303BA3">
        <w:rPr>
          <w:i/>
          <w:iCs/>
        </w:rPr>
        <w:t>Normale</w:t>
      </w:r>
      <w:proofErr w:type="spellEnd"/>
      <w:r w:rsidRPr="00303BA3">
        <w:rPr>
          <w:i/>
          <w:iCs/>
        </w:rPr>
        <w:t xml:space="preserve"> Orientale</w:t>
      </w:r>
      <w:r w:rsidRPr="00303BA3">
        <w:t>, 1865</w:t>
      </w:r>
      <w:r w:rsidR="00FD5AAC">
        <w:t>–</w:t>
      </w:r>
      <w:r w:rsidRPr="00303BA3">
        <w:t>1935</w:t>
      </w:r>
      <w:r w:rsidR="00FD5AAC">
        <w:t>.</w:t>
      </w:r>
      <w:r w:rsidRPr="00303BA3">
        <w:t xml:space="preserve"> Paris 1935, p. 126</w:t>
      </w:r>
      <w:r w:rsidR="00FD5AAC">
        <w:t xml:space="preserve"> </w:t>
      </w:r>
      <w:r w:rsidRPr="00303BA3">
        <w:t xml:space="preserve">"Les </w:t>
      </w:r>
      <w:proofErr w:type="spellStart"/>
      <w:r w:rsidRPr="00303BA3">
        <w:t>Juifs</w:t>
      </w:r>
      <w:proofErr w:type="spellEnd"/>
      <w:r w:rsidRPr="00303BA3">
        <w:t xml:space="preserve"> de Consta</w:t>
      </w:r>
      <w:r>
        <w:t xml:space="preserve">ntine" in Revue des </w:t>
      </w:r>
      <w:proofErr w:type="spellStart"/>
      <w:r>
        <w:t>Ecoles</w:t>
      </w:r>
      <w:proofErr w:type="spellEnd"/>
      <w:r>
        <w:t xml:space="preserve"> de </w:t>
      </w:r>
      <w:proofErr w:type="spellStart"/>
      <w:r>
        <w:t>l’</w:t>
      </w:r>
      <w:r w:rsidRPr="00303BA3">
        <w:t>AIU</w:t>
      </w:r>
      <w:proofErr w:type="spellEnd"/>
      <w:r w:rsidRPr="00303BA3">
        <w:t xml:space="preserve">, 8, Paris. </w:t>
      </w:r>
    </w:p>
    <w:p w14:paraId="6C34432F" w14:textId="2C025970" w:rsidR="0038732B" w:rsidRDefault="0038732B" w:rsidP="0038732B">
      <w:pPr>
        <w:pStyle w:val="FootnoteText"/>
        <w:bidi w:val="0"/>
        <w:jc w:val="both"/>
      </w:pPr>
    </w:p>
    <w:p w14:paraId="5134D348" w14:textId="1F14B1DD" w:rsidR="006173C6" w:rsidRDefault="006173C6" w:rsidP="006173C6">
      <w:pPr>
        <w:pStyle w:val="FootnoteText"/>
        <w:bidi w:val="0"/>
        <w:jc w:val="both"/>
      </w:pPr>
      <w:proofErr w:type="spellStart"/>
      <w:r w:rsidRPr="006173C6">
        <w:rPr>
          <w:highlight w:val="yellow"/>
        </w:rPr>
        <w:t>R</w:t>
      </w:r>
      <w:r w:rsidRPr="006173C6">
        <w:rPr>
          <w:rFonts w:asciiTheme="majorBidi" w:hAnsiTheme="majorBidi" w:cstheme="majorBidi"/>
          <w:highlight w:val="yellow"/>
        </w:rPr>
        <w:t>è</w:t>
      </w:r>
      <w:r w:rsidRPr="006173C6">
        <w:rPr>
          <w:highlight w:val="yellow"/>
        </w:rPr>
        <w:t>glement</w:t>
      </w:r>
      <w:proofErr w:type="spellEnd"/>
      <w:r w:rsidRPr="006173C6">
        <w:rPr>
          <w:highlight w:val="yellow"/>
        </w:rPr>
        <w:t xml:space="preserve"> du 1.1.1876, </w:t>
      </w:r>
      <w:proofErr w:type="spellStart"/>
      <w:r w:rsidRPr="006173C6">
        <w:rPr>
          <w:highlight w:val="yellow"/>
        </w:rPr>
        <w:t>relatif</w:t>
      </w:r>
      <w:proofErr w:type="spellEnd"/>
      <w:r w:rsidRPr="006173C6">
        <w:rPr>
          <w:highlight w:val="yellow"/>
        </w:rPr>
        <w:t xml:space="preserve"> aux </w:t>
      </w:r>
      <w:proofErr w:type="spellStart"/>
      <w:r w:rsidRPr="006173C6">
        <w:rPr>
          <w:highlight w:val="yellow"/>
        </w:rPr>
        <w:t>Ecoles</w:t>
      </w:r>
      <w:proofErr w:type="spellEnd"/>
      <w:r w:rsidRPr="006173C6">
        <w:rPr>
          <w:highlight w:val="yellow"/>
        </w:rPr>
        <w:t xml:space="preserve"> </w:t>
      </w:r>
      <w:proofErr w:type="spellStart"/>
      <w:r w:rsidRPr="006173C6">
        <w:rPr>
          <w:highlight w:val="yellow"/>
        </w:rPr>
        <w:t>dites</w:t>
      </w:r>
      <w:proofErr w:type="spellEnd"/>
      <w:r w:rsidRPr="006173C6">
        <w:rPr>
          <w:highlight w:val="yellow"/>
        </w:rPr>
        <w:t xml:space="preserve"> '</w:t>
      </w:r>
      <w:proofErr w:type="spellStart"/>
      <w:r w:rsidRPr="006173C6">
        <w:rPr>
          <w:highlight w:val="yellow"/>
        </w:rPr>
        <w:t>Midraschim</w:t>
      </w:r>
      <w:proofErr w:type="spellEnd"/>
      <w:r w:rsidRPr="006173C6">
        <w:rPr>
          <w:highlight w:val="yellow"/>
        </w:rPr>
        <w:t xml:space="preserve">' </w:t>
      </w:r>
      <w:proofErr w:type="spellStart"/>
      <w:r w:rsidRPr="006173C6">
        <w:rPr>
          <w:highlight w:val="yellow"/>
        </w:rPr>
        <w:t>en</w:t>
      </w:r>
      <w:proofErr w:type="spellEnd"/>
      <w:r w:rsidRPr="006173C6">
        <w:rPr>
          <w:highlight w:val="yellow"/>
        </w:rPr>
        <w:t xml:space="preserve"> </w:t>
      </w:r>
      <w:proofErr w:type="spellStart"/>
      <w:r w:rsidRPr="006173C6">
        <w:rPr>
          <w:highlight w:val="yellow"/>
        </w:rPr>
        <w:t>Alg</w:t>
      </w:r>
      <w:r w:rsidRPr="006173C6">
        <w:rPr>
          <w:rFonts w:ascii="EucrosiaUPC" w:hAnsi="EucrosiaUPC"/>
          <w:highlight w:val="yellow"/>
        </w:rPr>
        <w:t>é</w:t>
      </w:r>
      <w:r w:rsidRPr="006173C6">
        <w:rPr>
          <w:highlight w:val="yellow"/>
        </w:rPr>
        <w:t>rie</w:t>
      </w:r>
      <w:proofErr w:type="spellEnd"/>
      <w:r w:rsidRPr="006173C6">
        <w:rPr>
          <w:highlight w:val="yellow"/>
        </w:rPr>
        <w:t xml:space="preserve">" in I. </w:t>
      </w:r>
      <w:proofErr w:type="spellStart"/>
      <w:r w:rsidRPr="006173C6">
        <w:rPr>
          <w:highlight w:val="yellow"/>
        </w:rPr>
        <w:t>Uhry</w:t>
      </w:r>
      <w:proofErr w:type="spellEnd"/>
      <w:r w:rsidRPr="006173C6">
        <w:rPr>
          <w:highlight w:val="yellow"/>
        </w:rPr>
        <w:t xml:space="preserve">, </w:t>
      </w:r>
      <w:proofErr w:type="spellStart"/>
      <w:r w:rsidRPr="006173C6">
        <w:rPr>
          <w:i/>
          <w:iCs/>
          <w:highlight w:val="yellow"/>
        </w:rPr>
        <w:t>Receuil</w:t>
      </w:r>
      <w:proofErr w:type="spellEnd"/>
      <w:r w:rsidRPr="006173C6">
        <w:rPr>
          <w:i/>
          <w:iCs/>
          <w:highlight w:val="yellow"/>
        </w:rPr>
        <w:t xml:space="preserve"> des </w:t>
      </w:r>
      <w:proofErr w:type="spellStart"/>
      <w:r w:rsidRPr="006173C6">
        <w:rPr>
          <w:i/>
          <w:iCs/>
          <w:highlight w:val="yellow"/>
        </w:rPr>
        <w:t>lois</w:t>
      </w:r>
      <w:proofErr w:type="spellEnd"/>
      <w:r w:rsidRPr="006173C6">
        <w:rPr>
          <w:i/>
          <w:iCs/>
          <w:highlight w:val="yellow"/>
        </w:rPr>
        <w:t xml:space="preserve">, </w:t>
      </w:r>
      <w:proofErr w:type="spellStart"/>
      <w:r w:rsidRPr="006173C6">
        <w:rPr>
          <w:i/>
          <w:iCs/>
          <w:highlight w:val="yellow"/>
        </w:rPr>
        <w:t>d</w:t>
      </w:r>
      <w:r w:rsidRPr="006173C6">
        <w:rPr>
          <w:rFonts w:ascii="EucrosiaUPC" w:hAnsi="EucrosiaUPC"/>
          <w:i/>
          <w:iCs/>
          <w:highlight w:val="yellow"/>
        </w:rPr>
        <w:t>é</w:t>
      </w:r>
      <w:r w:rsidRPr="006173C6">
        <w:rPr>
          <w:i/>
          <w:iCs/>
          <w:highlight w:val="yellow"/>
        </w:rPr>
        <w:t>crets</w:t>
      </w:r>
      <w:proofErr w:type="spellEnd"/>
      <w:r w:rsidRPr="006173C6">
        <w:rPr>
          <w:i/>
          <w:iCs/>
          <w:highlight w:val="yellow"/>
        </w:rPr>
        <w:t xml:space="preserve">, ordonnances […] </w:t>
      </w:r>
      <w:proofErr w:type="spellStart"/>
      <w:r w:rsidRPr="006173C6">
        <w:rPr>
          <w:i/>
          <w:iCs/>
          <w:highlight w:val="yellow"/>
        </w:rPr>
        <w:t>concernant</w:t>
      </w:r>
      <w:proofErr w:type="spellEnd"/>
      <w:r w:rsidRPr="006173C6">
        <w:rPr>
          <w:i/>
          <w:iCs/>
          <w:highlight w:val="yellow"/>
        </w:rPr>
        <w:t xml:space="preserve"> les </w:t>
      </w:r>
      <w:proofErr w:type="spellStart"/>
      <w:r w:rsidRPr="006173C6">
        <w:rPr>
          <w:i/>
          <w:iCs/>
          <w:highlight w:val="yellow"/>
        </w:rPr>
        <w:t>Isra</w:t>
      </w:r>
      <w:r w:rsidRPr="006173C6">
        <w:rPr>
          <w:rFonts w:ascii="EucrosiaUPC" w:hAnsi="EucrosiaUPC"/>
          <w:i/>
          <w:iCs/>
          <w:highlight w:val="yellow"/>
        </w:rPr>
        <w:t>é</w:t>
      </w:r>
      <w:r w:rsidRPr="006173C6">
        <w:rPr>
          <w:i/>
          <w:iCs/>
          <w:highlight w:val="yellow"/>
        </w:rPr>
        <w:t>lites</w:t>
      </w:r>
      <w:proofErr w:type="spellEnd"/>
      <w:r w:rsidRPr="006173C6">
        <w:rPr>
          <w:i/>
          <w:iCs/>
          <w:highlight w:val="yellow"/>
        </w:rPr>
        <w:t xml:space="preserve"> </w:t>
      </w:r>
      <w:proofErr w:type="spellStart"/>
      <w:r w:rsidRPr="006173C6">
        <w:rPr>
          <w:i/>
          <w:iCs/>
          <w:highlight w:val="yellow"/>
        </w:rPr>
        <w:t>depuis</w:t>
      </w:r>
      <w:proofErr w:type="spellEnd"/>
      <w:r w:rsidRPr="006173C6">
        <w:rPr>
          <w:i/>
          <w:iCs/>
          <w:highlight w:val="yellow"/>
        </w:rPr>
        <w:t xml:space="preserve"> 1850</w:t>
      </w:r>
      <w:r w:rsidRPr="006173C6">
        <w:rPr>
          <w:highlight w:val="yellow"/>
        </w:rPr>
        <w:t xml:space="preserve">, Bordeaux, </w:t>
      </w:r>
      <w:commentRangeStart w:id="28"/>
      <w:r w:rsidRPr="006173C6">
        <w:rPr>
          <w:highlight w:val="yellow"/>
        </w:rPr>
        <w:t>1878</w:t>
      </w:r>
      <w:commentRangeEnd w:id="28"/>
      <w:r>
        <w:rPr>
          <w:rStyle w:val="CommentReference"/>
          <w:rFonts w:asciiTheme="minorHAnsi" w:eastAsiaTheme="minorEastAsia" w:hAnsiTheme="minorHAnsi" w:cstheme="minorBidi"/>
          <w:lang w:val="en-IL" w:eastAsia="zh-CN"/>
        </w:rPr>
        <w:commentReference w:id="28"/>
      </w:r>
      <w:r w:rsidRPr="006173C6">
        <w:rPr>
          <w:highlight w:val="yellow"/>
        </w:rPr>
        <w:t>.</w:t>
      </w:r>
    </w:p>
    <w:p w14:paraId="77F83DDA" w14:textId="0969DAD8" w:rsidR="00F341DC" w:rsidRDefault="00F341DC" w:rsidP="00F341DC">
      <w:pPr>
        <w:pStyle w:val="FootnoteText"/>
        <w:bidi w:val="0"/>
        <w:jc w:val="both"/>
      </w:pPr>
    </w:p>
    <w:p w14:paraId="3CFD53AE" w14:textId="5D80116D" w:rsidR="00F341DC" w:rsidRDefault="00F341DC" w:rsidP="00F341DC">
      <w:pPr>
        <w:pStyle w:val="FootnoteText"/>
        <w:bidi w:val="0"/>
        <w:jc w:val="both"/>
      </w:pPr>
      <w:r w:rsidRPr="00F341DC">
        <w:rPr>
          <w:rFonts w:cs="Koren"/>
          <w:highlight w:val="yellow"/>
        </w:rPr>
        <w:t>“</w:t>
      </w:r>
      <w:proofErr w:type="spellStart"/>
      <w:r w:rsidRPr="00F341DC">
        <w:rPr>
          <w:rFonts w:cs="Koren"/>
          <w:highlight w:val="yellow"/>
        </w:rPr>
        <w:t>Réorganisation</w:t>
      </w:r>
      <w:proofErr w:type="spellEnd"/>
      <w:r w:rsidRPr="00F341DC">
        <w:rPr>
          <w:rFonts w:cs="Koren"/>
          <w:highlight w:val="yellow"/>
        </w:rPr>
        <w:t xml:space="preserve"> des </w:t>
      </w:r>
      <w:proofErr w:type="spellStart"/>
      <w:r w:rsidRPr="00F341DC">
        <w:rPr>
          <w:rFonts w:cs="Koren"/>
          <w:highlight w:val="yellow"/>
        </w:rPr>
        <w:t>consistoires</w:t>
      </w:r>
      <w:proofErr w:type="spellEnd"/>
      <w:r w:rsidRPr="00F341DC">
        <w:rPr>
          <w:rFonts w:cs="Koren"/>
          <w:highlight w:val="yellow"/>
        </w:rPr>
        <w:t xml:space="preserve"> </w:t>
      </w:r>
      <w:proofErr w:type="spellStart"/>
      <w:r w:rsidRPr="00F341DC">
        <w:rPr>
          <w:rFonts w:cs="Koren"/>
          <w:highlight w:val="yellow"/>
        </w:rPr>
        <w:t>israélites</w:t>
      </w:r>
      <w:proofErr w:type="spellEnd"/>
      <w:r w:rsidRPr="00F341DC">
        <w:rPr>
          <w:rFonts w:cs="Koren"/>
          <w:highlight w:val="yellow"/>
        </w:rPr>
        <w:t xml:space="preserve">” in </w:t>
      </w:r>
      <w:proofErr w:type="spellStart"/>
      <w:r w:rsidRPr="00F341DC">
        <w:rPr>
          <w:rFonts w:cs="Koren"/>
          <w:highlight w:val="yellow"/>
        </w:rPr>
        <w:t>Univers</w:t>
      </w:r>
      <w:proofErr w:type="spellEnd"/>
      <w:r w:rsidRPr="00F341DC">
        <w:rPr>
          <w:rFonts w:cs="Koren"/>
          <w:highlight w:val="yellow"/>
        </w:rPr>
        <w:t xml:space="preserve"> </w:t>
      </w:r>
      <w:proofErr w:type="spellStart"/>
      <w:r w:rsidRPr="00F341DC">
        <w:rPr>
          <w:rFonts w:cs="Koren"/>
          <w:highlight w:val="yellow"/>
        </w:rPr>
        <w:t>Israélites</w:t>
      </w:r>
      <w:proofErr w:type="spellEnd"/>
      <w:r w:rsidRPr="00F341DC">
        <w:rPr>
          <w:rFonts w:cs="Koren"/>
          <w:highlight w:val="yellow"/>
        </w:rPr>
        <w:t xml:space="preserve"> 50, 1898, pp. 762</w:t>
      </w:r>
      <w:r w:rsidRPr="00F341DC">
        <w:rPr>
          <w:highlight w:val="yellow"/>
        </w:rPr>
        <w:t>–</w:t>
      </w:r>
      <w:commentRangeStart w:id="29"/>
      <w:r w:rsidRPr="00F341DC">
        <w:rPr>
          <w:rFonts w:cs="Koren"/>
          <w:highlight w:val="yellow"/>
        </w:rPr>
        <w:t>767</w:t>
      </w:r>
      <w:commentRangeEnd w:id="29"/>
      <w:r>
        <w:rPr>
          <w:rStyle w:val="CommentReference"/>
          <w:rFonts w:asciiTheme="minorHAnsi" w:eastAsiaTheme="minorEastAsia" w:hAnsiTheme="minorHAnsi" w:cstheme="minorBidi"/>
          <w:lang w:val="en-IL" w:eastAsia="zh-CN"/>
        </w:rPr>
        <w:commentReference w:id="29"/>
      </w:r>
      <w:r w:rsidRPr="0067249A">
        <w:rPr>
          <w:rFonts w:cs="Koren"/>
        </w:rPr>
        <w:t>.</w:t>
      </w:r>
    </w:p>
    <w:p w14:paraId="56583773" w14:textId="77777777" w:rsidR="006173C6" w:rsidRDefault="006173C6" w:rsidP="006173C6">
      <w:pPr>
        <w:pStyle w:val="FootnoteText"/>
        <w:bidi w:val="0"/>
        <w:jc w:val="both"/>
      </w:pPr>
    </w:p>
    <w:p w14:paraId="05F6A7A2" w14:textId="77777777" w:rsidR="00471322" w:rsidRDefault="005B174C" w:rsidP="00EE3F46">
      <w:pPr>
        <w:rPr>
          <w:rFonts w:asciiTheme="majorBidi" w:hAnsiTheme="majorBidi" w:cstheme="majorBidi"/>
          <w:sz w:val="20"/>
          <w:szCs w:val="20"/>
        </w:rPr>
      </w:pPr>
      <w:r w:rsidRPr="00471322">
        <w:rPr>
          <w:rFonts w:asciiTheme="majorBidi" w:hAnsiTheme="majorBidi" w:cstheme="majorBidi"/>
          <w:sz w:val="20"/>
          <w:szCs w:val="20"/>
        </w:rPr>
        <w:t xml:space="preserve">Rosenstock, </w:t>
      </w:r>
      <w:r w:rsidR="004A2BD4" w:rsidRPr="00471322">
        <w:rPr>
          <w:rFonts w:asciiTheme="majorBidi" w:hAnsiTheme="majorBidi" w:cstheme="majorBidi"/>
          <w:sz w:val="20"/>
          <w:szCs w:val="20"/>
        </w:rPr>
        <w:t xml:space="preserve">M. </w:t>
      </w:r>
      <w:r w:rsidR="004A2BD4" w:rsidRPr="00471322">
        <w:rPr>
          <w:rFonts w:asciiTheme="majorBidi" w:hAnsiTheme="majorBidi" w:cstheme="majorBidi"/>
          <w:sz w:val="20"/>
          <w:szCs w:val="20"/>
          <w:lang w:val="en-US"/>
        </w:rPr>
        <w:t xml:space="preserve">1956. </w:t>
      </w:r>
      <w:r w:rsidRPr="00471322">
        <w:rPr>
          <w:rFonts w:asciiTheme="majorBidi" w:hAnsiTheme="majorBidi" w:cstheme="majorBidi"/>
          <w:sz w:val="20"/>
          <w:szCs w:val="20"/>
        </w:rPr>
        <w:t xml:space="preserve">“The </w:t>
      </w:r>
      <w:r w:rsidR="004A2BD4" w:rsidRPr="00471322">
        <w:rPr>
          <w:rFonts w:asciiTheme="majorBidi" w:hAnsiTheme="majorBidi" w:cstheme="majorBidi"/>
          <w:sz w:val="20"/>
          <w:szCs w:val="20"/>
          <w:lang w:val="en-US"/>
        </w:rPr>
        <w:t>E</w:t>
      </w:r>
      <w:proofErr w:type="spellStart"/>
      <w:r w:rsidRPr="00471322">
        <w:rPr>
          <w:rFonts w:asciiTheme="majorBidi" w:hAnsiTheme="majorBidi" w:cstheme="majorBidi"/>
          <w:sz w:val="20"/>
          <w:szCs w:val="20"/>
        </w:rPr>
        <w:t>stablishment</w:t>
      </w:r>
      <w:proofErr w:type="spellEnd"/>
      <w:r w:rsidRPr="00471322">
        <w:rPr>
          <w:rFonts w:asciiTheme="majorBidi" w:hAnsiTheme="majorBidi" w:cstheme="majorBidi"/>
          <w:sz w:val="20"/>
          <w:szCs w:val="20"/>
        </w:rPr>
        <w:t xml:space="preserve"> of the Consistorial System in Algeria</w:t>
      </w:r>
      <w:r w:rsidR="004A2BD4" w:rsidRPr="00471322">
        <w:rPr>
          <w:rFonts w:asciiTheme="majorBidi" w:hAnsiTheme="majorBidi" w:cstheme="majorBidi"/>
          <w:sz w:val="20"/>
          <w:szCs w:val="20"/>
          <w:lang w:val="en-US"/>
        </w:rPr>
        <w:t>.</w:t>
      </w:r>
      <w:r w:rsidRPr="00471322">
        <w:rPr>
          <w:rFonts w:asciiTheme="majorBidi" w:hAnsiTheme="majorBidi" w:cstheme="majorBidi"/>
          <w:sz w:val="20"/>
          <w:szCs w:val="20"/>
        </w:rPr>
        <w:t>”</w:t>
      </w:r>
      <w:r w:rsidR="004A2BD4" w:rsidRPr="00471322">
        <w:rPr>
          <w:rFonts w:asciiTheme="majorBidi" w:hAnsiTheme="majorBidi" w:cstheme="majorBidi"/>
          <w:sz w:val="20"/>
          <w:szCs w:val="20"/>
          <w:lang w:val="en-US"/>
        </w:rPr>
        <w:t xml:space="preserve"> I</w:t>
      </w:r>
      <w:r w:rsidRPr="00471322">
        <w:rPr>
          <w:rFonts w:asciiTheme="majorBidi" w:hAnsiTheme="majorBidi" w:cstheme="majorBidi"/>
          <w:sz w:val="20"/>
          <w:szCs w:val="20"/>
        </w:rPr>
        <w:t xml:space="preserve">n </w:t>
      </w:r>
      <w:r w:rsidRPr="00471322">
        <w:rPr>
          <w:rFonts w:asciiTheme="majorBidi" w:hAnsiTheme="majorBidi" w:cstheme="majorBidi"/>
          <w:i/>
          <w:iCs/>
          <w:sz w:val="20"/>
          <w:szCs w:val="20"/>
        </w:rPr>
        <w:t>J.S.S</w:t>
      </w:r>
      <w:r w:rsidRPr="00471322">
        <w:rPr>
          <w:rFonts w:asciiTheme="majorBidi" w:hAnsiTheme="majorBidi" w:cstheme="majorBidi"/>
          <w:b/>
          <w:bCs/>
          <w:sz w:val="20"/>
          <w:szCs w:val="20"/>
        </w:rPr>
        <w:t xml:space="preserve">., </w:t>
      </w:r>
      <w:r w:rsidRPr="00471322">
        <w:rPr>
          <w:rFonts w:asciiTheme="majorBidi" w:hAnsiTheme="majorBidi" w:cstheme="majorBidi"/>
          <w:sz w:val="20"/>
          <w:szCs w:val="20"/>
        </w:rPr>
        <w:t>18</w:t>
      </w:r>
      <w:r w:rsidR="004A2BD4" w:rsidRPr="00471322">
        <w:rPr>
          <w:rFonts w:asciiTheme="majorBidi" w:hAnsiTheme="majorBidi" w:cstheme="majorBidi"/>
          <w:sz w:val="20"/>
          <w:szCs w:val="20"/>
          <w:lang w:val="en-US"/>
        </w:rPr>
        <w:t>:</w:t>
      </w:r>
      <w:r w:rsidRPr="00471322">
        <w:rPr>
          <w:rFonts w:asciiTheme="majorBidi" w:hAnsiTheme="majorBidi" w:cstheme="majorBidi"/>
          <w:sz w:val="20"/>
          <w:szCs w:val="20"/>
        </w:rPr>
        <w:t xml:space="preserve"> 41</w:t>
      </w:r>
      <w:r w:rsidRPr="00471322">
        <w:rPr>
          <w:rFonts w:asciiTheme="majorBidi" w:hAnsiTheme="majorBidi" w:cstheme="majorBidi"/>
          <w:i/>
          <w:iCs/>
          <w:sz w:val="20"/>
          <w:szCs w:val="20"/>
        </w:rPr>
        <w:t>–</w:t>
      </w:r>
      <w:r w:rsidRPr="00471322">
        <w:rPr>
          <w:rFonts w:asciiTheme="majorBidi" w:hAnsiTheme="majorBidi" w:cstheme="majorBidi"/>
          <w:sz w:val="20"/>
          <w:szCs w:val="20"/>
        </w:rPr>
        <w:t>54</w:t>
      </w:r>
      <w:r w:rsidR="004A2BD4" w:rsidRPr="00471322">
        <w:rPr>
          <w:rFonts w:asciiTheme="majorBidi" w:hAnsiTheme="majorBidi" w:cstheme="majorBidi"/>
          <w:sz w:val="20"/>
          <w:szCs w:val="20"/>
          <w:lang w:val="en-US"/>
        </w:rPr>
        <w:t>.</w:t>
      </w:r>
      <w:r w:rsidRPr="00471322">
        <w:rPr>
          <w:rFonts w:asciiTheme="majorBidi" w:hAnsiTheme="majorBidi" w:cstheme="majorBidi"/>
          <w:sz w:val="20"/>
          <w:szCs w:val="20"/>
        </w:rPr>
        <w:t xml:space="preserve"> </w:t>
      </w:r>
    </w:p>
    <w:p w14:paraId="7E879775" w14:textId="1E42DBCA" w:rsidR="005B174C" w:rsidRPr="00471322" w:rsidRDefault="005B174C" w:rsidP="00EE3F46">
      <w:pPr>
        <w:rPr>
          <w:rFonts w:asciiTheme="majorBidi" w:hAnsiTheme="majorBidi" w:cstheme="majorBidi"/>
          <w:b/>
          <w:bCs/>
          <w:sz w:val="20"/>
          <w:szCs w:val="20"/>
        </w:rPr>
      </w:pPr>
      <w:proofErr w:type="spellStart"/>
      <w:r w:rsidRPr="00471322">
        <w:rPr>
          <w:rFonts w:asciiTheme="majorBidi" w:hAnsiTheme="majorBidi" w:cstheme="majorBidi"/>
          <w:sz w:val="20"/>
          <w:szCs w:val="20"/>
        </w:rPr>
        <w:t>Schwarzfuchs</w:t>
      </w:r>
      <w:proofErr w:type="spellEnd"/>
      <w:r w:rsidRPr="00471322">
        <w:rPr>
          <w:rFonts w:asciiTheme="majorBidi" w:hAnsiTheme="majorBidi" w:cstheme="majorBidi"/>
          <w:sz w:val="20"/>
          <w:szCs w:val="20"/>
        </w:rPr>
        <w:t xml:space="preserve">, </w:t>
      </w:r>
      <w:r w:rsidR="004A2BD4" w:rsidRPr="00471322">
        <w:rPr>
          <w:rFonts w:asciiTheme="majorBidi" w:hAnsiTheme="majorBidi" w:cstheme="majorBidi"/>
          <w:sz w:val="20"/>
          <w:szCs w:val="20"/>
        </w:rPr>
        <w:t>S. 1982</w:t>
      </w:r>
      <w:r w:rsidR="004A2BD4" w:rsidRPr="00471322">
        <w:rPr>
          <w:rFonts w:asciiTheme="majorBidi" w:hAnsiTheme="majorBidi" w:cstheme="majorBidi"/>
          <w:sz w:val="20"/>
          <w:szCs w:val="20"/>
          <w:lang w:val="en-US"/>
        </w:rPr>
        <w:t>,</w:t>
      </w:r>
      <w:r w:rsidR="004A2BD4" w:rsidRPr="00471322">
        <w:rPr>
          <w:rFonts w:asciiTheme="majorBidi" w:hAnsiTheme="majorBidi" w:cstheme="majorBidi"/>
          <w:sz w:val="20"/>
          <w:szCs w:val="20"/>
        </w:rPr>
        <w:t xml:space="preserve"> </w:t>
      </w:r>
      <w:r w:rsidRPr="00471322">
        <w:rPr>
          <w:rFonts w:asciiTheme="majorBidi" w:hAnsiTheme="majorBidi" w:cstheme="majorBidi"/>
          <w:sz w:val="20"/>
          <w:szCs w:val="20"/>
        </w:rPr>
        <w:t xml:space="preserve">“Le </w:t>
      </w:r>
      <w:proofErr w:type="spellStart"/>
      <w:r w:rsidRPr="00471322">
        <w:rPr>
          <w:rFonts w:asciiTheme="majorBidi" w:hAnsiTheme="majorBidi" w:cstheme="majorBidi"/>
          <w:sz w:val="20"/>
          <w:szCs w:val="20"/>
        </w:rPr>
        <w:t>Judaïsme</w:t>
      </w:r>
      <w:proofErr w:type="spellEnd"/>
      <w:r w:rsidRPr="00471322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471322">
        <w:rPr>
          <w:rFonts w:asciiTheme="majorBidi" w:hAnsiTheme="majorBidi" w:cstheme="majorBidi"/>
          <w:sz w:val="20"/>
          <w:szCs w:val="20"/>
        </w:rPr>
        <w:t>devant</w:t>
      </w:r>
      <w:proofErr w:type="spellEnd"/>
      <w:r w:rsidRPr="00471322">
        <w:rPr>
          <w:rFonts w:asciiTheme="majorBidi" w:hAnsiTheme="majorBidi" w:cstheme="majorBidi"/>
          <w:sz w:val="20"/>
          <w:szCs w:val="20"/>
        </w:rPr>
        <w:t xml:space="preserve"> le </w:t>
      </w:r>
      <w:proofErr w:type="spellStart"/>
      <w:r w:rsidRPr="00471322">
        <w:rPr>
          <w:rFonts w:asciiTheme="majorBidi" w:hAnsiTheme="majorBidi" w:cstheme="majorBidi"/>
          <w:sz w:val="20"/>
          <w:szCs w:val="20"/>
        </w:rPr>
        <w:t>choix</w:t>
      </w:r>
      <w:proofErr w:type="spellEnd"/>
      <w:r w:rsidRPr="00471322">
        <w:rPr>
          <w:rFonts w:asciiTheme="majorBidi" w:hAnsiTheme="majorBidi" w:cstheme="majorBidi"/>
          <w:sz w:val="20"/>
          <w:szCs w:val="20"/>
        </w:rPr>
        <w:t>: la crise de 1905</w:t>
      </w:r>
      <w:r w:rsidR="00471322" w:rsidRPr="00471322">
        <w:rPr>
          <w:rFonts w:asciiTheme="majorBidi" w:hAnsiTheme="majorBidi" w:cstheme="majorBidi"/>
          <w:sz w:val="20"/>
          <w:szCs w:val="20"/>
          <w:lang w:val="en-US"/>
        </w:rPr>
        <w:t>.</w:t>
      </w:r>
      <w:r w:rsidRPr="00471322">
        <w:rPr>
          <w:rFonts w:asciiTheme="majorBidi" w:hAnsiTheme="majorBidi" w:cstheme="majorBidi"/>
          <w:sz w:val="20"/>
          <w:szCs w:val="20"/>
        </w:rPr>
        <w:t xml:space="preserve">” </w:t>
      </w:r>
      <w:r w:rsidR="00471322" w:rsidRPr="00471322">
        <w:rPr>
          <w:rFonts w:asciiTheme="majorBidi" w:hAnsiTheme="majorBidi" w:cstheme="majorBidi"/>
          <w:sz w:val="20"/>
          <w:szCs w:val="20"/>
          <w:lang w:val="en-US"/>
        </w:rPr>
        <w:t>I</w:t>
      </w:r>
      <w:r w:rsidRPr="00471322">
        <w:rPr>
          <w:rFonts w:asciiTheme="majorBidi" w:hAnsiTheme="majorBidi" w:cstheme="majorBidi"/>
          <w:sz w:val="20"/>
          <w:szCs w:val="20"/>
        </w:rPr>
        <w:t xml:space="preserve">n </w:t>
      </w:r>
      <w:r w:rsidRPr="00471322">
        <w:rPr>
          <w:rFonts w:asciiTheme="majorBidi" w:hAnsiTheme="majorBidi" w:cstheme="majorBidi"/>
          <w:i/>
          <w:iCs/>
          <w:sz w:val="20"/>
          <w:szCs w:val="20"/>
        </w:rPr>
        <w:t xml:space="preserve">Les relations </w:t>
      </w:r>
      <w:proofErr w:type="spellStart"/>
      <w:r w:rsidRPr="00471322">
        <w:rPr>
          <w:rFonts w:asciiTheme="majorBidi" w:hAnsiTheme="majorBidi" w:cstheme="majorBidi"/>
          <w:i/>
          <w:iCs/>
          <w:sz w:val="20"/>
          <w:szCs w:val="20"/>
        </w:rPr>
        <w:t>intercommunautaires</w:t>
      </w:r>
      <w:proofErr w:type="spellEnd"/>
      <w:r w:rsidRPr="00471322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471322">
        <w:rPr>
          <w:rFonts w:asciiTheme="majorBidi" w:hAnsiTheme="majorBidi" w:cstheme="majorBidi"/>
          <w:i/>
          <w:iCs/>
          <w:sz w:val="20"/>
          <w:szCs w:val="20"/>
        </w:rPr>
        <w:t>juives</w:t>
      </w:r>
      <w:proofErr w:type="spellEnd"/>
      <w:r w:rsidRPr="00471322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471322">
        <w:rPr>
          <w:rFonts w:asciiTheme="majorBidi" w:hAnsiTheme="majorBidi" w:cstheme="majorBidi"/>
          <w:i/>
          <w:iCs/>
          <w:sz w:val="20"/>
          <w:szCs w:val="20"/>
        </w:rPr>
        <w:t>en</w:t>
      </w:r>
      <w:proofErr w:type="spellEnd"/>
      <w:r w:rsidRPr="00471322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471322">
        <w:rPr>
          <w:rFonts w:asciiTheme="majorBidi" w:hAnsiTheme="majorBidi" w:cstheme="majorBidi"/>
          <w:i/>
          <w:iCs/>
          <w:sz w:val="20"/>
          <w:szCs w:val="20"/>
        </w:rPr>
        <w:t>Méditerranée</w:t>
      </w:r>
      <w:proofErr w:type="spellEnd"/>
      <w:r w:rsidRPr="00471322">
        <w:rPr>
          <w:rFonts w:asciiTheme="majorBidi" w:hAnsiTheme="majorBidi" w:cstheme="majorBidi"/>
          <w:b/>
          <w:bCs/>
          <w:sz w:val="20"/>
          <w:szCs w:val="20"/>
        </w:rPr>
        <w:t>,</w:t>
      </w:r>
      <w:r w:rsidRPr="00471322">
        <w:rPr>
          <w:rFonts w:asciiTheme="majorBidi" w:hAnsiTheme="majorBidi" w:cstheme="majorBidi"/>
          <w:sz w:val="20"/>
          <w:szCs w:val="20"/>
        </w:rPr>
        <w:t xml:space="preserve"> </w:t>
      </w:r>
      <w:r w:rsidR="00471322" w:rsidRPr="00471322">
        <w:rPr>
          <w:rFonts w:asciiTheme="majorBidi" w:hAnsiTheme="majorBidi" w:cstheme="majorBidi"/>
          <w:sz w:val="20"/>
          <w:szCs w:val="20"/>
        </w:rPr>
        <w:t>203</w:t>
      </w:r>
      <w:r w:rsidR="00471322" w:rsidRPr="00471322">
        <w:rPr>
          <w:rFonts w:asciiTheme="majorBidi" w:hAnsiTheme="majorBidi" w:cstheme="majorBidi"/>
          <w:i/>
          <w:iCs/>
          <w:sz w:val="20"/>
          <w:szCs w:val="20"/>
        </w:rPr>
        <w:t>–</w:t>
      </w:r>
      <w:r w:rsidR="00471322" w:rsidRPr="00471322">
        <w:rPr>
          <w:rFonts w:asciiTheme="majorBidi" w:hAnsiTheme="majorBidi" w:cstheme="majorBidi"/>
          <w:sz w:val="20"/>
          <w:szCs w:val="20"/>
        </w:rPr>
        <w:t>210</w:t>
      </w:r>
      <w:r w:rsidR="00471322" w:rsidRPr="00471322">
        <w:rPr>
          <w:rFonts w:asciiTheme="majorBidi" w:hAnsiTheme="majorBidi" w:cstheme="majorBidi"/>
          <w:sz w:val="20"/>
          <w:szCs w:val="20"/>
          <w:lang w:val="en-US"/>
        </w:rPr>
        <w:t xml:space="preserve">, edited by </w:t>
      </w:r>
      <w:r w:rsidR="00471322" w:rsidRPr="00471322">
        <w:rPr>
          <w:rFonts w:asciiTheme="majorBidi" w:hAnsiTheme="majorBidi" w:cstheme="majorBidi"/>
          <w:sz w:val="20"/>
          <w:szCs w:val="20"/>
        </w:rPr>
        <w:t>M. Abitbol</w:t>
      </w:r>
      <w:r w:rsidR="00471322" w:rsidRPr="00471322">
        <w:rPr>
          <w:rFonts w:asciiTheme="majorBidi" w:hAnsiTheme="majorBidi" w:cstheme="majorBidi"/>
          <w:sz w:val="20"/>
          <w:szCs w:val="20"/>
          <w:lang w:val="en-US"/>
        </w:rPr>
        <w:t>.</w:t>
      </w:r>
      <w:r w:rsidR="00471322" w:rsidRPr="00471322">
        <w:rPr>
          <w:rFonts w:asciiTheme="majorBidi" w:hAnsiTheme="majorBidi" w:cstheme="majorBidi"/>
          <w:sz w:val="20"/>
          <w:szCs w:val="20"/>
        </w:rPr>
        <w:t xml:space="preserve"> </w:t>
      </w:r>
      <w:r w:rsidRPr="00471322">
        <w:rPr>
          <w:rFonts w:asciiTheme="majorBidi" w:hAnsiTheme="majorBidi" w:cstheme="majorBidi"/>
          <w:sz w:val="20"/>
          <w:szCs w:val="20"/>
        </w:rPr>
        <w:t>Paris</w:t>
      </w:r>
      <w:r w:rsidR="00471322" w:rsidRPr="00471322">
        <w:rPr>
          <w:rFonts w:asciiTheme="majorBidi" w:hAnsiTheme="majorBidi" w:cstheme="majorBidi"/>
          <w:sz w:val="20"/>
          <w:szCs w:val="20"/>
          <w:lang w:val="en-US"/>
        </w:rPr>
        <w:t>:</w:t>
      </w:r>
      <w:commentRangeStart w:id="30"/>
      <w:r w:rsidR="00471322">
        <w:rPr>
          <w:rFonts w:asciiTheme="majorBidi" w:hAnsiTheme="majorBidi" w:cstheme="majorBidi"/>
          <w:sz w:val="20"/>
          <w:szCs w:val="20"/>
          <w:lang w:val="en-US"/>
        </w:rPr>
        <w:t>xxx</w:t>
      </w:r>
      <w:commentRangeEnd w:id="30"/>
      <w:r w:rsidR="00471322">
        <w:rPr>
          <w:rStyle w:val="CommentReference"/>
        </w:rPr>
        <w:commentReference w:id="30"/>
      </w:r>
      <w:r w:rsidR="00471322" w:rsidRPr="00471322">
        <w:rPr>
          <w:rFonts w:asciiTheme="majorBidi" w:hAnsiTheme="majorBidi" w:cstheme="majorBidi"/>
          <w:sz w:val="20"/>
          <w:szCs w:val="20"/>
          <w:lang w:val="en-US"/>
        </w:rPr>
        <w:t>.</w:t>
      </w:r>
    </w:p>
    <w:p w14:paraId="2A2BF0C5" w14:textId="797B9C1C" w:rsidR="006173C6" w:rsidRDefault="006173C6" w:rsidP="006173C6">
      <w:pPr>
        <w:pStyle w:val="FootnoteText"/>
        <w:bidi w:val="0"/>
        <w:jc w:val="both"/>
      </w:pPr>
      <w:proofErr w:type="spellStart"/>
      <w:r>
        <w:t>Schwartzfuchs</w:t>
      </w:r>
      <w:proofErr w:type="spellEnd"/>
      <w:r>
        <w:t xml:space="preserve">, S. 1981. </w:t>
      </w:r>
      <w:r w:rsidRPr="008C1803">
        <w:rPr>
          <w:i/>
          <w:iCs/>
        </w:rPr>
        <w:t>Ha-</w:t>
      </w:r>
      <w:proofErr w:type="spellStart"/>
      <w:r w:rsidRPr="008C1803">
        <w:rPr>
          <w:i/>
          <w:iCs/>
        </w:rPr>
        <w:t>Yehudim</w:t>
      </w:r>
      <w:proofErr w:type="spellEnd"/>
      <w:r w:rsidRPr="008C1803">
        <w:rPr>
          <w:i/>
          <w:iCs/>
        </w:rPr>
        <w:t xml:space="preserve"> </w:t>
      </w:r>
      <w:proofErr w:type="spellStart"/>
      <w:r w:rsidRPr="008C1803">
        <w:rPr>
          <w:i/>
          <w:iCs/>
        </w:rPr>
        <w:t>ve</w:t>
      </w:r>
      <w:proofErr w:type="spellEnd"/>
      <w:r w:rsidRPr="008C1803">
        <w:rPr>
          <w:i/>
          <w:iCs/>
        </w:rPr>
        <w:t>-ha-Shilton ha-</w:t>
      </w:r>
      <w:proofErr w:type="spellStart"/>
      <w:r w:rsidRPr="008C1803">
        <w:rPr>
          <w:i/>
          <w:iCs/>
        </w:rPr>
        <w:t>Tzarfati</w:t>
      </w:r>
      <w:proofErr w:type="spellEnd"/>
      <w:r w:rsidRPr="008C1803">
        <w:rPr>
          <w:i/>
          <w:iCs/>
        </w:rPr>
        <w:t xml:space="preserve"> be-Algeria</w:t>
      </w:r>
      <w:r>
        <w:t xml:space="preserve"> [T</w:t>
      </w:r>
      <w:r w:rsidRPr="005651CA">
        <w:t>he Jews of Algeria and France</w:t>
      </w:r>
      <w:r>
        <w:t xml:space="preserve">], </w:t>
      </w:r>
      <w:r w:rsidR="00F341DC" w:rsidRPr="007A409B">
        <w:rPr>
          <w:rFonts w:asciiTheme="majorBidi" w:hAnsiTheme="majorBidi" w:cstheme="majorBidi"/>
        </w:rPr>
        <w:t>1–29</w:t>
      </w:r>
      <w:r w:rsidR="00F341DC">
        <w:rPr>
          <w:rFonts w:asciiTheme="majorBidi" w:hAnsiTheme="majorBidi" w:cstheme="majorBidi"/>
        </w:rPr>
        <w:t xml:space="preserve">; </w:t>
      </w:r>
      <w:r>
        <w:t>75–</w:t>
      </w:r>
      <w:commentRangeStart w:id="31"/>
      <w:r>
        <w:t>80</w:t>
      </w:r>
      <w:commentRangeEnd w:id="31"/>
      <w:r>
        <w:rPr>
          <w:rStyle w:val="CommentReference"/>
          <w:rFonts w:asciiTheme="minorHAnsi" w:eastAsiaTheme="minorEastAsia" w:hAnsiTheme="minorHAnsi" w:cstheme="minorBidi"/>
          <w:lang w:val="en-IL" w:eastAsia="zh-CN"/>
        </w:rPr>
        <w:commentReference w:id="31"/>
      </w:r>
      <w:r>
        <w:t xml:space="preserve">. Jerusalem: Yad Ben </w:t>
      </w:r>
      <w:proofErr w:type="spellStart"/>
      <w:r>
        <w:t>Zvi</w:t>
      </w:r>
      <w:proofErr w:type="spellEnd"/>
      <w:r>
        <w:t>: Jerusalem.</w:t>
      </w:r>
    </w:p>
    <w:p w14:paraId="63DBB32B" w14:textId="7E757200" w:rsidR="00F341DC" w:rsidRDefault="00F341DC" w:rsidP="00F341DC">
      <w:pPr>
        <w:pStyle w:val="FootnoteText"/>
        <w:bidi w:val="0"/>
        <w:jc w:val="both"/>
      </w:pPr>
    </w:p>
    <w:p w14:paraId="7253DA87" w14:textId="3E8D8264" w:rsidR="006228BE" w:rsidRDefault="00741D3C" w:rsidP="00471322">
      <w:pPr>
        <w:pStyle w:val="BodyText"/>
        <w:bidi w:val="0"/>
      </w:pPr>
      <w:proofErr w:type="spellStart"/>
      <w:r>
        <w:t>Shitrit</w:t>
      </w:r>
      <w:proofErr w:type="spellEnd"/>
      <w:r w:rsidR="00471322">
        <w:t>,</w:t>
      </w:r>
      <w:r>
        <w:t xml:space="preserve"> </w:t>
      </w:r>
      <w:r w:rsidR="00471322">
        <w:t>Y. 5750</w:t>
      </w:r>
      <w:r w:rsidR="00471322">
        <w:t xml:space="preserve">. </w:t>
      </w:r>
      <w:r>
        <w:t>“</w:t>
      </w:r>
      <w:proofErr w:type="spellStart"/>
      <w:r w:rsidRPr="0032686D">
        <w:rPr>
          <w:i/>
          <w:iCs/>
        </w:rPr>
        <w:t>Moderniyut</w:t>
      </w:r>
      <w:proofErr w:type="spellEnd"/>
      <w:r w:rsidRPr="0032686D">
        <w:rPr>
          <w:i/>
          <w:iCs/>
        </w:rPr>
        <w:t xml:space="preserve"> </w:t>
      </w:r>
      <w:proofErr w:type="spellStart"/>
      <w:r w:rsidRPr="0032686D">
        <w:rPr>
          <w:i/>
          <w:iCs/>
        </w:rPr>
        <w:t>Leumit</w:t>
      </w:r>
      <w:proofErr w:type="spellEnd"/>
      <w:r w:rsidRPr="0032686D">
        <w:rPr>
          <w:i/>
          <w:iCs/>
        </w:rPr>
        <w:t xml:space="preserve"> </w:t>
      </w:r>
      <w:proofErr w:type="spellStart"/>
      <w:r w:rsidRPr="0032686D">
        <w:rPr>
          <w:i/>
          <w:iCs/>
        </w:rPr>
        <w:t>Ivrit</w:t>
      </w:r>
      <w:proofErr w:type="spellEnd"/>
      <w:r w:rsidRPr="0032686D">
        <w:rPr>
          <w:i/>
          <w:iCs/>
        </w:rPr>
        <w:t xml:space="preserve"> </w:t>
      </w:r>
      <w:proofErr w:type="spellStart"/>
      <w:r w:rsidRPr="0032686D">
        <w:rPr>
          <w:i/>
          <w:iCs/>
        </w:rPr>
        <w:t>mul</w:t>
      </w:r>
      <w:proofErr w:type="spellEnd"/>
      <w:r w:rsidRPr="0032686D">
        <w:rPr>
          <w:i/>
          <w:iCs/>
        </w:rPr>
        <w:t xml:space="preserve"> </w:t>
      </w:r>
      <w:proofErr w:type="spellStart"/>
      <w:r w:rsidRPr="0032686D">
        <w:rPr>
          <w:i/>
          <w:iCs/>
        </w:rPr>
        <w:t>Moderniyut</w:t>
      </w:r>
      <w:proofErr w:type="spellEnd"/>
      <w:r w:rsidRPr="0032686D">
        <w:rPr>
          <w:i/>
          <w:iCs/>
        </w:rPr>
        <w:t xml:space="preserve"> </w:t>
      </w:r>
      <w:proofErr w:type="spellStart"/>
      <w:r w:rsidRPr="0032686D">
        <w:rPr>
          <w:i/>
          <w:iCs/>
        </w:rPr>
        <w:t>Tzarfatit</w:t>
      </w:r>
      <w:proofErr w:type="spellEnd"/>
      <w:r w:rsidRPr="0032686D">
        <w:rPr>
          <w:i/>
          <w:iCs/>
        </w:rPr>
        <w:t>: Ha-Haskalah ha-</w:t>
      </w:r>
      <w:proofErr w:type="spellStart"/>
      <w:r w:rsidRPr="0032686D">
        <w:rPr>
          <w:i/>
          <w:iCs/>
        </w:rPr>
        <w:t>Ivrit</w:t>
      </w:r>
      <w:proofErr w:type="spellEnd"/>
      <w:r w:rsidRPr="0032686D">
        <w:rPr>
          <w:i/>
          <w:iCs/>
        </w:rPr>
        <w:t xml:space="preserve"> bi-</w:t>
      </w:r>
      <w:proofErr w:type="spellStart"/>
      <w:r w:rsidRPr="0032686D">
        <w:rPr>
          <w:i/>
          <w:iCs/>
        </w:rPr>
        <w:t>Tzfon</w:t>
      </w:r>
      <w:proofErr w:type="spellEnd"/>
      <w:r w:rsidRPr="0032686D">
        <w:rPr>
          <w:i/>
          <w:iCs/>
        </w:rPr>
        <w:t xml:space="preserve"> </w:t>
      </w:r>
      <w:proofErr w:type="spellStart"/>
      <w:r w:rsidRPr="0032686D">
        <w:rPr>
          <w:i/>
          <w:iCs/>
        </w:rPr>
        <w:t>Afrikah</w:t>
      </w:r>
      <w:proofErr w:type="spellEnd"/>
      <w:r w:rsidRPr="0032686D">
        <w:rPr>
          <w:i/>
          <w:iCs/>
        </w:rPr>
        <w:t xml:space="preserve"> be-</w:t>
      </w:r>
      <w:proofErr w:type="spellStart"/>
      <w:r w:rsidRPr="0032686D">
        <w:rPr>
          <w:i/>
          <w:iCs/>
        </w:rPr>
        <w:t>Sof</w:t>
      </w:r>
      <w:proofErr w:type="spellEnd"/>
      <w:r w:rsidRPr="0032686D">
        <w:rPr>
          <w:i/>
          <w:iCs/>
        </w:rPr>
        <w:t xml:space="preserve"> ha-</w:t>
      </w:r>
      <w:proofErr w:type="spellStart"/>
      <w:r w:rsidRPr="0032686D">
        <w:rPr>
          <w:i/>
          <w:iCs/>
        </w:rPr>
        <w:t>Me’ah</w:t>
      </w:r>
      <w:proofErr w:type="spellEnd"/>
      <w:r w:rsidRPr="0032686D">
        <w:rPr>
          <w:i/>
          <w:iCs/>
        </w:rPr>
        <w:t xml:space="preserve"> ha-Tesha-</w:t>
      </w:r>
      <w:proofErr w:type="spellStart"/>
      <w:r w:rsidRPr="0032686D">
        <w:rPr>
          <w:i/>
          <w:iCs/>
        </w:rPr>
        <w:t>Esreh</w:t>
      </w:r>
      <w:proofErr w:type="spellEnd"/>
      <w:r>
        <w:t xml:space="preserve">” </w:t>
      </w:r>
      <w:proofErr w:type="spellStart"/>
      <w:r w:rsidRPr="0032686D">
        <w:rPr>
          <w:i/>
          <w:iCs/>
        </w:rPr>
        <w:t>Mikdam</w:t>
      </w:r>
      <w:proofErr w:type="spellEnd"/>
      <w:r w:rsidRPr="0032686D">
        <w:rPr>
          <w:i/>
          <w:iCs/>
        </w:rPr>
        <w:t xml:space="preserve"> u-</w:t>
      </w:r>
      <w:proofErr w:type="spellStart"/>
      <w:r w:rsidRPr="0032686D">
        <w:rPr>
          <w:i/>
          <w:iCs/>
        </w:rPr>
        <w:t>Mayim</w:t>
      </w:r>
      <w:proofErr w:type="spellEnd"/>
      <w:r>
        <w:t xml:space="preserve"> 3:11</w:t>
      </w:r>
      <w:r>
        <w:rPr>
          <w:rFonts w:cs="Times New Roman"/>
        </w:rPr>
        <w:t>–</w:t>
      </w:r>
      <w:r>
        <w:t>78</w:t>
      </w:r>
      <w:r w:rsidR="00471322">
        <w:t>.</w:t>
      </w:r>
      <w:r w:rsidR="00471322" w:rsidRPr="00471322">
        <w:t xml:space="preserve"> </w:t>
      </w:r>
      <w:r w:rsidR="00471322">
        <w:t xml:space="preserve">Haifa </w:t>
      </w:r>
      <w:commentRangeStart w:id="32"/>
      <w:r w:rsidR="00471322">
        <w:t>University</w:t>
      </w:r>
      <w:commentRangeEnd w:id="32"/>
      <w:r w:rsidR="00471322">
        <w:rPr>
          <w:rStyle w:val="CommentReference"/>
          <w:rFonts w:asciiTheme="minorHAnsi" w:eastAsiaTheme="minorEastAsia" w:hAnsiTheme="minorHAnsi" w:cstheme="minorBidi"/>
          <w:lang w:val="en-IL" w:eastAsia="zh-CN"/>
        </w:rPr>
        <w:commentReference w:id="32"/>
      </w:r>
      <w:r>
        <w:t>.</w:t>
      </w:r>
    </w:p>
    <w:p w14:paraId="36EF38D8" w14:textId="77777777" w:rsidR="006228BE" w:rsidRDefault="006228BE" w:rsidP="006228BE">
      <w:pPr>
        <w:pStyle w:val="BodyText"/>
      </w:pPr>
    </w:p>
    <w:p w14:paraId="0B1875A1" w14:textId="4465672C" w:rsidR="00F341DC" w:rsidRDefault="00F341DC" w:rsidP="00F341DC">
      <w:pPr>
        <w:pStyle w:val="BodyText"/>
        <w:bidi w:val="0"/>
      </w:pPr>
      <w:proofErr w:type="spellStart"/>
      <w:r w:rsidRPr="008A6980">
        <w:rPr>
          <w:rFonts w:cs="FrankRuehl"/>
          <w:szCs w:val="20"/>
        </w:rPr>
        <w:t>Szajkowsk</w:t>
      </w:r>
      <w:proofErr w:type="spellEnd"/>
      <w:r>
        <w:rPr>
          <w:rFonts w:cs="FrankRuehl"/>
          <w:szCs w:val="20"/>
        </w:rPr>
        <w:t>,</w:t>
      </w:r>
      <w:r w:rsidRPr="000032BF">
        <w:t xml:space="preserve"> </w:t>
      </w:r>
      <w:r>
        <w:rPr>
          <w:rFonts w:cs="FrankRuehl"/>
          <w:szCs w:val="20"/>
        </w:rPr>
        <w:t xml:space="preserve">Z. </w:t>
      </w:r>
      <w:r>
        <w:t xml:space="preserve">The Central Archives for the History of the Jewish People (CAHJP) HM 2 5898 a, b: L. </w:t>
      </w:r>
      <w:proofErr w:type="spellStart"/>
      <w:r>
        <w:t>Gu</w:t>
      </w:r>
      <w:r w:rsidRPr="00600D1C">
        <w:t>é</w:t>
      </w:r>
      <w:r>
        <w:t>ron</w:t>
      </w:r>
      <w:proofErr w:type="spellEnd"/>
      <w:r>
        <w:t xml:space="preserve">, </w:t>
      </w:r>
      <w:r w:rsidRPr="00600D1C">
        <w:t xml:space="preserve">Rapport </w:t>
      </w:r>
      <w:proofErr w:type="spellStart"/>
      <w:r>
        <w:t>A</w:t>
      </w:r>
      <w:r w:rsidRPr="00600D1C">
        <w:t>nnuel</w:t>
      </w:r>
      <w:proofErr w:type="spellEnd"/>
      <w:r>
        <w:t>, Constantine, 1905</w:t>
      </w:r>
      <w:r>
        <w:rPr>
          <w:rFonts w:cs="Times New Roman"/>
        </w:rPr>
        <w:t>–</w:t>
      </w:r>
      <w:r>
        <w:t xml:space="preserve">1912. </w:t>
      </w:r>
    </w:p>
    <w:p w14:paraId="0133D9FB" w14:textId="77777777" w:rsidR="00F341DC" w:rsidRDefault="00F341DC" w:rsidP="00F341DC">
      <w:pPr>
        <w:pStyle w:val="BodyText"/>
        <w:bidi w:val="0"/>
      </w:pPr>
    </w:p>
    <w:p w14:paraId="3BBC3C0E" w14:textId="11DBA923" w:rsidR="006228BE" w:rsidRDefault="006228BE" w:rsidP="00471322">
      <w:pPr>
        <w:pStyle w:val="BodyText"/>
        <w:bidi w:val="0"/>
      </w:pPr>
      <w:r>
        <w:t xml:space="preserve">Weinstein, </w:t>
      </w:r>
      <w:r w:rsidR="00471322">
        <w:t xml:space="preserve">M. </w:t>
      </w:r>
      <w:r w:rsidR="00471322">
        <w:t xml:space="preserve">5735. </w:t>
      </w:r>
      <w:r>
        <w:rPr>
          <w:i/>
          <w:iCs/>
        </w:rPr>
        <w:t>Ha-</w:t>
      </w:r>
      <w:proofErr w:type="spellStart"/>
      <w:r>
        <w:rPr>
          <w:i/>
          <w:iCs/>
        </w:rPr>
        <w:t>Kehillot</w:t>
      </w:r>
      <w:proofErr w:type="spellEnd"/>
      <w:r>
        <w:rPr>
          <w:i/>
          <w:iCs/>
        </w:rPr>
        <w:t xml:space="preserve"> ha-</w:t>
      </w:r>
      <w:proofErr w:type="spellStart"/>
      <w:r>
        <w:rPr>
          <w:i/>
          <w:iCs/>
        </w:rPr>
        <w:t>Yehudiyot</w:t>
      </w:r>
      <w:proofErr w:type="spellEnd"/>
      <w:r>
        <w:rPr>
          <w:i/>
          <w:iCs/>
        </w:rPr>
        <w:t xml:space="preserve"> be-Algeria ben ha-</w:t>
      </w:r>
      <w:proofErr w:type="spellStart"/>
      <w:r>
        <w:rPr>
          <w:i/>
          <w:iCs/>
        </w:rPr>
        <w:t>Shanim</w:t>
      </w:r>
      <w:proofErr w:type="spellEnd"/>
      <w:r>
        <w:rPr>
          <w:i/>
          <w:iCs/>
        </w:rPr>
        <w:t xml:space="preserve"> 1300–</w:t>
      </w:r>
      <w:commentRangeStart w:id="33"/>
      <w:r>
        <w:rPr>
          <w:i/>
          <w:iCs/>
        </w:rPr>
        <w:t>1830</w:t>
      </w:r>
      <w:commentRangeEnd w:id="33"/>
      <w:r w:rsidR="00471322">
        <w:rPr>
          <w:rStyle w:val="CommentReference"/>
          <w:rFonts w:asciiTheme="minorHAnsi" w:eastAsiaTheme="minorEastAsia" w:hAnsiTheme="minorHAnsi" w:cstheme="minorBidi"/>
          <w:lang w:val="en-IL" w:eastAsia="zh-CN"/>
        </w:rPr>
        <w:commentReference w:id="33"/>
      </w:r>
      <w:r>
        <w:rPr>
          <w:i/>
          <w:iCs/>
        </w:rPr>
        <w:t>)</w:t>
      </w:r>
      <w:r>
        <w:t xml:space="preserve">, PhD Dissertation, </w:t>
      </w:r>
      <w:r w:rsidR="00471322">
        <w:t xml:space="preserve">Ramat Gan: </w:t>
      </w:r>
      <w:r>
        <w:t>Bar-</w:t>
      </w:r>
      <w:proofErr w:type="spellStart"/>
      <w:r>
        <w:t>Ilan</w:t>
      </w:r>
      <w:proofErr w:type="spellEnd"/>
      <w:r>
        <w:t xml:space="preserve"> University</w:t>
      </w:r>
      <w:r w:rsidR="00471322">
        <w:t>.</w:t>
      </w:r>
      <w:r>
        <w:t xml:space="preserve"> </w:t>
      </w:r>
    </w:p>
    <w:p w14:paraId="5E17FE19" w14:textId="77777777" w:rsidR="00412C52" w:rsidRDefault="00412C52" w:rsidP="00412C52">
      <w:pPr>
        <w:pStyle w:val="FootnoteText"/>
        <w:bidi w:val="0"/>
        <w:jc w:val="both"/>
      </w:pPr>
    </w:p>
    <w:p w14:paraId="2EC9FB1A" w14:textId="0202CE93" w:rsidR="005160CA" w:rsidRPr="00EE3F46" w:rsidRDefault="00004BFA" w:rsidP="00004BFA">
      <w:pPr>
        <w:pStyle w:val="FootnoteText"/>
        <w:bidi w:val="0"/>
      </w:pPr>
      <w:proofErr w:type="spellStart"/>
      <w:r>
        <w:t>Zarbiv</w:t>
      </w:r>
      <w:proofErr w:type="spellEnd"/>
      <w:r>
        <w:t>,</w:t>
      </w:r>
      <w:r w:rsidRPr="00004BFA">
        <w:t xml:space="preserve"> </w:t>
      </w:r>
      <w:r>
        <w:t>R. Moshe</w:t>
      </w:r>
      <w:r>
        <w:t xml:space="preserve">. </w:t>
      </w:r>
      <w:r>
        <w:t>1990</w:t>
      </w:r>
      <w:r>
        <w:t>. B</w:t>
      </w:r>
      <w:r>
        <w:t xml:space="preserve">ooklet </w:t>
      </w:r>
      <w:proofErr w:type="spellStart"/>
      <w:r>
        <w:t>summarizin</w:t>
      </w:r>
      <w:proofErr w:type="spellEnd"/>
      <w:r>
        <w:t xml:space="preserve"> the speeches given at the dedication of the </w:t>
      </w:r>
      <w:r w:rsidRPr="005E63FA">
        <w:rPr>
          <w:i/>
          <w:iCs/>
        </w:rPr>
        <w:t xml:space="preserve">Etz </w:t>
      </w:r>
      <w:proofErr w:type="spellStart"/>
      <w:r w:rsidRPr="005E63FA">
        <w:rPr>
          <w:i/>
          <w:iCs/>
        </w:rPr>
        <w:t>Hayyim</w:t>
      </w:r>
      <w:proofErr w:type="spellEnd"/>
      <w:r>
        <w:t xml:space="preserve"> yeshiva, 1928</w:t>
      </w:r>
      <w:r>
        <w:t>. Private archive.</w:t>
      </w:r>
    </w:p>
    <w:sectPr w:rsidR="005160CA" w:rsidRPr="00EE3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usan" w:date="2023-11-25T18:11:00Z" w:initials="S">
    <w:p w14:paraId="7C06896E" w14:textId="77777777" w:rsidR="0035208C" w:rsidRPr="0035208C" w:rsidRDefault="0035208C" w:rsidP="0035208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Who is the publisher?</w:t>
      </w:r>
    </w:p>
  </w:comment>
  <w:comment w:id="1" w:author="Susan" w:date="2023-11-25T19:36:00Z" w:initials="S">
    <w:p w14:paraId="49337804" w14:textId="35487513" w:rsidR="00486100" w:rsidRPr="00486100" w:rsidRDefault="00486100" w:rsidP="00486100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4F6075">
        <w:rPr>
          <w:lang w:val="en-US"/>
        </w:rPr>
        <w:t>Publication</w:t>
      </w:r>
      <w:r>
        <w:rPr>
          <w:lang w:val="en-US"/>
        </w:rPr>
        <w:t xml:space="preserve"> details? Translation</w:t>
      </w:r>
      <w:r w:rsidR="004F6075">
        <w:rPr>
          <w:lang w:val="en-US"/>
        </w:rPr>
        <w:t xml:space="preserve">, not </w:t>
      </w:r>
      <w:proofErr w:type="spellStart"/>
      <w:r w:rsidR="004F6075">
        <w:rPr>
          <w:lang w:val="en-US"/>
        </w:rPr>
        <w:t>transliteraton</w:t>
      </w:r>
      <w:proofErr w:type="spellEnd"/>
    </w:p>
  </w:comment>
  <w:comment w:id="2" w:author="Susan" w:date="2023-11-25T19:51:00Z" w:initials="S">
    <w:p w14:paraId="06E00E28" w14:textId="77777777" w:rsidR="004F6075" w:rsidRPr="004F6075" w:rsidRDefault="004F6075" w:rsidP="004F6075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Translation, not transliteration</w:t>
      </w:r>
    </w:p>
  </w:comment>
  <w:comment w:id="3" w:author="Susan" w:date="2023-11-25T19:04:00Z" w:initials="S">
    <w:p w14:paraId="5BBBF73A" w14:textId="63488F54" w:rsidR="006608F1" w:rsidRPr="006608F1" w:rsidRDefault="006608F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Year? Details? </w:t>
      </w:r>
    </w:p>
  </w:comment>
  <w:comment w:id="4" w:author="Susan" w:date="2023-11-25T19:59:00Z" w:initials="S">
    <w:p w14:paraId="30998F69" w14:textId="1638BC30" w:rsidR="007A409B" w:rsidRPr="007A409B" w:rsidRDefault="007A409B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Publisher?</w:t>
      </w:r>
    </w:p>
  </w:comment>
  <w:comment w:id="5" w:author="Susan" w:date="2023-11-25T19:37:00Z" w:initials="S">
    <w:p w14:paraId="46F7D086" w14:textId="77777777" w:rsidR="00486100" w:rsidRPr="00486100" w:rsidRDefault="00486100" w:rsidP="00486100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Publisher details? Translation?</w:t>
      </w:r>
    </w:p>
  </w:comment>
  <w:comment w:id="6" w:author="Susan" w:date="2023-11-25T18:10:00Z" w:initials="S">
    <w:p w14:paraId="21D34D9A" w14:textId="77777777" w:rsidR="0035208C" w:rsidRPr="00004BFA" w:rsidRDefault="0035208C" w:rsidP="0035208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Translation needed. Why the page numbers?</w:t>
      </w:r>
    </w:p>
  </w:comment>
  <w:comment w:id="7" w:author="Susan" w:date="2023-11-25T17:37:00Z" w:initials="S">
    <w:p w14:paraId="7B37DA23" w14:textId="77777777" w:rsidR="00523915" w:rsidRPr="006C5AC0" w:rsidRDefault="00523915" w:rsidP="00523915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Please provide Georgian calendar year range</w:t>
      </w:r>
    </w:p>
  </w:comment>
  <w:comment w:id="8" w:author="Susan" w:date="2023-11-25T17:38:00Z" w:initials="S">
    <w:p w14:paraId="28B859C4" w14:textId="77777777" w:rsidR="00523915" w:rsidRPr="00523915" w:rsidRDefault="00523915" w:rsidP="00523915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Please provide the translation rather than the transliteration, add (Hebrew) at the end.</w:t>
      </w:r>
    </w:p>
  </w:comment>
  <w:comment w:id="9" w:author="Susan" w:date="2023-11-25T19:03:00Z" w:initials="S">
    <w:p w14:paraId="6630542A" w14:textId="681083BF" w:rsidR="006608F1" w:rsidRPr="006608F1" w:rsidRDefault="006608F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Please clarify this source. Please translate.</w:t>
      </w:r>
    </w:p>
  </w:comment>
  <w:comment w:id="10" w:author="Susan" w:date="2023-11-25T19:57:00Z" w:initials="S">
    <w:p w14:paraId="1300F129" w14:textId="471A7F97" w:rsidR="00C718CE" w:rsidRPr="00C718CE" w:rsidRDefault="00C718CE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Source is unclear.</w:t>
      </w:r>
    </w:p>
  </w:comment>
  <w:comment w:id="12" w:author="Susan" w:date="2023-11-25T20:01:00Z" w:initials="S">
    <w:p w14:paraId="3D05CD3D" w14:textId="229F6146" w:rsidR="00B34FFC" w:rsidRDefault="00B34FFC">
      <w:pPr>
        <w:pStyle w:val="CommentText"/>
      </w:pPr>
      <w:r>
        <w:rPr>
          <w:rStyle w:val="CommentReference"/>
        </w:rPr>
        <w:annotationRef/>
      </w:r>
    </w:p>
  </w:comment>
  <w:comment w:id="13" w:author="Susan" w:date="2023-11-25T20:01:00Z" w:initials="S">
    <w:p w14:paraId="6B317CB0" w14:textId="13D55982" w:rsidR="00B34FFC" w:rsidRPr="00B34FFC" w:rsidRDefault="00B34FF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Please clarify this entry (ft. 26).</w:t>
      </w:r>
    </w:p>
  </w:comment>
  <w:comment w:id="14" w:author="Susan" w:date="2023-11-25T18:08:00Z" w:initials="S">
    <w:p w14:paraId="7D359865" w14:textId="5C87DC1D" w:rsidR="00004BFA" w:rsidRPr="00004BFA" w:rsidRDefault="00004BF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Year?</w:t>
      </w:r>
    </w:p>
  </w:comment>
  <w:comment w:id="15" w:author="Susan" w:date="2023-11-25T19:01:00Z" w:initials="S">
    <w:p w14:paraId="09DB648E" w14:textId="77777777" w:rsidR="004A2BD4" w:rsidRPr="002634FA" w:rsidRDefault="004A2BD4" w:rsidP="004A2BD4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Please clarify</w:t>
      </w:r>
    </w:p>
  </w:comment>
  <w:comment w:id="16" w:author="Susan" w:date="2023-11-25T16:54:00Z" w:initials="S">
    <w:p w14:paraId="45884CAD" w14:textId="77777777" w:rsidR="004A2BD4" w:rsidRPr="00BB1E27" w:rsidRDefault="004A2BD4" w:rsidP="004A2BD4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This needs a translation provided in brackets – journal samples indicate this is needed</w:t>
      </w:r>
    </w:p>
  </w:comment>
  <w:comment w:id="17" w:author="Susan" w:date="2023-11-25T16:54:00Z" w:initials="S">
    <w:p w14:paraId="18F26D41" w14:textId="77777777" w:rsidR="004A2BD4" w:rsidRPr="00BB1E27" w:rsidRDefault="004A2BD4" w:rsidP="004A2BD4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Is this correct?</w:t>
      </w:r>
    </w:p>
  </w:comment>
  <w:comment w:id="18" w:author="Susan" w:date="2023-11-25T17:03:00Z" w:initials="S">
    <w:p w14:paraId="27561960" w14:textId="77777777" w:rsidR="004A2BD4" w:rsidRPr="00EB058D" w:rsidRDefault="004A2BD4" w:rsidP="004A2BD4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This appear to be a book, not a chapter – in that case, the page range is not needed. Translation needed</w:t>
      </w:r>
    </w:p>
  </w:comment>
  <w:comment w:id="20" w:author="Susan" w:date="2023-11-25T17:03:00Z" w:initials="S">
    <w:p w14:paraId="2D184BA5" w14:textId="77777777" w:rsidR="004A2BD4" w:rsidRPr="00EB058D" w:rsidRDefault="004A2BD4" w:rsidP="004A2BD4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This appear to be a book, not a chapter – in that case, the page range is not needed. Translation needed</w:t>
      </w:r>
    </w:p>
  </w:comment>
  <w:comment w:id="19" w:author="Susan" w:date="2023-11-25T17:28:00Z" w:initials="S">
    <w:p w14:paraId="181AD5A1" w14:textId="77777777" w:rsidR="004A2BD4" w:rsidRPr="00502B51" w:rsidRDefault="004A2BD4" w:rsidP="004A2BD4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Please see above comment</w:t>
      </w:r>
    </w:p>
  </w:comment>
  <w:comment w:id="21" w:author="Susan" w:date="2023-11-25T16:56:00Z" w:initials="S">
    <w:p w14:paraId="58824F6A" w14:textId="77777777" w:rsidR="004A2BD4" w:rsidRDefault="004A2BD4" w:rsidP="004A2BD4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Is this a PHD dissertation? It is not clear what kind of source this is.</w:t>
      </w:r>
    </w:p>
    <w:p w14:paraId="1A2D6BC1" w14:textId="77777777" w:rsidR="004A2BD4" w:rsidRPr="00762D15" w:rsidRDefault="004A2BD4" w:rsidP="004A2BD4">
      <w:pPr>
        <w:pStyle w:val="CommentText"/>
        <w:rPr>
          <w:lang w:val="en-US"/>
        </w:rPr>
      </w:pPr>
      <w:r>
        <w:rPr>
          <w:lang w:val="en-US"/>
        </w:rPr>
        <w:t>Additionally, a translation is needed.</w:t>
      </w:r>
    </w:p>
  </w:comment>
  <w:comment w:id="22" w:author="Susan" w:date="2023-11-25T17:26:00Z" w:initials="S">
    <w:p w14:paraId="5B8B8136" w14:textId="77777777" w:rsidR="004A2BD4" w:rsidRPr="00B40FF3" w:rsidRDefault="004A2BD4" w:rsidP="004A2BD4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Translation needed </w:t>
      </w:r>
    </w:p>
  </w:comment>
  <w:comment w:id="23" w:author="Susan" w:date="2023-11-25T19:40:00Z" w:initials="S">
    <w:p w14:paraId="11E8D401" w14:textId="77777777" w:rsidR="004A2BD4" w:rsidRPr="004A2BD4" w:rsidRDefault="004A2BD4" w:rsidP="004A2BD4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Publisher? </w:t>
      </w:r>
      <w:proofErr w:type="spellStart"/>
      <w:r>
        <w:rPr>
          <w:lang w:val="en-US"/>
        </w:rPr>
        <w:t>Transation</w:t>
      </w:r>
      <w:proofErr w:type="spellEnd"/>
      <w:r>
        <w:rPr>
          <w:lang w:val="en-US"/>
        </w:rPr>
        <w:t>?</w:t>
      </w:r>
    </w:p>
  </w:comment>
  <w:comment w:id="24" w:author="Susan" w:date="2023-11-25T17:40:00Z" w:initials="S">
    <w:p w14:paraId="3740BC74" w14:textId="77777777" w:rsidR="0035208C" w:rsidRPr="006B10A7" w:rsidRDefault="0035208C" w:rsidP="0035208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Please provide a translation rather than transliteration – is this an article? A chapter? Please clarify</w:t>
      </w:r>
    </w:p>
  </w:comment>
  <w:comment w:id="25" w:author="Susan" w:date="2023-11-25T18:16:00Z" w:initials="S">
    <w:p w14:paraId="42044FAF" w14:textId="330564FC" w:rsidR="0035208C" w:rsidRPr="0035208C" w:rsidRDefault="0035208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Please clarify this entry – publisher? Why are page numbers needed?</w:t>
      </w:r>
    </w:p>
  </w:comment>
  <w:comment w:id="26" w:author="Susan" w:date="2023-11-25T18:15:00Z" w:initials="S">
    <w:p w14:paraId="0EBE2DDB" w14:textId="19645675" w:rsidR="0035208C" w:rsidRPr="0035208C" w:rsidRDefault="0035208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Details need – publisher? </w:t>
      </w:r>
    </w:p>
  </w:comment>
  <w:comment w:id="27" w:author="Susan" w:date="2023-11-25T19:11:00Z" w:initials="S">
    <w:p w14:paraId="7599D986" w14:textId="528C933A" w:rsidR="00FD5AAC" w:rsidRPr="00FD5AAC" w:rsidRDefault="00FD5AA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Is this correct? It’s not clear from the text.</w:t>
      </w:r>
    </w:p>
  </w:comment>
  <w:comment w:id="28" w:author="Susan" w:date="2023-11-25T19:55:00Z" w:initials="S">
    <w:p w14:paraId="115413E0" w14:textId="3CA10182" w:rsidR="006173C6" w:rsidRPr="006173C6" w:rsidRDefault="006173C6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This source is not clear – it needs </w:t>
      </w:r>
      <w:r w:rsidR="00C718CE">
        <w:rPr>
          <w:lang w:val="en-US"/>
        </w:rPr>
        <w:t>translation and clarification.</w:t>
      </w:r>
    </w:p>
  </w:comment>
  <w:comment w:id="29" w:author="Susan" w:date="2023-11-25T20:32:00Z" w:initials="S">
    <w:p w14:paraId="15296CED" w14:textId="77777777" w:rsidR="00F341DC" w:rsidRPr="00F341DC" w:rsidRDefault="00F341DC" w:rsidP="00F341D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Please clarify this source – footnote 21.</w:t>
      </w:r>
    </w:p>
  </w:comment>
  <w:comment w:id="30" w:author="Susan" w:date="2023-11-25T19:45:00Z" w:initials="S">
    <w:p w14:paraId="62899DC2" w14:textId="2A41E23A" w:rsidR="00471322" w:rsidRPr="00471322" w:rsidRDefault="00471322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Publisher? Translation.</w:t>
      </w:r>
    </w:p>
  </w:comment>
  <w:comment w:id="31" w:author="Susan" w:date="2023-11-25T19:53:00Z" w:initials="S">
    <w:p w14:paraId="72C084FD" w14:textId="77777777" w:rsidR="006173C6" w:rsidRPr="006173C6" w:rsidRDefault="006173C6" w:rsidP="006173C6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It’s not clear why you need page numbers</w:t>
      </w:r>
    </w:p>
  </w:comment>
  <w:comment w:id="32" w:author="Susan" w:date="2023-11-25T19:47:00Z" w:initials="S">
    <w:p w14:paraId="55D0127D" w14:textId="2636702C" w:rsidR="00471322" w:rsidRPr="00471322" w:rsidRDefault="00471322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Please provide translation, not transliteration; clarify the source, provide Georgian calendar date.</w:t>
      </w:r>
    </w:p>
  </w:comment>
  <w:comment w:id="33" w:author="Susan" w:date="2023-11-25T19:49:00Z" w:initials="S">
    <w:p w14:paraId="32F45252" w14:textId="4AF0AD93" w:rsidR="00471322" w:rsidRPr="00471322" w:rsidRDefault="00471322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4F6075">
        <w:rPr>
          <w:lang w:val="en-US"/>
        </w:rPr>
        <w:t>Translation, not transliteration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06896E" w15:done="0"/>
  <w15:commentEx w15:paraId="49337804" w15:done="0"/>
  <w15:commentEx w15:paraId="06E00E28" w15:done="0"/>
  <w15:commentEx w15:paraId="5BBBF73A" w15:done="0"/>
  <w15:commentEx w15:paraId="30998F69" w15:done="0"/>
  <w15:commentEx w15:paraId="46F7D086" w15:done="0"/>
  <w15:commentEx w15:paraId="21D34D9A" w15:done="0"/>
  <w15:commentEx w15:paraId="7B37DA23" w15:done="0"/>
  <w15:commentEx w15:paraId="28B859C4" w15:done="0"/>
  <w15:commentEx w15:paraId="6630542A" w15:done="0"/>
  <w15:commentEx w15:paraId="1300F129" w15:done="0"/>
  <w15:commentEx w15:paraId="3D05CD3D" w15:done="0"/>
  <w15:commentEx w15:paraId="6B317CB0" w15:done="0"/>
  <w15:commentEx w15:paraId="7D359865" w15:done="0"/>
  <w15:commentEx w15:paraId="09DB648E" w15:done="0"/>
  <w15:commentEx w15:paraId="45884CAD" w15:done="0"/>
  <w15:commentEx w15:paraId="18F26D41" w15:done="0"/>
  <w15:commentEx w15:paraId="27561960" w15:done="0"/>
  <w15:commentEx w15:paraId="2D184BA5" w15:done="0"/>
  <w15:commentEx w15:paraId="181AD5A1" w15:done="0"/>
  <w15:commentEx w15:paraId="1A2D6BC1" w15:done="0"/>
  <w15:commentEx w15:paraId="5B8B8136" w15:done="0"/>
  <w15:commentEx w15:paraId="11E8D401" w15:done="0"/>
  <w15:commentEx w15:paraId="3740BC74" w15:done="0"/>
  <w15:commentEx w15:paraId="42044FAF" w15:done="0"/>
  <w15:commentEx w15:paraId="0EBE2DDB" w15:done="0"/>
  <w15:commentEx w15:paraId="7599D986" w15:done="0"/>
  <w15:commentEx w15:paraId="115413E0" w15:done="0"/>
  <w15:commentEx w15:paraId="15296CED" w15:done="0"/>
  <w15:commentEx w15:paraId="62899DC2" w15:done="0"/>
  <w15:commentEx w15:paraId="72C084FD" w15:done="0"/>
  <w15:commentEx w15:paraId="55D0127D" w15:done="0"/>
  <w15:commentEx w15:paraId="32F4525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CB769" w16cex:dateUtc="2023-11-25T16:11:00Z"/>
  <w16cex:commentExtensible w16cex:durableId="290CCB3B" w16cex:dateUtc="2023-11-25T17:36:00Z"/>
  <w16cex:commentExtensible w16cex:durableId="290CCEA4" w16cex:dateUtc="2023-11-25T17:51:00Z"/>
  <w16cex:commentExtensible w16cex:durableId="290CC3C0" w16cex:dateUtc="2023-11-25T17:04:00Z"/>
  <w16cex:commentExtensible w16cex:durableId="290CD085" w16cex:dateUtc="2023-11-25T17:59:00Z"/>
  <w16cex:commentExtensible w16cex:durableId="290CCB96" w16cex:dateUtc="2023-11-25T17:37:00Z"/>
  <w16cex:commentExtensible w16cex:durableId="290CB733" w16cex:dateUtc="2023-11-25T16:10:00Z"/>
  <w16cex:commentExtensible w16cex:durableId="290CAF42" w16cex:dateUtc="2023-11-25T15:37:00Z"/>
  <w16cex:commentExtensible w16cex:durableId="290CAF87" w16cex:dateUtc="2023-11-25T15:38:00Z"/>
  <w16cex:commentExtensible w16cex:durableId="290CC39E" w16cex:dateUtc="2023-11-25T17:03:00Z"/>
  <w16cex:commentExtensible w16cex:durableId="290CD024" w16cex:dateUtc="2023-11-25T17:57:00Z"/>
  <w16cex:commentExtensible w16cex:durableId="290CD106" w16cex:dateUtc="2023-11-25T18:01:00Z"/>
  <w16cex:commentExtensible w16cex:durableId="290CD11F" w16cex:dateUtc="2023-11-25T18:01:00Z"/>
  <w16cex:commentExtensible w16cex:durableId="290CB68C" w16cex:dateUtc="2023-11-25T16:08:00Z"/>
  <w16cex:commentExtensible w16cex:durableId="290CC322" w16cex:dateUtc="2023-11-25T17:01:00Z"/>
  <w16cex:commentExtensible w16cex:durableId="290CA54D" w16cex:dateUtc="2023-11-25T14:54:00Z"/>
  <w16cex:commentExtensible w16cex:durableId="290CA546" w16cex:dateUtc="2023-11-25T14:54:00Z"/>
  <w16cex:commentExtensible w16cex:durableId="290CA755" w16cex:dateUtc="2023-11-25T15:03:00Z"/>
  <w16cex:commentExtensible w16cex:durableId="290CAD1A" w16cex:dateUtc="2023-11-25T15:03:00Z"/>
  <w16cex:commentExtensible w16cex:durableId="290CAD2B" w16cex:dateUtc="2023-11-25T15:28:00Z"/>
  <w16cex:commentExtensible w16cex:durableId="290CA5CC" w16cex:dateUtc="2023-11-25T14:56:00Z"/>
  <w16cex:commentExtensible w16cex:durableId="290CACAF" w16cex:dateUtc="2023-11-25T15:26:00Z"/>
  <w16cex:commentExtensible w16cex:durableId="290CCC27" w16cex:dateUtc="2023-11-25T17:40:00Z"/>
  <w16cex:commentExtensible w16cex:durableId="290CB014" w16cex:dateUtc="2023-11-25T15:40:00Z"/>
  <w16cex:commentExtensible w16cex:durableId="290CB870" w16cex:dateUtc="2023-11-25T16:16:00Z"/>
  <w16cex:commentExtensible w16cex:durableId="290CB840" w16cex:dateUtc="2023-11-25T16:15:00Z"/>
  <w16cex:commentExtensible w16cex:durableId="290CC56E" w16cex:dateUtc="2023-11-25T17:11:00Z"/>
  <w16cex:commentExtensible w16cex:durableId="290CCFA7" w16cex:dateUtc="2023-11-25T17:55:00Z"/>
  <w16cex:commentExtensible w16cex:durableId="290CD862" w16cex:dateUtc="2023-11-25T18:32:00Z"/>
  <w16cex:commentExtensible w16cex:durableId="290CCD71" w16cex:dateUtc="2023-11-25T17:45:00Z"/>
  <w16cex:commentExtensible w16cex:durableId="290CCF50" w16cex:dateUtc="2023-11-25T17:53:00Z"/>
  <w16cex:commentExtensible w16cex:durableId="290CCDD3" w16cex:dateUtc="2023-11-25T17:47:00Z"/>
  <w16cex:commentExtensible w16cex:durableId="290CCE2F" w16cex:dateUtc="2023-11-25T17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06896E" w16cid:durableId="290CB769"/>
  <w16cid:commentId w16cid:paraId="49337804" w16cid:durableId="290CCB3B"/>
  <w16cid:commentId w16cid:paraId="06E00E28" w16cid:durableId="290CCEA4"/>
  <w16cid:commentId w16cid:paraId="5BBBF73A" w16cid:durableId="290CC3C0"/>
  <w16cid:commentId w16cid:paraId="30998F69" w16cid:durableId="290CD085"/>
  <w16cid:commentId w16cid:paraId="46F7D086" w16cid:durableId="290CCB96"/>
  <w16cid:commentId w16cid:paraId="21D34D9A" w16cid:durableId="290CB733"/>
  <w16cid:commentId w16cid:paraId="7B37DA23" w16cid:durableId="290CAF42"/>
  <w16cid:commentId w16cid:paraId="28B859C4" w16cid:durableId="290CAF87"/>
  <w16cid:commentId w16cid:paraId="6630542A" w16cid:durableId="290CC39E"/>
  <w16cid:commentId w16cid:paraId="1300F129" w16cid:durableId="290CD024"/>
  <w16cid:commentId w16cid:paraId="3D05CD3D" w16cid:durableId="290CD106"/>
  <w16cid:commentId w16cid:paraId="6B317CB0" w16cid:durableId="290CD11F"/>
  <w16cid:commentId w16cid:paraId="7D359865" w16cid:durableId="290CB68C"/>
  <w16cid:commentId w16cid:paraId="09DB648E" w16cid:durableId="290CC322"/>
  <w16cid:commentId w16cid:paraId="45884CAD" w16cid:durableId="290CA54D"/>
  <w16cid:commentId w16cid:paraId="18F26D41" w16cid:durableId="290CA546"/>
  <w16cid:commentId w16cid:paraId="27561960" w16cid:durableId="290CA755"/>
  <w16cid:commentId w16cid:paraId="2D184BA5" w16cid:durableId="290CAD1A"/>
  <w16cid:commentId w16cid:paraId="181AD5A1" w16cid:durableId="290CAD2B"/>
  <w16cid:commentId w16cid:paraId="1A2D6BC1" w16cid:durableId="290CA5CC"/>
  <w16cid:commentId w16cid:paraId="5B8B8136" w16cid:durableId="290CACAF"/>
  <w16cid:commentId w16cid:paraId="11E8D401" w16cid:durableId="290CCC27"/>
  <w16cid:commentId w16cid:paraId="3740BC74" w16cid:durableId="290CB014"/>
  <w16cid:commentId w16cid:paraId="42044FAF" w16cid:durableId="290CB870"/>
  <w16cid:commentId w16cid:paraId="0EBE2DDB" w16cid:durableId="290CB840"/>
  <w16cid:commentId w16cid:paraId="7599D986" w16cid:durableId="290CC56E"/>
  <w16cid:commentId w16cid:paraId="115413E0" w16cid:durableId="290CCFA7"/>
  <w16cid:commentId w16cid:paraId="15296CED" w16cid:durableId="290CD862"/>
  <w16cid:commentId w16cid:paraId="62899DC2" w16cid:durableId="290CCD71"/>
  <w16cid:commentId w16cid:paraId="72C084FD" w16cid:durableId="290CCF50"/>
  <w16cid:commentId w16cid:paraId="55D0127D" w16cid:durableId="290CCDD3"/>
  <w16cid:commentId w16cid:paraId="32F45252" w16cid:durableId="290CCE2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ren">
    <w:altName w:val="Arial"/>
    <w:charset w:val="B1"/>
    <w:family w:val="auto"/>
    <w:pitch w:val="variable"/>
    <w:sig w:usb0="00001801" w:usb1="0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5B"/>
    <w:rsid w:val="000032BF"/>
    <w:rsid w:val="00004BFA"/>
    <w:rsid w:val="000D40A3"/>
    <w:rsid w:val="000F15C1"/>
    <w:rsid w:val="00115915"/>
    <w:rsid w:val="001552C8"/>
    <w:rsid w:val="001C47A9"/>
    <w:rsid w:val="00255C1B"/>
    <w:rsid w:val="002634FA"/>
    <w:rsid w:val="003356CF"/>
    <w:rsid w:val="0035208C"/>
    <w:rsid w:val="0038732B"/>
    <w:rsid w:val="00412C52"/>
    <w:rsid w:val="00471322"/>
    <w:rsid w:val="00486100"/>
    <w:rsid w:val="004A245A"/>
    <w:rsid w:val="004A2BD4"/>
    <w:rsid w:val="004F6075"/>
    <w:rsid w:val="00502B51"/>
    <w:rsid w:val="005160CA"/>
    <w:rsid w:val="00523915"/>
    <w:rsid w:val="0054065B"/>
    <w:rsid w:val="005B174C"/>
    <w:rsid w:val="005B2C51"/>
    <w:rsid w:val="005F0D7C"/>
    <w:rsid w:val="006173C6"/>
    <w:rsid w:val="006228BE"/>
    <w:rsid w:val="006608F1"/>
    <w:rsid w:val="006B10A7"/>
    <w:rsid w:val="006C5AC0"/>
    <w:rsid w:val="00741D3C"/>
    <w:rsid w:val="00762D15"/>
    <w:rsid w:val="00775941"/>
    <w:rsid w:val="007A409B"/>
    <w:rsid w:val="00836BBE"/>
    <w:rsid w:val="009C08F2"/>
    <w:rsid w:val="009E50E1"/>
    <w:rsid w:val="00A21CB6"/>
    <w:rsid w:val="00A77132"/>
    <w:rsid w:val="00B34FFC"/>
    <w:rsid w:val="00B40FF3"/>
    <w:rsid w:val="00BB1E27"/>
    <w:rsid w:val="00C25E57"/>
    <w:rsid w:val="00C718CE"/>
    <w:rsid w:val="00CC25FD"/>
    <w:rsid w:val="00E93A7D"/>
    <w:rsid w:val="00EB058D"/>
    <w:rsid w:val="00EE3F46"/>
    <w:rsid w:val="00F341DC"/>
    <w:rsid w:val="00FD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B5BD1"/>
  <w15:chartTrackingRefBased/>
  <w15:docId w15:val="{6D8DB0B1-9392-4E7C-9307-9F4212D4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L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B2C51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Kore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E3F4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e-IL"/>
    </w:rPr>
  </w:style>
  <w:style w:type="character" w:customStyle="1" w:styleId="FootnoteTextChar">
    <w:name w:val="Footnote Text Char"/>
    <w:basedOn w:val="DefaultParagraphFont"/>
    <w:link w:val="FootnoteText"/>
    <w:semiHidden/>
    <w:rsid w:val="00EE3F46"/>
    <w:rPr>
      <w:rFonts w:ascii="Times New Roman" w:eastAsia="Times New Roman" w:hAnsi="Times New Roman" w:cs="Times New Roman"/>
      <w:sz w:val="20"/>
      <w:szCs w:val="20"/>
      <w:lang w:val="en-US" w:eastAsia="he-IL"/>
    </w:rPr>
  </w:style>
  <w:style w:type="character" w:customStyle="1" w:styleId="Heading1Char">
    <w:name w:val="Heading 1 Char"/>
    <w:basedOn w:val="DefaultParagraphFont"/>
    <w:link w:val="Heading1"/>
    <w:rsid w:val="005B2C51"/>
    <w:rPr>
      <w:rFonts w:ascii="Times New Roman" w:eastAsia="Times New Roman" w:hAnsi="Times New Roman" w:cs="Koren"/>
      <w:sz w:val="28"/>
      <w:szCs w:val="28"/>
      <w:lang w:val="en-US" w:eastAsia="en-US"/>
    </w:rPr>
  </w:style>
  <w:style w:type="character" w:styleId="FootnoteReference">
    <w:name w:val="footnote reference"/>
    <w:semiHidden/>
    <w:rsid w:val="005B2C51"/>
    <w:rPr>
      <w:vertAlign w:val="superscript"/>
    </w:rPr>
  </w:style>
  <w:style w:type="paragraph" w:styleId="BodyText">
    <w:name w:val="Body Text"/>
    <w:basedOn w:val="Normal"/>
    <w:link w:val="BodyTextChar"/>
    <w:rsid w:val="00741D3C"/>
    <w:pPr>
      <w:bidi/>
      <w:spacing w:after="0" w:line="240" w:lineRule="auto"/>
    </w:pPr>
    <w:rPr>
      <w:rFonts w:ascii="Times New Roman" w:eastAsia="Times New Roman" w:hAnsi="Times New Roman" w:cs="Miriam"/>
      <w:sz w:val="20"/>
      <w:szCs w:val="28"/>
      <w:lang w:val="en-US" w:eastAsia="he-IL"/>
    </w:rPr>
  </w:style>
  <w:style w:type="character" w:customStyle="1" w:styleId="BodyTextChar">
    <w:name w:val="Body Text Char"/>
    <w:basedOn w:val="DefaultParagraphFont"/>
    <w:link w:val="BodyText"/>
    <w:rsid w:val="00741D3C"/>
    <w:rPr>
      <w:rFonts w:ascii="Times New Roman" w:eastAsia="Times New Roman" w:hAnsi="Times New Roman" w:cs="Miriam"/>
      <w:sz w:val="20"/>
      <w:szCs w:val="28"/>
      <w:lang w:val="en-US" w:eastAsia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BB1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E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E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E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8</cp:revision>
  <dcterms:created xsi:type="dcterms:W3CDTF">2023-11-24T22:20:00Z</dcterms:created>
  <dcterms:modified xsi:type="dcterms:W3CDTF">2023-11-25T18:39:00Z</dcterms:modified>
</cp:coreProperties>
</file>