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B783A" w14:textId="75280512" w:rsidR="007A4D0F" w:rsidRDefault="004A0F07" w:rsidP="004A0F07">
      <w:pPr>
        <w:rPr>
          <w:b/>
          <w:bCs/>
          <w:sz w:val="32"/>
          <w:szCs w:val="32"/>
        </w:rPr>
      </w:pPr>
      <w:r>
        <w:rPr>
          <w:b/>
          <w:bCs/>
          <w:sz w:val="32"/>
          <w:szCs w:val="32"/>
        </w:rPr>
        <w:t>State Education Law – Clause 2</w:t>
      </w:r>
    </w:p>
    <w:p w14:paraId="1B577CDA" w14:textId="3EB672CD" w:rsidR="004A0F07" w:rsidRDefault="004A0F07" w:rsidP="004A0F07">
      <w:pPr>
        <w:rPr>
          <w:b/>
          <w:bCs/>
          <w:sz w:val="28"/>
          <w:szCs w:val="28"/>
        </w:rPr>
      </w:pPr>
      <w:r>
        <w:rPr>
          <w:b/>
          <w:bCs/>
          <w:sz w:val="28"/>
          <w:szCs w:val="28"/>
        </w:rPr>
        <w:t xml:space="preserve">Goals of </w:t>
      </w:r>
      <w:r w:rsidR="00EA208B">
        <w:rPr>
          <w:b/>
          <w:bCs/>
          <w:sz w:val="28"/>
          <w:szCs w:val="28"/>
        </w:rPr>
        <w:t xml:space="preserve">the </w:t>
      </w:r>
      <w:r>
        <w:rPr>
          <w:b/>
          <w:bCs/>
          <w:sz w:val="28"/>
          <w:szCs w:val="28"/>
        </w:rPr>
        <w:t>State Education (Amendment no. 5) 5760-2000 (Amendment no. 17) 5778-2018</w:t>
      </w:r>
    </w:p>
    <w:p w14:paraId="450E1705" w14:textId="3D2F60DA" w:rsidR="004A0F07" w:rsidRDefault="004A0F07" w:rsidP="004A0F07">
      <w:r>
        <w:t>2. (A) The goals of the State Education are:</w:t>
      </w:r>
    </w:p>
    <w:p w14:paraId="5DA3573F" w14:textId="7E9B0844" w:rsidR="004A0F07" w:rsidRDefault="004A0F07" w:rsidP="004A0F07">
      <w:r>
        <w:tab/>
        <w:t>(1) to educate pupil</w:t>
      </w:r>
      <w:r w:rsidR="004A256D">
        <w:t>s</w:t>
      </w:r>
      <w:r>
        <w:t xml:space="preserve"> to love </w:t>
      </w:r>
      <w:r w:rsidR="004A256D">
        <w:t>their</w:t>
      </w:r>
      <w:r>
        <w:t xml:space="preserve"> fellow man, </w:t>
      </w:r>
      <w:r w:rsidR="004A256D">
        <w:t>their</w:t>
      </w:r>
      <w:r>
        <w:t xml:space="preserve"> nation and </w:t>
      </w:r>
      <w:r w:rsidR="004A256D">
        <w:t>their</w:t>
      </w:r>
      <w:r>
        <w:t xml:space="preserve"> country, to be faithful citizen</w:t>
      </w:r>
      <w:r w:rsidR="004A256D">
        <w:t>s</w:t>
      </w:r>
      <w:r>
        <w:t xml:space="preserve"> of the State of Israel, to respect </w:t>
      </w:r>
      <w:r w:rsidR="004A256D">
        <w:t xml:space="preserve">their </w:t>
      </w:r>
      <w:r>
        <w:t xml:space="preserve">parents and </w:t>
      </w:r>
      <w:r w:rsidR="004A256D">
        <w:t xml:space="preserve">their </w:t>
      </w:r>
      <w:r>
        <w:t>family, heritage, cultural identity and language;</w:t>
      </w:r>
    </w:p>
    <w:p w14:paraId="6372DD8C" w14:textId="639A5AD5" w:rsidR="004A0F07" w:rsidRDefault="004A0F07" w:rsidP="004A0F07">
      <w:r>
        <w:tab/>
        <w:t>(2) to bequeath the principles found in the declaration of the establishment of the State of Israel and the values of the State of Israel as a Jewish and democratic state, and to develop a respectful attitude towards human rights, basic freedoms, demo</w:t>
      </w:r>
      <w:r w:rsidR="001F1919">
        <w:t>cratic values, the law</w:t>
      </w:r>
      <w:r>
        <w:t xml:space="preserve">, the culture and </w:t>
      </w:r>
      <w:r w:rsidR="00EA208B">
        <w:t>views of others, and to educate for</w:t>
      </w:r>
      <w:r w:rsidR="00E25F06">
        <w:t xml:space="preserve"> peace and tolerance between people and between nations;</w:t>
      </w:r>
    </w:p>
    <w:p w14:paraId="7CD2CB48" w14:textId="1E409950" w:rsidR="00E25F06" w:rsidRDefault="00E25F06" w:rsidP="004A0F07">
      <w:r>
        <w:tab/>
        <w:t>(3) to teach the history of the Land of Israel and the State of Israel;</w:t>
      </w:r>
    </w:p>
    <w:p w14:paraId="2F465832" w14:textId="26A37F98" w:rsidR="00E25F06" w:rsidRDefault="00E25F06" w:rsidP="004A0F07">
      <w:r>
        <w:tab/>
        <w:t xml:space="preserve">(4) to teach the Bible of Israel, the history of the Jewish nation, Israel’s heritage and the Jewish tradition, to endow [the pupils with] a consciousness of the memory of the Holocaust and the Resistance, </w:t>
      </w:r>
      <w:r w:rsidR="00F42B6A">
        <w:t>and to educate [the pupils] to respect them;</w:t>
      </w:r>
    </w:p>
    <w:p w14:paraId="6962A1F7" w14:textId="4C668C52" w:rsidR="00F42B6A" w:rsidRDefault="00F42B6A" w:rsidP="004A0F07">
      <w:pPr>
        <w:rPr>
          <w:b/>
          <w:bCs/>
        </w:rPr>
      </w:pPr>
      <w:r>
        <w:tab/>
      </w:r>
      <w:r>
        <w:rPr>
          <w:b/>
          <w:bCs/>
        </w:rPr>
        <w:t>(Amendment no. 6) 5764-2003</w:t>
      </w:r>
    </w:p>
    <w:p w14:paraId="1521F477" w14:textId="2C9FFDA8" w:rsidR="00F42B6A" w:rsidRDefault="00F42B6A" w:rsidP="001F1919">
      <w:r>
        <w:tab/>
        <w:t xml:space="preserve">(5) to develop </w:t>
      </w:r>
      <w:r w:rsidR="001F1919">
        <w:t>the children's</w:t>
      </w:r>
      <w:r>
        <w:t xml:space="preserve"> personalities, their creativity and their various talents, to widen their cultural horizons and to </w:t>
      </w:r>
      <w:r w:rsidR="004A256D">
        <w:t>offer</w:t>
      </w:r>
      <w:r w:rsidR="001F1919">
        <w:t xml:space="preserve"> them</w:t>
      </w:r>
      <w:r>
        <w:t xml:space="preserve"> artistic experiences, all so that they fully actualize their abilities as people living lives of quality and of meaning;</w:t>
      </w:r>
    </w:p>
    <w:p w14:paraId="67849386" w14:textId="040A5510" w:rsidR="00F42B6A" w:rsidRDefault="00F42B6A" w:rsidP="001F1919">
      <w:r>
        <w:tab/>
        <w:t xml:space="preserve">(6) to establish the children’s knowledge of the various fields and sciences, of all </w:t>
      </w:r>
      <w:r w:rsidR="001F1919">
        <w:t>types of human creation throughout</w:t>
      </w:r>
      <w:r>
        <w:t xml:space="preserve"> the generations, and of the basic skills they will need throughout their lives as mature people in </w:t>
      </w:r>
      <w:r w:rsidR="004A256D">
        <w:t xml:space="preserve">a </w:t>
      </w:r>
      <w:r>
        <w:t>free society, and to encourage physical activity and cultural pastimes;</w:t>
      </w:r>
    </w:p>
    <w:p w14:paraId="2BE60458" w14:textId="0CF163BC" w:rsidR="00F42B6A" w:rsidRDefault="00F42B6A" w:rsidP="004A0F07">
      <w:r>
        <w:tab/>
        <w:t xml:space="preserve">(7) </w:t>
      </w:r>
      <w:r w:rsidR="0096291B">
        <w:t>to strengthen good judgment and critical thinking, to nurture intellectual curiosity, independent thinking and initiative, and to develop awareness and alertness to change and innovation;</w:t>
      </w:r>
    </w:p>
    <w:p w14:paraId="238BE862" w14:textId="1260C116" w:rsidR="0096291B" w:rsidRDefault="0096291B" w:rsidP="004A0F07">
      <w:r>
        <w:tab/>
        <w:t>(8) to provide equal opportunities to each and every child, to enable them to develop in their own way, and to create an atmosphere that encourages and supports difference;</w:t>
      </w:r>
    </w:p>
    <w:p w14:paraId="24DC2550" w14:textId="3411CEF2" w:rsidR="0096291B" w:rsidRDefault="0096291B" w:rsidP="004A0F07">
      <w:r>
        <w:tab/>
        <w:t xml:space="preserve">(9) to nurture involvement in Israeli society, willingness to take on </w:t>
      </w:r>
      <w:r w:rsidR="004A256D">
        <w:t xml:space="preserve">duties </w:t>
      </w:r>
      <w:r>
        <w:t xml:space="preserve">and </w:t>
      </w:r>
      <w:r w:rsidR="004A256D">
        <w:t xml:space="preserve">fulfill them </w:t>
      </w:r>
      <w:r>
        <w:t>loyally and responsibly</w:t>
      </w:r>
      <w:r w:rsidR="00D36106">
        <w:t xml:space="preserve">, </w:t>
      </w:r>
      <w:r w:rsidR="00EA208B">
        <w:t xml:space="preserve">[to nurture] </w:t>
      </w:r>
      <w:r w:rsidR="00D36106">
        <w:t>the desire for mutual aid, to give back to the community, to volunteer and to strive for social justice in the State of Israel;</w:t>
      </w:r>
    </w:p>
    <w:p w14:paraId="080D290D" w14:textId="6D0D3013" w:rsidR="00D36106" w:rsidRDefault="00D36106" w:rsidP="004A0F07">
      <w:r>
        <w:tab/>
        <w:t>(10) to develop respect and a sense of responsibility towards the</w:t>
      </w:r>
      <w:r w:rsidR="00EA208B">
        <w:t xml:space="preserve"> natural environment and </w:t>
      </w:r>
      <w:r>
        <w:t>to</w:t>
      </w:r>
      <w:r w:rsidR="00EA208B">
        <w:t>wards</w:t>
      </w:r>
      <w:r>
        <w:t xml:space="preserve"> the land, its landscape and its flora and fauna;</w:t>
      </w:r>
    </w:p>
    <w:p w14:paraId="6914636F" w14:textId="4D205EC1" w:rsidR="00D36106" w:rsidRDefault="00D36106" w:rsidP="004A0F07">
      <w:r>
        <w:tab/>
        <w:t xml:space="preserve">(11) to </w:t>
      </w:r>
      <w:r w:rsidR="004A256D">
        <w:t>become familiar with</w:t>
      </w:r>
      <w:r>
        <w:t xml:space="preserve"> the language, culture, history, heritage and unique traditions of the Arab population and other populations in the State of Israel, and to recognize the equal rights of all Israeli citizens;</w:t>
      </w:r>
    </w:p>
    <w:p w14:paraId="08D96793" w14:textId="78DC1A8F" w:rsidR="00D36106" w:rsidRDefault="00D36106" w:rsidP="004A0F07">
      <w:pPr>
        <w:rPr>
          <w:b/>
          <w:bCs/>
        </w:rPr>
      </w:pPr>
      <w:r>
        <w:lastRenderedPageBreak/>
        <w:tab/>
      </w:r>
      <w:r>
        <w:rPr>
          <w:b/>
          <w:bCs/>
        </w:rPr>
        <w:t>(Temporary Order) 5766-2006</w:t>
      </w:r>
    </w:p>
    <w:p w14:paraId="2EF3C6D4" w14:textId="27C84601" w:rsidR="00D36106" w:rsidRDefault="00D36106" w:rsidP="004A0F07">
      <w:r>
        <w:rPr>
          <w:b/>
          <w:bCs/>
        </w:rPr>
        <w:tab/>
      </w:r>
      <w:r>
        <w:t>(12) to educate for the recognition of the sanctity of life and to inculcate a consciousness of safety and caution, including road safety;</w:t>
      </w:r>
    </w:p>
    <w:p w14:paraId="49326CB4" w14:textId="57C9D298" w:rsidR="00D36106" w:rsidRDefault="00D36106" w:rsidP="004A0F07">
      <w:pPr>
        <w:rPr>
          <w:b/>
          <w:bCs/>
        </w:rPr>
      </w:pPr>
      <w:r>
        <w:tab/>
      </w:r>
      <w:r>
        <w:rPr>
          <w:b/>
          <w:bCs/>
        </w:rPr>
        <w:t>(Amendment no. 17) 5778-2018</w:t>
      </w:r>
    </w:p>
    <w:p w14:paraId="74A0F445" w14:textId="49C09070" w:rsidR="00D36106" w:rsidRDefault="00D36106" w:rsidP="004A0F07">
      <w:r>
        <w:rPr>
          <w:b/>
          <w:bCs/>
        </w:rPr>
        <w:tab/>
      </w:r>
      <w:r>
        <w:t xml:space="preserve">(13) to educate towards meaningful service in the Israel Defense Forces or in the National </w:t>
      </w:r>
      <w:r w:rsidR="001F1919">
        <w:t xml:space="preserve">Civil </w:t>
      </w:r>
      <w:r>
        <w:t>Service, as defined in the National-Civil Service Law, 5774-2014.</w:t>
      </w:r>
    </w:p>
    <w:p w14:paraId="39401EA6" w14:textId="5F0BA27F" w:rsidR="00D36106" w:rsidRDefault="00D36106" w:rsidP="004A0F07">
      <w:pPr>
        <w:rPr>
          <w:b/>
          <w:bCs/>
        </w:rPr>
      </w:pPr>
      <w:r>
        <w:rPr>
          <w:b/>
          <w:bCs/>
        </w:rPr>
        <w:t>(Amendment no. 17) 5778-2018</w:t>
      </w:r>
    </w:p>
    <w:p w14:paraId="5C65D72C" w14:textId="3DD6D842" w:rsidR="00D36106" w:rsidRDefault="00D36106" w:rsidP="004A0F07">
      <w:r>
        <w:t xml:space="preserve">(B) The Minister will establish rules for preventing activity within an educational institution of any person or body who is not part of the education system (in this sub-clause, “external body”) and whose activity </w:t>
      </w:r>
      <w:r w:rsidR="007F0BA0">
        <w:t>is significantly and gravely contrary to the goals of State Education as enumerated in sub-clause (A), as well as rules for preventing activity within an educational institution of an external body who is actively working towards taking legal or political steps against soldiers of the Israel Defense Forces outside of Israel due to actions carried out as part of their army service, or against the State of Israel.</w:t>
      </w:r>
    </w:p>
    <w:p w14:paraId="76332E52" w14:textId="2484F188" w:rsidR="00EA3576" w:rsidRDefault="00EA3576" w:rsidP="004A0F07"/>
    <w:p w14:paraId="1B32BE0F" w14:textId="04B1FC27" w:rsidR="00EA3576" w:rsidRDefault="00EA3576" w:rsidP="004A0F07"/>
    <w:p w14:paraId="3B230836" w14:textId="49FEC141" w:rsidR="00EA3576" w:rsidRDefault="00EA3576" w:rsidP="004A0F07"/>
    <w:p w14:paraId="4D48B8F3" w14:textId="79EC100D" w:rsidR="00EA3576" w:rsidRDefault="00EA3576" w:rsidP="004A0F07"/>
    <w:p w14:paraId="7030B164" w14:textId="17122E1C" w:rsidR="00EA3576" w:rsidRDefault="00EA3576" w:rsidP="004A0F07"/>
    <w:p w14:paraId="2F7FA77D" w14:textId="4F492C8B" w:rsidR="00EA3576" w:rsidRDefault="00EA3576" w:rsidP="004A0F07"/>
    <w:p w14:paraId="453EAAEF" w14:textId="103075E2" w:rsidR="00EA3576" w:rsidRDefault="00EA3576" w:rsidP="004A0F07"/>
    <w:p w14:paraId="2E271786" w14:textId="2CBE40E7" w:rsidR="00EA3576" w:rsidRDefault="00EA3576" w:rsidP="004A0F07"/>
    <w:p w14:paraId="19CCB3DD" w14:textId="5D1CE5DF" w:rsidR="00EA3576" w:rsidRDefault="00EA3576" w:rsidP="004A0F07"/>
    <w:p w14:paraId="38AB8BE1" w14:textId="282217D9" w:rsidR="00EA3576" w:rsidRDefault="00EA3576" w:rsidP="004A0F07"/>
    <w:p w14:paraId="15B19229" w14:textId="5840FE51" w:rsidR="00EA3576" w:rsidRDefault="00EA3576" w:rsidP="004A0F07"/>
    <w:p w14:paraId="2DFA4117" w14:textId="77777777" w:rsidR="00EA208B" w:rsidRDefault="00EA208B" w:rsidP="004A0F07"/>
    <w:p w14:paraId="749FD051" w14:textId="77777777" w:rsidR="00EA208B" w:rsidRDefault="00EA208B" w:rsidP="004A0F07"/>
    <w:p w14:paraId="32079FC6" w14:textId="77777777" w:rsidR="00EA208B" w:rsidRDefault="00EA208B" w:rsidP="004A0F07"/>
    <w:p w14:paraId="506957F2" w14:textId="745FB5AE" w:rsidR="00EA3576" w:rsidRDefault="00EA3576" w:rsidP="004A0F07"/>
    <w:p w14:paraId="16C9BB17" w14:textId="541B23F7" w:rsidR="00EA3576" w:rsidRDefault="00EA3576" w:rsidP="004A0F07"/>
    <w:p w14:paraId="303FA6EE" w14:textId="14F3B707" w:rsidR="00EA3576" w:rsidRDefault="00EA3576" w:rsidP="004A0F07"/>
    <w:p w14:paraId="7C31754B" w14:textId="47512B99" w:rsidR="00EA3576" w:rsidRDefault="00EA3576" w:rsidP="00EA3576">
      <w:pPr>
        <w:jc w:val="center"/>
        <w:rPr>
          <w:b/>
          <w:bCs/>
          <w:sz w:val="32"/>
          <w:szCs w:val="32"/>
        </w:rPr>
      </w:pPr>
      <w:r>
        <w:rPr>
          <w:b/>
          <w:bCs/>
          <w:sz w:val="32"/>
          <w:szCs w:val="32"/>
        </w:rPr>
        <w:lastRenderedPageBreak/>
        <w:t xml:space="preserve">Records – </w:t>
      </w:r>
      <w:proofErr w:type="spellStart"/>
      <w:r>
        <w:rPr>
          <w:b/>
          <w:bCs/>
          <w:sz w:val="32"/>
          <w:szCs w:val="32"/>
        </w:rPr>
        <w:t>Reshumot</w:t>
      </w:r>
      <w:proofErr w:type="spellEnd"/>
    </w:p>
    <w:p w14:paraId="00F21354" w14:textId="61DC4046" w:rsidR="00EA3576" w:rsidRDefault="00EA3576" w:rsidP="00EA3576">
      <w:pPr>
        <w:jc w:val="center"/>
        <w:rPr>
          <w:b/>
          <w:bCs/>
          <w:sz w:val="40"/>
          <w:szCs w:val="40"/>
        </w:rPr>
      </w:pPr>
    </w:p>
    <w:p w14:paraId="599AB790" w14:textId="6C69E385" w:rsidR="00EA3576" w:rsidRPr="00EA3576" w:rsidRDefault="00EA3576" w:rsidP="00EA3576">
      <w:pPr>
        <w:jc w:val="center"/>
        <w:rPr>
          <w:b/>
          <w:bCs/>
          <w:sz w:val="32"/>
          <w:szCs w:val="32"/>
        </w:rPr>
      </w:pPr>
      <w:r>
        <w:rPr>
          <w:b/>
          <w:bCs/>
          <w:sz w:val="32"/>
          <w:szCs w:val="32"/>
        </w:rPr>
        <w:t>Government</w:t>
      </w:r>
    </w:p>
    <w:p w14:paraId="7A919E3A" w14:textId="354A5915" w:rsidR="00EA3576" w:rsidRDefault="00EA3576" w:rsidP="00EA3576">
      <w:pPr>
        <w:jc w:val="center"/>
        <w:rPr>
          <w:b/>
          <w:bCs/>
          <w:sz w:val="40"/>
          <w:szCs w:val="40"/>
        </w:rPr>
      </w:pPr>
      <w:r>
        <w:rPr>
          <w:b/>
          <w:bCs/>
          <w:sz w:val="40"/>
          <w:szCs w:val="40"/>
        </w:rPr>
        <w:t>Bills</w:t>
      </w:r>
    </w:p>
    <w:p w14:paraId="00484689" w14:textId="6FC6A951" w:rsidR="00EA3576" w:rsidRDefault="00EA3576" w:rsidP="00EA3576">
      <w:pPr>
        <w:jc w:val="center"/>
        <w:rPr>
          <w:b/>
          <w:bCs/>
          <w:sz w:val="40"/>
          <w:szCs w:val="40"/>
        </w:rPr>
      </w:pPr>
    </w:p>
    <w:p w14:paraId="335A876F" w14:textId="7F32C48B" w:rsidR="00EA3576" w:rsidRDefault="00EA3576" w:rsidP="00EA3576">
      <w:pPr>
        <w:jc w:val="center"/>
        <w:rPr>
          <w:b/>
          <w:bCs/>
          <w:sz w:val="28"/>
          <w:szCs w:val="28"/>
          <w:u w:val="single"/>
        </w:rPr>
      </w:pPr>
      <w:r>
        <w:rPr>
          <w:b/>
          <w:bCs/>
          <w:sz w:val="28"/>
          <w:szCs w:val="28"/>
          <w:u w:val="single"/>
        </w:rPr>
        <w:t xml:space="preserve">13 </w:t>
      </w:r>
      <w:r>
        <w:rPr>
          <w:b/>
          <w:bCs/>
          <w:i/>
          <w:iCs/>
          <w:sz w:val="28"/>
          <w:szCs w:val="28"/>
          <w:u w:val="single"/>
        </w:rPr>
        <w:t xml:space="preserve">Heshvan </w:t>
      </w:r>
      <w:r>
        <w:rPr>
          <w:b/>
          <w:bCs/>
          <w:sz w:val="28"/>
          <w:szCs w:val="28"/>
          <w:u w:val="single"/>
        </w:rPr>
        <w:t xml:space="preserve">5779                            </w:t>
      </w:r>
      <w:r>
        <w:rPr>
          <w:b/>
          <w:bCs/>
          <w:sz w:val="32"/>
          <w:szCs w:val="32"/>
          <w:u w:val="single"/>
        </w:rPr>
        <w:t xml:space="preserve">1261                      </w:t>
      </w:r>
      <w:r>
        <w:rPr>
          <w:b/>
          <w:bCs/>
          <w:sz w:val="28"/>
          <w:szCs w:val="28"/>
          <w:u w:val="single"/>
        </w:rPr>
        <w:t xml:space="preserve">  22 October 2018</w:t>
      </w:r>
    </w:p>
    <w:p w14:paraId="59AAF810" w14:textId="77777777" w:rsidR="00440679" w:rsidRPr="00440679" w:rsidRDefault="00440679" w:rsidP="00EA3576">
      <w:pPr>
        <w:jc w:val="center"/>
        <w:rPr>
          <w:sz w:val="28"/>
          <w:szCs w:val="28"/>
        </w:rPr>
      </w:pPr>
    </w:p>
    <w:p w14:paraId="40CC63B3" w14:textId="15B348DD" w:rsidR="00EA3576" w:rsidRDefault="00440679" w:rsidP="00440679">
      <w:pPr>
        <w:jc w:val="right"/>
      </w:pPr>
      <w:r>
        <w:t>Page</w:t>
      </w:r>
    </w:p>
    <w:p w14:paraId="19FEF258" w14:textId="42B694B8" w:rsidR="00440679" w:rsidRDefault="00440679" w:rsidP="00440679">
      <w:pPr>
        <w:jc w:val="center"/>
      </w:pPr>
      <w:r>
        <w:t>Culture and Arts Bill (Amendment no. 2), 5779-2018………………………………………66</w:t>
      </w:r>
    </w:p>
    <w:p w14:paraId="71742331" w14:textId="0F771287" w:rsidR="00440679" w:rsidRDefault="00440679" w:rsidP="00440679">
      <w:pPr>
        <w:jc w:val="center"/>
      </w:pPr>
    </w:p>
    <w:p w14:paraId="660E851B" w14:textId="56154243" w:rsidR="00440679" w:rsidRDefault="00440679" w:rsidP="00440679">
      <w:pPr>
        <w:jc w:val="center"/>
      </w:pPr>
    </w:p>
    <w:p w14:paraId="089BDBEF" w14:textId="3AFF955A" w:rsidR="00440679" w:rsidRDefault="00440679" w:rsidP="00440679">
      <w:r>
        <w:t>The following is a publication of a Government-sponsored bill:</w:t>
      </w:r>
    </w:p>
    <w:p w14:paraId="7A116FD0" w14:textId="09FB81C4" w:rsidR="00440679" w:rsidRDefault="00440679" w:rsidP="00440679"/>
    <w:p w14:paraId="10ADF1C8" w14:textId="5FAAF6CF" w:rsidR="00440679" w:rsidRDefault="00440679" w:rsidP="00440679">
      <w:pPr>
        <w:jc w:val="center"/>
        <w:rPr>
          <w:b/>
          <w:bCs/>
        </w:rPr>
      </w:pPr>
      <w:r>
        <w:rPr>
          <w:b/>
          <w:bCs/>
        </w:rPr>
        <w:t>The Culture and Arts Bill (Amendment no. 2), 5779-2018</w:t>
      </w:r>
    </w:p>
    <w:p w14:paraId="218BCBB7" w14:textId="77777777" w:rsidR="00D50A1C" w:rsidRDefault="00440679" w:rsidP="00440679">
      <w:pPr>
        <w:jc w:val="both"/>
      </w:pPr>
      <w:r>
        <w:t xml:space="preserve">Addition of clause 12A    </w:t>
      </w:r>
    </w:p>
    <w:p w14:paraId="3CCB5B16" w14:textId="504927E1" w:rsidR="00440679" w:rsidRDefault="00440679" w:rsidP="00440679">
      <w:pPr>
        <w:jc w:val="both"/>
      </w:pPr>
      <w:r>
        <w:t>1. In the Culture and Arts Law, 5763-2002</w:t>
      </w:r>
      <w:r>
        <w:rPr>
          <w:rStyle w:val="FootnoteReference"/>
        </w:rPr>
        <w:footnoteReference w:id="1"/>
      </w:r>
      <w:r>
        <w:t xml:space="preserve"> (heretofore: the main law), clause 12 will be followed by:</w:t>
      </w:r>
    </w:p>
    <w:p w14:paraId="21812DEE" w14:textId="4EE3C51B" w:rsidR="00440679" w:rsidRDefault="00440679" w:rsidP="00440679">
      <w:pPr>
        <w:jc w:val="both"/>
      </w:pPr>
      <w:r>
        <w:tab/>
        <w:t>“reduction or removal of support due to activity against the State’s principals</w:t>
      </w:r>
    </w:p>
    <w:p w14:paraId="13266C12" w14:textId="2CB0B219" w:rsidR="00440679" w:rsidRDefault="00440679" w:rsidP="00440679">
      <w:pPr>
        <w:jc w:val="both"/>
      </w:pPr>
      <w:r>
        <w:tab/>
        <w:t>12A. (A) In this clause –</w:t>
      </w:r>
    </w:p>
    <w:p w14:paraId="1299578B" w14:textId="4CAE1F99" w:rsidR="00440679" w:rsidRDefault="00440679" w:rsidP="00440679">
      <w:pPr>
        <w:jc w:val="both"/>
      </w:pPr>
      <w:r>
        <w:tab/>
      </w:r>
      <w:r>
        <w:tab/>
        <w:t>“Cultural Body” – a body as defined in clause 3B(A) of the Foundations of the Budget Law, supported in the framework of the field of activity – Culture, in a clause of the Ministry of Culture and Sport’s budget;</w:t>
      </w:r>
    </w:p>
    <w:p w14:paraId="4EFF0A6C" w14:textId="69893B6E" w:rsidR="00440679" w:rsidRDefault="00440679" w:rsidP="00440679">
      <w:pPr>
        <w:jc w:val="both"/>
      </w:pPr>
      <w:r>
        <w:tab/>
      </w:r>
      <w:r>
        <w:tab/>
        <w:t xml:space="preserve">“Support Committee” – the </w:t>
      </w:r>
      <w:r w:rsidR="00EA208B">
        <w:t xml:space="preserve">[financial] </w:t>
      </w:r>
      <w:r>
        <w:t>support committee appointed by the Minister in accordance with the Guideline as referred to in clause 3A(F) in the Foundation</w:t>
      </w:r>
      <w:r w:rsidR="002E53C8">
        <w:t>s</w:t>
      </w:r>
      <w:r>
        <w:t xml:space="preserve"> of the Budget Law;</w:t>
      </w:r>
    </w:p>
    <w:p w14:paraId="72AFF264" w14:textId="7BA347A4" w:rsidR="00440679" w:rsidRDefault="00440679" w:rsidP="00440679">
      <w:pPr>
        <w:jc w:val="both"/>
      </w:pPr>
      <w:r>
        <w:tab/>
      </w:r>
      <w:r>
        <w:tab/>
        <w:t>“</w:t>
      </w:r>
      <w:r w:rsidR="002E53C8">
        <w:t>Foundations of the Budget Law” – Foundations of the Budget Law, 5745-1985</w:t>
      </w:r>
      <w:r w:rsidR="002E53C8">
        <w:rPr>
          <w:rStyle w:val="FootnoteReference"/>
        </w:rPr>
        <w:footnoteReference w:id="2"/>
      </w:r>
      <w:r w:rsidR="002E53C8">
        <w:t>;</w:t>
      </w:r>
    </w:p>
    <w:p w14:paraId="42006753" w14:textId="6EBDE639" w:rsidR="002E53C8" w:rsidRDefault="002E53C8" w:rsidP="00440679">
      <w:pPr>
        <w:jc w:val="both"/>
      </w:pPr>
      <w:r>
        <w:lastRenderedPageBreak/>
        <w:tab/>
      </w:r>
      <w:r>
        <w:tab/>
        <w:t xml:space="preserve">“Non-Funded Activity” – Activity </w:t>
      </w:r>
      <w:r w:rsidR="00DC3B09">
        <w:t>that</w:t>
      </w:r>
      <w:r>
        <w:t xml:space="preserve"> is essentially one of the following:</w:t>
      </w:r>
    </w:p>
    <w:p w14:paraId="06167D51" w14:textId="6BE0625F" w:rsidR="002E53C8" w:rsidRDefault="002E53C8" w:rsidP="002E53C8">
      <w:pPr>
        <w:pStyle w:val="ListParagraph"/>
        <w:numPr>
          <w:ilvl w:val="0"/>
          <w:numId w:val="1"/>
        </w:numPr>
        <w:jc w:val="both"/>
      </w:pPr>
      <w:r>
        <w:t>Rejection of the State of Israel’s existence as a Jewish and democratic state;</w:t>
      </w:r>
    </w:p>
    <w:p w14:paraId="1A2ACB1A" w14:textId="18BF11C3" w:rsidR="002E53C8" w:rsidRDefault="002E53C8" w:rsidP="002E53C8">
      <w:pPr>
        <w:pStyle w:val="ListParagraph"/>
        <w:numPr>
          <w:ilvl w:val="0"/>
          <w:numId w:val="1"/>
        </w:numPr>
        <w:jc w:val="both"/>
      </w:pPr>
      <w:r>
        <w:t>Incitement to racism, violence and terror;</w:t>
      </w:r>
    </w:p>
    <w:p w14:paraId="75191B43" w14:textId="4705B571" w:rsidR="002E53C8" w:rsidRDefault="002E53C8" w:rsidP="002E53C8">
      <w:pPr>
        <w:pStyle w:val="ListParagraph"/>
        <w:numPr>
          <w:ilvl w:val="0"/>
          <w:numId w:val="1"/>
        </w:numPr>
        <w:jc w:val="both"/>
      </w:pPr>
      <w:r>
        <w:t>Support of an enemy country or terrorist organization’s armed struggle or act of terror against the State of Israel;</w:t>
      </w:r>
    </w:p>
    <w:p w14:paraId="410E992D" w14:textId="7C4826A5" w:rsidR="002E53C8" w:rsidRDefault="002E53C8" w:rsidP="002E53C8">
      <w:pPr>
        <w:pStyle w:val="ListParagraph"/>
        <w:numPr>
          <w:ilvl w:val="0"/>
          <w:numId w:val="1"/>
        </w:numPr>
        <w:jc w:val="both"/>
      </w:pPr>
      <w:r>
        <w:t>Commemoration of Independence Day or the day of the State’s establishment as a day of mourning;</w:t>
      </w:r>
    </w:p>
    <w:p w14:paraId="5BDFA97C" w14:textId="401514DE" w:rsidR="002E53C8" w:rsidRDefault="002E53C8" w:rsidP="002E53C8">
      <w:pPr>
        <w:pStyle w:val="ListParagraph"/>
        <w:numPr>
          <w:ilvl w:val="0"/>
          <w:numId w:val="1"/>
        </w:numPr>
        <w:jc w:val="both"/>
      </w:pPr>
      <w:r>
        <w:t xml:space="preserve">Defacement </w:t>
      </w:r>
      <w:r w:rsidR="00EA208B">
        <w:t>or an act of physical debasement</w:t>
      </w:r>
      <w:r>
        <w:t xml:space="preserve"> towards the State Flag or State Symbol;</w:t>
      </w:r>
    </w:p>
    <w:p w14:paraId="454B7AE8" w14:textId="262747C3" w:rsidR="002E53C8" w:rsidRDefault="002E53C8" w:rsidP="002E53C8">
      <w:pPr>
        <w:jc w:val="both"/>
      </w:pPr>
      <w:r>
        <w:tab/>
      </w:r>
      <w:r>
        <w:tab/>
        <w:t xml:space="preserve">“Professional Staff” – a staff whose members are employees of the Ministry of Culture and Sport appointed by the Minister, whose chairman will be the Minster, and an employee of the Ministry of Finance appointed by the Minister of Finance, and a representative of the Attorney General. </w:t>
      </w:r>
    </w:p>
    <w:p w14:paraId="4BF8BD62" w14:textId="4B170A74" w:rsidR="001C56DA" w:rsidRDefault="001C56DA" w:rsidP="002E53C8">
      <w:pPr>
        <w:jc w:val="both"/>
      </w:pPr>
      <w:r>
        <w:tab/>
        <w:t xml:space="preserve">(B) </w:t>
      </w:r>
      <w:r w:rsidR="00046649">
        <w:t>Should the Minister see that a cultural body engaged in an activity that is, in essence, a non-funded activity, and received support for it in the framework of the field of activity – Culture in a clause of the Ministry of Culture and Sport’s budget (in this clause – “Support”), he may reduce the amount of support that the body is entitled to, o</w:t>
      </w:r>
      <w:bookmarkStart w:id="0" w:name="_GoBack"/>
      <w:bookmarkEnd w:id="0"/>
      <w:r w:rsidR="00046649">
        <w:t>r completely or partially reduce the amount of support for that activity.</w:t>
      </w:r>
    </w:p>
    <w:p w14:paraId="4DF8E672" w14:textId="6A1DC019" w:rsidR="00046649" w:rsidRDefault="00046649" w:rsidP="002E53C8">
      <w:pPr>
        <w:jc w:val="both"/>
      </w:pPr>
      <w:r>
        <w:tab/>
        <w:t>(C) Should the Minister see that the non-funded activity engaged in by the cultural body, as stipulated in sub-clause (B), constitutes a meaningful and essential part of its activities for the year for which the support was given, he may reduce from the amount of support that the body is entitled to, the total or partial amount of support for the body in said year.</w:t>
      </w:r>
    </w:p>
    <w:p w14:paraId="125F81D6" w14:textId="49BB9BB0" w:rsidR="00046649" w:rsidRDefault="00046649" w:rsidP="002E53C8">
      <w:pPr>
        <w:jc w:val="both"/>
      </w:pPr>
      <w:r>
        <w:tab/>
        <w:t xml:space="preserve">(D) The Minister will only make a decision regarding the reduction as stipulated in sub-clause (B) </w:t>
      </w:r>
      <w:r w:rsidR="00A7326F">
        <w:t>once</w:t>
      </w:r>
      <w:r>
        <w:t xml:space="preserve"> the following have been brought before him and after he has heard the cultural body’s claims in this matter:</w:t>
      </w:r>
    </w:p>
    <w:p w14:paraId="386F509F" w14:textId="6B601321" w:rsidR="00046649" w:rsidRDefault="00046649" w:rsidP="00EA208B">
      <w:pPr>
        <w:jc w:val="both"/>
      </w:pPr>
      <w:r>
        <w:tab/>
      </w:r>
      <w:r>
        <w:tab/>
        <w:t>(1) The legal advisor to the Minist</w:t>
      </w:r>
      <w:r w:rsidR="00A7326F">
        <w:t>ry</w:t>
      </w:r>
      <w:r>
        <w:t xml:space="preserve"> of Culture and Sport’s opinion </w:t>
      </w:r>
      <w:r w:rsidR="00EA208B">
        <w:t>[as to whether the activity in question meets the conditions of] what is</w:t>
      </w:r>
      <w:r>
        <w:t xml:space="preserve"> stipulated in sub-clause (B);</w:t>
      </w:r>
    </w:p>
    <w:p w14:paraId="7189CDAB" w14:textId="20FA093E" w:rsidR="00046649" w:rsidRDefault="00046649" w:rsidP="00EA208B">
      <w:pPr>
        <w:jc w:val="both"/>
      </w:pPr>
      <w:r>
        <w:tab/>
      </w:r>
      <w:r>
        <w:tab/>
        <w:t xml:space="preserve">(2) </w:t>
      </w:r>
      <w:r w:rsidR="00A7326F">
        <w:t xml:space="preserve">The Council’s stance </w:t>
      </w:r>
      <w:r w:rsidR="00EA208B">
        <w:t xml:space="preserve">[as to whether the activity in question meets the conditions of] </w:t>
      </w:r>
      <w:r w:rsidR="00A7326F">
        <w:t>what is stipulated in sub-clause (B) and on the consequences of the reduction to the body, to other entities related to it, and to the public;</w:t>
      </w:r>
    </w:p>
    <w:p w14:paraId="331AC505" w14:textId="0B64EA48" w:rsidR="00A7326F" w:rsidRDefault="00A7326F" w:rsidP="002E53C8">
      <w:pPr>
        <w:jc w:val="both"/>
      </w:pPr>
      <w:r>
        <w:tab/>
      </w:r>
      <w:r>
        <w:tab/>
        <w:t>(3) The Support Committee’s stance, among other things, on the matters listed in paragraph (2) and regarding the amount of support that would have been granted for the non-funded activity were it not reduced, and its recommendation regarding the proper amount to be reduced given the circumstances.</w:t>
      </w:r>
    </w:p>
    <w:p w14:paraId="397C7A9D" w14:textId="19DB0108" w:rsidR="00A7326F" w:rsidRDefault="00A7326F" w:rsidP="002E53C8">
      <w:pPr>
        <w:jc w:val="both"/>
      </w:pPr>
      <w:r>
        <w:tab/>
        <w:t xml:space="preserve">(E) The Minister will only make a decision regarding the reduction as stipulated in sub-clause (C) once the following have been brought before him and </w:t>
      </w:r>
      <w:proofErr w:type="gramStart"/>
      <w:r>
        <w:t>once</w:t>
      </w:r>
      <w:proofErr w:type="gramEnd"/>
      <w:r>
        <w:t xml:space="preserve"> he has heard the cultural body’s claims in this matter:</w:t>
      </w:r>
    </w:p>
    <w:p w14:paraId="28B7A944" w14:textId="312BCA8B" w:rsidR="00A7326F" w:rsidRDefault="00A7326F" w:rsidP="00EA208B">
      <w:pPr>
        <w:jc w:val="both"/>
      </w:pPr>
      <w:r>
        <w:lastRenderedPageBreak/>
        <w:tab/>
      </w:r>
      <w:r>
        <w:tab/>
        <w:t xml:space="preserve">(1) The </w:t>
      </w:r>
      <w:r w:rsidR="00431AEA">
        <w:t xml:space="preserve">opinion of the </w:t>
      </w:r>
      <w:r>
        <w:t xml:space="preserve">legal advisor to the Ministry of Culture and Sport </w:t>
      </w:r>
      <w:r w:rsidR="00EA208B">
        <w:t>[as to whether the activity in question meets the conditions of]</w:t>
      </w:r>
      <w:r>
        <w:t xml:space="preserve"> what is stipulated in sub-clauses (B) and (C);</w:t>
      </w:r>
    </w:p>
    <w:p w14:paraId="6ABED29D" w14:textId="46293F82" w:rsidR="00A7326F" w:rsidRDefault="00A7326F" w:rsidP="00EA208B">
      <w:pPr>
        <w:jc w:val="both"/>
      </w:pPr>
      <w:r>
        <w:tab/>
      </w:r>
      <w:r>
        <w:tab/>
        <w:t xml:space="preserve">(2)  The Council’s stance </w:t>
      </w:r>
      <w:r w:rsidR="00EA208B">
        <w:t xml:space="preserve">[as to whether the activity in question meets the conditions of] </w:t>
      </w:r>
      <w:r>
        <w:t>what is stipulated in sub-clauses (B) and (C) and on the consequences of the reduction to the body, to other entities related to it, and to the public;</w:t>
      </w:r>
    </w:p>
    <w:p w14:paraId="5AFE36B8" w14:textId="1A0080DB" w:rsidR="008B1092" w:rsidRDefault="008B1092" w:rsidP="002E53C8">
      <w:pPr>
        <w:jc w:val="both"/>
      </w:pPr>
      <w:r>
        <w:tab/>
      </w:r>
      <w:r>
        <w:tab/>
        <w:t>(3) The Support Committee’s and Professional Staff’s stances, among other things, on the matters listed in paragraph (2) and regarding the amount of support that would have been granted for the non-funded activity and for all activity of the body for that year were it not reduced, and their recommendations regarding the proper amount to be reduced given the circumstances.</w:t>
      </w:r>
    </w:p>
    <w:p w14:paraId="205C0AA8" w14:textId="2981FF95" w:rsidR="00315F23" w:rsidRDefault="00315F23" w:rsidP="002E53C8">
      <w:pPr>
        <w:jc w:val="both"/>
      </w:pPr>
      <w:r>
        <w:tab/>
        <w:t>(F) In order to provide an opinion, stance or recommendation in accordance with sub-clauses (D)(1) through (3) and (E)(1) through (3), the entities listed therein may demand information from the cultural body regarding the activity for which the reduction is being considered, including information about the content of the activity.</w:t>
      </w:r>
    </w:p>
    <w:p w14:paraId="7B36B877" w14:textId="618D27AB" w:rsidR="00315F23" w:rsidRDefault="00315F23" w:rsidP="002E53C8">
      <w:pPr>
        <w:jc w:val="both"/>
      </w:pPr>
      <w:r>
        <w:tab/>
        <w:t>(G) The Minister will not undertake any actions according to this clause if two years have passed since the engagement in the activity for which the action would be taken.”</w:t>
      </w:r>
    </w:p>
    <w:p w14:paraId="7F37B391" w14:textId="16F0C9D3" w:rsidR="00315F23" w:rsidRDefault="00315F23" w:rsidP="002E53C8">
      <w:pPr>
        <w:jc w:val="both"/>
      </w:pPr>
    </w:p>
    <w:p w14:paraId="2E7B58C7" w14:textId="04874326" w:rsidR="00315F23" w:rsidRDefault="00315F23" w:rsidP="002E53C8">
      <w:pPr>
        <w:jc w:val="both"/>
      </w:pPr>
      <w:r>
        <w:tab/>
        <w:t>Amendment to the Foundations of the Budget Law</w:t>
      </w:r>
    </w:p>
    <w:p w14:paraId="5427B8AF" w14:textId="625033C3" w:rsidR="00315F23" w:rsidRDefault="00315F23" w:rsidP="002E53C8">
      <w:pPr>
        <w:jc w:val="both"/>
      </w:pPr>
      <w:r>
        <w:tab/>
        <w:t>2. The following will be added to the end of clause 3B of the Foundations of the Budget Law, 5745-1985</w:t>
      </w:r>
      <w:r>
        <w:rPr>
          <w:rStyle w:val="FootnoteReference"/>
        </w:rPr>
        <w:footnoteReference w:id="3"/>
      </w:r>
      <w:r>
        <w:t>:</w:t>
      </w:r>
    </w:p>
    <w:p w14:paraId="39DE99D4" w14:textId="3A1F4E50" w:rsidR="00315F23" w:rsidRDefault="00315F23" w:rsidP="00E61FE6">
      <w:pPr>
        <w:jc w:val="both"/>
      </w:pPr>
      <w:r>
        <w:tab/>
      </w:r>
      <w:r w:rsidR="00E61FE6">
        <w:t>"</w:t>
      </w:r>
      <w:r>
        <w:t xml:space="preserve">(E) This clause’s regulations will not be in force </w:t>
      </w:r>
      <w:r w:rsidR="00E61FE6">
        <w:t>over</w:t>
      </w:r>
      <w:r>
        <w:t xml:space="preserve"> a cultural body as defined in clause 12A(A) of the Culture and Arts Law, 5763-2002.</w:t>
      </w:r>
    </w:p>
    <w:p w14:paraId="03846F26" w14:textId="636B715B" w:rsidR="00315F23" w:rsidRDefault="00315F23" w:rsidP="002E53C8">
      <w:pPr>
        <w:jc w:val="both"/>
      </w:pPr>
    </w:p>
    <w:p w14:paraId="2BE894D7" w14:textId="0DFD53EB" w:rsidR="00315F23" w:rsidRDefault="00315F23" w:rsidP="002E53C8">
      <w:pPr>
        <w:jc w:val="both"/>
      </w:pPr>
      <w:r>
        <w:tab/>
        <w:t>Inception</w:t>
      </w:r>
    </w:p>
    <w:p w14:paraId="4A8911B2" w14:textId="3DB093B5" w:rsidR="00315F23" w:rsidRDefault="00315F23" w:rsidP="002E53C8">
      <w:pPr>
        <w:jc w:val="both"/>
        <w:rPr>
          <w:rtl/>
        </w:rPr>
      </w:pPr>
      <w:r>
        <w:tab/>
        <w:t>3. This law’s regulations will not be in force for activity engaged in by a cultural body as defined in clause 12A(A) of the main law, in the version in clause 1 to this law, beginning from the time of its inception.</w:t>
      </w:r>
      <w:r w:rsidR="00E61FE6">
        <w:t>"</w:t>
      </w:r>
    </w:p>
    <w:p w14:paraId="057EB629" w14:textId="691EF35F" w:rsidR="00315F23" w:rsidRDefault="00315F23" w:rsidP="002E53C8">
      <w:pPr>
        <w:jc w:val="both"/>
        <w:rPr>
          <w:rtl/>
        </w:rPr>
      </w:pPr>
      <w:r>
        <w:tab/>
      </w:r>
    </w:p>
    <w:p w14:paraId="2A1DE309" w14:textId="7C32DA30" w:rsidR="00315F23" w:rsidRDefault="00315F23" w:rsidP="002E53C8">
      <w:pPr>
        <w:jc w:val="both"/>
      </w:pPr>
    </w:p>
    <w:p w14:paraId="45E967E9" w14:textId="264434E1" w:rsidR="008411F8" w:rsidRDefault="008411F8" w:rsidP="002E53C8">
      <w:pPr>
        <w:jc w:val="both"/>
      </w:pPr>
    </w:p>
    <w:p w14:paraId="21AD7069" w14:textId="15BE295D" w:rsidR="008411F8" w:rsidRDefault="008411F8" w:rsidP="002E53C8">
      <w:pPr>
        <w:jc w:val="both"/>
      </w:pPr>
    </w:p>
    <w:p w14:paraId="3B45979F" w14:textId="77D6897F" w:rsidR="008411F8" w:rsidRDefault="008411F8" w:rsidP="002E53C8">
      <w:pPr>
        <w:jc w:val="both"/>
      </w:pPr>
    </w:p>
    <w:p w14:paraId="7C65CC10" w14:textId="685276A0" w:rsidR="008411F8" w:rsidRDefault="008411F8" w:rsidP="002E53C8">
      <w:pPr>
        <w:jc w:val="both"/>
      </w:pPr>
    </w:p>
    <w:p w14:paraId="3E9DB8DC" w14:textId="43C99681" w:rsidR="008411F8" w:rsidRDefault="008411F8" w:rsidP="002E53C8">
      <w:pPr>
        <w:jc w:val="both"/>
      </w:pPr>
    </w:p>
    <w:p w14:paraId="279FB0C0" w14:textId="344C8014" w:rsidR="008411F8" w:rsidRDefault="008411F8" w:rsidP="002E53C8">
      <w:pPr>
        <w:jc w:val="both"/>
      </w:pPr>
    </w:p>
    <w:p w14:paraId="75DA604B" w14:textId="2EAD5F01" w:rsidR="008411F8" w:rsidRDefault="008411F8" w:rsidP="00763F58">
      <w:pPr>
        <w:jc w:val="both"/>
        <w:rPr>
          <w:b/>
          <w:bCs/>
        </w:rPr>
      </w:pPr>
      <w:r>
        <w:rPr>
          <w:b/>
          <w:bCs/>
        </w:rPr>
        <w:t xml:space="preserve">Bill for Basic Law: Human Dignity and Liberty (Amendment – </w:t>
      </w:r>
      <w:r w:rsidR="00763F58">
        <w:rPr>
          <w:b/>
          <w:bCs/>
        </w:rPr>
        <w:t>Validity</w:t>
      </w:r>
      <w:r>
        <w:rPr>
          <w:b/>
          <w:bCs/>
        </w:rPr>
        <w:t xml:space="preserve"> of an Exceeding Law)</w:t>
      </w:r>
    </w:p>
    <w:p w14:paraId="02EF43A9" w14:textId="43A0BEC5" w:rsidR="008411F8" w:rsidRDefault="008411F8" w:rsidP="002E53C8">
      <w:pPr>
        <w:jc w:val="both"/>
      </w:pPr>
      <w:r>
        <w:t>Addition of clause 13</w:t>
      </w:r>
    </w:p>
    <w:p w14:paraId="08C36290" w14:textId="3A8E8E69" w:rsidR="008411F8" w:rsidRDefault="008411F8" w:rsidP="008411F8">
      <w:pPr>
        <w:pStyle w:val="ListParagraph"/>
        <w:numPr>
          <w:ilvl w:val="0"/>
          <w:numId w:val="2"/>
        </w:numPr>
        <w:jc w:val="both"/>
      </w:pPr>
      <w:r>
        <w:t>The following will come after clause 12 of Basic Law: Human Dignity and Liberty:</w:t>
      </w:r>
    </w:p>
    <w:p w14:paraId="09FA1CDA" w14:textId="1112AEE6" w:rsidR="008411F8" w:rsidRDefault="00E61FE6" w:rsidP="008411F8">
      <w:pPr>
        <w:pStyle w:val="ListParagraph"/>
        <w:jc w:val="both"/>
      </w:pPr>
      <w:r>
        <w:t>“Validity of an Exceeding Law</w:t>
      </w:r>
    </w:p>
    <w:p w14:paraId="469166FE" w14:textId="636F0E73" w:rsidR="008411F8" w:rsidRPr="008411F8" w:rsidRDefault="008411F8" w:rsidP="008411F8">
      <w:pPr>
        <w:pStyle w:val="ListParagraph"/>
        <w:jc w:val="both"/>
      </w:pPr>
      <w:r>
        <w:t>13. A regulation in a law which infringes upon the rights given in this Basic Law will be valid, even when not in accordance with clause 8, if the law was passed by a majority of Knesset Members and if it is explicitly stated within the law that it will be valid despite what appears in this Basic Law; such a law will expire four years after its inception, unless an earlier expiration is stipulated in it.”</w:t>
      </w:r>
    </w:p>
    <w:sectPr w:rsidR="008411F8" w:rsidRPr="008411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10B57" w14:textId="77777777" w:rsidR="00F271D3" w:rsidRDefault="00F271D3" w:rsidP="00440679">
      <w:pPr>
        <w:spacing w:after="0" w:line="240" w:lineRule="auto"/>
      </w:pPr>
      <w:r>
        <w:separator/>
      </w:r>
    </w:p>
  </w:endnote>
  <w:endnote w:type="continuationSeparator" w:id="0">
    <w:p w14:paraId="3418AF21" w14:textId="77777777" w:rsidR="00F271D3" w:rsidRDefault="00F271D3" w:rsidP="00440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3D08D" w14:textId="77777777" w:rsidR="00F271D3" w:rsidRDefault="00F271D3" w:rsidP="00440679">
      <w:pPr>
        <w:spacing w:after="0" w:line="240" w:lineRule="auto"/>
      </w:pPr>
      <w:r>
        <w:separator/>
      </w:r>
    </w:p>
  </w:footnote>
  <w:footnote w:type="continuationSeparator" w:id="0">
    <w:p w14:paraId="1947A1AF" w14:textId="77777777" w:rsidR="00F271D3" w:rsidRDefault="00F271D3" w:rsidP="00440679">
      <w:pPr>
        <w:spacing w:after="0" w:line="240" w:lineRule="auto"/>
      </w:pPr>
      <w:r>
        <w:continuationSeparator/>
      </w:r>
    </w:p>
  </w:footnote>
  <w:footnote w:id="1">
    <w:p w14:paraId="4CBD73C8" w14:textId="1CA5510F" w:rsidR="00440679" w:rsidRDefault="00440679">
      <w:pPr>
        <w:pStyle w:val="FootnoteText"/>
      </w:pPr>
      <w:r>
        <w:rPr>
          <w:rStyle w:val="FootnoteReference"/>
        </w:rPr>
        <w:footnoteRef/>
      </w:r>
      <w:r>
        <w:t xml:space="preserve"> </w:t>
      </w:r>
      <w:r w:rsidR="00A95BA2">
        <w:t xml:space="preserve">Law Codex </w:t>
      </w:r>
      <w:r w:rsidR="00E02D86">
        <w:t>5763, p. 64; 5764, p. 304.</w:t>
      </w:r>
    </w:p>
  </w:footnote>
  <w:footnote w:id="2">
    <w:p w14:paraId="3F15C3FB" w14:textId="4AAEE603" w:rsidR="002E53C8" w:rsidRDefault="002E53C8">
      <w:pPr>
        <w:pStyle w:val="FootnoteText"/>
      </w:pPr>
      <w:r>
        <w:rPr>
          <w:rStyle w:val="FootnoteReference"/>
        </w:rPr>
        <w:footnoteRef/>
      </w:r>
      <w:r>
        <w:t xml:space="preserve"> </w:t>
      </w:r>
      <w:r w:rsidR="00E02D86">
        <w:t>Law Codex 5745, p. 60.</w:t>
      </w:r>
    </w:p>
  </w:footnote>
  <w:footnote w:id="3">
    <w:p w14:paraId="55BF9E37" w14:textId="52DFF0C7" w:rsidR="00315F23" w:rsidRDefault="00315F23">
      <w:pPr>
        <w:pStyle w:val="FootnoteText"/>
      </w:pPr>
      <w:r>
        <w:rPr>
          <w:rStyle w:val="FootnoteReference"/>
        </w:rPr>
        <w:footnoteRef/>
      </w:r>
      <w:r>
        <w:t xml:space="preserve"> </w:t>
      </w:r>
      <w:r w:rsidR="00E02D86">
        <w:t>Law Codex 5745, p. 69; 5777 p. 1046.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B133F"/>
    <w:multiLevelType w:val="hybridMultilevel"/>
    <w:tmpl w:val="71265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431A8E"/>
    <w:multiLevelType w:val="hybridMultilevel"/>
    <w:tmpl w:val="F468004A"/>
    <w:lvl w:ilvl="0" w:tplc="E79A9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96"/>
    <w:rsid w:val="0000361B"/>
    <w:rsid w:val="00003886"/>
    <w:rsid w:val="00031DF2"/>
    <w:rsid w:val="000453D3"/>
    <w:rsid w:val="00046649"/>
    <w:rsid w:val="000509BE"/>
    <w:rsid w:val="00073AF7"/>
    <w:rsid w:val="000A2368"/>
    <w:rsid w:val="000B6E9B"/>
    <w:rsid w:val="000D6FE9"/>
    <w:rsid w:val="000E7A77"/>
    <w:rsid w:val="00105F60"/>
    <w:rsid w:val="001144DD"/>
    <w:rsid w:val="001978FA"/>
    <w:rsid w:val="001B4ACC"/>
    <w:rsid w:val="001C24F5"/>
    <w:rsid w:val="001C56DA"/>
    <w:rsid w:val="001D45F2"/>
    <w:rsid w:val="001E0665"/>
    <w:rsid w:val="001F1919"/>
    <w:rsid w:val="00204F7D"/>
    <w:rsid w:val="0020649E"/>
    <w:rsid w:val="00225C2E"/>
    <w:rsid w:val="00257EB0"/>
    <w:rsid w:val="0026042A"/>
    <w:rsid w:val="00265063"/>
    <w:rsid w:val="00283182"/>
    <w:rsid w:val="00285996"/>
    <w:rsid w:val="002D5AA4"/>
    <w:rsid w:val="002E53C8"/>
    <w:rsid w:val="00301F84"/>
    <w:rsid w:val="003155A8"/>
    <w:rsid w:val="00315F23"/>
    <w:rsid w:val="00327815"/>
    <w:rsid w:val="003B12E2"/>
    <w:rsid w:val="003D68C0"/>
    <w:rsid w:val="003E30B4"/>
    <w:rsid w:val="00402A4B"/>
    <w:rsid w:val="0040669E"/>
    <w:rsid w:val="00431AEA"/>
    <w:rsid w:val="00440679"/>
    <w:rsid w:val="00441D18"/>
    <w:rsid w:val="00452FFD"/>
    <w:rsid w:val="00464087"/>
    <w:rsid w:val="00471825"/>
    <w:rsid w:val="004A0F07"/>
    <w:rsid w:val="004A256D"/>
    <w:rsid w:val="004A672A"/>
    <w:rsid w:val="004B77C5"/>
    <w:rsid w:val="004C2DEF"/>
    <w:rsid w:val="004E198C"/>
    <w:rsid w:val="004E73B4"/>
    <w:rsid w:val="004F1027"/>
    <w:rsid w:val="004F1EA2"/>
    <w:rsid w:val="0050380D"/>
    <w:rsid w:val="00515BB3"/>
    <w:rsid w:val="00524684"/>
    <w:rsid w:val="00542C9A"/>
    <w:rsid w:val="00544130"/>
    <w:rsid w:val="00583787"/>
    <w:rsid w:val="00586664"/>
    <w:rsid w:val="005C1749"/>
    <w:rsid w:val="005D063A"/>
    <w:rsid w:val="00600B59"/>
    <w:rsid w:val="00654B32"/>
    <w:rsid w:val="00682B65"/>
    <w:rsid w:val="006943D3"/>
    <w:rsid w:val="006B2AA1"/>
    <w:rsid w:val="006C4C1E"/>
    <w:rsid w:val="006E4243"/>
    <w:rsid w:val="0076283F"/>
    <w:rsid w:val="00763F58"/>
    <w:rsid w:val="0076478B"/>
    <w:rsid w:val="00771B82"/>
    <w:rsid w:val="007A20F9"/>
    <w:rsid w:val="007A4D0F"/>
    <w:rsid w:val="007D2638"/>
    <w:rsid w:val="007F0BA0"/>
    <w:rsid w:val="0082687D"/>
    <w:rsid w:val="0083238A"/>
    <w:rsid w:val="008411F8"/>
    <w:rsid w:val="00851051"/>
    <w:rsid w:val="008542E6"/>
    <w:rsid w:val="00870D27"/>
    <w:rsid w:val="00882A37"/>
    <w:rsid w:val="00892643"/>
    <w:rsid w:val="00892AE5"/>
    <w:rsid w:val="008A5F96"/>
    <w:rsid w:val="008B1092"/>
    <w:rsid w:val="008C1F61"/>
    <w:rsid w:val="008E0BED"/>
    <w:rsid w:val="008E5312"/>
    <w:rsid w:val="00932F94"/>
    <w:rsid w:val="009443BC"/>
    <w:rsid w:val="00946CB3"/>
    <w:rsid w:val="0096291B"/>
    <w:rsid w:val="00974374"/>
    <w:rsid w:val="009944E9"/>
    <w:rsid w:val="009A4C7D"/>
    <w:rsid w:val="009B4D54"/>
    <w:rsid w:val="009D6952"/>
    <w:rsid w:val="009D733F"/>
    <w:rsid w:val="009F05CB"/>
    <w:rsid w:val="009F5200"/>
    <w:rsid w:val="00A0310F"/>
    <w:rsid w:val="00A22185"/>
    <w:rsid w:val="00A47AA0"/>
    <w:rsid w:val="00A55C50"/>
    <w:rsid w:val="00A57B5E"/>
    <w:rsid w:val="00A71B7B"/>
    <w:rsid w:val="00A7326F"/>
    <w:rsid w:val="00A77A66"/>
    <w:rsid w:val="00A81382"/>
    <w:rsid w:val="00A83876"/>
    <w:rsid w:val="00A86116"/>
    <w:rsid w:val="00A9578B"/>
    <w:rsid w:val="00A95BA2"/>
    <w:rsid w:val="00AC572D"/>
    <w:rsid w:val="00B234F9"/>
    <w:rsid w:val="00B26887"/>
    <w:rsid w:val="00B27CDD"/>
    <w:rsid w:val="00B80382"/>
    <w:rsid w:val="00BA5213"/>
    <w:rsid w:val="00BD6CFF"/>
    <w:rsid w:val="00C02F88"/>
    <w:rsid w:val="00C04A74"/>
    <w:rsid w:val="00C11BC1"/>
    <w:rsid w:val="00C7474A"/>
    <w:rsid w:val="00CA0568"/>
    <w:rsid w:val="00CA43F3"/>
    <w:rsid w:val="00CC2523"/>
    <w:rsid w:val="00CC7A33"/>
    <w:rsid w:val="00D22CA1"/>
    <w:rsid w:val="00D3551A"/>
    <w:rsid w:val="00D36106"/>
    <w:rsid w:val="00D3637A"/>
    <w:rsid w:val="00D432FA"/>
    <w:rsid w:val="00D50A1C"/>
    <w:rsid w:val="00D5358A"/>
    <w:rsid w:val="00D849B4"/>
    <w:rsid w:val="00D95EA8"/>
    <w:rsid w:val="00DA01EA"/>
    <w:rsid w:val="00DC2A0D"/>
    <w:rsid w:val="00DC3B09"/>
    <w:rsid w:val="00DC4767"/>
    <w:rsid w:val="00DE1CE1"/>
    <w:rsid w:val="00E02D86"/>
    <w:rsid w:val="00E13DA5"/>
    <w:rsid w:val="00E25F06"/>
    <w:rsid w:val="00E61FE6"/>
    <w:rsid w:val="00E6566A"/>
    <w:rsid w:val="00E81D77"/>
    <w:rsid w:val="00E849FB"/>
    <w:rsid w:val="00EA208B"/>
    <w:rsid w:val="00EA3576"/>
    <w:rsid w:val="00EB1158"/>
    <w:rsid w:val="00EC1944"/>
    <w:rsid w:val="00ED5CEB"/>
    <w:rsid w:val="00F06FF9"/>
    <w:rsid w:val="00F271D3"/>
    <w:rsid w:val="00F31676"/>
    <w:rsid w:val="00F4086F"/>
    <w:rsid w:val="00F42B6A"/>
    <w:rsid w:val="00F4529E"/>
    <w:rsid w:val="00F524F3"/>
    <w:rsid w:val="00F53E6D"/>
    <w:rsid w:val="00F9526E"/>
    <w:rsid w:val="00F97A47"/>
    <w:rsid w:val="00FB033C"/>
    <w:rsid w:val="00FB3891"/>
    <w:rsid w:val="00FB580B"/>
    <w:rsid w:val="00FB78D8"/>
    <w:rsid w:val="00FC3631"/>
    <w:rsid w:val="00FD282A"/>
    <w:rsid w:val="00FE3DCA"/>
    <w:rsid w:val="00FF26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D009"/>
  <w15:docId w15:val="{351DA28C-EA5A-4632-AD91-11047414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06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679"/>
    <w:rPr>
      <w:sz w:val="20"/>
      <w:szCs w:val="20"/>
    </w:rPr>
  </w:style>
  <w:style w:type="character" w:styleId="FootnoteReference">
    <w:name w:val="footnote reference"/>
    <w:basedOn w:val="DefaultParagraphFont"/>
    <w:uiPriority w:val="99"/>
    <w:semiHidden/>
    <w:unhideWhenUsed/>
    <w:rsid w:val="00440679"/>
    <w:rPr>
      <w:vertAlign w:val="superscript"/>
    </w:rPr>
  </w:style>
  <w:style w:type="paragraph" w:styleId="ListParagraph">
    <w:name w:val="List Paragraph"/>
    <w:basedOn w:val="Normal"/>
    <w:uiPriority w:val="34"/>
    <w:qFormat/>
    <w:rsid w:val="002E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8088</Characters>
  <Application>Microsoft Office Word</Application>
  <DocSecurity>0</DocSecurity>
  <Lines>351</Lines>
  <Paragraphs>207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MOJ</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Avital Kaplan</dc:creator>
  <cp:lastModifiedBy>Liron</cp:lastModifiedBy>
  <cp:revision>2</cp:revision>
  <dcterms:created xsi:type="dcterms:W3CDTF">2018-12-04T11:00:00Z</dcterms:created>
  <dcterms:modified xsi:type="dcterms:W3CDTF">2018-12-04T11:00:00Z</dcterms:modified>
</cp:coreProperties>
</file>