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737F9" w14:textId="213D85D4" w:rsidR="002337A9" w:rsidRPr="00464A5B" w:rsidRDefault="002337A9" w:rsidP="002337A9">
      <w:pPr>
        <w:spacing w:line="240" w:lineRule="auto"/>
        <w:jc w:val="both"/>
        <w:rPr>
          <w:rFonts w:asciiTheme="minorBidi" w:hAnsiTheme="minorBidi"/>
          <w:sz w:val="28"/>
          <w:szCs w:val="28"/>
        </w:rPr>
      </w:pPr>
      <w:r w:rsidRPr="00464A5B">
        <w:rPr>
          <w:rFonts w:asciiTheme="minorBidi" w:hAnsiTheme="minorBidi"/>
          <w:b/>
          <w:bCs/>
          <w:sz w:val="28"/>
          <w:szCs w:val="28"/>
        </w:rPr>
        <w:t xml:space="preserve">Digital workflow for </w:t>
      </w:r>
      <w:r w:rsidR="00C049AD">
        <w:rPr>
          <w:rFonts w:asciiTheme="minorBidi" w:hAnsiTheme="minorBidi"/>
          <w:b/>
          <w:bCs/>
          <w:sz w:val="28"/>
          <w:szCs w:val="28"/>
        </w:rPr>
        <w:t xml:space="preserve">regenerative </w:t>
      </w:r>
      <w:r w:rsidRPr="00464A5B">
        <w:rPr>
          <w:rFonts w:asciiTheme="minorBidi" w:hAnsiTheme="minorBidi"/>
          <w:b/>
          <w:bCs/>
          <w:sz w:val="28"/>
          <w:szCs w:val="28"/>
        </w:rPr>
        <w:t>zero carbon urban design</w:t>
      </w:r>
      <w:r>
        <w:rPr>
          <w:rFonts w:asciiTheme="minorBidi" w:hAnsiTheme="minorBidi"/>
          <w:b/>
          <w:bCs/>
          <w:sz w:val="28"/>
          <w:szCs w:val="28"/>
        </w:rPr>
        <w:t xml:space="preserve"> in a changing climate</w:t>
      </w:r>
      <w:r w:rsidRPr="00464A5B">
        <w:rPr>
          <w:rFonts w:asciiTheme="minorBidi" w:hAnsiTheme="minorBidi"/>
          <w:b/>
          <w:bCs/>
          <w:sz w:val="28"/>
          <w:szCs w:val="28"/>
        </w:rPr>
        <w:t xml:space="preserve">: a scalable and robust cross-climatic </w:t>
      </w:r>
      <w:r>
        <w:rPr>
          <w:rFonts w:asciiTheme="minorBidi" w:hAnsiTheme="minorBidi"/>
          <w:b/>
          <w:bCs/>
          <w:sz w:val="28"/>
          <w:szCs w:val="28"/>
        </w:rPr>
        <w:t>application</w:t>
      </w:r>
      <w:r w:rsidRPr="00464A5B">
        <w:rPr>
          <w:rFonts w:asciiTheme="minorBidi" w:hAnsiTheme="minorBidi"/>
          <w:b/>
          <w:bCs/>
          <w:sz w:val="28"/>
          <w:szCs w:val="28"/>
        </w:rPr>
        <w:t xml:space="preserve"> </w:t>
      </w:r>
      <w:r w:rsidRPr="00464A5B">
        <w:rPr>
          <w:rFonts w:asciiTheme="minorBidi" w:hAnsiTheme="minorBidi"/>
          <w:sz w:val="28"/>
          <w:szCs w:val="28"/>
        </w:rPr>
        <w:t xml:space="preserve"> </w:t>
      </w:r>
    </w:p>
    <w:p w14:paraId="17921AF7" w14:textId="7296CB59" w:rsidR="000D543C" w:rsidRPr="00442215" w:rsidRDefault="00F36D8C" w:rsidP="00442215">
      <w:pPr>
        <w:spacing w:after="0" w:line="240" w:lineRule="auto"/>
        <w:rPr>
          <w:rFonts w:asciiTheme="minorBidi" w:eastAsia="Times New Roman" w:hAnsiTheme="minorBidi"/>
          <w:b/>
          <w:bCs/>
          <w:color w:val="000000"/>
          <w:lang w:val="en-US" w:eastAsia="sv-SE"/>
        </w:rPr>
      </w:pPr>
      <w:r w:rsidRPr="00442215">
        <w:rPr>
          <w:rFonts w:asciiTheme="minorBidi" w:eastAsia="Times New Roman" w:hAnsiTheme="minorBidi"/>
          <w:b/>
          <w:bCs/>
          <w:color w:val="000000"/>
          <w:lang w:val="en-US" w:eastAsia="sv-SE"/>
        </w:rPr>
        <w:t xml:space="preserve">1. </w:t>
      </w:r>
      <w:r w:rsidR="000F69CD" w:rsidRPr="00442215">
        <w:rPr>
          <w:rFonts w:asciiTheme="minorBidi" w:eastAsia="Times New Roman" w:hAnsiTheme="minorBidi"/>
          <w:b/>
          <w:bCs/>
          <w:color w:val="000000"/>
          <w:lang w:val="en-US" w:eastAsia="sv-SE"/>
        </w:rPr>
        <w:t>Strategic relevance and impact</w:t>
      </w:r>
      <w:r w:rsidR="00603C04" w:rsidRPr="00442215">
        <w:rPr>
          <w:rFonts w:asciiTheme="minorBidi" w:eastAsia="Times New Roman" w:hAnsiTheme="minorBidi"/>
          <w:b/>
          <w:bCs/>
          <w:color w:val="000000"/>
          <w:lang w:val="en-US" w:eastAsia="sv-SE"/>
        </w:rPr>
        <w:t xml:space="preserve"> </w:t>
      </w:r>
    </w:p>
    <w:p w14:paraId="02DAB80A" w14:textId="160BE2B1" w:rsidR="000D543C" w:rsidRDefault="000D543C" w:rsidP="00C0080A">
      <w:pPr>
        <w:spacing w:after="0" w:line="240" w:lineRule="auto"/>
        <w:jc w:val="both"/>
        <w:rPr>
          <w:rFonts w:eastAsia="Times New Roman" w:cstheme="minorHAnsi"/>
          <w:b/>
          <w:bCs/>
          <w:color w:val="000000"/>
          <w:lang w:eastAsia="sv-SE"/>
        </w:rPr>
      </w:pPr>
      <w:r>
        <w:rPr>
          <w:rFonts w:eastAsia="Times New Roman" w:cstheme="minorHAnsi"/>
          <w:b/>
          <w:bCs/>
          <w:color w:val="000000"/>
          <w:lang w:eastAsia="sv-SE"/>
        </w:rPr>
        <w:t>&gt; I</w:t>
      </w:r>
      <w:r w:rsidRPr="000D543C">
        <w:rPr>
          <w:rFonts w:eastAsia="Times New Roman" w:cstheme="minorHAnsi"/>
          <w:b/>
          <w:bCs/>
          <w:color w:val="000000"/>
          <w:lang w:eastAsia="sv-SE"/>
        </w:rPr>
        <w:t>ndustrial</w:t>
      </w:r>
      <w:r>
        <w:rPr>
          <w:rFonts w:eastAsia="Times New Roman" w:cstheme="minorHAnsi"/>
          <w:b/>
          <w:bCs/>
          <w:color w:val="000000"/>
          <w:lang w:eastAsia="sv-SE"/>
        </w:rPr>
        <w:t xml:space="preserve"> and </w:t>
      </w:r>
      <w:r w:rsidRPr="000D543C">
        <w:rPr>
          <w:rFonts w:eastAsia="Times New Roman" w:cstheme="minorHAnsi"/>
          <w:b/>
          <w:bCs/>
          <w:color w:val="000000"/>
          <w:lang w:eastAsia="sv-SE"/>
        </w:rPr>
        <w:t>societal need</w:t>
      </w:r>
      <w:r>
        <w:rPr>
          <w:rFonts w:eastAsia="Times New Roman" w:cstheme="minorHAnsi"/>
          <w:b/>
          <w:bCs/>
          <w:color w:val="000000"/>
          <w:lang w:eastAsia="sv-SE"/>
        </w:rPr>
        <w:t xml:space="preserve">s </w:t>
      </w:r>
      <w:r w:rsidRPr="000D543C">
        <w:rPr>
          <w:rFonts w:eastAsia="Times New Roman" w:cstheme="minorHAnsi"/>
          <w:b/>
          <w:bCs/>
          <w:color w:val="000000"/>
          <w:lang w:eastAsia="sv-SE"/>
        </w:rPr>
        <w:t>the project address</w:t>
      </w:r>
    </w:p>
    <w:p w14:paraId="5D7907F5" w14:textId="3EA1DDF9" w:rsidR="000D543C" w:rsidRPr="005933C8" w:rsidRDefault="00E806C6" w:rsidP="005933C8">
      <w:pPr>
        <w:spacing w:line="240" w:lineRule="auto"/>
        <w:jc w:val="both"/>
        <w:rPr>
          <w:rFonts w:asciiTheme="minorBidi" w:eastAsia="Times New Roman" w:hAnsiTheme="minorBidi"/>
          <w:b/>
          <w:bCs/>
          <w:color w:val="000000"/>
          <w:sz w:val="20"/>
          <w:szCs w:val="20"/>
          <w:lang w:eastAsia="sv-SE"/>
        </w:rPr>
      </w:pPr>
      <w:r w:rsidRPr="005933C8">
        <w:rPr>
          <w:rFonts w:asciiTheme="minorBidi" w:hAnsiTheme="minorBidi"/>
          <w:color w:val="000000"/>
          <w:sz w:val="20"/>
          <w:szCs w:val="20"/>
        </w:rPr>
        <w:t xml:space="preserve">The project addresses two </w:t>
      </w:r>
      <w:r w:rsidR="00BF478D" w:rsidRPr="005933C8">
        <w:rPr>
          <w:rFonts w:asciiTheme="minorBidi" w:hAnsiTheme="minorBidi"/>
          <w:color w:val="000000"/>
          <w:sz w:val="20"/>
          <w:szCs w:val="20"/>
        </w:rPr>
        <w:t xml:space="preserve">current </w:t>
      </w:r>
      <w:r w:rsidRPr="005933C8">
        <w:rPr>
          <w:rFonts w:asciiTheme="minorBidi" w:hAnsiTheme="minorBidi"/>
          <w:color w:val="000000"/>
          <w:sz w:val="20"/>
          <w:szCs w:val="20"/>
        </w:rPr>
        <w:t xml:space="preserve">global </w:t>
      </w:r>
      <w:r w:rsidR="00BF478D" w:rsidRPr="005933C8">
        <w:rPr>
          <w:rFonts w:asciiTheme="minorBidi" w:hAnsiTheme="minorBidi"/>
          <w:color w:val="000000"/>
          <w:sz w:val="20"/>
          <w:szCs w:val="20"/>
        </w:rPr>
        <w:t xml:space="preserve">main challenges: urbanisation and climate change. </w:t>
      </w:r>
      <w:r w:rsidR="00EB3944" w:rsidRPr="005933C8">
        <w:rPr>
          <w:rFonts w:asciiTheme="minorBidi" w:hAnsiTheme="minorBidi"/>
          <w:color w:val="000000"/>
          <w:sz w:val="20"/>
          <w:szCs w:val="20"/>
        </w:rPr>
        <w:t xml:space="preserve">The </w:t>
      </w:r>
      <w:r w:rsidR="00224A9E" w:rsidRPr="005933C8">
        <w:rPr>
          <w:rFonts w:asciiTheme="minorBidi" w:hAnsiTheme="minorBidi"/>
          <w:color w:val="000000"/>
          <w:sz w:val="20"/>
          <w:szCs w:val="20"/>
        </w:rPr>
        <w:t xml:space="preserve">rates of </w:t>
      </w:r>
      <w:r w:rsidR="00EB3944" w:rsidRPr="005933C8">
        <w:rPr>
          <w:rFonts w:asciiTheme="minorBidi" w:hAnsiTheme="minorBidi"/>
          <w:color w:val="000000"/>
          <w:sz w:val="20"/>
          <w:szCs w:val="20"/>
        </w:rPr>
        <w:t>global population in cities</w:t>
      </w:r>
      <w:r w:rsidR="00224A9E" w:rsidRPr="005933C8">
        <w:rPr>
          <w:rFonts w:asciiTheme="minorBidi" w:hAnsiTheme="minorBidi"/>
          <w:color w:val="000000"/>
          <w:sz w:val="20"/>
          <w:szCs w:val="20"/>
        </w:rPr>
        <w:t>,</w:t>
      </w:r>
      <w:r w:rsidR="00EB3944" w:rsidRPr="005933C8">
        <w:rPr>
          <w:rFonts w:asciiTheme="minorBidi" w:hAnsiTheme="minorBidi"/>
          <w:color w:val="000000"/>
          <w:sz w:val="20"/>
          <w:szCs w:val="20"/>
        </w:rPr>
        <w:t xml:space="preserve"> </w:t>
      </w:r>
      <w:r w:rsidR="00224A9E" w:rsidRPr="005933C8">
        <w:rPr>
          <w:rFonts w:asciiTheme="minorBidi" w:hAnsiTheme="minorBidi"/>
          <w:color w:val="000000"/>
          <w:sz w:val="20"/>
          <w:szCs w:val="20"/>
        </w:rPr>
        <w:t xml:space="preserve">and in turn, </w:t>
      </w:r>
      <w:r w:rsidR="00EB3944" w:rsidRPr="005933C8">
        <w:rPr>
          <w:rFonts w:asciiTheme="minorBidi" w:hAnsiTheme="minorBidi"/>
          <w:color w:val="000000"/>
          <w:sz w:val="20"/>
          <w:szCs w:val="20"/>
        </w:rPr>
        <w:t xml:space="preserve">the cities’ material consumption </w:t>
      </w:r>
      <w:proofErr w:type="gramStart"/>
      <w:r w:rsidR="00C86AE2" w:rsidRPr="005933C8">
        <w:rPr>
          <w:rFonts w:asciiTheme="minorBidi" w:hAnsiTheme="minorBidi"/>
          <w:color w:val="000000"/>
          <w:sz w:val="20"/>
          <w:szCs w:val="20"/>
        </w:rPr>
        <w:t>are</w:t>
      </w:r>
      <w:proofErr w:type="gramEnd"/>
      <w:r w:rsidR="00C86AE2" w:rsidRPr="005933C8">
        <w:rPr>
          <w:rFonts w:asciiTheme="minorBidi" w:hAnsiTheme="minorBidi"/>
          <w:color w:val="000000"/>
          <w:sz w:val="20"/>
          <w:szCs w:val="20"/>
        </w:rPr>
        <w:t xml:space="preserve"> rapidly </w:t>
      </w:r>
      <w:r w:rsidR="0014014E" w:rsidRPr="005933C8">
        <w:rPr>
          <w:rFonts w:asciiTheme="minorBidi" w:hAnsiTheme="minorBidi"/>
          <w:color w:val="000000"/>
          <w:sz w:val="20"/>
          <w:szCs w:val="20"/>
        </w:rPr>
        <w:t>increasing</w:t>
      </w:r>
      <w:r w:rsidR="00A44984">
        <w:rPr>
          <w:rFonts w:asciiTheme="minorBidi" w:hAnsiTheme="minorBidi"/>
          <w:color w:val="000000"/>
          <w:sz w:val="20"/>
          <w:szCs w:val="20"/>
        </w:rPr>
        <w:t>. A</w:t>
      </w:r>
      <w:r w:rsidR="00EB3944" w:rsidRPr="005933C8">
        <w:rPr>
          <w:rFonts w:asciiTheme="minorBidi" w:hAnsiTheme="minorBidi"/>
          <w:color w:val="000000"/>
          <w:sz w:val="20"/>
          <w:szCs w:val="20"/>
        </w:rPr>
        <w:t xml:space="preserve">lready today, </w:t>
      </w:r>
      <w:r w:rsidR="00C86AE2" w:rsidRPr="005933C8">
        <w:rPr>
          <w:rFonts w:asciiTheme="minorBidi" w:hAnsiTheme="minorBidi"/>
          <w:color w:val="000000"/>
          <w:sz w:val="20"/>
          <w:szCs w:val="20"/>
        </w:rPr>
        <w:t>the built environment</w:t>
      </w:r>
      <w:r w:rsidR="00EB3944" w:rsidRPr="005933C8">
        <w:rPr>
          <w:rFonts w:asciiTheme="minorBidi" w:hAnsiTheme="minorBidi"/>
          <w:color w:val="000000"/>
          <w:sz w:val="20"/>
          <w:szCs w:val="20"/>
        </w:rPr>
        <w:t xml:space="preserve"> </w:t>
      </w:r>
      <w:r w:rsidR="00C86AE2" w:rsidRPr="005933C8">
        <w:rPr>
          <w:rFonts w:asciiTheme="minorBidi" w:hAnsiTheme="minorBidi"/>
          <w:color w:val="000000"/>
          <w:sz w:val="20"/>
          <w:szCs w:val="20"/>
        </w:rPr>
        <w:t>in cities is</w:t>
      </w:r>
      <w:r w:rsidR="00EB3944" w:rsidRPr="005933C8">
        <w:rPr>
          <w:rFonts w:asciiTheme="minorBidi" w:hAnsiTheme="minorBidi"/>
          <w:color w:val="000000"/>
          <w:sz w:val="20"/>
          <w:szCs w:val="20"/>
        </w:rPr>
        <w:t xml:space="preserve"> responsible for </w:t>
      </w:r>
      <w:r w:rsidR="00C86AE2" w:rsidRPr="005933C8">
        <w:rPr>
          <w:rFonts w:asciiTheme="minorBidi" w:hAnsiTheme="minorBidi"/>
          <w:color w:val="000000"/>
          <w:sz w:val="20"/>
          <w:szCs w:val="20"/>
        </w:rPr>
        <w:t>the majority</w:t>
      </w:r>
      <w:r w:rsidR="00EB3944" w:rsidRPr="005933C8">
        <w:rPr>
          <w:rFonts w:asciiTheme="minorBidi" w:hAnsiTheme="minorBidi"/>
          <w:color w:val="000000"/>
          <w:sz w:val="20"/>
          <w:szCs w:val="20"/>
        </w:rPr>
        <w:t xml:space="preserve"> of </w:t>
      </w:r>
      <w:r w:rsidR="00C86AE2" w:rsidRPr="005933C8">
        <w:rPr>
          <w:rFonts w:asciiTheme="minorBidi" w:hAnsiTheme="minorBidi"/>
          <w:color w:val="000000"/>
          <w:sz w:val="20"/>
          <w:szCs w:val="20"/>
        </w:rPr>
        <w:t xml:space="preserve">global </w:t>
      </w:r>
      <w:r w:rsidR="00EB3944" w:rsidRPr="005933C8">
        <w:rPr>
          <w:rFonts w:asciiTheme="minorBidi" w:hAnsiTheme="minorBidi"/>
          <w:color w:val="000000"/>
          <w:sz w:val="20"/>
          <w:szCs w:val="20"/>
        </w:rPr>
        <w:t>GHG emissions</w:t>
      </w:r>
      <w:r w:rsidR="008C7E7B" w:rsidRPr="005933C8">
        <w:rPr>
          <w:rFonts w:asciiTheme="minorBidi" w:hAnsiTheme="minorBidi"/>
          <w:color w:val="000000"/>
          <w:sz w:val="20"/>
          <w:szCs w:val="20"/>
        </w:rPr>
        <w:t xml:space="preserve">. </w:t>
      </w:r>
      <w:r w:rsidR="00F408E4">
        <w:rPr>
          <w:rFonts w:asciiTheme="minorBidi" w:hAnsiTheme="minorBidi"/>
          <w:color w:val="000000"/>
          <w:sz w:val="20"/>
          <w:szCs w:val="20"/>
        </w:rPr>
        <w:t>Many cities have the ambitio</w:t>
      </w:r>
      <w:r w:rsidR="00540290">
        <w:rPr>
          <w:rFonts w:asciiTheme="minorBidi" w:hAnsiTheme="minorBidi"/>
          <w:color w:val="000000"/>
          <w:sz w:val="20"/>
          <w:szCs w:val="20"/>
        </w:rPr>
        <w:t>u</w:t>
      </w:r>
      <w:r w:rsidR="00F408E4">
        <w:rPr>
          <w:rFonts w:asciiTheme="minorBidi" w:hAnsiTheme="minorBidi"/>
          <w:color w:val="000000"/>
          <w:sz w:val="20"/>
          <w:szCs w:val="20"/>
        </w:rPr>
        <w:t xml:space="preserve">s goal </w:t>
      </w:r>
      <w:r w:rsidR="00593630" w:rsidRPr="005933C8">
        <w:rPr>
          <w:rFonts w:asciiTheme="minorBidi" w:hAnsiTheme="minorBidi"/>
          <w:color w:val="000000"/>
          <w:sz w:val="20"/>
          <w:szCs w:val="20"/>
        </w:rPr>
        <w:t xml:space="preserve">to fully decarbonize the global building stock by 2050 at the latest. </w:t>
      </w:r>
      <w:r w:rsidR="00C73E27" w:rsidRPr="005933C8">
        <w:rPr>
          <w:rFonts w:asciiTheme="minorBidi" w:hAnsiTheme="minorBidi"/>
          <w:color w:val="000000"/>
          <w:sz w:val="20"/>
          <w:szCs w:val="20"/>
        </w:rPr>
        <w:t xml:space="preserve">This new approach requires a comprehensive rethinking of how buildings and cities are designed, in a way that carbon as well as other reliable environmental key performance indicators (KPIs) will inform the design process. </w:t>
      </w:r>
      <w:r w:rsidR="00C86AE2" w:rsidRPr="005933C8">
        <w:rPr>
          <w:rFonts w:asciiTheme="minorBidi" w:hAnsiTheme="minorBidi"/>
          <w:color w:val="000000"/>
          <w:sz w:val="20"/>
          <w:szCs w:val="20"/>
        </w:rPr>
        <w:t xml:space="preserve">However, stakeholders including architects, urban designers, </w:t>
      </w:r>
      <w:r w:rsidR="00FD5A62" w:rsidRPr="005933C8">
        <w:rPr>
          <w:rFonts w:asciiTheme="minorBidi" w:hAnsiTheme="minorBidi"/>
          <w:color w:val="000000"/>
          <w:sz w:val="20"/>
          <w:szCs w:val="20"/>
        </w:rPr>
        <w:t>municipalities,</w:t>
      </w:r>
      <w:r w:rsidR="00C86AE2" w:rsidRPr="005933C8">
        <w:rPr>
          <w:rFonts w:asciiTheme="minorBidi" w:hAnsiTheme="minorBidi"/>
          <w:color w:val="000000"/>
          <w:sz w:val="20"/>
          <w:szCs w:val="20"/>
        </w:rPr>
        <w:t xml:space="preserve"> and construction companies in both </w:t>
      </w:r>
      <w:r w:rsidR="00540290">
        <w:rPr>
          <w:rFonts w:asciiTheme="minorBidi" w:hAnsiTheme="minorBidi"/>
          <w:color w:val="000000"/>
          <w:sz w:val="20"/>
          <w:szCs w:val="20"/>
        </w:rPr>
        <w:t>Sweden and Israel</w:t>
      </w:r>
      <w:r w:rsidR="00540290" w:rsidRPr="005933C8">
        <w:rPr>
          <w:rFonts w:asciiTheme="minorBidi" w:hAnsiTheme="minorBidi"/>
          <w:color w:val="000000"/>
          <w:sz w:val="20"/>
          <w:szCs w:val="20"/>
        </w:rPr>
        <w:t xml:space="preserve"> </w:t>
      </w:r>
      <w:r w:rsidR="00C86AE2" w:rsidRPr="005933C8">
        <w:rPr>
          <w:rFonts w:asciiTheme="minorBidi" w:hAnsiTheme="minorBidi"/>
          <w:color w:val="000000"/>
          <w:sz w:val="20"/>
          <w:szCs w:val="20"/>
        </w:rPr>
        <w:t xml:space="preserve">lack the methods and tools for holistic environmental design </w:t>
      </w:r>
      <w:r w:rsidR="00FD5A62" w:rsidRPr="005933C8">
        <w:rPr>
          <w:rFonts w:asciiTheme="minorBidi" w:hAnsiTheme="minorBidi"/>
          <w:color w:val="000000"/>
          <w:sz w:val="20"/>
          <w:szCs w:val="20"/>
        </w:rPr>
        <w:t>at</w:t>
      </w:r>
      <w:r w:rsidR="00C86AE2" w:rsidRPr="005933C8">
        <w:rPr>
          <w:rFonts w:asciiTheme="minorBidi" w:hAnsiTheme="minorBidi"/>
          <w:color w:val="000000"/>
          <w:sz w:val="20"/>
          <w:szCs w:val="20"/>
        </w:rPr>
        <w:t xml:space="preserve"> the urban level. This project will close this gap</w:t>
      </w:r>
      <w:r w:rsidR="00FD5A62" w:rsidRPr="005933C8">
        <w:rPr>
          <w:rFonts w:asciiTheme="minorBidi" w:hAnsiTheme="minorBidi"/>
          <w:color w:val="000000"/>
          <w:sz w:val="20"/>
          <w:szCs w:val="20"/>
        </w:rPr>
        <w:t xml:space="preserve"> by offering such workflow</w:t>
      </w:r>
      <w:r w:rsidR="00CA34DB">
        <w:rPr>
          <w:rFonts w:asciiTheme="minorBidi" w:hAnsiTheme="minorBidi"/>
          <w:color w:val="000000"/>
          <w:sz w:val="20"/>
          <w:szCs w:val="20"/>
        </w:rPr>
        <w:t>s</w:t>
      </w:r>
      <w:r w:rsidR="00FD5A62" w:rsidRPr="005933C8">
        <w:rPr>
          <w:rFonts w:asciiTheme="minorBidi" w:hAnsiTheme="minorBidi"/>
          <w:color w:val="000000"/>
          <w:sz w:val="20"/>
          <w:szCs w:val="20"/>
        </w:rPr>
        <w:t xml:space="preserve"> which will </w:t>
      </w:r>
      <w:r w:rsidR="00C73E27">
        <w:rPr>
          <w:rFonts w:asciiTheme="minorBidi" w:hAnsiTheme="minorBidi"/>
          <w:color w:val="000000"/>
          <w:sz w:val="20"/>
          <w:szCs w:val="20"/>
        </w:rPr>
        <w:t>contribute to</w:t>
      </w:r>
      <w:r w:rsidR="00637A94" w:rsidRPr="005933C8">
        <w:rPr>
          <w:rFonts w:asciiTheme="minorBidi" w:hAnsiTheme="minorBidi"/>
          <w:color w:val="000000"/>
          <w:sz w:val="20"/>
          <w:szCs w:val="20"/>
        </w:rPr>
        <w:t xml:space="preserve"> achieving carbon neutrally in the built environment</w:t>
      </w:r>
      <w:r w:rsidR="00FD5A62" w:rsidRPr="005933C8">
        <w:rPr>
          <w:rFonts w:asciiTheme="minorBidi" w:hAnsiTheme="minorBidi"/>
          <w:color w:val="000000"/>
          <w:sz w:val="20"/>
          <w:szCs w:val="20"/>
        </w:rPr>
        <w:t>.</w:t>
      </w:r>
    </w:p>
    <w:p w14:paraId="164FD78D" w14:textId="1B245FB9" w:rsidR="000D543C" w:rsidRPr="005933C8" w:rsidRDefault="000D543C" w:rsidP="00C0080A">
      <w:pPr>
        <w:spacing w:after="0" w:line="240" w:lineRule="auto"/>
        <w:jc w:val="both"/>
        <w:rPr>
          <w:rFonts w:asciiTheme="minorBidi" w:eastAsia="Times New Roman" w:hAnsiTheme="minorBidi"/>
          <w:b/>
          <w:bCs/>
          <w:color w:val="000000"/>
          <w:sz w:val="20"/>
          <w:szCs w:val="20"/>
          <w:lang w:eastAsia="sv-SE"/>
        </w:rPr>
      </w:pPr>
      <w:r w:rsidRPr="005933C8">
        <w:rPr>
          <w:rFonts w:asciiTheme="minorBidi" w:eastAsia="Times New Roman" w:hAnsiTheme="minorBidi"/>
          <w:b/>
          <w:bCs/>
          <w:color w:val="000000"/>
          <w:sz w:val="20"/>
          <w:szCs w:val="20"/>
          <w:lang w:eastAsia="sv-SE"/>
        </w:rPr>
        <w:t>&gt; Improvement on current practices</w:t>
      </w:r>
    </w:p>
    <w:p w14:paraId="4C88273E" w14:textId="5898AF33" w:rsidR="00795ADA" w:rsidRPr="005933C8" w:rsidRDefault="00F866D6" w:rsidP="005933C8">
      <w:pPr>
        <w:spacing w:line="240" w:lineRule="auto"/>
        <w:jc w:val="both"/>
        <w:rPr>
          <w:rFonts w:asciiTheme="minorBidi" w:eastAsia="Times New Roman" w:hAnsiTheme="minorBidi"/>
          <w:b/>
          <w:bCs/>
          <w:color w:val="000000"/>
          <w:sz w:val="20"/>
          <w:szCs w:val="20"/>
          <w:lang w:eastAsia="sv-SE"/>
        </w:rPr>
      </w:pPr>
      <w:r>
        <w:rPr>
          <w:rFonts w:asciiTheme="minorBidi" w:hAnsiTheme="minorBidi"/>
          <w:color w:val="000000"/>
          <w:sz w:val="20"/>
          <w:szCs w:val="20"/>
        </w:rPr>
        <w:t xml:space="preserve">Current practices are improved in five main aspects: </w:t>
      </w:r>
      <w:r w:rsidR="00477782">
        <w:rPr>
          <w:rFonts w:asciiTheme="minorBidi" w:hAnsiTheme="minorBidi"/>
          <w:color w:val="000000"/>
          <w:sz w:val="20"/>
          <w:szCs w:val="20"/>
        </w:rPr>
        <w:t>1)</w:t>
      </w:r>
      <w:r w:rsidR="00637A94" w:rsidRPr="005933C8">
        <w:rPr>
          <w:rFonts w:asciiTheme="minorBidi" w:hAnsiTheme="minorBidi"/>
          <w:color w:val="000000"/>
          <w:sz w:val="20"/>
          <w:szCs w:val="20"/>
        </w:rPr>
        <w:t xml:space="preserve"> </w:t>
      </w:r>
      <w:r w:rsidR="0021105E">
        <w:rPr>
          <w:rFonts w:asciiTheme="minorBidi" w:hAnsiTheme="minorBidi"/>
          <w:color w:val="000000"/>
          <w:sz w:val="20"/>
          <w:szCs w:val="20"/>
        </w:rPr>
        <w:t>C</w:t>
      </w:r>
      <w:r w:rsidR="005A4D01" w:rsidRPr="005933C8">
        <w:rPr>
          <w:rFonts w:asciiTheme="minorBidi" w:hAnsiTheme="minorBidi"/>
          <w:color w:val="000000"/>
          <w:sz w:val="20"/>
          <w:szCs w:val="20"/>
        </w:rPr>
        <w:t xml:space="preserve">urrent </w:t>
      </w:r>
      <w:r w:rsidR="00637A94" w:rsidRPr="005933C8">
        <w:rPr>
          <w:rFonts w:asciiTheme="minorBidi" w:hAnsiTheme="minorBidi"/>
          <w:color w:val="000000"/>
          <w:sz w:val="20"/>
          <w:szCs w:val="20"/>
        </w:rPr>
        <w:t xml:space="preserve">environmental </w:t>
      </w:r>
      <w:r w:rsidR="005A4D01" w:rsidRPr="005933C8">
        <w:rPr>
          <w:rFonts w:asciiTheme="minorBidi" w:hAnsiTheme="minorBidi"/>
          <w:color w:val="000000"/>
          <w:sz w:val="20"/>
          <w:szCs w:val="20"/>
        </w:rPr>
        <w:t xml:space="preserve">evaluation of design proposals </w:t>
      </w:r>
      <w:proofErr w:type="gramStart"/>
      <w:r w:rsidR="00C049AD" w:rsidRPr="005933C8">
        <w:rPr>
          <w:rFonts w:asciiTheme="minorBidi" w:hAnsiTheme="minorBidi"/>
          <w:color w:val="000000"/>
          <w:sz w:val="20"/>
          <w:szCs w:val="20"/>
        </w:rPr>
        <w:t>is</w:t>
      </w:r>
      <w:proofErr w:type="gramEnd"/>
      <w:r w:rsidR="003855FF" w:rsidRPr="005933C8">
        <w:rPr>
          <w:rFonts w:asciiTheme="minorBidi" w:hAnsiTheme="minorBidi"/>
          <w:color w:val="000000"/>
          <w:sz w:val="20"/>
          <w:szCs w:val="20"/>
        </w:rPr>
        <w:t xml:space="preserve"> usually</w:t>
      </w:r>
      <w:r w:rsidR="007D4C45" w:rsidRPr="005933C8">
        <w:rPr>
          <w:rFonts w:asciiTheme="minorBidi" w:hAnsiTheme="minorBidi"/>
          <w:color w:val="000000"/>
          <w:sz w:val="20"/>
          <w:szCs w:val="20"/>
        </w:rPr>
        <w:t xml:space="preserve"> carried out for single performance criteria</w:t>
      </w:r>
      <w:r w:rsidR="00795ADA" w:rsidRPr="005933C8">
        <w:rPr>
          <w:rFonts w:asciiTheme="minorBidi" w:hAnsiTheme="minorBidi"/>
          <w:color w:val="000000"/>
          <w:sz w:val="20"/>
          <w:szCs w:val="20"/>
        </w:rPr>
        <w:t xml:space="preserve">. This project will </w:t>
      </w:r>
      <w:r w:rsidR="00047F8F">
        <w:rPr>
          <w:rFonts w:asciiTheme="minorBidi" w:hAnsiTheme="minorBidi"/>
          <w:color w:val="000000"/>
          <w:sz w:val="20"/>
          <w:szCs w:val="20"/>
        </w:rPr>
        <w:t>allow</w:t>
      </w:r>
      <w:r w:rsidR="00795ADA" w:rsidRPr="005933C8">
        <w:rPr>
          <w:rFonts w:asciiTheme="minorBidi" w:hAnsiTheme="minorBidi"/>
          <w:color w:val="000000"/>
          <w:sz w:val="20"/>
          <w:szCs w:val="20"/>
        </w:rPr>
        <w:t xml:space="preserve"> for integrated multi-criteria evaluation over the whole life cycle on the urban</w:t>
      </w:r>
      <w:r w:rsidR="00637A94" w:rsidRPr="005933C8">
        <w:rPr>
          <w:rFonts w:asciiTheme="minorBidi" w:hAnsiTheme="minorBidi"/>
          <w:color w:val="000000"/>
          <w:sz w:val="20"/>
          <w:szCs w:val="20"/>
        </w:rPr>
        <w:t xml:space="preserve"> </w:t>
      </w:r>
      <w:r w:rsidR="00795ADA" w:rsidRPr="005933C8">
        <w:rPr>
          <w:rFonts w:asciiTheme="minorBidi" w:hAnsiTheme="minorBidi"/>
          <w:color w:val="000000"/>
          <w:sz w:val="20"/>
          <w:szCs w:val="20"/>
        </w:rPr>
        <w:t xml:space="preserve">neighbourhood level. </w:t>
      </w:r>
      <w:r w:rsidR="00477782">
        <w:rPr>
          <w:rFonts w:asciiTheme="minorBidi" w:hAnsiTheme="minorBidi"/>
          <w:color w:val="000000"/>
          <w:sz w:val="20"/>
          <w:szCs w:val="20"/>
        </w:rPr>
        <w:t xml:space="preserve">2) </w:t>
      </w:r>
      <w:r w:rsidR="0021105E">
        <w:rPr>
          <w:rFonts w:asciiTheme="minorBidi" w:hAnsiTheme="minorBidi"/>
          <w:color w:val="000000"/>
          <w:sz w:val="20"/>
          <w:szCs w:val="20"/>
        </w:rPr>
        <w:t>A</w:t>
      </w:r>
      <w:r w:rsidR="00AA04B5" w:rsidRPr="005933C8">
        <w:rPr>
          <w:rFonts w:asciiTheme="minorBidi" w:hAnsiTheme="minorBidi"/>
          <w:color w:val="000000"/>
          <w:sz w:val="20"/>
          <w:szCs w:val="20"/>
        </w:rPr>
        <w:t xml:space="preserve">s LCA at the urban scale </w:t>
      </w:r>
      <w:r w:rsidR="00230984" w:rsidRPr="005933C8">
        <w:rPr>
          <w:rFonts w:asciiTheme="minorBidi" w:hAnsiTheme="minorBidi"/>
          <w:color w:val="000000"/>
          <w:sz w:val="20"/>
          <w:szCs w:val="20"/>
        </w:rPr>
        <w:t>has not been explored</w:t>
      </w:r>
      <w:r w:rsidR="00AA04B5" w:rsidRPr="005933C8">
        <w:rPr>
          <w:rFonts w:asciiTheme="minorBidi" w:hAnsiTheme="minorBidi"/>
          <w:color w:val="000000"/>
          <w:sz w:val="20"/>
          <w:szCs w:val="20"/>
        </w:rPr>
        <w:t xml:space="preserve">, our approach will offer new insights </w:t>
      </w:r>
      <w:r w:rsidR="00230984" w:rsidRPr="005933C8">
        <w:rPr>
          <w:rFonts w:asciiTheme="minorBidi" w:hAnsiTheme="minorBidi"/>
          <w:color w:val="000000"/>
          <w:sz w:val="20"/>
          <w:szCs w:val="20"/>
        </w:rPr>
        <w:t>on</w:t>
      </w:r>
      <w:r w:rsidR="00AA04B5" w:rsidRPr="005933C8">
        <w:rPr>
          <w:rFonts w:asciiTheme="minorBidi" w:hAnsiTheme="minorBidi"/>
          <w:color w:val="000000"/>
          <w:sz w:val="20"/>
          <w:szCs w:val="20"/>
        </w:rPr>
        <w:t xml:space="preserve"> the trade-offs between carbon performance and other environmental KPIs</w:t>
      </w:r>
      <w:r w:rsidR="00230984" w:rsidRPr="005933C8">
        <w:rPr>
          <w:rFonts w:asciiTheme="minorBidi" w:hAnsiTheme="minorBidi"/>
          <w:color w:val="000000"/>
          <w:sz w:val="20"/>
          <w:szCs w:val="20"/>
        </w:rPr>
        <w:t xml:space="preserve"> (</w:t>
      </w:r>
      <w:r w:rsidR="00477782">
        <w:rPr>
          <w:rFonts w:asciiTheme="minorBidi" w:hAnsiTheme="minorBidi"/>
          <w:color w:val="000000"/>
          <w:sz w:val="20"/>
          <w:szCs w:val="20"/>
        </w:rPr>
        <w:t>e.g.,</w:t>
      </w:r>
      <w:r w:rsidR="00230984" w:rsidRPr="005933C8">
        <w:rPr>
          <w:rFonts w:asciiTheme="minorBidi" w:hAnsiTheme="minorBidi"/>
          <w:color w:val="000000"/>
          <w:sz w:val="20"/>
          <w:szCs w:val="20"/>
        </w:rPr>
        <w:t xml:space="preserve"> daylight, thermal comfort)</w:t>
      </w:r>
      <w:r w:rsidR="00AA04B5" w:rsidRPr="005933C8">
        <w:rPr>
          <w:rFonts w:asciiTheme="minorBidi" w:hAnsiTheme="minorBidi"/>
          <w:color w:val="000000"/>
          <w:sz w:val="20"/>
          <w:szCs w:val="20"/>
        </w:rPr>
        <w:t xml:space="preserve">. </w:t>
      </w:r>
      <w:r w:rsidR="00477782">
        <w:rPr>
          <w:rFonts w:asciiTheme="minorBidi" w:hAnsiTheme="minorBidi"/>
          <w:color w:val="000000"/>
          <w:sz w:val="20"/>
          <w:szCs w:val="20"/>
        </w:rPr>
        <w:t>3)</w:t>
      </w:r>
      <w:r w:rsidR="00230984" w:rsidRPr="005933C8">
        <w:rPr>
          <w:rFonts w:asciiTheme="minorBidi" w:hAnsiTheme="minorBidi"/>
          <w:color w:val="000000"/>
          <w:sz w:val="20"/>
          <w:szCs w:val="20"/>
        </w:rPr>
        <w:t xml:space="preserve"> </w:t>
      </w:r>
      <w:r w:rsidR="0021105E">
        <w:rPr>
          <w:rFonts w:asciiTheme="minorBidi" w:hAnsiTheme="minorBidi"/>
          <w:color w:val="000000"/>
          <w:sz w:val="20"/>
          <w:szCs w:val="20"/>
        </w:rPr>
        <w:t>T</w:t>
      </w:r>
      <w:r w:rsidR="00AA04B5" w:rsidRPr="005933C8">
        <w:rPr>
          <w:rFonts w:asciiTheme="minorBidi" w:hAnsiTheme="minorBidi"/>
          <w:color w:val="000000"/>
          <w:sz w:val="20"/>
          <w:szCs w:val="20"/>
        </w:rPr>
        <w:t>his</w:t>
      </w:r>
      <w:r w:rsidR="003855FF" w:rsidRPr="005933C8">
        <w:rPr>
          <w:rFonts w:asciiTheme="minorBidi" w:hAnsiTheme="minorBidi"/>
          <w:color w:val="000000"/>
          <w:sz w:val="20"/>
          <w:szCs w:val="20"/>
        </w:rPr>
        <w:t xml:space="preserve"> project will upscale the analytical boundary from the single building scale, which is the common analytical practice, to the urban block and the district scales. </w:t>
      </w:r>
      <w:r w:rsidR="00477782">
        <w:rPr>
          <w:rFonts w:asciiTheme="minorBidi" w:hAnsiTheme="minorBidi"/>
          <w:color w:val="000000"/>
          <w:sz w:val="20"/>
          <w:szCs w:val="20"/>
        </w:rPr>
        <w:t>4)</w:t>
      </w:r>
      <w:r w:rsidR="00097742" w:rsidRPr="005933C8">
        <w:rPr>
          <w:rFonts w:asciiTheme="minorBidi" w:hAnsiTheme="minorBidi"/>
          <w:color w:val="000000"/>
          <w:sz w:val="20"/>
          <w:szCs w:val="20"/>
        </w:rPr>
        <w:t xml:space="preserve"> </w:t>
      </w:r>
      <w:r w:rsidR="0021105E">
        <w:rPr>
          <w:rFonts w:asciiTheme="minorBidi" w:hAnsiTheme="minorBidi"/>
          <w:color w:val="000000"/>
          <w:sz w:val="20"/>
          <w:szCs w:val="20"/>
        </w:rPr>
        <w:t>E</w:t>
      </w:r>
      <w:r w:rsidR="00097742" w:rsidRPr="005933C8">
        <w:rPr>
          <w:rFonts w:asciiTheme="minorBidi" w:hAnsiTheme="minorBidi"/>
          <w:color w:val="000000"/>
          <w:sz w:val="20"/>
          <w:szCs w:val="20"/>
        </w:rPr>
        <w:t xml:space="preserve">nvironmental assessment still involves a lot of manual work by individual expert consultants today. By leveraging the potential of digital workflows, the project increases efficiency and accessibility to the assessments. </w:t>
      </w:r>
      <w:r w:rsidR="00477782">
        <w:rPr>
          <w:rFonts w:asciiTheme="minorBidi" w:hAnsiTheme="minorBidi"/>
          <w:color w:val="000000"/>
          <w:sz w:val="20"/>
          <w:szCs w:val="20"/>
        </w:rPr>
        <w:t>5)</w:t>
      </w:r>
      <w:r w:rsidR="00AA04B5" w:rsidRPr="005933C8">
        <w:rPr>
          <w:rFonts w:asciiTheme="minorBidi" w:hAnsiTheme="minorBidi"/>
          <w:color w:val="000000"/>
          <w:sz w:val="20"/>
          <w:szCs w:val="20"/>
        </w:rPr>
        <w:t xml:space="preserve"> </w:t>
      </w:r>
      <w:r w:rsidR="0021105E">
        <w:rPr>
          <w:rFonts w:asciiTheme="minorBidi" w:hAnsiTheme="minorBidi"/>
          <w:color w:val="000000"/>
          <w:sz w:val="20"/>
          <w:szCs w:val="20"/>
        </w:rPr>
        <w:t>C</w:t>
      </w:r>
      <w:r w:rsidR="00AA04B5" w:rsidRPr="005933C8">
        <w:rPr>
          <w:rFonts w:asciiTheme="minorBidi" w:hAnsiTheme="minorBidi"/>
          <w:color w:val="000000"/>
          <w:sz w:val="20"/>
          <w:szCs w:val="20"/>
        </w:rPr>
        <w:t xml:space="preserve">urrent practices </w:t>
      </w:r>
      <w:r w:rsidR="0021105E">
        <w:rPr>
          <w:rFonts w:asciiTheme="minorBidi" w:hAnsiTheme="minorBidi"/>
          <w:color w:val="000000"/>
          <w:sz w:val="20"/>
          <w:szCs w:val="20"/>
        </w:rPr>
        <w:t xml:space="preserve">rarely </w:t>
      </w:r>
      <w:r w:rsidR="00AA04B5" w:rsidRPr="005933C8">
        <w:rPr>
          <w:rFonts w:asciiTheme="minorBidi" w:hAnsiTheme="minorBidi"/>
          <w:color w:val="000000"/>
          <w:sz w:val="20"/>
          <w:szCs w:val="20"/>
        </w:rPr>
        <w:t xml:space="preserve">account for the future climate. </w:t>
      </w:r>
      <w:r w:rsidR="00C71C4B">
        <w:rPr>
          <w:rFonts w:asciiTheme="minorBidi" w:hAnsiTheme="minorBidi"/>
          <w:color w:val="000000"/>
          <w:sz w:val="20"/>
          <w:szCs w:val="20"/>
        </w:rPr>
        <w:t>In this project future climate change scenarios and</w:t>
      </w:r>
      <w:r w:rsidR="00AA04B5" w:rsidRPr="005933C8">
        <w:rPr>
          <w:rFonts w:asciiTheme="minorBidi" w:hAnsiTheme="minorBidi"/>
          <w:color w:val="000000"/>
          <w:sz w:val="20"/>
          <w:szCs w:val="20"/>
        </w:rPr>
        <w:t xml:space="preserve"> different climatic contexts in both countries </w:t>
      </w:r>
      <w:r w:rsidR="00C71C4B">
        <w:rPr>
          <w:rFonts w:asciiTheme="minorBidi" w:hAnsiTheme="minorBidi"/>
          <w:color w:val="000000"/>
          <w:sz w:val="20"/>
          <w:szCs w:val="20"/>
        </w:rPr>
        <w:t xml:space="preserve">will be used </w:t>
      </w:r>
      <w:r w:rsidR="00AA04B5" w:rsidRPr="005933C8">
        <w:rPr>
          <w:rFonts w:asciiTheme="minorBidi" w:hAnsiTheme="minorBidi"/>
          <w:color w:val="000000"/>
          <w:sz w:val="20"/>
          <w:szCs w:val="20"/>
        </w:rPr>
        <w:t xml:space="preserve">to ensure the robustness of </w:t>
      </w:r>
      <w:r w:rsidR="00FE589E">
        <w:rPr>
          <w:rFonts w:asciiTheme="minorBidi" w:hAnsiTheme="minorBidi"/>
          <w:color w:val="000000"/>
          <w:sz w:val="20"/>
          <w:szCs w:val="20"/>
        </w:rPr>
        <w:t xml:space="preserve">the </w:t>
      </w:r>
      <w:r w:rsidR="00AA04B5" w:rsidRPr="005933C8">
        <w:rPr>
          <w:rFonts w:asciiTheme="minorBidi" w:hAnsiTheme="minorBidi"/>
          <w:color w:val="000000"/>
          <w:sz w:val="20"/>
          <w:szCs w:val="20"/>
        </w:rPr>
        <w:t xml:space="preserve">approach. </w:t>
      </w:r>
    </w:p>
    <w:p w14:paraId="1C4081DE" w14:textId="77777777" w:rsidR="00241CD1" w:rsidRPr="005933C8" w:rsidRDefault="00241CD1" w:rsidP="00C0080A">
      <w:pPr>
        <w:spacing w:after="0" w:line="240" w:lineRule="auto"/>
        <w:jc w:val="both"/>
        <w:rPr>
          <w:rFonts w:asciiTheme="minorBidi" w:eastAsia="Times New Roman" w:hAnsiTheme="minorBidi"/>
          <w:b/>
          <w:bCs/>
          <w:color w:val="000000"/>
          <w:sz w:val="20"/>
          <w:szCs w:val="20"/>
          <w:lang w:eastAsia="sv-SE"/>
        </w:rPr>
      </w:pPr>
      <w:r w:rsidRPr="005933C8">
        <w:rPr>
          <w:rFonts w:asciiTheme="minorBidi" w:eastAsia="Times New Roman" w:hAnsiTheme="minorBidi"/>
          <w:b/>
          <w:bCs/>
          <w:color w:val="000000"/>
          <w:sz w:val="20"/>
          <w:szCs w:val="20"/>
          <w:lang w:eastAsia="sv-SE"/>
        </w:rPr>
        <w:t>&gt; Why has this not been done before?</w:t>
      </w:r>
    </w:p>
    <w:p w14:paraId="281FE466" w14:textId="7F4A1FA5" w:rsidR="000D543C" w:rsidRPr="005933C8" w:rsidRDefault="00241CD1" w:rsidP="00C0080A">
      <w:pPr>
        <w:spacing w:after="0" w:line="240" w:lineRule="auto"/>
        <w:jc w:val="both"/>
        <w:rPr>
          <w:rFonts w:asciiTheme="minorBidi" w:hAnsiTheme="minorBidi"/>
          <w:color w:val="000000"/>
          <w:sz w:val="20"/>
          <w:szCs w:val="20"/>
        </w:rPr>
      </w:pPr>
      <w:r w:rsidRPr="005933C8">
        <w:rPr>
          <w:rFonts w:asciiTheme="minorBidi" w:hAnsiTheme="minorBidi"/>
          <w:color w:val="000000"/>
          <w:sz w:val="20"/>
          <w:szCs w:val="20"/>
        </w:rPr>
        <w:t xml:space="preserve">Most researchers are specialists in one field, e.g., daylight and focus on improving methods within their specialisation. Researchers like </w:t>
      </w:r>
      <w:proofErr w:type="spellStart"/>
      <w:r w:rsidRPr="005933C8">
        <w:rPr>
          <w:rFonts w:asciiTheme="minorBidi" w:hAnsiTheme="minorBidi"/>
          <w:color w:val="000000"/>
          <w:sz w:val="20"/>
          <w:szCs w:val="20"/>
        </w:rPr>
        <w:t>Dr.</w:t>
      </w:r>
      <w:proofErr w:type="spellEnd"/>
      <w:r w:rsidRPr="005933C8">
        <w:rPr>
          <w:rFonts w:asciiTheme="minorBidi" w:hAnsiTheme="minorBidi"/>
          <w:color w:val="000000"/>
          <w:sz w:val="20"/>
          <w:szCs w:val="20"/>
        </w:rPr>
        <w:t xml:space="preserve"> Natanian </w:t>
      </w:r>
      <w:r w:rsidR="00555083" w:rsidRPr="005933C8">
        <w:rPr>
          <w:rFonts w:asciiTheme="minorBidi" w:hAnsiTheme="minorBidi"/>
          <w:color w:val="000000"/>
          <w:sz w:val="20"/>
          <w:szCs w:val="20"/>
        </w:rPr>
        <w:t>who combine</w:t>
      </w:r>
      <w:r w:rsidRPr="005933C8">
        <w:rPr>
          <w:rFonts w:asciiTheme="minorBidi" w:hAnsiTheme="minorBidi"/>
          <w:color w:val="000000"/>
          <w:sz w:val="20"/>
          <w:szCs w:val="20"/>
        </w:rPr>
        <w:t xml:space="preserve"> </w:t>
      </w:r>
      <w:r w:rsidR="00555083" w:rsidRPr="005933C8">
        <w:rPr>
          <w:rFonts w:asciiTheme="minorBidi" w:hAnsiTheme="minorBidi"/>
          <w:color w:val="000000"/>
          <w:sz w:val="20"/>
          <w:szCs w:val="20"/>
        </w:rPr>
        <w:t>several</w:t>
      </w:r>
      <w:r w:rsidRPr="005933C8">
        <w:rPr>
          <w:rFonts w:asciiTheme="minorBidi" w:hAnsiTheme="minorBidi"/>
          <w:color w:val="000000"/>
          <w:sz w:val="20"/>
          <w:szCs w:val="20"/>
        </w:rPr>
        <w:t xml:space="preserve"> </w:t>
      </w:r>
      <w:r w:rsidR="00555083" w:rsidRPr="005933C8">
        <w:rPr>
          <w:rFonts w:asciiTheme="minorBidi" w:hAnsiTheme="minorBidi"/>
          <w:color w:val="000000"/>
          <w:sz w:val="20"/>
          <w:szCs w:val="20"/>
        </w:rPr>
        <w:t>analytical</w:t>
      </w:r>
      <w:r w:rsidRPr="005933C8">
        <w:rPr>
          <w:rFonts w:asciiTheme="minorBidi" w:hAnsiTheme="minorBidi"/>
          <w:color w:val="000000"/>
          <w:sz w:val="20"/>
          <w:szCs w:val="20"/>
        </w:rPr>
        <w:t xml:space="preserve"> methods and develop them further, are rare. With regards to LCA, the field is mature enough</w:t>
      </w:r>
      <w:r w:rsidR="005861A6">
        <w:rPr>
          <w:rFonts w:asciiTheme="minorBidi" w:hAnsiTheme="minorBidi"/>
          <w:color w:val="000000"/>
          <w:sz w:val="20"/>
          <w:szCs w:val="20"/>
        </w:rPr>
        <w:t xml:space="preserve"> only now</w:t>
      </w:r>
      <w:r w:rsidRPr="005933C8">
        <w:rPr>
          <w:rFonts w:asciiTheme="minorBidi" w:hAnsiTheme="minorBidi"/>
          <w:color w:val="000000"/>
          <w:sz w:val="20"/>
          <w:szCs w:val="20"/>
        </w:rPr>
        <w:t xml:space="preserve"> to move up to the neighbourhood level. The same holds true for parametric design approaches. Now, the tools are flexible and mature enough to be combined into robust workflows that can be used by a variety of stakeholders, not only experts.</w:t>
      </w:r>
      <w:r w:rsidR="00555083" w:rsidRPr="005933C8">
        <w:rPr>
          <w:rFonts w:asciiTheme="minorBidi" w:hAnsiTheme="minorBidi"/>
          <w:color w:val="000000"/>
          <w:sz w:val="20"/>
          <w:szCs w:val="20"/>
        </w:rPr>
        <w:t xml:space="preserve"> </w:t>
      </w:r>
      <w:r w:rsidR="00FF539D">
        <w:rPr>
          <w:rFonts w:asciiTheme="minorBidi" w:hAnsiTheme="minorBidi"/>
          <w:color w:val="000000"/>
          <w:sz w:val="20"/>
          <w:szCs w:val="20"/>
        </w:rPr>
        <w:t>T</w:t>
      </w:r>
      <w:r w:rsidR="003070F5" w:rsidRPr="005933C8">
        <w:rPr>
          <w:rFonts w:asciiTheme="minorBidi" w:hAnsiTheme="minorBidi"/>
          <w:color w:val="000000"/>
          <w:sz w:val="20"/>
          <w:szCs w:val="20"/>
        </w:rPr>
        <w:t xml:space="preserve">he relatively new field of Architectural Design Optimization is rapidly evolving and offers new tools and methods to integrate </w:t>
      </w:r>
      <w:r w:rsidR="00555083" w:rsidRPr="005933C8">
        <w:rPr>
          <w:rFonts w:asciiTheme="minorBidi" w:hAnsiTheme="minorBidi"/>
          <w:color w:val="000000"/>
          <w:sz w:val="20"/>
          <w:szCs w:val="20"/>
        </w:rPr>
        <w:t>Artificial Intelligence</w:t>
      </w:r>
      <w:r w:rsidR="00E00C58">
        <w:rPr>
          <w:rFonts w:asciiTheme="minorBidi" w:hAnsiTheme="minorBidi"/>
          <w:color w:val="000000"/>
          <w:sz w:val="20"/>
          <w:szCs w:val="20"/>
        </w:rPr>
        <w:t xml:space="preserve"> (AI)</w:t>
      </w:r>
      <w:r w:rsidR="00555083" w:rsidRPr="005933C8">
        <w:rPr>
          <w:rFonts w:asciiTheme="minorBidi" w:hAnsiTheme="minorBidi"/>
          <w:color w:val="000000"/>
          <w:sz w:val="20"/>
          <w:szCs w:val="20"/>
        </w:rPr>
        <w:t xml:space="preserve"> </w:t>
      </w:r>
      <w:r w:rsidR="003070F5" w:rsidRPr="005933C8">
        <w:rPr>
          <w:rFonts w:asciiTheme="minorBidi" w:hAnsiTheme="minorBidi"/>
          <w:color w:val="000000"/>
          <w:sz w:val="20"/>
          <w:szCs w:val="20"/>
        </w:rPr>
        <w:t xml:space="preserve">into the design process. </w:t>
      </w:r>
      <w:r w:rsidR="00603C04" w:rsidRPr="005933C8">
        <w:rPr>
          <w:rFonts w:asciiTheme="minorBidi" w:hAnsiTheme="minorBidi"/>
          <w:color w:val="000000"/>
          <w:sz w:val="20"/>
          <w:szCs w:val="20"/>
        </w:rPr>
        <w:t>AI based methods allow</w:t>
      </w:r>
      <w:r w:rsidR="003070F5" w:rsidRPr="005933C8">
        <w:rPr>
          <w:rFonts w:asciiTheme="minorBidi" w:hAnsiTheme="minorBidi"/>
          <w:color w:val="000000"/>
          <w:sz w:val="20"/>
          <w:szCs w:val="20"/>
        </w:rPr>
        <w:t xml:space="preserve"> to upscale the environmental analytical approach to larger scales </w:t>
      </w:r>
      <w:r w:rsidR="00603C04" w:rsidRPr="005933C8">
        <w:rPr>
          <w:rFonts w:asciiTheme="minorBidi" w:hAnsiTheme="minorBidi"/>
          <w:color w:val="000000"/>
          <w:sz w:val="20"/>
          <w:szCs w:val="20"/>
        </w:rPr>
        <w:t>and gain new results.</w:t>
      </w:r>
    </w:p>
    <w:p w14:paraId="15261DD5" w14:textId="77777777" w:rsidR="005933C8" w:rsidRDefault="005933C8" w:rsidP="00C0080A">
      <w:pPr>
        <w:spacing w:after="0" w:line="240" w:lineRule="auto"/>
        <w:rPr>
          <w:rFonts w:asciiTheme="minorBidi" w:eastAsia="Times New Roman" w:hAnsiTheme="minorBidi"/>
          <w:b/>
          <w:bCs/>
          <w:color w:val="000000"/>
          <w:sz w:val="20"/>
          <w:szCs w:val="20"/>
          <w:lang w:eastAsia="sv-SE"/>
        </w:rPr>
      </w:pPr>
    </w:p>
    <w:p w14:paraId="2812DD60" w14:textId="78EC1D1F" w:rsidR="00241CD1" w:rsidRPr="005933C8" w:rsidRDefault="00F36D8C" w:rsidP="00C0080A">
      <w:pPr>
        <w:spacing w:after="0" w:line="240" w:lineRule="auto"/>
        <w:rPr>
          <w:rFonts w:asciiTheme="minorBidi" w:hAnsiTheme="minorBidi"/>
          <w:color w:val="000000"/>
          <w:sz w:val="20"/>
          <w:szCs w:val="20"/>
        </w:rPr>
      </w:pPr>
      <w:r w:rsidRPr="005933C8">
        <w:rPr>
          <w:rFonts w:asciiTheme="minorBidi" w:eastAsia="Times New Roman" w:hAnsiTheme="minorBidi"/>
          <w:b/>
          <w:bCs/>
          <w:color w:val="000000"/>
          <w:sz w:val="20"/>
          <w:szCs w:val="20"/>
          <w:lang w:eastAsia="sv-SE"/>
        </w:rPr>
        <w:t>&gt; Expected users of results or methods</w:t>
      </w:r>
      <w:r w:rsidR="00241CD1" w:rsidRPr="005933C8">
        <w:rPr>
          <w:rFonts w:asciiTheme="minorBidi" w:hAnsiTheme="minorBidi"/>
          <w:color w:val="000000"/>
          <w:sz w:val="20"/>
          <w:szCs w:val="20"/>
        </w:rPr>
        <w:t xml:space="preserve"> </w:t>
      </w:r>
    </w:p>
    <w:p w14:paraId="7DD8EF73" w14:textId="59ACFC18" w:rsidR="005933C8" w:rsidRDefault="00097742" w:rsidP="005933C8">
      <w:pPr>
        <w:spacing w:after="0" w:line="240" w:lineRule="auto"/>
        <w:jc w:val="both"/>
        <w:rPr>
          <w:rFonts w:asciiTheme="minorBidi" w:hAnsiTheme="minorBidi"/>
          <w:color w:val="000000"/>
          <w:sz w:val="20"/>
          <w:szCs w:val="20"/>
        </w:rPr>
      </w:pPr>
      <w:r w:rsidRPr="005933C8">
        <w:rPr>
          <w:rFonts w:asciiTheme="minorBidi" w:hAnsiTheme="minorBidi"/>
          <w:color w:val="000000"/>
          <w:sz w:val="20"/>
          <w:szCs w:val="20"/>
        </w:rPr>
        <w:t xml:space="preserve">The results and methods from this project will support designers to apply informed design decisions, working towards zero carbon buildings and healthier environments. Thus, as this work aims to bridge the implementation gap of zero-carbon-driven urban designs in practice, it appeals to the scientific community, urban designers, policymakers, but also construction companies who </w:t>
      </w:r>
      <w:proofErr w:type="gramStart"/>
      <w:r w:rsidRPr="005933C8">
        <w:rPr>
          <w:rFonts w:asciiTheme="minorBidi" w:hAnsiTheme="minorBidi"/>
          <w:color w:val="000000"/>
          <w:sz w:val="20"/>
          <w:szCs w:val="20"/>
        </w:rPr>
        <w:t>have to</w:t>
      </w:r>
      <w:proofErr w:type="gramEnd"/>
      <w:r w:rsidRPr="005933C8">
        <w:rPr>
          <w:rFonts w:asciiTheme="minorBidi" w:hAnsiTheme="minorBidi"/>
          <w:color w:val="000000"/>
          <w:sz w:val="20"/>
          <w:szCs w:val="20"/>
        </w:rPr>
        <w:t xml:space="preserve"> report the </w:t>
      </w:r>
      <w:r w:rsidR="0029011F">
        <w:rPr>
          <w:rFonts w:asciiTheme="minorBidi" w:hAnsiTheme="minorBidi"/>
          <w:color w:val="000000"/>
          <w:sz w:val="20"/>
          <w:szCs w:val="20"/>
        </w:rPr>
        <w:t>GHG</w:t>
      </w:r>
      <w:r w:rsidR="0029011F" w:rsidRPr="005933C8">
        <w:rPr>
          <w:rFonts w:asciiTheme="minorBidi" w:hAnsiTheme="minorBidi"/>
          <w:color w:val="000000"/>
          <w:sz w:val="20"/>
          <w:szCs w:val="20"/>
        </w:rPr>
        <w:t xml:space="preserve"> </w:t>
      </w:r>
      <w:r w:rsidRPr="005933C8">
        <w:rPr>
          <w:rFonts w:asciiTheme="minorBidi" w:hAnsiTheme="minorBidi"/>
          <w:color w:val="000000"/>
          <w:sz w:val="20"/>
          <w:szCs w:val="20"/>
        </w:rPr>
        <w:t>emissions and establishes a new link between them. In addition, researchers will benefit from open-source approach of the project, which will allow them to build on the methods and develop them further.</w:t>
      </w:r>
    </w:p>
    <w:p w14:paraId="4CDE83F2" w14:textId="77777777" w:rsidR="005933C8" w:rsidRDefault="005933C8" w:rsidP="005933C8">
      <w:pPr>
        <w:spacing w:after="0" w:line="240" w:lineRule="auto"/>
        <w:jc w:val="both"/>
        <w:rPr>
          <w:rFonts w:asciiTheme="minorBidi" w:hAnsiTheme="minorBidi"/>
          <w:color w:val="000000"/>
          <w:sz w:val="20"/>
          <w:szCs w:val="20"/>
        </w:rPr>
      </w:pPr>
    </w:p>
    <w:p w14:paraId="65900E6F" w14:textId="054FB554" w:rsidR="00241CD1" w:rsidRPr="005933C8" w:rsidRDefault="00F36D8C" w:rsidP="005933C8">
      <w:pPr>
        <w:spacing w:after="0" w:line="240" w:lineRule="auto"/>
        <w:jc w:val="both"/>
        <w:rPr>
          <w:rFonts w:asciiTheme="minorBidi" w:hAnsiTheme="minorBidi"/>
          <w:color w:val="000000"/>
          <w:sz w:val="20"/>
          <w:szCs w:val="20"/>
        </w:rPr>
      </w:pPr>
      <w:r w:rsidRPr="005933C8">
        <w:rPr>
          <w:rFonts w:asciiTheme="minorBidi" w:eastAsia="Times New Roman" w:hAnsiTheme="minorBidi"/>
          <w:b/>
          <w:bCs/>
          <w:color w:val="000000"/>
          <w:sz w:val="20"/>
          <w:szCs w:val="20"/>
          <w:lang w:eastAsia="sv-SE"/>
        </w:rPr>
        <w:t xml:space="preserve">&gt; The attractiveness of PhDs </w:t>
      </w:r>
    </w:p>
    <w:p w14:paraId="0E3F92CA" w14:textId="7198AAEF" w:rsidR="00097742" w:rsidRPr="005933C8" w:rsidRDefault="00097742" w:rsidP="005933C8">
      <w:pPr>
        <w:spacing w:line="240" w:lineRule="auto"/>
        <w:jc w:val="both"/>
        <w:rPr>
          <w:rFonts w:asciiTheme="minorBidi" w:hAnsiTheme="minorBidi"/>
          <w:color w:val="000000"/>
          <w:sz w:val="20"/>
          <w:szCs w:val="20"/>
        </w:rPr>
      </w:pPr>
      <w:r w:rsidRPr="005933C8">
        <w:rPr>
          <w:rFonts w:asciiTheme="minorBidi" w:hAnsiTheme="minorBidi"/>
          <w:color w:val="000000"/>
          <w:sz w:val="20"/>
          <w:szCs w:val="20"/>
        </w:rPr>
        <w:t>The specialisation of both PhDs - at Chalmers and as the Technion – on urban scale LCA and environmental computational design and optimization, respectively, are currently on very high demand in both countries’ AEC sectors. Especially consulting companies and governmental agencies in the built environment are looking for skilled academics with an analytical environmental focus and the computational knowhow.</w:t>
      </w:r>
    </w:p>
    <w:p w14:paraId="279C26F2" w14:textId="3569502D" w:rsidR="00F36D8C" w:rsidRPr="005933C8" w:rsidRDefault="00F36D8C" w:rsidP="005933C8">
      <w:pPr>
        <w:spacing w:after="0" w:line="240" w:lineRule="auto"/>
        <w:rPr>
          <w:rFonts w:asciiTheme="minorBidi" w:eastAsia="Times New Roman" w:hAnsiTheme="minorBidi"/>
          <w:b/>
          <w:bCs/>
          <w:color w:val="000000"/>
          <w:sz w:val="20"/>
          <w:szCs w:val="20"/>
          <w:lang w:eastAsia="sv-SE"/>
        </w:rPr>
      </w:pPr>
      <w:r w:rsidRPr="005933C8">
        <w:rPr>
          <w:rFonts w:asciiTheme="minorBidi" w:eastAsia="Times New Roman" w:hAnsiTheme="minorBidi"/>
          <w:b/>
          <w:bCs/>
          <w:color w:val="000000"/>
          <w:sz w:val="20"/>
          <w:szCs w:val="20"/>
          <w:lang w:eastAsia="sv-SE"/>
        </w:rPr>
        <w:t>&gt; Other potential applications of the planned research</w:t>
      </w:r>
    </w:p>
    <w:p w14:paraId="5EF66DC8" w14:textId="76F8A7AB" w:rsidR="002074A6" w:rsidRPr="005933C8" w:rsidRDefault="00097742" w:rsidP="005933C8">
      <w:pPr>
        <w:spacing w:after="0" w:line="240" w:lineRule="auto"/>
        <w:jc w:val="both"/>
        <w:rPr>
          <w:rFonts w:asciiTheme="minorBidi" w:hAnsiTheme="minorBidi"/>
          <w:color w:val="000000"/>
          <w:sz w:val="20"/>
          <w:szCs w:val="20"/>
        </w:rPr>
      </w:pPr>
      <w:r w:rsidRPr="005933C8">
        <w:rPr>
          <w:rFonts w:asciiTheme="minorBidi" w:hAnsiTheme="minorBidi"/>
          <w:color w:val="000000"/>
          <w:sz w:val="20"/>
          <w:szCs w:val="20"/>
        </w:rPr>
        <w:t xml:space="preserve">Here, the focus lies on multiple environmental aspects, however the developed methods and tools can also be linked and extended to include other criteria. The national competence centre “Digital Twin City Centre” (DTCC) at Chalmers provides an excellent platform </w:t>
      </w:r>
      <w:r w:rsidR="00E40FDC">
        <w:rPr>
          <w:rFonts w:asciiTheme="minorBidi" w:hAnsiTheme="minorBidi"/>
          <w:color w:val="000000"/>
          <w:sz w:val="20"/>
          <w:szCs w:val="20"/>
        </w:rPr>
        <w:t>with</w:t>
      </w:r>
      <w:r w:rsidRPr="005933C8">
        <w:rPr>
          <w:rFonts w:asciiTheme="minorBidi" w:hAnsiTheme="minorBidi"/>
          <w:color w:val="000000"/>
          <w:sz w:val="20"/>
          <w:szCs w:val="20"/>
        </w:rPr>
        <w:t xml:space="preserve"> than 30 researchers and 60 industry partners </w:t>
      </w:r>
      <w:r w:rsidR="00E40FDC">
        <w:rPr>
          <w:rFonts w:asciiTheme="minorBidi" w:hAnsiTheme="minorBidi"/>
          <w:color w:val="000000"/>
          <w:sz w:val="20"/>
          <w:szCs w:val="20"/>
        </w:rPr>
        <w:t>working on</w:t>
      </w:r>
      <w:r w:rsidRPr="005933C8">
        <w:rPr>
          <w:rFonts w:asciiTheme="minorBidi" w:hAnsiTheme="minorBidi"/>
          <w:color w:val="000000"/>
          <w:sz w:val="20"/>
          <w:szCs w:val="20"/>
        </w:rPr>
        <w:t xml:space="preserve"> social sustainability, mobility, underground infrastructure and many more</w:t>
      </w:r>
      <w:r w:rsidR="00E40FDC">
        <w:rPr>
          <w:rFonts w:asciiTheme="minorBidi" w:hAnsiTheme="minorBidi"/>
          <w:color w:val="000000"/>
          <w:sz w:val="20"/>
          <w:szCs w:val="20"/>
        </w:rPr>
        <w:t xml:space="preserve"> aspects</w:t>
      </w:r>
      <w:r w:rsidRPr="005933C8">
        <w:rPr>
          <w:rFonts w:asciiTheme="minorBidi" w:hAnsiTheme="minorBidi"/>
          <w:color w:val="000000"/>
          <w:sz w:val="20"/>
          <w:szCs w:val="20"/>
        </w:rPr>
        <w:t>.</w:t>
      </w:r>
    </w:p>
    <w:p w14:paraId="47DDD2A3" w14:textId="77777777" w:rsidR="002074A6" w:rsidRPr="005933C8" w:rsidRDefault="002074A6" w:rsidP="005933C8">
      <w:pPr>
        <w:spacing w:after="0" w:line="240" w:lineRule="auto"/>
        <w:jc w:val="both"/>
        <w:rPr>
          <w:rFonts w:asciiTheme="minorBidi" w:hAnsiTheme="minorBidi"/>
          <w:color w:val="000000"/>
          <w:sz w:val="20"/>
          <w:szCs w:val="20"/>
        </w:rPr>
      </w:pPr>
    </w:p>
    <w:p w14:paraId="0854FCF1" w14:textId="4B2B80BB" w:rsidR="002074A6" w:rsidRPr="00442215" w:rsidRDefault="002074A6" w:rsidP="005933C8">
      <w:pPr>
        <w:spacing w:after="0" w:line="240" w:lineRule="auto"/>
        <w:rPr>
          <w:rFonts w:asciiTheme="minorBidi" w:eastAsia="Times New Roman" w:hAnsiTheme="minorBidi"/>
          <w:b/>
          <w:bCs/>
          <w:color w:val="000000"/>
          <w:lang w:val="en-US" w:eastAsia="sv-SE"/>
        </w:rPr>
      </w:pPr>
      <w:r w:rsidRPr="00442215">
        <w:rPr>
          <w:rFonts w:asciiTheme="minorBidi" w:eastAsia="Times New Roman" w:hAnsiTheme="minorBidi"/>
          <w:b/>
          <w:bCs/>
          <w:color w:val="000000"/>
          <w:lang w:val="en-US" w:eastAsia="sv-SE"/>
        </w:rPr>
        <w:lastRenderedPageBreak/>
        <w:t>2. Utilization plan</w:t>
      </w:r>
    </w:p>
    <w:p w14:paraId="3F784C8B" w14:textId="7E3E9FB3" w:rsidR="002074A6" w:rsidRPr="005933C8" w:rsidRDefault="002074A6" w:rsidP="005933C8">
      <w:pPr>
        <w:spacing w:after="0" w:line="240" w:lineRule="auto"/>
        <w:rPr>
          <w:rFonts w:asciiTheme="minorBidi" w:eastAsia="Times New Roman" w:hAnsiTheme="minorBidi"/>
          <w:b/>
          <w:bCs/>
          <w:color w:val="000000"/>
          <w:sz w:val="20"/>
          <w:szCs w:val="20"/>
          <w:lang w:eastAsia="sv-SE"/>
        </w:rPr>
      </w:pPr>
      <w:r w:rsidRPr="005933C8">
        <w:rPr>
          <w:rFonts w:asciiTheme="minorBidi" w:eastAsia="Times New Roman" w:hAnsiTheme="minorBidi"/>
          <w:b/>
          <w:bCs/>
          <w:color w:val="000000"/>
          <w:sz w:val="20"/>
          <w:szCs w:val="20"/>
          <w:lang w:eastAsia="sv-SE"/>
        </w:rPr>
        <w:t xml:space="preserve">&gt; Means to measure success of the project </w:t>
      </w:r>
    </w:p>
    <w:p w14:paraId="051D43AC" w14:textId="49929F09" w:rsidR="002074A6" w:rsidRPr="005933C8" w:rsidRDefault="002074A6" w:rsidP="005933C8">
      <w:pPr>
        <w:spacing w:line="240" w:lineRule="auto"/>
        <w:jc w:val="both"/>
        <w:rPr>
          <w:rFonts w:asciiTheme="minorBidi" w:hAnsiTheme="minorBidi"/>
          <w:color w:val="000000"/>
          <w:sz w:val="20"/>
          <w:szCs w:val="20"/>
        </w:rPr>
      </w:pPr>
      <w:r w:rsidRPr="005933C8">
        <w:rPr>
          <w:rFonts w:asciiTheme="minorBidi" w:hAnsiTheme="minorBidi"/>
          <w:color w:val="000000"/>
          <w:sz w:val="20"/>
          <w:szCs w:val="20"/>
        </w:rPr>
        <w:t xml:space="preserve">The aim of the project is to contribute to the scientific community which can be measured by the number and quality of journal publications and conference proceedings. Even more important is the contribution to advancing the practice which can be measured by the uptake of the developed workflows within the two case studies. This can provide an indication of the future, long-term uptake of the methods in the whole industry. </w:t>
      </w:r>
      <w:r w:rsidR="00BB28C1">
        <w:rPr>
          <w:rFonts w:asciiTheme="minorBidi" w:hAnsiTheme="minorBidi"/>
          <w:color w:val="000000"/>
          <w:sz w:val="20"/>
          <w:szCs w:val="20"/>
        </w:rPr>
        <w:t>T</w:t>
      </w:r>
      <w:r w:rsidRPr="005933C8">
        <w:rPr>
          <w:rFonts w:asciiTheme="minorBidi" w:hAnsiTheme="minorBidi"/>
          <w:color w:val="000000"/>
          <w:sz w:val="20"/>
          <w:szCs w:val="20"/>
        </w:rPr>
        <w:t xml:space="preserve">herefore, number of </w:t>
      </w:r>
      <w:r w:rsidR="0090092D">
        <w:rPr>
          <w:rFonts w:asciiTheme="minorBidi" w:hAnsiTheme="minorBidi"/>
          <w:color w:val="000000"/>
          <w:sz w:val="20"/>
          <w:szCs w:val="20"/>
          <w:lang w:val="en-US"/>
        </w:rPr>
        <w:t>publications in bot</w:t>
      </w:r>
      <w:r w:rsidR="00F071E5">
        <w:rPr>
          <w:rFonts w:asciiTheme="minorBidi" w:hAnsiTheme="minorBidi"/>
          <w:color w:val="000000"/>
          <w:sz w:val="20"/>
          <w:szCs w:val="20"/>
          <w:lang w:val="en-US"/>
        </w:rPr>
        <w:t xml:space="preserve">h highly ranked scientific and industrial platforms, </w:t>
      </w:r>
      <w:r w:rsidRPr="005933C8">
        <w:rPr>
          <w:rFonts w:asciiTheme="minorBidi" w:hAnsiTheme="minorBidi"/>
          <w:color w:val="000000"/>
          <w:sz w:val="20"/>
          <w:szCs w:val="20"/>
        </w:rPr>
        <w:t>workshops and participants</w:t>
      </w:r>
      <w:r w:rsidR="00F071E5">
        <w:rPr>
          <w:rFonts w:asciiTheme="minorBidi" w:hAnsiTheme="minorBidi"/>
          <w:color w:val="000000"/>
          <w:sz w:val="20"/>
          <w:szCs w:val="20"/>
        </w:rPr>
        <w:t xml:space="preserve"> and</w:t>
      </w:r>
      <w:r w:rsidRPr="005933C8">
        <w:rPr>
          <w:rFonts w:asciiTheme="minorBidi" w:hAnsiTheme="minorBidi"/>
          <w:color w:val="000000"/>
          <w:sz w:val="20"/>
          <w:szCs w:val="20"/>
        </w:rPr>
        <w:t xml:space="preserve"> number of real-life applications of the workflow</w:t>
      </w:r>
      <w:r w:rsidR="00BB28C1">
        <w:rPr>
          <w:rFonts w:asciiTheme="minorBidi" w:hAnsiTheme="minorBidi"/>
          <w:color w:val="000000"/>
          <w:sz w:val="20"/>
          <w:szCs w:val="20"/>
        </w:rPr>
        <w:t xml:space="preserve"> will be tracked.</w:t>
      </w:r>
    </w:p>
    <w:p w14:paraId="4EB9C26C" w14:textId="77777777" w:rsidR="002074A6" w:rsidRPr="005933C8" w:rsidRDefault="002074A6" w:rsidP="005933C8">
      <w:pPr>
        <w:spacing w:after="0" w:line="240" w:lineRule="auto"/>
        <w:jc w:val="both"/>
        <w:rPr>
          <w:rFonts w:asciiTheme="minorBidi" w:hAnsiTheme="minorBidi"/>
          <w:color w:val="000000"/>
          <w:sz w:val="20"/>
          <w:szCs w:val="20"/>
        </w:rPr>
      </w:pPr>
      <w:r w:rsidRPr="005933C8">
        <w:rPr>
          <w:rFonts w:asciiTheme="minorBidi" w:eastAsia="Times New Roman" w:hAnsiTheme="minorBidi"/>
          <w:b/>
          <w:bCs/>
          <w:color w:val="000000"/>
          <w:sz w:val="20"/>
          <w:szCs w:val="20"/>
          <w:lang w:eastAsia="sv-SE"/>
        </w:rPr>
        <w:t>&gt; Relation to the research groups’ research</w:t>
      </w:r>
      <w:r w:rsidRPr="005933C8">
        <w:rPr>
          <w:rFonts w:ascii="Cambria Math" w:eastAsia="Times New Roman" w:hAnsi="Cambria Math" w:cs="Cambria Math"/>
          <w:b/>
          <w:bCs/>
          <w:color w:val="000000"/>
          <w:sz w:val="20"/>
          <w:szCs w:val="20"/>
          <w:lang w:eastAsia="sv-SE"/>
        </w:rPr>
        <w:t>‐</w:t>
      </w:r>
      <w:r w:rsidRPr="005933C8">
        <w:rPr>
          <w:rFonts w:asciiTheme="minorBidi" w:eastAsia="Times New Roman" w:hAnsiTheme="minorBidi"/>
          <w:b/>
          <w:bCs/>
          <w:color w:val="000000"/>
          <w:sz w:val="20"/>
          <w:szCs w:val="20"/>
          <w:lang w:eastAsia="sv-SE"/>
        </w:rPr>
        <w:t xml:space="preserve"> and innovation strategy </w:t>
      </w:r>
    </w:p>
    <w:p w14:paraId="2A2446E4" w14:textId="5D9EF804" w:rsidR="002074A6" w:rsidRPr="005933C8" w:rsidRDefault="002074A6" w:rsidP="005933C8">
      <w:pPr>
        <w:spacing w:line="240" w:lineRule="auto"/>
        <w:jc w:val="both"/>
        <w:rPr>
          <w:rFonts w:asciiTheme="minorBidi" w:hAnsiTheme="minorBidi"/>
          <w:color w:val="000000"/>
          <w:sz w:val="20"/>
          <w:szCs w:val="20"/>
        </w:rPr>
      </w:pPr>
      <w:r w:rsidRPr="005933C8">
        <w:rPr>
          <w:rFonts w:asciiTheme="minorBidi" w:hAnsiTheme="minorBidi"/>
          <w:color w:val="000000"/>
          <w:sz w:val="20"/>
          <w:szCs w:val="20"/>
        </w:rPr>
        <w:t xml:space="preserve">Both groups work closely with practitioners in Israel, Sweden, and beyond. Furthermore, the PIs have valuable experiences of co-founding two spin-off out of universities and leading an architectural practice. The utilisation of the project results will be supported through the Chalmers Innovation Office, and </w:t>
      </w:r>
      <w:r w:rsidR="00D1118E">
        <w:rPr>
          <w:rFonts w:asciiTheme="minorBidi" w:hAnsiTheme="minorBidi"/>
          <w:color w:val="000000"/>
          <w:sz w:val="20"/>
          <w:szCs w:val="20"/>
        </w:rPr>
        <w:t xml:space="preserve">the </w:t>
      </w:r>
      <w:r w:rsidR="006D3474">
        <w:rPr>
          <w:rFonts w:asciiTheme="minorBidi" w:hAnsiTheme="minorBidi"/>
          <w:color w:val="000000"/>
          <w:sz w:val="20"/>
          <w:szCs w:val="20"/>
        </w:rPr>
        <w:t xml:space="preserve">Technion’s </w:t>
      </w:r>
      <w:r w:rsidR="00796335" w:rsidRPr="00796335">
        <w:rPr>
          <w:rFonts w:asciiTheme="minorBidi" w:hAnsiTheme="minorBidi"/>
          <w:color w:val="000000"/>
          <w:sz w:val="20"/>
          <w:szCs w:val="20"/>
        </w:rPr>
        <w:t xml:space="preserve">Research &amp; Development Foundation </w:t>
      </w:r>
      <w:r w:rsidRPr="005933C8">
        <w:rPr>
          <w:rFonts w:asciiTheme="minorBidi" w:hAnsiTheme="minorBidi"/>
          <w:color w:val="000000"/>
          <w:sz w:val="20"/>
          <w:szCs w:val="20"/>
        </w:rPr>
        <w:t>in Israel</w:t>
      </w:r>
      <w:r w:rsidR="005933C8">
        <w:rPr>
          <w:rFonts w:asciiTheme="minorBidi" w:hAnsiTheme="minorBidi"/>
          <w:color w:val="000000"/>
          <w:sz w:val="20"/>
          <w:szCs w:val="20"/>
        </w:rPr>
        <w:t>.</w:t>
      </w:r>
    </w:p>
    <w:p w14:paraId="792CFD3B" w14:textId="67DBFA44" w:rsidR="002074A6" w:rsidRPr="005933C8" w:rsidRDefault="002074A6" w:rsidP="005933C8">
      <w:pPr>
        <w:spacing w:after="0" w:line="240" w:lineRule="auto"/>
        <w:jc w:val="both"/>
        <w:rPr>
          <w:rFonts w:asciiTheme="minorBidi" w:hAnsiTheme="minorBidi"/>
          <w:color w:val="000000"/>
          <w:sz w:val="20"/>
          <w:szCs w:val="20"/>
        </w:rPr>
      </w:pPr>
      <w:r w:rsidRPr="005933C8">
        <w:rPr>
          <w:rFonts w:asciiTheme="minorBidi" w:eastAsia="Times New Roman" w:hAnsiTheme="minorBidi"/>
          <w:b/>
          <w:bCs/>
          <w:color w:val="000000"/>
          <w:sz w:val="20"/>
          <w:szCs w:val="20"/>
          <w:lang w:eastAsia="sv-SE"/>
        </w:rPr>
        <w:t xml:space="preserve">&gt; Intellectual property </w:t>
      </w:r>
    </w:p>
    <w:p w14:paraId="4DFBB911" w14:textId="18EBEC25" w:rsidR="002074A6" w:rsidRPr="005933C8" w:rsidRDefault="006474B0" w:rsidP="005933C8">
      <w:pPr>
        <w:spacing w:line="240" w:lineRule="auto"/>
        <w:jc w:val="both"/>
        <w:rPr>
          <w:rFonts w:asciiTheme="minorBidi" w:eastAsia="Times New Roman" w:hAnsiTheme="minorBidi"/>
          <w:b/>
          <w:bCs/>
          <w:color w:val="000000"/>
          <w:sz w:val="20"/>
          <w:szCs w:val="20"/>
          <w:lang w:eastAsia="sv-SE"/>
        </w:rPr>
      </w:pPr>
      <w:r>
        <w:rPr>
          <w:rFonts w:asciiTheme="minorBidi" w:hAnsiTheme="minorBidi"/>
          <w:color w:val="000000"/>
          <w:sz w:val="20"/>
          <w:szCs w:val="20"/>
        </w:rPr>
        <w:t>T</w:t>
      </w:r>
      <w:r w:rsidR="002074A6" w:rsidRPr="005933C8">
        <w:rPr>
          <w:rFonts w:asciiTheme="minorBidi" w:hAnsiTheme="minorBidi"/>
          <w:color w:val="000000"/>
          <w:sz w:val="20"/>
          <w:szCs w:val="20"/>
        </w:rPr>
        <w:t>his project will share all developments open source under the MIT licence. Other researchers and companies will be free to use the resources and extend existing or develop new business models.</w:t>
      </w:r>
    </w:p>
    <w:p w14:paraId="04618617" w14:textId="77777777" w:rsidR="002074A6" w:rsidRPr="005933C8" w:rsidRDefault="002074A6" w:rsidP="005933C8">
      <w:pPr>
        <w:spacing w:after="0" w:line="240" w:lineRule="auto"/>
        <w:jc w:val="both"/>
        <w:rPr>
          <w:rFonts w:asciiTheme="minorBidi" w:eastAsia="Times New Roman" w:hAnsiTheme="minorBidi"/>
          <w:b/>
          <w:bCs/>
          <w:color w:val="000000"/>
          <w:sz w:val="20"/>
          <w:szCs w:val="20"/>
          <w:lang w:eastAsia="sv-SE"/>
        </w:rPr>
      </w:pPr>
      <w:r w:rsidRPr="005933C8">
        <w:rPr>
          <w:rFonts w:asciiTheme="minorBidi" w:eastAsia="Times New Roman" w:hAnsiTheme="minorBidi"/>
          <w:b/>
          <w:bCs/>
          <w:color w:val="000000"/>
          <w:sz w:val="20"/>
          <w:szCs w:val="20"/>
          <w:lang w:eastAsia="sv-SE"/>
        </w:rPr>
        <w:t xml:space="preserve">&gt; Interaction with stakeholders </w:t>
      </w:r>
    </w:p>
    <w:p w14:paraId="3F984918" w14:textId="0434803E" w:rsidR="002074A6" w:rsidRPr="00021C52" w:rsidRDefault="004E2D82" w:rsidP="00021C52">
      <w:pPr>
        <w:spacing w:line="240" w:lineRule="auto"/>
        <w:jc w:val="both"/>
        <w:rPr>
          <w:rFonts w:asciiTheme="minorBidi" w:hAnsiTheme="minorBidi"/>
          <w:color w:val="000000"/>
          <w:sz w:val="20"/>
          <w:szCs w:val="20"/>
          <w:lang w:val="en-US" w:bidi="he-IL"/>
        </w:rPr>
      </w:pPr>
      <w:r>
        <w:rPr>
          <w:rFonts w:asciiTheme="minorBidi" w:hAnsiTheme="minorBidi"/>
          <w:color w:val="000000"/>
          <w:sz w:val="20"/>
          <w:szCs w:val="20"/>
        </w:rPr>
        <w:t>On the Swedish side, t</w:t>
      </w:r>
      <w:r w:rsidR="002074A6" w:rsidRPr="005933C8">
        <w:rPr>
          <w:rFonts w:asciiTheme="minorBidi" w:hAnsiTheme="minorBidi"/>
          <w:color w:val="000000"/>
          <w:sz w:val="20"/>
          <w:szCs w:val="20"/>
        </w:rPr>
        <w:t xml:space="preserve">he project will build on the good relations within the existing network of the DTCC including 60 partners from the different stakeholder groups including architects (e.g., White), contractors (e.g., NCC), consultants (e.g., Sweco) and many municipalities (e.g., </w:t>
      </w:r>
      <w:proofErr w:type="spellStart"/>
      <w:r w:rsidR="002074A6" w:rsidRPr="005933C8">
        <w:rPr>
          <w:rFonts w:asciiTheme="minorBidi" w:hAnsiTheme="minorBidi"/>
          <w:color w:val="000000"/>
          <w:sz w:val="20"/>
          <w:szCs w:val="20"/>
        </w:rPr>
        <w:t>Härryda</w:t>
      </w:r>
      <w:proofErr w:type="spellEnd"/>
      <w:r w:rsidR="002074A6" w:rsidRPr="005933C8">
        <w:rPr>
          <w:rFonts w:asciiTheme="minorBidi" w:hAnsiTheme="minorBidi"/>
          <w:color w:val="000000"/>
          <w:sz w:val="20"/>
          <w:szCs w:val="20"/>
        </w:rPr>
        <w:t xml:space="preserve">, Helsingborg). </w:t>
      </w:r>
      <w:r w:rsidR="00D304D3">
        <w:rPr>
          <w:rFonts w:asciiTheme="minorBidi" w:hAnsiTheme="minorBidi"/>
          <w:color w:val="000000"/>
          <w:sz w:val="20"/>
          <w:szCs w:val="20"/>
        </w:rPr>
        <w:t xml:space="preserve">On the Israeli side, the project will build on good relations with </w:t>
      </w:r>
      <w:r w:rsidR="00441048">
        <w:rPr>
          <w:rFonts w:asciiTheme="minorBidi" w:hAnsiTheme="minorBidi"/>
          <w:color w:val="000000"/>
          <w:sz w:val="20"/>
          <w:szCs w:val="20"/>
        </w:rPr>
        <w:t xml:space="preserve">governmental authorities </w:t>
      </w:r>
      <w:r w:rsidR="00D304D3">
        <w:rPr>
          <w:rFonts w:asciiTheme="minorBidi" w:hAnsiTheme="minorBidi"/>
          <w:color w:val="000000"/>
          <w:sz w:val="20"/>
          <w:szCs w:val="20"/>
        </w:rPr>
        <w:t xml:space="preserve">the Israeli </w:t>
      </w:r>
      <w:r w:rsidR="00AB6D3C">
        <w:rPr>
          <w:rFonts w:asciiTheme="minorBidi" w:hAnsiTheme="minorBidi"/>
          <w:color w:val="000000"/>
          <w:sz w:val="20"/>
          <w:szCs w:val="20"/>
          <w:lang w:val="en-US" w:bidi="he-IL"/>
        </w:rPr>
        <w:t>planning administration, Israeli Ministry of Energy</w:t>
      </w:r>
      <w:r w:rsidR="007B6DAD">
        <w:rPr>
          <w:rFonts w:asciiTheme="minorBidi" w:hAnsiTheme="minorBidi"/>
          <w:color w:val="000000"/>
          <w:sz w:val="20"/>
          <w:szCs w:val="20"/>
          <w:lang w:val="en-US" w:bidi="he-IL"/>
        </w:rPr>
        <w:t xml:space="preserve">, The Israeli Green Building Council, </w:t>
      </w:r>
      <w:r w:rsidR="00021C52">
        <w:rPr>
          <w:rFonts w:asciiTheme="minorBidi" w:hAnsiTheme="minorBidi"/>
          <w:color w:val="000000"/>
          <w:sz w:val="20"/>
          <w:szCs w:val="20"/>
          <w:lang w:val="en-US" w:bidi="he-IL"/>
        </w:rPr>
        <w:t xml:space="preserve">and an array of AEC companies. </w:t>
      </w:r>
      <w:r w:rsidR="002074A6" w:rsidRPr="005933C8">
        <w:rPr>
          <w:rFonts w:asciiTheme="minorBidi" w:hAnsiTheme="minorBidi"/>
          <w:color w:val="000000"/>
          <w:sz w:val="20"/>
          <w:szCs w:val="20"/>
        </w:rPr>
        <w:t>The stakeholders will be included from the beginning of the project when defining the requirements. The two real case studies will ensure th</w:t>
      </w:r>
      <w:r w:rsidR="004140A9">
        <w:rPr>
          <w:rFonts w:asciiTheme="minorBidi" w:hAnsiTheme="minorBidi"/>
          <w:color w:val="000000"/>
          <w:sz w:val="20"/>
          <w:szCs w:val="20"/>
        </w:rPr>
        <w:t xml:space="preserve">at </w:t>
      </w:r>
      <w:r w:rsidR="002074A6" w:rsidRPr="005933C8">
        <w:rPr>
          <w:rFonts w:asciiTheme="minorBidi" w:hAnsiTheme="minorBidi"/>
          <w:color w:val="000000"/>
          <w:sz w:val="20"/>
          <w:szCs w:val="20"/>
        </w:rPr>
        <w:t>participating stakeholder and lastly society can directly benefit from the projects’ results. Regular workshops (online and in person) will ensure a continuous knowledge exchange. Furthermore, the professional education activities at Chalmers and Technion will be used as dissemination and exchange platform.</w:t>
      </w:r>
    </w:p>
    <w:p w14:paraId="1CA3F410" w14:textId="3666E820" w:rsidR="00BB5765" w:rsidRPr="005933C8" w:rsidRDefault="002074A6" w:rsidP="005933C8">
      <w:pPr>
        <w:spacing w:after="0" w:line="240" w:lineRule="auto"/>
        <w:rPr>
          <w:rFonts w:asciiTheme="minorBidi" w:eastAsia="Times New Roman" w:hAnsiTheme="minorBidi"/>
          <w:b/>
          <w:bCs/>
          <w:color w:val="000000"/>
          <w:sz w:val="20"/>
          <w:szCs w:val="20"/>
          <w:lang w:eastAsia="sv-SE"/>
        </w:rPr>
      </w:pPr>
      <w:r w:rsidRPr="005933C8">
        <w:rPr>
          <w:rFonts w:asciiTheme="minorBidi" w:eastAsia="Times New Roman" w:hAnsiTheme="minorBidi"/>
          <w:b/>
          <w:bCs/>
          <w:color w:val="000000"/>
          <w:sz w:val="20"/>
          <w:szCs w:val="20"/>
          <w:lang w:eastAsia="sv-SE"/>
        </w:rPr>
        <w:t xml:space="preserve">&gt; </w:t>
      </w:r>
      <w:proofErr w:type="gramStart"/>
      <w:r w:rsidRPr="005933C8">
        <w:rPr>
          <w:rFonts w:asciiTheme="minorBidi" w:eastAsia="Times New Roman" w:hAnsiTheme="minorBidi"/>
          <w:b/>
          <w:bCs/>
          <w:color w:val="000000"/>
          <w:sz w:val="20"/>
          <w:szCs w:val="20"/>
          <w:lang w:eastAsia="sv-SE"/>
        </w:rPr>
        <w:t>Short, medium and long term</w:t>
      </w:r>
      <w:proofErr w:type="gramEnd"/>
      <w:r w:rsidRPr="005933C8">
        <w:rPr>
          <w:rFonts w:asciiTheme="minorBidi" w:eastAsia="Times New Roman" w:hAnsiTheme="minorBidi"/>
          <w:b/>
          <w:bCs/>
          <w:color w:val="000000"/>
          <w:sz w:val="20"/>
          <w:szCs w:val="20"/>
          <w:lang w:eastAsia="sv-SE"/>
        </w:rPr>
        <w:t xml:space="preserve"> potential contributions</w:t>
      </w:r>
    </w:p>
    <w:p w14:paraId="0DFC735C" w14:textId="4A8FABD9" w:rsidR="002074A6" w:rsidRPr="005933C8" w:rsidRDefault="002074A6" w:rsidP="005933C8">
      <w:pPr>
        <w:spacing w:line="240" w:lineRule="auto"/>
        <w:jc w:val="both"/>
        <w:rPr>
          <w:rFonts w:asciiTheme="minorBidi" w:hAnsiTheme="minorBidi"/>
          <w:color w:val="000000"/>
          <w:sz w:val="20"/>
          <w:szCs w:val="20"/>
          <w:lang w:val="en-US"/>
        </w:rPr>
      </w:pPr>
      <w:r w:rsidRPr="005933C8">
        <w:rPr>
          <w:rFonts w:asciiTheme="minorBidi" w:hAnsiTheme="minorBidi"/>
          <w:color w:val="000000"/>
          <w:sz w:val="20"/>
          <w:szCs w:val="20"/>
        </w:rPr>
        <w:t xml:space="preserve">The project results will be </w:t>
      </w:r>
      <w:r w:rsidR="00257E46">
        <w:rPr>
          <w:rFonts w:asciiTheme="minorBidi" w:hAnsiTheme="minorBidi"/>
          <w:color w:val="000000"/>
          <w:sz w:val="20"/>
          <w:szCs w:val="20"/>
        </w:rPr>
        <w:t>immediately</w:t>
      </w:r>
      <w:r w:rsidR="00257E46" w:rsidRPr="005933C8">
        <w:rPr>
          <w:rFonts w:asciiTheme="minorBidi" w:hAnsiTheme="minorBidi"/>
          <w:color w:val="000000"/>
          <w:sz w:val="20"/>
          <w:szCs w:val="20"/>
        </w:rPr>
        <w:t xml:space="preserve"> </w:t>
      </w:r>
      <w:r w:rsidRPr="005933C8">
        <w:rPr>
          <w:rFonts w:asciiTheme="minorBidi" w:hAnsiTheme="minorBidi"/>
          <w:color w:val="000000"/>
          <w:sz w:val="20"/>
          <w:szCs w:val="20"/>
        </w:rPr>
        <w:t>applied in the case studies within the project and support the stakeholders to save GHG emissions and create sustainable living environment. The collaboration with national institutes such as the Swedish and Israeli Green Building Councils, the Swedish Energy Agency and the Israeli Ministry of Energy will support the dissemination and uptake of the developed methods within 5 years after the project.</w:t>
      </w:r>
      <w:r w:rsidR="0063357F">
        <w:rPr>
          <w:rFonts w:asciiTheme="minorBidi" w:hAnsiTheme="minorBidi"/>
          <w:color w:val="000000"/>
          <w:sz w:val="20"/>
          <w:szCs w:val="20"/>
        </w:rPr>
        <w:t xml:space="preserve"> </w:t>
      </w:r>
      <w:r w:rsidRPr="005933C8">
        <w:rPr>
          <w:rFonts w:asciiTheme="minorBidi" w:hAnsiTheme="minorBidi"/>
          <w:color w:val="000000"/>
          <w:sz w:val="20"/>
          <w:szCs w:val="20"/>
        </w:rPr>
        <w:t>In the long term, it will contribute to achieving the Paris agreement</w:t>
      </w:r>
      <w:r w:rsidR="001A0FE7" w:rsidRPr="001A0FE7">
        <w:rPr>
          <w:rFonts w:asciiTheme="minorBidi" w:hAnsiTheme="minorBidi"/>
          <w:color w:val="000000"/>
          <w:sz w:val="20"/>
          <w:szCs w:val="20"/>
        </w:rPr>
        <w:t xml:space="preserve"> </w:t>
      </w:r>
      <w:r w:rsidR="001A0FE7" w:rsidRPr="005933C8">
        <w:rPr>
          <w:rFonts w:asciiTheme="minorBidi" w:hAnsiTheme="minorBidi"/>
          <w:color w:val="000000"/>
          <w:sz w:val="20"/>
          <w:szCs w:val="20"/>
        </w:rPr>
        <w:t>on an international level</w:t>
      </w:r>
      <w:r w:rsidR="001A0FE7">
        <w:rPr>
          <w:rFonts w:asciiTheme="minorBidi" w:hAnsiTheme="minorBidi"/>
          <w:color w:val="000000"/>
          <w:sz w:val="20"/>
          <w:szCs w:val="20"/>
        </w:rPr>
        <w:t xml:space="preserve"> and</w:t>
      </w:r>
      <w:r w:rsidR="001A0FE7" w:rsidRPr="005933C8">
        <w:rPr>
          <w:rFonts w:asciiTheme="minorBidi" w:hAnsiTheme="minorBidi"/>
          <w:color w:val="000000"/>
          <w:sz w:val="20"/>
          <w:szCs w:val="20"/>
        </w:rPr>
        <w:t xml:space="preserve"> support the transition of the built environment towards net zero GHG emissions until 2045 and beyond.</w:t>
      </w:r>
    </w:p>
    <w:p w14:paraId="461398E9" w14:textId="730EC97D" w:rsidR="00BB5765" w:rsidRPr="00442215" w:rsidRDefault="002074A6" w:rsidP="005933C8">
      <w:pPr>
        <w:spacing w:after="0" w:line="240" w:lineRule="auto"/>
        <w:rPr>
          <w:rFonts w:asciiTheme="minorBidi" w:eastAsia="Times New Roman" w:hAnsiTheme="minorBidi"/>
          <w:b/>
          <w:bCs/>
          <w:color w:val="000000"/>
          <w:lang w:eastAsia="sv-SE"/>
        </w:rPr>
      </w:pPr>
      <w:r w:rsidRPr="00442215">
        <w:rPr>
          <w:rFonts w:asciiTheme="minorBidi" w:eastAsia="Times New Roman" w:hAnsiTheme="minorBidi"/>
          <w:b/>
          <w:bCs/>
          <w:color w:val="000000"/>
          <w:lang w:val="en-US" w:eastAsia="sv-SE"/>
        </w:rPr>
        <w:t xml:space="preserve">3. </w:t>
      </w:r>
      <w:r w:rsidRPr="00442215">
        <w:rPr>
          <w:rFonts w:asciiTheme="minorBidi" w:eastAsia="Times New Roman" w:hAnsiTheme="minorBidi"/>
          <w:b/>
          <w:bCs/>
          <w:color w:val="000000"/>
          <w:lang w:eastAsia="sv-SE"/>
        </w:rPr>
        <w:t>Dissemination</w:t>
      </w:r>
    </w:p>
    <w:p w14:paraId="76CFF6DB" w14:textId="069722FA" w:rsidR="00BB5765" w:rsidRPr="005933C8" w:rsidRDefault="00EC00B6" w:rsidP="005933C8">
      <w:pPr>
        <w:spacing w:line="240" w:lineRule="auto"/>
        <w:jc w:val="both"/>
        <w:rPr>
          <w:rFonts w:asciiTheme="minorBidi" w:hAnsiTheme="minorBidi"/>
          <w:sz w:val="20"/>
          <w:szCs w:val="20"/>
        </w:rPr>
      </w:pPr>
      <w:r>
        <w:rPr>
          <w:rFonts w:asciiTheme="minorBidi" w:hAnsiTheme="minorBidi"/>
          <w:sz w:val="20"/>
          <w:szCs w:val="20"/>
          <w:lang w:eastAsia="ja-JP" w:bidi="he-IL"/>
        </w:rPr>
        <w:t>The dissemination strategy targets three stakeholder groups</w:t>
      </w:r>
      <w:r w:rsidR="00CC4E05">
        <w:rPr>
          <w:rFonts w:asciiTheme="minorBidi" w:hAnsiTheme="minorBidi"/>
          <w:sz w:val="20"/>
          <w:szCs w:val="20"/>
          <w:lang w:eastAsia="ja-JP" w:bidi="he-IL"/>
        </w:rPr>
        <w:t xml:space="preserve">: 1) Scientific community, 2) AEC professionals and policy makers, 3) </w:t>
      </w:r>
      <w:proofErr w:type="gramStart"/>
      <w:r w:rsidR="00CC4E05">
        <w:rPr>
          <w:rFonts w:asciiTheme="minorBidi" w:hAnsiTheme="minorBidi"/>
          <w:sz w:val="20"/>
          <w:szCs w:val="20"/>
          <w:lang w:eastAsia="ja-JP" w:bidi="he-IL"/>
        </w:rPr>
        <w:t>general public</w:t>
      </w:r>
      <w:proofErr w:type="gramEnd"/>
      <w:r w:rsidR="00CC4E05">
        <w:rPr>
          <w:rFonts w:asciiTheme="minorBidi" w:hAnsiTheme="minorBidi"/>
          <w:sz w:val="20"/>
          <w:szCs w:val="20"/>
          <w:lang w:eastAsia="ja-JP" w:bidi="he-IL"/>
        </w:rPr>
        <w:t>:</w:t>
      </w:r>
    </w:p>
    <w:p w14:paraId="2D7DBFF6" w14:textId="0D0C2C63" w:rsidR="00C0080A" w:rsidRPr="005933C8" w:rsidRDefault="00C71C4B" w:rsidP="005933C8">
      <w:pPr>
        <w:spacing w:after="120" w:line="240" w:lineRule="auto"/>
        <w:jc w:val="both"/>
        <w:rPr>
          <w:rFonts w:asciiTheme="minorBidi" w:hAnsiTheme="minorBidi"/>
          <w:b/>
          <w:bCs/>
          <w:color w:val="000000" w:themeColor="text1"/>
          <w:sz w:val="20"/>
          <w:szCs w:val="20"/>
          <w:lang w:eastAsia="ja-JP" w:bidi="he-IL"/>
        </w:rPr>
      </w:pPr>
      <w:r>
        <w:rPr>
          <w:rFonts w:asciiTheme="minorBidi" w:hAnsiTheme="minorBidi"/>
          <w:b/>
          <w:bCs/>
          <w:color w:val="000000" w:themeColor="text1"/>
          <w:sz w:val="20"/>
          <w:szCs w:val="20"/>
          <w:lang w:eastAsia="ja-JP" w:bidi="he-IL"/>
        </w:rPr>
        <w:t>1) S</w:t>
      </w:r>
      <w:r w:rsidR="00C0080A" w:rsidRPr="005933C8">
        <w:rPr>
          <w:rFonts w:asciiTheme="minorBidi" w:hAnsiTheme="minorBidi"/>
          <w:b/>
          <w:bCs/>
          <w:color w:val="000000" w:themeColor="text1"/>
          <w:sz w:val="20"/>
          <w:szCs w:val="20"/>
          <w:lang w:eastAsia="ja-JP" w:bidi="he-IL"/>
        </w:rPr>
        <w:t xml:space="preserve">cientific community </w:t>
      </w:r>
    </w:p>
    <w:p w14:paraId="4C3A05E6" w14:textId="50C65EB3" w:rsidR="00C0080A" w:rsidRPr="005933C8" w:rsidRDefault="00C0080A" w:rsidP="005933C8">
      <w:pPr>
        <w:spacing w:line="240" w:lineRule="auto"/>
        <w:jc w:val="both"/>
        <w:rPr>
          <w:rFonts w:asciiTheme="minorBidi" w:hAnsiTheme="minorBidi"/>
          <w:sz w:val="20"/>
          <w:szCs w:val="20"/>
        </w:rPr>
      </w:pPr>
      <w:r w:rsidRPr="005933C8">
        <w:rPr>
          <w:rFonts w:asciiTheme="minorBidi" w:hAnsiTheme="minorBidi"/>
          <w:sz w:val="20"/>
          <w:szCs w:val="20"/>
          <w:u w:val="single"/>
        </w:rPr>
        <w:t>Scientific publications:</w:t>
      </w:r>
      <w:r w:rsidRPr="005933C8">
        <w:rPr>
          <w:rFonts w:asciiTheme="minorBidi" w:hAnsiTheme="minorBidi"/>
          <w:sz w:val="20"/>
          <w:szCs w:val="20"/>
        </w:rPr>
        <w:t xml:space="preserve"> Each </w:t>
      </w:r>
      <w:r w:rsidR="00D60B1E">
        <w:rPr>
          <w:rFonts w:asciiTheme="minorBidi" w:hAnsiTheme="minorBidi"/>
          <w:sz w:val="20"/>
          <w:szCs w:val="20"/>
        </w:rPr>
        <w:t>researcher</w:t>
      </w:r>
      <w:r w:rsidRPr="005933C8">
        <w:rPr>
          <w:rFonts w:asciiTheme="minorBidi" w:hAnsiTheme="minorBidi"/>
          <w:sz w:val="20"/>
          <w:szCs w:val="20"/>
        </w:rPr>
        <w:t xml:space="preserve"> will be required to produce at least three conference papers</w:t>
      </w:r>
      <w:r w:rsidR="000A5A11">
        <w:rPr>
          <w:rFonts w:asciiTheme="minorBidi" w:hAnsiTheme="minorBidi"/>
          <w:sz w:val="20"/>
          <w:szCs w:val="20"/>
        </w:rPr>
        <w:t xml:space="preserve"> and </w:t>
      </w:r>
      <w:r w:rsidRPr="005933C8">
        <w:rPr>
          <w:rFonts w:asciiTheme="minorBidi" w:hAnsiTheme="minorBidi"/>
          <w:sz w:val="20"/>
          <w:szCs w:val="20"/>
        </w:rPr>
        <w:t>two articles in high-ranking peer-reviewed journals in the field, published under open access models, to ensure maximum accessibility (</w:t>
      </w:r>
      <w:proofErr w:type="gramStart"/>
      <w:r w:rsidRPr="005933C8">
        <w:rPr>
          <w:rFonts w:asciiTheme="minorBidi" w:hAnsiTheme="minorBidi"/>
          <w:sz w:val="20"/>
          <w:szCs w:val="20"/>
        </w:rPr>
        <w:t>e.g.</w:t>
      </w:r>
      <w:proofErr w:type="gramEnd"/>
      <w:r w:rsidRPr="005933C8">
        <w:rPr>
          <w:rFonts w:asciiTheme="minorBidi" w:hAnsiTheme="minorBidi"/>
          <w:sz w:val="20"/>
          <w:szCs w:val="20"/>
        </w:rPr>
        <w:t xml:space="preserve"> Automation in Construction, Energy, Energy and Buildings).</w:t>
      </w:r>
    </w:p>
    <w:p w14:paraId="690137F9" w14:textId="103821C8" w:rsidR="00C0080A" w:rsidRPr="005933C8" w:rsidRDefault="005933C8" w:rsidP="005933C8">
      <w:pPr>
        <w:spacing w:line="240" w:lineRule="auto"/>
        <w:jc w:val="both"/>
        <w:rPr>
          <w:rFonts w:asciiTheme="minorBidi" w:hAnsiTheme="minorBidi"/>
          <w:sz w:val="20"/>
          <w:szCs w:val="20"/>
        </w:rPr>
      </w:pPr>
      <w:r w:rsidRPr="005933C8">
        <w:rPr>
          <w:rFonts w:asciiTheme="minorBidi" w:hAnsiTheme="minorBidi"/>
          <w:sz w:val="20"/>
          <w:szCs w:val="20"/>
          <w:u w:val="single"/>
        </w:rPr>
        <w:t>Bilateral workshops</w:t>
      </w:r>
      <w:r w:rsidR="00C0080A" w:rsidRPr="005933C8">
        <w:rPr>
          <w:rFonts w:asciiTheme="minorBidi" w:hAnsiTheme="minorBidi"/>
          <w:sz w:val="20"/>
          <w:szCs w:val="20"/>
          <w:u w:val="single"/>
        </w:rPr>
        <w:t>:</w:t>
      </w:r>
      <w:r w:rsidR="00C0080A" w:rsidRPr="005933C8">
        <w:rPr>
          <w:rFonts w:asciiTheme="minorBidi" w:hAnsiTheme="minorBidi"/>
          <w:sz w:val="20"/>
          <w:szCs w:val="20"/>
        </w:rPr>
        <w:t xml:space="preserve"> Each </w:t>
      </w:r>
      <w:r w:rsidR="00D60B1E">
        <w:rPr>
          <w:rFonts w:asciiTheme="minorBidi" w:hAnsiTheme="minorBidi"/>
          <w:sz w:val="20"/>
          <w:szCs w:val="20"/>
        </w:rPr>
        <w:t>researcher of the project will</w:t>
      </w:r>
      <w:r w:rsidR="00C0080A" w:rsidRPr="005933C8">
        <w:rPr>
          <w:rFonts w:asciiTheme="minorBidi" w:hAnsiTheme="minorBidi"/>
          <w:sz w:val="20"/>
          <w:szCs w:val="20"/>
        </w:rPr>
        <w:t xml:space="preserve"> present his/her research progress as part of </w:t>
      </w:r>
      <w:r w:rsidR="0072743F">
        <w:rPr>
          <w:rFonts w:asciiTheme="minorBidi" w:hAnsiTheme="minorBidi"/>
          <w:sz w:val="20"/>
          <w:szCs w:val="20"/>
        </w:rPr>
        <w:t>the several workshops which will be held in Sweden and Israel</w:t>
      </w:r>
      <w:r w:rsidR="00C0080A" w:rsidRPr="005933C8">
        <w:rPr>
          <w:rFonts w:asciiTheme="minorBidi" w:hAnsiTheme="minorBidi"/>
          <w:sz w:val="20"/>
          <w:szCs w:val="20"/>
        </w:rPr>
        <w:t xml:space="preserve">, in an open access academic environment. </w:t>
      </w:r>
    </w:p>
    <w:p w14:paraId="6ECD291D" w14:textId="0289E063" w:rsidR="00C0080A" w:rsidRPr="005933C8" w:rsidRDefault="0072743F" w:rsidP="005933C8">
      <w:pPr>
        <w:spacing w:line="240" w:lineRule="auto"/>
        <w:jc w:val="both"/>
        <w:rPr>
          <w:rFonts w:asciiTheme="minorBidi" w:hAnsiTheme="minorBidi"/>
          <w:sz w:val="20"/>
          <w:szCs w:val="20"/>
        </w:rPr>
      </w:pPr>
      <w:r>
        <w:rPr>
          <w:rFonts w:asciiTheme="minorBidi" w:hAnsiTheme="minorBidi"/>
          <w:sz w:val="20"/>
          <w:szCs w:val="20"/>
          <w:u w:val="single"/>
        </w:rPr>
        <w:t>Urban zero carbon</w:t>
      </w:r>
      <w:r w:rsidR="00C0080A" w:rsidRPr="005933C8">
        <w:rPr>
          <w:rFonts w:asciiTheme="minorBidi" w:hAnsiTheme="minorBidi"/>
          <w:sz w:val="20"/>
          <w:szCs w:val="20"/>
          <w:u w:val="single"/>
        </w:rPr>
        <w:t xml:space="preserve"> conference:</w:t>
      </w:r>
      <w:r w:rsidR="00C0080A" w:rsidRPr="005933C8">
        <w:rPr>
          <w:rFonts w:asciiTheme="minorBidi" w:hAnsiTheme="minorBidi"/>
          <w:sz w:val="20"/>
          <w:szCs w:val="20"/>
        </w:rPr>
        <w:t xml:space="preserve"> This </w:t>
      </w:r>
      <w:r>
        <w:rPr>
          <w:rFonts w:asciiTheme="minorBidi" w:hAnsiTheme="minorBidi"/>
          <w:sz w:val="20"/>
          <w:szCs w:val="20"/>
        </w:rPr>
        <w:t xml:space="preserve">final event </w:t>
      </w:r>
      <w:r w:rsidR="00C0080A" w:rsidRPr="005933C8">
        <w:rPr>
          <w:rFonts w:asciiTheme="minorBidi" w:hAnsiTheme="minorBidi"/>
          <w:sz w:val="20"/>
          <w:szCs w:val="20"/>
        </w:rPr>
        <w:t xml:space="preserve">will set the stage for reporting and discussing new and innovative scientific findings and developments. It will ensure a high scientific level through a double-blind peer review process by a scientific committee comprised of experts from </w:t>
      </w:r>
      <w:r>
        <w:rPr>
          <w:rFonts w:asciiTheme="minorBidi" w:hAnsiTheme="minorBidi"/>
          <w:sz w:val="20"/>
          <w:szCs w:val="20"/>
        </w:rPr>
        <w:t xml:space="preserve">both </w:t>
      </w:r>
      <w:r w:rsidR="00C0080A" w:rsidRPr="005933C8">
        <w:rPr>
          <w:rFonts w:asciiTheme="minorBidi" w:hAnsiTheme="minorBidi"/>
          <w:sz w:val="20"/>
          <w:szCs w:val="20"/>
        </w:rPr>
        <w:t xml:space="preserve">academic partners. </w:t>
      </w:r>
    </w:p>
    <w:p w14:paraId="2073C35A" w14:textId="49CE71F3" w:rsidR="00BB5765" w:rsidRDefault="00DE0CA9" w:rsidP="005933C8">
      <w:pPr>
        <w:spacing w:line="240" w:lineRule="auto"/>
        <w:jc w:val="both"/>
        <w:rPr>
          <w:rFonts w:asciiTheme="minorBidi" w:hAnsiTheme="minorBidi"/>
          <w:sz w:val="20"/>
          <w:szCs w:val="20"/>
        </w:rPr>
      </w:pPr>
      <w:r>
        <w:rPr>
          <w:rFonts w:asciiTheme="minorBidi" w:hAnsiTheme="minorBidi"/>
          <w:sz w:val="20"/>
          <w:szCs w:val="20"/>
          <w:u w:val="single"/>
        </w:rPr>
        <w:t xml:space="preserve">An </w:t>
      </w:r>
      <w:r w:rsidR="0072743F">
        <w:rPr>
          <w:rFonts w:asciiTheme="minorBidi" w:hAnsiTheme="minorBidi"/>
          <w:sz w:val="20"/>
          <w:szCs w:val="20"/>
          <w:u w:val="single"/>
        </w:rPr>
        <w:t>O</w:t>
      </w:r>
      <w:r w:rsidR="00C0080A" w:rsidRPr="005933C8">
        <w:rPr>
          <w:rFonts w:asciiTheme="minorBidi" w:hAnsiTheme="minorBidi"/>
          <w:sz w:val="20"/>
          <w:szCs w:val="20"/>
          <w:u w:val="single"/>
        </w:rPr>
        <w:t>nline platform</w:t>
      </w:r>
      <w:r>
        <w:rPr>
          <w:rFonts w:asciiTheme="minorBidi" w:hAnsiTheme="minorBidi"/>
          <w:sz w:val="20"/>
          <w:szCs w:val="20"/>
        </w:rPr>
        <w:t xml:space="preserve"> </w:t>
      </w:r>
      <w:r w:rsidR="00C0080A" w:rsidRPr="005933C8">
        <w:rPr>
          <w:rFonts w:asciiTheme="minorBidi" w:hAnsiTheme="minorBidi"/>
          <w:sz w:val="20"/>
          <w:szCs w:val="20"/>
        </w:rPr>
        <w:t xml:space="preserve">will </w:t>
      </w:r>
      <w:r w:rsidR="000A5A11">
        <w:rPr>
          <w:rFonts w:asciiTheme="minorBidi" w:hAnsiTheme="minorBidi"/>
          <w:sz w:val="20"/>
          <w:szCs w:val="20"/>
        </w:rPr>
        <w:t>stream</w:t>
      </w:r>
      <w:r w:rsidR="00C0080A" w:rsidRPr="005933C8">
        <w:rPr>
          <w:rFonts w:asciiTheme="minorBidi" w:hAnsiTheme="minorBidi"/>
          <w:sz w:val="20"/>
          <w:szCs w:val="20"/>
        </w:rPr>
        <w:t xml:space="preserve"> updates, events, publications, new </w:t>
      </w:r>
      <w:r w:rsidR="00D60B1E" w:rsidRPr="005933C8">
        <w:rPr>
          <w:rFonts w:asciiTheme="minorBidi" w:hAnsiTheme="minorBidi"/>
          <w:sz w:val="20"/>
          <w:szCs w:val="20"/>
        </w:rPr>
        <w:t>tools,</w:t>
      </w:r>
      <w:r w:rsidR="00C0080A" w:rsidRPr="005933C8">
        <w:rPr>
          <w:rFonts w:asciiTheme="minorBidi" w:hAnsiTheme="minorBidi"/>
          <w:sz w:val="20"/>
          <w:szCs w:val="20"/>
        </w:rPr>
        <w:t xml:space="preserve"> and ideas. </w:t>
      </w:r>
      <w:r>
        <w:rPr>
          <w:rFonts w:asciiTheme="minorBidi" w:hAnsiTheme="minorBidi"/>
          <w:sz w:val="20"/>
          <w:szCs w:val="20"/>
        </w:rPr>
        <w:t>T</w:t>
      </w:r>
      <w:r w:rsidR="00C0080A" w:rsidRPr="005933C8">
        <w:rPr>
          <w:rFonts w:asciiTheme="minorBidi" w:hAnsiTheme="minorBidi"/>
          <w:sz w:val="20"/>
          <w:szCs w:val="20"/>
        </w:rPr>
        <w:t xml:space="preserve">enants of Open Science and in particular Open Access of Publications, Open Access of Data, and Open Access of Source Code will be part of the training and will be effectively used to maximise impact. </w:t>
      </w:r>
    </w:p>
    <w:p w14:paraId="341E7E8C" w14:textId="25191746" w:rsidR="00510E8A" w:rsidRDefault="00C71C4B" w:rsidP="00510E8A">
      <w:pPr>
        <w:spacing w:after="120" w:line="240" w:lineRule="auto"/>
        <w:jc w:val="both"/>
        <w:rPr>
          <w:rFonts w:asciiTheme="minorBidi" w:hAnsiTheme="minorBidi"/>
          <w:b/>
          <w:bCs/>
          <w:color w:val="000000" w:themeColor="text1"/>
          <w:sz w:val="20"/>
          <w:szCs w:val="20"/>
          <w:lang w:eastAsia="ja-JP" w:bidi="he-IL"/>
        </w:rPr>
      </w:pPr>
      <w:r>
        <w:rPr>
          <w:rFonts w:asciiTheme="minorBidi" w:hAnsiTheme="minorBidi"/>
          <w:b/>
          <w:bCs/>
          <w:color w:val="000000" w:themeColor="text1"/>
          <w:sz w:val="20"/>
          <w:szCs w:val="20"/>
          <w:lang w:eastAsia="ja-JP" w:bidi="he-IL"/>
        </w:rPr>
        <w:t xml:space="preserve">2) </w:t>
      </w:r>
      <w:r w:rsidR="00442215" w:rsidRPr="00510E8A">
        <w:rPr>
          <w:rFonts w:asciiTheme="minorBidi" w:hAnsiTheme="minorBidi"/>
          <w:b/>
          <w:bCs/>
          <w:color w:val="000000" w:themeColor="text1"/>
          <w:sz w:val="20"/>
          <w:szCs w:val="20"/>
          <w:lang w:eastAsia="ja-JP" w:bidi="he-IL"/>
        </w:rPr>
        <w:t xml:space="preserve">AEC professionals and </w:t>
      </w:r>
      <w:r w:rsidR="00D82DE3">
        <w:rPr>
          <w:rFonts w:asciiTheme="minorBidi" w:hAnsiTheme="minorBidi"/>
          <w:b/>
          <w:bCs/>
          <w:color w:val="000000" w:themeColor="text1"/>
          <w:sz w:val="20"/>
          <w:szCs w:val="20"/>
          <w:lang w:eastAsia="ja-JP" w:bidi="he-IL"/>
        </w:rPr>
        <w:t>p</w:t>
      </w:r>
      <w:r w:rsidR="00442215" w:rsidRPr="00510E8A">
        <w:rPr>
          <w:rFonts w:asciiTheme="minorBidi" w:hAnsiTheme="minorBidi"/>
          <w:b/>
          <w:bCs/>
          <w:color w:val="000000" w:themeColor="text1"/>
          <w:sz w:val="20"/>
          <w:szCs w:val="20"/>
          <w:lang w:eastAsia="ja-JP" w:bidi="he-IL"/>
        </w:rPr>
        <w:t>olicy makers</w:t>
      </w:r>
    </w:p>
    <w:p w14:paraId="4032DF0C" w14:textId="6375946D" w:rsidR="00442215" w:rsidRPr="00510E8A" w:rsidRDefault="00D60B1E" w:rsidP="00510E8A">
      <w:pPr>
        <w:spacing w:after="120" w:line="240" w:lineRule="auto"/>
        <w:jc w:val="both"/>
        <w:rPr>
          <w:rFonts w:asciiTheme="minorBidi" w:hAnsiTheme="minorBidi"/>
          <w:b/>
          <w:bCs/>
          <w:color w:val="000000" w:themeColor="text1"/>
          <w:sz w:val="20"/>
          <w:szCs w:val="20"/>
          <w:lang w:eastAsia="ja-JP" w:bidi="he-IL"/>
        </w:rPr>
      </w:pPr>
      <w:r>
        <w:rPr>
          <w:rFonts w:asciiTheme="minorBidi" w:hAnsiTheme="minorBidi"/>
          <w:sz w:val="20"/>
          <w:szCs w:val="20"/>
          <w:u w:val="single"/>
        </w:rPr>
        <w:lastRenderedPageBreak/>
        <w:t>Urban zero carbon</w:t>
      </w:r>
      <w:r w:rsidRPr="005933C8">
        <w:rPr>
          <w:rFonts w:asciiTheme="minorBidi" w:hAnsiTheme="minorBidi"/>
          <w:sz w:val="20"/>
          <w:szCs w:val="20"/>
          <w:u w:val="single"/>
        </w:rPr>
        <w:t xml:space="preserve"> conference</w:t>
      </w:r>
      <w:r w:rsidR="00442215" w:rsidRPr="00442215">
        <w:rPr>
          <w:rFonts w:asciiTheme="minorBidi" w:hAnsiTheme="minorBidi"/>
          <w:sz w:val="20"/>
          <w:szCs w:val="20"/>
          <w:u w:val="single"/>
        </w:rPr>
        <w:t>:</w:t>
      </w:r>
      <w:r w:rsidR="00442215" w:rsidRPr="00442215">
        <w:rPr>
          <w:rFonts w:asciiTheme="minorBidi" w:hAnsiTheme="minorBidi"/>
          <w:sz w:val="20"/>
          <w:szCs w:val="20"/>
        </w:rPr>
        <w:t xml:space="preserve"> </w:t>
      </w:r>
      <w:r w:rsidR="0003669A">
        <w:rPr>
          <w:rFonts w:asciiTheme="minorBidi" w:hAnsiTheme="minorBidi"/>
          <w:sz w:val="20"/>
          <w:szCs w:val="20"/>
        </w:rPr>
        <w:t>T</w:t>
      </w:r>
      <w:r w:rsidR="00442215" w:rsidRPr="00442215">
        <w:rPr>
          <w:rFonts w:asciiTheme="minorBidi" w:hAnsiTheme="minorBidi"/>
          <w:sz w:val="20"/>
          <w:szCs w:val="20"/>
        </w:rPr>
        <w:t xml:space="preserve">he information about this conference will be widely disseminated via both academic and industry outlets to attract policy makers and delegates from the industry. Keynote speakers from academy and industry will be invited to share the latest developments in the field. </w:t>
      </w:r>
    </w:p>
    <w:p w14:paraId="7AA3B82E" w14:textId="53188661" w:rsidR="00442215" w:rsidRPr="00442215" w:rsidRDefault="00442215" w:rsidP="00442215">
      <w:pPr>
        <w:spacing w:line="240" w:lineRule="auto"/>
        <w:jc w:val="both"/>
        <w:rPr>
          <w:rFonts w:asciiTheme="minorBidi" w:hAnsiTheme="minorBidi"/>
          <w:sz w:val="20"/>
          <w:szCs w:val="20"/>
        </w:rPr>
      </w:pPr>
      <w:r w:rsidRPr="00442215">
        <w:rPr>
          <w:rFonts w:asciiTheme="minorBidi" w:hAnsiTheme="minorBidi"/>
          <w:sz w:val="20"/>
          <w:szCs w:val="20"/>
          <w:u w:val="single"/>
        </w:rPr>
        <w:t>Demonstrat</w:t>
      </w:r>
      <w:r w:rsidR="00D60B1E">
        <w:rPr>
          <w:rFonts w:asciiTheme="minorBidi" w:hAnsiTheme="minorBidi"/>
          <w:sz w:val="20"/>
          <w:szCs w:val="20"/>
          <w:u w:val="single"/>
        </w:rPr>
        <w:t>ion events</w:t>
      </w:r>
      <w:r w:rsidR="00D60B1E">
        <w:rPr>
          <w:rFonts w:asciiTheme="minorBidi" w:hAnsiTheme="minorBidi"/>
          <w:sz w:val="20"/>
          <w:szCs w:val="20"/>
        </w:rPr>
        <w:t xml:space="preserve"> </w:t>
      </w:r>
      <w:r w:rsidR="00C401F2">
        <w:rPr>
          <w:rFonts w:asciiTheme="minorBidi" w:hAnsiTheme="minorBidi"/>
          <w:sz w:val="20"/>
          <w:szCs w:val="20"/>
        </w:rPr>
        <w:t>will allow</w:t>
      </w:r>
      <w:r w:rsidR="00D60B1E">
        <w:rPr>
          <w:rFonts w:asciiTheme="minorBidi" w:hAnsiTheme="minorBidi"/>
          <w:sz w:val="20"/>
          <w:szCs w:val="20"/>
        </w:rPr>
        <w:t xml:space="preserve"> local experts in both countries</w:t>
      </w:r>
      <w:r w:rsidR="00C401F2">
        <w:rPr>
          <w:rFonts w:asciiTheme="minorBidi" w:hAnsiTheme="minorBidi"/>
          <w:sz w:val="20"/>
          <w:szCs w:val="20"/>
        </w:rPr>
        <w:t xml:space="preserve"> to test the developed workflows</w:t>
      </w:r>
      <w:r w:rsidR="00D60B1E">
        <w:rPr>
          <w:rFonts w:asciiTheme="minorBidi" w:hAnsiTheme="minorBidi"/>
          <w:sz w:val="20"/>
          <w:szCs w:val="20"/>
        </w:rPr>
        <w:t xml:space="preserve">. </w:t>
      </w:r>
      <w:r w:rsidRPr="00442215">
        <w:rPr>
          <w:rFonts w:asciiTheme="minorBidi" w:hAnsiTheme="minorBidi"/>
          <w:sz w:val="20"/>
          <w:szCs w:val="20"/>
        </w:rPr>
        <w:t>The</w:t>
      </w:r>
      <w:r w:rsidR="00D60B1E">
        <w:rPr>
          <w:rFonts w:asciiTheme="minorBidi" w:hAnsiTheme="minorBidi"/>
          <w:sz w:val="20"/>
          <w:szCs w:val="20"/>
        </w:rPr>
        <w:t>se events</w:t>
      </w:r>
      <w:r w:rsidRPr="00442215">
        <w:rPr>
          <w:rFonts w:asciiTheme="minorBidi" w:hAnsiTheme="minorBidi"/>
          <w:sz w:val="20"/>
          <w:szCs w:val="20"/>
        </w:rPr>
        <w:t xml:space="preserve"> will</w:t>
      </w:r>
      <w:r w:rsidR="00D60B1E">
        <w:rPr>
          <w:rFonts w:asciiTheme="minorBidi" w:hAnsiTheme="minorBidi"/>
          <w:sz w:val="20"/>
          <w:szCs w:val="20"/>
        </w:rPr>
        <w:t xml:space="preserve"> increase the applicability potential of the project’s findings by the local building sectors. </w:t>
      </w:r>
    </w:p>
    <w:p w14:paraId="26215CDF" w14:textId="32DFAA40" w:rsidR="00783FC8" w:rsidRPr="007C62D5" w:rsidRDefault="00C71C4B" w:rsidP="007C62D5">
      <w:pPr>
        <w:spacing w:after="120" w:line="240" w:lineRule="auto"/>
        <w:jc w:val="both"/>
        <w:rPr>
          <w:rFonts w:asciiTheme="minorBidi" w:hAnsiTheme="minorBidi"/>
          <w:b/>
          <w:bCs/>
          <w:color w:val="000000" w:themeColor="text1"/>
          <w:sz w:val="20"/>
          <w:szCs w:val="20"/>
          <w:lang w:eastAsia="ja-JP" w:bidi="he-IL"/>
        </w:rPr>
      </w:pPr>
      <w:r w:rsidRPr="00C41A12">
        <w:rPr>
          <w:rFonts w:asciiTheme="minorBidi" w:hAnsiTheme="minorBidi"/>
          <w:b/>
          <w:bCs/>
          <w:color w:val="000000" w:themeColor="text1"/>
          <w:sz w:val="20"/>
          <w:szCs w:val="20"/>
          <w:lang w:eastAsia="ja-JP" w:bidi="he-IL"/>
        </w:rPr>
        <w:t xml:space="preserve">3) </w:t>
      </w:r>
      <w:r w:rsidR="007C62D5" w:rsidRPr="007C62D5">
        <w:rPr>
          <w:rFonts w:asciiTheme="minorBidi" w:hAnsiTheme="minorBidi"/>
          <w:b/>
          <w:bCs/>
          <w:color w:val="000000" w:themeColor="text1"/>
          <w:sz w:val="20"/>
          <w:szCs w:val="20"/>
          <w:lang w:eastAsia="ja-JP" w:bidi="he-IL"/>
        </w:rPr>
        <w:t xml:space="preserve">General Public </w:t>
      </w:r>
    </w:p>
    <w:p w14:paraId="6491BA32" w14:textId="17D29B20" w:rsidR="004E30DC" w:rsidRDefault="004E30DC" w:rsidP="004E30DC">
      <w:pPr>
        <w:spacing w:line="240" w:lineRule="auto"/>
        <w:jc w:val="both"/>
        <w:rPr>
          <w:rFonts w:asciiTheme="minorBidi" w:hAnsiTheme="minorBidi"/>
          <w:sz w:val="20"/>
          <w:szCs w:val="20"/>
        </w:rPr>
      </w:pPr>
      <w:r w:rsidRPr="007C62D5">
        <w:rPr>
          <w:rFonts w:asciiTheme="minorBidi" w:hAnsiTheme="minorBidi"/>
          <w:sz w:val="20"/>
          <w:szCs w:val="20"/>
          <w:u w:val="single"/>
          <w:lang w:val="en-US"/>
        </w:rPr>
        <w:t xml:space="preserve">Social media </w:t>
      </w:r>
      <w:r w:rsidRPr="00700EAF">
        <w:rPr>
          <w:rFonts w:asciiTheme="minorBidi" w:hAnsiTheme="minorBidi"/>
          <w:sz w:val="20"/>
          <w:szCs w:val="20"/>
        </w:rPr>
        <w:t xml:space="preserve">will be set up </w:t>
      </w:r>
      <w:r w:rsidR="00A55175">
        <w:rPr>
          <w:rFonts w:asciiTheme="minorBidi" w:hAnsiTheme="minorBidi"/>
          <w:sz w:val="20"/>
          <w:szCs w:val="20"/>
        </w:rPr>
        <w:t>as</w:t>
      </w:r>
      <w:r w:rsidRPr="00700EAF">
        <w:rPr>
          <w:rFonts w:asciiTheme="minorBidi" w:hAnsiTheme="minorBidi"/>
          <w:sz w:val="20"/>
          <w:szCs w:val="20"/>
        </w:rPr>
        <w:t xml:space="preserve"> complements</w:t>
      </w:r>
      <w:r w:rsidR="00A55175">
        <w:rPr>
          <w:rFonts w:asciiTheme="minorBidi" w:hAnsiTheme="minorBidi"/>
          <w:sz w:val="20"/>
          <w:szCs w:val="20"/>
        </w:rPr>
        <w:t xml:space="preserve"> to</w:t>
      </w:r>
      <w:r w:rsidRPr="00700EAF">
        <w:rPr>
          <w:rFonts w:asciiTheme="minorBidi" w:hAnsiTheme="minorBidi"/>
          <w:sz w:val="20"/>
          <w:szCs w:val="20"/>
        </w:rPr>
        <w:t xml:space="preserve"> the more technical internet-based transfer-of-knowledge and communication facilities on the network website.</w:t>
      </w:r>
      <w:r>
        <w:rPr>
          <w:rFonts w:asciiTheme="minorBidi" w:hAnsiTheme="minorBidi"/>
          <w:sz w:val="20"/>
          <w:szCs w:val="20"/>
        </w:rPr>
        <w:t xml:space="preserve"> </w:t>
      </w:r>
    </w:p>
    <w:p w14:paraId="52943615" w14:textId="1F86C6CD" w:rsidR="00F13182" w:rsidRPr="00BD3108" w:rsidRDefault="00F13182" w:rsidP="00F13182">
      <w:pPr>
        <w:spacing w:line="240" w:lineRule="auto"/>
        <w:jc w:val="both"/>
        <w:rPr>
          <w:rFonts w:asciiTheme="minorBidi" w:hAnsiTheme="minorBidi"/>
          <w:sz w:val="20"/>
          <w:szCs w:val="20"/>
          <w:lang w:val="en-US" w:bidi="he-IL"/>
        </w:rPr>
      </w:pPr>
      <w:r w:rsidRPr="00501371">
        <w:rPr>
          <w:rFonts w:asciiTheme="minorBidi" w:hAnsiTheme="minorBidi"/>
          <w:sz w:val="20"/>
          <w:szCs w:val="20"/>
          <w:u w:val="single"/>
          <w:lang w:val="en-US"/>
        </w:rPr>
        <w:t>Popular media:</w:t>
      </w:r>
      <w:r>
        <w:rPr>
          <w:rFonts w:asciiTheme="minorBidi" w:hAnsiTheme="minorBidi"/>
          <w:sz w:val="20"/>
          <w:szCs w:val="20"/>
        </w:rPr>
        <w:t xml:space="preserve"> As the challenge the project seeks to address is directly linked to the lifestyle of city dwellers in both countries, the project will seek to be reported in national media channels (e.g., newspapers, </w:t>
      </w:r>
      <w:r w:rsidR="00A55175">
        <w:rPr>
          <w:rFonts w:asciiTheme="minorBidi" w:hAnsiTheme="minorBidi"/>
          <w:sz w:val="20"/>
          <w:szCs w:val="20"/>
        </w:rPr>
        <w:t xml:space="preserve">magazines, </w:t>
      </w:r>
      <w:r>
        <w:rPr>
          <w:rFonts w:asciiTheme="minorBidi" w:hAnsiTheme="minorBidi"/>
          <w:sz w:val="20"/>
          <w:szCs w:val="20"/>
        </w:rPr>
        <w:t>television shows</w:t>
      </w:r>
      <w:r w:rsidR="00C71C4B">
        <w:rPr>
          <w:rFonts w:asciiTheme="minorBidi" w:hAnsiTheme="minorBidi"/>
          <w:sz w:val="20"/>
          <w:szCs w:val="20"/>
        </w:rPr>
        <w:t>,</w:t>
      </w:r>
      <w:r>
        <w:rPr>
          <w:rFonts w:asciiTheme="minorBidi" w:hAnsiTheme="minorBidi"/>
          <w:sz w:val="20"/>
          <w:szCs w:val="20"/>
        </w:rPr>
        <w:t xml:space="preserve"> etc.)</w:t>
      </w:r>
      <w:r>
        <w:rPr>
          <w:rFonts w:asciiTheme="minorBidi" w:hAnsiTheme="minorBidi"/>
          <w:sz w:val="20"/>
          <w:szCs w:val="20"/>
          <w:lang w:val="en-US" w:bidi="he-IL"/>
        </w:rPr>
        <w:t xml:space="preserve"> </w:t>
      </w:r>
    </w:p>
    <w:p w14:paraId="2E13F0D7" w14:textId="77777777" w:rsidR="00F13182" w:rsidRPr="00BD3108" w:rsidRDefault="00F13182">
      <w:pPr>
        <w:spacing w:line="240" w:lineRule="auto"/>
        <w:jc w:val="both"/>
        <w:rPr>
          <w:rFonts w:asciiTheme="minorBidi" w:hAnsiTheme="minorBidi"/>
          <w:sz w:val="20"/>
          <w:szCs w:val="20"/>
          <w:lang w:val="en-US" w:bidi="he-IL"/>
        </w:rPr>
      </w:pPr>
    </w:p>
    <w:sectPr w:rsidR="00F13182" w:rsidRPr="00BD3108" w:rsidSect="00C92FB9">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E84CC" w14:textId="77777777" w:rsidR="00433D50" w:rsidRDefault="00433D50" w:rsidP="00531D26">
      <w:pPr>
        <w:spacing w:after="0" w:line="240" w:lineRule="auto"/>
      </w:pPr>
      <w:r>
        <w:separator/>
      </w:r>
    </w:p>
  </w:endnote>
  <w:endnote w:type="continuationSeparator" w:id="0">
    <w:p w14:paraId="1FC7562C" w14:textId="77777777" w:rsidR="00433D50" w:rsidRDefault="00433D50" w:rsidP="00531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785515"/>
      <w:docPartObj>
        <w:docPartGallery w:val="Page Numbers (Bottom of Page)"/>
        <w:docPartUnique/>
      </w:docPartObj>
    </w:sdtPr>
    <w:sdtEndPr/>
    <w:sdtContent>
      <w:p w14:paraId="4010E65A" w14:textId="3458F5B7" w:rsidR="00531D26" w:rsidRDefault="00531D26">
        <w:pPr>
          <w:pStyle w:val="Footer"/>
        </w:pPr>
        <w:r>
          <w:fldChar w:fldCharType="begin"/>
        </w:r>
        <w:r>
          <w:instrText>PAGE   \* MERGEFORMAT</w:instrText>
        </w:r>
        <w:r>
          <w:fldChar w:fldCharType="separate"/>
        </w:r>
        <w:r>
          <w:rPr>
            <w:lang w:val="sv-SE"/>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2B268" w14:textId="77777777" w:rsidR="00433D50" w:rsidRDefault="00433D50" w:rsidP="00531D26">
      <w:pPr>
        <w:spacing w:after="0" w:line="240" w:lineRule="auto"/>
      </w:pPr>
      <w:r>
        <w:separator/>
      </w:r>
    </w:p>
  </w:footnote>
  <w:footnote w:type="continuationSeparator" w:id="0">
    <w:p w14:paraId="520570EB" w14:textId="77777777" w:rsidR="00433D50" w:rsidRDefault="00433D50" w:rsidP="00531D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315B1"/>
    <w:multiLevelType w:val="multilevel"/>
    <w:tmpl w:val="28F8FA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387331"/>
    <w:multiLevelType w:val="hybridMultilevel"/>
    <w:tmpl w:val="0540C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13C1D"/>
    <w:multiLevelType w:val="multilevel"/>
    <w:tmpl w:val="07BACF94"/>
    <w:lvl w:ilvl="0">
      <w:start w:val="1"/>
      <w:numFmt w:val="decimal"/>
      <w:lvlText w:val="%1."/>
      <w:lvlJc w:val="left"/>
      <w:pPr>
        <w:ind w:left="360" w:hanging="360"/>
      </w:pPr>
      <w:rPr>
        <w:b/>
        <w:bCs/>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0720A5A"/>
    <w:multiLevelType w:val="multilevel"/>
    <w:tmpl w:val="224056F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477212B9"/>
    <w:multiLevelType w:val="multilevel"/>
    <w:tmpl w:val="F52E8224"/>
    <w:lvl w:ilvl="0">
      <w:start w:val="1"/>
      <w:numFmt w:val="decimal"/>
      <w:lvlText w:val="%1."/>
      <w:lvlJc w:val="left"/>
      <w:pPr>
        <w:ind w:left="720" w:hanging="360"/>
      </w:pPr>
      <w:rPr>
        <w:rFonts w:cs="Times New Roman" w:hint="default"/>
        <w:b/>
        <w:color w:val="1F3864" w:themeColor="accent1" w:themeShade="80"/>
      </w:rPr>
    </w:lvl>
    <w:lvl w:ilvl="1">
      <w:start w:val="1"/>
      <w:numFmt w:val="decimal"/>
      <w:lvlText w:val="%1.%2"/>
      <w:lvlJc w:val="left"/>
      <w:pPr>
        <w:ind w:left="720" w:hanging="360"/>
      </w:pPr>
    </w:lvl>
    <w:lvl w:ilvl="2">
      <w:start w:val="1"/>
      <w:numFmt w:val="decimal"/>
      <w:lvlText w:val="%1.%2.%3"/>
      <w:lvlJc w:val="left"/>
      <w:pPr>
        <w:ind w:left="720" w:hanging="720"/>
      </w:pPr>
      <w:rPr>
        <w:rFonts w:ascii="Times New Roman" w:hAnsi="Times New Roman" w:cs="Times New Roman" w:hint="default"/>
        <w:b/>
        <w:color w:val="1F3864" w:themeColor="accent1" w:themeShade="8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5B0356C3"/>
    <w:multiLevelType w:val="multilevel"/>
    <w:tmpl w:val="8C040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C06D7A"/>
    <w:multiLevelType w:val="multilevel"/>
    <w:tmpl w:val="52064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5C2"/>
    <w:rsid w:val="00000BB9"/>
    <w:rsid w:val="00021C52"/>
    <w:rsid w:val="0002782B"/>
    <w:rsid w:val="0003548B"/>
    <w:rsid w:val="0003669A"/>
    <w:rsid w:val="0004559A"/>
    <w:rsid w:val="00047F8F"/>
    <w:rsid w:val="000563E3"/>
    <w:rsid w:val="0009070B"/>
    <w:rsid w:val="00097742"/>
    <w:rsid w:val="000A5A11"/>
    <w:rsid w:val="000B43C9"/>
    <w:rsid w:val="000D41CD"/>
    <w:rsid w:val="000D543C"/>
    <w:rsid w:val="000F69CD"/>
    <w:rsid w:val="000F7966"/>
    <w:rsid w:val="001054E0"/>
    <w:rsid w:val="0010573C"/>
    <w:rsid w:val="00115F13"/>
    <w:rsid w:val="001364BA"/>
    <w:rsid w:val="0014014E"/>
    <w:rsid w:val="0015166D"/>
    <w:rsid w:val="00155536"/>
    <w:rsid w:val="0017127D"/>
    <w:rsid w:val="00181C3A"/>
    <w:rsid w:val="00190991"/>
    <w:rsid w:val="001A056C"/>
    <w:rsid w:val="001A0FE7"/>
    <w:rsid w:val="001D707F"/>
    <w:rsid w:val="002074A6"/>
    <w:rsid w:val="0021105E"/>
    <w:rsid w:val="00224A9E"/>
    <w:rsid w:val="00230984"/>
    <w:rsid w:val="002311FA"/>
    <w:rsid w:val="002337A9"/>
    <w:rsid w:val="00241CD1"/>
    <w:rsid w:val="00257E46"/>
    <w:rsid w:val="0029011F"/>
    <w:rsid w:val="002D4085"/>
    <w:rsid w:val="002D74A4"/>
    <w:rsid w:val="003070F5"/>
    <w:rsid w:val="00355CB2"/>
    <w:rsid w:val="00355FBB"/>
    <w:rsid w:val="00360B63"/>
    <w:rsid w:val="00373A23"/>
    <w:rsid w:val="003855FF"/>
    <w:rsid w:val="003B1B98"/>
    <w:rsid w:val="003E163C"/>
    <w:rsid w:val="003F219B"/>
    <w:rsid w:val="003F565F"/>
    <w:rsid w:val="004140A9"/>
    <w:rsid w:val="00421887"/>
    <w:rsid w:val="00433D50"/>
    <w:rsid w:val="00441048"/>
    <w:rsid w:val="00442215"/>
    <w:rsid w:val="00477782"/>
    <w:rsid w:val="004931C7"/>
    <w:rsid w:val="004B1C3D"/>
    <w:rsid w:val="004B6925"/>
    <w:rsid w:val="004E2D82"/>
    <w:rsid w:val="004E30DC"/>
    <w:rsid w:val="004F632C"/>
    <w:rsid w:val="00501371"/>
    <w:rsid w:val="00510E8A"/>
    <w:rsid w:val="00514A01"/>
    <w:rsid w:val="00516AE7"/>
    <w:rsid w:val="00531D26"/>
    <w:rsid w:val="00540290"/>
    <w:rsid w:val="00555083"/>
    <w:rsid w:val="00560E2E"/>
    <w:rsid w:val="005744CB"/>
    <w:rsid w:val="0058465D"/>
    <w:rsid w:val="005861A6"/>
    <w:rsid w:val="005933C8"/>
    <w:rsid w:val="00593630"/>
    <w:rsid w:val="005A4D01"/>
    <w:rsid w:val="005A6EA7"/>
    <w:rsid w:val="005E1177"/>
    <w:rsid w:val="00602148"/>
    <w:rsid w:val="00603C04"/>
    <w:rsid w:val="00626959"/>
    <w:rsid w:val="0063357F"/>
    <w:rsid w:val="00637A94"/>
    <w:rsid w:val="006474B0"/>
    <w:rsid w:val="006605C5"/>
    <w:rsid w:val="00692E9C"/>
    <w:rsid w:val="00695BF0"/>
    <w:rsid w:val="006A1401"/>
    <w:rsid w:val="006D3474"/>
    <w:rsid w:val="006F2E7B"/>
    <w:rsid w:val="007003E4"/>
    <w:rsid w:val="00700EAF"/>
    <w:rsid w:val="0072743F"/>
    <w:rsid w:val="0074186C"/>
    <w:rsid w:val="007664E8"/>
    <w:rsid w:val="00783FC8"/>
    <w:rsid w:val="00795ADA"/>
    <w:rsid w:val="00796335"/>
    <w:rsid w:val="007A1108"/>
    <w:rsid w:val="007A304A"/>
    <w:rsid w:val="007B6796"/>
    <w:rsid w:val="007B6DAD"/>
    <w:rsid w:val="007C62D5"/>
    <w:rsid w:val="007D4C45"/>
    <w:rsid w:val="00837146"/>
    <w:rsid w:val="00855B3B"/>
    <w:rsid w:val="00892760"/>
    <w:rsid w:val="00896C33"/>
    <w:rsid w:val="008B2004"/>
    <w:rsid w:val="008C21BD"/>
    <w:rsid w:val="008C7E7B"/>
    <w:rsid w:val="008D3F72"/>
    <w:rsid w:val="008E3B42"/>
    <w:rsid w:val="0090092D"/>
    <w:rsid w:val="0093467C"/>
    <w:rsid w:val="00962929"/>
    <w:rsid w:val="00987EF5"/>
    <w:rsid w:val="009C35FD"/>
    <w:rsid w:val="009D7ECA"/>
    <w:rsid w:val="009E5645"/>
    <w:rsid w:val="009F2A22"/>
    <w:rsid w:val="00A03732"/>
    <w:rsid w:val="00A066F9"/>
    <w:rsid w:val="00A41901"/>
    <w:rsid w:val="00A44984"/>
    <w:rsid w:val="00A55175"/>
    <w:rsid w:val="00A74A7A"/>
    <w:rsid w:val="00A92AE1"/>
    <w:rsid w:val="00AA04B5"/>
    <w:rsid w:val="00AB6D3C"/>
    <w:rsid w:val="00AC66B2"/>
    <w:rsid w:val="00AD5C0D"/>
    <w:rsid w:val="00AF4043"/>
    <w:rsid w:val="00B07350"/>
    <w:rsid w:val="00B16C17"/>
    <w:rsid w:val="00B22F54"/>
    <w:rsid w:val="00B55DEB"/>
    <w:rsid w:val="00BB28C1"/>
    <w:rsid w:val="00BB5765"/>
    <w:rsid w:val="00BD2A06"/>
    <w:rsid w:val="00BD3108"/>
    <w:rsid w:val="00BF478D"/>
    <w:rsid w:val="00C0080A"/>
    <w:rsid w:val="00C049AD"/>
    <w:rsid w:val="00C401F2"/>
    <w:rsid w:val="00C41A12"/>
    <w:rsid w:val="00C67964"/>
    <w:rsid w:val="00C71C4B"/>
    <w:rsid w:val="00C73E27"/>
    <w:rsid w:val="00C86AE2"/>
    <w:rsid w:val="00C92FB9"/>
    <w:rsid w:val="00CA0927"/>
    <w:rsid w:val="00CA1245"/>
    <w:rsid w:val="00CA34DB"/>
    <w:rsid w:val="00CB35BE"/>
    <w:rsid w:val="00CC4E05"/>
    <w:rsid w:val="00CD1164"/>
    <w:rsid w:val="00D1118E"/>
    <w:rsid w:val="00D1158C"/>
    <w:rsid w:val="00D17F40"/>
    <w:rsid w:val="00D304D3"/>
    <w:rsid w:val="00D60B1E"/>
    <w:rsid w:val="00D82DE3"/>
    <w:rsid w:val="00DE05C2"/>
    <w:rsid w:val="00DE0CA9"/>
    <w:rsid w:val="00DF7DC2"/>
    <w:rsid w:val="00E00C58"/>
    <w:rsid w:val="00E11D20"/>
    <w:rsid w:val="00E2563D"/>
    <w:rsid w:val="00E269AC"/>
    <w:rsid w:val="00E26FEE"/>
    <w:rsid w:val="00E40FDC"/>
    <w:rsid w:val="00E63AD4"/>
    <w:rsid w:val="00E806C6"/>
    <w:rsid w:val="00E84421"/>
    <w:rsid w:val="00EB3944"/>
    <w:rsid w:val="00EC00B6"/>
    <w:rsid w:val="00EC23B2"/>
    <w:rsid w:val="00ED7286"/>
    <w:rsid w:val="00F071E5"/>
    <w:rsid w:val="00F13182"/>
    <w:rsid w:val="00F36D8C"/>
    <w:rsid w:val="00F408E4"/>
    <w:rsid w:val="00F4412B"/>
    <w:rsid w:val="00F866D6"/>
    <w:rsid w:val="00F93805"/>
    <w:rsid w:val="00F977CA"/>
    <w:rsid w:val="00F97D1C"/>
    <w:rsid w:val="00FD5A62"/>
    <w:rsid w:val="00FD76E4"/>
    <w:rsid w:val="00FE1DB4"/>
    <w:rsid w:val="00FE589E"/>
    <w:rsid w:val="00FF141A"/>
    <w:rsid w:val="00FF539D"/>
  </w:rsids>
  <m:mathPr>
    <m:mathFont m:val="Cambria Math"/>
    <m:brkBin m:val="before"/>
    <m:brkBinSub m:val="--"/>
    <m:smallFrac m:val="0"/>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8E1A5"/>
  <w15:chartTrackingRefBased/>
  <w15:docId w15:val="{F5EBAFCC-1503-464B-8670-387DB0948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1C3A"/>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Strong">
    <w:name w:val="Strong"/>
    <w:basedOn w:val="DefaultParagraphFont"/>
    <w:uiPriority w:val="22"/>
    <w:qFormat/>
    <w:rsid w:val="00181C3A"/>
    <w:rPr>
      <w:b/>
      <w:bCs/>
    </w:rPr>
  </w:style>
  <w:style w:type="character" w:styleId="Emphasis">
    <w:name w:val="Emphasis"/>
    <w:basedOn w:val="DefaultParagraphFont"/>
    <w:uiPriority w:val="20"/>
    <w:qFormat/>
    <w:rsid w:val="00181C3A"/>
    <w:rPr>
      <w:i/>
      <w:iCs/>
    </w:rPr>
  </w:style>
  <w:style w:type="character" w:styleId="CommentReference">
    <w:name w:val="annotation reference"/>
    <w:basedOn w:val="DefaultParagraphFont"/>
    <w:uiPriority w:val="99"/>
    <w:semiHidden/>
    <w:unhideWhenUsed/>
    <w:rsid w:val="00B55DEB"/>
    <w:rPr>
      <w:sz w:val="16"/>
      <w:szCs w:val="16"/>
    </w:rPr>
  </w:style>
  <w:style w:type="paragraph" w:styleId="CommentText">
    <w:name w:val="annotation text"/>
    <w:basedOn w:val="Normal"/>
    <w:link w:val="CommentTextChar"/>
    <w:uiPriority w:val="99"/>
    <w:semiHidden/>
    <w:unhideWhenUsed/>
    <w:rsid w:val="00B55DEB"/>
    <w:pPr>
      <w:spacing w:line="240" w:lineRule="auto"/>
    </w:pPr>
    <w:rPr>
      <w:sz w:val="20"/>
      <w:szCs w:val="20"/>
    </w:rPr>
  </w:style>
  <w:style w:type="character" w:customStyle="1" w:styleId="CommentTextChar">
    <w:name w:val="Comment Text Char"/>
    <w:basedOn w:val="DefaultParagraphFont"/>
    <w:link w:val="CommentText"/>
    <w:uiPriority w:val="99"/>
    <w:semiHidden/>
    <w:rsid w:val="00B55DEB"/>
    <w:rPr>
      <w:sz w:val="20"/>
      <w:szCs w:val="20"/>
      <w:lang w:val="en-GB"/>
    </w:rPr>
  </w:style>
  <w:style w:type="paragraph" w:styleId="CommentSubject">
    <w:name w:val="annotation subject"/>
    <w:basedOn w:val="CommentText"/>
    <w:next w:val="CommentText"/>
    <w:link w:val="CommentSubjectChar"/>
    <w:uiPriority w:val="99"/>
    <w:semiHidden/>
    <w:unhideWhenUsed/>
    <w:rsid w:val="00B55DEB"/>
    <w:rPr>
      <w:b/>
      <w:bCs/>
    </w:rPr>
  </w:style>
  <w:style w:type="character" w:customStyle="1" w:styleId="CommentSubjectChar">
    <w:name w:val="Comment Subject Char"/>
    <w:basedOn w:val="CommentTextChar"/>
    <w:link w:val="CommentSubject"/>
    <w:uiPriority w:val="99"/>
    <w:semiHidden/>
    <w:rsid w:val="00B55DEB"/>
    <w:rPr>
      <w:b/>
      <w:bCs/>
      <w:sz w:val="20"/>
      <w:szCs w:val="20"/>
      <w:lang w:val="en-GB"/>
    </w:rPr>
  </w:style>
  <w:style w:type="paragraph" w:styleId="Header">
    <w:name w:val="header"/>
    <w:basedOn w:val="Normal"/>
    <w:link w:val="HeaderChar"/>
    <w:uiPriority w:val="99"/>
    <w:unhideWhenUsed/>
    <w:rsid w:val="00531D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D26"/>
    <w:rPr>
      <w:lang w:val="en-GB"/>
    </w:rPr>
  </w:style>
  <w:style w:type="paragraph" w:styleId="Footer">
    <w:name w:val="footer"/>
    <w:basedOn w:val="Normal"/>
    <w:link w:val="FooterChar"/>
    <w:uiPriority w:val="99"/>
    <w:unhideWhenUsed/>
    <w:rsid w:val="00531D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D26"/>
    <w:rPr>
      <w:lang w:val="en-GB"/>
    </w:rPr>
  </w:style>
  <w:style w:type="paragraph" w:styleId="ListParagraph">
    <w:name w:val="List Paragraph"/>
    <w:aliases w:val="Numbered Para 1,Dot pt,No Spacing1,List Paragraph Char Char Char,Indicator Text,List Paragraph1,Bullet Points,Bullet 1,MAIN CONTENT,List Paragraph12,F5 List Paragraph,Texto corrido,Lista viñetas,Task Body,Viñetas (Inicio Parrafo)"/>
    <w:basedOn w:val="Normal"/>
    <w:link w:val="ListParagraphChar"/>
    <w:uiPriority w:val="34"/>
    <w:qFormat/>
    <w:rsid w:val="007664E8"/>
    <w:pPr>
      <w:ind w:left="720"/>
      <w:contextualSpacing/>
    </w:pPr>
    <w:rPr>
      <w:lang w:val="en-US" w:bidi="he-IL"/>
    </w:rPr>
  </w:style>
  <w:style w:type="table" w:styleId="TableGrid">
    <w:name w:val="Table Grid"/>
    <w:basedOn w:val="TableNormal"/>
    <w:uiPriority w:val="59"/>
    <w:rsid w:val="00A03732"/>
    <w:pPr>
      <w:spacing w:after="0" w:line="240" w:lineRule="auto"/>
    </w:pPr>
    <w:rPr>
      <w:rFonts w:ascii="Times New Roman" w:eastAsia="Times New Roman"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basedOn w:val="DefaultParagraphFont"/>
    <w:link w:val="ListParagraph"/>
    <w:uiPriority w:val="34"/>
    <w:locked/>
    <w:rsid w:val="00A03732"/>
    <w:rPr>
      <w:lang w:val="en-US" w:bidi="he-IL"/>
    </w:rPr>
  </w:style>
  <w:style w:type="paragraph" w:styleId="Revision">
    <w:name w:val="Revision"/>
    <w:hidden/>
    <w:uiPriority w:val="99"/>
    <w:semiHidden/>
    <w:rsid w:val="00C41A12"/>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044591">
      <w:bodyDiv w:val="1"/>
      <w:marLeft w:val="0"/>
      <w:marRight w:val="0"/>
      <w:marTop w:val="0"/>
      <w:marBottom w:val="0"/>
      <w:divBdr>
        <w:top w:val="none" w:sz="0" w:space="0" w:color="auto"/>
        <w:left w:val="none" w:sz="0" w:space="0" w:color="auto"/>
        <w:bottom w:val="none" w:sz="0" w:space="0" w:color="auto"/>
        <w:right w:val="none" w:sz="0" w:space="0" w:color="auto"/>
      </w:divBdr>
    </w:div>
    <w:div w:id="1602489630">
      <w:bodyDiv w:val="1"/>
      <w:marLeft w:val="0"/>
      <w:marRight w:val="0"/>
      <w:marTop w:val="0"/>
      <w:marBottom w:val="0"/>
      <w:divBdr>
        <w:top w:val="none" w:sz="0" w:space="0" w:color="auto"/>
        <w:left w:val="none" w:sz="0" w:space="0" w:color="auto"/>
        <w:bottom w:val="none" w:sz="0" w:space="0" w:color="auto"/>
        <w:right w:val="none" w:sz="0" w:space="0" w:color="auto"/>
      </w:divBdr>
      <w:divsChild>
        <w:div w:id="1460150850">
          <w:marLeft w:val="0"/>
          <w:marRight w:val="0"/>
          <w:marTop w:val="0"/>
          <w:marBottom w:val="0"/>
          <w:divBdr>
            <w:top w:val="none" w:sz="0" w:space="0" w:color="auto"/>
            <w:left w:val="none" w:sz="0" w:space="0" w:color="auto"/>
            <w:bottom w:val="none" w:sz="0" w:space="0" w:color="auto"/>
            <w:right w:val="none" w:sz="0" w:space="0" w:color="auto"/>
          </w:divBdr>
        </w:div>
        <w:div w:id="1106148227">
          <w:marLeft w:val="0"/>
          <w:marRight w:val="0"/>
          <w:marTop w:val="0"/>
          <w:marBottom w:val="0"/>
          <w:divBdr>
            <w:top w:val="none" w:sz="0" w:space="0" w:color="auto"/>
            <w:left w:val="none" w:sz="0" w:space="0" w:color="auto"/>
            <w:bottom w:val="none" w:sz="0" w:space="0" w:color="auto"/>
            <w:right w:val="none" w:sz="0" w:space="0" w:color="auto"/>
          </w:divBdr>
        </w:div>
        <w:div w:id="1836994735">
          <w:marLeft w:val="0"/>
          <w:marRight w:val="0"/>
          <w:marTop w:val="0"/>
          <w:marBottom w:val="0"/>
          <w:divBdr>
            <w:top w:val="none" w:sz="0" w:space="0" w:color="auto"/>
            <w:left w:val="none" w:sz="0" w:space="0" w:color="auto"/>
            <w:bottom w:val="none" w:sz="0" w:space="0" w:color="auto"/>
            <w:right w:val="none" w:sz="0" w:space="0" w:color="auto"/>
          </w:divBdr>
        </w:div>
        <w:div w:id="1909000496">
          <w:marLeft w:val="0"/>
          <w:marRight w:val="0"/>
          <w:marTop w:val="0"/>
          <w:marBottom w:val="0"/>
          <w:divBdr>
            <w:top w:val="none" w:sz="0" w:space="0" w:color="auto"/>
            <w:left w:val="none" w:sz="0" w:space="0" w:color="auto"/>
            <w:bottom w:val="none" w:sz="0" w:space="0" w:color="auto"/>
            <w:right w:val="none" w:sz="0" w:space="0" w:color="auto"/>
          </w:divBdr>
        </w:div>
        <w:div w:id="1964581096">
          <w:marLeft w:val="0"/>
          <w:marRight w:val="0"/>
          <w:marTop w:val="0"/>
          <w:marBottom w:val="0"/>
          <w:divBdr>
            <w:top w:val="none" w:sz="0" w:space="0" w:color="auto"/>
            <w:left w:val="none" w:sz="0" w:space="0" w:color="auto"/>
            <w:bottom w:val="none" w:sz="0" w:space="0" w:color="auto"/>
            <w:right w:val="none" w:sz="0" w:space="0" w:color="auto"/>
          </w:divBdr>
        </w:div>
        <w:div w:id="2141145917">
          <w:marLeft w:val="0"/>
          <w:marRight w:val="0"/>
          <w:marTop w:val="0"/>
          <w:marBottom w:val="0"/>
          <w:divBdr>
            <w:top w:val="none" w:sz="0" w:space="0" w:color="auto"/>
            <w:left w:val="none" w:sz="0" w:space="0" w:color="auto"/>
            <w:bottom w:val="none" w:sz="0" w:space="0" w:color="auto"/>
            <w:right w:val="none" w:sz="0" w:space="0" w:color="auto"/>
          </w:divBdr>
        </w:div>
        <w:div w:id="1744373995">
          <w:marLeft w:val="0"/>
          <w:marRight w:val="0"/>
          <w:marTop w:val="0"/>
          <w:marBottom w:val="0"/>
          <w:divBdr>
            <w:top w:val="none" w:sz="0" w:space="0" w:color="auto"/>
            <w:left w:val="none" w:sz="0" w:space="0" w:color="auto"/>
            <w:bottom w:val="none" w:sz="0" w:space="0" w:color="auto"/>
            <w:right w:val="none" w:sz="0" w:space="0" w:color="auto"/>
          </w:divBdr>
        </w:div>
        <w:div w:id="555356652">
          <w:marLeft w:val="0"/>
          <w:marRight w:val="0"/>
          <w:marTop w:val="0"/>
          <w:marBottom w:val="0"/>
          <w:divBdr>
            <w:top w:val="none" w:sz="0" w:space="0" w:color="auto"/>
            <w:left w:val="none" w:sz="0" w:space="0" w:color="auto"/>
            <w:bottom w:val="none" w:sz="0" w:space="0" w:color="auto"/>
            <w:right w:val="none" w:sz="0" w:space="0" w:color="auto"/>
          </w:divBdr>
        </w:div>
        <w:div w:id="614947214">
          <w:marLeft w:val="0"/>
          <w:marRight w:val="0"/>
          <w:marTop w:val="0"/>
          <w:marBottom w:val="0"/>
          <w:divBdr>
            <w:top w:val="none" w:sz="0" w:space="0" w:color="auto"/>
            <w:left w:val="none" w:sz="0" w:space="0" w:color="auto"/>
            <w:bottom w:val="none" w:sz="0" w:space="0" w:color="auto"/>
            <w:right w:val="none" w:sz="0" w:space="0" w:color="auto"/>
          </w:divBdr>
        </w:div>
        <w:div w:id="1360818507">
          <w:marLeft w:val="0"/>
          <w:marRight w:val="0"/>
          <w:marTop w:val="0"/>
          <w:marBottom w:val="0"/>
          <w:divBdr>
            <w:top w:val="none" w:sz="0" w:space="0" w:color="auto"/>
            <w:left w:val="none" w:sz="0" w:space="0" w:color="auto"/>
            <w:bottom w:val="none" w:sz="0" w:space="0" w:color="auto"/>
            <w:right w:val="none" w:sz="0" w:space="0" w:color="auto"/>
          </w:divBdr>
        </w:div>
        <w:div w:id="63451346">
          <w:marLeft w:val="0"/>
          <w:marRight w:val="0"/>
          <w:marTop w:val="0"/>
          <w:marBottom w:val="0"/>
          <w:divBdr>
            <w:top w:val="none" w:sz="0" w:space="0" w:color="auto"/>
            <w:left w:val="none" w:sz="0" w:space="0" w:color="auto"/>
            <w:bottom w:val="none" w:sz="0" w:space="0" w:color="auto"/>
            <w:right w:val="none" w:sz="0" w:space="0" w:color="auto"/>
          </w:divBdr>
        </w:div>
        <w:div w:id="246499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517040E7C38B40A5628FF9169AF96A" ma:contentTypeVersion="13" ma:contentTypeDescription="Create a new document." ma:contentTypeScope="" ma:versionID="610d2fffbed78a271fd9b0a316a5eebb">
  <xsd:schema xmlns:xsd="http://www.w3.org/2001/XMLSchema" xmlns:xs="http://www.w3.org/2001/XMLSchema" xmlns:p="http://schemas.microsoft.com/office/2006/metadata/properties" xmlns:ns3="230969c4-4b21-40a1-a7e0-8e83f0ebef90" xmlns:ns4="836145c2-31d8-411b-a478-107c500d5d49" targetNamespace="http://schemas.microsoft.com/office/2006/metadata/properties" ma:root="true" ma:fieldsID="49f22acb36ba23fe0bc32f234a631122" ns3:_="" ns4:_="">
    <xsd:import namespace="230969c4-4b21-40a1-a7e0-8e83f0ebef90"/>
    <xsd:import namespace="836145c2-31d8-411b-a478-107c500d5d4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969c4-4b21-40a1-a7e0-8e83f0ebef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6145c2-31d8-411b-a478-107c500d5d4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15EDC1-A159-4109-A02D-CD15D5CD09E1}">
  <ds:schemaRefs>
    <ds:schemaRef ds:uri="http://schemas.openxmlformats.org/officeDocument/2006/bibliography"/>
  </ds:schemaRefs>
</ds:datastoreItem>
</file>

<file path=customXml/itemProps2.xml><?xml version="1.0" encoding="utf-8"?>
<ds:datastoreItem xmlns:ds="http://schemas.openxmlformats.org/officeDocument/2006/customXml" ds:itemID="{6CCCE600-69E4-4023-BB4C-622439562B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5240E5-A8CA-4FB8-A79F-8A9B6A037625}">
  <ds:schemaRefs>
    <ds:schemaRef ds:uri="http://schemas.microsoft.com/sharepoint/v3/contenttype/forms"/>
  </ds:schemaRefs>
</ds:datastoreItem>
</file>

<file path=customXml/itemProps4.xml><?xml version="1.0" encoding="utf-8"?>
<ds:datastoreItem xmlns:ds="http://schemas.openxmlformats.org/officeDocument/2006/customXml" ds:itemID="{A4FBD3B8-65C6-4CA1-A796-5BFDBDA2A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969c4-4b21-40a1-a7e0-8e83f0ebef90"/>
    <ds:schemaRef ds:uri="836145c2-31d8-411b-a478-107c500d5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1502</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Hollberg</dc:creator>
  <cp:keywords/>
  <dc:description/>
  <cp:lastModifiedBy>Natanian Jonathan</cp:lastModifiedBy>
  <cp:revision>51</cp:revision>
  <dcterms:created xsi:type="dcterms:W3CDTF">2022-02-14T08:24:00Z</dcterms:created>
  <dcterms:modified xsi:type="dcterms:W3CDTF">2022-02-14T11:17:00Z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0x0101003C517040E7C38B40A5628FF9169AF96A</vt:lpwstr>
  </property>
</Properties>
</file>