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76A5" w14:textId="77777777" w:rsidR="006C5AF8" w:rsidRPr="00C3458D" w:rsidRDefault="00596F0D" w:rsidP="00596F0D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R. Simeon b. Isaac’s</w:t>
      </w:r>
      <w:r w:rsidR="00C3458D" w:rsidRPr="00C3458D">
        <w:rPr>
          <w:b/>
          <w:bCs/>
          <w:sz w:val="32"/>
          <w:szCs w:val="32"/>
        </w:rPr>
        <w:t xml:space="preserve"> </w:t>
      </w:r>
      <w:commentRangeStart w:id="1"/>
      <w:r w:rsidR="00C3458D" w:rsidRPr="00C3458D">
        <w:rPr>
          <w:b/>
          <w:bCs/>
          <w:i/>
          <w:iCs/>
          <w:sz w:val="32"/>
          <w:szCs w:val="32"/>
        </w:rPr>
        <w:t xml:space="preserve">Asher mi </w:t>
      </w:r>
      <w:proofErr w:type="spellStart"/>
      <w:r w:rsidR="00C3458D" w:rsidRPr="00C3458D">
        <w:rPr>
          <w:b/>
          <w:bCs/>
          <w:i/>
          <w:iCs/>
          <w:sz w:val="32"/>
          <w:szCs w:val="32"/>
        </w:rPr>
        <w:t>ya‘aseh</w:t>
      </w:r>
      <w:proofErr w:type="spellEnd"/>
      <w:r w:rsidR="00C3458D" w:rsidRPr="00C3458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C3458D" w:rsidRPr="00C3458D">
        <w:rPr>
          <w:b/>
          <w:bCs/>
          <w:i/>
          <w:iCs/>
          <w:sz w:val="32"/>
          <w:szCs w:val="32"/>
        </w:rPr>
        <w:t>ke-ma‘asekha</w:t>
      </w:r>
      <w:commentRangeEnd w:id="1"/>
      <w:proofErr w:type="spellEnd"/>
      <w:r w:rsidR="00A40458">
        <w:rPr>
          <w:rStyle w:val="CommentReference"/>
        </w:rPr>
        <w:commentReference w:id="1"/>
      </w:r>
      <w:r w:rsidR="00C3458D" w:rsidRPr="00C3458D">
        <w:rPr>
          <w:b/>
          <w:bCs/>
          <w:sz w:val="32"/>
          <w:szCs w:val="32"/>
        </w:rPr>
        <w:t>:</w:t>
      </w:r>
    </w:p>
    <w:p w14:paraId="17A3942D" w14:textId="77777777" w:rsidR="00C3458D" w:rsidRPr="00C3458D" w:rsidRDefault="005E1F16" w:rsidP="00C3458D">
      <w:pPr>
        <w:jc w:val="center"/>
        <w:rPr>
          <w:b/>
          <w:bCs/>
          <w:sz w:val="32"/>
          <w:szCs w:val="32"/>
        </w:rPr>
      </w:pPr>
      <w:commentRangeStart w:id="2"/>
      <w:r>
        <w:rPr>
          <w:b/>
          <w:bCs/>
          <w:sz w:val="32"/>
          <w:szCs w:val="32"/>
        </w:rPr>
        <w:t>From Origins to Impact</w:t>
      </w:r>
      <w:commentRangeEnd w:id="2"/>
      <w:r>
        <w:rPr>
          <w:rStyle w:val="CommentReference"/>
        </w:rPr>
        <w:commentReference w:id="2"/>
      </w:r>
    </w:p>
    <w:bookmarkEnd w:id="0"/>
    <w:p w14:paraId="79783C1D" w14:textId="77777777" w:rsidR="00C3458D" w:rsidRPr="00C3458D" w:rsidRDefault="00C3458D" w:rsidP="00C3458D">
      <w:pPr>
        <w:ind w:left="3600" w:firstLine="720"/>
        <w:rPr>
          <w:sz w:val="26"/>
          <w:szCs w:val="26"/>
        </w:rPr>
      </w:pPr>
      <w:r w:rsidRPr="00C3458D">
        <w:rPr>
          <w:sz w:val="26"/>
          <w:szCs w:val="26"/>
        </w:rPr>
        <w:t xml:space="preserve">Tamar </w:t>
      </w:r>
      <w:proofErr w:type="spellStart"/>
      <w:r w:rsidRPr="00C3458D">
        <w:rPr>
          <w:sz w:val="26"/>
          <w:szCs w:val="26"/>
        </w:rPr>
        <w:t>Lavi</w:t>
      </w:r>
      <w:proofErr w:type="spellEnd"/>
    </w:p>
    <w:p w14:paraId="14A72677" w14:textId="77777777" w:rsidR="00C3458D" w:rsidRPr="00C3458D" w:rsidRDefault="00C3458D">
      <w:pPr>
        <w:rPr>
          <w:b/>
          <w:bCs/>
        </w:rPr>
      </w:pPr>
      <w:r w:rsidRPr="00C3458D">
        <w:rPr>
          <w:b/>
          <w:bCs/>
        </w:rPr>
        <w:t>English Abstract</w:t>
      </w:r>
    </w:p>
    <w:p w14:paraId="6B7B5581" w14:textId="77777777" w:rsidR="00C3458D" w:rsidRDefault="00C3458D" w:rsidP="00596F0D">
      <w:r>
        <w:t xml:space="preserve">This article </w:t>
      </w:r>
      <w:r w:rsidR="00A40458">
        <w:t>investigates</w:t>
      </w:r>
      <w:r>
        <w:rPr>
          <w:i/>
          <w:iCs/>
        </w:rPr>
        <w:t xml:space="preserve"> </w:t>
      </w:r>
      <w:r w:rsidR="00A40458">
        <w:t xml:space="preserve">how </w:t>
      </w:r>
      <w:r>
        <w:t>poetic choices</w:t>
      </w:r>
      <w:r w:rsidR="00A40458">
        <w:t xml:space="preserve"> </w:t>
      </w:r>
      <w:commentRangeStart w:id="3"/>
      <w:r w:rsidR="00A40458">
        <w:t>made</w:t>
      </w:r>
      <w:r>
        <w:t xml:space="preserve"> </w:t>
      </w:r>
      <w:r w:rsidR="00A40458">
        <w:t xml:space="preserve">within a single genre </w:t>
      </w:r>
      <w:commentRangeEnd w:id="3"/>
      <w:r w:rsidR="00596F0D">
        <w:rPr>
          <w:rStyle w:val="CommentReference"/>
        </w:rPr>
        <w:commentReference w:id="3"/>
      </w:r>
      <w:r w:rsidR="00A40458">
        <w:t>differ across</w:t>
      </w:r>
      <w:r>
        <w:t xml:space="preserve"> </w:t>
      </w:r>
      <w:r w:rsidR="00A40458">
        <w:t xml:space="preserve">distinct historical periods and cultural spheres: from </w:t>
      </w:r>
      <w:r>
        <w:t xml:space="preserve">the </w:t>
      </w:r>
      <w:r w:rsidR="00A40458">
        <w:t>world of early Islam</w:t>
      </w:r>
      <w:r w:rsidR="00787E6A">
        <w:t>,</w:t>
      </w:r>
      <w:r w:rsidR="00A40458">
        <w:t xml:space="preserve"> </w:t>
      </w:r>
      <w:r>
        <w:t xml:space="preserve">in which the Midrash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r>
        <w:rPr>
          <w:i/>
          <w:iCs/>
        </w:rPr>
        <w:t>Eli‘ezer</w:t>
      </w:r>
      <w:proofErr w:type="spellEnd"/>
      <w:r w:rsidR="00A40458">
        <w:t xml:space="preserve"> was compiled</w:t>
      </w:r>
      <w:r w:rsidR="00787E6A">
        <w:t>;</w:t>
      </w:r>
      <w:r w:rsidR="00A40458">
        <w:t xml:space="preserve"> to</w:t>
      </w:r>
      <w:r>
        <w:t xml:space="preserve"> </w:t>
      </w:r>
      <w:r w:rsidR="00A40458">
        <w:t>pre-Crusade</w:t>
      </w:r>
      <w:r>
        <w:t xml:space="preserve"> Christian </w:t>
      </w:r>
      <w:r w:rsidR="00A40458">
        <w:t>Europe</w:t>
      </w:r>
      <w:r w:rsidR="00787E6A">
        <w:t>,</w:t>
      </w:r>
      <w:r w:rsidR="00A40458">
        <w:t xml:space="preserve"> </w:t>
      </w:r>
      <w:r>
        <w:t>in whic</w:t>
      </w:r>
      <w:r w:rsidR="00787E6A">
        <w:t>h R. Simeon b. Isaac was active;</w:t>
      </w:r>
      <w:r>
        <w:t xml:space="preserve"> and</w:t>
      </w:r>
      <w:r w:rsidR="00A40458">
        <w:t xml:space="preserve"> finally to Europe of the High Middle Ages, in which the</w:t>
      </w:r>
      <w:r w:rsidR="00787E6A">
        <w:t xml:space="preserve"> e</w:t>
      </w:r>
      <w:r w:rsidR="00A40458">
        <w:t>ffects of the Crusades were all too keenly felt</w:t>
      </w:r>
      <w:r w:rsidR="00596F0D">
        <w:t>,</w:t>
      </w:r>
      <w:r w:rsidR="00787E6A">
        <w:t xml:space="preserve"> </w:t>
      </w:r>
      <w:r w:rsidR="00596F0D">
        <w:t>as</w:t>
      </w:r>
      <w:r>
        <w:t xml:space="preserve"> reflected in the oeuvre</w:t>
      </w:r>
      <w:r w:rsidR="00787E6A">
        <w:t>s</w:t>
      </w:r>
      <w:r>
        <w:t xml:space="preserve"> of R. Joseph </w:t>
      </w:r>
      <w:proofErr w:type="spellStart"/>
      <w:r>
        <w:t>Bekhor</w:t>
      </w:r>
      <w:proofErr w:type="spellEnd"/>
      <w:r>
        <w:t xml:space="preserve"> Shor of </w:t>
      </w:r>
      <w:proofErr w:type="spellStart"/>
      <w:r w:rsidRPr="00A40458">
        <w:t>Orl</w:t>
      </w:r>
      <w:r w:rsidR="00A40458">
        <w:rPr>
          <w:rFonts w:cstheme="minorHAnsi"/>
        </w:rPr>
        <w:t>é</w:t>
      </w:r>
      <w:r w:rsidRPr="00A40458">
        <w:t>ans</w:t>
      </w:r>
      <w:proofErr w:type="spellEnd"/>
      <w:r>
        <w:rPr>
          <w:b/>
          <w:bCs/>
        </w:rPr>
        <w:t xml:space="preserve"> </w:t>
      </w:r>
      <w:r w:rsidRPr="00A40458">
        <w:t>(</w:t>
      </w:r>
      <w:proofErr w:type="spellStart"/>
      <w:r w:rsidRPr="00A40458">
        <w:rPr>
          <w:i/>
          <w:iCs/>
        </w:rPr>
        <w:t>Tsarfat</w:t>
      </w:r>
      <w:proofErr w:type="spellEnd"/>
      <w:r w:rsidRPr="00A40458">
        <w:t>)</w:t>
      </w:r>
      <w:r>
        <w:t xml:space="preserve"> and R. Ephraim of Regensburg (</w:t>
      </w:r>
      <w:proofErr w:type="spellStart"/>
      <w:r>
        <w:rPr>
          <w:i/>
          <w:iCs/>
        </w:rPr>
        <w:t>Ashkenaz</w:t>
      </w:r>
      <w:proofErr w:type="spellEnd"/>
      <w:r>
        <w:t xml:space="preserve">). </w:t>
      </w:r>
    </w:p>
    <w:p w14:paraId="758C317E" w14:textId="77777777" w:rsidR="00C3458D" w:rsidRPr="00787E6A" w:rsidRDefault="00C3458D" w:rsidP="00596F0D">
      <w:pPr>
        <w:ind w:firstLine="720"/>
        <w:rPr>
          <w:b/>
          <w:bCs/>
        </w:rPr>
      </w:pPr>
      <w:r>
        <w:t xml:space="preserve">This study demonstrates that R. Simeon’s </w:t>
      </w:r>
      <w:proofErr w:type="spellStart"/>
      <w:r>
        <w:rPr>
          <w:i/>
          <w:iCs/>
        </w:rPr>
        <w:t>piyyut</w:t>
      </w:r>
      <w:proofErr w:type="spellEnd"/>
      <w:r>
        <w:t xml:space="preserve"> </w:t>
      </w:r>
      <w:r w:rsidR="00787E6A">
        <w:t>was a crucial link between</w:t>
      </w:r>
      <w:r>
        <w:t xml:space="preserve">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r>
        <w:rPr>
          <w:i/>
          <w:iCs/>
        </w:rPr>
        <w:t>Eli‘ezer</w:t>
      </w:r>
      <w:proofErr w:type="spellEnd"/>
      <w:r>
        <w:t xml:space="preserve">, </w:t>
      </w:r>
      <w:r w:rsidR="00787E6A">
        <w:t xml:space="preserve">a work </w:t>
      </w:r>
      <w:r w:rsidRPr="00787E6A">
        <w:t xml:space="preserve">so culturally </w:t>
      </w:r>
      <w:r w:rsidR="00787E6A" w:rsidRPr="00787E6A">
        <w:t>alien to</w:t>
      </w:r>
      <w:r>
        <w:t xml:space="preserve"> </w:t>
      </w:r>
      <w:r w:rsidR="00787E6A">
        <w:t>medieval Franco-Germany</w:t>
      </w:r>
      <w:r>
        <w:t xml:space="preserve">, and </w:t>
      </w:r>
      <w:proofErr w:type="spellStart"/>
      <w:r>
        <w:rPr>
          <w:i/>
          <w:iCs/>
        </w:rPr>
        <w:t>payyetanim</w:t>
      </w:r>
      <w:proofErr w:type="spellEnd"/>
      <w:r>
        <w:t xml:space="preserve"> </w:t>
      </w:r>
      <w:r w:rsidR="00787E6A">
        <w:t xml:space="preserve">in </w:t>
      </w:r>
      <w:proofErr w:type="spellStart"/>
      <w:r w:rsidR="00787E6A">
        <w:rPr>
          <w:i/>
          <w:iCs/>
        </w:rPr>
        <w:t>Tsarfat</w:t>
      </w:r>
      <w:proofErr w:type="spellEnd"/>
      <w:r w:rsidR="00787E6A">
        <w:t xml:space="preserve"> and </w:t>
      </w:r>
      <w:proofErr w:type="spellStart"/>
      <w:r w:rsidR="00787E6A">
        <w:rPr>
          <w:i/>
          <w:iCs/>
        </w:rPr>
        <w:t>Ashkenaz</w:t>
      </w:r>
      <w:proofErr w:type="spellEnd"/>
      <w:r w:rsidR="00787E6A">
        <w:t xml:space="preserve"> </w:t>
      </w:r>
      <w:r w:rsidR="00787E6A">
        <w:t>active</w:t>
      </w:r>
      <w:r w:rsidR="00787E6A">
        <w:t xml:space="preserve"> more than a century after R. Simeon. </w:t>
      </w:r>
      <w:r>
        <w:t xml:space="preserve">In other words, </w:t>
      </w:r>
      <w:r w:rsidR="00596F0D">
        <w:t xml:space="preserve">this particular </w:t>
      </w:r>
      <w:proofErr w:type="spellStart"/>
      <w:r w:rsidR="00596F0D">
        <w:rPr>
          <w:i/>
          <w:iCs/>
        </w:rPr>
        <w:t>silluq</w:t>
      </w:r>
      <w:proofErr w:type="spellEnd"/>
      <w:r w:rsidR="00596F0D">
        <w:rPr>
          <w:i/>
          <w:iCs/>
        </w:rPr>
        <w:t xml:space="preserve"> </w:t>
      </w:r>
      <w:r w:rsidR="00596F0D">
        <w:t xml:space="preserve">by </w:t>
      </w:r>
      <w:r>
        <w:t xml:space="preserve">R. Simeon </w:t>
      </w:r>
      <w:r w:rsidR="005E1F16">
        <w:t>served</w:t>
      </w:r>
      <w:r>
        <w:t xml:space="preserve"> as the</w:t>
      </w:r>
      <w:r w:rsidR="00787E6A">
        <w:t xml:space="preserve"> literary</w:t>
      </w:r>
      <w:r>
        <w:t xml:space="preserve"> bridge over which motifs and images </w:t>
      </w:r>
      <w:commentRangeStart w:id="4"/>
      <w:r w:rsidR="00787E6A">
        <w:t xml:space="preserve">could cross cultural barriers </w:t>
      </w:r>
      <w:r w:rsidR="00596F0D">
        <w:t>unimpeded</w:t>
      </w:r>
      <w:commentRangeEnd w:id="4"/>
      <w:r w:rsidR="00596F0D">
        <w:rPr>
          <w:rStyle w:val="CommentReference"/>
        </w:rPr>
        <w:commentReference w:id="4"/>
      </w:r>
      <w:r w:rsidR="00596F0D">
        <w:t>, travelling</w:t>
      </w:r>
      <w:r w:rsidR="00787E6A">
        <w:t xml:space="preserve"> </w:t>
      </w:r>
      <w:r>
        <w:t xml:space="preserve">from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r>
        <w:rPr>
          <w:i/>
          <w:iCs/>
        </w:rPr>
        <w:t>Eli‘ezer</w:t>
      </w:r>
      <w:proofErr w:type="spellEnd"/>
      <w:r>
        <w:t xml:space="preserve"> </w:t>
      </w:r>
      <w:r w:rsidR="00596F0D">
        <w:t>directly</w:t>
      </w:r>
      <w:r>
        <w:t xml:space="preserve"> </w:t>
      </w:r>
      <w:r w:rsidR="00787E6A">
        <w:t>in</w:t>
      </w:r>
      <w:r>
        <w:t xml:space="preserve">to the poetry </w:t>
      </w:r>
      <w:r w:rsidR="00787E6A">
        <w:t xml:space="preserve">composed by disciples of R. Jacob b. Meir, </w:t>
      </w:r>
      <w:proofErr w:type="spellStart"/>
      <w:r w:rsidR="00787E6A">
        <w:t>Rabbenu</w:t>
      </w:r>
      <w:proofErr w:type="spellEnd"/>
      <w:r w:rsidR="00787E6A">
        <w:t xml:space="preserve"> Tam</w:t>
      </w:r>
      <w:r w:rsidR="00596F0D">
        <w:t>.</w:t>
      </w:r>
    </w:p>
    <w:p w14:paraId="1E53A3E4" w14:textId="77777777" w:rsidR="00C3458D" w:rsidRPr="005E1F16" w:rsidRDefault="005E1F16" w:rsidP="00596F0D">
      <w:pPr>
        <w:ind w:firstLine="720"/>
      </w:pPr>
      <w:r>
        <w:t xml:space="preserve">In order to </w:t>
      </w:r>
      <w:r w:rsidR="00596F0D">
        <w:t>obtain</w:t>
      </w:r>
      <w:r w:rsidRPr="00787E6A">
        <w:t xml:space="preserve"> a clearer picture</w:t>
      </w:r>
      <w:r w:rsidR="00596F0D">
        <w:t xml:space="preserve"> of the source material each </w:t>
      </w:r>
      <w:proofErr w:type="spellStart"/>
      <w:r w:rsidR="00596F0D">
        <w:rPr>
          <w:i/>
          <w:iCs/>
        </w:rPr>
        <w:t>payyetan</w:t>
      </w:r>
      <w:proofErr w:type="spellEnd"/>
      <w:r w:rsidR="00596F0D">
        <w:t xml:space="preserve"> had to work with</w:t>
      </w:r>
      <w:r>
        <w:t xml:space="preserve"> and </w:t>
      </w:r>
      <w:r w:rsidR="00596F0D">
        <w:t xml:space="preserve">of </w:t>
      </w:r>
      <w:r>
        <w:t xml:space="preserve">the creative and thematic license each took for himself, </w:t>
      </w:r>
      <w:r w:rsidR="00596F0D">
        <w:t xml:space="preserve">this comparative study focuses on </w:t>
      </w:r>
      <w:r>
        <w:t xml:space="preserve">the genre of </w:t>
      </w:r>
      <w:proofErr w:type="spellStart"/>
      <w:r>
        <w:rPr>
          <w:i/>
          <w:iCs/>
        </w:rPr>
        <w:t>piyyutim</w:t>
      </w:r>
      <w:proofErr w:type="spellEnd"/>
      <w:r>
        <w:t xml:space="preserve"> </w:t>
      </w:r>
      <w:r w:rsidR="00596F0D">
        <w:t>concerning</w:t>
      </w:r>
      <w:r>
        <w:t xml:space="preserve"> the </w:t>
      </w:r>
      <w:r>
        <w:rPr>
          <w:i/>
          <w:iCs/>
        </w:rPr>
        <w:t>‘Aqedah</w:t>
      </w:r>
      <w:r>
        <w:t>, the Bind</w:t>
      </w:r>
      <w:r w:rsidR="00596F0D">
        <w:t xml:space="preserve">ing of Isaac. </w:t>
      </w:r>
      <w:commentRangeStart w:id="5"/>
      <w:r w:rsidR="00596F0D">
        <w:t>This allows for mining the various strata of each rich poem in order to expose its unique poetic formations and thematic veins</w:t>
      </w:r>
      <w:commentRangeEnd w:id="5"/>
      <w:r w:rsidR="00596F0D">
        <w:rPr>
          <w:rStyle w:val="CommentReference"/>
        </w:rPr>
        <w:commentReference w:id="5"/>
      </w:r>
      <w:r>
        <w:t>.</w:t>
      </w:r>
    </w:p>
    <w:p w14:paraId="09C311B6" w14:textId="77777777" w:rsidR="005E1F16" w:rsidRDefault="005E1F16" w:rsidP="005E1F16"/>
    <w:p w14:paraId="1B8B2938" w14:textId="77777777" w:rsidR="005E1F16" w:rsidRPr="005E1F16" w:rsidRDefault="005E1F16" w:rsidP="005E1F16">
      <w:r>
        <w:t xml:space="preserve">Keywords: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r>
        <w:rPr>
          <w:i/>
          <w:iCs/>
        </w:rPr>
        <w:t>Eli‘ezer</w:t>
      </w:r>
      <w:proofErr w:type="spellEnd"/>
      <w:r>
        <w:t xml:space="preserve">; poetics; </w:t>
      </w:r>
      <w:proofErr w:type="spellStart"/>
      <w:r>
        <w:rPr>
          <w:i/>
          <w:iCs/>
        </w:rPr>
        <w:t>piyyut</w:t>
      </w:r>
      <w:proofErr w:type="spellEnd"/>
      <w:r>
        <w:t>; ‘</w:t>
      </w:r>
      <w:r>
        <w:rPr>
          <w:i/>
          <w:iCs/>
        </w:rPr>
        <w:t>Aqedah</w:t>
      </w:r>
      <w:r>
        <w:t xml:space="preserve">; </w:t>
      </w:r>
      <w:proofErr w:type="spellStart"/>
      <w:r>
        <w:rPr>
          <w:i/>
          <w:iCs/>
        </w:rPr>
        <w:t>silluq</w:t>
      </w:r>
      <w:proofErr w:type="spellEnd"/>
    </w:p>
    <w:sectPr w:rsidR="005E1F16" w:rsidRPr="005E1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niel Tabak" w:date="2019-07-19T10:15:00Z" w:initials="DT">
    <w:p w14:paraId="22273C58" w14:textId="77777777" w:rsidR="00A40458" w:rsidRDefault="00A40458">
      <w:pPr>
        <w:pStyle w:val="CommentText"/>
      </w:pPr>
      <w:r>
        <w:rPr>
          <w:rStyle w:val="CommentReference"/>
        </w:rPr>
        <w:annotationRef/>
      </w:r>
      <w:proofErr w:type="spellStart"/>
      <w:r>
        <w:t>Hollender</w:t>
      </w:r>
      <w:proofErr w:type="spellEnd"/>
      <w:r>
        <w:t xml:space="preserve">, </w:t>
      </w:r>
      <w:proofErr w:type="spellStart"/>
      <w:r>
        <w:t>Kanarfogel</w:t>
      </w:r>
      <w:proofErr w:type="spellEnd"/>
      <w:r>
        <w:t>, etc. don’t seem to translate titles and often give them in the Hebrew.</w:t>
      </w:r>
    </w:p>
  </w:comment>
  <w:comment w:id="2" w:author="Daniel Tabak" w:date="2019-07-19T10:03:00Z" w:initials="DT">
    <w:p w14:paraId="5642B656" w14:textId="77777777" w:rsidR="005E1F16" w:rsidRPr="005E1F16" w:rsidRDefault="005E1F16">
      <w:pPr>
        <w:pStyle w:val="CommentText"/>
      </w:pPr>
      <w:r>
        <w:rPr>
          <w:rStyle w:val="CommentReference"/>
        </w:rPr>
        <w:annotationRef/>
      </w:r>
      <w:r>
        <w:t xml:space="preserve">The easier alternative of “From Sources to Influences” is ambiguous, because you intend the effects on </w:t>
      </w:r>
      <w:proofErr w:type="spellStart"/>
      <w:r>
        <w:t>Rabbenu</w:t>
      </w:r>
      <w:proofErr w:type="spellEnd"/>
      <w:r>
        <w:t xml:space="preserve"> Tam’s disciples, whereas “influences” could easily mean those things that influenced R. Simeon in his composition of the </w:t>
      </w:r>
      <w:proofErr w:type="spellStart"/>
      <w:r>
        <w:rPr>
          <w:i/>
          <w:iCs/>
        </w:rPr>
        <w:t>piyyut</w:t>
      </w:r>
      <w:proofErr w:type="spellEnd"/>
      <w:r>
        <w:t xml:space="preserve">. If you want to use water imagery, you could say “From its Sources to its Distributaries,” which conceives of the </w:t>
      </w:r>
      <w:proofErr w:type="spellStart"/>
      <w:r>
        <w:rPr>
          <w:i/>
          <w:iCs/>
        </w:rPr>
        <w:t>piyyut</w:t>
      </w:r>
      <w:proofErr w:type="spellEnd"/>
      <w:r>
        <w:t xml:space="preserve"> as a river which begins with sources and then distributes its water to various smaller streams of </w:t>
      </w:r>
      <w:proofErr w:type="spellStart"/>
      <w:r>
        <w:rPr>
          <w:i/>
          <w:iCs/>
        </w:rPr>
        <w:t>piyyut</w:t>
      </w:r>
      <w:proofErr w:type="spellEnd"/>
      <w:r>
        <w:t>.</w:t>
      </w:r>
    </w:p>
  </w:comment>
  <w:comment w:id="3" w:author="Daniel Tabak" w:date="2019-07-19T10:34:00Z" w:initials="DT">
    <w:p w14:paraId="5859EE30" w14:textId="77777777" w:rsidR="00596F0D" w:rsidRDefault="00596F0D">
      <w:pPr>
        <w:pStyle w:val="CommentText"/>
      </w:pPr>
      <w:r>
        <w:rPr>
          <w:rStyle w:val="CommentReference"/>
        </w:rPr>
        <w:annotationRef/>
      </w:r>
      <w:r>
        <w:t xml:space="preserve">Consider adding this, </w:t>
      </w:r>
      <w:r>
        <w:rPr>
          <w:rStyle w:val="CommentReference"/>
        </w:rPr>
        <w:annotationRef/>
      </w:r>
      <w:r>
        <w:t xml:space="preserve"> because otherwise it gives the impression that your study is much broader than it is, even if the implications are justifiably broad.</w:t>
      </w:r>
    </w:p>
  </w:comment>
  <w:comment w:id="4" w:author="Daniel Tabak" w:date="2019-07-19T10:27:00Z" w:initials="DT">
    <w:p w14:paraId="0D138553" w14:textId="77777777" w:rsidR="00596F0D" w:rsidRDefault="00596F0D">
      <w:pPr>
        <w:pStyle w:val="CommentText"/>
      </w:pPr>
      <w:r>
        <w:rPr>
          <w:rStyle w:val="CommentReference"/>
        </w:rPr>
        <w:annotationRef/>
      </w:r>
      <w:r>
        <w:t>Added this image so that this doesn’t sound like a repetition of the previous line, and so also hearkens back to what you say in the previous paragraph, solidifying the abstract as a whole.</w:t>
      </w:r>
    </w:p>
  </w:comment>
  <w:comment w:id="5" w:author="Daniel Tabak" w:date="2019-07-19T10:32:00Z" w:initials="DT">
    <w:p w14:paraId="40EE8B7B" w14:textId="77777777" w:rsidR="00596F0D" w:rsidRDefault="00596F0D">
      <w:pPr>
        <w:pStyle w:val="CommentText"/>
      </w:pPr>
      <w:r>
        <w:rPr>
          <w:rStyle w:val="CommentReference"/>
        </w:rPr>
        <w:annotationRef/>
      </w:r>
      <w:r>
        <w:t xml:space="preserve">I am happy to tweak this as necessary.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73C58" w15:done="0"/>
  <w15:commentEx w15:paraId="5642B656" w15:done="0"/>
  <w15:commentEx w15:paraId="5859EE30" w15:done="0"/>
  <w15:commentEx w15:paraId="0D138553" w15:done="0"/>
  <w15:commentEx w15:paraId="40EE8B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Tabak">
    <w15:presenceInfo w15:providerId="None" w15:userId="Daniel Tab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8D"/>
    <w:rsid w:val="00596F0D"/>
    <w:rsid w:val="005E1F16"/>
    <w:rsid w:val="006C5AF8"/>
    <w:rsid w:val="00787E6A"/>
    <w:rsid w:val="00A40458"/>
    <w:rsid w:val="00C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7A87"/>
  <w15:chartTrackingRefBased/>
  <w15:docId w15:val="{FDEBFB7A-D28A-4069-9AFD-71FDB994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1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Tabak</dc:creator>
  <cp:keywords/>
  <dc:description/>
  <cp:lastModifiedBy>Daniel Tabak</cp:lastModifiedBy>
  <cp:revision>1</cp:revision>
  <dcterms:created xsi:type="dcterms:W3CDTF">2019-07-19T06:43:00Z</dcterms:created>
  <dcterms:modified xsi:type="dcterms:W3CDTF">2019-07-19T07:37:00Z</dcterms:modified>
</cp:coreProperties>
</file>