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4"/>
          <w:szCs w:val="24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4"/>
          <w:szCs w:val="24"/>
          <w:rtl w:val="0"/>
          <w:lang w:val="en-US"/>
        </w:rPr>
        <w:t>2 Maccabees</w:t>
      </w:r>
      <w:r>
        <w:rPr>
          <w:rFonts w:ascii="Palatino Linotype" w:cs="Palatino Linotype" w:hAnsi="Palatino Linotype" w:eastAsia="Palatino Linotype"/>
          <w:b w:val="1"/>
          <w:bCs w:val="1"/>
          <w:sz w:val="24"/>
          <w:szCs w:val="24"/>
          <w:rtl w:val="0"/>
          <w:lang w:val="en-US"/>
        </w:rPr>
        <w:t xml:space="preserve"> and the Origins of Atticism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1. Preliminary remarks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It is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small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jewel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educated and refined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Greek in the multiform, and not always elegant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universe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but also the work of a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geschw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tzig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de-DE"/>
        </w:rPr>
        <w:footnoteReference w:id="1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[garrulous, chatty] writer,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who loves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lexical variatio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manifests an unwavering commitment to the values of Judaism, 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beit clad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best Greek prose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II century B.C.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de-DE"/>
        </w:rPr>
        <w:footnoteReference w:id="2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his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how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Second Book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Maccabees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still comes across today,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more than 150 years since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arl W. L. Grimm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 great commentary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published in Leipzig in 1857.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After Grimm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commentary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Niese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work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establishing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causes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Maccabean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revolt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enjoyed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renewed interest in the historiography of the twentieth century, in particular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thanks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Arnaldo Momigliano and Elias Bickermann. Momigliano began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highlighting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phenomenon of resistance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denationalisation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imposed 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Jews of Judaea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context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complex political relations between Ptolemies, Seleucid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various internal currents to Judaism,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Tobiad dynasty played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dominant role,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3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powerful local lords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established in the area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beyond the Jordan already in the III century B.C.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ab/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 book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Der Gott der Makkab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however, represents a break. 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ublished in Berlin in 1937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then forty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-year-old author,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Elias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Bickermann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forcefully main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tained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source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 the persecution unleashed by Antioc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IV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 internal to the Jewish world.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4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ab/>
        <w:t>Apart from these otherwise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central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historical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issues, the text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 remarkable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corpus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Septuagint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also for the original quality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inguistic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orm, which was often compar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us's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which is coeval with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5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 language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accurate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but not devoid of the most innovative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é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made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σύνταγμα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stand out,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but 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unsuitable for synagogue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reading: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eventually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caused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Jewish communities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forget about its existence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because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it was written in Greek.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ab/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cholars of the history of Judaism and Christianity, however, ha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brought new interesting contributions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bear on this work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commentaries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Christian Habicht (1976), Jonathan Goldstein (1983), Daniel Schwartz (2008) and Robert Doran (2012)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 the one hand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revisited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problems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previously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raised by Robert Hanhart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critical edition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(1959, 1976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rtl w:val="0"/>
          <w:lang w:val="en-US"/>
        </w:rPr>
        <w:t>2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2008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rtl w:val="0"/>
          <w:lang w:val="en-US"/>
        </w:rPr>
        <w:t>3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 Among other things, they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bring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question of the language of the text again into the limelight, in various ways: this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important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but not decisive for the purposes of dating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text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6"/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this chapter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 will focus on three major stylistic aspects,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involving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phonetics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morphology and lexicon, which can help to determine to what extent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trend towards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Atticism, coexisting with some clear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é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features,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detected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2 Maccabees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b w:val="1"/>
          <w:bCs w:val="1"/>
          <w:lang w:val="en-US"/>
        </w:rPr>
      </w:pP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b w:val="1"/>
          <w:bCs w:val="1"/>
          <w:lang w:val="en-US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 xml:space="preserve">2. Some phonetic </w:t>
      </w:r>
      <w:r>
        <w:rPr>
          <w:rFonts w:ascii="Palatino Linotype" w:cs="Palatino Linotype" w:hAnsi="Palatino Linotype" w:eastAsia="Palatino Linotype"/>
          <w:b w:val="1"/>
          <w:bCs w:val="1"/>
          <w:rtl w:val="0"/>
        </w:rPr>
        <w:t>features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Possibly more than any others, 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 phonetic aspect contributes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communicate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​​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book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grammatical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erudition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the reader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consider it as a product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Attic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Another interesting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Attic Greek nuance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given 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neologism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γλωττοτοµεῖν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'cut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tongue off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(7.4)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instead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γλῶσσα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(3x), where the New Testament would 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employ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γλῶσσα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'language'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γλωσσόκοµον </w:t>
      </w:r>
      <w:commentRangeStart w:id="0"/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commentRangeEnd w:id="0"/>
      <w:r>
        <w:commentReference w:id="0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agreement 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4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(10.19, 12.13)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 author of the epitome prefers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using Attic Greek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consonant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neologism,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more marked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choice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-it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seems to 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ommon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γλῶσσα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 method is 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ven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clear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comparative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ἥττων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3. Morphological features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en-US"/>
        </w:rPr>
        <w:footnoteReference w:id="7"/>
      </w:r>
      <w:r>
        <w:rPr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[PLACEHOLDER 7]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18"/>
          <w:szCs w:val="18"/>
        </w:rPr>
      </w:pPr>
      <w:r>
        <w:rPr>
          <w:rFonts w:ascii="Palatino Linotype" w:cs="Palatino Linotype" w:hAnsi="Palatino Linotype" w:eastAsia="Palatino Linotype"/>
          <w:sz w:val="18"/>
          <w:szCs w:val="18"/>
          <w:vertAlign w:val="superscript"/>
        </w:rPr>
        <w:footnoteReference w:id="8"/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[PLACEHOLDER 8]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regards verbal morphology,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ending in 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αν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imported from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aorist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into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the third person plural of the perfect indicative,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stead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ασι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provides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remarkable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evidence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 low level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καθέστηκαν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 10.21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πέπρακαν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 14.5), far from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any Attic Greek ambitions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9"/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4. Lexicon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Among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rare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terms or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 legomena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Septuagint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 shall focus 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few examples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 deem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useful to clarify our author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lexical choices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without any pretense of exhaustivity; said terms are at times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shared with Polybius,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whereas in other cases they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relatively independent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choices; and finally,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some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words 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clearly Hellenistic,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even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out the book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scholar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ly efforts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persistent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component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from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  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lang w:val="en-US"/>
        </w:rPr>
      </w:pP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4.1.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first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analysed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terms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ἀλκή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'force' (12.28), which in other books of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rare,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and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attested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Dan.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11.4 and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3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3.18 and 6.12; in Polybius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attested only three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(10.41.7, 12.3.5 and 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fr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5). 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This is a term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evokes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epic-tragic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register, as demonstrated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context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within which it occurs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the Jews led by Judas Maccabeus, in the aftermath of the restoration of the Temple and of the institution of the feast of Hanukkah, organize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 extensive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campaign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reco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strategic positions in the region, including the city of 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ron.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ecurrent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motif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this part of the narrative is the invocation to God, who often send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someone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help them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last critical edition,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edit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ed by 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rtl w:val="0"/>
          <w:lang w:val="en-US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anhart in 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rtl w:val="0"/>
          <w:lang w:val="en-US"/>
        </w:rPr>
        <w:t xml:space="preserve">2008,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ὁλκάς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aspiration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propensity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this context possibly 'weight',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andrin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other smaller codices teach us,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considered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lectio difficilior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same Hanhart, Habicht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chwartz that 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ept it as such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same textual problem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is to be found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Sirach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29.13. 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 believe that this text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ual choice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does not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conform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style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epitome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author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moreover,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creates a semantic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forced reading of the passage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Robert Doran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choice seems more convincing: as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Rahlfs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reading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he prefers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ἀλκάς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from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ἀλκή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'force', 'courage', wh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plural in the sense of 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strengths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 is attested in Euripides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Rhes.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933), Diodor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Sicul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(2.43.1: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διὰ τὰς ἀλκὰς καὶ τὴν ἀνδρείαν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Lucian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Anach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35).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vertAlign w:val="superscript"/>
        </w:rPr>
        <w:footnoteReference w:id="10"/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ἀλκή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commentRangeStart w:id="1"/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fighter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[soldier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s]</w:t>
      </w:r>
      <w:commentRangeEnd w:id="1"/>
      <w:r>
        <w:commentReference w:id="1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virtue consisting in "faire face au 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é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ril". 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overall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epic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-tragic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must also be taken into account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the author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somehow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gives the text a Homeric character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by means of the animal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vocabulary used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(e.g.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Il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21.573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&amp; following,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he panther, even if pierced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through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 hunter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weapon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does not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forfeit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ἀλκή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but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 rather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attacks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first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1"/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4.3.</w:t>
      </w: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clearer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micro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-clue evidencing the zeal for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Greek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comes from another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term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among many: the recovery of the particle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γοῦν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extremely frequent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Greek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junction,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limiting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semantic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value of 'at least',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or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emphatic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precisely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that of an added explanation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2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occurs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handful of times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5.21,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4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2.2, 2.5, 2.8, 3.6),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3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while in Polybius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prose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there 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19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view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poor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fortunes in later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prose despite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many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archaizing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attempt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introduce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the deviation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contemporary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language use is evident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as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desire of attaining Attic literary levels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Hellenistic forms, I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will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limit myself here to three examples. The first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is the noun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διάληψις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(3.32) 'concept',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very frequent in the coeval Polybius (56x)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Consistent with the primary meaning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διαλαμβάνω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'take',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seize by the middle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is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still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very concrete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meaning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phrase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ἐκ διαλήψεως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pierce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) tip first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However,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stemming 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use of the verb in the sense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separate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distingu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(HDT. 1.190.1, Pol. 1.18.4)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then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decide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soon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parallel development stood out: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meaning of 'distinction', 'concept', 'judgment', already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found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Plat.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Leg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777a,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mention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here as one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Polybius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clear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lexical preferences (e.g. 2.50.11 and even more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shockingly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in my opinion, 6.56.6, where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introduces the expression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περὶ θεῶν διάληψις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But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this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 exclusively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Polybian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stylistic choice?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actual fact, it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other source is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Aristeas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(160, 234), wherein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διάληψις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means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thinking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divine things, but 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word would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then be further used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imperial literature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Byzantine Hochsprache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significantly not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New Testament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 second example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primarily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ellenistic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the adverb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ἀδιαλείπτως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5. Final remarks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my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opinion,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author operates with ease between two, if not three, cultural and stylistic</w:t>
      </w:r>
      <w:r>
        <w:rPr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levels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which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be insulated one from the other,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by creat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 original intersection between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high-level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nd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highly expressive low-level 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low-level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one that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most open to morphological, syntactical and semantic innovations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coming from the spoken language, such as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diminutives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χρονίσκος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short time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11.1), some verbs compounds with three prepositions (e.g.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προεξαποστέλλω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'send first' in 12.21),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scarce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use of the 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tativ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(3 or 4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These innovations were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accepted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unsystematic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manner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writer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specifically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 Polybius, Diodorus and by other historians of II and the I century B.C.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Thus,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it is difficult to determine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each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case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natural cens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ship of spoken language terms would kick in, which were best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avoid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written language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 This is especially true for the written language that has some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literary pretensions (examples are the pre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fixed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κατάκοπος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the meaning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tired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12.36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or the expressive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ἐντινάσσω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clash, to butt heads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4.41, 11.11).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second level is that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high-level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as attested by the wide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at times even stilted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lexical variety, as well as by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dismissal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terms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deemed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too common.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grammatical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level, even before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reaching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lexical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meaning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series of features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conspire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wards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same effect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: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servation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demonstrative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ὅδε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relative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ὁποῖος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11.37), the predilection for the relative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connector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ὅθεν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'where' (7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the use of the future participle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deverbal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adjectives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τέος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(5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Beyond these attempts to restore a linguistic norm, 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we find even more striking because they originate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from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Hellenized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Jew, however, an important Hellenistic cultur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 component stands out in the text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and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the subject of several evaluations in the studies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mentioned 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This culture, with its own autonomy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regarding literary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content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also featured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precise repertoire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 forms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I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refer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type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vocabulary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would describe as intellectualistic, often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confined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bureaucratic uses,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consisting of abstract words 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definitions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belonging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originally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philosoph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specifically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toic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philosophy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(e.g.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προκοπή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'progress' in 8.8).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 Macc.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is the 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book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for example,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which makes use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ellenistic concept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διάληψις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'concept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which Polybius seems not to be able to do without. Verbs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διασαφέω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'clarify' (7x)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συννοέω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reflect (on)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(3x), or the impersonal construction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συμβαίνω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happen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4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belong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register 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efully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swings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between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 epistolary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style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bureaucratic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An adjective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εὐαπάντητος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amiable, friendly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(14.9) seems to suffer, instead,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 the Stoic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categorization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virtues,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as well as of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Hellenistic courts.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Within this Hellenistic culture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lot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documented both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Polybius, but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there is 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interesting part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that Polybius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seems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refuse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in toto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or example, a typical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Hellenistic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form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koin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è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εὐστάθεια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must have been disliked 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Polybius, perhaps for the same reasons that 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ere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determine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Phrynichus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condemnation in the II century A.D. The prose of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Aristeas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emonstrate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be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less formal, from this point of view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5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ab/>
        <w:t>Among those terms that are conspicuous for their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bsen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the case of a term such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εἰρωνεία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'dissimula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 (13.3)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is peculiar,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as a term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linked to theori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IV century B.C.,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taken up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again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significantly by authors such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Philon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Dionysius of Halicarnassus and Plutarch, 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ἰδέα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(3.16),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with the meaning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appearance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epitome also presents an original sample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vocabulary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rhetorical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register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examples are verbs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εἰσκυκλέομαι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move further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prologue (2.4) 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δευτερολογέω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speak for the second time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(13.22)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narrative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corpus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noun such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πρωταγωνιστής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'first row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soldier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(9.11)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about Judah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who orders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Nicanor's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ing after being victorious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battle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field.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Different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considerations obtain about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nods towards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literary culture, a third possible stylistic level identified in the book, which corresponds to the ground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author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multifarious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readings emerge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</w:rPr>
        <w:tab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nod to Thucydides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prologue, however, is only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tessera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mosaic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shine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especially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for the use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poetic terms. Some of these,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ἀπήμαντος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'unharmed' (12.25),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μόρος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(9.28, 13.7),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σχέτλιος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unfortunate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(15.5),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στυγέω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hate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(5.8) or the preposition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ἄτερ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without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(12.15), a form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ἄλγος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pain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(3.17, which Polybius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only once in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or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term 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religious sphere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such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θέμις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'norm' (6.20, 12.14), seem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point to the author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reading of Homer and of tragedy.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Impressed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 the epochal impact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accab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rebellion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Judah's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his men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heroism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the author aspired to reproduce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epic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shade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specifically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for example through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verbial forms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such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λεοντηδόν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'like lions' (11.11),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ἀγεληδόν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'in flocks' (3.18, 14.14), or the neologism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κρουνηδόν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'as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water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source' (14.45).  </w:t>
      </w:r>
    </w:p>
    <w:p>
      <w:pPr>
        <w:pStyle w:val="Normal.0"/>
        <w:spacing w:after="0" w:line="264" w:lineRule="auto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Religious fervour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taste for the classification of virtue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probably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explain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recovery of many 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ouns 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moral content, linked to the sphere of war, which conspire to create the epic aura,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specific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some parts of the book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Momigliano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compares to that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Book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Judges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εὐανδρία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'courage' (8.7, 15.17),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εὐμένεια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'benevolence' (6.29),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εὐτολμία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'boldness' (13.18): abstract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heroic concepts,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which are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difficult to integrate into the universe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-say- Polybius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pragmatic historiography, wh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fact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avoids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possibly because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personal style.</w:t>
      </w:r>
    </w:p>
    <w:p>
      <w:pPr>
        <w:pStyle w:val="Normal.0"/>
        <w:spacing w:line="264" w:lineRule="auto"/>
        <w:rPr>
          <w:rFonts w:ascii="Palatino Linotype" w:cs="Palatino Linotype" w:hAnsi="Palatino Linotype" w:eastAsia="Palatino Linotype"/>
          <w:sz w:val="20"/>
          <w:szCs w:val="20"/>
          <w:lang w:val="en-US"/>
        </w:rPr>
      </w:pPr>
    </w:p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Viola Miglio" w:date="2019-06-27T20:19:28Z">
    <w:p w14:paraId="1111FFFF">
      <w:pPr>
        <w:pStyle w:val="Default"/>
        <w:bidi w:val="0"/>
      </w:pPr>
    </w:p>
    <w:p w14:paraId="11120000">
      <w:pPr>
        <w:pStyle w:val="Default"/>
        <w:bidi w:val="0"/>
      </w:pPr>
      <w:r>
        <w:rPr>
          <w:rFonts w:cs="Arial Unicode MS" w:eastAsia="Arial Unicode MS"/>
          <w:rtl w:val="0"/>
        </w:rPr>
        <w:t xml:space="preserve">is it possible that this Greek word means crate, i.e. Italian </w:t>
      </w:r>
      <w:r>
        <w:rPr>
          <w:rFonts w:cs="Arial Unicode MS" w:eastAsia="Arial Unicode MS" w:hint="default"/>
          <w:rtl w:val="0"/>
        </w:rPr>
        <w:t>‘</w:t>
      </w:r>
      <w:r>
        <w:rPr>
          <w:rFonts w:cs="Arial Unicode MS" w:eastAsia="Arial Unicode MS"/>
          <w:rtl w:val="0"/>
        </w:rPr>
        <w:t>cassetta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? It does not make sense in the text, but then I do not read ancient Greek</w:t>
      </w:r>
      <w:r>
        <w:rPr>
          <w:rFonts w:cs="Arial Unicode MS" w:eastAsia="Arial Unicode MS" w:hint="default"/>
          <w:rtl w:val="0"/>
        </w:rPr>
        <w:t>…</w:t>
      </w:r>
    </w:p>
  </w:comment>
  <w:comment w:id="1" w:author="Viola Miglio" w:date="2019-06-27T23:07:51Z">
    <w:p w14:paraId="11120001">
      <w:pPr>
        <w:pStyle w:val="Default"/>
        <w:bidi w:val="0"/>
      </w:pPr>
    </w:p>
    <w:p w14:paraId="11120002">
      <w:pPr>
        <w:pStyle w:val="Default"/>
        <w:bidi w:val="0"/>
      </w:pPr>
      <w:r>
        <w:rPr>
          <w:rFonts w:cs="Arial Unicode MS" w:eastAsia="Arial Unicode MS"/>
          <w:rtl w:val="0"/>
        </w:rPr>
        <w:t>not sure which is most appropriate here, both meanings could work.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5</w:t>
    </w:r>
    <w:r>
      <w:rPr/>
      <w:fldChar w:fldCharType="end" w:fldLock="0"/>
    </w: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de-DE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As described by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Niese 1900, 14.</w:t>
      </w:r>
    </w:p>
  </w:footnote>
  <w:footnote w:id="2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de-DE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paradox of this text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lies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precisely in the apparent contradiction between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strongly Jewish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content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its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literary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expression, which clearly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revels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its Greek form.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Habicht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’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lapidary formulation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1979, 185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) still works well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3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Specifically,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two studies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published in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early 1930s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: Momigliano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1931 and Momigliano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 1931-1932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The historian would subsequently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return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to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book, especially to emphasize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its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celebratory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character, similar in this to that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Esther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model for another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celebratory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book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, such as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3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abees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</w:t>
      </w:r>
    </w:p>
  </w:footnote>
  <w:footnote w:id="4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[NOTES 4 &amp; 6 ARE NOT IN THE ORIGINAL TEXT]</w:t>
      </w:r>
    </w:p>
  </w:footnote>
  <w:footnote w:id="5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linguistic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peculiarity of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ompared to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other books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of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not a modern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discovery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fifth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century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A.D. reader such as St. Jerome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sensitive to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quality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of the Greek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belles-l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ettr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s, had already not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ed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reek origin of this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text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6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[NOTES 4 &amp; 6 ARE NOT IN THE ORIGINAL TEXT]</w:t>
      </w:r>
    </w:p>
  </w:footnote>
  <w:footnote w:id="7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  <w:lang w:val="en-US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Thumb 1901, 186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pointed out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alternation between forms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with and without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contract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τειχέων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/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πηχῶν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as well as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other forms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μετοξύ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instead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μεταξύ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ἄμεινα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and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βέλτια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for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ἀμείνονα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βελτίονα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the link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σσ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in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stead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ττ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 as phenomena to explain,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even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remaining within the scope of a comparison between the individual books of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Septuaginta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or of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New Testament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"im Sinne landschaftlicher Differenzen",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which are 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possib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ility,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but difficult to define. Helbing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declined to give an opinion 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ὀρέων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χειλέων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, which are common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late 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reek: "Warum gerade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ὀρέων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und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χειλέων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ganz besonders zur Aufl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ö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sung neigen, wei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ß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ich nicht anzugeben" Helbing (1907, 41), while Mayser noted: "Auch der Gen. plural ist regelm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äß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ig kontrahiert - mit verschwindenden Ausnahmen" including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βλαβέων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and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κτενέων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for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κτηνῶν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, that "brauchen nicht als Ionismen zu gelten, sondern haben ihr Analogon in anderen Formen vulg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ä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ren auf -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έων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"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Mayser 1938, 37).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On the other hand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Moulton, wh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also attributed their success to the analogy with the genitiv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βασιλέων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πόλεων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did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identif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Ionian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influence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in their use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8">
    <w:p>
      <w:pPr>
        <w:pStyle w:val="Normal.0"/>
        <w:spacing w:line="264" w:lineRule="auto"/>
      </w:pPr>
      <w:r>
        <w:rPr>
          <w:rFonts w:ascii="Palatino Linotype" w:cs="Palatino Linotype" w:hAnsi="Palatino Linotype" w:eastAsia="Palatino Linotype"/>
          <w:sz w:val="18"/>
          <w:szCs w:val="18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first two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passages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(a, b) refer to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Judah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’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s military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campaigns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siege of Caspi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and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Efron,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after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temple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’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rededication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. 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he third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one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(c) to the circumstances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surrounding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death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Antioch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IV.</w:t>
      </w:r>
    </w:p>
  </w:footnote>
  <w:footnote w:id="9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This is a very common phenomenon in inscriptions from the III century B.C., as evidenced for example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from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document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from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Pergamon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Mandilaras 1972, 13-14) and us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age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LXX (Thackeray 1909, 212). It is known that 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extus Empiricus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Adv. Gramm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213) would have qualified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form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perfect in -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αν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Hellenistic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10">
    <w:p>
      <w:pPr>
        <w:pStyle w:val="footnote text"/>
      </w:pPr>
      <w:r>
        <w:rPr>
          <w:rFonts w:ascii="Palatino Linotype" w:cs="Palatino Linotype" w:hAnsi="Palatino Linotype" w:eastAsia="Palatino Linotype"/>
          <w:smallCaps w:val="1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 fact, I believe that Consani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’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s is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the most appropriate explanation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: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he points out the confusion between [a] and [o]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among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Semitic traits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the Greek of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11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Moreover, Doran 2012, 233 note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that in previous literature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there are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frequent reference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ἀλκή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the force of animals, which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cor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responds to a certain taste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for image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ry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drawn from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animal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world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commonly evidenced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 the epitome (just think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of the adverbs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λεοντηδόν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ἀγεληδόν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.</w:t>
      </w:r>
    </w:p>
  </w:footnote>
  <w:footnote w:id="12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Denniston 1954, 448-459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found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only two examples in Homer,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another two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 Herodotus,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whereas it was common in Attic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Greek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prose, except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for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Isocrate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who disliked 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softer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style. With respect to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5.21, Schwartz 2008, 263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ascribes to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γοῦν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the function of a narrative break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marking the return to the narrat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ed part of the story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13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this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use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4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see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also Breitenstein 1978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18.</w:t>
      </w:r>
    </w:p>
  </w:footnote>
  <w:footnote w:id="14">
    <w:p>
      <w:pPr>
        <w:pStyle w:val="No Spacing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This construction, however, was subsequently avoided by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Attic Greek author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Dionysius of Halicarnassus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Palm 1955, 97).</w:t>
      </w:r>
    </w:p>
  </w:footnote>
  <w:footnote w:id="15">
    <w:p>
      <w:pPr>
        <w:pStyle w:val="footnote text"/>
        <w:rPr>
          <w:rFonts w:ascii="Palatino Linotype" w:cs="Palatino Linotype" w:hAnsi="Palatino Linotype" w:eastAsia="Palatino Linotype"/>
          <w:sz w:val="18"/>
          <w:szCs w:val="18"/>
        </w:rPr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verb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εὐσταθέω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‘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to be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calm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' is a rarity in Old Testament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Greek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: in addition to the author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(</w:t>
      </w:r>
      <w:r>
        <w:rPr>
          <w:rFonts w:ascii="Palatino Linotype" w:cs="Palatino Linotype" w:hAnsi="Palatino Linotype" w:eastAsia="Palatino Linotype"/>
          <w:sz w:val="19"/>
          <w:szCs w:val="19"/>
          <w:rtl w:val="0"/>
          <w:lang w:val="en-US"/>
        </w:rPr>
        <w:t>12.2, 14.25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it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found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3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Macc.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7.4 and in the Greek translation of the book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Jeremiah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(30.26). From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a</w:t>
      </w:r>
      <w:r>
        <w:rPr>
          <w:rFonts w:cs="Arial Unicode MS" w:eastAsia="Arial Unicode MS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diachronic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point of view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,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oldest compound of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root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ta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-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from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ἵστημι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with the prefix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εὐ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- is the Homeric adjective (9x)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εὐσταθής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‘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stable, firm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',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found in 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ippocrat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(4x), rare in the Greek of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attested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only in the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Book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Esther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(3.13) and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Sirach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(26.18) and absent in Polybius, wh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 never uses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entire semantic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family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related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to the concept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εὐστάθεια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the noun,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εὐστάθεια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is also rare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Septuagint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: H&amp;R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quotes a passage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(14.6), two examples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from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3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(3.26, 6.28), one from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Wis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6.24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βασιλεὺς φρόνιμος εὐστάθεια δήμου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 and a passage from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Book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Esther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(3.13).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One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can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possibly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infer a mostly political use, referring to the concept of kingship, also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from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Aristeas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216, 261 (Meecham 1935, 68). The author of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2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Macc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n fact, introduces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concept of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stability of the kingdom, which is the same on which the priest Alcim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us would insist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some years later (14.6)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This passage was compared by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Abel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1949, 459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)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that of Aman in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Book of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 Esther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3.13: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τὸ μὴ τὴν βασιλείαν εὐσταθείας τυγχάνειν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</w:t>
      </w:r>
    </w:p>
    <w:p>
      <w:pPr>
        <w:pStyle w:val="footnote text"/>
      </w:pPr>
      <w:r>
        <w:rPr>
          <w:rFonts w:ascii="Palatino Linotype" w:cs="Palatino Linotype" w:hAnsi="Palatino Linotype" w:eastAsia="Palatino Linotype"/>
          <w:sz w:val="18"/>
          <w:szCs w:val="18"/>
        </w:rPr>
        <w:tab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The author of the epitome, or Jason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him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self, grants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his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εὐστάθεια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with a lexical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term which is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distinctly not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ttic,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but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rather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oni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(in Hippocrates 2x), which would have long been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 reason for the grammarians' censorship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In this sense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stern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Phrynichus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who condemned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forms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εὐστάθεια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and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εὐσταθής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was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only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accepting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justify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ing a criterion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taste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that, while not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openly reasoned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wa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-in my opinion-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already implemented in Polybius.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footnotes" Target="footnotes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