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31B" w:rsidRPr="00A911FA" w:rsidRDefault="00B9331B" w:rsidP="00B9331B">
      <w:pPr>
        <w:rPr>
          <w:rFonts w:cstheme="minorHAnsi"/>
          <w:sz w:val="20"/>
          <w:szCs w:val="20"/>
        </w:rPr>
      </w:pPr>
      <w:r w:rsidRPr="00A911FA">
        <w:rPr>
          <w:rStyle w:val="CommentReference"/>
          <w:rFonts w:cstheme="minorHAnsi"/>
          <w:sz w:val="20"/>
          <w:szCs w:val="20"/>
        </w:rPr>
        <w:commentReference w:id="0"/>
      </w:r>
      <w:r w:rsidRPr="00A911FA">
        <w:rPr>
          <w:rFonts w:cstheme="minorHAnsi"/>
          <w:sz w:val="20"/>
          <w:szCs w:val="20"/>
        </w:rPr>
        <w:t xml:space="preserve"> The sick immigrant – healthy immigrant phenomenon among Jews migrating from the USSR to Israel</w:t>
      </w:r>
    </w:p>
    <w:p w:rsidR="00B9331B" w:rsidRPr="00A911FA" w:rsidRDefault="00B9331B">
      <w:pPr>
        <w:rPr>
          <w:rFonts w:cstheme="minorHAnsi"/>
          <w:sz w:val="20"/>
          <w:szCs w:val="20"/>
        </w:rPr>
      </w:pPr>
      <w:r w:rsidRPr="00A911FA">
        <w:rPr>
          <w:rFonts w:cstheme="minorHAnsi"/>
          <w:sz w:val="20"/>
          <w:szCs w:val="20"/>
        </w:rPr>
        <w:br w:type="page"/>
      </w:r>
    </w:p>
    <w:p w:rsidR="00410311" w:rsidRPr="00A911FA" w:rsidRDefault="00410311" w:rsidP="001E26C4">
      <w:pPr>
        <w:rPr>
          <w:rFonts w:cstheme="minorHAnsi"/>
          <w:b/>
          <w:bCs/>
          <w:sz w:val="20"/>
          <w:szCs w:val="20"/>
          <w:u w:val="single"/>
        </w:rPr>
      </w:pPr>
      <w:commentRangeStart w:id="1"/>
      <w:r w:rsidRPr="00A911FA">
        <w:rPr>
          <w:rFonts w:cstheme="minorHAnsi"/>
          <w:b/>
          <w:bCs/>
          <w:sz w:val="20"/>
          <w:szCs w:val="20"/>
          <w:u w:val="single"/>
        </w:rPr>
        <w:lastRenderedPageBreak/>
        <w:t>Abstract</w:t>
      </w:r>
      <w:commentRangeEnd w:id="1"/>
      <w:r w:rsidR="00B9331B" w:rsidRPr="00A911FA">
        <w:rPr>
          <w:rStyle w:val="CommentReference"/>
          <w:rFonts w:cstheme="minorHAnsi"/>
          <w:sz w:val="20"/>
          <w:szCs w:val="20"/>
        </w:rPr>
        <w:commentReference w:id="1"/>
      </w:r>
    </w:p>
    <w:p w:rsidR="00410311" w:rsidRPr="00A911FA" w:rsidRDefault="00410311" w:rsidP="001E26C4">
      <w:pPr>
        <w:rPr>
          <w:rFonts w:cstheme="minorHAnsi"/>
          <w:sz w:val="20"/>
          <w:szCs w:val="20"/>
        </w:rPr>
      </w:pPr>
      <w:r w:rsidRPr="00A911FA">
        <w:rPr>
          <w:rFonts w:cstheme="minorHAnsi"/>
          <w:sz w:val="20"/>
          <w:szCs w:val="20"/>
          <w:u w:val="single"/>
        </w:rPr>
        <w:t>Background:</w:t>
      </w:r>
      <w:r w:rsidRPr="00A911FA">
        <w:rPr>
          <w:rFonts w:cstheme="minorHAnsi"/>
          <w:sz w:val="20"/>
          <w:szCs w:val="20"/>
        </w:rPr>
        <w:t xml:space="preserve"> The “healthy immigra</w:t>
      </w:r>
      <w:bookmarkStart w:id="2" w:name="_GoBack"/>
      <w:bookmarkEnd w:id="2"/>
      <w:r w:rsidRPr="00A911FA">
        <w:rPr>
          <w:rFonts w:cstheme="minorHAnsi"/>
          <w:sz w:val="20"/>
          <w:szCs w:val="20"/>
        </w:rPr>
        <w:t>nt” phenomenon attributes a health benefit to immigrants. In this study we examined this phenomenon with respect to the relationship between immigration and mortality by all causes of death</w:t>
      </w:r>
      <w:r w:rsidR="00C81571" w:rsidRPr="00A911FA">
        <w:rPr>
          <w:rFonts w:cstheme="minorHAnsi"/>
          <w:sz w:val="20"/>
          <w:szCs w:val="20"/>
        </w:rPr>
        <w:t>,</w:t>
      </w:r>
      <w:r w:rsidRPr="00A911FA">
        <w:rPr>
          <w:rFonts w:cstheme="minorHAnsi"/>
          <w:sz w:val="20"/>
          <w:szCs w:val="20"/>
        </w:rPr>
        <w:t xml:space="preserve"> according to income level, among immigrants from the USSR who immigrated during the 1990s to Israel, as an immigrant-absorbing country with a national health insurance law, in comparison to veteran immigrants with a similar genetic makeup.</w:t>
      </w:r>
    </w:p>
    <w:p w:rsidR="00410311" w:rsidRPr="00A911FA" w:rsidRDefault="00C81571" w:rsidP="001E26C4">
      <w:pPr>
        <w:rPr>
          <w:rFonts w:cstheme="minorHAnsi"/>
          <w:sz w:val="20"/>
          <w:szCs w:val="20"/>
        </w:rPr>
      </w:pPr>
      <w:r w:rsidRPr="00A911FA">
        <w:rPr>
          <w:rFonts w:cstheme="minorHAnsi"/>
          <w:sz w:val="20"/>
          <w:szCs w:val="20"/>
          <w:u w:val="single"/>
        </w:rPr>
        <w:t>Methods:</w:t>
      </w:r>
      <w:r w:rsidRPr="00A911FA">
        <w:rPr>
          <w:rFonts w:cstheme="minorHAnsi"/>
          <w:sz w:val="20"/>
          <w:szCs w:val="20"/>
        </w:rPr>
        <w:t xml:space="preserve"> Using data gathered from different sources (population registry, tax authority, education registry and Ministry of Health), a retrospective cohort study of mortality by all causes of death </w:t>
      </w:r>
      <w:r w:rsidR="00A1484D" w:rsidRPr="00A911FA">
        <w:rPr>
          <w:rFonts w:cstheme="minorHAnsi"/>
          <w:sz w:val="20"/>
          <w:szCs w:val="20"/>
        </w:rPr>
        <w:t>between 1996 and 2016</w:t>
      </w:r>
      <w:r w:rsidRPr="00A911FA">
        <w:rPr>
          <w:rFonts w:cstheme="minorHAnsi"/>
          <w:sz w:val="20"/>
          <w:szCs w:val="20"/>
        </w:rPr>
        <w:t xml:space="preserve"> was conducted among 99,037 immigrants born </w:t>
      </w:r>
      <w:r w:rsidR="00234CA4" w:rsidRPr="00A911FA">
        <w:rPr>
          <w:rFonts w:cstheme="minorHAnsi"/>
          <w:sz w:val="20"/>
          <w:szCs w:val="20"/>
        </w:rPr>
        <w:t xml:space="preserve">between 1940 and </w:t>
      </w:r>
      <w:r w:rsidRPr="00A911FA">
        <w:rPr>
          <w:rFonts w:cstheme="minorHAnsi"/>
          <w:sz w:val="20"/>
          <w:szCs w:val="20"/>
        </w:rPr>
        <w:t xml:space="preserve">1955 who immigrated to Israel </w:t>
      </w:r>
      <w:r w:rsidR="00234CA4" w:rsidRPr="00A911FA">
        <w:rPr>
          <w:rFonts w:cstheme="minorHAnsi"/>
          <w:sz w:val="20"/>
          <w:szCs w:val="20"/>
        </w:rPr>
        <w:t xml:space="preserve">between </w:t>
      </w:r>
      <w:r w:rsidRPr="00A911FA">
        <w:rPr>
          <w:rFonts w:cstheme="minorHAnsi"/>
          <w:sz w:val="20"/>
          <w:szCs w:val="20"/>
        </w:rPr>
        <w:t>1990</w:t>
      </w:r>
      <w:r w:rsidR="00234CA4" w:rsidRPr="00A911FA">
        <w:rPr>
          <w:rFonts w:cstheme="minorHAnsi"/>
          <w:sz w:val="20"/>
          <w:szCs w:val="20"/>
        </w:rPr>
        <w:t xml:space="preserve"> and </w:t>
      </w:r>
      <w:r w:rsidRPr="00A911FA">
        <w:rPr>
          <w:rFonts w:cstheme="minorHAnsi"/>
          <w:sz w:val="20"/>
          <w:szCs w:val="20"/>
        </w:rPr>
        <w:t xml:space="preserve">1995 and were born in the USSR or Eastern Europe, compared to a control group of 119,150 Jews born </w:t>
      </w:r>
      <w:r w:rsidR="00234CA4" w:rsidRPr="00A911FA">
        <w:rPr>
          <w:rFonts w:cstheme="minorHAnsi"/>
          <w:sz w:val="20"/>
          <w:szCs w:val="20"/>
        </w:rPr>
        <w:t xml:space="preserve">between </w:t>
      </w:r>
      <w:r w:rsidRPr="00A911FA">
        <w:rPr>
          <w:rFonts w:cstheme="minorHAnsi"/>
          <w:sz w:val="20"/>
          <w:szCs w:val="20"/>
        </w:rPr>
        <w:t>1940</w:t>
      </w:r>
      <w:r w:rsidR="00234CA4" w:rsidRPr="00A911FA">
        <w:rPr>
          <w:rFonts w:cstheme="minorHAnsi"/>
          <w:sz w:val="20"/>
          <w:szCs w:val="20"/>
        </w:rPr>
        <w:t xml:space="preserve"> and </w:t>
      </w:r>
      <w:r w:rsidRPr="00A911FA">
        <w:rPr>
          <w:rFonts w:cstheme="minorHAnsi"/>
          <w:sz w:val="20"/>
          <w:szCs w:val="20"/>
        </w:rPr>
        <w:t>1955 who and/or whose parents were born in those same countries and immigrated to Israel by 1960.</w:t>
      </w:r>
    </w:p>
    <w:p w:rsidR="00234CA4" w:rsidRPr="00A911FA" w:rsidRDefault="00234CA4" w:rsidP="001E26C4">
      <w:pPr>
        <w:rPr>
          <w:rFonts w:cstheme="minorHAnsi"/>
          <w:sz w:val="20"/>
          <w:szCs w:val="20"/>
        </w:rPr>
      </w:pPr>
      <w:r w:rsidRPr="00A911FA">
        <w:rPr>
          <w:rFonts w:cstheme="minorHAnsi"/>
          <w:sz w:val="20"/>
          <w:szCs w:val="20"/>
          <w:u w:val="single"/>
        </w:rPr>
        <w:t>Results:</w:t>
      </w:r>
      <w:r w:rsidRPr="00A911FA">
        <w:rPr>
          <w:rFonts w:cstheme="minorHAnsi"/>
          <w:sz w:val="20"/>
          <w:szCs w:val="20"/>
        </w:rPr>
        <w:t xml:space="preserve"> Higher mortality rates were found among immigrants compared to non-immigrants (10.7% vs. 8.3%), after accounting for gender, age, income level and marital status (adjusted hazard ratio (AHR)</w:t>
      </w:r>
      <w:r w:rsidR="00A1484D" w:rsidRPr="00A911FA">
        <w:rPr>
          <w:rFonts w:cstheme="minorHAnsi"/>
          <w:sz w:val="20"/>
          <w:szCs w:val="20"/>
        </w:rPr>
        <w:t xml:space="preserve"> </w:t>
      </w:r>
      <w:r w:rsidRPr="00A911FA">
        <w:rPr>
          <w:rFonts w:cstheme="minorHAnsi"/>
          <w:sz w:val="20"/>
          <w:szCs w:val="20"/>
        </w:rPr>
        <w:t>=</w:t>
      </w:r>
      <w:r w:rsidR="00A1484D" w:rsidRPr="00A911FA">
        <w:rPr>
          <w:rFonts w:cstheme="minorHAnsi"/>
          <w:sz w:val="20"/>
          <w:szCs w:val="20"/>
        </w:rPr>
        <w:t xml:space="preserve"> </w:t>
      </w:r>
      <w:r w:rsidRPr="00A911FA">
        <w:rPr>
          <w:rFonts w:cstheme="minorHAnsi"/>
          <w:sz w:val="20"/>
          <w:szCs w:val="20"/>
        </w:rPr>
        <w:t xml:space="preserve">1.297, </w:t>
      </w:r>
      <w:r w:rsidR="00A1484D" w:rsidRPr="00A911FA">
        <w:rPr>
          <w:rFonts w:cstheme="minorHAnsi"/>
          <w:sz w:val="20"/>
          <w:szCs w:val="20"/>
        </w:rPr>
        <w:t>99</w:t>
      </w:r>
      <w:r w:rsidRPr="00A911FA">
        <w:rPr>
          <w:rFonts w:cstheme="minorHAnsi"/>
          <w:sz w:val="20"/>
          <w:szCs w:val="20"/>
        </w:rPr>
        <w:t>% confidence intervals (CI)</w:t>
      </w:r>
      <w:r w:rsidR="00A1484D" w:rsidRPr="00A911FA">
        <w:rPr>
          <w:rFonts w:cstheme="minorHAnsi"/>
          <w:sz w:val="20"/>
          <w:szCs w:val="20"/>
        </w:rPr>
        <w:t xml:space="preserve"> </w:t>
      </w:r>
      <w:r w:rsidRPr="00A911FA">
        <w:rPr>
          <w:rFonts w:cstheme="minorHAnsi"/>
          <w:sz w:val="20"/>
          <w:szCs w:val="20"/>
        </w:rPr>
        <w:t>=</w:t>
      </w:r>
      <w:r w:rsidR="00A1484D" w:rsidRPr="00A911FA">
        <w:rPr>
          <w:rFonts w:cstheme="minorHAnsi"/>
          <w:sz w:val="20"/>
          <w:szCs w:val="20"/>
        </w:rPr>
        <w:t xml:space="preserve"> </w:t>
      </w:r>
      <w:r w:rsidRPr="00A911FA">
        <w:rPr>
          <w:rFonts w:cstheme="minorHAnsi"/>
          <w:sz w:val="20"/>
          <w:szCs w:val="20"/>
        </w:rPr>
        <w:t xml:space="preserve">1.248, 1.348). Testing males and females separately, </w:t>
      </w:r>
      <w:r w:rsidR="00A1484D" w:rsidRPr="00A911FA">
        <w:rPr>
          <w:rFonts w:cstheme="minorHAnsi"/>
          <w:sz w:val="20"/>
          <w:szCs w:val="20"/>
        </w:rPr>
        <w:t xml:space="preserve">by </w:t>
      </w:r>
      <w:r w:rsidRPr="00A911FA">
        <w:rPr>
          <w:rFonts w:cstheme="minorHAnsi"/>
          <w:sz w:val="20"/>
          <w:szCs w:val="20"/>
        </w:rPr>
        <w:t>income level, and after accounting for age and marital status</w:t>
      </w:r>
      <w:r w:rsidR="00A1484D" w:rsidRPr="00A911FA">
        <w:rPr>
          <w:rFonts w:cstheme="minorHAnsi"/>
          <w:sz w:val="20"/>
          <w:szCs w:val="20"/>
        </w:rPr>
        <w:t>,</w:t>
      </w:r>
      <w:r w:rsidRPr="00A911FA">
        <w:rPr>
          <w:rFonts w:cstheme="minorHAnsi"/>
          <w:sz w:val="20"/>
          <w:szCs w:val="20"/>
        </w:rPr>
        <w:t xml:space="preserve"> it was found that:</w:t>
      </w:r>
    </w:p>
    <w:p w:rsidR="00234CA4" w:rsidRPr="00A911FA" w:rsidRDefault="00234CA4" w:rsidP="001E26C4">
      <w:pPr>
        <w:rPr>
          <w:rFonts w:eastAsia="Calibri" w:cstheme="minorHAnsi"/>
          <w:sz w:val="20"/>
          <w:szCs w:val="20"/>
        </w:rPr>
      </w:pPr>
      <w:r w:rsidRPr="00A911FA">
        <w:rPr>
          <w:rFonts w:cstheme="minorHAnsi"/>
          <w:sz w:val="20"/>
          <w:szCs w:val="20"/>
        </w:rPr>
        <w:t xml:space="preserve">Mortality rates were higher </w:t>
      </w:r>
      <w:r w:rsidR="00A1484D" w:rsidRPr="00A911FA">
        <w:rPr>
          <w:rFonts w:cstheme="minorHAnsi"/>
          <w:sz w:val="20"/>
          <w:szCs w:val="20"/>
        </w:rPr>
        <w:t>among</w:t>
      </w:r>
      <w:r w:rsidRPr="00A911FA">
        <w:rPr>
          <w:rFonts w:cstheme="minorHAnsi"/>
          <w:sz w:val="20"/>
          <w:szCs w:val="20"/>
        </w:rPr>
        <w:t xml:space="preserve"> immigrants compared to non-immigrants </w:t>
      </w:r>
      <w:r w:rsidR="0062529D" w:rsidRPr="00A911FA">
        <w:rPr>
          <w:rFonts w:cstheme="minorHAnsi"/>
          <w:sz w:val="20"/>
          <w:szCs w:val="20"/>
        </w:rPr>
        <w:t xml:space="preserve">among 27,563 men </w:t>
      </w:r>
      <w:r w:rsidRPr="00A911FA">
        <w:rPr>
          <w:rFonts w:cstheme="minorHAnsi"/>
          <w:sz w:val="20"/>
          <w:szCs w:val="20"/>
        </w:rPr>
        <w:t>(AHR</w:t>
      </w:r>
      <w:r w:rsidR="00A1484D" w:rsidRPr="00A911FA">
        <w:rPr>
          <w:rFonts w:cstheme="minorHAnsi"/>
          <w:sz w:val="20"/>
          <w:szCs w:val="20"/>
        </w:rPr>
        <w:t xml:space="preserve"> </w:t>
      </w:r>
      <w:r w:rsidRPr="00A911FA">
        <w:rPr>
          <w:rFonts w:cstheme="minorHAnsi"/>
          <w:sz w:val="20"/>
          <w:szCs w:val="20"/>
        </w:rPr>
        <w:t>=</w:t>
      </w:r>
      <w:r w:rsidR="00A1484D" w:rsidRPr="00A911FA">
        <w:rPr>
          <w:rFonts w:cstheme="minorHAnsi"/>
          <w:sz w:val="20"/>
          <w:szCs w:val="20"/>
        </w:rPr>
        <w:t xml:space="preserve"> </w:t>
      </w:r>
      <w:r w:rsidRPr="00A911FA">
        <w:rPr>
          <w:rFonts w:cstheme="minorHAnsi"/>
          <w:sz w:val="20"/>
          <w:szCs w:val="20"/>
        </w:rPr>
        <w:t xml:space="preserve">2.941, </w:t>
      </w:r>
      <w:r w:rsidRPr="00A911FA">
        <w:rPr>
          <w:rFonts w:eastAsia="Calibri" w:cstheme="minorHAnsi"/>
          <w:sz w:val="20"/>
          <w:szCs w:val="20"/>
        </w:rPr>
        <w:t>99%CI</w:t>
      </w:r>
      <w:r w:rsidR="00A1484D" w:rsidRPr="00A911FA">
        <w:rPr>
          <w:rFonts w:eastAsia="Calibri" w:cstheme="minorHAnsi"/>
          <w:sz w:val="20"/>
          <w:szCs w:val="20"/>
        </w:rPr>
        <w:t xml:space="preserve"> </w:t>
      </w:r>
      <w:r w:rsidRPr="00A911FA">
        <w:rPr>
          <w:rFonts w:eastAsia="Calibri" w:cstheme="minorHAnsi"/>
          <w:sz w:val="20"/>
          <w:szCs w:val="20"/>
        </w:rPr>
        <w:t>=</w:t>
      </w:r>
      <w:r w:rsidR="00A1484D" w:rsidRPr="00A911FA">
        <w:rPr>
          <w:rFonts w:eastAsia="Calibri" w:cstheme="minorHAnsi"/>
          <w:sz w:val="20"/>
          <w:szCs w:val="20"/>
        </w:rPr>
        <w:t xml:space="preserve"> </w:t>
      </w:r>
      <w:r w:rsidRPr="00A911FA">
        <w:rPr>
          <w:rFonts w:eastAsia="Calibri" w:cstheme="minorHAnsi"/>
          <w:sz w:val="20"/>
          <w:szCs w:val="20"/>
        </w:rPr>
        <w:t>2.704,</w:t>
      </w:r>
      <w:r w:rsidR="00A1484D" w:rsidRPr="00A911FA">
        <w:rPr>
          <w:rFonts w:eastAsia="Calibri" w:cstheme="minorHAnsi"/>
          <w:sz w:val="20"/>
          <w:szCs w:val="20"/>
        </w:rPr>
        <w:t xml:space="preserve"> </w:t>
      </w:r>
      <w:r w:rsidRPr="00A911FA">
        <w:rPr>
          <w:rFonts w:eastAsia="Calibri" w:cstheme="minorHAnsi"/>
          <w:sz w:val="20"/>
          <w:szCs w:val="20"/>
        </w:rPr>
        <w:t xml:space="preserve">3.199) </w:t>
      </w:r>
      <w:r w:rsidR="0062529D" w:rsidRPr="00A911FA">
        <w:rPr>
          <w:rFonts w:eastAsia="Calibri" w:cstheme="minorHAnsi"/>
          <w:sz w:val="20"/>
          <w:szCs w:val="20"/>
        </w:rPr>
        <w:t xml:space="preserve">and </w:t>
      </w:r>
      <w:r w:rsidRPr="00A911FA">
        <w:rPr>
          <w:rFonts w:eastAsia="Calibri" w:cstheme="minorHAnsi"/>
          <w:sz w:val="20"/>
          <w:szCs w:val="20"/>
        </w:rPr>
        <w:t xml:space="preserve">among </w:t>
      </w:r>
      <w:r w:rsidR="0062529D" w:rsidRPr="00A911FA">
        <w:rPr>
          <w:rFonts w:eastAsia="Calibri" w:cstheme="minorHAnsi"/>
          <w:sz w:val="20"/>
          <w:szCs w:val="20"/>
        </w:rPr>
        <w:t>32,220 women (AHR</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1.756, 99%CI</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1.614,</w:t>
      </w:r>
      <w:r w:rsidR="00A1484D" w:rsidRPr="00A911FA">
        <w:rPr>
          <w:rFonts w:eastAsia="Calibri" w:cstheme="minorHAnsi"/>
          <w:sz w:val="20"/>
          <w:szCs w:val="20"/>
        </w:rPr>
        <w:t xml:space="preserve"> </w:t>
      </w:r>
      <w:r w:rsidR="0062529D" w:rsidRPr="00A911FA">
        <w:rPr>
          <w:rFonts w:eastAsia="Calibri" w:cstheme="minorHAnsi"/>
          <w:sz w:val="20"/>
          <w:szCs w:val="20"/>
        </w:rPr>
        <w:t>1.909) with a low income level. The opposite relationship was found among 45,863 men (AHR</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0.714, 99%CI</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0.635,</w:t>
      </w:r>
      <w:r w:rsidR="00A1484D" w:rsidRPr="00A911FA">
        <w:rPr>
          <w:rFonts w:eastAsia="Calibri" w:cstheme="minorHAnsi"/>
          <w:sz w:val="20"/>
          <w:szCs w:val="20"/>
        </w:rPr>
        <w:t xml:space="preserve"> </w:t>
      </w:r>
      <w:r w:rsidR="0062529D" w:rsidRPr="00A911FA">
        <w:rPr>
          <w:rFonts w:eastAsia="Calibri" w:cstheme="minorHAnsi"/>
          <w:sz w:val="20"/>
          <w:szCs w:val="20"/>
        </w:rPr>
        <w:t>0.804) and among 24,852 women (AHR</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0.738, 99%CI</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0.596,</w:t>
      </w:r>
      <w:r w:rsidR="00A1484D" w:rsidRPr="00A911FA">
        <w:rPr>
          <w:rFonts w:eastAsia="Calibri" w:cstheme="minorHAnsi"/>
          <w:sz w:val="20"/>
          <w:szCs w:val="20"/>
        </w:rPr>
        <w:t xml:space="preserve"> </w:t>
      </w:r>
      <w:r w:rsidR="0062529D" w:rsidRPr="00A911FA">
        <w:rPr>
          <w:rFonts w:eastAsia="Calibri" w:cstheme="minorHAnsi"/>
          <w:sz w:val="20"/>
          <w:szCs w:val="20"/>
        </w:rPr>
        <w:t xml:space="preserve">0.913) with a high income level. At the middle income level, </w:t>
      </w:r>
      <w:r w:rsidR="00A1484D" w:rsidRPr="00A911FA">
        <w:rPr>
          <w:rFonts w:eastAsia="Calibri" w:cstheme="minorHAnsi"/>
          <w:sz w:val="20"/>
          <w:szCs w:val="20"/>
        </w:rPr>
        <w:t>no</w:t>
      </w:r>
      <w:r w:rsidR="0062529D" w:rsidRPr="00A911FA">
        <w:rPr>
          <w:rFonts w:eastAsia="Calibri" w:cstheme="minorHAnsi"/>
          <w:sz w:val="20"/>
          <w:szCs w:val="20"/>
        </w:rPr>
        <w:t xml:space="preserve"> significant relationship between immigration and mortality was found among 37,094 men (AHR</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1.039, 99%CI</w:t>
      </w:r>
      <w:r w:rsidR="00A1484D" w:rsidRPr="00A911FA">
        <w:rPr>
          <w:rFonts w:eastAsia="Calibri" w:cstheme="minorHAnsi"/>
          <w:sz w:val="20"/>
          <w:szCs w:val="20"/>
        </w:rPr>
        <w:t xml:space="preserve"> </w:t>
      </w:r>
      <w:r w:rsidR="0062529D" w:rsidRPr="00A911FA">
        <w:rPr>
          <w:rFonts w:eastAsia="Calibri" w:cstheme="minorHAnsi"/>
          <w:sz w:val="20"/>
          <w:szCs w:val="20"/>
        </w:rPr>
        <w:t>=</w:t>
      </w:r>
      <w:r w:rsidR="00A1484D" w:rsidRPr="00A911FA">
        <w:rPr>
          <w:rFonts w:eastAsia="Calibri" w:cstheme="minorHAnsi"/>
          <w:sz w:val="20"/>
          <w:szCs w:val="20"/>
        </w:rPr>
        <w:t xml:space="preserve"> </w:t>
      </w:r>
      <w:r w:rsidR="0062529D" w:rsidRPr="00A911FA">
        <w:rPr>
          <w:rFonts w:eastAsia="Calibri" w:cstheme="minorHAnsi"/>
          <w:sz w:val="20"/>
          <w:szCs w:val="20"/>
        </w:rPr>
        <w:t>0.963,</w:t>
      </w:r>
      <w:r w:rsidR="00A1484D" w:rsidRPr="00A911FA">
        <w:rPr>
          <w:rFonts w:eastAsia="Calibri" w:cstheme="minorHAnsi"/>
          <w:sz w:val="20"/>
          <w:szCs w:val="20"/>
        </w:rPr>
        <w:t xml:space="preserve"> </w:t>
      </w:r>
      <w:r w:rsidR="0062529D" w:rsidRPr="00A911FA">
        <w:rPr>
          <w:rFonts w:eastAsia="Calibri" w:cstheme="minorHAnsi"/>
          <w:sz w:val="20"/>
          <w:szCs w:val="20"/>
        </w:rPr>
        <w:t xml:space="preserve">1.121), while among </w:t>
      </w:r>
      <w:r w:rsidRPr="00A911FA">
        <w:rPr>
          <w:rFonts w:eastAsia="Calibri" w:cstheme="minorHAnsi"/>
          <w:sz w:val="20"/>
          <w:szCs w:val="20"/>
        </w:rPr>
        <w:t>50,959 women, a “healthy immigrant” trend was observed (AHR</w:t>
      </w:r>
      <w:r w:rsidR="00A1484D" w:rsidRPr="00A911FA">
        <w:rPr>
          <w:rFonts w:eastAsia="Calibri" w:cstheme="minorHAnsi"/>
          <w:sz w:val="20"/>
          <w:szCs w:val="20"/>
        </w:rPr>
        <w:t xml:space="preserve"> </w:t>
      </w:r>
      <w:r w:rsidRPr="00A911FA">
        <w:rPr>
          <w:rFonts w:eastAsia="Calibri" w:cstheme="minorHAnsi"/>
          <w:sz w:val="20"/>
          <w:szCs w:val="20"/>
        </w:rPr>
        <w:t>=</w:t>
      </w:r>
      <w:r w:rsidR="00A1484D" w:rsidRPr="00A911FA">
        <w:rPr>
          <w:rFonts w:eastAsia="Calibri" w:cstheme="minorHAnsi"/>
          <w:sz w:val="20"/>
          <w:szCs w:val="20"/>
        </w:rPr>
        <w:t xml:space="preserve"> </w:t>
      </w:r>
      <w:r w:rsidRPr="00A911FA">
        <w:rPr>
          <w:rFonts w:eastAsia="Calibri" w:cstheme="minorHAnsi"/>
          <w:sz w:val="20"/>
          <w:szCs w:val="20"/>
        </w:rPr>
        <w:t>0.846, 99%CI</w:t>
      </w:r>
      <w:r w:rsidR="00A1484D" w:rsidRPr="00A911FA">
        <w:rPr>
          <w:rFonts w:eastAsia="Calibri" w:cstheme="minorHAnsi"/>
          <w:sz w:val="20"/>
          <w:szCs w:val="20"/>
        </w:rPr>
        <w:t xml:space="preserve"> </w:t>
      </w:r>
      <w:r w:rsidRPr="00A911FA">
        <w:rPr>
          <w:rFonts w:eastAsia="Calibri" w:cstheme="minorHAnsi"/>
          <w:sz w:val="20"/>
          <w:szCs w:val="20"/>
        </w:rPr>
        <w:t>=</w:t>
      </w:r>
      <w:r w:rsidR="00A1484D" w:rsidRPr="00A911FA">
        <w:rPr>
          <w:rFonts w:eastAsia="Calibri" w:cstheme="minorHAnsi"/>
          <w:sz w:val="20"/>
          <w:szCs w:val="20"/>
        </w:rPr>
        <w:t xml:space="preserve"> </w:t>
      </w:r>
      <w:r w:rsidRPr="00A911FA">
        <w:rPr>
          <w:rFonts w:eastAsia="Calibri" w:cstheme="minorHAnsi"/>
          <w:sz w:val="20"/>
          <w:szCs w:val="20"/>
        </w:rPr>
        <w:t>0.772,</w:t>
      </w:r>
      <w:r w:rsidR="00A1484D" w:rsidRPr="00A911FA">
        <w:rPr>
          <w:rFonts w:eastAsia="Calibri" w:cstheme="minorHAnsi"/>
          <w:sz w:val="20"/>
          <w:szCs w:val="20"/>
        </w:rPr>
        <w:t xml:space="preserve"> </w:t>
      </w:r>
      <w:r w:rsidRPr="00A911FA">
        <w:rPr>
          <w:rFonts w:eastAsia="Calibri" w:cstheme="minorHAnsi"/>
          <w:sz w:val="20"/>
          <w:szCs w:val="20"/>
        </w:rPr>
        <w:t>0.927).</w:t>
      </w:r>
    </w:p>
    <w:p w:rsidR="001C3DE4" w:rsidRPr="00A911FA" w:rsidRDefault="00234CA4" w:rsidP="001E26C4">
      <w:pPr>
        <w:rPr>
          <w:rFonts w:cstheme="minorHAnsi"/>
          <w:sz w:val="20"/>
          <w:szCs w:val="20"/>
        </w:rPr>
      </w:pPr>
      <w:r w:rsidRPr="00A911FA">
        <w:rPr>
          <w:rFonts w:eastAsia="Calibri" w:cstheme="minorHAnsi"/>
          <w:sz w:val="20"/>
          <w:szCs w:val="20"/>
          <w:u w:val="single"/>
        </w:rPr>
        <w:t>Conclusions:</w:t>
      </w:r>
      <w:r w:rsidRPr="00A911FA">
        <w:rPr>
          <w:rFonts w:eastAsia="Calibri" w:cstheme="minorHAnsi"/>
          <w:sz w:val="20"/>
          <w:szCs w:val="20"/>
        </w:rPr>
        <w:t xml:space="preserve"> For the general population, the study found support for the “sick immigrant” phenomenon. However, among both genders in the high-income subgroup</w:t>
      </w:r>
      <w:r w:rsidR="0062529D" w:rsidRPr="00A911FA">
        <w:rPr>
          <w:rFonts w:eastAsia="Calibri" w:cstheme="minorHAnsi"/>
          <w:sz w:val="20"/>
          <w:szCs w:val="20"/>
        </w:rPr>
        <w:t xml:space="preserve"> and among women in the middle-income subgroup, the “healthy immigrant” phenomenon was observed.</w:t>
      </w:r>
      <w:r w:rsidR="00A1484D" w:rsidRPr="00A911FA">
        <w:rPr>
          <w:rFonts w:eastAsia="Calibri" w:cstheme="minorHAnsi"/>
          <w:sz w:val="20"/>
          <w:szCs w:val="20"/>
        </w:rPr>
        <w:t xml:space="preserve"> </w:t>
      </w:r>
      <w:r w:rsidR="0062529D" w:rsidRPr="00A911FA">
        <w:rPr>
          <w:rFonts w:cstheme="minorHAnsi"/>
          <w:sz w:val="20"/>
          <w:szCs w:val="20"/>
        </w:rPr>
        <w:t xml:space="preserve">Decision makers in Israel should </w:t>
      </w:r>
      <w:r w:rsidR="001C3DE4" w:rsidRPr="00A911FA">
        <w:rPr>
          <w:rFonts w:cstheme="minorHAnsi"/>
          <w:sz w:val="20"/>
          <w:szCs w:val="20"/>
        </w:rPr>
        <w:t xml:space="preserve">devote </w:t>
      </w:r>
      <w:r w:rsidR="0062529D" w:rsidRPr="00A911FA">
        <w:rPr>
          <w:rFonts w:cstheme="minorHAnsi"/>
          <w:sz w:val="20"/>
          <w:szCs w:val="20"/>
        </w:rPr>
        <w:t>particular attention to immigrants from a low socioeconomic level. The results of this study emphasize the need to examine the relationships between immigration and health outcom</w:t>
      </w:r>
      <w:r w:rsidR="00A1484D" w:rsidRPr="00A911FA">
        <w:rPr>
          <w:rFonts w:cstheme="minorHAnsi"/>
          <w:sz w:val="20"/>
          <w:szCs w:val="20"/>
        </w:rPr>
        <w:t>es with a focus on social</w:t>
      </w:r>
      <w:r w:rsidR="0062529D" w:rsidRPr="00A911FA">
        <w:rPr>
          <w:rFonts w:cstheme="minorHAnsi"/>
          <w:sz w:val="20"/>
          <w:szCs w:val="20"/>
        </w:rPr>
        <w:t xml:space="preserve"> stratification.</w:t>
      </w:r>
    </w:p>
    <w:p w:rsidR="00B9331B" w:rsidRPr="00A911FA" w:rsidRDefault="00B9331B" w:rsidP="001E26C4">
      <w:pPr>
        <w:rPr>
          <w:rFonts w:cstheme="minorHAnsi"/>
          <w:sz w:val="20"/>
          <w:szCs w:val="20"/>
        </w:rPr>
      </w:pPr>
    </w:p>
    <w:p w:rsidR="001C3DE4" w:rsidRPr="00A911FA" w:rsidRDefault="00B9331B" w:rsidP="001E26C4">
      <w:pPr>
        <w:rPr>
          <w:rFonts w:cstheme="minorHAnsi"/>
          <w:b/>
          <w:bCs/>
          <w:sz w:val="20"/>
          <w:szCs w:val="20"/>
        </w:rPr>
      </w:pPr>
      <w:commentRangeStart w:id="3"/>
      <w:r w:rsidRPr="00A911FA">
        <w:rPr>
          <w:rFonts w:cstheme="minorHAnsi"/>
          <w:b/>
          <w:bCs/>
          <w:sz w:val="20"/>
          <w:szCs w:val="20"/>
        </w:rPr>
        <w:t>Keywords</w:t>
      </w:r>
      <w:commentRangeEnd w:id="3"/>
      <w:r w:rsidRPr="00A911FA">
        <w:rPr>
          <w:rStyle w:val="CommentReference"/>
          <w:rFonts w:cstheme="minorHAnsi"/>
          <w:sz w:val="20"/>
          <w:szCs w:val="20"/>
        </w:rPr>
        <w:commentReference w:id="3"/>
      </w:r>
      <w:r w:rsidRPr="00A911FA">
        <w:rPr>
          <w:rFonts w:cstheme="minorHAnsi"/>
          <w:b/>
          <w:bCs/>
          <w:sz w:val="20"/>
          <w:szCs w:val="20"/>
        </w:rPr>
        <w:t>:</w:t>
      </w:r>
      <w:r w:rsidR="001C3DE4" w:rsidRPr="00A911FA">
        <w:rPr>
          <w:rFonts w:cstheme="minorHAnsi"/>
          <w:b/>
          <w:bCs/>
          <w:sz w:val="20"/>
          <w:szCs w:val="20"/>
        </w:rPr>
        <w:br w:type="page"/>
      </w:r>
    </w:p>
    <w:p w:rsidR="001C3DE4" w:rsidRPr="00A911FA" w:rsidRDefault="00A911FA" w:rsidP="001E26C4">
      <w:pPr>
        <w:rPr>
          <w:rFonts w:cstheme="minorHAnsi"/>
          <w:sz w:val="20"/>
          <w:szCs w:val="20"/>
        </w:rPr>
      </w:pPr>
      <w:commentRangeStart w:id="4"/>
      <w:r w:rsidRPr="00A911FA">
        <w:rPr>
          <w:rFonts w:cstheme="minorHAnsi"/>
          <w:b/>
          <w:bCs/>
          <w:sz w:val="20"/>
          <w:szCs w:val="20"/>
        </w:rPr>
        <w:lastRenderedPageBreak/>
        <w:t>Introduction</w:t>
      </w:r>
      <w:commentRangeEnd w:id="4"/>
      <w:r w:rsidR="002B7F60">
        <w:rPr>
          <w:rStyle w:val="CommentReference"/>
        </w:rPr>
        <w:commentReference w:id="4"/>
      </w:r>
    </w:p>
    <w:p w:rsidR="001C3DE4" w:rsidRPr="00A911FA" w:rsidRDefault="001C3DE4" w:rsidP="00727506">
      <w:pPr>
        <w:rPr>
          <w:rFonts w:cstheme="minorHAnsi"/>
          <w:sz w:val="20"/>
          <w:szCs w:val="20"/>
        </w:rPr>
      </w:pPr>
      <w:r w:rsidRPr="00A911FA">
        <w:rPr>
          <w:rFonts w:cstheme="minorHAnsi"/>
          <w:sz w:val="20"/>
          <w:szCs w:val="20"/>
        </w:rPr>
        <w:t>In the 1990s</w:t>
      </w:r>
      <w:r w:rsidR="00A1484D" w:rsidRPr="00A911FA">
        <w:rPr>
          <w:rFonts w:cstheme="minorHAnsi"/>
          <w:sz w:val="20"/>
          <w:szCs w:val="20"/>
        </w:rPr>
        <w:t>,</w:t>
      </w:r>
      <w:r w:rsidRPr="00A911FA">
        <w:rPr>
          <w:rFonts w:cstheme="minorHAnsi"/>
          <w:sz w:val="20"/>
          <w:szCs w:val="20"/>
        </w:rPr>
        <w:t xml:space="preserve"> approximately one million immigrants from the USSR were brought to Israel</w:t>
      </w:r>
      <w:r w:rsidR="00727506">
        <w:rPr>
          <w:rFonts w:cstheme="minorHAnsi"/>
          <w:sz w:val="20"/>
          <w:szCs w:val="20"/>
        </w:rPr>
        <w:t xml:space="preserve"> [1]</w:t>
      </w:r>
      <w:r w:rsidRPr="00A911FA">
        <w:rPr>
          <w:rFonts w:cstheme="minorHAnsi"/>
          <w:sz w:val="20"/>
          <w:szCs w:val="20"/>
        </w:rPr>
        <w:t xml:space="preserve"> by </w:t>
      </w:r>
      <w:r w:rsidR="00C40F07" w:rsidRPr="00A911FA">
        <w:rPr>
          <w:rFonts w:cstheme="minorHAnsi"/>
          <w:sz w:val="20"/>
          <w:szCs w:val="20"/>
        </w:rPr>
        <w:t xml:space="preserve">authority </w:t>
      </w:r>
      <w:r w:rsidRPr="00A911FA">
        <w:rPr>
          <w:rFonts w:cstheme="minorHAnsi"/>
          <w:sz w:val="20"/>
          <w:szCs w:val="20"/>
        </w:rPr>
        <w:t>of Israel’s Law of Return</w:t>
      </w:r>
      <w:r w:rsidR="00727506">
        <w:rPr>
          <w:rFonts w:cstheme="minorHAnsi"/>
          <w:sz w:val="20"/>
          <w:szCs w:val="20"/>
        </w:rPr>
        <w:t xml:space="preserve"> [2]</w:t>
      </w:r>
      <w:r w:rsidRPr="00A911FA">
        <w:rPr>
          <w:rFonts w:cstheme="minorHAnsi"/>
          <w:sz w:val="20"/>
          <w:szCs w:val="20"/>
        </w:rPr>
        <w:t>, which allows every member of a Jewish family to immigrate to the country.</w:t>
      </w:r>
      <w:r w:rsidR="00C40F07" w:rsidRPr="00A911FA">
        <w:rPr>
          <w:rFonts w:cstheme="minorHAnsi"/>
          <w:sz w:val="20"/>
          <w:szCs w:val="20"/>
        </w:rPr>
        <w:t xml:space="preserve"> </w:t>
      </w:r>
      <w:r w:rsidRPr="00A911FA">
        <w:rPr>
          <w:rFonts w:cstheme="minorHAnsi"/>
          <w:sz w:val="20"/>
          <w:szCs w:val="20"/>
        </w:rPr>
        <w:t>Previous studies conducted on these immigrants demonstrated poorer health outcomes compared to the local population</w:t>
      </w:r>
      <w:r w:rsidR="00727506">
        <w:rPr>
          <w:rFonts w:cstheme="minorHAnsi"/>
          <w:sz w:val="20"/>
          <w:szCs w:val="20"/>
        </w:rPr>
        <w:t xml:space="preserve"> [4-5]</w:t>
      </w:r>
      <w:r w:rsidRPr="00A911FA">
        <w:rPr>
          <w:rFonts w:cstheme="minorHAnsi"/>
          <w:sz w:val="20"/>
          <w:szCs w:val="20"/>
        </w:rPr>
        <w:t>. In contrast, another study reported a certain advantage for life expectancy among female immigrants compared to non-immigrants; an opposite trend was found for males</w:t>
      </w:r>
      <w:r w:rsidR="00727506">
        <w:rPr>
          <w:rFonts w:cstheme="minorHAnsi"/>
          <w:sz w:val="20"/>
          <w:szCs w:val="20"/>
        </w:rPr>
        <w:t xml:space="preserve"> [3]</w:t>
      </w:r>
      <w:r w:rsidRPr="00A911FA">
        <w:rPr>
          <w:rFonts w:cstheme="minorHAnsi"/>
          <w:sz w:val="20"/>
          <w:szCs w:val="20"/>
        </w:rPr>
        <w:t>.</w:t>
      </w:r>
      <w:r w:rsidR="00C40F07" w:rsidRPr="00A911FA">
        <w:rPr>
          <w:rFonts w:cstheme="minorHAnsi"/>
          <w:sz w:val="20"/>
          <w:szCs w:val="20"/>
        </w:rPr>
        <w:t xml:space="preserve"> </w:t>
      </w:r>
      <w:r w:rsidRPr="00A911FA">
        <w:rPr>
          <w:rFonts w:cstheme="minorHAnsi"/>
          <w:sz w:val="20"/>
          <w:szCs w:val="20"/>
        </w:rPr>
        <w:t xml:space="preserve">This result contradicts the results from studies conducted in the West, which </w:t>
      </w:r>
      <w:r w:rsidR="00C40F07" w:rsidRPr="00A911FA">
        <w:rPr>
          <w:rFonts w:cstheme="minorHAnsi"/>
          <w:sz w:val="20"/>
          <w:szCs w:val="20"/>
        </w:rPr>
        <w:t xml:space="preserve">reported a health advantage for </w:t>
      </w:r>
      <w:r w:rsidRPr="00A911FA">
        <w:rPr>
          <w:rFonts w:cstheme="minorHAnsi"/>
          <w:sz w:val="20"/>
          <w:szCs w:val="20"/>
        </w:rPr>
        <w:t>immigrants compared to the local population</w:t>
      </w:r>
      <w:r w:rsidR="00727506">
        <w:rPr>
          <w:rFonts w:cstheme="minorHAnsi"/>
          <w:sz w:val="20"/>
          <w:szCs w:val="20"/>
        </w:rPr>
        <w:t xml:space="preserve"> [4, 6]</w:t>
      </w:r>
      <w:r w:rsidRPr="00A911FA">
        <w:rPr>
          <w:rFonts w:cstheme="minorHAnsi"/>
          <w:sz w:val="20"/>
          <w:szCs w:val="20"/>
        </w:rPr>
        <w:t xml:space="preserve">, in particular in countries that absorb immigrants and in countries with </w:t>
      </w:r>
      <w:r w:rsidR="00727506">
        <w:rPr>
          <w:rFonts w:cstheme="minorHAnsi"/>
          <w:sz w:val="20"/>
          <w:szCs w:val="20"/>
        </w:rPr>
        <w:t>good health and welfare systems [6]</w:t>
      </w:r>
      <w:r w:rsidRPr="00A911FA">
        <w:rPr>
          <w:rFonts w:cstheme="minorHAnsi"/>
          <w:sz w:val="20"/>
          <w:szCs w:val="20"/>
        </w:rPr>
        <w:t>.</w:t>
      </w:r>
    </w:p>
    <w:p w:rsidR="00645476" w:rsidRPr="00A911FA" w:rsidRDefault="00C40F07" w:rsidP="00727506">
      <w:pPr>
        <w:rPr>
          <w:rFonts w:cstheme="minorHAnsi"/>
          <w:sz w:val="20"/>
          <w:szCs w:val="20"/>
        </w:rPr>
      </w:pPr>
      <w:r w:rsidRPr="00A911FA">
        <w:rPr>
          <w:rFonts w:cstheme="minorHAnsi"/>
          <w:sz w:val="20"/>
          <w:szCs w:val="20"/>
        </w:rPr>
        <w:t>Besides t</w:t>
      </w:r>
      <w:r w:rsidR="001C3DE4" w:rsidRPr="00A911FA">
        <w:rPr>
          <w:rFonts w:cstheme="minorHAnsi"/>
          <w:sz w:val="20"/>
          <w:szCs w:val="20"/>
        </w:rPr>
        <w:t xml:space="preserve">he fact that immigrants usually come </w:t>
      </w:r>
      <w:r w:rsidR="00645476" w:rsidRPr="00A911FA">
        <w:rPr>
          <w:rFonts w:cstheme="minorHAnsi"/>
          <w:sz w:val="20"/>
          <w:szCs w:val="20"/>
        </w:rPr>
        <w:t>from</w:t>
      </w:r>
      <w:r w:rsidR="001C3DE4" w:rsidRPr="00A911FA">
        <w:rPr>
          <w:rFonts w:cstheme="minorHAnsi"/>
          <w:sz w:val="20"/>
          <w:szCs w:val="20"/>
        </w:rPr>
        <w:t xml:space="preserve"> countries with high health risks</w:t>
      </w:r>
      <w:r w:rsidRPr="00A911FA">
        <w:rPr>
          <w:rFonts w:cstheme="minorHAnsi"/>
          <w:sz w:val="20"/>
          <w:szCs w:val="20"/>
        </w:rPr>
        <w:t>,</w:t>
      </w:r>
      <w:r w:rsidR="001C3DE4" w:rsidRPr="00A911FA">
        <w:rPr>
          <w:rFonts w:cstheme="minorHAnsi"/>
          <w:sz w:val="20"/>
          <w:szCs w:val="20"/>
        </w:rPr>
        <w:t xml:space="preserve"> </w:t>
      </w:r>
      <w:r w:rsidR="00645476" w:rsidRPr="00A911FA">
        <w:rPr>
          <w:rFonts w:cstheme="minorHAnsi"/>
          <w:sz w:val="20"/>
          <w:szCs w:val="20"/>
        </w:rPr>
        <w:t xml:space="preserve">the </w:t>
      </w:r>
      <w:r w:rsidR="001C3DE4" w:rsidRPr="00A911FA">
        <w:rPr>
          <w:rFonts w:cstheme="minorHAnsi"/>
          <w:sz w:val="20"/>
          <w:szCs w:val="20"/>
        </w:rPr>
        <w:t>mental stress, low socioeconomic status and language barriers</w:t>
      </w:r>
      <w:r w:rsidR="00645476" w:rsidRPr="00A911FA">
        <w:rPr>
          <w:rFonts w:cstheme="minorHAnsi"/>
          <w:sz w:val="20"/>
          <w:szCs w:val="20"/>
        </w:rPr>
        <w:t xml:space="preserve"> faced by immigrants when dealing with the healthcare system make it difficult to explain the “healthy immigrant” phenomenon </w:t>
      </w:r>
      <w:r w:rsidR="00727506">
        <w:rPr>
          <w:rFonts w:cstheme="minorHAnsi"/>
          <w:sz w:val="20"/>
          <w:szCs w:val="20"/>
        </w:rPr>
        <w:t>[6]</w:t>
      </w:r>
      <w:r w:rsidR="00645476" w:rsidRPr="00A911FA">
        <w:rPr>
          <w:rFonts w:cstheme="minorHAnsi"/>
          <w:sz w:val="20"/>
          <w:szCs w:val="20"/>
        </w:rPr>
        <w:t>.</w:t>
      </w:r>
      <w:r w:rsidRPr="00A911FA">
        <w:rPr>
          <w:rFonts w:cstheme="minorHAnsi"/>
          <w:sz w:val="20"/>
          <w:szCs w:val="20"/>
        </w:rPr>
        <w:t xml:space="preserve"> </w:t>
      </w:r>
      <w:r w:rsidR="00645476" w:rsidRPr="00A911FA">
        <w:rPr>
          <w:rFonts w:cstheme="minorHAnsi"/>
          <w:sz w:val="20"/>
          <w:szCs w:val="20"/>
        </w:rPr>
        <w:t xml:space="preserve">Some explain the paradox by the advantage of correct health behavior, social support and genetic advantages </w:t>
      </w:r>
      <w:r w:rsidR="00727506">
        <w:rPr>
          <w:rFonts w:cstheme="minorHAnsi"/>
          <w:sz w:val="20"/>
          <w:szCs w:val="20"/>
        </w:rPr>
        <w:t>[4, 6-7]</w:t>
      </w:r>
      <w:r w:rsidR="00645476" w:rsidRPr="00A911FA">
        <w:rPr>
          <w:rFonts w:cstheme="minorHAnsi"/>
          <w:sz w:val="20"/>
          <w:szCs w:val="20"/>
        </w:rPr>
        <w:t>.</w:t>
      </w:r>
      <w:r w:rsidRPr="00A911FA">
        <w:rPr>
          <w:rFonts w:cstheme="minorHAnsi"/>
          <w:sz w:val="20"/>
          <w:szCs w:val="20"/>
        </w:rPr>
        <w:t xml:space="preserve"> </w:t>
      </w:r>
      <w:r w:rsidR="00645476" w:rsidRPr="00A911FA">
        <w:rPr>
          <w:rFonts w:cstheme="minorHAnsi"/>
          <w:sz w:val="20"/>
          <w:szCs w:val="20"/>
        </w:rPr>
        <w:t>In contrast, some see this phenomenon as being biased in several ways, for example: immigration of healthy, strong people, intentional registration biases when entering the country of destination, filtering of health immigrants by the absorbing countries, a tendency of weak immigrants to return to their mother country, the “salmon effect” – in which immigrants with weakening health tend to return to their mother country prior to their death</w:t>
      </w:r>
      <w:r w:rsidR="00727506">
        <w:rPr>
          <w:rFonts w:cstheme="minorHAnsi"/>
          <w:sz w:val="20"/>
          <w:szCs w:val="20"/>
        </w:rPr>
        <w:t xml:space="preserve"> [4, 6-7]</w:t>
      </w:r>
      <w:r w:rsidR="00645476" w:rsidRPr="00A911FA">
        <w:rPr>
          <w:rFonts w:cstheme="minorHAnsi"/>
          <w:sz w:val="20"/>
          <w:szCs w:val="20"/>
        </w:rPr>
        <w:t>.</w:t>
      </w:r>
    </w:p>
    <w:p w:rsidR="00645476" w:rsidRPr="00A911FA" w:rsidRDefault="00645476" w:rsidP="002B7F60">
      <w:pPr>
        <w:rPr>
          <w:rFonts w:cstheme="minorHAnsi"/>
          <w:sz w:val="20"/>
          <w:szCs w:val="20"/>
        </w:rPr>
      </w:pPr>
      <w:r w:rsidRPr="00A911FA">
        <w:rPr>
          <w:rFonts w:cstheme="minorHAnsi"/>
          <w:sz w:val="20"/>
          <w:szCs w:val="20"/>
        </w:rPr>
        <w:t xml:space="preserve">In addition to these selection biases, </w:t>
      </w:r>
      <w:r w:rsidR="002B7F60">
        <w:rPr>
          <w:rFonts w:cstheme="minorHAnsi"/>
          <w:sz w:val="20"/>
          <w:szCs w:val="20"/>
        </w:rPr>
        <w:t>we suggest</w:t>
      </w:r>
      <w:r w:rsidRPr="00A911FA">
        <w:rPr>
          <w:rFonts w:cstheme="minorHAnsi"/>
          <w:sz w:val="20"/>
          <w:szCs w:val="20"/>
        </w:rPr>
        <w:t xml:space="preserve"> that the groups compared in previous studies usually included the general population of the absorbing country without accounting for variance in genetic and cultural traits, which may provide an explanation for the differences in health outcomes and morbidity.</w:t>
      </w:r>
      <w:r w:rsidR="00553F32" w:rsidRPr="00A911FA">
        <w:rPr>
          <w:rFonts w:cstheme="minorHAnsi"/>
          <w:sz w:val="20"/>
          <w:szCs w:val="20"/>
        </w:rPr>
        <w:t xml:space="preserve"> The presence of a large population of veteran Jewish immigrants, who reached Israel from the same countries, and who have similar genetic and possibly cultural traits, allowed us to more accurately examine the relationship between immigration and mortality, in an immigration-absorbing country</w:t>
      </w:r>
      <w:r w:rsidR="00727506">
        <w:rPr>
          <w:rFonts w:cstheme="minorHAnsi"/>
          <w:sz w:val="20"/>
          <w:szCs w:val="20"/>
        </w:rPr>
        <w:t xml:space="preserve"> [2]</w:t>
      </w:r>
      <w:r w:rsidR="00553F32" w:rsidRPr="00A911FA">
        <w:rPr>
          <w:rFonts w:cstheme="minorHAnsi"/>
          <w:sz w:val="20"/>
          <w:szCs w:val="20"/>
        </w:rPr>
        <w:t xml:space="preserve"> in which the immigrant receives extensive health services provided within the framework of a national health insurance law</w:t>
      </w:r>
      <w:r w:rsidR="00727506">
        <w:rPr>
          <w:rFonts w:cstheme="minorHAnsi"/>
          <w:sz w:val="20"/>
          <w:szCs w:val="20"/>
        </w:rPr>
        <w:t xml:space="preserve"> [8]</w:t>
      </w:r>
      <w:r w:rsidR="00553F32" w:rsidRPr="00A911FA">
        <w:rPr>
          <w:rFonts w:cstheme="minorHAnsi"/>
          <w:sz w:val="20"/>
          <w:szCs w:val="20"/>
        </w:rPr>
        <w:t>.</w:t>
      </w:r>
    </w:p>
    <w:p w:rsidR="003F50B7" w:rsidRPr="00A911FA" w:rsidRDefault="003F50B7" w:rsidP="00A81BBB">
      <w:pPr>
        <w:rPr>
          <w:rFonts w:cstheme="minorHAnsi"/>
          <w:sz w:val="20"/>
          <w:szCs w:val="20"/>
        </w:rPr>
      </w:pPr>
      <w:r w:rsidRPr="00A911FA">
        <w:rPr>
          <w:rFonts w:cstheme="minorHAnsi"/>
          <w:sz w:val="20"/>
          <w:szCs w:val="20"/>
        </w:rPr>
        <w:t>Furthermore, in contrast to the global phenomenon of relatively young individual immigrants, mass immigration of Soviet Jews to Israel during the 1990s included groups and entire families covering a range of ages, whom were ‘brought’ to Israel</w:t>
      </w:r>
      <w:r w:rsidR="002B7F60">
        <w:rPr>
          <w:rFonts w:cstheme="minorHAnsi"/>
          <w:sz w:val="20"/>
          <w:szCs w:val="20"/>
        </w:rPr>
        <w:t xml:space="preserve"> during a short period,</w:t>
      </w:r>
      <w:r w:rsidRPr="00A911FA">
        <w:rPr>
          <w:rFonts w:cstheme="minorHAnsi"/>
          <w:sz w:val="20"/>
          <w:szCs w:val="20"/>
        </w:rPr>
        <w:t xml:space="preserve"> without any selection, encouraged by Israel’s </w:t>
      </w:r>
      <w:r w:rsidR="002B7F60">
        <w:rPr>
          <w:rFonts w:cstheme="minorHAnsi"/>
          <w:sz w:val="20"/>
          <w:szCs w:val="20"/>
        </w:rPr>
        <w:t xml:space="preserve">prevailing </w:t>
      </w:r>
      <w:r w:rsidRPr="00A911FA">
        <w:rPr>
          <w:rFonts w:cstheme="minorHAnsi"/>
          <w:sz w:val="20"/>
          <w:szCs w:val="20"/>
        </w:rPr>
        <w:t xml:space="preserve">immigration policy, due to the situation in the USSR at that time. This immigration was characterized by a higher level of education, lower </w:t>
      </w:r>
      <w:r w:rsidR="00B63B55" w:rsidRPr="00A911FA">
        <w:rPr>
          <w:rFonts w:cstheme="minorHAnsi"/>
          <w:sz w:val="20"/>
          <w:szCs w:val="20"/>
        </w:rPr>
        <w:t>i</w:t>
      </w:r>
      <w:r w:rsidRPr="00A911FA">
        <w:rPr>
          <w:rFonts w:cstheme="minorHAnsi"/>
          <w:sz w:val="20"/>
          <w:szCs w:val="20"/>
        </w:rPr>
        <w:t>ncome</w:t>
      </w:r>
      <w:r w:rsidR="00B63B55" w:rsidRPr="00A911FA">
        <w:rPr>
          <w:rFonts w:cstheme="minorHAnsi"/>
          <w:sz w:val="20"/>
          <w:szCs w:val="20"/>
        </w:rPr>
        <w:t xml:space="preserve"> level</w:t>
      </w:r>
      <w:r w:rsidRPr="00A911FA">
        <w:rPr>
          <w:rFonts w:cstheme="minorHAnsi"/>
          <w:sz w:val="20"/>
          <w:szCs w:val="20"/>
        </w:rPr>
        <w:t>, and higher proportion of women</w:t>
      </w:r>
      <w:r w:rsidR="00A81BBB">
        <w:rPr>
          <w:rFonts w:cstheme="minorHAnsi"/>
          <w:sz w:val="20"/>
          <w:szCs w:val="20"/>
        </w:rPr>
        <w:t>,</w:t>
      </w:r>
      <w:r w:rsidRPr="00A911FA">
        <w:rPr>
          <w:rFonts w:cstheme="minorHAnsi"/>
          <w:sz w:val="20"/>
          <w:szCs w:val="20"/>
        </w:rPr>
        <w:t xml:space="preserve"> with a lower proportion of married women, in comparison to the general Jewish population in Israel</w:t>
      </w:r>
      <w:r w:rsidR="00727506">
        <w:rPr>
          <w:rFonts w:cstheme="minorHAnsi"/>
          <w:sz w:val="20"/>
          <w:szCs w:val="20"/>
        </w:rPr>
        <w:t xml:space="preserve"> [1]</w:t>
      </w:r>
      <w:r w:rsidRPr="00A911FA">
        <w:rPr>
          <w:rFonts w:cstheme="minorHAnsi"/>
          <w:sz w:val="20"/>
          <w:szCs w:val="20"/>
        </w:rPr>
        <w:t>.</w:t>
      </w:r>
      <w:r w:rsidR="00745EAB" w:rsidRPr="00A911FA">
        <w:rPr>
          <w:rFonts w:cstheme="minorHAnsi"/>
          <w:sz w:val="20"/>
          <w:szCs w:val="20"/>
        </w:rPr>
        <w:t xml:space="preserve"> </w:t>
      </w:r>
      <w:r w:rsidRPr="00A911FA">
        <w:rPr>
          <w:rFonts w:cstheme="minorHAnsi"/>
          <w:sz w:val="20"/>
          <w:szCs w:val="20"/>
        </w:rPr>
        <w:t xml:space="preserve">The unique characteristics of this immigration </w:t>
      </w:r>
      <w:r w:rsidR="00A81BBB">
        <w:rPr>
          <w:rFonts w:cstheme="minorHAnsi"/>
          <w:sz w:val="20"/>
          <w:szCs w:val="20"/>
        </w:rPr>
        <w:t xml:space="preserve">group, which </w:t>
      </w:r>
      <w:r w:rsidRPr="00A911FA">
        <w:rPr>
          <w:rFonts w:cstheme="minorHAnsi"/>
          <w:sz w:val="20"/>
          <w:szCs w:val="20"/>
        </w:rPr>
        <w:t xml:space="preserve">includes educated, </w:t>
      </w:r>
      <w:r w:rsidR="00A81BBB">
        <w:rPr>
          <w:rFonts w:cstheme="minorHAnsi"/>
          <w:sz w:val="20"/>
          <w:szCs w:val="20"/>
        </w:rPr>
        <w:t xml:space="preserve">but </w:t>
      </w:r>
      <w:r w:rsidRPr="00A911FA">
        <w:rPr>
          <w:rFonts w:cstheme="minorHAnsi"/>
          <w:sz w:val="20"/>
          <w:szCs w:val="20"/>
        </w:rPr>
        <w:t xml:space="preserve">relatively low-income earners, </w:t>
      </w:r>
      <w:r w:rsidR="00A81BBB">
        <w:rPr>
          <w:rFonts w:cstheme="minorHAnsi"/>
          <w:sz w:val="20"/>
          <w:szCs w:val="20"/>
        </w:rPr>
        <w:t>prompted</w:t>
      </w:r>
      <w:r w:rsidRPr="00A911FA">
        <w:rPr>
          <w:rFonts w:cstheme="minorHAnsi"/>
          <w:sz w:val="20"/>
          <w:szCs w:val="20"/>
        </w:rPr>
        <w:t xml:space="preserve"> us to examine the role of income level in the relationship between immigration and mortality.</w:t>
      </w:r>
    </w:p>
    <w:p w:rsidR="003F50B7" w:rsidRPr="00A911FA" w:rsidRDefault="00A81BBB" w:rsidP="00A81BBB">
      <w:pPr>
        <w:rPr>
          <w:rFonts w:cstheme="minorHAnsi"/>
          <w:sz w:val="20"/>
          <w:szCs w:val="20"/>
        </w:rPr>
      </w:pPr>
      <w:r>
        <w:rPr>
          <w:rFonts w:cstheme="minorHAnsi"/>
          <w:sz w:val="20"/>
          <w:szCs w:val="20"/>
        </w:rPr>
        <w:t xml:space="preserve">This study aimed to </w:t>
      </w:r>
      <w:r w:rsidR="00A1484D" w:rsidRPr="00A911FA">
        <w:rPr>
          <w:rFonts w:cstheme="minorHAnsi"/>
          <w:sz w:val="20"/>
          <w:szCs w:val="20"/>
        </w:rPr>
        <w:t xml:space="preserve">examine the relationship between immigration and mortality from any cause of death, </w:t>
      </w:r>
      <w:r>
        <w:rPr>
          <w:rFonts w:cstheme="minorHAnsi"/>
          <w:sz w:val="20"/>
          <w:szCs w:val="20"/>
        </w:rPr>
        <w:t>by</w:t>
      </w:r>
      <w:r w:rsidR="00A1484D" w:rsidRPr="00A911FA">
        <w:rPr>
          <w:rFonts w:cstheme="minorHAnsi"/>
          <w:sz w:val="20"/>
          <w:szCs w:val="20"/>
        </w:rPr>
        <w:t xml:space="preserve"> income level, among </w:t>
      </w:r>
      <w:r>
        <w:rPr>
          <w:rFonts w:cstheme="minorHAnsi"/>
          <w:sz w:val="20"/>
          <w:szCs w:val="20"/>
        </w:rPr>
        <w:t xml:space="preserve">people </w:t>
      </w:r>
      <w:proofErr w:type="gramStart"/>
      <w:r w:rsidR="00A1484D" w:rsidRPr="00A911FA">
        <w:rPr>
          <w:rFonts w:cstheme="minorHAnsi"/>
          <w:sz w:val="20"/>
          <w:szCs w:val="20"/>
        </w:rPr>
        <w:t>immigra</w:t>
      </w:r>
      <w:r>
        <w:rPr>
          <w:rFonts w:cstheme="minorHAnsi"/>
          <w:sz w:val="20"/>
          <w:szCs w:val="20"/>
        </w:rPr>
        <w:t>ting</w:t>
      </w:r>
      <w:proofErr w:type="gramEnd"/>
      <w:r>
        <w:rPr>
          <w:rFonts w:cstheme="minorHAnsi"/>
          <w:sz w:val="20"/>
          <w:szCs w:val="20"/>
        </w:rPr>
        <w:t xml:space="preserve"> </w:t>
      </w:r>
      <w:r w:rsidR="00A1484D" w:rsidRPr="00A911FA">
        <w:rPr>
          <w:rFonts w:cstheme="minorHAnsi"/>
          <w:sz w:val="20"/>
          <w:szCs w:val="20"/>
        </w:rPr>
        <w:t xml:space="preserve">from the USSR </w:t>
      </w:r>
      <w:r>
        <w:rPr>
          <w:rFonts w:cstheme="minorHAnsi"/>
          <w:sz w:val="20"/>
          <w:szCs w:val="20"/>
        </w:rPr>
        <w:t>during 1990–</w:t>
      </w:r>
      <w:r w:rsidR="00A1484D" w:rsidRPr="00A911FA">
        <w:rPr>
          <w:rFonts w:cstheme="minorHAnsi"/>
          <w:sz w:val="20"/>
          <w:szCs w:val="20"/>
        </w:rPr>
        <w:t xml:space="preserve">1995, in comparison to veteran immigrants who, or their parents, </w:t>
      </w:r>
      <w:r>
        <w:rPr>
          <w:rFonts w:cstheme="minorHAnsi"/>
          <w:sz w:val="20"/>
          <w:szCs w:val="20"/>
        </w:rPr>
        <w:t xml:space="preserve">had </w:t>
      </w:r>
      <w:r w:rsidR="00A1484D" w:rsidRPr="00A911FA">
        <w:rPr>
          <w:rFonts w:cstheme="minorHAnsi"/>
          <w:sz w:val="20"/>
          <w:szCs w:val="20"/>
        </w:rPr>
        <w:t xml:space="preserve">immigrated from the USSR and Eastern Europe </w:t>
      </w:r>
      <w:r>
        <w:rPr>
          <w:rFonts w:cstheme="minorHAnsi"/>
          <w:sz w:val="20"/>
          <w:szCs w:val="20"/>
        </w:rPr>
        <w:t>by</w:t>
      </w:r>
      <w:r w:rsidR="00A1484D" w:rsidRPr="00A911FA">
        <w:rPr>
          <w:rFonts w:cstheme="minorHAnsi"/>
          <w:sz w:val="20"/>
          <w:szCs w:val="20"/>
        </w:rPr>
        <w:t xml:space="preserve"> 1960.</w:t>
      </w:r>
    </w:p>
    <w:p w:rsidR="00A1484D" w:rsidRPr="00A911FA" w:rsidRDefault="00BD12DC" w:rsidP="001E26C4">
      <w:pPr>
        <w:rPr>
          <w:rFonts w:cstheme="minorHAnsi"/>
          <w:b/>
          <w:bCs/>
          <w:sz w:val="20"/>
          <w:szCs w:val="20"/>
        </w:rPr>
      </w:pPr>
      <w:r w:rsidRPr="00A911FA">
        <w:rPr>
          <w:rFonts w:cstheme="minorHAnsi"/>
          <w:b/>
          <w:bCs/>
          <w:sz w:val="20"/>
          <w:szCs w:val="20"/>
        </w:rPr>
        <w:t>Methods</w:t>
      </w:r>
    </w:p>
    <w:p w:rsidR="005A4184" w:rsidRPr="00A911FA" w:rsidRDefault="00745EAB" w:rsidP="00A81BBB">
      <w:pPr>
        <w:rPr>
          <w:rFonts w:cstheme="minorHAnsi"/>
          <w:sz w:val="20"/>
          <w:szCs w:val="20"/>
        </w:rPr>
      </w:pPr>
      <w:r w:rsidRPr="00A911FA">
        <w:rPr>
          <w:rFonts w:cstheme="minorHAnsi"/>
          <w:sz w:val="20"/>
          <w:szCs w:val="20"/>
        </w:rPr>
        <w:t>Using data gathered from different sources (</w:t>
      </w:r>
      <w:r w:rsidR="00A81BBB">
        <w:rPr>
          <w:rFonts w:cstheme="minorHAnsi"/>
          <w:sz w:val="20"/>
          <w:szCs w:val="20"/>
        </w:rPr>
        <w:t>P</w:t>
      </w:r>
      <w:r w:rsidRPr="00A911FA">
        <w:rPr>
          <w:rFonts w:cstheme="minorHAnsi"/>
          <w:sz w:val="20"/>
          <w:szCs w:val="20"/>
        </w:rPr>
        <w:t xml:space="preserve">opulation </w:t>
      </w:r>
      <w:r w:rsidR="00A81BBB">
        <w:rPr>
          <w:rFonts w:cstheme="minorHAnsi"/>
          <w:sz w:val="20"/>
          <w:szCs w:val="20"/>
        </w:rPr>
        <w:t>R</w:t>
      </w:r>
      <w:r w:rsidRPr="00A911FA">
        <w:rPr>
          <w:rFonts w:cstheme="minorHAnsi"/>
          <w:sz w:val="20"/>
          <w:szCs w:val="20"/>
        </w:rPr>
        <w:t xml:space="preserve">egistry, </w:t>
      </w:r>
      <w:r w:rsidR="00A81BBB">
        <w:rPr>
          <w:rFonts w:cstheme="minorHAnsi"/>
          <w:sz w:val="20"/>
          <w:szCs w:val="20"/>
        </w:rPr>
        <w:t>T</w:t>
      </w:r>
      <w:r w:rsidRPr="00A911FA">
        <w:rPr>
          <w:rFonts w:cstheme="minorHAnsi"/>
          <w:sz w:val="20"/>
          <w:szCs w:val="20"/>
        </w:rPr>
        <w:t xml:space="preserve">ax </w:t>
      </w:r>
      <w:r w:rsidR="00A81BBB">
        <w:rPr>
          <w:rFonts w:cstheme="minorHAnsi"/>
          <w:sz w:val="20"/>
          <w:szCs w:val="20"/>
        </w:rPr>
        <w:t>A</w:t>
      </w:r>
      <w:r w:rsidRPr="00A911FA">
        <w:rPr>
          <w:rFonts w:cstheme="minorHAnsi"/>
          <w:sz w:val="20"/>
          <w:szCs w:val="20"/>
        </w:rPr>
        <w:t xml:space="preserve">uthority, </w:t>
      </w:r>
      <w:r w:rsidR="00A81BBB">
        <w:rPr>
          <w:rFonts w:cstheme="minorHAnsi"/>
          <w:sz w:val="20"/>
          <w:szCs w:val="20"/>
        </w:rPr>
        <w:t>E</w:t>
      </w:r>
      <w:r w:rsidRPr="00A911FA">
        <w:rPr>
          <w:rFonts w:cstheme="minorHAnsi"/>
          <w:sz w:val="20"/>
          <w:szCs w:val="20"/>
        </w:rPr>
        <w:t xml:space="preserve">ducation </w:t>
      </w:r>
      <w:r w:rsidR="00A81BBB">
        <w:rPr>
          <w:rFonts w:cstheme="minorHAnsi"/>
          <w:sz w:val="20"/>
          <w:szCs w:val="20"/>
        </w:rPr>
        <w:t>R</w:t>
      </w:r>
      <w:r w:rsidRPr="00A911FA">
        <w:rPr>
          <w:rFonts w:cstheme="minorHAnsi"/>
          <w:sz w:val="20"/>
          <w:szCs w:val="20"/>
        </w:rPr>
        <w:t>egistry, Ministry of Health), a retrospective cohort study was conducted on mortality by any cause of death during</w:t>
      </w:r>
      <w:r w:rsidR="005A4184" w:rsidRPr="00A911FA">
        <w:rPr>
          <w:rFonts w:cstheme="minorHAnsi"/>
          <w:sz w:val="20"/>
          <w:szCs w:val="20"/>
        </w:rPr>
        <w:t xml:space="preserve"> the 21 years from 1/1/1996 to 31/12/2016. The data were gathered and combined for this study by the Central Bureau of Statistics (CBS). Work on the combined file was conducted in the CBS research room.</w:t>
      </w:r>
    </w:p>
    <w:p w:rsidR="005A4184" w:rsidRPr="00A911FA" w:rsidRDefault="005A4184" w:rsidP="00A81BBB">
      <w:pPr>
        <w:rPr>
          <w:rFonts w:cstheme="minorHAnsi"/>
          <w:sz w:val="20"/>
          <w:szCs w:val="20"/>
        </w:rPr>
      </w:pPr>
      <w:r w:rsidRPr="00A911FA">
        <w:rPr>
          <w:rFonts w:cstheme="minorHAnsi"/>
          <w:sz w:val="20"/>
          <w:szCs w:val="20"/>
        </w:rPr>
        <w:lastRenderedPageBreak/>
        <w:t xml:space="preserve">This study was approved by the Ethics Committee of the Population Registry, Tax Authority and CBS. Moreover, all statistical analyses extracted from the CBS research room </w:t>
      </w:r>
      <w:r w:rsidR="00A81BBB">
        <w:rPr>
          <w:rFonts w:cstheme="minorHAnsi"/>
          <w:sz w:val="20"/>
          <w:szCs w:val="20"/>
        </w:rPr>
        <w:t>were</w:t>
      </w:r>
      <w:r w:rsidRPr="00A911FA">
        <w:rPr>
          <w:rFonts w:cstheme="minorHAnsi"/>
          <w:sz w:val="20"/>
          <w:szCs w:val="20"/>
        </w:rPr>
        <w:t xml:space="preserve"> approved as meeting ethical standards.</w:t>
      </w:r>
    </w:p>
    <w:p w:rsidR="005A4184" w:rsidRPr="00A911FA" w:rsidRDefault="005A4184" w:rsidP="001E26C4">
      <w:pPr>
        <w:rPr>
          <w:rFonts w:cstheme="minorHAnsi"/>
          <w:i/>
          <w:iCs/>
          <w:sz w:val="20"/>
          <w:szCs w:val="20"/>
        </w:rPr>
      </w:pPr>
      <w:r w:rsidRPr="00A911FA">
        <w:rPr>
          <w:rFonts w:cstheme="minorHAnsi"/>
          <w:i/>
          <w:iCs/>
          <w:sz w:val="20"/>
          <w:szCs w:val="20"/>
        </w:rPr>
        <w:t>Study population</w:t>
      </w:r>
    </w:p>
    <w:p w:rsidR="005A4184" w:rsidRPr="00A911FA" w:rsidRDefault="005A4184" w:rsidP="00A81BBB">
      <w:pPr>
        <w:rPr>
          <w:rFonts w:cstheme="minorHAnsi"/>
          <w:sz w:val="20"/>
          <w:szCs w:val="20"/>
        </w:rPr>
      </w:pPr>
      <w:r w:rsidRPr="00A911FA">
        <w:rPr>
          <w:rFonts w:cstheme="minorHAnsi"/>
          <w:sz w:val="20"/>
          <w:szCs w:val="20"/>
          <w:u w:val="single"/>
        </w:rPr>
        <w:t>Study group (immigrants)</w:t>
      </w:r>
      <w:r w:rsidRPr="00A911FA">
        <w:rPr>
          <w:rFonts w:cstheme="minorHAnsi"/>
          <w:sz w:val="20"/>
          <w:szCs w:val="20"/>
        </w:rPr>
        <w:t xml:space="preserve">: numbers 99,037 people born </w:t>
      </w:r>
      <w:r w:rsidR="00A81BBB">
        <w:rPr>
          <w:rFonts w:cstheme="minorHAnsi"/>
          <w:sz w:val="20"/>
          <w:szCs w:val="20"/>
        </w:rPr>
        <w:t>during 1940–</w:t>
      </w:r>
      <w:r w:rsidRPr="00A911FA">
        <w:rPr>
          <w:rFonts w:cstheme="minorHAnsi"/>
          <w:sz w:val="20"/>
          <w:szCs w:val="20"/>
        </w:rPr>
        <w:t xml:space="preserve">1955 who immigrated to Israel </w:t>
      </w:r>
      <w:r w:rsidR="00A81BBB">
        <w:rPr>
          <w:rFonts w:cstheme="minorHAnsi"/>
          <w:sz w:val="20"/>
          <w:szCs w:val="20"/>
        </w:rPr>
        <w:t>during</w:t>
      </w:r>
      <w:r w:rsidRPr="00A911FA">
        <w:rPr>
          <w:rFonts w:cstheme="minorHAnsi"/>
          <w:sz w:val="20"/>
          <w:szCs w:val="20"/>
        </w:rPr>
        <w:t xml:space="preserve"> 1990</w:t>
      </w:r>
      <w:r w:rsidR="00A81BBB">
        <w:rPr>
          <w:rFonts w:cstheme="minorHAnsi"/>
          <w:sz w:val="20"/>
          <w:szCs w:val="20"/>
        </w:rPr>
        <w:t>–</w:t>
      </w:r>
      <w:r w:rsidRPr="00A911FA">
        <w:rPr>
          <w:rFonts w:cstheme="minorHAnsi"/>
          <w:sz w:val="20"/>
          <w:szCs w:val="20"/>
        </w:rPr>
        <w:t xml:space="preserve">1995 and were born in </w:t>
      </w:r>
      <w:r w:rsidR="00A81BBB">
        <w:rPr>
          <w:rFonts w:cstheme="minorHAnsi"/>
          <w:sz w:val="20"/>
          <w:szCs w:val="20"/>
        </w:rPr>
        <w:t xml:space="preserve">a former Soviet state or </w:t>
      </w:r>
      <w:r w:rsidRPr="00A911FA">
        <w:rPr>
          <w:rFonts w:cstheme="minorHAnsi"/>
          <w:sz w:val="20"/>
          <w:szCs w:val="20"/>
        </w:rPr>
        <w:t>Eastern Europe</w:t>
      </w:r>
      <w:r w:rsidR="00A81BBB">
        <w:rPr>
          <w:rFonts w:cstheme="minorHAnsi"/>
          <w:sz w:val="20"/>
          <w:szCs w:val="20"/>
        </w:rPr>
        <w:t>an country</w:t>
      </w:r>
      <w:r w:rsidRPr="00A911FA">
        <w:rPr>
          <w:rFonts w:cstheme="minorHAnsi"/>
          <w:sz w:val="20"/>
          <w:szCs w:val="20"/>
        </w:rPr>
        <w:t xml:space="preserve">, not including Ukraine and Belarus (in this study we chose not to include immigrants that may have come </w:t>
      </w:r>
      <w:r w:rsidR="00A81BBB">
        <w:rPr>
          <w:rFonts w:cstheme="minorHAnsi"/>
          <w:sz w:val="20"/>
          <w:szCs w:val="20"/>
        </w:rPr>
        <w:t xml:space="preserve">from </w:t>
      </w:r>
      <w:r w:rsidRPr="00A911FA">
        <w:rPr>
          <w:rFonts w:cstheme="minorHAnsi"/>
          <w:sz w:val="20"/>
          <w:szCs w:val="20"/>
        </w:rPr>
        <w:t xml:space="preserve">the region of the Chernobyl disaster </w:t>
      </w:r>
      <w:r w:rsidRPr="00A911FA">
        <w:rPr>
          <w:rFonts w:cstheme="minorHAnsi"/>
          <w:sz w:val="20"/>
          <w:szCs w:val="20"/>
          <w:vertAlign w:val="superscript"/>
        </w:rPr>
        <w:t>9</w:t>
      </w:r>
      <w:r w:rsidRPr="00A911FA">
        <w:rPr>
          <w:rFonts w:cstheme="minorHAnsi"/>
          <w:sz w:val="20"/>
          <w:szCs w:val="20"/>
        </w:rPr>
        <w:t xml:space="preserve"> </w:t>
      </w:r>
      <w:r w:rsidR="00A81BBB">
        <w:rPr>
          <w:rFonts w:cstheme="minorHAnsi"/>
          <w:sz w:val="20"/>
          <w:szCs w:val="20"/>
        </w:rPr>
        <w:t>which</w:t>
      </w:r>
      <w:r w:rsidRPr="00A911FA">
        <w:rPr>
          <w:rFonts w:cstheme="minorHAnsi"/>
          <w:sz w:val="20"/>
          <w:szCs w:val="20"/>
        </w:rPr>
        <w:t xml:space="preserve"> is considered </w:t>
      </w:r>
      <w:r w:rsidR="00A81BBB">
        <w:rPr>
          <w:rFonts w:cstheme="minorHAnsi"/>
          <w:sz w:val="20"/>
          <w:szCs w:val="20"/>
        </w:rPr>
        <w:t xml:space="preserve">to have potentially </w:t>
      </w:r>
      <w:r w:rsidRPr="00A911FA">
        <w:rPr>
          <w:rFonts w:cstheme="minorHAnsi"/>
          <w:sz w:val="20"/>
          <w:szCs w:val="20"/>
        </w:rPr>
        <w:t>long-term health outcomes).</w:t>
      </w:r>
    </w:p>
    <w:p w:rsidR="005A4184" w:rsidRPr="00A911FA" w:rsidRDefault="005A4184" w:rsidP="00A81BBB">
      <w:pPr>
        <w:rPr>
          <w:rFonts w:cstheme="minorHAnsi"/>
          <w:sz w:val="20"/>
          <w:szCs w:val="20"/>
        </w:rPr>
      </w:pPr>
      <w:r w:rsidRPr="00A911FA">
        <w:rPr>
          <w:rFonts w:cstheme="minorHAnsi"/>
          <w:sz w:val="20"/>
          <w:szCs w:val="20"/>
          <w:u w:val="single"/>
        </w:rPr>
        <w:t>Control group</w:t>
      </w:r>
      <w:r w:rsidRPr="00A911FA">
        <w:rPr>
          <w:rFonts w:cstheme="minorHAnsi"/>
          <w:sz w:val="20"/>
          <w:szCs w:val="20"/>
        </w:rPr>
        <w:t xml:space="preserve">: numbers 119,150 Jews born </w:t>
      </w:r>
      <w:r w:rsidR="00A81BBB">
        <w:rPr>
          <w:rFonts w:cstheme="minorHAnsi"/>
          <w:sz w:val="20"/>
          <w:szCs w:val="20"/>
        </w:rPr>
        <w:t>during</w:t>
      </w:r>
      <w:r w:rsidRPr="00A911FA">
        <w:rPr>
          <w:rFonts w:cstheme="minorHAnsi"/>
          <w:sz w:val="20"/>
          <w:szCs w:val="20"/>
        </w:rPr>
        <w:t xml:space="preserve"> 1940</w:t>
      </w:r>
      <w:r w:rsidR="00A81BBB">
        <w:rPr>
          <w:rFonts w:cstheme="minorHAnsi"/>
          <w:sz w:val="20"/>
          <w:szCs w:val="20"/>
        </w:rPr>
        <w:t>–</w:t>
      </w:r>
      <w:r w:rsidRPr="00A911FA">
        <w:rPr>
          <w:rFonts w:cstheme="minorHAnsi"/>
          <w:sz w:val="20"/>
          <w:szCs w:val="20"/>
        </w:rPr>
        <w:t>1955 who, and/or one of their parents,</w:t>
      </w:r>
      <w:r w:rsidR="004C504E" w:rsidRPr="00A911FA">
        <w:rPr>
          <w:rFonts w:cstheme="minorHAnsi"/>
          <w:sz w:val="20"/>
          <w:szCs w:val="20"/>
        </w:rPr>
        <w:t xml:space="preserve"> were born in </w:t>
      </w:r>
      <w:r w:rsidR="00A81BBB">
        <w:rPr>
          <w:rFonts w:cstheme="minorHAnsi"/>
          <w:sz w:val="20"/>
          <w:szCs w:val="20"/>
        </w:rPr>
        <w:t xml:space="preserve">an </w:t>
      </w:r>
      <w:r w:rsidR="004C504E" w:rsidRPr="00A911FA">
        <w:rPr>
          <w:rFonts w:cstheme="minorHAnsi"/>
          <w:sz w:val="20"/>
          <w:szCs w:val="20"/>
        </w:rPr>
        <w:t>Eastern Europe</w:t>
      </w:r>
      <w:r w:rsidR="00A81BBB">
        <w:rPr>
          <w:rFonts w:cstheme="minorHAnsi"/>
          <w:sz w:val="20"/>
          <w:szCs w:val="20"/>
        </w:rPr>
        <w:t>an</w:t>
      </w:r>
      <w:r w:rsidR="004C504E" w:rsidRPr="00A911FA">
        <w:rPr>
          <w:rFonts w:cstheme="minorHAnsi"/>
          <w:sz w:val="20"/>
          <w:szCs w:val="20"/>
        </w:rPr>
        <w:t xml:space="preserve"> </w:t>
      </w:r>
      <w:r w:rsidR="00A81BBB">
        <w:rPr>
          <w:rFonts w:cstheme="minorHAnsi"/>
          <w:sz w:val="20"/>
          <w:szCs w:val="20"/>
        </w:rPr>
        <w:t xml:space="preserve">country </w:t>
      </w:r>
      <w:r w:rsidR="004C504E" w:rsidRPr="00A911FA">
        <w:rPr>
          <w:rFonts w:cstheme="minorHAnsi"/>
          <w:sz w:val="20"/>
          <w:szCs w:val="20"/>
        </w:rPr>
        <w:t xml:space="preserve">or </w:t>
      </w:r>
      <w:r w:rsidR="00A81BBB">
        <w:rPr>
          <w:rFonts w:cstheme="minorHAnsi"/>
          <w:sz w:val="20"/>
          <w:szCs w:val="20"/>
        </w:rPr>
        <w:t xml:space="preserve">former Soviet state </w:t>
      </w:r>
      <w:r w:rsidR="004C504E" w:rsidRPr="00A911FA">
        <w:rPr>
          <w:rFonts w:cstheme="minorHAnsi"/>
          <w:sz w:val="20"/>
          <w:szCs w:val="20"/>
        </w:rPr>
        <w:t>(including Ukraine and Belarus) and reached Israel by 1960.</w:t>
      </w:r>
    </w:p>
    <w:p w:rsidR="004C504E" w:rsidRPr="00A911FA" w:rsidRDefault="004C504E" w:rsidP="001E26C4">
      <w:pPr>
        <w:rPr>
          <w:rFonts w:cstheme="minorHAnsi"/>
          <w:i/>
          <w:iCs/>
          <w:sz w:val="20"/>
          <w:szCs w:val="20"/>
        </w:rPr>
      </w:pPr>
      <w:r w:rsidRPr="00A911FA">
        <w:rPr>
          <w:rFonts w:cstheme="minorHAnsi"/>
          <w:i/>
          <w:iCs/>
          <w:sz w:val="20"/>
          <w:szCs w:val="20"/>
        </w:rPr>
        <w:t>Research variables</w:t>
      </w:r>
    </w:p>
    <w:p w:rsidR="004C504E" w:rsidRPr="00A911FA" w:rsidRDefault="004C504E" w:rsidP="001E26C4">
      <w:pPr>
        <w:rPr>
          <w:rFonts w:cstheme="minorHAnsi"/>
          <w:sz w:val="20"/>
          <w:szCs w:val="20"/>
        </w:rPr>
      </w:pPr>
      <w:r w:rsidRPr="00A911FA">
        <w:rPr>
          <w:rFonts w:cstheme="minorHAnsi"/>
          <w:sz w:val="20"/>
          <w:szCs w:val="20"/>
        </w:rPr>
        <w:t xml:space="preserve">The variables: year of birth, gender, country of birth, year of immigration </w:t>
      </w:r>
      <w:r w:rsidR="00A81BBB">
        <w:rPr>
          <w:rFonts w:cstheme="minorHAnsi"/>
          <w:sz w:val="20"/>
          <w:szCs w:val="20"/>
        </w:rPr>
        <w:t xml:space="preserve">to </w:t>
      </w:r>
      <w:r w:rsidRPr="00A911FA">
        <w:rPr>
          <w:rFonts w:cstheme="minorHAnsi"/>
          <w:sz w:val="20"/>
          <w:szCs w:val="20"/>
        </w:rPr>
        <w:t>and/or emigration from Israel were obtained from the Population Registry.</w:t>
      </w:r>
    </w:p>
    <w:p w:rsidR="004C504E" w:rsidRPr="00A911FA" w:rsidRDefault="004C504E" w:rsidP="001E26C4">
      <w:pPr>
        <w:rPr>
          <w:rFonts w:cstheme="minorHAnsi"/>
          <w:sz w:val="20"/>
          <w:szCs w:val="20"/>
        </w:rPr>
      </w:pPr>
      <w:r w:rsidRPr="00A911FA">
        <w:rPr>
          <w:rFonts w:cstheme="minorHAnsi"/>
          <w:sz w:val="20"/>
          <w:szCs w:val="20"/>
        </w:rPr>
        <w:t xml:space="preserve">We combined ‘marital </w:t>
      </w:r>
      <w:proofErr w:type="gramStart"/>
      <w:r w:rsidRPr="00A911FA">
        <w:rPr>
          <w:rFonts w:cstheme="minorHAnsi"/>
          <w:sz w:val="20"/>
          <w:szCs w:val="20"/>
        </w:rPr>
        <w:t>status’</w:t>
      </w:r>
      <w:proofErr w:type="gramEnd"/>
      <w:r w:rsidRPr="00A911FA">
        <w:rPr>
          <w:rFonts w:cstheme="minorHAnsi"/>
          <w:sz w:val="20"/>
          <w:szCs w:val="20"/>
        </w:rPr>
        <w:t xml:space="preserve"> at the beginning of the monitoring period, as obtained from the Population Registry, with the dichotomous variable ‘married/not married’ at the beginning of the monitoring period.</w:t>
      </w:r>
    </w:p>
    <w:p w:rsidR="004C504E" w:rsidRPr="00A911FA" w:rsidRDefault="004C504E" w:rsidP="00B9331B">
      <w:pPr>
        <w:rPr>
          <w:rFonts w:cstheme="minorHAnsi"/>
          <w:sz w:val="20"/>
          <w:szCs w:val="20"/>
        </w:rPr>
      </w:pPr>
      <w:r w:rsidRPr="00A911FA">
        <w:rPr>
          <w:rFonts w:cstheme="minorHAnsi"/>
          <w:sz w:val="20"/>
          <w:szCs w:val="20"/>
        </w:rPr>
        <w:t xml:space="preserve">Socioeconomic status </w:t>
      </w:r>
      <w:r w:rsidR="00B9331B" w:rsidRPr="00A911FA">
        <w:rPr>
          <w:rFonts w:cstheme="minorHAnsi"/>
          <w:sz w:val="20"/>
          <w:szCs w:val="20"/>
        </w:rPr>
        <w:t>by</w:t>
      </w:r>
      <w:r w:rsidRPr="00A911FA">
        <w:rPr>
          <w:rFonts w:cstheme="minorHAnsi"/>
          <w:sz w:val="20"/>
          <w:szCs w:val="20"/>
        </w:rPr>
        <w:t xml:space="preserve"> residential area was obtained from the Population Registry at levels of 1-10 as defined by the national census of the State of Israel. We class</w:t>
      </w:r>
      <w:r w:rsidR="00653545">
        <w:rPr>
          <w:rFonts w:cstheme="minorHAnsi"/>
          <w:sz w:val="20"/>
          <w:szCs w:val="20"/>
        </w:rPr>
        <w:t>ifi</w:t>
      </w:r>
      <w:r w:rsidRPr="00A911FA">
        <w:rPr>
          <w:rFonts w:cstheme="minorHAnsi"/>
          <w:sz w:val="20"/>
          <w:szCs w:val="20"/>
        </w:rPr>
        <w:t xml:space="preserve">ed this variable into low (1-5), </w:t>
      </w:r>
      <w:r w:rsidR="00AD74FF" w:rsidRPr="00A911FA">
        <w:rPr>
          <w:rFonts w:cstheme="minorHAnsi"/>
          <w:sz w:val="20"/>
          <w:szCs w:val="20"/>
        </w:rPr>
        <w:t>middle</w:t>
      </w:r>
      <w:r w:rsidRPr="00A911FA">
        <w:rPr>
          <w:rFonts w:cstheme="minorHAnsi"/>
          <w:sz w:val="20"/>
          <w:szCs w:val="20"/>
        </w:rPr>
        <w:t xml:space="preserve"> (6-7) and high (8-10) socioeconomic status.</w:t>
      </w:r>
    </w:p>
    <w:p w:rsidR="00E279B5" w:rsidRPr="00A911FA" w:rsidRDefault="00B63B55" w:rsidP="00653545">
      <w:pPr>
        <w:rPr>
          <w:rFonts w:cstheme="minorHAnsi"/>
          <w:sz w:val="20"/>
          <w:szCs w:val="20"/>
        </w:rPr>
      </w:pPr>
      <w:r w:rsidRPr="00A911FA">
        <w:rPr>
          <w:rFonts w:cstheme="minorHAnsi"/>
          <w:sz w:val="20"/>
          <w:szCs w:val="20"/>
        </w:rPr>
        <w:t>I</w:t>
      </w:r>
      <w:r w:rsidR="004C504E" w:rsidRPr="00A911FA">
        <w:rPr>
          <w:rFonts w:cstheme="minorHAnsi"/>
          <w:sz w:val="20"/>
          <w:szCs w:val="20"/>
        </w:rPr>
        <w:t xml:space="preserve">ncome </w:t>
      </w:r>
      <w:r w:rsidRPr="00A911FA">
        <w:rPr>
          <w:rFonts w:cstheme="minorHAnsi"/>
          <w:sz w:val="20"/>
          <w:szCs w:val="20"/>
        </w:rPr>
        <w:t xml:space="preserve">level </w:t>
      </w:r>
      <w:r w:rsidR="004C504E" w:rsidRPr="00A911FA">
        <w:rPr>
          <w:rFonts w:cstheme="minorHAnsi"/>
          <w:sz w:val="20"/>
          <w:szCs w:val="20"/>
        </w:rPr>
        <w:t xml:space="preserve">was </w:t>
      </w:r>
      <w:r w:rsidRPr="00A911FA">
        <w:rPr>
          <w:rFonts w:cstheme="minorHAnsi"/>
          <w:sz w:val="20"/>
          <w:szCs w:val="20"/>
        </w:rPr>
        <w:t xml:space="preserve">determined </w:t>
      </w:r>
      <w:r w:rsidR="004C504E" w:rsidRPr="00A911FA">
        <w:rPr>
          <w:rFonts w:cstheme="minorHAnsi"/>
          <w:sz w:val="20"/>
          <w:szCs w:val="20"/>
        </w:rPr>
        <w:t xml:space="preserve">according to the highest relative income </w:t>
      </w:r>
      <w:r w:rsidRPr="00A911FA">
        <w:rPr>
          <w:rFonts w:cstheme="minorHAnsi"/>
          <w:sz w:val="20"/>
          <w:szCs w:val="20"/>
        </w:rPr>
        <w:t xml:space="preserve">level </w:t>
      </w:r>
      <w:r w:rsidR="004C504E" w:rsidRPr="00A911FA">
        <w:rPr>
          <w:rFonts w:cstheme="minorHAnsi"/>
          <w:sz w:val="20"/>
          <w:szCs w:val="20"/>
        </w:rPr>
        <w:t xml:space="preserve">per individual during the monitoring period, based on data obtained from the Tax Authority regarding individual income from wages or from annual business </w:t>
      </w:r>
      <w:r w:rsidRPr="00A911FA">
        <w:rPr>
          <w:rFonts w:cstheme="minorHAnsi"/>
          <w:sz w:val="20"/>
          <w:szCs w:val="20"/>
        </w:rPr>
        <w:t>earnings</w:t>
      </w:r>
      <w:r w:rsidR="004C504E" w:rsidRPr="00A911FA">
        <w:rPr>
          <w:rFonts w:cstheme="minorHAnsi"/>
          <w:sz w:val="20"/>
          <w:szCs w:val="20"/>
        </w:rPr>
        <w:t xml:space="preserve"> (not including income from dividends, national insurance or any other income which is not wages or self-employed work).</w:t>
      </w:r>
      <w:r w:rsidR="00E279B5" w:rsidRPr="00A911FA">
        <w:rPr>
          <w:rFonts w:cstheme="minorHAnsi"/>
          <w:sz w:val="20"/>
          <w:szCs w:val="20"/>
        </w:rPr>
        <w:t xml:space="preserve"> To build a combined variable that represents the highest relative income </w:t>
      </w:r>
      <w:r w:rsidRPr="00A911FA">
        <w:rPr>
          <w:rFonts w:cstheme="minorHAnsi"/>
          <w:sz w:val="20"/>
          <w:szCs w:val="20"/>
        </w:rPr>
        <w:t xml:space="preserve">level </w:t>
      </w:r>
      <w:r w:rsidR="00E279B5" w:rsidRPr="00A911FA">
        <w:rPr>
          <w:rFonts w:cstheme="minorHAnsi"/>
          <w:sz w:val="20"/>
          <w:szCs w:val="20"/>
        </w:rPr>
        <w:t xml:space="preserve">per individual during the monitoring period, we initially examined the distribution of annual income, and for each of these years the income </w:t>
      </w:r>
      <w:r w:rsidRPr="00A911FA">
        <w:rPr>
          <w:rFonts w:cstheme="minorHAnsi"/>
          <w:sz w:val="20"/>
          <w:szCs w:val="20"/>
        </w:rPr>
        <w:t xml:space="preserve">level </w:t>
      </w:r>
      <w:r w:rsidR="00E279B5" w:rsidRPr="00A911FA">
        <w:rPr>
          <w:rFonts w:cstheme="minorHAnsi"/>
          <w:sz w:val="20"/>
          <w:szCs w:val="20"/>
        </w:rPr>
        <w:t xml:space="preserve">was combined and classified according to </w:t>
      </w:r>
      <w:proofErr w:type="spellStart"/>
      <w:r w:rsidR="00E279B5" w:rsidRPr="00A911FA">
        <w:rPr>
          <w:rFonts w:cstheme="minorHAnsi"/>
          <w:sz w:val="20"/>
          <w:szCs w:val="20"/>
        </w:rPr>
        <w:t>deciles</w:t>
      </w:r>
      <w:proofErr w:type="spellEnd"/>
      <w:r w:rsidR="00E279B5" w:rsidRPr="00A911FA">
        <w:rPr>
          <w:rFonts w:cstheme="minorHAnsi"/>
          <w:sz w:val="20"/>
          <w:szCs w:val="20"/>
        </w:rPr>
        <w:t>. These variables were classified as a combined level of income into three categories:</w:t>
      </w:r>
      <w:r w:rsidR="00920D04" w:rsidRPr="00A911FA">
        <w:rPr>
          <w:rFonts w:cstheme="minorHAnsi"/>
          <w:sz w:val="20"/>
          <w:szCs w:val="20"/>
        </w:rPr>
        <w:t xml:space="preserve"> </w:t>
      </w:r>
      <w:r w:rsidR="00E279B5" w:rsidRPr="00A911FA">
        <w:rPr>
          <w:rFonts w:cstheme="minorHAnsi"/>
          <w:sz w:val="20"/>
          <w:szCs w:val="20"/>
        </w:rPr>
        <w:t xml:space="preserve">Low 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individual reached a relative income </w:t>
      </w:r>
      <w:r w:rsidRPr="00A911FA">
        <w:rPr>
          <w:rFonts w:cstheme="minorHAnsi"/>
          <w:sz w:val="20"/>
          <w:szCs w:val="20"/>
        </w:rPr>
        <w:t xml:space="preserve">level </w:t>
      </w:r>
      <w:r w:rsidR="00E279B5" w:rsidRPr="00A911FA">
        <w:rPr>
          <w:rFonts w:cstheme="minorHAnsi"/>
          <w:sz w:val="20"/>
          <w:szCs w:val="20"/>
        </w:rPr>
        <w:t xml:space="preserve">of </w:t>
      </w:r>
      <w:proofErr w:type="spellStart"/>
      <w:r w:rsidR="00E279B5" w:rsidRPr="00A911FA">
        <w:rPr>
          <w:rFonts w:cstheme="minorHAnsi"/>
          <w:sz w:val="20"/>
          <w:szCs w:val="20"/>
        </w:rPr>
        <w:t>decile</w:t>
      </w:r>
      <w:proofErr w:type="spellEnd"/>
      <w:r w:rsidR="00727506">
        <w:rPr>
          <w:rFonts w:cstheme="minorHAnsi"/>
          <w:sz w:val="20"/>
          <w:szCs w:val="20"/>
        </w:rPr>
        <w:t xml:space="preserve"> 3</w:t>
      </w:r>
      <w:r w:rsidR="00E279B5" w:rsidRPr="00A911FA">
        <w:rPr>
          <w:rFonts w:cstheme="minorHAnsi"/>
          <w:sz w:val="20"/>
          <w:szCs w:val="20"/>
        </w:rPr>
        <w:t>, at the most</w:t>
      </w:r>
      <w:r w:rsidR="00920D04" w:rsidRPr="00A911FA">
        <w:rPr>
          <w:rFonts w:cstheme="minorHAnsi"/>
          <w:sz w:val="20"/>
          <w:szCs w:val="20"/>
        </w:rPr>
        <w:t xml:space="preserve">; </w:t>
      </w:r>
      <w:r w:rsidRPr="00A911FA">
        <w:rPr>
          <w:rFonts w:cstheme="minorHAnsi"/>
          <w:sz w:val="20"/>
          <w:szCs w:val="20"/>
        </w:rPr>
        <w:t xml:space="preserve">Middle </w:t>
      </w:r>
      <w:r w:rsidR="00E279B5" w:rsidRPr="00A911FA">
        <w:rPr>
          <w:rFonts w:cstheme="minorHAnsi"/>
          <w:sz w:val="20"/>
          <w:szCs w:val="20"/>
        </w:rPr>
        <w:t xml:space="preserve">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highest relative income </w:t>
      </w:r>
      <w:r w:rsidRPr="00A911FA">
        <w:rPr>
          <w:rFonts w:cstheme="minorHAnsi"/>
          <w:sz w:val="20"/>
          <w:szCs w:val="20"/>
        </w:rPr>
        <w:t xml:space="preserve">level </w:t>
      </w:r>
      <w:r w:rsidR="00E279B5" w:rsidRPr="00A911FA">
        <w:rPr>
          <w:rFonts w:cstheme="minorHAnsi"/>
          <w:sz w:val="20"/>
          <w:szCs w:val="20"/>
        </w:rPr>
        <w:t xml:space="preserve">of the individual during this period stood </w:t>
      </w:r>
      <w:r w:rsidR="00653545">
        <w:rPr>
          <w:rFonts w:cstheme="minorHAnsi"/>
          <w:sz w:val="20"/>
          <w:szCs w:val="20"/>
        </w:rPr>
        <w:t>at</w:t>
      </w:r>
      <w:r w:rsidR="00E279B5" w:rsidRPr="00A911FA">
        <w:rPr>
          <w:rFonts w:cstheme="minorHAnsi"/>
          <w:sz w:val="20"/>
          <w:szCs w:val="20"/>
        </w:rPr>
        <w:t xml:space="preserve"> </w:t>
      </w:r>
      <w:proofErr w:type="spellStart"/>
      <w:r w:rsidR="00920D04" w:rsidRPr="00A911FA">
        <w:rPr>
          <w:rFonts w:cstheme="minorHAnsi"/>
          <w:sz w:val="20"/>
          <w:szCs w:val="20"/>
        </w:rPr>
        <w:t>deciles</w:t>
      </w:r>
      <w:proofErr w:type="spellEnd"/>
      <w:r w:rsidR="00727506">
        <w:rPr>
          <w:rFonts w:cstheme="minorHAnsi"/>
          <w:sz w:val="20"/>
          <w:szCs w:val="20"/>
        </w:rPr>
        <w:t xml:space="preserve"> 4–7</w:t>
      </w:r>
      <w:r w:rsidR="00920D04" w:rsidRPr="00A911FA">
        <w:rPr>
          <w:rFonts w:cstheme="minorHAnsi"/>
          <w:sz w:val="20"/>
          <w:szCs w:val="20"/>
        </w:rPr>
        <w:t xml:space="preserve">; and </w:t>
      </w:r>
      <w:r w:rsidR="00E279B5" w:rsidRPr="00A911FA">
        <w:rPr>
          <w:rFonts w:cstheme="minorHAnsi"/>
          <w:sz w:val="20"/>
          <w:szCs w:val="20"/>
        </w:rPr>
        <w:t xml:space="preserve">High income </w:t>
      </w:r>
      <w:r w:rsidRPr="00A911FA">
        <w:rPr>
          <w:rFonts w:cstheme="minorHAnsi"/>
          <w:sz w:val="20"/>
          <w:szCs w:val="20"/>
        </w:rPr>
        <w:t>level</w:t>
      </w:r>
      <w:r w:rsidR="00920D04" w:rsidRPr="00A911FA">
        <w:rPr>
          <w:rFonts w:cstheme="minorHAnsi"/>
          <w:sz w:val="20"/>
          <w:szCs w:val="20"/>
        </w:rPr>
        <w:t>,</w:t>
      </w:r>
      <w:r w:rsidR="00E279B5" w:rsidRPr="00A911FA">
        <w:rPr>
          <w:rFonts w:cstheme="minorHAnsi"/>
          <w:sz w:val="20"/>
          <w:szCs w:val="20"/>
        </w:rPr>
        <w:t xml:space="preserve"> in which the highest relative income </w:t>
      </w:r>
      <w:r w:rsidRPr="00A911FA">
        <w:rPr>
          <w:rFonts w:cstheme="minorHAnsi"/>
          <w:sz w:val="20"/>
          <w:szCs w:val="20"/>
        </w:rPr>
        <w:t xml:space="preserve">level </w:t>
      </w:r>
      <w:r w:rsidR="00E279B5" w:rsidRPr="00A911FA">
        <w:rPr>
          <w:rFonts w:cstheme="minorHAnsi"/>
          <w:sz w:val="20"/>
          <w:szCs w:val="20"/>
        </w:rPr>
        <w:t xml:space="preserve">of the individual during this period stood </w:t>
      </w:r>
      <w:r w:rsidR="00653545">
        <w:rPr>
          <w:rFonts w:cstheme="minorHAnsi"/>
          <w:sz w:val="20"/>
          <w:szCs w:val="20"/>
        </w:rPr>
        <w:t>at</w:t>
      </w:r>
      <w:r w:rsidR="00E279B5" w:rsidRPr="00A911FA">
        <w:rPr>
          <w:rFonts w:cstheme="minorHAnsi"/>
          <w:sz w:val="20"/>
          <w:szCs w:val="20"/>
        </w:rPr>
        <w:t xml:space="preserve"> </w:t>
      </w:r>
      <w:proofErr w:type="spellStart"/>
      <w:r w:rsidR="00E279B5" w:rsidRPr="00A911FA">
        <w:rPr>
          <w:rFonts w:cstheme="minorHAnsi"/>
          <w:sz w:val="20"/>
          <w:szCs w:val="20"/>
        </w:rPr>
        <w:t>deciles</w:t>
      </w:r>
      <w:proofErr w:type="spellEnd"/>
      <w:r w:rsidR="00727506">
        <w:rPr>
          <w:rFonts w:cstheme="minorHAnsi"/>
          <w:sz w:val="20"/>
          <w:szCs w:val="20"/>
        </w:rPr>
        <w:t xml:space="preserve"> 8–10</w:t>
      </w:r>
      <w:r w:rsidR="00E279B5" w:rsidRPr="00A911FA">
        <w:rPr>
          <w:rFonts w:cstheme="minorHAnsi"/>
          <w:sz w:val="20"/>
          <w:szCs w:val="20"/>
        </w:rPr>
        <w:t>.</w:t>
      </w:r>
    </w:p>
    <w:p w:rsidR="00E279B5" w:rsidRPr="00A911FA" w:rsidRDefault="00B63B55" w:rsidP="00653545">
      <w:pPr>
        <w:tabs>
          <w:tab w:val="left" w:pos="2250"/>
        </w:tabs>
        <w:rPr>
          <w:rFonts w:cstheme="minorHAnsi"/>
          <w:sz w:val="20"/>
          <w:szCs w:val="20"/>
        </w:rPr>
      </w:pPr>
      <w:r w:rsidRPr="00A911FA">
        <w:rPr>
          <w:rFonts w:cstheme="minorHAnsi"/>
          <w:sz w:val="20"/>
          <w:szCs w:val="20"/>
        </w:rPr>
        <w:t>E</w:t>
      </w:r>
      <w:r w:rsidR="00E279B5" w:rsidRPr="00A911FA">
        <w:rPr>
          <w:rFonts w:cstheme="minorHAnsi"/>
          <w:sz w:val="20"/>
          <w:szCs w:val="20"/>
        </w:rPr>
        <w:t xml:space="preserve">ducation </w:t>
      </w:r>
      <w:r w:rsidRPr="00A911FA">
        <w:rPr>
          <w:rFonts w:cstheme="minorHAnsi"/>
          <w:sz w:val="20"/>
          <w:szCs w:val="20"/>
        </w:rPr>
        <w:t xml:space="preserve">level </w:t>
      </w:r>
      <w:r w:rsidR="00E279B5" w:rsidRPr="00A911FA">
        <w:rPr>
          <w:rFonts w:cstheme="minorHAnsi"/>
          <w:sz w:val="20"/>
          <w:szCs w:val="20"/>
        </w:rPr>
        <w:t xml:space="preserve">was constructed using data obtained from the Education Registry, managed by the CBS and based on education data from different sources such as: academic institutions, administrative files, surveys, censuses, administrative data and more. We </w:t>
      </w:r>
      <w:r w:rsidR="00653545">
        <w:rPr>
          <w:rFonts w:cstheme="minorHAnsi"/>
          <w:sz w:val="20"/>
          <w:szCs w:val="20"/>
        </w:rPr>
        <w:t xml:space="preserve">classified </w:t>
      </w:r>
      <w:r w:rsidR="00E279B5" w:rsidRPr="00A911FA">
        <w:rPr>
          <w:rFonts w:cstheme="minorHAnsi"/>
          <w:sz w:val="20"/>
          <w:szCs w:val="20"/>
        </w:rPr>
        <w:t xml:space="preserve">these data into three categories </w:t>
      </w:r>
      <w:r w:rsidR="00653545">
        <w:rPr>
          <w:rFonts w:cstheme="minorHAnsi"/>
          <w:sz w:val="20"/>
          <w:szCs w:val="20"/>
        </w:rPr>
        <w:t xml:space="preserve">education </w:t>
      </w:r>
      <w:r w:rsidR="00E279B5" w:rsidRPr="00A911FA">
        <w:rPr>
          <w:rFonts w:cstheme="minorHAnsi"/>
          <w:sz w:val="20"/>
          <w:szCs w:val="20"/>
        </w:rPr>
        <w:t>level:</w:t>
      </w:r>
      <w:r w:rsidR="001E26C4" w:rsidRPr="00A911FA">
        <w:rPr>
          <w:rFonts w:cstheme="minorHAnsi"/>
          <w:sz w:val="20"/>
          <w:szCs w:val="20"/>
        </w:rPr>
        <w:t xml:space="preserve"> </w:t>
      </w:r>
      <w:r w:rsidR="00E279B5" w:rsidRPr="00A911FA">
        <w:rPr>
          <w:rFonts w:cstheme="minorHAnsi"/>
          <w:sz w:val="20"/>
          <w:szCs w:val="20"/>
        </w:rPr>
        <w:t>High – 15 years of education or more</w:t>
      </w:r>
      <w:r w:rsidR="001E26C4" w:rsidRPr="00A911FA">
        <w:rPr>
          <w:rFonts w:cstheme="minorHAnsi"/>
          <w:sz w:val="20"/>
          <w:szCs w:val="20"/>
        </w:rPr>
        <w:t xml:space="preserve">; </w:t>
      </w:r>
      <w:r w:rsidR="00E279B5" w:rsidRPr="00A911FA">
        <w:rPr>
          <w:rFonts w:cstheme="minorHAnsi"/>
          <w:sz w:val="20"/>
          <w:szCs w:val="20"/>
        </w:rPr>
        <w:t>Intermediate – 11-14 years of education</w:t>
      </w:r>
      <w:r w:rsidR="001E26C4" w:rsidRPr="00A911FA">
        <w:rPr>
          <w:rFonts w:cstheme="minorHAnsi"/>
          <w:sz w:val="20"/>
          <w:szCs w:val="20"/>
        </w:rPr>
        <w:t xml:space="preserve">; </w:t>
      </w:r>
      <w:r w:rsidR="00E279B5" w:rsidRPr="00A911FA">
        <w:rPr>
          <w:rFonts w:cstheme="minorHAnsi"/>
          <w:sz w:val="20"/>
          <w:szCs w:val="20"/>
        </w:rPr>
        <w:t>Low – up to 10 years of education</w:t>
      </w:r>
      <w:r w:rsidR="001E26C4" w:rsidRPr="00A911FA">
        <w:rPr>
          <w:rFonts w:cstheme="minorHAnsi"/>
          <w:sz w:val="20"/>
          <w:szCs w:val="20"/>
        </w:rPr>
        <w:t xml:space="preserve">. </w:t>
      </w:r>
      <w:r w:rsidR="00E279B5" w:rsidRPr="00A911FA">
        <w:rPr>
          <w:rFonts w:cstheme="minorHAnsi"/>
          <w:sz w:val="20"/>
          <w:szCs w:val="20"/>
        </w:rPr>
        <w:t>The effect variable</w:t>
      </w:r>
      <w:r w:rsidR="00285893" w:rsidRPr="00A911FA">
        <w:rPr>
          <w:rFonts w:cstheme="minorHAnsi"/>
          <w:sz w:val="20"/>
          <w:szCs w:val="20"/>
        </w:rPr>
        <w:t>s</w:t>
      </w:r>
      <w:r w:rsidR="00E279B5" w:rsidRPr="00A911FA">
        <w:rPr>
          <w:rFonts w:cstheme="minorHAnsi"/>
          <w:sz w:val="20"/>
          <w:szCs w:val="20"/>
        </w:rPr>
        <w:t xml:space="preserve"> for this study</w:t>
      </w:r>
      <w:r w:rsidR="00285893" w:rsidRPr="00A911FA">
        <w:rPr>
          <w:rFonts w:cstheme="minorHAnsi"/>
          <w:sz w:val="20"/>
          <w:szCs w:val="20"/>
        </w:rPr>
        <w:t xml:space="preserve"> – mortality and year of death – were obtained from the Ministry of Health.</w:t>
      </w:r>
    </w:p>
    <w:p w:rsidR="00285893" w:rsidRPr="00A911FA" w:rsidRDefault="00285893" w:rsidP="001E26C4">
      <w:pPr>
        <w:rPr>
          <w:rFonts w:cstheme="minorHAnsi"/>
          <w:i/>
          <w:iCs/>
          <w:sz w:val="20"/>
          <w:szCs w:val="20"/>
        </w:rPr>
      </w:pPr>
      <w:r w:rsidRPr="00A911FA">
        <w:rPr>
          <w:rFonts w:cstheme="minorHAnsi"/>
          <w:i/>
          <w:iCs/>
          <w:sz w:val="20"/>
          <w:szCs w:val="20"/>
        </w:rPr>
        <w:t>Statistical analysis</w:t>
      </w:r>
    </w:p>
    <w:p w:rsidR="00285893" w:rsidRPr="00A911FA" w:rsidRDefault="00285893" w:rsidP="00B9331B">
      <w:pPr>
        <w:rPr>
          <w:rFonts w:cstheme="minorHAnsi"/>
          <w:sz w:val="20"/>
          <w:szCs w:val="20"/>
        </w:rPr>
      </w:pPr>
      <w:r w:rsidRPr="00A911FA">
        <w:rPr>
          <w:rFonts w:cstheme="minorHAnsi"/>
          <w:sz w:val="20"/>
          <w:szCs w:val="20"/>
        </w:rPr>
        <w:t xml:space="preserve">First stage – we examined the distribution of the variables: gender, age, marital status, education, socioeconomic </w:t>
      </w:r>
      <w:r w:rsidR="00B9331B" w:rsidRPr="00A911FA">
        <w:rPr>
          <w:rFonts w:cstheme="minorHAnsi"/>
          <w:sz w:val="20"/>
          <w:szCs w:val="20"/>
        </w:rPr>
        <w:t xml:space="preserve">status </w:t>
      </w:r>
      <w:r w:rsidRPr="00A911FA">
        <w:rPr>
          <w:rFonts w:cstheme="minorHAnsi"/>
          <w:sz w:val="20"/>
          <w:szCs w:val="20"/>
        </w:rPr>
        <w:t>by residential area and immigration/emigration of immigrants and non-immigrants. The level of significance of differences between the groups was calculated by χ</w:t>
      </w:r>
      <w:r w:rsidRPr="00A911FA">
        <w:rPr>
          <w:rFonts w:cstheme="minorHAnsi"/>
          <w:sz w:val="20"/>
          <w:szCs w:val="20"/>
          <w:vertAlign w:val="superscript"/>
        </w:rPr>
        <w:t>2</w:t>
      </w:r>
      <w:r w:rsidRPr="00A911FA">
        <w:rPr>
          <w:rFonts w:cstheme="minorHAnsi"/>
          <w:sz w:val="20"/>
          <w:szCs w:val="20"/>
        </w:rPr>
        <w:t xml:space="preserve"> for categorical variables and t-test for age.</w:t>
      </w:r>
    </w:p>
    <w:p w:rsidR="00285893" w:rsidRPr="00A911FA" w:rsidRDefault="00285893" w:rsidP="00B9331B">
      <w:pPr>
        <w:rPr>
          <w:rFonts w:cstheme="minorHAnsi"/>
          <w:sz w:val="20"/>
          <w:szCs w:val="20"/>
        </w:rPr>
      </w:pPr>
      <w:r w:rsidRPr="00A911FA">
        <w:rPr>
          <w:rFonts w:cstheme="minorHAnsi"/>
          <w:sz w:val="20"/>
          <w:szCs w:val="20"/>
        </w:rPr>
        <w:lastRenderedPageBreak/>
        <w:t xml:space="preserve">Second stage – mortality rates were examined with respect to the variables: immigration, gender, marital status, education, socioeconomic </w:t>
      </w:r>
      <w:r w:rsidR="00B9331B" w:rsidRPr="00A911FA">
        <w:rPr>
          <w:rFonts w:cstheme="minorHAnsi"/>
          <w:sz w:val="20"/>
          <w:szCs w:val="20"/>
        </w:rPr>
        <w:t>status</w:t>
      </w:r>
      <w:r w:rsidRPr="00A911FA">
        <w:rPr>
          <w:rFonts w:cstheme="minorHAnsi"/>
          <w:sz w:val="20"/>
          <w:szCs w:val="20"/>
        </w:rPr>
        <w:t xml:space="preserve"> by residential area. To estimate the effect size of the difference between the groups and the significance level of the difference we calculated the Adjusted Hazard Ratio (AHR) for mortality, </w:t>
      </w:r>
      <w:r w:rsidR="00F57E94" w:rsidRPr="00A911FA">
        <w:rPr>
          <w:rFonts w:cstheme="minorHAnsi"/>
          <w:sz w:val="20"/>
          <w:szCs w:val="20"/>
        </w:rPr>
        <w:t xml:space="preserve">even </w:t>
      </w:r>
      <w:r w:rsidRPr="00A911FA">
        <w:rPr>
          <w:rFonts w:cstheme="minorHAnsi"/>
          <w:sz w:val="20"/>
          <w:szCs w:val="20"/>
        </w:rPr>
        <w:t>after adjusting for age and/or gender.</w:t>
      </w:r>
    </w:p>
    <w:p w:rsidR="00285893" w:rsidRPr="00A911FA" w:rsidRDefault="00285893" w:rsidP="00653545">
      <w:pPr>
        <w:rPr>
          <w:rFonts w:cstheme="minorHAnsi"/>
          <w:sz w:val="20"/>
          <w:szCs w:val="20"/>
        </w:rPr>
      </w:pPr>
      <w:r w:rsidRPr="00A911FA">
        <w:rPr>
          <w:rFonts w:cstheme="minorHAnsi"/>
          <w:sz w:val="20"/>
          <w:szCs w:val="20"/>
        </w:rPr>
        <w:t xml:space="preserve">We note that due to a relatively high rate of missing information for the education variable among non-immigrants (20%), and a high correlation between this variable and the income variable, we decided not to include the education variable </w:t>
      </w:r>
      <w:r w:rsidR="00653545">
        <w:rPr>
          <w:rFonts w:cstheme="minorHAnsi"/>
          <w:sz w:val="20"/>
          <w:szCs w:val="20"/>
        </w:rPr>
        <w:t>in</w:t>
      </w:r>
      <w:r w:rsidRPr="00A911FA">
        <w:rPr>
          <w:rFonts w:cstheme="minorHAnsi"/>
          <w:sz w:val="20"/>
          <w:szCs w:val="20"/>
        </w:rPr>
        <w:t xml:space="preserve"> the models in the remainder of the analysis.</w:t>
      </w:r>
    </w:p>
    <w:p w:rsidR="00285893" w:rsidRPr="00A911FA" w:rsidRDefault="00285893" w:rsidP="00B57DE5">
      <w:pPr>
        <w:rPr>
          <w:rFonts w:cstheme="minorHAnsi"/>
          <w:sz w:val="20"/>
          <w:szCs w:val="20"/>
        </w:rPr>
      </w:pPr>
      <w:r w:rsidRPr="00A911FA">
        <w:rPr>
          <w:rFonts w:cstheme="minorHAnsi"/>
          <w:sz w:val="20"/>
          <w:szCs w:val="20"/>
        </w:rPr>
        <w:t>Third stage – using Cox regression and adjusted Kaplan Meier curves</w:t>
      </w:r>
      <w:r w:rsidR="00EC42A2" w:rsidRPr="00A911FA">
        <w:rPr>
          <w:rFonts w:cstheme="minorHAnsi"/>
          <w:sz w:val="20"/>
          <w:szCs w:val="20"/>
        </w:rPr>
        <w:t xml:space="preserve"> we constructed models to evaluate the relationship between immigration and mortality, adding variables and the interactions among them. A formal test to compare the quality of the models, to </w:t>
      </w:r>
      <w:r w:rsidR="00B57DE5">
        <w:rPr>
          <w:rFonts w:cstheme="minorHAnsi"/>
          <w:sz w:val="20"/>
          <w:szCs w:val="20"/>
        </w:rPr>
        <w:t xml:space="preserve">inform </w:t>
      </w:r>
      <w:r w:rsidR="00EC42A2" w:rsidRPr="00A911FA">
        <w:rPr>
          <w:rFonts w:cstheme="minorHAnsi"/>
          <w:sz w:val="20"/>
          <w:szCs w:val="20"/>
        </w:rPr>
        <w:t xml:space="preserve">decision making about the next stage of the data analysis, is described in </w:t>
      </w:r>
      <w:r w:rsidR="00B57DE5">
        <w:rPr>
          <w:rFonts w:cstheme="minorHAnsi"/>
          <w:sz w:val="20"/>
          <w:szCs w:val="20"/>
        </w:rPr>
        <w:t>Online Resource 1</w:t>
      </w:r>
      <w:r w:rsidR="00EC42A2" w:rsidRPr="00A911FA">
        <w:rPr>
          <w:rFonts w:cstheme="minorHAnsi"/>
          <w:sz w:val="20"/>
          <w:szCs w:val="20"/>
        </w:rPr>
        <w:t>.</w:t>
      </w:r>
    </w:p>
    <w:p w:rsidR="00EC42A2" w:rsidRPr="00A911FA" w:rsidRDefault="00653545" w:rsidP="00B57DE5">
      <w:pPr>
        <w:rPr>
          <w:rFonts w:cstheme="minorHAnsi"/>
          <w:sz w:val="20"/>
          <w:szCs w:val="20"/>
        </w:rPr>
      </w:pP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1</w:t>
      </w:r>
      <w:r w:rsidR="00EC42A2" w:rsidRPr="00A911FA">
        <w:rPr>
          <w:rFonts w:cstheme="minorHAnsi"/>
          <w:sz w:val="20"/>
          <w:szCs w:val="20"/>
        </w:rPr>
        <w:t xml:space="preserve"> we </w:t>
      </w:r>
      <w:r>
        <w:rPr>
          <w:rFonts w:cstheme="minorHAnsi"/>
          <w:sz w:val="20"/>
          <w:szCs w:val="20"/>
        </w:rPr>
        <w:t xml:space="preserve">included </w:t>
      </w:r>
      <w:r w:rsidR="00EC42A2" w:rsidRPr="00A911FA">
        <w:rPr>
          <w:rFonts w:cstheme="minorHAnsi"/>
          <w:sz w:val="20"/>
          <w:szCs w:val="20"/>
        </w:rPr>
        <w:t xml:space="preserve">the </w:t>
      </w:r>
      <w:r w:rsidR="00BE6121" w:rsidRPr="00A911FA">
        <w:rPr>
          <w:rFonts w:cstheme="minorHAnsi"/>
          <w:sz w:val="20"/>
          <w:szCs w:val="20"/>
        </w:rPr>
        <w:t>base</w:t>
      </w:r>
      <w:r w:rsidR="00EC42A2" w:rsidRPr="00A911FA">
        <w:rPr>
          <w:rFonts w:cstheme="minorHAnsi"/>
          <w:sz w:val="20"/>
          <w:szCs w:val="20"/>
        </w:rPr>
        <w:t xml:space="preserve"> variables: gender, age, immigration, income </w:t>
      </w:r>
      <w:r w:rsidR="00B63B55" w:rsidRPr="00A911FA">
        <w:rPr>
          <w:rFonts w:cstheme="minorHAnsi"/>
          <w:sz w:val="20"/>
          <w:szCs w:val="20"/>
        </w:rPr>
        <w:t xml:space="preserve">level </w:t>
      </w:r>
      <w:r w:rsidR="00EC42A2" w:rsidRPr="00A911FA">
        <w:rPr>
          <w:rFonts w:cstheme="minorHAnsi"/>
          <w:sz w:val="20"/>
          <w:szCs w:val="20"/>
        </w:rPr>
        <w:t>and marital status</w:t>
      </w:r>
      <w:r w:rsidR="001E26C4" w:rsidRPr="00A911FA">
        <w:rPr>
          <w:rFonts w:cstheme="minorHAnsi"/>
          <w:sz w:val="20"/>
          <w:szCs w:val="20"/>
        </w:rPr>
        <w:t xml:space="preserve">. </w:t>
      </w: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2</w:t>
      </w:r>
      <w:r w:rsidR="001E26C4" w:rsidRPr="00A911FA">
        <w:rPr>
          <w:rFonts w:cstheme="minorHAnsi"/>
          <w:sz w:val="20"/>
          <w:szCs w:val="20"/>
        </w:rPr>
        <w:t>,</w:t>
      </w:r>
      <w:r w:rsidR="00EC42A2" w:rsidRPr="00A911FA">
        <w:rPr>
          <w:rFonts w:cstheme="minorHAnsi"/>
          <w:sz w:val="20"/>
          <w:szCs w:val="20"/>
        </w:rPr>
        <w:t xml:space="preserve"> in addition to the </w:t>
      </w:r>
      <w:r w:rsidR="00BE6121" w:rsidRPr="00A911FA">
        <w:rPr>
          <w:rFonts w:cstheme="minorHAnsi"/>
          <w:sz w:val="20"/>
          <w:szCs w:val="20"/>
        </w:rPr>
        <w:t xml:space="preserve">base </w:t>
      </w:r>
      <w:r w:rsidR="00EC42A2" w:rsidRPr="00A911FA">
        <w:rPr>
          <w:rFonts w:cstheme="minorHAnsi"/>
          <w:sz w:val="20"/>
          <w:szCs w:val="20"/>
        </w:rPr>
        <w:t xml:space="preserve">variables in the first model we also </w:t>
      </w:r>
      <w:r>
        <w:rPr>
          <w:rFonts w:cstheme="minorHAnsi"/>
          <w:sz w:val="20"/>
          <w:szCs w:val="20"/>
        </w:rPr>
        <w:t>included</w:t>
      </w:r>
      <w:r w:rsidR="00EC42A2" w:rsidRPr="00A911FA">
        <w:rPr>
          <w:rFonts w:cstheme="minorHAnsi"/>
          <w:sz w:val="20"/>
          <w:szCs w:val="20"/>
        </w:rPr>
        <w:t xml:space="preserve"> interactions – gender X immigration, gender X income and immigration X income</w:t>
      </w:r>
      <w:r w:rsidR="001E26C4" w:rsidRPr="00A911FA">
        <w:rPr>
          <w:rFonts w:cstheme="minorHAnsi"/>
          <w:sz w:val="20"/>
          <w:szCs w:val="20"/>
        </w:rPr>
        <w:t xml:space="preserve">. </w:t>
      </w:r>
      <w:r>
        <w:rPr>
          <w:rFonts w:cstheme="minorHAnsi"/>
          <w:sz w:val="20"/>
          <w:szCs w:val="20"/>
        </w:rPr>
        <w:t>In</w:t>
      </w:r>
      <w:r w:rsidR="00EC42A2" w:rsidRPr="00A911FA">
        <w:rPr>
          <w:rFonts w:cstheme="minorHAnsi"/>
          <w:sz w:val="20"/>
          <w:szCs w:val="20"/>
        </w:rPr>
        <w:t xml:space="preserve"> </w:t>
      </w:r>
      <w:r w:rsidR="00B9331B" w:rsidRPr="00A911FA">
        <w:rPr>
          <w:rFonts w:cstheme="minorHAnsi"/>
          <w:sz w:val="20"/>
          <w:szCs w:val="20"/>
        </w:rPr>
        <w:t>Model 3</w:t>
      </w:r>
      <w:r w:rsidR="001E26C4" w:rsidRPr="00A911FA">
        <w:rPr>
          <w:rFonts w:cstheme="minorHAnsi"/>
          <w:sz w:val="20"/>
          <w:szCs w:val="20"/>
        </w:rPr>
        <w:t>,</w:t>
      </w:r>
      <w:r w:rsidR="00EC42A2" w:rsidRPr="00A911FA">
        <w:rPr>
          <w:rFonts w:cstheme="minorHAnsi"/>
          <w:sz w:val="20"/>
          <w:szCs w:val="20"/>
        </w:rPr>
        <w:t xml:space="preserve"> in addition to the </w:t>
      </w:r>
      <w:r w:rsidR="00BE6121" w:rsidRPr="00A911FA">
        <w:rPr>
          <w:rFonts w:cstheme="minorHAnsi"/>
          <w:sz w:val="20"/>
          <w:szCs w:val="20"/>
        </w:rPr>
        <w:t>base</w:t>
      </w:r>
      <w:r w:rsidR="00EC42A2" w:rsidRPr="00A911FA">
        <w:rPr>
          <w:rFonts w:cstheme="minorHAnsi"/>
          <w:sz w:val="20"/>
          <w:szCs w:val="20"/>
        </w:rPr>
        <w:t xml:space="preserve"> variables and the interactions in </w:t>
      </w:r>
      <w:r>
        <w:rPr>
          <w:rFonts w:cstheme="minorHAnsi"/>
          <w:sz w:val="20"/>
          <w:szCs w:val="20"/>
        </w:rPr>
        <w:t>Model 2</w:t>
      </w:r>
      <w:r w:rsidR="00EC42A2" w:rsidRPr="00A911FA">
        <w:rPr>
          <w:rFonts w:cstheme="minorHAnsi"/>
          <w:sz w:val="20"/>
          <w:szCs w:val="20"/>
        </w:rPr>
        <w:t xml:space="preserve">, we </w:t>
      </w:r>
      <w:r>
        <w:rPr>
          <w:rFonts w:cstheme="minorHAnsi"/>
          <w:sz w:val="20"/>
          <w:szCs w:val="20"/>
        </w:rPr>
        <w:t>included</w:t>
      </w:r>
      <w:r w:rsidR="00EC42A2" w:rsidRPr="00A911FA">
        <w:rPr>
          <w:rFonts w:cstheme="minorHAnsi"/>
          <w:sz w:val="20"/>
          <w:szCs w:val="20"/>
        </w:rPr>
        <w:t xml:space="preserve"> the interaction gender X immigration X income</w:t>
      </w:r>
      <w:r w:rsidR="001E26C4" w:rsidRPr="00A911FA">
        <w:rPr>
          <w:rFonts w:cstheme="minorHAnsi"/>
          <w:sz w:val="20"/>
          <w:szCs w:val="20"/>
        </w:rPr>
        <w:t>.</w:t>
      </w:r>
    </w:p>
    <w:p w:rsidR="00DD2753" w:rsidRPr="00A911FA" w:rsidRDefault="00EC42A2" w:rsidP="00653545">
      <w:pPr>
        <w:rPr>
          <w:rFonts w:cstheme="minorHAnsi"/>
          <w:sz w:val="20"/>
          <w:szCs w:val="20"/>
        </w:rPr>
      </w:pPr>
      <w:r w:rsidRPr="00A911FA">
        <w:rPr>
          <w:rFonts w:cstheme="minorHAnsi"/>
          <w:sz w:val="20"/>
          <w:szCs w:val="20"/>
        </w:rPr>
        <w:t xml:space="preserve">Fourth stage – following the role of the gender X income X immigration interaction in predicting mortality we decided </w:t>
      </w:r>
      <w:r w:rsidR="00DD2753" w:rsidRPr="00A911FA">
        <w:rPr>
          <w:rFonts w:cstheme="minorHAnsi"/>
          <w:sz w:val="20"/>
          <w:szCs w:val="20"/>
        </w:rPr>
        <w:t xml:space="preserve">that for the next stage of the analysis we would divide the study population into six groups </w:t>
      </w:r>
      <w:r w:rsidR="00653545">
        <w:rPr>
          <w:rFonts w:cstheme="minorHAnsi"/>
          <w:sz w:val="20"/>
          <w:szCs w:val="20"/>
        </w:rPr>
        <w:t xml:space="preserve">by </w:t>
      </w:r>
      <w:r w:rsidR="00DD2753" w:rsidRPr="00A911FA">
        <w:rPr>
          <w:rFonts w:cstheme="minorHAnsi"/>
          <w:sz w:val="20"/>
          <w:szCs w:val="20"/>
        </w:rPr>
        <w:t xml:space="preserve">income </w:t>
      </w:r>
      <w:r w:rsidR="00B63B55" w:rsidRPr="00A911FA">
        <w:rPr>
          <w:rFonts w:cstheme="minorHAnsi"/>
          <w:sz w:val="20"/>
          <w:szCs w:val="20"/>
        </w:rPr>
        <w:t>level</w:t>
      </w:r>
      <w:r w:rsidR="00653545">
        <w:rPr>
          <w:rFonts w:cstheme="minorHAnsi"/>
          <w:sz w:val="20"/>
          <w:szCs w:val="20"/>
        </w:rPr>
        <w:t xml:space="preserve"> (3)</w:t>
      </w:r>
      <w:r w:rsidR="00B63B55" w:rsidRPr="00A911FA">
        <w:rPr>
          <w:rFonts w:cstheme="minorHAnsi"/>
          <w:sz w:val="20"/>
          <w:szCs w:val="20"/>
        </w:rPr>
        <w:t xml:space="preserve"> </w:t>
      </w:r>
      <w:r w:rsidR="00653545">
        <w:rPr>
          <w:rFonts w:cstheme="minorHAnsi"/>
          <w:sz w:val="20"/>
          <w:szCs w:val="20"/>
        </w:rPr>
        <w:t xml:space="preserve">and </w:t>
      </w:r>
      <w:r w:rsidR="00DD2753" w:rsidRPr="00A911FA">
        <w:rPr>
          <w:rFonts w:cstheme="minorHAnsi"/>
          <w:sz w:val="20"/>
          <w:szCs w:val="20"/>
        </w:rPr>
        <w:t xml:space="preserve">gender </w:t>
      </w:r>
      <w:r w:rsidR="00653545">
        <w:rPr>
          <w:rFonts w:cstheme="minorHAnsi"/>
          <w:sz w:val="20"/>
          <w:szCs w:val="20"/>
        </w:rPr>
        <w:t>(2)</w:t>
      </w:r>
      <w:r w:rsidR="00DD2753" w:rsidRPr="00A911FA">
        <w:rPr>
          <w:rFonts w:cstheme="minorHAnsi"/>
          <w:sz w:val="20"/>
          <w:szCs w:val="20"/>
        </w:rPr>
        <w:t xml:space="preserve">, using Cox regression and adjusted Kaplan Meier curves. For each of these models we </w:t>
      </w:r>
      <w:r w:rsidR="00653545">
        <w:rPr>
          <w:rFonts w:cstheme="minorHAnsi"/>
          <w:sz w:val="20"/>
          <w:szCs w:val="20"/>
        </w:rPr>
        <w:t>included</w:t>
      </w:r>
      <w:r w:rsidR="00DD2753" w:rsidRPr="00A911FA">
        <w:rPr>
          <w:rFonts w:cstheme="minorHAnsi"/>
          <w:sz w:val="20"/>
          <w:szCs w:val="20"/>
        </w:rPr>
        <w:t xml:space="preserve"> the variables: age, immigration, marital status.</w:t>
      </w:r>
    </w:p>
    <w:p w:rsidR="00EC42A2" w:rsidRPr="00A911FA" w:rsidRDefault="00DD2753" w:rsidP="00653545">
      <w:pPr>
        <w:rPr>
          <w:rFonts w:cstheme="minorHAnsi"/>
          <w:sz w:val="20"/>
          <w:szCs w:val="20"/>
        </w:rPr>
      </w:pPr>
      <w:r w:rsidRPr="00A911FA">
        <w:rPr>
          <w:rFonts w:cstheme="minorHAnsi"/>
          <w:sz w:val="20"/>
          <w:szCs w:val="20"/>
        </w:rPr>
        <w:t xml:space="preserve">We note that for people who emigrated from Israel during the study period and did not return by the end of the study period there was no information about death; these people were included into the calculation of the period of survival until the year they left Israel. </w:t>
      </w:r>
      <w:r w:rsidR="00653545">
        <w:rPr>
          <w:rFonts w:cstheme="minorHAnsi"/>
          <w:sz w:val="20"/>
          <w:szCs w:val="20"/>
        </w:rPr>
        <w:t xml:space="preserve">Thus, </w:t>
      </w:r>
      <w:r w:rsidRPr="00A911FA">
        <w:rPr>
          <w:rFonts w:cstheme="minorHAnsi"/>
          <w:sz w:val="20"/>
          <w:szCs w:val="20"/>
        </w:rPr>
        <w:t>they ‘contributed’ years of life until they left Israel.</w:t>
      </w:r>
    </w:p>
    <w:p w:rsidR="00DD2753" w:rsidRPr="00A911FA" w:rsidRDefault="00BD12DC" w:rsidP="001E26C4">
      <w:pPr>
        <w:rPr>
          <w:rFonts w:cstheme="minorHAnsi"/>
          <w:b/>
          <w:bCs/>
          <w:sz w:val="20"/>
          <w:szCs w:val="20"/>
        </w:rPr>
      </w:pPr>
      <w:r w:rsidRPr="00A911FA">
        <w:rPr>
          <w:rFonts w:cstheme="minorHAnsi"/>
          <w:b/>
          <w:bCs/>
          <w:sz w:val="20"/>
          <w:szCs w:val="20"/>
        </w:rPr>
        <w:t>Results</w:t>
      </w:r>
    </w:p>
    <w:p w:rsidR="00DD2753" w:rsidRPr="00A911FA" w:rsidRDefault="00DD2753" w:rsidP="001E26C4">
      <w:pPr>
        <w:rPr>
          <w:rFonts w:cstheme="minorHAnsi"/>
          <w:i/>
          <w:iCs/>
          <w:sz w:val="20"/>
          <w:szCs w:val="20"/>
        </w:rPr>
      </w:pPr>
      <w:r w:rsidRPr="00A911FA">
        <w:rPr>
          <w:rFonts w:cstheme="minorHAnsi"/>
          <w:i/>
          <w:iCs/>
          <w:sz w:val="20"/>
          <w:szCs w:val="20"/>
        </w:rPr>
        <w:t>Demography</w:t>
      </w:r>
    </w:p>
    <w:p w:rsidR="00DD2753" w:rsidRPr="00A911FA" w:rsidRDefault="00DD2753" w:rsidP="00ED5E83">
      <w:pPr>
        <w:rPr>
          <w:rFonts w:cstheme="minorHAnsi"/>
          <w:sz w:val="20"/>
          <w:szCs w:val="20"/>
        </w:rPr>
      </w:pPr>
      <w:r w:rsidRPr="00A911FA">
        <w:rPr>
          <w:rFonts w:cstheme="minorHAnsi"/>
          <w:sz w:val="20"/>
          <w:szCs w:val="20"/>
        </w:rPr>
        <w:t xml:space="preserve">218,187 people participated in this study, including 99,037 (45.4%) immigrants and 119,150 (54.6%) non-immigrants. The percentage of women in the immigrant population was higher (52.3%) than in the non-immigrant population (46.9%) </w:t>
      </w:r>
      <w:proofErr w:type="gramStart"/>
      <w:r w:rsidRPr="00A911FA">
        <w:rPr>
          <w:rFonts w:cstheme="minorHAnsi"/>
          <w:sz w:val="20"/>
          <w:szCs w:val="20"/>
        </w:rPr>
        <w:t>(p&lt;0.001).</w:t>
      </w:r>
      <w:proofErr w:type="gramEnd"/>
      <w:r w:rsidRPr="00A911FA">
        <w:rPr>
          <w:rFonts w:cstheme="minorHAnsi"/>
          <w:sz w:val="20"/>
          <w:szCs w:val="20"/>
        </w:rPr>
        <w:t xml:space="preserve"> Immigrants were older, more educated, lived in areas with lower socioeconomic status, </w:t>
      </w:r>
      <w:r w:rsidR="00F57E94" w:rsidRPr="00A911FA">
        <w:rPr>
          <w:rFonts w:cstheme="minorHAnsi"/>
          <w:sz w:val="20"/>
          <w:szCs w:val="20"/>
        </w:rPr>
        <w:t xml:space="preserve">and received lower incomes than non-immigrants (p&lt;0.001). Similarly, the proportion of married </w:t>
      </w:r>
      <w:r w:rsidR="00ED5E83">
        <w:rPr>
          <w:rFonts w:cstheme="minorHAnsi"/>
          <w:sz w:val="20"/>
          <w:szCs w:val="20"/>
        </w:rPr>
        <w:t>immigrants among males</w:t>
      </w:r>
      <w:r w:rsidR="00F57E94" w:rsidRPr="00A911FA">
        <w:rPr>
          <w:rFonts w:cstheme="minorHAnsi"/>
          <w:sz w:val="20"/>
          <w:szCs w:val="20"/>
        </w:rPr>
        <w:t xml:space="preserve"> at the beginning of the study period was higher than that of non-immigrants (p&lt;0.001) and lower among female</w:t>
      </w:r>
      <w:r w:rsidR="00ED5E83">
        <w:rPr>
          <w:rFonts w:cstheme="minorHAnsi"/>
          <w:sz w:val="20"/>
          <w:szCs w:val="20"/>
        </w:rPr>
        <w:t>s</w:t>
      </w:r>
      <w:r w:rsidR="00F57E94" w:rsidRPr="00A911FA">
        <w:rPr>
          <w:rFonts w:cstheme="minorHAnsi"/>
          <w:sz w:val="20"/>
          <w:szCs w:val="20"/>
        </w:rPr>
        <w:t xml:space="preserve"> than non-immigrants (p&lt;0.001) (Table 1).</w:t>
      </w:r>
    </w:p>
    <w:p w:rsidR="00F57E94" w:rsidRPr="00A911FA" w:rsidRDefault="00F57E94" w:rsidP="001E26C4">
      <w:pPr>
        <w:rPr>
          <w:rFonts w:cstheme="minorHAnsi"/>
          <w:sz w:val="20"/>
          <w:szCs w:val="20"/>
        </w:rPr>
      </w:pPr>
      <w:r w:rsidRPr="00A911FA">
        <w:rPr>
          <w:rFonts w:cstheme="minorHAnsi"/>
          <w:i/>
          <w:iCs/>
          <w:sz w:val="20"/>
          <w:szCs w:val="20"/>
        </w:rPr>
        <w:t>Deaths</w:t>
      </w:r>
    </w:p>
    <w:p w:rsidR="00F57E94" w:rsidRPr="00A911FA" w:rsidRDefault="00F57E94" w:rsidP="001E26C4">
      <w:pPr>
        <w:rPr>
          <w:rFonts w:eastAsia="Calibri" w:cstheme="minorHAnsi"/>
          <w:sz w:val="20"/>
          <w:szCs w:val="20"/>
        </w:rPr>
      </w:pPr>
      <w:r w:rsidRPr="00A911FA">
        <w:rPr>
          <w:rFonts w:cstheme="minorHAnsi"/>
          <w:sz w:val="20"/>
          <w:szCs w:val="20"/>
        </w:rPr>
        <w:t xml:space="preserve">The overall death rate during the study period among the 218,187 participants in the study was 9.4%. Examination of the distribution of mortality rate by study variable (Table 2) showed that the mortality rate was higher among immigrants than non-immigrants (10.7% vs. 8.3%) even after adjusting for age and gender </w:t>
      </w:r>
      <w:r w:rsidRPr="00A911FA">
        <w:rPr>
          <w:rFonts w:eastAsia="Calibri" w:cstheme="minorHAnsi"/>
          <w:sz w:val="20"/>
          <w:szCs w:val="20"/>
        </w:rPr>
        <w:t>(AHR = 1.337, 99%; confidence intervals</w:t>
      </w:r>
      <w:r w:rsidR="00BE6121" w:rsidRPr="00A911FA">
        <w:rPr>
          <w:rFonts w:eastAsia="Calibri" w:cstheme="minorHAnsi"/>
          <w:sz w:val="20"/>
          <w:szCs w:val="20"/>
        </w:rPr>
        <w:t xml:space="preserve"> </w:t>
      </w:r>
      <w:r w:rsidRPr="00A911FA">
        <w:rPr>
          <w:rFonts w:eastAsia="Calibri" w:cstheme="minorHAnsi"/>
          <w:sz w:val="20"/>
          <w:szCs w:val="20"/>
        </w:rPr>
        <w:t xml:space="preserve">(CI) = 1.290, 1.386). Similarly, a higher mortality rate was found even after adjusting for gender and age among those who were not married at the beginning of the study period, compared to those who were married </w:t>
      </w:r>
      <w:bookmarkStart w:id="5" w:name="_Hlk16433935"/>
      <w:r w:rsidRPr="00A911FA">
        <w:rPr>
          <w:rFonts w:eastAsia="Calibri" w:cstheme="minorHAnsi"/>
          <w:sz w:val="20"/>
          <w:szCs w:val="20"/>
        </w:rPr>
        <w:t>(AHR = 1.337; 99%CI = 1.285, 1.392)</w:t>
      </w:r>
      <w:bookmarkEnd w:id="5"/>
      <w:r w:rsidRPr="00A911FA">
        <w:rPr>
          <w:rFonts w:eastAsia="Calibri" w:cstheme="minorHAnsi"/>
          <w:sz w:val="20"/>
          <w:szCs w:val="20"/>
        </w:rPr>
        <w:t>.</w:t>
      </w:r>
    </w:p>
    <w:p w:rsidR="00F57E94" w:rsidRPr="00A911FA" w:rsidRDefault="00F57E94" w:rsidP="001E26C4">
      <w:pPr>
        <w:rPr>
          <w:rFonts w:eastAsia="Calibri" w:cstheme="minorHAnsi"/>
          <w:sz w:val="20"/>
          <w:szCs w:val="20"/>
          <w:rtl/>
        </w:rPr>
      </w:pPr>
      <w:r w:rsidRPr="00A911FA">
        <w:rPr>
          <w:rFonts w:eastAsia="Calibri" w:cstheme="minorHAnsi"/>
          <w:sz w:val="20"/>
          <w:szCs w:val="20"/>
        </w:rPr>
        <w:lastRenderedPageBreak/>
        <w:t xml:space="preserve">When examining the role of the socioeconomic variables in predicting mortality after adjusting for gender and age, </w:t>
      </w:r>
      <w:r w:rsidR="00BE6121" w:rsidRPr="00A911FA">
        <w:rPr>
          <w:rFonts w:eastAsia="Calibri" w:cstheme="minorHAnsi"/>
          <w:sz w:val="20"/>
          <w:szCs w:val="20"/>
        </w:rPr>
        <w:t>mortality rates were found to be higher for people with low (AHR = 2,277; 99%CI = 2.162, 2.397) and intermediate (AHR = 1.362; 99%CI = 1.303, 1.424) levels of education compared to those with a high level of education. Likewise, higher mortality rates were found among low-income (AHR = 2.758; 99%CI = 2.618, 2.904) and middle-income (AHR = 1.975; 99%CI = 1.878, 2.077) earners compared to high-income earners (Table 2).</w:t>
      </w:r>
    </w:p>
    <w:p w:rsidR="00F57E94" w:rsidRPr="00A911FA" w:rsidRDefault="00BE6121" w:rsidP="001E26C4">
      <w:pPr>
        <w:rPr>
          <w:rFonts w:cstheme="minorHAnsi"/>
          <w:i/>
          <w:iCs/>
          <w:sz w:val="20"/>
          <w:szCs w:val="20"/>
        </w:rPr>
      </w:pPr>
      <w:r w:rsidRPr="00A911FA">
        <w:rPr>
          <w:rFonts w:cstheme="minorHAnsi"/>
          <w:i/>
          <w:iCs/>
          <w:sz w:val="20"/>
          <w:szCs w:val="20"/>
        </w:rPr>
        <w:t>Multivariable models to evaluation the relationship between immigration and mortality</w:t>
      </w:r>
    </w:p>
    <w:p w:rsidR="00BE6121" w:rsidRPr="00A911FA" w:rsidRDefault="00BE6121" w:rsidP="005F4C08">
      <w:pPr>
        <w:rPr>
          <w:rFonts w:eastAsia="Calibri" w:cstheme="minorHAnsi"/>
          <w:sz w:val="20"/>
          <w:szCs w:val="20"/>
        </w:rPr>
      </w:pPr>
      <w:r w:rsidRPr="00A911FA">
        <w:rPr>
          <w:rFonts w:cstheme="minorHAnsi"/>
          <w:sz w:val="20"/>
          <w:szCs w:val="20"/>
        </w:rPr>
        <w:t xml:space="preserve">The multivariable </w:t>
      </w:r>
      <w:r w:rsidR="005F4C08" w:rsidRPr="00A911FA">
        <w:rPr>
          <w:rFonts w:cstheme="minorHAnsi"/>
          <w:sz w:val="20"/>
          <w:szCs w:val="20"/>
        </w:rPr>
        <w:t>C</w:t>
      </w:r>
      <w:r w:rsidRPr="00A911FA">
        <w:rPr>
          <w:rFonts w:cstheme="minorHAnsi"/>
          <w:sz w:val="20"/>
          <w:szCs w:val="20"/>
        </w:rPr>
        <w:t>ox model to evaluation the relationship between immigration and mortality among all 218,187 participants in the study population included the base variables: immigration, gender, age, income level and marital status (Model 1, Table 3). A higher mortality rate was found among immigrants compared to non-immigrants (</w:t>
      </w:r>
      <w:r w:rsidRPr="00A911FA">
        <w:rPr>
          <w:rFonts w:eastAsia="Calibri" w:cstheme="minorHAnsi"/>
          <w:sz w:val="20"/>
          <w:szCs w:val="20"/>
        </w:rPr>
        <w:t>HR = 1.297; 99%CI = 1.248, 1.348)</w:t>
      </w:r>
      <w:r w:rsidR="00B63B55" w:rsidRPr="00A911FA">
        <w:rPr>
          <w:rFonts w:eastAsia="Calibri" w:cstheme="minorHAnsi"/>
          <w:sz w:val="20"/>
          <w:szCs w:val="20"/>
        </w:rPr>
        <w:t>. Similarly, in this and all of the models described below, higher mortality rates were found for men compared to women, for married compared to unmarried people and for low- and middle-income earners compared to high-income earners.</w:t>
      </w:r>
    </w:p>
    <w:p w:rsidR="00B63B55" w:rsidRPr="00A911FA" w:rsidRDefault="00B63B55" w:rsidP="001E26C4">
      <w:pPr>
        <w:rPr>
          <w:rFonts w:eastAsia="Calibri" w:cstheme="minorHAnsi"/>
          <w:sz w:val="20"/>
          <w:szCs w:val="20"/>
        </w:rPr>
      </w:pPr>
      <w:r w:rsidRPr="00A911FA">
        <w:rPr>
          <w:rFonts w:eastAsia="Calibri" w:cstheme="minorHAnsi"/>
          <w:sz w:val="20"/>
          <w:szCs w:val="20"/>
        </w:rPr>
        <w:t>Model 2 included the base variables as well as their interactions: gender X immigration, gender X income and immigration X income. These interactions were found to be significant; when they were added to the model the relationship between immigration and mortality was reversed (HR = 0.529; 99%CI = 0.469, 0.597).</w:t>
      </w:r>
    </w:p>
    <w:p w:rsidR="00B63B55" w:rsidRPr="00A911FA" w:rsidRDefault="00B63B55" w:rsidP="001B48A8">
      <w:pPr>
        <w:rPr>
          <w:rFonts w:eastAsia="Calibri" w:cstheme="minorHAnsi"/>
          <w:sz w:val="20"/>
          <w:szCs w:val="20"/>
        </w:rPr>
      </w:pPr>
      <w:r w:rsidRPr="00A911FA">
        <w:rPr>
          <w:rFonts w:eastAsia="Calibri" w:cstheme="minorHAnsi"/>
          <w:sz w:val="20"/>
          <w:szCs w:val="20"/>
        </w:rPr>
        <w:t xml:space="preserve">Model 3 also included the interaction gender X immigration X income in addition to the base variables and the interactions in Model 2. This interaction was highly significant for low-income earners in comparison to high-income earners (p&lt;0.001) and </w:t>
      </w:r>
      <w:commentRangeStart w:id="6"/>
      <w:r w:rsidR="001B48A8">
        <w:rPr>
          <w:rFonts w:eastAsia="Calibri" w:cs="Arial"/>
          <w:sz w:val="20"/>
          <w:szCs w:val="20"/>
        </w:rPr>
        <w:t>close to</w:t>
      </w:r>
      <w:r w:rsidRPr="00A911FA">
        <w:rPr>
          <w:rFonts w:eastAsia="Calibri" w:cstheme="minorHAnsi"/>
          <w:sz w:val="20"/>
          <w:szCs w:val="20"/>
        </w:rPr>
        <w:t xml:space="preserve"> significant for middle-income earners </w:t>
      </w:r>
      <w:commentRangeEnd w:id="6"/>
      <w:r w:rsidR="004E6521">
        <w:rPr>
          <w:rStyle w:val="CommentReference"/>
          <w:rtl/>
        </w:rPr>
        <w:commentReference w:id="6"/>
      </w:r>
      <w:r w:rsidRPr="00A911FA">
        <w:rPr>
          <w:rFonts w:eastAsia="Calibri" w:cstheme="minorHAnsi"/>
          <w:sz w:val="20"/>
          <w:szCs w:val="20"/>
        </w:rPr>
        <w:t>(p=0.118)</w:t>
      </w:r>
      <w:r w:rsidR="009647D3" w:rsidRPr="00A911FA">
        <w:rPr>
          <w:rFonts w:eastAsia="Calibri" w:cstheme="minorHAnsi"/>
          <w:sz w:val="20"/>
          <w:szCs w:val="20"/>
        </w:rPr>
        <w:t>. When this interaction was added to the model, the significance of the relationship between immigration and mortality weakened (HR = 0.660; 99%CI = 0.535, 0.815), but the direction of the relationship was maintained (Table 3).</w:t>
      </w:r>
    </w:p>
    <w:p w:rsidR="009647D3" w:rsidRPr="00A911FA" w:rsidRDefault="009647D3" w:rsidP="002D2446">
      <w:pPr>
        <w:rPr>
          <w:rFonts w:cstheme="minorHAnsi"/>
          <w:i/>
          <w:iCs/>
          <w:sz w:val="20"/>
          <w:szCs w:val="20"/>
        </w:rPr>
      </w:pPr>
      <w:r w:rsidRPr="00A911FA">
        <w:rPr>
          <w:rFonts w:cstheme="minorHAnsi"/>
          <w:i/>
          <w:iCs/>
          <w:sz w:val="20"/>
          <w:szCs w:val="20"/>
        </w:rPr>
        <w:t xml:space="preserve">Analysis of the relationship between immigration and mortality when </w:t>
      </w:r>
      <w:r w:rsidR="002D2446">
        <w:rPr>
          <w:rFonts w:cstheme="minorHAnsi"/>
          <w:i/>
          <w:iCs/>
          <w:sz w:val="20"/>
          <w:szCs w:val="20"/>
        </w:rPr>
        <w:t>classifying by</w:t>
      </w:r>
      <w:r w:rsidRPr="00A911FA">
        <w:rPr>
          <w:rFonts w:cstheme="minorHAnsi"/>
          <w:i/>
          <w:iCs/>
          <w:sz w:val="20"/>
          <w:szCs w:val="20"/>
        </w:rPr>
        <w:t xml:space="preserve"> gender and income level</w:t>
      </w:r>
    </w:p>
    <w:p w:rsidR="009647D3" w:rsidRPr="00A911FA" w:rsidRDefault="005F4C08" w:rsidP="00ED5E83">
      <w:pPr>
        <w:rPr>
          <w:rFonts w:cstheme="minorHAnsi"/>
          <w:sz w:val="20"/>
          <w:szCs w:val="20"/>
        </w:rPr>
      </w:pPr>
      <w:r w:rsidRPr="00A911FA">
        <w:rPr>
          <w:rFonts w:cstheme="minorHAnsi"/>
          <w:sz w:val="20"/>
          <w:szCs w:val="20"/>
        </w:rPr>
        <w:t>The multivariable C</w:t>
      </w:r>
      <w:r w:rsidR="009647D3" w:rsidRPr="00A911FA">
        <w:rPr>
          <w:rFonts w:cstheme="minorHAnsi"/>
          <w:sz w:val="20"/>
          <w:szCs w:val="20"/>
        </w:rPr>
        <w:t xml:space="preserve">ox model to evaluation the relationship between immigration and mortality included the variables: immigration, age and marital status. This model was run separately for </w:t>
      </w:r>
      <w:r w:rsidR="00ED5E83">
        <w:rPr>
          <w:rFonts w:cstheme="minorHAnsi"/>
          <w:sz w:val="20"/>
          <w:szCs w:val="20"/>
        </w:rPr>
        <w:t>each gender, and then for each combination of gender and income level</w:t>
      </w:r>
      <w:r w:rsidR="009647D3" w:rsidRPr="00A911FA">
        <w:rPr>
          <w:rFonts w:cstheme="minorHAnsi"/>
          <w:sz w:val="20"/>
          <w:szCs w:val="20"/>
        </w:rPr>
        <w:t xml:space="preserve">. </w:t>
      </w:r>
    </w:p>
    <w:p w:rsidR="009647D3" w:rsidRDefault="00510F73" w:rsidP="00ED5E83">
      <w:pPr>
        <w:rPr>
          <w:rFonts w:cstheme="minorHAnsi"/>
          <w:sz w:val="20"/>
          <w:szCs w:val="20"/>
        </w:rPr>
      </w:pPr>
      <w:r>
        <w:rPr>
          <w:rFonts w:cstheme="minorHAnsi"/>
          <w:sz w:val="20"/>
          <w:szCs w:val="20"/>
        </w:rPr>
        <w:t>Among</w:t>
      </w:r>
      <w:r w:rsidR="009647D3" w:rsidRPr="00A911FA">
        <w:rPr>
          <w:rFonts w:cstheme="minorHAnsi"/>
          <w:sz w:val="20"/>
          <w:szCs w:val="20"/>
        </w:rPr>
        <w:t xml:space="preserve"> 110,520 males, a higher mortality rate was found for immigrants compared to non-immigrants (</w:t>
      </w:r>
      <w:r w:rsidR="009647D3" w:rsidRPr="00A911FA">
        <w:rPr>
          <w:rFonts w:eastAsia="Calibri" w:cstheme="minorHAnsi"/>
          <w:sz w:val="20"/>
          <w:szCs w:val="20"/>
        </w:rPr>
        <w:t>HR = 1.474; 99%CI = 1.407, 1.545</w:t>
      </w:r>
      <w:r w:rsidR="009647D3" w:rsidRPr="00A911FA">
        <w:rPr>
          <w:rFonts w:cstheme="minorHAnsi"/>
          <w:sz w:val="20"/>
          <w:szCs w:val="20"/>
        </w:rPr>
        <w:t>). A weaker relationship with similar directionality was found among 107,667 women (</w:t>
      </w:r>
      <w:r w:rsidR="009647D3" w:rsidRPr="00A911FA">
        <w:rPr>
          <w:rFonts w:eastAsia="Calibri" w:cstheme="minorHAnsi"/>
          <w:sz w:val="20"/>
          <w:szCs w:val="20"/>
        </w:rPr>
        <w:t>HR = 1.167, 99%CI = 1.102, 1.236</w:t>
      </w:r>
      <w:r w:rsidR="009647D3" w:rsidRPr="00A911FA">
        <w:rPr>
          <w:rFonts w:cstheme="minorHAnsi"/>
          <w:sz w:val="20"/>
          <w:szCs w:val="20"/>
        </w:rPr>
        <w:t>).</w:t>
      </w:r>
      <w:r>
        <w:rPr>
          <w:rFonts w:cstheme="minorHAnsi"/>
          <w:sz w:val="20"/>
          <w:szCs w:val="20"/>
        </w:rPr>
        <w:t xml:space="preserve"> </w:t>
      </w:r>
    </w:p>
    <w:p w:rsidR="00ED5E83" w:rsidRPr="00A911FA" w:rsidRDefault="00ED5E83" w:rsidP="00ED5E83">
      <w:pPr>
        <w:rPr>
          <w:rFonts w:cstheme="minorHAnsi"/>
          <w:sz w:val="20"/>
          <w:szCs w:val="20"/>
        </w:rPr>
      </w:pPr>
      <w:r>
        <w:rPr>
          <w:rFonts w:cstheme="minorHAnsi"/>
          <w:sz w:val="20"/>
          <w:szCs w:val="20"/>
        </w:rPr>
        <w:t>Running this model for each combination of gender and income level revealed differences in the strength and directionality of the relationship between immigration and mortality by income level.</w:t>
      </w:r>
    </w:p>
    <w:p w:rsidR="00ED5E83" w:rsidRPr="00A911FA" w:rsidRDefault="00ED5E83" w:rsidP="00510F73">
      <w:pPr>
        <w:rPr>
          <w:rFonts w:cstheme="minorHAnsi"/>
          <w:sz w:val="20"/>
          <w:szCs w:val="20"/>
        </w:rPr>
      </w:pPr>
      <w:r w:rsidRPr="00A911FA">
        <w:rPr>
          <w:rFonts w:cstheme="minorHAnsi"/>
          <w:sz w:val="20"/>
          <w:szCs w:val="20"/>
        </w:rPr>
        <w:t xml:space="preserve">Running this model separately for each income level found that among 27,563 </w:t>
      </w:r>
      <w:r>
        <w:rPr>
          <w:rFonts w:cstheme="minorHAnsi"/>
          <w:sz w:val="20"/>
          <w:szCs w:val="20"/>
        </w:rPr>
        <w:t>men</w:t>
      </w:r>
      <w:r w:rsidRPr="00A911FA">
        <w:rPr>
          <w:rFonts w:cstheme="minorHAnsi"/>
          <w:sz w:val="20"/>
          <w:szCs w:val="20"/>
        </w:rPr>
        <w:t xml:space="preserve"> with low incomes the mortality rate was higher among immigrants compared to non-immigrants (</w:t>
      </w:r>
      <w:r w:rsidRPr="00A911FA">
        <w:rPr>
          <w:rFonts w:eastAsia="Calibri" w:cstheme="minorHAnsi"/>
          <w:sz w:val="20"/>
          <w:szCs w:val="20"/>
        </w:rPr>
        <w:t>HR = 2.941; 99%CI = 2.704, 3.199</w:t>
      </w:r>
      <w:r w:rsidRPr="00A911FA">
        <w:rPr>
          <w:rFonts w:cstheme="minorHAnsi"/>
          <w:sz w:val="20"/>
          <w:szCs w:val="20"/>
        </w:rPr>
        <w:t xml:space="preserve">). In contrast, the opposite directionality for this relationship was found among </w:t>
      </w:r>
      <w:r>
        <w:rPr>
          <w:rFonts w:cstheme="minorHAnsi"/>
          <w:sz w:val="20"/>
          <w:szCs w:val="20"/>
        </w:rPr>
        <w:t>45,683</w:t>
      </w:r>
      <w:r w:rsidRPr="00A911FA">
        <w:rPr>
          <w:rFonts w:cstheme="minorHAnsi"/>
          <w:sz w:val="20"/>
          <w:szCs w:val="20"/>
        </w:rPr>
        <w:t xml:space="preserve"> </w:t>
      </w:r>
      <w:r>
        <w:rPr>
          <w:rFonts w:cstheme="minorHAnsi"/>
          <w:sz w:val="20"/>
          <w:szCs w:val="20"/>
        </w:rPr>
        <w:t>men</w:t>
      </w:r>
      <w:r w:rsidRPr="00A911FA">
        <w:rPr>
          <w:rFonts w:cstheme="minorHAnsi"/>
          <w:sz w:val="20"/>
          <w:szCs w:val="20"/>
        </w:rPr>
        <w:t xml:space="preserve"> with </w:t>
      </w:r>
      <w:r>
        <w:rPr>
          <w:rFonts w:cstheme="minorHAnsi"/>
          <w:sz w:val="20"/>
          <w:szCs w:val="20"/>
        </w:rPr>
        <w:t xml:space="preserve">high </w:t>
      </w:r>
      <w:r w:rsidRPr="00A911FA">
        <w:rPr>
          <w:rFonts w:cstheme="minorHAnsi"/>
          <w:sz w:val="20"/>
          <w:szCs w:val="20"/>
        </w:rPr>
        <w:t>incomes (</w:t>
      </w:r>
      <w:r w:rsidRPr="00A911FA">
        <w:rPr>
          <w:rFonts w:eastAsia="Calibri" w:cstheme="minorHAnsi"/>
          <w:sz w:val="20"/>
          <w:szCs w:val="20"/>
        </w:rPr>
        <w:t>HR = 0.</w:t>
      </w:r>
      <w:r>
        <w:rPr>
          <w:rFonts w:eastAsia="Calibri" w:cstheme="minorHAnsi"/>
          <w:sz w:val="20"/>
          <w:szCs w:val="20"/>
        </w:rPr>
        <w:t>714</w:t>
      </w:r>
      <w:r w:rsidRPr="00A911FA">
        <w:rPr>
          <w:rFonts w:eastAsia="Calibri" w:cstheme="minorHAnsi"/>
          <w:sz w:val="20"/>
          <w:szCs w:val="20"/>
        </w:rPr>
        <w:t xml:space="preserve">; 99%CI = </w:t>
      </w:r>
      <w:r>
        <w:rPr>
          <w:rFonts w:eastAsia="Calibri" w:cstheme="minorHAnsi"/>
          <w:sz w:val="20"/>
          <w:szCs w:val="20"/>
        </w:rPr>
        <w:t>2.704</w:t>
      </w:r>
      <w:r w:rsidRPr="00A911FA">
        <w:rPr>
          <w:rFonts w:eastAsia="Calibri" w:cstheme="minorHAnsi"/>
          <w:sz w:val="20"/>
          <w:szCs w:val="20"/>
        </w:rPr>
        <w:t xml:space="preserve">, </w:t>
      </w:r>
      <w:r>
        <w:rPr>
          <w:rFonts w:eastAsia="Calibri" w:cstheme="minorHAnsi"/>
          <w:sz w:val="20"/>
          <w:szCs w:val="20"/>
        </w:rPr>
        <w:t>3.199</w:t>
      </w:r>
      <w:r w:rsidRPr="00A911FA">
        <w:rPr>
          <w:rFonts w:cstheme="minorHAnsi"/>
          <w:sz w:val="20"/>
          <w:szCs w:val="20"/>
        </w:rPr>
        <w:t xml:space="preserve">). </w:t>
      </w:r>
      <w:r>
        <w:rPr>
          <w:rFonts w:cstheme="minorHAnsi"/>
          <w:sz w:val="20"/>
          <w:szCs w:val="20"/>
        </w:rPr>
        <w:t xml:space="preserve">No relationship between immigration and mortality </w:t>
      </w:r>
      <w:r w:rsidRPr="00A911FA">
        <w:rPr>
          <w:rFonts w:cstheme="minorHAnsi"/>
          <w:sz w:val="20"/>
          <w:szCs w:val="20"/>
        </w:rPr>
        <w:t xml:space="preserve">was found for </w:t>
      </w:r>
      <w:r>
        <w:rPr>
          <w:rFonts w:cstheme="minorHAnsi"/>
          <w:sz w:val="20"/>
          <w:szCs w:val="20"/>
        </w:rPr>
        <w:t>37,094</w:t>
      </w:r>
      <w:r w:rsidRPr="00A911FA">
        <w:rPr>
          <w:rFonts w:cstheme="minorHAnsi"/>
          <w:sz w:val="20"/>
          <w:szCs w:val="20"/>
        </w:rPr>
        <w:t xml:space="preserve"> </w:t>
      </w:r>
      <w:r w:rsidR="00510F73">
        <w:rPr>
          <w:rFonts w:cstheme="minorHAnsi"/>
          <w:sz w:val="20"/>
          <w:szCs w:val="20"/>
        </w:rPr>
        <w:t>men</w:t>
      </w:r>
      <w:r w:rsidRPr="00A911FA">
        <w:rPr>
          <w:rFonts w:cstheme="minorHAnsi"/>
          <w:sz w:val="20"/>
          <w:szCs w:val="20"/>
        </w:rPr>
        <w:t xml:space="preserve"> with </w:t>
      </w:r>
      <w:r w:rsidR="00510F73">
        <w:rPr>
          <w:rFonts w:cstheme="minorHAnsi"/>
          <w:sz w:val="20"/>
          <w:szCs w:val="20"/>
        </w:rPr>
        <w:t xml:space="preserve">middle </w:t>
      </w:r>
      <w:r w:rsidRPr="00A911FA">
        <w:rPr>
          <w:rFonts w:cstheme="minorHAnsi"/>
          <w:sz w:val="20"/>
          <w:szCs w:val="20"/>
        </w:rPr>
        <w:t>incomes (</w:t>
      </w:r>
      <w:r w:rsidRPr="00A911FA">
        <w:rPr>
          <w:rFonts w:eastAsia="Calibri" w:cstheme="minorHAnsi"/>
          <w:sz w:val="20"/>
          <w:szCs w:val="20"/>
        </w:rPr>
        <w:t>HR = 0.</w:t>
      </w:r>
      <w:r w:rsidR="00510F73">
        <w:rPr>
          <w:rFonts w:eastAsia="Calibri" w:cstheme="minorHAnsi"/>
          <w:sz w:val="20"/>
          <w:szCs w:val="20"/>
        </w:rPr>
        <w:t>1.039</w:t>
      </w:r>
      <w:r w:rsidRPr="00A911FA">
        <w:rPr>
          <w:rFonts w:eastAsia="Calibri" w:cstheme="minorHAnsi"/>
          <w:sz w:val="20"/>
          <w:szCs w:val="20"/>
        </w:rPr>
        <w:t>; 99%CI = 0.</w:t>
      </w:r>
      <w:r w:rsidR="00510F73">
        <w:rPr>
          <w:rFonts w:eastAsia="Calibri" w:cstheme="minorHAnsi"/>
          <w:sz w:val="20"/>
          <w:szCs w:val="20"/>
        </w:rPr>
        <w:t>963</w:t>
      </w:r>
      <w:r w:rsidRPr="00A911FA">
        <w:rPr>
          <w:rFonts w:eastAsia="Calibri" w:cstheme="minorHAnsi"/>
          <w:sz w:val="20"/>
          <w:szCs w:val="20"/>
        </w:rPr>
        <w:t xml:space="preserve">, </w:t>
      </w:r>
      <w:r w:rsidR="00510F73">
        <w:rPr>
          <w:rFonts w:eastAsia="Calibri" w:cstheme="minorHAnsi"/>
          <w:sz w:val="20"/>
          <w:szCs w:val="20"/>
        </w:rPr>
        <w:t>1.121</w:t>
      </w:r>
      <w:r w:rsidRPr="00A911FA">
        <w:rPr>
          <w:rFonts w:cstheme="minorHAnsi"/>
          <w:sz w:val="20"/>
          <w:szCs w:val="20"/>
        </w:rPr>
        <w:t>) (Table 4).</w:t>
      </w:r>
    </w:p>
    <w:p w:rsidR="009647D3" w:rsidRPr="00A911FA" w:rsidRDefault="009647D3" w:rsidP="00510F73">
      <w:pPr>
        <w:rPr>
          <w:rFonts w:cstheme="minorHAnsi"/>
          <w:sz w:val="20"/>
          <w:szCs w:val="20"/>
        </w:rPr>
      </w:pPr>
      <w:r w:rsidRPr="00A911FA">
        <w:rPr>
          <w:rFonts w:cstheme="minorHAnsi"/>
          <w:sz w:val="20"/>
          <w:szCs w:val="20"/>
        </w:rPr>
        <w:t xml:space="preserve">Running this model separately for each </w:t>
      </w:r>
      <w:r w:rsidR="00510F73">
        <w:rPr>
          <w:rFonts w:cstheme="minorHAnsi"/>
          <w:sz w:val="20"/>
          <w:szCs w:val="20"/>
        </w:rPr>
        <w:t>income level found that among 32,220</w:t>
      </w:r>
      <w:r w:rsidRPr="00A911FA">
        <w:rPr>
          <w:rFonts w:cstheme="minorHAnsi"/>
          <w:sz w:val="20"/>
          <w:szCs w:val="20"/>
        </w:rPr>
        <w:t xml:space="preserve"> </w:t>
      </w:r>
      <w:r w:rsidR="00332B6E" w:rsidRPr="00A911FA">
        <w:rPr>
          <w:rFonts w:cstheme="minorHAnsi"/>
          <w:sz w:val="20"/>
          <w:szCs w:val="20"/>
        </w:rPr>
        <w:t xml:space="preserve">women with low </w:t>
      </w:r>
      <w:r w:rsidRPr="00A911FA">
        <w:rPr>
          <w:rFonts w:cstheme="minorHAnsi"/>
          <w:sz w:val="20"/>
          <w:szCs w:val="20"/>
        </w:rPr>
        <w:t>income</w:t>
      </w:r>
      <w:r w:rsidR="00332B6E" w:rsidRPr="00A911FA">
        <w:rPr>
          <w:rFonts w:cstheme="minorHAnsi"/>
          <w:sz w:val="20"/>
          <w:szCs w:val="20"/>
        </w:rPr>
        <w:t>s</w:t>
      </w:r>
      <w:r w:rsidRPr="00A911FA">
        <w:rPr>
          <w:rFonts w:cstheme="minorHAnsi"/>
          <w:sz w:val="20"/>
          <w:szCs w:val="20"/>
        </w:rPr>
        <w:t xml:space="preserve"> the mortality rate was higher among immigrants compared to non-immigrants</w:t>
      </w:r>
      <w:r w:rsidR="00332B6E" w:rsidRPr="00A911FA">
        <w:rPr>
          <w:rFonts w:cstheme="minorHAnsi"/>
          <w:sz w:val="20"/>
          <w:szCs w:val="20"/>
        </w:rPr>
        <w:t xml:space="preserve"> (</w:t>
      </w:r>
      <w:r w:rsidR="00332B6E" w:rsidRPr="00A911FA">
        <w:rPr>
          <w:rFonts w:eastAsia="Calibri" w:cstheme="minorHAnsi"/>
          <w:sz w:val="20"/>
          <w:szCs w:val="20"/>
        </w:rPr>
        <w:t xml:space="preserve">HR = </w:t>
      </w:r>
      <w:r w:rsidR="00510F73">
        <w:rPr>
          <w:rFonts w:eastAsia="Calibri" w:cstheme="minorHAnsi"/>
          <w:sz w:val="20"/>
          <w:szCs w:val="20"/>
        </w:rPr>
        <w:t>1.756</w:t>
      </w:r>
      <w:r w:rsidR="00332B6E" w:rsidRPr="00A911FA">
        <w:rPr>
          <w:rFonts w:eastAsia="Calibri" w:cstheme="minorHAnsi"/>
          <w:sz w:val="20"/>
          <w:szCs w:val="20"/>
        </w:rPr>
        <w:t xml:space="preserve">; 99%CI = </w:t>
      </w:r>
      <w:r w:rsidR="00510F73">
        <w:rPr>
          <w:rFonts w:eastAsia="Calibri" w:cstheme="minorHAnsi"/>
          <w:sz w:val="20"/>
          <w:szCs w:val="20"/>
        </w:rPr>
        <w:t>1.641</w:t>
      </w:r>
      <w:r w:rsidR="00332B6E" w:rsidRPr="00A911FA">
        <w:rPr>
          <w:rFonts w:eastAsia="Calibri" w:cstheme="minorHAnsi"/>
          <w:sz w:val="20"/>
          <w:szCs w:val="20"/>
        </w:rPr>
        <w:t xml:space="preserve">, </w:t>
      </w:r>
      <w:r w:rsidR="00510F73">
        <w:rPr>
          <w:rFonts w:eastAsia="Calibri" w:cstheme="minorHAnsi"/>
          <w:sz w:val="20"/>
          <w:szCs w:val="20"/>
        </w:rPr>
        <w:t>1.909</w:t>
      </w:r>
      <w:r w:rsidR="00332B6E" w:rsidRPr="00A911FA">
        <w:rPr>
          <w:rFonts w:cstheme="minorHAnsi"/>
          <w:sz w:val="20"/>
          <w:szCs w:val="20"/>
        </w:rPr>
        <w:t>). In contrast, the opposite directionality for this relationship was found among 50,595 women with middle incomes (</w:t>
      </w:r>
      <w:r w:rsidR="00332B6E" w:rsidRPr="00A911FA">
        <w:rPr>
          <w:rFonts w:eastAsia="Calibri" w:cstheme="minorHAnsi"/>
          <w:sz w:val="20"/>
          <w:szCs w:val="20"/>
        </w:rPr>
        <w:t>HR = 0.846; 99%CI = 0.772, 0.927</w:t>
      </w:r>
      <w:r w:rsidR="00332B6E" w:rsidRPr="00A911FA">
        <w:rPr>
          <w:rFonts w:cstheme="minorHAnsi"/>
          <w:sz w:val="20"/>
          <w:szCs w:val="20"/>
        </w:rPr>
        <w:t>). A stronger relationship with similar directionality was found for 24,852 women with high incomes (</w:t>
      </w:r>
      <w:r w:rsidR="00332B6E" w:rsidRPr="00A911FA">
        <w:rPr>
          <w:rFonts w:eastAsia="Calibri" w:cstheme="minorHAnsi"/>
          <w:sz w:val="20"/>
          <w:szCs w:val="20"/>
        </w:rPr>
        <w:t>HR = 0.738; 99%CI = 0.596, 0.913</w:t>
      </w:r>
      <w:r w:rsidR="00332B6E" w:rsidRPr="00A911FA">
        <w:rPr>
          <w:rFonts w:cstheme="minorHAnsi"/>
          <w:sz w:val="20"/>
          <w:szCs w:val="20"/>
        </w:rPr>
        <w:t>) (Table 4).</w:t>
      </w:r>
    </w:p>
    <w:p w:rsidR="00332B6E" w:rsidRPr="00A911FA" w:rsidRDefault="00332B6E" w:rsidP="002D2446">
      <w:pPr>
        <w:rPr>
          <w:rFonts w:cstheme="minorHAnsi"/>
          <w:sz w:val="20"/>
          <w:szCs w:val="20"/>
        </w:rPr>
      </w:pPr>
      <w:r w:rsidRPr="00A911FA">
        <w:rPr>
          <w:rFonts w:cstheme="minorHAnsi"/>
          <w:sz w:val="20"/>
          <w:szCs w:val="20"/>
        </w:rPr>
        <w:lastRenderedPageBreak/>
        <w:t xml:space="preserve">In summary, when examining the relationship between immigration and mortality in the </w:t>
      </w:r>
      <w:r w:rsidR="00510F73">
        <w:rPr>
          <w:rFonts w:cstheme="minorHAnsi"/>
          <w:sz w:val="20"/>
          <w:szCs w:val="20"/>
        </w:rPr>
        <w:t>total</w:t>
      </w:r>
      <w:r w:rsidRPr="00A911FA">
        <w:rPr>
          <w:rFonts w:cstheme="minorHAnsi"/>
          <w:sz w:val="20"/>
          <w:szCs w:val="20"/>
        </w:rPr>
        <w:t xml:space="preserve"> population it was found that immigration is a risk factor for mortality among both genders, but more so among men. When </w:t>
      </w:r>
      <w:r w:rsidR="002D2446">
        <w:rPr>
          <w:rFonts w:cstheme="minorHAnsi"/>
          <w:sz w:val="20"/>
          <w:szCs w:val="20"/>
        </w:rPr>
        <w:t xml:space="preserve">classifying the cohort by </w:t>
      </w:r>
      <w:r w:rsidRPr="00A911FA">
        <w:rPr>
          <w:rFonts w:cstheme="minorHAnsi"/>
          <w:sz w:val="20"/>
          <w:szCs w:val="20"/>
        </w:rPr>
        <w:t>gender and income level it was found that among men and women with low incomes immigration is a risk factor for mortality. The opposite directionality of the relationship was found among men with high incomes and among women with middle and high incomes.</w:t>
      </w:r>
    </w:p>
    <w:p w:rsidR="00332B6E" w:rsidRPr="00A911FA" w:rsidRDefault="00BD12DC" w:rsidP="001E26C4">
      <w:pPr>
        <w:rPr>
          <w:rFonts w:cstheme="minorHAnsi"/>
          <w:b/>
          <w:bCs/>
          <w:sz w:val="20"/>
          <w:szCs w:val="20"/>
        </w:rPr>
      </w:pPr>
      <w:r w:rsidRPr="00A911FA">
        <w:rPr>
          <w:rFonts w:cstheme="minorHAnsi"/>
          <w:b/>
          <w:bCs/>
          <w:sz w:val="20"/>
          <w:szCs w:val="20"/>
        </w:rPr>
        <w:t>Discussion</w:t>
      </w:r>
    </w:p>
    <w:p w:rsidR="00332B6E" w:rsidRPr="00A911FA" w:rsidRDefault="00727506" w:rsidP="00510F73">
      <w:pPr>
        <w:rPr>
          <w:rFonts w:cstheme="minorHAnsi"/>
          <w:sz w:val="20"/>
          <w:szCs w:val="20"/>
        </w:rPr>
      </w:pPr>
      <w:r>
        <w:rPr>
          <w:rFonts w:cstheme="minorHAnsi"/>
          <w:sz w:val="20"/>
          <w:szCs w:val="20"/>
        </w:rPr>
        <w:t xml:space="preserve">Similarly to </w:t>
      </w:r>
      <w:r w:rsidR="00510F73">
        <w:rPr>
          <w:rFonts w:cstheme="minorHAnsi"/>
          <w:sz w:val="20"/>
          <w:szCs w:val="20"/>
        </w:rPr>
        <w:t xml:space="preserve">previous analyses </w:t>
      </w:r>
      <w:r>
        <w:rPr>
          <w:rFonts w:cstheme="minorHAnsi"/>
          <w:sz w:val="20"/>
          <w:szCs w:val="20"/>
        </w:rPr>
        <w:t>[1]</w:t>
      </w:r>
      <w:r w:rsidR="00A9224D" w:rsidRPr="00A911FA">
        <w:rPr>
          <w:rFonts w:cstheme="minorHAnsi"/>
          <w:sz w:val="20"/>
          <w:szCs w:val="20"/>
        </w:rPr>
        <w:t xml:space="preserve"> we found that this immigrant population is more educated, earns less, and includes a higher proportion of women and a lower proportion of married women than the non-immigrant population. This can be related to the particularly large differences in life expectancy </w:t>
      </w:r>
      <w:r w:rsidR="00510F73" w:rsidRPr="00A911FA">
        <w:rPr>
          <w:rFonts w:cstheme="minorHAnsi"/>
          <w:sz w:val="20"/>
          <w:szCs w:val="20"/>
        </w:rPr>
        <w:t xml:space="preserve">between genders </w:t>
      </w:r>
      <w:r w:rsidR="00A9224D" w:rsidRPr="00A911FA">
        <w:rPr>
          <w:rFonts w:cstheme="minorHAnsi"/>
          <w:sz w:val="20"/>
          <w:szCs w:val="20"/>
        </w:rPr>
        <w:t xml:space="preserve">in the USSR in the 1990s </w:t>
      </w:r>
      <w:r>
        <w:rPr>
          <w:rFonts w:cstheme="minorHAnsi"/>
          <w:sz w:val="20"/>
          <w:szCs w:val="20"/>
        </w:rPr>
        <w:t>[3, 10]</w:t>
      </w:r>
      <w:r w:rsidR="00A9224D" w:rsidRPr="00A911FA">
        <w:rPr>
          <w:rFonts w:cstheme="minorHAnsi"/>
          <w:sz w:val="20"/>
          <w:szCs w:val="20"/>
        </w:rPr>
        <w:t xml:space="preserve">. Similarly to other studies, the current study also found </w:t>
      </w:r>
      <w:r w:rsidR="00510F73">
        <w:rPr>
          <w:rFonts w:cstheme="minorHAnsi"/>
          <w:sz w:val="20"/>
          <w:szCs w:val="20"/>
        </w:rPr>
        <w:t xml:space="preserve">that having </w:t>
      </w:r>
      <w:r w:rsidR="00A9224D" w:rsidRPr="00A911FA">
        <w:rPr>
          <w:rFonts w:cstheme="minorHAnsi"/>
          <w:sz w:val="20"/>
          <w:szCs w:val="20"/>
        </w:rPr>
        <w:t xml:space="preserve">high income </w:t>
      </w:r>
      <w:r>
        <w:rPr>
          <w:rFonts w:cstheme="minorHAnsi"/>
          <w:sz w:val="20"/>
          <w:szCs w:val="20"/>
        </w:rPr>
        <w:t>[11-15]</w:t>
      </w:r>
      <w:r w:rsidR="00510F73">
        <w:rPr>
          <w:rFonts w:cstheme="minorHAnsi"/>
          <w:sz w:val="20"/>
          <w:szCs w:val="20"/>
        </w:rPr>
        <w:t>, being more educated</w:t>
      </w:r>
      <w:r w:rsidR="00A9224D" w:rsidRPr="00A911FA">
        <w:rPr>
          <w:rFonts w:cstheme="minorHAnsi"/>
          <w:sz w:val="20"/>
          <w:szCs w:val="20"/>
        </w:rPr>
        <w:t xml:space="preserve"> </w:t>
      </w:r>
      <w:r>
        <w:rPr>
          <w:rFonts w:cstheme="minorHAnsi"/>
          <w:sz w:val="20"/>
          <w:szCs w:val="20"/>
        </w:rPr>
        <w:t>[16-18]</w:t>
      </w:r>
      <w:r w:rsidR="00A9224D" w:rsidRPr="00A911FA">
        <w:rPr>
          <w:rFonts w:cstheme="minorHAnsi"/>
          <w:sz w:val="20"/>
          <w:szCs w:val="20"/>
        </w:rPr>
        <w:t xml:space="preserve"> and being married </w:t>
      </w:r>
      <w:r>
        <w:rPr>
          <w:rFonts w:cstheme="minorHAnsi"/>
          <w:sz w:val="20"/>
          <w:szCs w:val="20"/>
        </w:rPr>
        <w:t>[19]</w:t>
      </w:r>
      <w:r w:rsidR="00A9224D" w:rsidRPr="00A911FA">
        <w:rPr>
          <w:rFonts w:cstheme="minorHAnsi"/>
          <w:sz w:val="20"/>
          <w:szCs w:val="20"/>
        </w:rPr>
        <w:t xml:space="preserve"> </w:t>
      </w:r>
      <w:r w:rsidR="00510F73">
        <w:rPr>
          <w:rFonts w:cstheme="minorHAnsi"/>
          <w:sz w:val="20"/>
          <w:szCs w:val="20"/>
        </w:rPr>
        <w:t>were</w:t>
      </w:r>
      <w:r w:rsidR="00A9224D" w:rsidRPr="00A911FA">
        <w:rPr>
          <w:rFonts w:cstheme="minorHAnsi"/>
          <w:sz w:val="20"/>
          <w:szCs w:val="20"/>
        </w:rPr>
        <w:t xml:space="preserve"> related to better health outcomes.</w:t>
      </w:r>
    </w:p>
    <w:p w:rsidR="00A9224D" w:rsidRPr="00A911FA" w:rsidRDefault="00A9224D" w:rsidP="001E26C4">
      <w:pPr>
        <w:rPr>
          <w:rFonts w:cstheme="minorHAnsi"/>
          <w:sz w:val="20"/>
          <w:szCs w:val="20"/>
        </w:rPr>
      </w:pPr>
      <w:r w:rsidRPr="00A911FA">
        <w:rPr>
          <w:rFonts w:cstheme="minorHAnsi"/>
          <w:sz w:val="20"/>
          <w:szCs w:val="20"/>
        </w:rPr>
        <w:t>When examining the relationship between immigration and mortality in a novel way, by comparing the immigrant group to a control group with similar genetic characteristics in a country that encourages immigration, we found support for the ‘sick immigrant’ phenomenon. Nevertheless, in the high-income subgroup we found the opposing ‘healthy immigrant’ phenomenon.</w:t>
      </w:r>
    </w:p>
    <w:p w:rsidR="00A9224D" w:rsidRPr="00A911FA" w:rsidRDefault="00A9224D" w:rsidP="00A81BBB">
      <w:pPr>
        <w:rPr>
          <w:rFonts w:cstheme="minorHAnsi"/>
          <w:i/>
          <w:iCs/>
          <w:sz w:val="20"/>
          <w:szCs w:val="20"/>
        </w:rPr>
      </w:pPr>
      <w:r w:rsidRPr="00A911FA">
        <w:rPr>
          <w:rFonts w:cstheme="minorHAnsi"/>
          <w:i/>
          <w:iCs/>
          <w:sz w:val="20"/>
          <w:szCs w:val="20"/>
        </w:rPr>
        <w:t xml:space="preserve">The relationship between immigration and mortality in the </w:t>
      </w:r>
      <w:r w:rsidR="00A81BBB">
        <w:rPr>
          <w:rFonts w:cs="Arial"/>
          <w:i/>
          <w:iCs/>
          <w:sz w:val="20"/>
          <w:szCs w:val="20"/>
        </w:rPr>
        <w:t>total</w:t>
      </w:r>
      <w:r w:rsidRPr="00A911FA">
        <w:rPr>
          <w:rFonts w:cstheme="minorHAnsi"/>
          <w:i/>
          <w:iCs/>
          <w:sz w:val="20"/>
          <w:szCs w:val="20"/>
        </w:rPr>
        <w:t xml:space="preserve"> study population</w:t>
      </w:r>
    </w:p>
    <w:p w:rsidR="00A9224D" w:rsidRPr="00A911FA" w:rsidRDefault="00A9224D" w:rsidP="00510F73">
      <w:pPr>
        <w:rPr>
          <w:rFonts w:cstheme="minorHAnsi"/>
          <w:sz w:val="20"/>
          <w:szCs w:val="20"/>
        </w:rPr>
      </w:pPr>
      <w:r w:rsidRPr="00A911FA">
        <w:rPr>
          <w:rFonts w:cstheme="minorHAnsi"/>
          <w:sz w:val="20"/>
          <w:szCs w:val="20"/>
        </w:rPr>
        <w:t>When examining the relationship between immigration and mortality in</w:t>
      </w:r>
      <w:r w:rsidR="00510F73">
        <w:rPr>
          <w:rFonts w:cstheme="minorHAnsi"/>
          <w:sz w:val="20"/>
          <w:szCs w:val="20"/>
        </w:rPr>
        <w:t xml:space="preserve"> the</w:t>
      </w:r>
      <w:r w:rsidRPr="00A911FA">
        <w:rPr>
          <w:rFonts w:cstheme="minorHAnsi"/>
          <w:sz w:val="20"/>
          <w:szCs w:val="20"/>
        </w:rPr>
        <w:t xml:space="preserve"> </w:t>
      </w:r>
      <w:r w:rsidR="00510F73">
        <w:rPr>
          <w:rFonts w:cstheme="minorHAnsi"/>
          <w:sz w:val="20"/>
          <w:szCs w:val="20"/>
        </w:rPr>
        <w:t>total</w:t>
      </w:r>
      <w:r w:rsidRPr="00A911FA">
        <w:rPr>
          <w:rFonts w:cstheme="minorHAnsi"/>
          <w:sz w:val="20"/>
          <w:szCs w:val="20"/>
        </w:rPr>
        <w:t xml:space="preserve"> study population we found a trend opposite to </w:t>
      </w:r>
      <w:r w:rsidR="00510F73">
        <w:rPr>
          <w:rFonts w:cstheme="minorHAnsi"/>
          <w:sz w:val="20"/>
          <w:szCs w:val="20"/>
        </w:rPr>
        <w:t>that</w:t>
      </w:r>
      <w:r w:rsidRPr="00A911FA">
        <w:rPr>
          <w:rFonts w:cstheme="minorHAnsi"/>
          <w:sz w:val="20"/>
          <w:szCs w:val="20"/>
        </w:rPr>
        <w:t xml:space="preserve"> expected between immigration and mortality. Support for the ‘sick immigrant’ phenomenon in this </w:t>
      </w:r>
      <w:r w:rsidR="00C11E07" w:rsidRPr="00A911FA">
        <w:rPr>
          <w:rFonts w:cstheme="minorHAnsi"/>
          <w:sz w:val="20"/>
          <w:szCs w:val="20"/>
        </w:rPr>
        <w:t>immigrant group can be found in a study that examined the relationship between immigration and state of health in European countries and Israel, and demonstrated, as expected, a health advantage for immigrants in European countries in comparison to the local populations, while among those who immigrated from the USSR to Israel in the 1990s the opposit</w:t>
      </w:r>
      <w:r w:rsidR="00727506">
        <w:rPr>
          <w:rFonts w:cstheme="minorHAnsi"/>
          <w:sz w:val="20"/>
          <w:szCs w:val="20"/>
        </w:rPr>
        <w:t>e relationship was demonstrated [4]</w:t>
      </w:r>
      <w:r w:rsidR="00C11E07" w:rsidRPr="00A911FA">
        <w:rPr>
          <w:rFonts w:cstheme="minorHAnsi"/>
          <w:sz w:val="20"/>
          <w:szCs w:val="20"/>
        </w:rPr>
        <w:t>.</w:t>
      </w:r>
    </w:p>
    <w:p w:rsidR="00C11E07" w:rsidRPr="00A911FA" w:rsidRDefault="00C11E07" w:rsidP="00727506">
      <w:pPr>
        <w:rPr>
          <w:rFonts w:cstheme="minorHAnsi"/>
          <w:sz w:val="20"/>
          <w:szCs w:val="20"/>
        </w:rPr>
      </w:pPr>
      <w:r w:rsidRPr="00A911FA">
        <w:rPr>
          <w:rFonts w:cstheme="minorHAnsi"/>
          <w:sz w:val="20"/>
          <w:szCs w:val="20"/>
        </w:rPr>
        <w:t xml:space="preserve">Similar results were obtained from surveys conducted in Israel, which revealed that these immigrants estimate their state of health as being worse and had a higher rate of hospitalization compared to the local Jewish population </w:t>
      </w:r>
      <w:r w:rsidR="00727506">
        <w:rPr>
          <w:rFonts w:cstheme="minorHAnsi"/>
          <w:sz w:val="20"/>
          <w:szCs w:val="20"/>
        </w:rPr>
        <w:t>[5]</w:t>
      </w:r>
      <w:r w:rsidRPr="00A911FA">
        <w:rPr>
          <w:rFonts w:cstheme="minorHAnsi"/>
          <w:sz w:val="20"/>
          <w:szCs w:val="20"/>
        </w:rPr>
        <w:t xml:space="preserve">. However, this finding is not in line with the results of a different study </w:t>
      </w:r>
      <w:r w:rsidR="00727506">
        <w:rPr>
          <w:rFonts w:cstheme="minorHAnsi"/>
          <w:sz w:val="20"/>
          <w:szCs w:val="20"/>
        </w:rPr>
        <w:t>[3]</w:t>
      </w:r>
      <w:r w:rsidRPr="00A911FA">
        <w:rPr>
          <w:rFonts w:cstheme="minorHAnsi"/>
          <w:sz w:val="20"/>
          <w:szCs w:val="20"/>
        </w:rPr>
        <w:t xml:space="preserve"> that was conducted on this population and demonstrated a certain life expectancy advantage among female immigrants compared to non-immigrants. We note that the control group in that study included all Israeli citizens including Arab Israeli citizens who have a higher mortality rate than the Jewish population </w:t>
      </w:r>
      <w:r w:rsidR="00727506">
        <w:rPr>
          <w:rFonts w:cstheme="minorHAnsi"/>
          <w:sz w:val="20"/>
          <w:szCs w:val="20"/>
        </w:rPr>
        <w:t>[20]</w:t>
      </w:r>
      <w:r w:rsidRPr="00A911FA">
        <w:rPr>
          <w:rFonts w:cstheme="minorHAnsi"/>
          <w:sz w:val="20"/>
          <w:szCs w:val="20"/>
        </w:rPr>
        <w:t xml:space="preserve"> while in the current study we chose to include only Jews of Eastern European origin.</w:t>
      </w:r>
    </w:p>
    <w:p w:rsidR="00C11E07" w:rsidRPr="00A911FA" w:rsidRDefault="00C11E07" w:rsidP="00510F73">
      <w:pPr>
        <w:rPr>
          <w:rFonts w:cstheme="minorHAnsi"/>
          <w:sz w:val="20"/>
          <w:szCs w:val="20"/>
        </w:rPr>
      </w:pPr>
      <w:r w:rsidRPr="00A911FA">
        <w:rPr>
          <w:rFonts w:cstheme="minorHAnsi"/>
          <w:sz w:val="20"/>
          <w:szCs w:val="20"/>
        </w:rPr>
        <w:t>When comparing the mortality rate of these immigrants to the mortality rate of non-immigrants we must remember that they came from countries in which life expectancy is lower than in Western countries</w:t>
      </w:r>
      <w:r w:rsidR="00A92853" w:rsidRPr="00A911FA">
        <w:rPr>
          <w:rFonts w:cstheme="minorHAnsi"/>
          <w:sz w:val="20"/>
          <w:szCs w:val="20"/>
        </w:rPr>
        <w:t xml:space="preserve"> </w:t>
      </w:r>
      <w:r w:rsidR="00727506">
        <w:rPr>
          <w:rFonts w:cstheme="minorHAnsi"/>
          <w:sz w:val="20"/>
          <w:szCs w:val="20"/>
        </w:rPr>
        <w:t xml:space="preserve">[3, 10, </w:t>
      </w:r>
      <w:proofErr w:type="gramStart"/>
      <w:r w:rsidR="00727506">
        <w:rPr>
          <w:rFonts w:cstheme="minorHAnsi"/>
          <w:sz w:val="20"/>
          <w:szCs w:val="20"/>
        </w:rPr>
        <w:t>21</w:t>
      </w:r>
      <w:proofErr w:type="gramEnd"/>
      <w:r w:rsidR="00727506">
        <w:rPr>
          <w:rFonts w:cstheme="minorHAnsi"/>
          <w:sz w:val="20"/>
          <w:szCs w:val="20"/>
        </w:rPr>
        <w:t>]</w:t>
      </w:r>
      <w:r w:rsidR="00A92853" w:rsidRPr="00A911FA">
        <w:rPr>
          <w:rFonts w:cstheme="minorHAnsi"/>
          <w:sz w:val="20"/>
          <w:szCs w:val="20"/>
        </w:rPr>
        <w:t>; Israel has one of the highest life expectancies in the Western world.</w:t>
      </w:r>
    </w:p>
    <w:p w:rsidR="00A92853" w:rsidRPr="00A911FA" w:rsidRDefault="00A92853" w:rsidP="00727506">
      <w:pPr>
        <w:rPr>
          <w:rFonts w:cstheme="minorHAnsi"/>
          <w:sz w:val="20"/>
          <w:szCs w:val="20"/>
        </w:rPr>
      </w:pPr>
      <w:r w:rsidRPr="00A911FA">
        <w:rPr>
          <w:rFonts w:cstheme="minorHAnsi"/>
          <w:sz w:val="20"/>
          <w:szCs w:val="20"/>
        </w:rPr>
        <w:t xml:space="preserve">Nevertheless, we must remember that the ‘healthy immigrant’ phenomenon has been demonstrated in the Western world also among immigrants from developing countries in which life expectancy is relatively low </w:t>
      </w:r>
      <w:r w:rsidR="00727506">
        <w:rPr>
          <w:rFonts w:cstheme="minorHAnsi"/>
          <w:sz w:val="20"/>
          <w:szCs w:val="20"/>
        </w:rPr>
        <w:t>[4, 6]</w:t>
      </w:r>
      <w:r w:rsidRPr="00A911FA">
        <w:rPr>
          <w:rFonts w:cstheme="minorHAnsi"/>
          <w:sz w:val="20"/>
          <w:szCs w:val="20"/>
        </w:rPr>
        <w:t>. Furthermore, in line with previous studies</w:t>
      </w:r>
      <w:r w:rsidR="00727506">
        <w:rPr>
          <w:rFonts w:cstheme="minorHAnsi"/>
          <w:sz w:val="20"/>
          <w:szCs w:val="20"/>
        </w:rPr>
        <w:t xml:space="preserve"> [6]</w:t>
      </w:r>
      <w:r w:rsidRPr="00A911FA">
        <w:rPr>
          <w:rFonts w:cstheme="minorHAnsi"/>
          <w:sz w:val="20"/>
          <w:szCs w:val="20"/>
        </w:rPr>
        <w:t>, we could have expected that in Israel, as a multicultural country that absorbs immigration with good health and welfare systems, immigrants would have a particularly high advantage.</w:t>
      </w:r>
    </w:p>
    <w:p w:rsidR="00A92853" w:rsidRPr="00A911FA" w:rsidRDefault="00A92853" w:rsidP="002D2446">
      <w:pPr>
        <w:rPr>
          <w:rFonts w:cstheme="minorHAnsi"/>
          <w:sz w:val="20"/>
          <w:szCs w:val="20"/>
        </w:rPr>
      </w:pPr>
      <w:r w:rsidRPr="00A911FA">
        <w:rPr>
          <w:rFonts w:cstheme="minorHAnsi"/>
          <w:sz w:val="20"/>
          <w:szCs w:val="20"/>
        </w:rPr>
        <w:t xml:space="preserve">We note that during the 1990s the immigration options for Soviet Jews were concentrated mainly in the USA and Israel. Immigration to the USA during that period was conditional on obtaining a visa and having family connections. Those who </w:t>
      </w:r>
      <w:r w:rsidR="00510F73">
        <w:rPr>
          <w:rFonts w:cstheme="minorHAnsi"/>
          <w:sz w:val="20"/>
          <w:szCs w:val="20"/>
        </w:rPr>
        <w:t xml:space="preserve">were unable to </w:t>
      </w:r>
      <w:r w:rsidRPr="00A911FA">
        <w:rPr>
          <w:rFonts w:cstheme="minorHAnsi"/>
          <w:sz w:val="20"/>
          <w:szCs w:val="20"/>
        </w:rPr>
        <w:t xml:space="preserve">pass the American selection applied to Israel. </w:t>
      </w:r>
      <w:r w:rsidR="002D2446">
        <w:rPr>
          <w:rFonts w:cstheme="minorHAnsi"/>
          <w:sz w:val="20"/>
          <w:szCs w:val="20"/>
        </w:rPr>
        <w:t>A</w:t>
      </w:r>
      <w:r w:rsidRPr="00A911FA">
        <w:rPr>
          <w:rFonts w:cstheme="minorHAnsi"/>
          <w:sz w:val="20"/>
          <w:szCs w:val="20"/>
        </w:rPr>
        <w:t xml:space="preserve"> study </w:t>
      </w:r>
      <w:r w:rsidR="00510F73">
        <w:rPr>
          <w:rFonts w:cstheme="minorHAnsi"/>
          <w:sz w:val="20"/>
          <w:szCs w:val="20"/>
        </w:rPr>
        <w:t xml:space="preserve">on Jews who </w:t>
      </w:r>
      <w:r w:rsidR="00510F73">
        <w:rPr>
          <w:rFonts w:cstheme="minorHAnsi"/>
          <w:sz w:val="20"/>
          <w:szCs w:val="20"/>
        </w:rPr>
        <w:lastRenderedPageBreak/>
        <w:t xml:space="preserve">immigrated to the USA from the USSR </w:t>
      </w:r>
      <w:r w:rsidRPr="00A911FA">
        <w:rPr>
          <w:rFonts w:cstheme="minorHAnsi"/>
          <w:sz w:val="20"/>
          <w:szCs w:val="20"/>
        </w:rPr>
        <w:t xml:space="preserve">in </w:t>
      </w:r>
      <w:r w:rsidR="00510F73">
        <w:rPr>
          <w:rFonts w:cstheme="minorHAnsi"/>
          <w:sz w:val="20"/>
          <w:szCs w:val="20"/>
        </w:rPr>
        <w:t xml:space="preserve">the </w:t>
      </w:r>
      <w:r w:rsidRPr="00A911FA">
        <w:rPr>
          <w:rFonts w:cstheme="minorHAnsi"/>
          <w:sz w:val="20"/>
          <w:szCs w:val="20"/>
        </w:rPr>
        <w:t xml:space="preserve">1990s </w:t>
      </w:r>
      <w:r w:rsidR="002D2446">
        <w:rPr>
          <w:rFonts w:cstheme="minorHAnsi"/>
          <w:sz w:val="20"/>
          <w:szCs w:val="20"/>
        </w:rPr>
        <w:t xml:space="preserve">reported </w:t>
      </w:r>
      <w:r w:rsidRPr="00A911FA">
        <w:rPr>
          <w:rFonts w:cstheme="minorHAnsi"/>
          <w:sz w:val="20"/>
          <w:szCs w:val="20"/>
        </w:rPr>
        <w:t xml:space="preserve">a higher level of disability </w:t>
      </w:r>
      <w:r w:rsidR="002D2446">
        <w:rPr>
          <w:rFonts w:cstheme="minorHAnsi"/>
          <w:sz w:val="20"/>
          <w:szCs w:val="20"/>
        </w:rPr>
        <w:t xml:space="preserve">within this population </w:t>
      </w:r>
      <w:r w:rsidRPr="00A911FA">
        <w:rPr>
          <w:rFonts w:cstheme="minorHAnsi"/>
          <w:sz w:val="20"/>
          <w:szCs w:val="20"/>
        </w:rPr>
        <w:t xml:space="preserve">than </w:t>
      </w:r>
      <w:r w:rsidR="002D2446">
        <w:rPr>
          <w:rFonts w:cstheme="minorHAnsi"/>
          <w:sz w:val="20"/>
          <w:szCs w:val="20"/>
        </w:rPr>
        <w:t>within</w:t>
      </w:r>
      <w:r w:rsidRPr="00A911FA">
        <w:rPr>
          <w:rFonts w:cstheme="minorHAnsi"/>
          <w:sz w:val="20"/>
          <w:szCs w:val="20"/>
        </w:rPr>
        <w:t xml:space="preserve"> the white population in the USA </w:t>
      </w:r>
      <w:r w:rsidR="00727506">
        <w:rPr>
          <w:rFonts w:cstheme="minorHAnsi"/>
          <w:sz w:val="20"/>
          <w:szCs w:val="20"/>
        </w:rPr>
        <w:t>[22]</w:t>
      </w:r>
      <w:r w:rsidRPr="00A911FA">
        <w:rPr>
          <w:rFonts w:cstheme="minorHAnsi"/>
          <w:sz w:val="20"/>
          <w:szCs w:val="20"/>
        </w:rPr>
        <w:t xml:space="preserve">. This finding was explained by </w:t>
      </w:r>
      <w:r w:rsidR="007B7DA3" w:rsidRPr="00A911FA">
        <w:rPr>
          <w:rFonts w:cstheme="minorHAnsi"/>
          <w:sz w:val="20"/>
          <w:szCs w:val="20"/>
        </w:rPr>
        <w:t>early life conditions including poor nutrition during childhood and infectious diseases that may have long-term consequences, alongside social and psychological pressures related to the Soviet economic crisis.</w:t>
      </w:r>
    </w:p>
    <w:p w:rsidR="007B7DA3" w:rsidRPr="00A911FA" w:rsidRDefault="007B7DA3" w:rsidP="002D2446">
      <w:pPr>
        <w:rPr>
          <w:rFonts w:cstheme="minorHAnsi"/>
          <w:sz w:val="20"/>
          <w:szCs w:val="20"/>
        </w:rPr>
      </w:pPr>
      <w:r w:rsidRPr="00A911FA">
        <w:rPr>
          <w:rFonts w:cstheme="minorHAnsi"/>
          <w:sz w:val="20"/>
          <w:szCs w:val="20"/>
        </w:rPr>
        <w:t xml:space="preserve">Besides the explanations with respect to early living conditions and pressures related to the Soviet economic crisis we would like to raise a number of possible explanations for the unique ‘sick immigrant’ phenomenon among </w:t>
      </w:r>
      <w:r w:rsidR="002D2446">
        <w:rPr>
          <w:rFonts w:cstheme="minorHAnsi"/>
          <w:sz w:val="20"/>
          <w:szCs w:val="20"/>
        </w:rPr>
        <w:t xml:space="preserve">Soviet </w:t>
      </w:r>
      <w:r w:rsidRPr="00A911FA">
        <w:rPr>
          <w:rFonts w:cstheme="minorHAnsi"/>
          <w:sz w:val="20"/>
          <w:szCs w:val="20"/>
        </w:rPr>
        <w:t xml:space="preserve">immigrants to Israel </w:t>
      </w:r>
      <w:r w:rsidR="002D2446">
        <w:rPr>
          <w:rFonts w:cstheme="minorHAnsi"/>
          <w:sz w:val="20"/>
          <w:szCs w:val="20"/>
        </w:rPr>
        <w:t xml:space="preserve">during </w:t>
      </w:r>
      <w:r w:rsidRPr="00A911FA">
        <w:rPr>
          <w:rFonts w:cstheme="minorHAnsi"/>
          <w:sz w:val="20"/>
          <w:szCs w:val="20"/>
        </w:rPr>
        <w:t>1990</w:t>
      </w:r>
      <w:r w:rsidR="002D2446">
        <w:rPr>
          <w:rFonts w:cstheme="minorHAnsi"/>
          <w:sz w:val="20"/>
          <w:szCs w:val="20"/>
        </w:rPr>
        <w:t>–</w:t>
      </w:r>
      <w:r w:rsidRPr="00A911FA">
        <w:rPr>
          <w:rFonts w:cstheme="minorHAnsi"/>
          <w:sz w:val="20"/>
          <w:szCs w:val="20"/>
        </w:rPr>
        <w:t>1995</w:t>
      </w:r>
      <w:r w:rsidR="00DD6C7E" w:rsidRPr="00A911FA">
        <w:rPr>
          <w:rFonts w:cstheme="minorHAnsi"/>
          <w:sz w:val="20"/>
          <w:szCs w:val="20"/>
        </w:rPr>
        <w:t>. First</w:t>
      </w:r>
      <w:r w:rsidRPr="00A911FA">
        <w:rPr>
          <w:rFonts w:cstheme="minorHAnsi"/>
          <w:sz w:val="20"/>
          <w:szCs w:val="20"/>
        </w:rPr>
        <w:t xml:space="preserve">, these immigrants immigrated under the authority of the Law of Return </w:t>
      </w:r>
      <w:r w:rsidR="00727506">
        <w:rPr>
          <w:rFonts w:cstheme="minorHAnsi"/>
          <w:sz w:val="20"/>
          <w:szCs w:val="20"/>
        </w:rPr>
        <w:t>[2]</w:t>
      </w:r>
      <w:r w:rsidRPr="00A911FA">
        <w:rPr>
          <w:rFonts w:cstheme="minorHAnsi"/>
          <w:sz w:val="20"/>
          <w:szCs w:val="20"/>
        </w:rPr>
        <w:t xml:space="preserve"> that enables any Jewish family member to immigrate to Israel without the customary filtering and health examinations </w:t>
      </w:r>
      <w:r w:rsidR="00A81BBB">
        <w:rPr>
          <w:rFonts w:cstheme="minorHAnsi"/>
          <w:sz w:val="20"/>
          <w:szCs w:val="20"/>
        </w:rPr>
        <w:t xml:space="preserve">practiced </w:t>
      </w:r>
      <w:r w:rsidRPr="00A911FA">
        <w:rPr>
          <w:rFonts w:cstheme="minorHAnsi"/>
          <w:sz w:val="20"/>
          <w:szCs w:val="20"/>
        </w:rPr>
        <w:t xml:space="preserve">in other Western countries that were suggested as a potential explanation for the ‘healthy immigrant’ phenomenon in these countries </w:t>
      </w:r>
      <w:r w:rsidR="00727506">
        <w:rPr>
          <w:rFonts w:cstheme="minorHAnsi"/>
          <w:sz w:val="20"/>
          <w:szCs w:val="20"/>
        </w:rPr>
        <w:t>[4]</w:t>
      </w:r>
      <w:r w:rsidRPr="00A911FA">
        <w:rPr>
          <w:rFonts w:cstheme="minorHAnsi"/>
          <w:sz w:val="20"/>
          <w:szCs w:val="20"/>
        </w:rPr>
        <w:t xml:space="preserve">. </w:t>
      </w:r>
      <w:r w:rsidR="00DD6C7E" w:rsidRPr="00A911FA">
        <w:rPr>
          <w:rFonts w:cstheme="minorHAnsi"/>
          <w:sz w:val="20"/>
          <w:szCs w:val="20"/>
        </w:rPr>
        <w:t>Second, the high level of health in Israel and the broad health services provided within the framework of th</w:t>
      </w:r>
      <w:r w:rsidR="00727506">
        <w:rPr>
          <w:rFonts w:cstheme="minorHAnsi"/>
          <w:sz w:val="20"/>
          <w:szCs w:val="20"/>
        </w:rPr>
        <w:t>e National Health Insurance Law [8]</w:t>
      </w:r>
      <w:r w:rsidR="00DD6C7E" w:rsidRPr="00A911FA">
        <w:rPr>
          <w:rFonts w:cstheme="minorHAnsi"/>
          <w:sz w:val="20"/>
          <w:szCs w:val="20"/>
        </w:rPr>
        <w:t xml:space="preserve"> to every immigrant may serve as a catalyst for immigration among sick people who need these health services and are more inclined to die. Third</w:t>
      </w:r>
      <w:r w:rsidRPr="00A911FA">
        <w:rPr>
          <w:rFonts w:cstheme="minorHAnsi"/>
          <w:sz w:val="20"/>
          <w:szCs w:val="20"/>
        </w:rPr>
        <w:t xml:space="preserve">, biases in the registration </w:t>
      </w:r>
      <w:r w:rsidR="002D2446">
        <w:rPr>
          <w:rFonts w:cstheme="minorHAnsi"/>
          <w:sz w:val="20"/>
          <w:szCs w:val="20"/>
        </w:rPr>
        <w:t>of</w:t>
      </w:r>
      <w:r w:rsidRPr="00A911FA">
        <w:rPr>
          <w:rFonts w:cstheme="minorHAnsi"/>
          <w:sz w:val="20"/>
          <w:szCs w:val="20"/>
        </w:rPr>
        <w:t xml:space="preserve"> entries </w:t>
      </w:r>
      <w:r w:rsidR="002D2446">
        <w:rPr>
          <w:rFonts w:cstheme="minorHAnsi"/>
          <w:sz w:val="20"/>
          <w:szCs w:val="20"/>
        </w:rPr>
        <w:t xml:space="preserve">to </w:t>
      </w:r>
      <w:r w:rsidRPr="00A911FA">
        <w:rPr>
          <w:rFonts w:cstheme="minorHAnsi"/>
          <w:sz w:val="20"/>
          <w:szCs w:val="20"/>
        </w:rPr>
        <w:t xml:space="preserve">and exits from the country, which have been raised in the literature as a potential explanation for the ‘healthy immigrant’ phenomenon in Western countries </w:t>
      </w:r>
      <w:r w:rsidR="00727506">
        <w:rPr>
          <w:rFonts w:cstheme="minorHAnsi"/>
          <w:sz w:val="20"/>
          <w:szCs w:val="20"/>
        </w:rPr>
        <w:t>[6-7]</w:t>
      </w:r>
      <w:r w:rsidR="002D2446">
        <w:rPr>
          <w:rFonts w:cstheme="minorHAnsi"/>
          <w:sz w:val="20"/>
          <w:szCs w:val="20"/>
        </w:rPr>
        <w:t xml:space="preserve"> seem</w:t>
      </w:r>
      <w:r w:rsidRPr="00A911FA">
        <w:rPr>
          <w:rFonts w:cstheme="minorHAnsi"/>
          <w:sz w:val="20"/>
          <w:szCs w:val="20"/>
        </w:rPr>
        <w:t xml:space="preserve"> less reasonable in Israel and its boundaries.</w:t>
      </w:r>
      <w:r w:rsidR="00DD6C7E" w:rsidRPr="00A911FA">
        <w:rPr>
          <w:rFonts w:cstheme="minorHAnsi"/>
          <w:sz w:val="20"/>
          <w:szCs w:val="20"/>
        </w:rPr>
        <w:t xml:space="preserve"> Fourth, correct health behavior among immigrants, which is considered to be one of the explanations for the ‘healthy immigrant’ phenomenon </w:t>
      </w:r>
      <w:r w:rsidR="00727506">
        <w:rPr>
          <w:rFonts w:cstheme="minorHAnsi"/>
          <w:sz w:val="20"/>
          <w:szCs w:val="20"/>
        </w:rPr>
        <w:t>[4, 6-7]</w:t>
      </w:r>
      <w:r w:rsidR="00DD6C7E" w:rsidRPr="00A911FA">
        <w:rPr>
          <w:rFonts w:cstheme="minorHAnsi"/>
          <w:sz w:val="20"/>
          <w:szCs w:val="20"/>
        </w:rPr>
        <w:t xml:space="preserve">, is not relevant with respect to this immigration population that consumes more alcohol </w:t>
      </w:r>
      <w:r w:rsidR="002D2446">
        <w:rPr>
          <w:rFonts w:cstheme="minorHAnsi"/>
          <w:sz w:val="20"/>
          <w:szCs w:val="20"/>
        </w:rPr>
        <w:t xml:space="preserve">than the general </w:t>
      </w:r>
      <w:r w:rsidR="00DD6C7E" w:rsidRPr="00A911FA">
        <w:rPr>
          <w:rFonts w:cstheme="minorHAnsi"/>
          <w:sz w:val="20"/>
          <w:szCs w:val="20"/>
        </w:rPr>
        <w:t xml:space="preserve">Israeli </w:t>
      </w:r>
      <w:r w:rsidR="002D2446">
        <w:rPr>
          <w:rFonts w:cstheme="minorHAnsi"/>
          <w:sz w:val="20"/>
          <w:szCs w:val="20"/>
        </w:rPr>
        <w:t xml:space="preserve">population </w:t>
      </w:r>
      <w:r w:rsidR="00727506">
        <w:rPr>
          <w:rFonts w:cstheme="minorHAnsi"/>
          <w:sz w:val="20"/>
          <w:szCs w:val="20"/>
        </w:rPr>
        <w:t>[23-24]</w:t>
      </w:r>
      <w:r w:rsidR="00DD6C7E" w:rsidRPr="00A911FA">
        <w:rPr>
          <w:rFonts w:cstheme="minorHAnsi"/>
          <w:sz w:val="20"/>
          <w:szCs w:val="20"/>
        </w:rPr>
        <w:t xml:space="preserve"> and </w:t>
      </w:r>
      <w:r w:rsidR="002D2446">
        <w:rPr>
          <w:rFonts w:cstheme="minorHAnsi"/>
          <w:sz w:val="20"/>
          <w:szCs w:val="20"/>
        </w:rPr>
        <w:t>has</w:t>
      </w:r>
      <w:r w:rsidR="00DD6C7E" w:rsidRPr="00A911FA">
        <w:rPr>
          <w:rFonts w:cstheme="minorHAnsi"/>
          <w:sz w:val="20"/>
          <w:szCs w:val="20"/>
        </w:rPr>
        <w:t xml:space="preserve"> poorer health behavior </w:t>
      </w:r>
      <w:r w:rsidR="004558CA" w:rsidRPr="00A911FA">
        <w:rPr>
          <w:rFonts w:cstheme="minorHAnsi"/>
          <w:sz w:val="20"/>
          <w:szCs w:val="20"/>
        </w:rPr>
        <w:t xml:space="preserve">than </w:t>
      </w:r>
      <w:r w:rsidR="00DD6C7E" w:rsidRPr="00A911FA">
        <w:rPr>
          <w:rFonts w:cstheme="minorHAnsi"/>
          <w:sz w:val="20"/>
          <w:szCs w:val="20"/>
        </w:rPr>
        <w:t xml:space="preserve">that </w:t>
      </w:r>
      <w:r w:rsidR="002D2446">
        <w:rPr>
          <w:rFonts w:cstheme="minorHAnsi"/>
          <w:sz w:val="20"/>
          <w:szCs w:val="20"/>
        </w:rPr>
        <w:t xml:space="preserve">prevailing </w:t>
      </w:r>
      <w:r w:rsidR="00DD6C7E" w:rsidRPr="00A911FA">
        <w:rPr>
          <w:rFonts w:cstheme="minorHAnsi"/>
          <w:sz w:val="20"/>
          <w:szCs w:val="20"/>
        </w:rPr>
        <w:t xml:space="preserve">in Israel </w:t>
      </w:r>
      <w:r w:rsidR="00727506">
        <w:rPr>
          <w:rFonts w:cstheme="minorHAnsi"/>
          <w:sz w:val="20"/>
          <w:szCs w:val="20"/>
        </w:rPr>
        <w:t>[21]</w:t>
      </w:r>
      <w:r w:rsidR="00DD6C7E" w:rsidRPr="00A911FA">
        <w:rPr>
          <w:rFonts w:cstheme="minorHAnsi"/>
          <w:sz w:val="20"/>
          <w:szCs w:val="20"/>
        </w:rPr>
        <w:t>. Fifth, the genetic adv</w:t>
      </w:r>
      <w:r w:rsidR="002D2446">
        <w:rPr>
          <w:rFonts w:cstheme="minorHAnsi"/>
          <w:sz w:val="20"/>
          <w:szCs w:val="20"/>
        </w:rPr>
        <w:t xml:space="preserve">antage attributed to immigrants, which </w:t>
      </w:r>
      <w:r w:rsidR="00DD6C7E" w:rsidRPr="00A911FA">
        <w:rPr>
          <w:rFonts w:cstheme="minorHAnsi"/>
          <w:sz w:val="20"/>
          <w:szCs w:val="20"/>
        </w:rPr>
        <w:t xml:space="preserve">serves as one of the explanations for the ‘healthy immigrant’ phenomenon </w:t>
      </w:r>
      <w:r w:rsidR="00727506">
        <w:rPr>
          <w:rFonts w:cstheme="minorHAnsi"/>
          <w:sz w:val="20"/>
          <w:szCs w:val="20"/>
        </w:rPr>
        <w:t>[4, 6-7]</w:t>
      </w:r>
      <w:r w:rsidR="00DD6C7E" w:rsidRPr="00A911FA">
        <w:rPr>
          <w:rFonts w:cstheme="minorHAnsi"/>
          <w:sz w:val="20"/>
          <w:szCs w:val="20"/>
        </w:rPr>
        <w:t>, is not relevant for this study as we chose to focus on a control group that is supposed to have a similar genetic base.</w:t>
      </w:r>
    </w:p>
    <w:p w:rsidR="00DD6C7E" w:rsidRPr="00A911FA" w:rsidRDefault="002D2446" w:rsidP="001E26C4">
      <w:pPr>
        <w:rPr>
          <w:rFonts w:cstheme="minorHAnsi"/>
          <w:i/>
          <w:iCs/>
          <w:sz w:val="20"/>
          <w:szCs w:val="20"/>
        </w:rPr>
      </w:pPr>
      <w:r>
        <w:rPr>
          <w:rFonts w:cstheme="minorHAnsi"/>
          <w:i/>
          <w:iCs/>
          <w:sz w:val="20"/>
          <w:szCs w:val="20"/>
        </w:rPr>
        <w:t>Classifying</w:t>
      </w:r>
      <w:r w:rsidR="00DD6C7E" w:rsidRPr="00A911FA">
        <w:rPr>
          <w:rFonts w:cstheme="minorHAnsi"/>
          <w:i/>
          <w:iCs/>
          <w:sz w:val="20"/>
          <w:szCs w:val="20"/>
        </w:rPr>
        <w:t xml:space="preserve"> the cohort by income level</w:t>
      </w:r>
    </w:p>
    <w:p w:rsidR="008D58D3" w:rsidRPr="00A911FA" w:rsidRDefault="00DD6C7E" w:rsidP="002D2446">
      <w:pPr>
        <w:rPr>
          <w:rFonts w:cstheme="minorHAnsi"/>
          <w:sz w:val="20"/>
          <w:szCs w:val="20"/>
        </w:rPr>
      </w:pPr>
      <w:r w:rsidRPr="00A911FA">
        <w:rPr>
          <w:rFonts w:cstheme="minorHAnsi"/>
          <w:sz w:val="20"/>
          <w:szCs w:val="20"/>
        </w:rPr>
        <w:t xml:space="preserve">When examining the relationship between immigration and mortality, while </w:t>
      </w:r>
      <w:r w:rsidR="002D2446">
        <w:rPr>
          <w:rFonts w:cstheme="minorHAnsi"/>
          <w:sz w:val="20"/>
          <w:szCs w:val="20"/>
        </w:rPr>
        <w:t xml:space="preserve">classifying </w:t>
      </w:r>
      <w:r w:rsidRPr="00A911FA">
        <w:rPr>
          <w:rFonts w:cstheme="minorHAnsi"/>
          <w:sz w:val="20"/>
          <w:szCs w:val="20"/>
        </w:rPr>
        <w:t>the cohort by income level</w:t>
      </w:r>
      <w:r w:rsidR="002D2446">
        <w:rPr>
          <w:rFonts w:cstheme="minorHAnsi"/>
          <w:sz w:val="20"/>
          <w:szCs w:val="20"/>
        </w:rPr>
        <w:t>,</w:t>
      </w:r>
      <w:r w:rsidRPr="00A911FA">
        <w:rPr>
          <w:rFonts w:cstheme="minorHAnsi"/>
          <w:sz w:val="20"/>
          <w:szCs w:val="20"/>
        </w:rPr>
        <w:t xml:space="preserve"> we found that immigration protects against mortality for high-income earners and is a risk factor for mortality for low-income earners. The ‘sick immigrant’ phenomenon among low-income earners </w:t>
      </w:r>
      <w:r w:rsidR="00EE437D" w:rsidRPr="00A911FA">
        <w:rPr>
          <w:rFonts w:cstheme="minorHAnsi"/>
          <w:sz w:val="20"/>
          <w:szCs w:val="20"/>
        </w:rPr>
        <w:t xml:space="preserve">in contrast to the ‘healthy immigrant’ phenomenon among high-income earners can be explained in several ways. First, we </w:t>
      </w:r>
      <w:r w:rsidR="002D2446">
        <w:rPr>
          <w:rFonts w:cstheme="minorHAnsi"/>
          <w:sz w:val="20"/>
          <w:szCs w:val="20"/>
        </w:rPr>
        <w:t xml:space="preserve">suggest </w:t>
      </w:r>
      <w:r w:rsidR="00EE437D" w:rsidRPr="00A911FA">
        <w:rPr>
          <w:rFonts w:cstheme="minorHAnsi"/>
          <w:sz w:val="20"/>
          <w:szCs w:val="20"/>
        </w:rPr>
        <w:t xml:space="preserve">that immigrants with high income potential made an educated decision to immigrate while examining other potential options and it could be expected that the strong and healthy people who estimated that they could manage the transition stages better are the ones who immigrated </w:t>
      </w:r>
      <w:r w:rsidR="00727506">
        <w:rPr>
          <w:rFonts w:cstheme="minorHAnsi"/>
          <w:sz w:val="20"/>
          <w:szCs w:val="20"/>
        </w:rPr>
        <w:t>[6-7]</w:t>
      </w:r>
      <w:r w:rsidR="00EE437D" w:rsidRPr="00A911FA">
        <w:rPr>
          <w:rFonts w:cstheme="minorHAnsi"/>
          <w:sz w:val="20"/>
          <w:szCs w:val="20"/>
        </w:rPr>
        <w:t>. In contrast, among immigrants with low income potential, immigration to Israel could have been considered an opportunity, and it could be hypothesize</w:t>
      </w:r>
      <w:r w:rsidR="008D58D3" w:rsidRPr="00A911FA">
        <w:rPr>
          <w:rFonts w:cstheme="minorHAnsi"/>
          <w:sz w:val="20"/>
          <w:szCs w:val="20"/>
        </w:rPr>
        <w:t>d that the decision to immigrate</w:t>
      </w:r>
      <w:r w:rsidR="00EE437D" w:rsidRPr="00A911FA">
        <w:rPr>
          <w:rFonts w:cstheme="minorHAnsi"/>
          <w:sz w:val="20"/>
          <w:szCs w:val="20"/>
        </w:rPr>
        <w:t xml:space="preserve"> was more sweeping, </w:t>
      </w:r>
      <w:r w:rsidR="008D58D3" w:rsidRPr="00A911FA">
        <w:rPr>
          <w:rFonts w:cstheme="minorHAnsi"/>
          <w:sz w:val="20"/>
          <w:szCs w:val="20"/>
        </w:rPr>
        <w:t xml:space="preserve">leading </w:t>
      </w:r>
      <w:r w:rsidR="00EE437D" w:rsidRPr="00A911FA">
        <w:rPr>
          <w:rFonts w:cstheme="minorHAnsi"/>
          <w:sz w:val="20"/>
          <w:szCs w:val="20"/>
        </w:rPr>
        <w:t xml:space="preserve">to a situation </w:t>
      </w:r>
      <w:r w:rsidR="008D58D3" w:rsidRPr="00A911FA">
        <w:rPr>
          <w:rFonts w:cstheme="minorHAnsi"/>
          <w:sz w:val="20"/>
          <w:szCs w:val="20"/>
        </w:rPr>
        <w:t>where the weak also immigrated; this is evident in the mortality differences within the immigrant group.</w:t>
      </w:r>
    </w:p>
    <w:p w:rsidR="008D58D3" w:rsidRPr="00A911FA" w:rsidRDefault="008D58D3" w:rsidP="002D2446">
      <w:pPr>
        <w:rPr>
          <w:rFonts w:cstheme="minorHAnsi"/>
          <w:sz w:val="20"/>
          <w:szCs w:val="20"/>
        </w:rPr>
      </w:pPr>
      <w:r w:rsidRPr="00A911FA">
        <w:rPr>
          <w:rFonts w:cstheme="minorHAnsi"/>
          <w:sz w:val="20"/>
          <w:szCs w:val="20"/>
        </w:rPr>
        <w:t xml:space="preserve">Second, we </w:t>
      </w:r>
      <w:r w:rsidR="002D2446">
        <w:rPr>
          <w:rFonts w:cstheme="minorHAnsi"/>
          <w:sz w:val="20"/>
          <w:szCs w:val="20"/>
        </w:rPr>
        <w:t xml:space="preserve">suggest </w:t>
      </w:r>
      <w:r w:rsidRPr="00A911FA">
        <w:rPr>
          <w:rFonts w:cstheme="minorHAnsi"/>
          <w:sz w:val="20"/>
          <w:szCs w:val="20"/>
        </w:rPr>
        <w:t xml:space="preserve">that the bias of returning immigration or the ‘salmon effect’ – that describes a situation in which immigrants tend to return to their mother countries when their health deteriorates before their death </w:t>
      </w:r>
      <w:r w:rsidR="00727506">
        <w:rPr>
          <w:rFonts w:cstheme="minorHAnsi"/>
          <w:sz w:val="20"/>
          <w:szCs w:val="20"/>
        </w:rPr>
        <w:t>[4, 6-7]</w:t>
      </w:r>
      <w:r w:rsidRPr="00A911FA">
        <w:rPr>
          <w:rFonts w:cstheme="minorHAnsi"/>
          <w:sz w:val="20"/>
          <w:szCs w:val="20"/>
        </w:rPr>
        <w:t xml:space="preserve"> – will happen more among high-income owners who can allow themselves to immigrate back and leave Israel despite the health services they receive through the National Health Insurance Law </w:t>
      </w:r>
      <w:r w:rsidR="00727506">
        <w:rPr>
          <w:rFonts w:cstheme="minorHAnsi"/>
          <w:sz w:val="20"/>
          <w:szCs w:val="20"/>
        </w:rPr>
        <w:t>[8]</w:t>
      </w:r>
      <w:r w:rsidRPr="00A911FA">
        <w:rPr>
          <w:rFonts w:cstheme="minorHAnsi"/>
          <w:sz w:val="20"/>
          <w:szCs w:val="20"/>
        </w:rPr>
        <w:t xml:space="preserve">. Third, with respect to the fact that these immigrants have poorer health habits </w:t>
      </w:r>
      <w:r w:rsidR="00727506">
        <w:rPr>
          <w:rFonts w:cstheme="minorHAnsi"/>
          <w:sz w:val="20"/>
          <w:szCs w:val="20"/>
        </w:rPr>
        <w:t>[21, 23-24]</w:t>
      </w:r>
      <w:r w:rsidRPr="00A911FA">
        <w:rPr>
          <w:rFonts w:cstheme="minorHAnsi"/>
          <w:sz w:val="20"/>
          <w:szCs w:val="20"/>
        </w:rPr>
        <w:t xml:space="preserve"> than </w:t>
      </w:r>
      <w:r w:rsidR="002D2446">
        <w:rPr>
          <w:rFonts w:cstheme="minorHAnsi"/>
          <w:sz w:val="20"/>
          <w:szCs w:val="20"/>
        </w:rPr>
        <w:t xml:space="preserve">those prevailing </w:t>
      </w:r>
      <w:r w:rsidR="004558CA" w:rsidRPr="00A911FA">
        <w:rPr>
          <w:rFonts w:cstheme="minorHAnsi"/>
          <w:sz w:val="20"/>
          <w:szCs w:val="20"/>
        </w:rPr>
        <w:t xml:space="preserve">in Israel, </w:t>
      </w:r>
      <w:r w:rsidR="002D2446">
        <w:rPr>
          <w:rFonts w:cstheme="minorHAnsi"/>
          <w:sz w:val="20"/>
          <w:szCs w:val="20"/>
        </w:rPr>
        <w:t>we suggest</w:t>
      </w:r>
      <w:r w:rsidR="004558CA" w:rsidRPr="00A911FA">
        <w:rPr>
          <w:rFonts w:cstheme="minorHAnsi"/>
          <w:sz w:val="20"/>
          <w:szCs w:val="20"/>
        </w:rPr>
        <w:t xml:space="preserve"> that those who achieved a high income are the ones with more points of </w:t>
      </w:r>
      <w:r w:rsidR="002D2446">
        <w:rPr>
          <w:rFonts w:cstheme="minorHAnsi"/>
          <w:sz w:val="20"/>
          <w:szCs w:val="20"/>
        </w:rPr>
        <w:t>contact</w:t>
      </w:r>
      <w:r w:rsidR="004558CA" w:rsidRPr="00A911FA">
        <w:rPr>
          <w:rFonts w:cstheme="minorHAnsi"/>
          <w:sz w:val="20"/>
          <w:szCs w:val="20"/>
        </w:rPr>
        <w:t xml:space="preserve"> with Israeli society, which could have exposed them to other, better health habits. Fourth, </w:t>
      </w:r>
      <w:r w:rsidR="002D2446">
        <w:rPr>
          <w:rFonts w:cstheme="minorHAnsi"/>
          <w:sz w:val="20"/>
          <w:szCs w:val="20"/>
        </w:rPr>
        <w:t xml:space="preserve">we suggest </w:t>
      </w:r>
      <w:r w:rsidR="004558CA" w:rsidRPr="00A911FA">
        <w:rPr>
          <w:rFonts w:cstheme="minorHAnsi"/>
          <w:sz w:val="20"/>
          <w:szCs w:val="20"/>
        </w:rPr>
        <w:t>that those who achieved a high income have less language barriers, more health literacy skills and are less inclined to the mental stress that characterizes immigrants.</w:t>
      </w:r>
    </w:p>
    <w:p w:rsidR="00953D74" w:rsidRPr="00A911FA" w:rsidRDefault="004558CA" w:rsidP="002D2446">
      <w:pPr>
        <w:rPr>
          <w:rFonts w:cstheme="minorHAnsi"/>
          <w:sz w:val="20"/>
          <w:szCs w:val="20"/>
        </w:rPr>
      </w:pPr>
      <w:r w:rsidRPr="00A911FA">
        <w:rPr>
          <w:rFonts w:cstheme="minorHAnsi"/>
          <w:sz w:val="20"/>
          <w:szCs w:val="20"/>
        </w:rPr>
        <w:t xml:space="preserve">This classification </w:t>
      </w:r>
      <w:r w:rsidR="002D2446">
        <w:rPr>
          <w:rFonts w:cstheme="minorHAnsi"/>
          <w:sz w:val="20"/>
          <w:szCs w:val="20"/>
        </w:rPr>
        <w:t xml:space="preserve">by income level </w:t>
      </w:r>
      <w:r w:rsidRPr="00A911FA">
        <w:rPr>
          <w:rFonts w:cstheme="minorHAnsi"/>
          <w:sz w:val="20"/>
          <w:szCs w:val="20"/>
        </w:rPr>
        <w:t xml:space="preserve">for examining the relationship between immigration and mortality may be found in a similar study conducted in Finland in which lower mortality rates were found among immigrants at all income </w:t>
      </w:r>
      <w:r w:rsidRPr="00A911FA">
        <w:rPr>
          <w:rFonts w:cstheme="minorHAnsi"/>
          <w:sz w:val="20"/>
          <w:szCs w:val="20"/>
        </w:rPr>
        <w:lastRenderedPageBreak/>
        <w:t xml:space="preserve">levels. Greater differences were found among immigrants with low socioeconomic status. In other words, a more widespread ‘healthy immigrant’ phenomenon was found among those with low socioeconomic status. These findings, which contradict the findings from the current study, were explained by poor health behavior among non-immigrants with low socioeconomic status, the ‘salmon effect’ that occurs more among </w:t>
      </w:r>
      <w:r w:rsidR="00953D74" w:rsidRPr="00A911FA">
        <w:rPr>
          <w:rFonts w:cstheme="minorHAnsi"/>
          <w:sz w:val="20"/>
          <w:szCs w:val="20"/>
        </w:rPr>
        <w:t>low-income earners who cannot allow themselves to receive health treatment in Finland, and other selection biases</w:t>
      </w:r>
      <w:r w:rsidR="00727506">
        <w:rPr>
          <w:rFonts w:cstheme="minorHAnsi"/>
          <w:sz w:val="20"/>
          <w:szCs w:val="20"/>
        </w:rPr>
        <w:t xml:space="preserve"> [25]</w:t>
      </w:r>
      <w:r w:rsidR="00953D74" w:rsidRPr="00A911FA">
        <w:rPr>
          <w:rFonts w:cstheme="minorHAnsi"/>
          <w:sz w:val="20"/>
          <w:szCs w:val="20"/>
        </w:rPr>
        <w:t xml:space="preserve">. These characteristics of immigration in Finland are not relevant to this group of immigrants from the USSR to Israel, who have poorer health behavior than the local population </w:t>
      </w:r>
      <w:r w:rsidR="00727506">
        <w:rPr>
          <w:rFonts w:cstheme="minorHAnsi"/>
          <w:sz w:val="20"/>
          <w:szCs w:val="20"/>
        </w:rPr>
        <w:t>[21, 23-24]</w:t>
      </w:r>
      <w:r w:rsidR="00953D74" w:rsidRPr="00A911FA">
        <w:rPr>
          <w:rFonts w:cstheme="minorHAnsi"/>
          <w:sz w:val="20"/>
          <w:szCs w:val="20"/>
        </w:rPr>
        <w:t>, while Israel’s National Health Insurance Law, which provides a comprehensive health services basket to all immigrants, will prevent a situation of the ‘salmon effect’ among a low-income population inclined to die.</w:t>
      </w:r>
    </w:p>
    <w:p w:rsidR="00953D74" w:rsidRPr="00A911FA" w:rsidRDefault="00953D74" w:rsidP="001E26C4">
      <w:pPr>
        <w:rPr>
          <w:rFonts w:cstheme="minorHAnsi"/>
          <w:i/>
          <w:iCs/>
          <w:sz w:val="20"/>
          <w:szCs w:val="20"/>
        </w:rPr>
      </w:pPr>
      <w:r w:rsidRPr="00A911FA">
        <w:rPr>
          <w:rFonts w:cstheme="minorHAnsi"/>
          <w:i/>
          <w:iCs/>
          <w:sz w:val="20"/>
          <w:szCs w:val="20"/>
        </w:rPr>
        <w:t>Gender differences in the relationship between immigration and mortality</w:t>
      </w:r>
    </w:p>
    <w:p w:rsidR="00953D74" w:rsidRPr="00A911FA" w:rsidRDefault="00953D74" w:rsidP="00510F73">
      <w:pPr>
        <w:rPr>
          <w:rFonts w:cstheme="minorHAnsi"/>
          <w:sz w:val="20"/>
          <w:szCs w:val="20"/>
        </w:rPr>
      </w:pPr>
      <w:r w:rsidRPr="00A911FA">
        <w:rPr>
          <w:rFonts w:cstheme="minorHAnsi"/>
          <w:sz w:val="20"/>
          <w:szCs w:val="20"/>
        </w:rPr>
        <w:t xml:space="preserve">When examining the relationship between immigration and mortality within the </w:t>
      </w:r>
      <w:r w:rsidR="00510F73">
        <w:rPr>
          <w:rFonts w:cstheme="minorHAnsi"/>
          <w:sz w:val="20"/>
          <w:szCs w:val="20"/>
        </w:rPr>
        <w:t>total</w:t>
      </w:r>
      <w:r w:rsidRPr="00A911FA">
        <w:rPr>
          <w:rFonts w:cstheme="minorHAnsi"/>
          <w:sz w:val="20"/>
          <w:szCs w:val="20"/>
        </w:rPr>
        <w:t xml:space="preserve"> study population we found that immigration is a risk factor for mortality among both genders, but more so among males, in contrast to previous studies conducted in other Western countries in which the opposite relationship was found, i.e. a higher mortality </w:t>
      </w:r>
      <w:r w:rsidR="00727506">
        <w:rPr>
          <w:rFonts w:cstheme="minorHAnsi"/>
          <w:sz w:val="20"/>
          <w:szCs w:val="20"/>
        </w:rPr>
        <w:t>advantage among male immigrants [6]</w:t>
      </w:r>
      <w:r w:rsidRPr="00A911FA">
        <w:rPr>
          <w:rFonts w:cstheme="minorHAnsi"/>
          <w:sz w:val="20"/>
          <w:szCs w:val="20"/>
        </w:rPr>
        <w:t>.</w:t>
      </w:r>
    </w:p>
    <w:p w:rsidR="00953D74" w:rsidRPr="00A911FA" w:rsidRDefault="00953D74" w:rsidP="002D2446">
      <w:pPr>
        <w:rPr>
          <w:rFonts w:cstheme="minorHAnsi"/>
          <w:sz w:val="20"/>
          <w:szCs w:val="20"/>
        </w:rPr>
      </w:pPr>
      <w:r w:rsidRPr="00A911FA">
        <w:rPr>
          <w:rFonts w:cstheme="minorHAnsi"/>
          <w:sz w:val="20"/>
          <w:szCs w:val="20"/>
        </w:rPr>
        <w:t xml:space="preserve">The difference between genders in the relationship between immigration and mortality in the </w:t>
      </w:r>
      <w:r w:rsidR="00510F73">
        <w:rPr>
          <w:rFonts w:cstheme="minorHAnsi"/>
          <w:sz w:val="20"/>
          <w:szCs w:val="20"/>
        </w:rPr>
        <w:t>total</w:t>
      </w:r>
      <w:r w:rsidRPr="00A911FA">
        <w:rPr>
          <w:rFonts w:cstheme="minorHAnsi"/>
          <w:sz w:val="20"/>
          <w:szCs w:val="20"/>
        </w:rPr>
        <w:t xml:space="preserve"> study population may be explained by the exceptional differences in life expectancy between genders in the USSR in 1990s </w:t>
      </w:r>
      <w:r w:rsidR="00727506">
        <w:rPr>
          <w:rFonts w:cstheme="minorHAnsi"/>
          <w:sz w:val="20"/>
          <w:szCs w:val="20"/>
        </w:rPr>
        <w:t>[3, 10, 24]</w:t>
      </w:r>
      <w:r w:rsidR="00B662A8" w:rsidRPr="00A911FA">
        <w:rPr>
          <w:rFonts w:cstheme="minorHAnsi"/>
          <w:sz w:val="20"/>
          <w:szCs w:val="20"/>
        </w:rPr>
        <w:t xml:space="preserve">; this created a situation in which the difference in life expectancy for males between the USSR and Israel in the 1990s was greater than for women. This difference was explained partly by the poorer health habits of males </w:t>
      </w:r>
      <w:r w:rsidR="00727506">
        <w:rPr>
          <w:rFonts w:cstheme="minorHAnsi"/>
          <w:sz w:val="20"/>
          <w:szCs w:val="20"/>
        </w:rPr>
        <w:t>[3, 10]</w:t>
      </w:r>
      <w:r w:rsidR="00B662A8" w:rsidRPr="00A911FA">
        <w:rPr>
          <w:rFonts w:cstheme="minorHAnsi"/>
          <w:sz w:val="20"/>
          <w:szCs w:val="20"/>
        </w:rPr>
        <w:t xml:space="preserve">. This point may also explain the gender difference </w:t>
      </w:r>
      <w:r w:rsidR="002D2446">
        <w:rPr>
          <w:rFonts w:cstheme="minorHAnsi"/>
          <w:sz w:val="20"/>
          <w:szCs w:val="20"/>
        </w:rPr>
        <w:t>regarding</w:t>
      </w:r>
      <w:r w:rsidR="00B662A8" w:rsidRPr="00A911FA">
        <w:rPr>
          <w:rFonts w:cstheme="minorHAnsi"/>
          <w:sz w:val="20"/>
          <w:szCs w:val="20"/>
        </w:rPr>
        <w:t xml:space="preserve"> the strength of the relationship between immigration and mortality at low income. We could raise the hypothesis that male immigrants of low socioeconomic status come from a place in which men with poorer health habitats will be less inclined to health-promoting behavior. Moreover, the gender difference in the strength of the relationship when </w:t>
      </w:r>
      <w:r w:rsidR="002D2446">
        <w:rPr>
          <w:rFonts w:cstheme="minorHAnsi"/>
          <w:sz w:val="20"/>
          <w:szCs w:val="20"/>
        </w:rPr>
        <w:t>classifying</w:t>
      </w:r>
      <w:r w:rsidR="00B662A8" w:rsidRPr="00A911FA">
        <w:rPr>
          <w:rFonts w:cstheme="minorHAnsi"/>
          <w:sz w:val="20"/>
          <w:szCs w:val="20"/>
        </w:rPr>
        <w:t xml:space="preserve"> the cohort by income level can be linked to the findings of previous studies in which a stronger relationship between income and mortality was demonstrated for males </w:t>
      </w:r>
      <w:r w:rsidR="00727506">
        <w:rPr>
          <w:rFonts w:cstheme="minorHAnsi"/>
          <w:sz w:val="20"/>
          <w:szCs w:val="20"/>
        </w:rPr>
        <w:t>[12, 14]</w:t>
      </w:r>
      <w:r w:rsidR="00B662A8" w:rsidRPr="00A911FA">
        <w:rPr>
          <w:rFonts w:cstheme="minorHAnsi"/>
          <w:sz w:val="20"/>
          <w:szCs w:val="20"/>
        </w:rPr>
        <w:t xml:space="preserve"> than for females.</w:t>
      </w:r>
    </w:p>
    <w:p w:rsidR="00B662A8" w:rsidRPr="00A911FA" w:rsidRDefault="00B662A8" w:rsidP="001E26C4">
      <w:pPr>
        <w:rPr>
          <w:rFonts w:cstheme="minorHAnsi"/>
          <w:i/>
          <w:iCs/>
          <w:sz w:val="20"/>
          <w:szCs w:val="20"/>
        </w:rPr>
      </w:pPr>
      <w:r w:rsidRPr="00A911FA">
        <w:rPr>
          <w:rFonts w:cstheme="minorHAnsi"/>
          <w:i/>
          <w:iCs/>
          <w:sz w:val="20"/>
          <w:szCs w:val="20"/>
        </w:rPr>
        <w:t>Strengths and limita</w:t>
      </w:r>
      <w:r w:rsidRPr="00A911FA">
        <w:rPr>
          <w:rFonts w:cstheme="minorHAnsi"/>
          <w:i/>
          <w:iCs/>
          <w:sz w:val="20"/>
          <w:szCs w:val="20"/>
          <w:vertAlign w:val="superscript"/>
        </w:rPr>
        <w:softHyphen/>
      </w:r>
      <w:r w:rsidRPr="00A911FA">
        <w:rPr>
          <w:rFonts w:cstheme="minorHAnsi"/>
          <w:i/>
          <w:iCs/>
          <w:sz w:val="20"/>
          <w:szCs w:val="20"/>
        </w:rPr>
        <w:t>tions of the study</w:t>
      </w:r>
    </w:p>
    <w:p w:rsidR="00B662A8" w:rsidRPr="00A911FA" w:rsidRDefault="00B662A8" w:rsidP="001E26C4">
      <w:pPr>
        <w:rPr>
          <w:rFonts w:cstheme="minorHAnsi"/>
          <w:sz w:val="20"/>
          <w:szCs w:val="20"/>
        </w:rPr>
      </w:pPr>
      <w:r w:rsidRPr="00A911FA">
        <w:rPr>
          <w:rFonts w:cstheme="minorHAnsi"/>
          <w:sz w:val="20"/>
          <w:szCs w:val="20"/>
        </w:rPr>
        <w:t>The main strength of this study lies in the fact that we</w:t>
      </w:r>
      <w:r w:rsidR="00013027" w:rsidRPr="00A911FA">
        <w:rPr>
          <w:rFonts w:cstheme="minorHAnsi"/>
          <w:sz w:val="20"/>
          <w:szCs w:val="20"/>
        </w:rPr>
        <w:t xml:space="preserve"> had apparently widespread real-time population data; however, we do not have the tools to determine the reliability of these and other variables including income data obtained from the Taxation Authority. Furthermore, the income data in this study are individual income data</w:t>
      </w:r>
      <w:r w:rsidR="009153B7">
        <w:rPr>
          <w:rFonts w:cstheme="minorHAnsi"/>
          <w:sz w:val="20"/>
          <w:szCs w:val="20"/>
        </w:rPr>
        <w:t>,</w:t>
      </w:r>
      <w:r w:rsidR="00013027" w:rsidRPr="00A911FA">
        <w:rPr>
          <w:rFonts w:cstheme="minorHAnsi"/>
          <w:sz w:val="20"/>
          <w:szCs w:val="20"/>
        </w:rPr>
        <w:t xml:space="preserve"> excluding partner income, which may harm the quality of the study’s results. On the other hand, we must remember that the marital status of the individual was included in each of the models.</w:t>
      </w:r>
    </w:p>
    <w:p w:rsidR="00013027" w:rsidRPr="00A911FA" w:rsidRDefault="00013027" w:rsidP="009153B7">
      <w:pPr>
        <w:rPr>
          <w:rFonts w:cstheme="minorHAnsi"/>
          <w:sz w:val="20"/>
          <w:szCs w:val="20"/>
        </w:rPr>
      </w:pPr>
      <w:r w:rsidRPr="00A911FA">
        <w:rPr>
          <w:rFonts w:cstheme="minorHAnsi"/>
          <w:sz w:val="20"/>
          <w:szCs w:val="20"/>
        </w:rPr>
        <w:t xml:space="preserve">A further bias related to income data may stem from the fact that income from dividends, social insurance or any other income that is not from wages or self-employed work, was not included in the ‘Income’ variable in this study. However, we could assume that most of the population does not receive a significant income from dividends and that support from social insurance is received according to </w:t>
      </w:r>
      <w:r w:rsidR="009153B7">
        <w:rPr>
          <w:rFonts w:cstheme="minorHAnsi"/>
          <w:sz w:val="20"/>
          <w:szCs w:val="20"/>
        </w:rPr>
        <w:t xml:space="preserve">individual </w:t>
      </w:r>
      <w:r w:rsidRPr="00A911FA">
        <w:rPr>
          <w:rFonts w:cstheme="minorHAnsi"/>
          <w:sz w:val="20"/>
          <w:szCs w:val="20"/>
        </w:rPr>
        <w:t>income level and age.</w:t>
      </w:r>
    </w:p>
    <w:p w:rsidR="00013027" w:rsidRPr="00A911FA" w:rsidRDefault="00013027" w:rsidP="009153B7">
      <w:pPr>
        <w:rPr>
          <w:rFonts w:cstheme="minorHAnsi"/>
          <w:sz w:val="20"/>
          <w:szCs w:val="20"/>
        </w:rPr>
      </w:pPr>
      <w:r w:rsidRPr="00A911FA">
        <w:rPr>
          <w:rFonts w:cstheme="minorHAnsi"/>
          <w:sz w:val="20"/>
          <w:szCs w:val="20"/>
        </w:rPr>
        <w:t>In order to compare groups with similar genetic characteristics</w:t>
      </w:r>
      <w:r w:rsidR="009153B7">
        <w:rPr>
          <w:rFonts w:cstheme="minorHAnsi"/>
          <w:sz w:val="20"/>
          <w:szCs w:val="20"/>
        </w:rPr>
        <w:t>, our control group comprised</w:t>
      </w:r>
      <w:r w:rsidRPr="00A911FA">
        <w:rPr>
          <w:rFonts w:cstheme="minorHAnsi"/>
          <w:sz w:val="20"/>
          <w:szCs w:val="20"/>
        </w:rPr>
        <w:t xml:space="preserve"> immigrants and children of immigrants who came from </w:t>
      </w:r>
      <w:r w:rsidR="009153B7" w:rsidRPr="00A911FA">
        <w:rPr>
          <w:rFonts w:cstheme="minorHAnsi"/>
          <w:sz w:val="20"/>
          <w:szCs w:val="20"/>
        </w:rPr>
        <w:t xml:space="preserve">Eastern Europe </w:t>
      </w:r>
      <w:r w:rsidR="009153B7">
        <w:rPr>
          <w:rFonts w:cstheme="minorHAnsi"/>
          <w:sz w:val="20"/>
          <w:szCs w:val="20"/>
        </w:rPr>
        <w:t xml:space="preserve">countries and </w:t>
      </w:r>
      <w:r w:rsidRPr="00A911FA">
        <w:rPr>
          <w:rFonts w:cstheme="minorHAnsi"/>
          <w:sz w:val="20"/>
          <w:szCs w:val="20"/>
        </w:rPr>
        <w:t xml:space="preserve">former </w:t>
      </w:r>
      <w:r w:rsidR="009153B7">
        <w:rPr>
          <w:rFonts w:cstheme="minorHAnsi"/>
          <w:sz w:val="20"/>
          <w:szCs w:val="20"/>
        </w:rPr>
        <w:t>Soviet states</w:t>
      </w:r>
      <w:r w:rsidRPr="00A911FA">
        <w:rPr>
          <w:rFonts w:cstheme="minorHAnsi"/>
          <w:sz w:val="20"/>
          <w:szCs w:val="20"/>
        </w:rPr>
        <w:t xml:space="preserve">. In contrast, we must remember that </w:t>
      </w:r>
      <w:r w:rsidR="009153B7">
        <w:rPr>
          <w:rFonts w:cstheme="minorHAnsi"/>
          <w:sz w:val="20"/>
          <w:szCs w:val="20"/>
        </w:rPr>
        <w:t xml:space="preserve">the former Soviet states </w:t>
      </w:r>
      <w:r w:rsidRPr="00A911FA">
        <w:rPr>
          <w:rFonts w:cstheme="minorHAnsi"/>
          <w:sz w:val="20"/>
          <w:szCs w:val="20"/>
        </w:rPr>
        <w:t xml:space="preserve">are not homogeneous, and are diverse with respect to health level and health behavior characteristics; this may affect the quality of the study results and maybe there is justification for </w:t>
      </w:r>
      <w:r w:rsidR="009153B7">
        <w:rPr>
          <w:rFonts w:cstheme="minorHAnsi"/>
          <w:sz w:val="20"/>
          <w:szCs w:val="20"/>
        </w:rPr>
        <w:t xml:space="preserve">classifying </w:t>
      </w:r>
      <w:r w:rsidRPr="00A911FA">
        <w:rPr>
          <w:rFonts w:cstheme="minorHAnsi"/>
          <w:sz w:val="20"/>
          <w:szCs w:val="20"/>
        </w:rPr>
        <w:t>them.</w:t>
      </w:r>
    </w:p>
    <w:p w:rsidR="00013027" w:rsidRPr="00A911FA" w:rsidRDefault="00013027" w:rsidP="009C7D1E">
      <w:pPr>
        <w:rPr>
          <w:rFonts w:cstheme="minorHAnsi"/>
          <w:sz w:val="20"/>
          <w:szCs w:val="20"/>
        </w:rPr>
      </w:pPr>
      <w:r w:rsidRPr="00A911FA">
        <w:rPr>
          <w:rFonts w:cstheme="minorHAnsi"/>
          <w:sz w:val="20"/>
          <w:szCs w:val="20"/>
        </w:rPr>
        <w:lastRenderedPageBreak/>
        <w:t xml:space="preserve">We chose to omit from the study population immigrants who came from the </w:t>
      </w:r>
      <w:r w:rsidR="009C7D1E">
        <w:rPr>
          <w:rFonts w:cstheme="minorHAnsi"/>
          <w:sz w:val="20"/>
          <w:szCs w:val="20"/>
        </w:rPr>
        <w:t xml:space="preserve">region of the </w:t>
      </w:r>
      <w:r w:rsidRPr="00A911FA">
        <w:rPr>
          <w:rFonts w:cstheme="minorHAnsi"/>
          <w:sz w:val="20"/>
          <w:szCs w:val="20"/>
        </w:rPr>
        <w:t xml:space="preserve">Chernobyl disaster </w:t>
      </w:r>
      <w:r w:rsidR="009C7D1E">
        <w:rPr>
          <w:rFonts w:cstheme="minorHAnsi"/>
          <w:sz w:val="20"/>
          <w:szCs w:val="20"/>
        </w:rPr>
        <w:t>[</w:t>
      </w:r>
      <w:r w:rsidRPr="00A911FA">
        <w:rPr>
          <w:rFonts w:cstheme="minorHAnsi"/>
          <w:sz w:val="20"/>
          <w:szCs w:val="20"/>
        </w:rPr>
        <w:t>9</w:t>
      </w:r>
      <w:r w:rsidR="009C7D1E">
        <w:rPr>
          <w:rFonts w:cstheme="minorHAnsi"/>
          <w:sz w:val="20"/>
          <w:szCs w:val="20"/>
        </w:rPr>
        <w:t xml:space="preserve">], </w:t>
      </w:r>
      <w:r w:rsidRPr="00A911FA">
        <w:rPr>
          <w:rFonts w:cstheme="minorHAnsi"/>
          <w:sz w:val="20"/>
          <w:szCs w:val="20"/>
        </w:rPr>
        <w:t xml:space="preserve">which is </w:t>
      </w:r>
      <w:r w:rsidR="00BD12DC" w:rsidRPr="00A911FA">
        <w:rPr>
          <w:rFonts w:cstheme="minorHAnsi"/>
          <w:sz w:val="20"/>
          <w:szCs w:val="20"/>
        </w:rPr>
        <w:t xml:space="preserve">considered to </w:t>
      </w:r>
      <w:r w:rsidR="009153B7">
        <w:rPr>
          <w:rFonts w:cstheme="minorHAnsi"/>
          <w:sz w:val="20"/>
          <w:szCs w:val="20"/>
        </w:rPr>
        <w:t xml:space="preserve">have potential </w:t>
      </w:r>
      <w:r w:rsidR="00BD12DC" w:rsidRPr="00A911FA">
        <w:rPr>
          <w:rFonts w:cstheme="minorHAnsi"/>
          <w:sz w:val="20"/>
          <w:szCs w:val="20"/>
        </w:rPr>
        <w:t xml:space="preserve">long-term health outcomes. This act was intended to prevent a situation of bias stemming from the consequences of this disaster. In contrast, a previous study conducted in Israel did not find higher mortality or morbidity rates among immigrants from these regions </w:t>
      </w:r>
      <w:r w:rsidR="00727506">
        <w:rPr>
          <w:rFonts w:cstheme="minorHAnsi"/>
          <w:sz w:val="20"/>
          <w:szCs w:val="20"/>
        </w:rPr>
        <w:t>[26]</w:t>
      </w:r>
      <w:r w:rsidR="00BD12DC" w:rsidRPr="00A911FA">
        <w:rPr>
          <w:rFonts w:cstheme="minorHAnsi"/>
          <w:sz w:val="20"/>
          <w:szCs w:val="20"/>
        </w:rPr>
        <w:t xml:space="preserve"> and perhaps they could have been included in the current study.</w:t>
      </w:r>
    </w:p>
    <w:p w:rsidR="00BD12DC" w:rsidRPr="00A911FA" w:rsidRDefault="00BD12DC" w:rsidP="001E26C4">
      <w:pPr>
        <w:rPr>
          <w:rFonts w:cstheme="minorHAnsi"/>
          <w:i/>
          <w:iCs/>
          <w:sz w:val="20"/>
          <w:szCs w:val="20"/>
        </w:rPr>
      </w:pPr>
      <w:r w:rsidRPr="00A911FA">
        <w:rPr>
          <w:rFonts w:cstheme="minorHAnsi"/>
          <w:i/>
          <w:iCs/>
          <w:sz w:val="20"/>
          <w:szCs w:val="20"/>
        </w:rPr>
        <w:t>Consequences for the future</w:t>
      </w:r>
    </w:p>
    <w:p w:rsidR="00BD12DC" w:rsidRPr="00A911FA" w:rsidRDefault="00BD12DC" w:rsidP="009153B7">
      <w:pPr>
        <w:rPr>
          <w:rFonts w:cstheme="minorHAnsi"/>
          <w:sz w:val="20"/>
          <w:szCs w:val="20"/>
        </w:rPr>
      </w:pPr>
      <w:r w:rsidRPr="00A911FA">
        <w:rPr>
          <w:rFonts w:cstheme="minorHAnsi"/>
          <w:sz w:val="20"/>
          <w:szCs w:val="20"/>
        </w:rPr>
        <w:t>Decision makers in Israel, as an immigrant-absorbing country, should invest in, and give particular attention to, immigrants of low socioeconomic status whose health outcomes according to this study are worse than those of non-immigrants.</w:t>
      </w:r>
      <w:r w:rsidR="00920D04" w:rsidRPr="00A911FA">
        <w:rPr>
          <w:rFonts w:cstheme="minorHAnsi"/>
          <w:sz w:val="20"/>
          <w:szCs w:val="20"/>
        </w:rPr>
        <w:t xml:space="preserve"> </w:t>
      </w:r>
      <w:r w:rsidRPr="00A911FA">
        <w:rPr>
          <w:rFonts w:cstheme="minorHAnsi"/>
          <w:sz w:val="20"/>
          <w:szCs w:val="20"/>
        </w:rPr>
        <w:t xml:space="preserve">The results of this study emphasize the need to examine the relationships between immigration and health outcomes using social stratification. This </w:t>
      </w:r>
      <w:r w:rsidR="009153B7">
        <w:rPr>
          <w:rFonts w:cstheme="minorHAnsi"/>
          <w:sz w:val="20"/>
          <w:szCs w:val="20"/>
        </w:rPr>
        <w:t xml:space="preserve">stratification </w:t>
      </w:r>
      <w:r w:rsidRPr="00A911FA">
        <w:rPr>
          <w:rFonts w:cstheme="minorHAnsi"/>
          <w:sz w:val="20"/>
          <w:szCs w:val="20"/>
        </w:rPr>
        <w:t>is also necessary due to ever-</w:t>
      </w:r>
      <w:r w:rsidR="009153B7">
        <w:rPr>
          <w:rFonts w:cstheme="minorHAnsi"/>
          <w:sz w:val="20"/>
          <w:szCs w:val="20"/>
        </w:rPr>
        <w:t xml:space="preserve">growing </w:t>
      </w:r>
      <w:r w:rsidRPr="00A911FA">
        <w:rPr>
          <w:rFonts w:cstheme="minorHAnsi"/>
          <w:sz w:val="20"/>
          <w:szCs w:val="20"/>
        </w:rPr>
        <w:t>immigration around the world.</w:t>
      </w:r>
    </w:p>
    <w:p w:rsidR="009153B7" w:rsidRDefault="009153B7">
      <w:pPr>
        <w:rPr>
          <w:rFonts w:cstheme="minorHAnsi"/>
          <w:b/>
          <w:bCs/>
          <w:sz w:val="20"/>
          <w:szCs w:val="20"/>
          <w:u w:val="single"/>
        </w:rPr>
      </w:pPr>
      <w:r>
        <w:rPr>
          <w:rFonts w:cstheme="minorHAnsi"/>
          <w:b/>
          <w:bCs/>
          <w:sz w:val="20"/>
          <w:szCs w:val="20"/>
          <w:u w:val="single"/>
        </w:rPr>
        <w:br w:type="page"/>
      </w:r>
    </w:p>
    <w:p w:rsidR="00BD12DC" w:rsidRPr="00A911FA" w:rsidRDefault="00BD12DC" w:rsidP="001E26C4">
      <w:pPr>
        <w:rPr>
          <w:rFonts w:cstheme="minorHAnsi"/>
          <w:sz w:val="20"/>
          <w:szCs w:val="20"/>
        </w:rPr>
      </w:pPr>
      <w:r w:rsidRPr="00A911FA">
        <w:rPr>
          <w:rFonts w:cstheme="minorHAnsi"/>
          <w:b/>
          <w:bCs/>
          <w:sz w:val="20"/>
          <w:szCs w:val="20"/>
          <w:u w:val="single"/>
        </w:rPr>
        <w:lastRenderedPageBreak/>
        <w:t>References</w:t>
      </w:r>
    </w:p>
    <w:p w:rsidR="00BD12DC" w:rsidRPr="00A911FA" w:rsidRDefault="00BD12DC" w:rsidP="004E6521">
      <w:pPr>
        <w:widowControl w:val="0"/>
        <w:autoSpaceDE w:val="0"/>
        <w:autoSpaceDN w:val="0"/>
        <w:adjustRightInd w:val="0"/>
        <w:ind w:left="640" w:hanging="640"/>
        <w:rPr>
          <w:rFonts w:cstheme="minorHAnsi"/>
          <w:noProof/>
          <w:sz w:val="20"/>
          <w:szCs w:val="20"/>
          <w:rtl/>
        </w:rPr>
      </w:pPr>
      <w:r w:rsidRPr="00A911FA">
        <w:rPr>
          <w:rFonts w:cstheme="minorHAnsi"/>
          <w:sz w:val="20"/>
          <w:szCs w:val="20"/>
        </w:rPr>
        <w:fldChar w:fldCharType="begin" w:fldLock="1"/>
      </w:r>
      <w:r w:rsidRPr="00A911FA">
        <w:rPr>
          <w:rFonts w:cstheme="minorHAnsi"/>
          <w:sz w:val="20"/>
          <w:szCs w:val="20"/>
        </w:rPr>
        <w:instrText>ADDIN Mendeley Bibliography CSL_BIBLIOGRAPHY</w:instrText>
      </w:r>
      <w:r w:rsidRPr="00A911FA">
        <w:rPr>
          <w:rFonts w:cstheme="minorHAnsi"/>
          <w:sz w:val="20"/>
          <w:szCs w:val="20"/>
          <w:rtl/>
        </w:rPr>
        <w:instrText xml:space="preserve"> </w:instrText>
      </w:r>
      <w:r w:rsidRPr="00A911FA">
        <w:rPr>
          <w:rFonts w:cstheme="minorHAnsi"/>
          <w:sz w:val="20"/>
          <w:szCs w:val="20"/>
        </w:rPr>
        <w:fldChar w:fldCharType="separate"/>
      </w:r>
      <w:r w:rsidRPr="00A911FA">
        <w:rPr>
          <w:rFonts w:cstheme="minorHAnsi"/>
          <w:noProof/>
          <w:sz w:val="20"/>
          <w:szCs w:val="20"/>
        </w:rPr>
        <w:t xml:space="preserve">1. </w:t>
      </w:r>
      <w:r w:rsidRPr="00A911FA">
        <w:rPr>
          <w:rFonts w:cstheme="minorHAnsi"/>
          <w:noProof/>
          <w:sz w:val="20"/>
          <w:szCs w:val="20"/>
        </w:rPr>
        <w:tab/>
        <w:t xml:space="preserve">Central Bureau of Statistics. Immigrant Population from the Former USSR - Demographic Trends 1990-2001. </w:t>
      </w:r>
      <w:r w:rsidR="004E6521">
        <w:rPr>
          <w:rFonts w:cstheme="minorHAnsi"/>
          <w:noProof/>
          <w:sz w:val="20"/>
          <w:szCs w:val="20"/>
        </w:rPr>
        <w:t xml:space="preserve">2006. </w:t>
      </w:r>
      <w:r w:rsidRPr="00A911FA">
        <w:rPr>
          <w:rFonts w:cstheme="minorHAnsi"/>
          <w:noProof/>
          <w:sz w:val="20"/>
          <w:szCs w:val="20"/>
        </w:rPr>
        <w:t>www.cbs.gov.il. Accessed 9</w:t>
      </w:r>
      <w:r w:rsidR="004E6521">
        <w:rPr>
          <w:rFonts w:cstheme="minorHAnsi"/>
          <w:noProof/>
          <w:sz w:val="20"/>
          <w:szCs w:val="20"/>
        </w:rPr>
        <w:t xml:space="preserve"> July</w:t>
      </w:r>
      <w:r w:rsidRPr="00A911FA">
        <w:rPr>
          <w:rFonts w:cstheme="minorHAnsi"/>
          <w:noProof/>
          <w:sz w:val="20"/>
          <w:szCs w:val="20"/>
        </w:rPr>
        <w:t xml:space="preserve"> 2019.</w:t>
      </w:r>
    </w:p>
    <w:p w:rsidR="00BD12DC" w:rsidRPr="00A911FA" w:rsidRDefault="00BD12DC" w:rsidP="009D5BFB">
      <w:pPr>
        <w:widowControl w:val="0"/>
        <w:tabs>
          <w:tab w:val="left" w:pos="3510"/>
        </w:tabs>
        <w:autoSpaceDE w:val="0"/>
        <w:autoSpaceDN w:val="0"/>
        <w:adjustRightInd w:val="0"/>
        <w:ind w:left="640" w:hanging="640"/>
        <w:rPr>
          <w:rFonts w:cstheme="minorHAnsi"/>
          <w:noProof/>
          <w:sz w:val="20"/>
          <w:szCs w:val="20"/>
        </w:rPr>
      </w:pPr>
      <w:r w:rsidRPr="00A911FA">
        <w:rPr>
          <w:rFonts w:cstheme="minorHAnsi"/>
          <w:noProof/>
          <w:sz w:val="20"/>
          <w:szCs w:val="20"/>
        </w:rPr>
        <w:t xml:space="preserve">2. </w:t>
      </w:r>
      <w:r w:rsidRPr="00A911FA">
        <w:rPr>
          <w:rFonts w:cstheme="minorHAnsi"/>
          <w:noProof/>
          <w:sz w:val="20"/>
          <w:szCs w:val="20"/>
        </w:rPr>
        <w:tab/>
        <w:t>Knes</w:t>
      </w:r>
      <w:r w:rsidR="004E6521">
        <w:rPr>
          <w:rFonts w:cstheme="minorHAnsi"/>
          <w:noProof/>
          <w:sz w:val="20"/>
          <w:szCs w:val="20"/>
        </w:rPr>
        <w:t>s</w:t>
      </w:r>
      <w:r w:rsidRPr="00A911FA">
        <w:rPr>
          <w:rFonts w:cstheme="minorHAnsi"/>
          <w:noProof/>
          <w:sz w:val="20"/>
          <w:szCs w:val="20"/>
        </w:rPr>
        <w:t>et Israel. Law of Return. Israeli parliament.</w:t>
      </w:r>
      <w:r w:rsidR="009D5BFB">
        <w:rPr>
          <w:rFonts w:cstheme="minorHAnsi"/>
          <w:noProof/>
          <w:sz w:val="20"/>
          <w:szCs w:val="20"/>
        </w:rPr>
        <w:t xml:space="preserve"> 1950.</w:t>
      </w:r>
      <w:r w:rsidRPr="00A911FA">
        <w:rPr>
          <w:rFonts w:cstheme="minorHAnsi"/>
          <w:noProof/>
          <w:sz w:val="20"/>
          <w:szCs w:val="20"/>
        </w:rPr>
        <w:t xml:space="preserve"> https://www.knesset.gov.il/laws/special/heb/chok_hashvut.htm. Accessed 9</w:t>
      </w:r>
      <w:r w:rsidR="009D5BFB">
        <w:rPr>
          <w:rFonts w:cstheme="minorHAnsi"/>
          <w:noProof/>
          <w:sz w:val="20"/>
          <w:szCs w:val="20"/>
        </w:rPr>
        <w:t xml:space="preserve"> July</w:t>
      </w:r>
      <w:r w:rsidRPr="00A911FA">
        <w:rPr>
          <w:rFonts w:cstheme="minorHAnsi"/>
          <w:noProof/>
          <w:sz w:val="20"/>
          <w:szCs w:val="20"/>
        </w:rPr>
        <w:t xml:space="preserve"> 2019.</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3. </w:t>
      </w:r>
      <w:r w:rsidRPr="00A911FA">
        <w:rPr>
          <w:rFonts w:cstheme="minorHAnsi"/>
          <w:noProof/>
          <w:sz w:val="20"/>
          <w:szCs w:val="20"/>
        </w:rPr>
        <w:tab/>
        <w:t xml:space="preserve">Ott JJ, Paltiel AM, Becher H. Noncommunicable disease mortality and life expectancy in immigrants to Israel from the former Soviet Union: country of origin compared with host country. </w:t>
      </w:r>
      <w:r w:rsidRPr="009D5BFB">
        <w:rPr>
          <w:rFonts w:cstheme="minorHAnsi"/>
          <w:noProof/>
          <w:sz w:val="20"/>
          <w:szCs w:val="20"/>
        </w:rPr>
        <w:t>Bull World Health Organ</w:t>
      </w:r>
      <w:r w:rsidRPr="00A911FA">
        <w:rPr>
          <w:rFonts w:cstheme="minorHAnsi"/>
          <w:noProof/>
          <w:sz w:val="20"/>
          <w:szCs w:val="20"/>
        </w:rPr>
        <w:t xml:space="preserve">. 2009;87:20-29. </w:t>
      </w:r>
      <w:r w:rsidR="009D5BFB">
        <w:rPr>
          <w:rFonts w:cstheme="minorHAnsi"/>
          <w:noProof/>
          <w:sz w:val="20"/>
          <w:szCs w:val="20"/>
        </w:rPr>
        <w:t>https://doi.org/</w:t>
      </w:r>
      <w:r w:rsidRPr="00A911FA">
        <w:rPr>
          <w:rFonts w:cstheme="minorHAnsi"/>
          <w:noProof/>
          <w:sz w:val="20"/>
          <w:szCs w:val="20"/>
        </w:rPr>
        <w:t>10.1590/S0042-96862009000100010</w:t>
      </w:r>
    </w:p>
    <w:p w:rsidR="00BD12DC" w:rsidRPr="00A911FA" w:rsidRDefault="009D5BFB" w:rsidP="009D5BFB">
      <w:pPr>
        <w:widowControl w:val="0"/>
        <w:autoSpaceDE w:val="0"/>
        <w:autoSpaceDN w:val="0"/>
        <w:adjustRightInd w:val="0"/>
        <w:ind w:left="640" w:hanging="640"/>
        <w:rPr>
          <w:rFonts w:cstheme="minorHAnsi"/>
          <w:noProof/>
          <w:sz w:val="20"/>
          <w:szCs w:val="20"/>
        </w:rPr>
      </w:pPr>
      <w:r>
        <w:rPr>
          <w:rFonts w:cstheme="minorHAnsi"/>
          <w:noProof/>
          <w:sz w:val="20"/>
          <w:szCs w:val="20"/>
        </w:rPr>
        <w:t xml:space="preserve">4. </w:t>
      </w:r>
      <w:r>
        <w:rPr>
          <w:rFonts w:cstheme="minorHAnsi"/>
          <w:noProof/>
          <w:sz w:val="20"/>
          <w:szCs w:val="20"/>
        </w:rPr>
        <w:tab/>
        <w:t>Constant AF, García-Muño</w:t>
      </w:r>
      <w:r w:rsidR="00BD12DC" w:rsidRPr="00A911FA">
        <w:rPr>
          <w:rFonts w:cstheme="minorHAnsi"/>
          <w:noProof/>
          <w:sz w:val="20"/>
          <w:szCs w:val="20"/>
        </w:rPr>
        <w:t xml:space="preserve">z T, Neuman S, Neuman T. A “‘healthy immigrant effect’” or a “ ‘sick immigrant effect’”? Selection and policies matter. </w:t>
      </w:r>
      <w:r w:rsidR="00BD12DC" w:rsidRPr="009D5BFB">
        <w:rPr>
          <w:rFonts w:cstheme="minorHAnsi"/>
          <w:noProof/>
          <w:sz w:val="20"/>
          <w:szCs w:val="20"/>
        </w:rPr>
        <w:t>Eur J Heal Econ.</w:t>
      </w:r>
      <w:r w:rsidR="00BD12DC" w:rsidRPr="00A911FA">
        <w:rPr>
          <w:rFonts w:cstheme="minorHAnsi"/>
          <w:noProof/>
          <w:sz w:val="20"/>
          <w:szCs w:val="20"/>
        </w:rPr>
        <w:t xml:space="preserve"> 2018;19. </w:t>
      </w:r>
      <w:r>
        <w:rPr>
          <w:rFonts w:cstheme="minorHAnsi"/>
          <w:noProof/>
          <w:sz w:val="20"/>
          <w:szCs w:val="20"/>
        </w:rPr>
        <w:t>https://doi.org/</w:t>
      </w:r>
      <w:r w:rsidR="00BD12DC" w:rsidRPr="00A911FA">
        <w:rPr>
          <w:rFonts w:cstheme="minorHAnsi"/>
          <w:noProof/>
          <w:sz w:val="20"/>
          <w:szCs w:val="20"/>
        </w:rPr>
        <w:t>10.1007/s10198-017-0870-1</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5. </w:t>
      </w:r>
      <w:r w:rsidRPr="00A911FA">
        <w:rPr>
          <w:rFonts w:cstheme="minorHAnsi"/>
          <w:noProof/>
          <w:sz w:val="20"/>
          <w:szCs w:val="20"/>
        </w:rPr>
        <w:tab/>
        <w:t xml:space="preserve">Konstantinov V. </w:t>
      </w:r>
      <w:r w:rsidRPr="009D5BFB">
        <w:rPr>
          <w:rFonts w:cstheme="minorHAnsi"/>
          <w:noProof/>
          <w:sz w:val="20"/>
          <w:szCs w:val="20"/>
        </w:rPr>
        <w:t>Patterns of Integration into Israeli Society among Immigrants from the Former Soviet Union over the Past Two Decades.</w:t>
      </w:r>
      <w:r w:rsidRPr="00A911FA">
        <w:rPr>
          <w:rFonts w:cstheme="minorHAnsi"/>
          <w:noProof/>
          <w:sz w:val="20"/>
          <w:szCs w:val="20"/>
        </w:rPr>
        <w:t xml:space="preserve"> Jerusalem</w:t>
      </w:r>
      <w:r w:rsidR="00E362F6">
        <w:rPr>
          <w:rFonts w:cstheme="minorHAnsi"/>
          <w:noProof/>
          <w:sz w:val="20"/>
          <w:szCs w:val="20"/>
        </w:rPr>
        <w:t>:</w:t>
      </w:r>
      <w:r w:rsidRPr="00A911FA">
        <w:rPr>
          <w:rFonts w:cstheme="minorHAnsi"/>
          <w:noProof/>
          <w:sz w:val="20"/>
          <w:szCs w:val="20"/>
        </w:rPr>
        <w:t xml:space="preserve"> </w:t>
      </w:r>
      <w:r w:rsidR="00E362F6">
        <w:rPr>
          <w:rFonts w:cstheme="minorHAnsi"/>
          <w:noProof/>
          <w:sz w:val="20"/>
          <w:szCs w:val="20"/>
        </w:rPr>
        <w:t xml:space="preserve">Myers-JDC-Brookdale Institute; </w:t>
      </w:r>
      <w:r w:rsidRPr="00A911FA">
        <w:rPr>
          <w:rFonts w:cstheme="minorHAnsi"/>
          <w:noProof/>
          <w:sz w:val="20"/>
          <w:szCs w:val="20"/>
        </w:rPr>
        <w:t xml:space="preserve">2015. www.jdc.org.il/brookdale. Accessed </w:t>
      </w:r>
      <w:r w:rsidR="009D5BFB">
        <w:rPr>
          <w:rFonts w:cstheme="minorHAnsi"/>
          <w:noProof/>
          <w:sz w:val="20"/>
          <w:szCs w:val="20"/>
        </w:rPr>
        <w:t xml:space="preserve">5 </w:t>
      </w:r>
      <w:r w:rsidRPr="00A911FA">
        <w:rPr>
          <w:rFonts w:cstheme="minorHAnsi"/>
          <w:noProof/>
          <w:sz w:val="20"/>
          <w:szCs w:val="20"/>
        </w:rPr>
        <w:t>July 2019.</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6. </w:t>
      </w:r>
      <w:r w:rsidRPr="00A911FA">
        <w:rPr>
          <w:rFonts w:cstheme="minorHAnsi"/>
          <w:noProof/>
          <w:sz w:val="20"/>
          <w:szCs w:val="20"/>
        </w:rPr>
        <w:tab/>
        <w:t xml:space="preserve">Shor E, Roelfs D, Vang ZM. The “Hispanic mortality paradox” revisited: Meta-analysis and meta-regression of life-course differentials in Latin American and Caribbean immigrants’ mortality. </w:t>
      </w:r>
      <w:r w:rsidRPr="009D5BFB">
        <w:rPr>
          <w:rFonts w:cstheme="minorHAnsi"/>
          <w:noProof/>
          <w:sz w:val="20"/>
          <w:szCs w:val="20"/>
        </w:rPr>
        <w:t>Soc Sci Med</w:t>
      </w:r>
      <w:r w:rsidRPr="00A911FA">
        <w:rPr>
          <w:rFonts w:cstheme="minorHAnsi"/>
          <w:noProof/>
          <w:sz w:val="20"/>
          <w:szCs w:val="20"/>
        </w:rPr>
        <w:t xml:space="preserve">. 2017;186:20-33. </w:t>
      </w:r>
      <w:r w:rsidR="009D5BFB">
        <w:rPr>
          <w:rFonts w:cstheme="minorHAnsi"/>
          <w:noProof/>
          <w:sz w:val="20"/>
          <w:szCs w:val="20"/>
        </w:rPr>
        <w:t>https://doi.org/</w:t>
      </w:r>
      <w:r w:rsidRPr="00A911FA">
        <w:rPr>
          <w:rFonts w:cstheme="minorHAnsi"/>
          <w:noProof/>
          <w:sz w:val="20"/>
          <w:szCs w:val="20"/>
        </w:rPr>
        <w:t>10.1016/J.SOCSCIMED.2017.05.049</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7. </w:t>
      </w:r>
      <w:r w:rsidRPr="00A911FA">
        <w:rPr>
          <w:rFonts w:cstheme="minorHAnsi"/>
          <w:noProof/>
          <w:sz w:val="20"/>
          <w:szCs w:val="20"/>
        </w:rPr>
        <w:tab/>
        <w:t xml:space="preserve">Wallace M, Kulu H. Low immigrant mortality in England and Wales: A data artefact? </w:t>
      </w:r>
      <w:r w:rsidRPr="009D5BFB">
        <w:rPr>
          <w:rFonts w:cstheme="minorHAnsi"/>
          <w:noProof/>
          <w:sz w:val="20"/>
          <w:szCs w:val="20"/>
        </w:rPr>
        <w:t>Soc Sci Med</w:t>
      </w:r>
      <w:r w:rsidRPr="00A911FA">
        <w:rPr>
          <w:rFonts w:cstheme="minorHAnsi"/>
          <w:noProof/>
          <w:sz w:val="20"/>
          <w:szCs w:val="20"/>
        </w:rPr>
        <w:t xml:space="preserve">. 2014;120:100-109. </w:t>
      </w:r>
      <w:r w:rsidR="009D5BFB">
        <w:rPr>
          <w:rFonts w:cstheme="minorHAnsi"/>
          <w:noProof/>
          <w:sz w:val="20"/>
          <w:szCs w:val="20"/>
        </w:rPr>
        <w:t>https://doi.org/</w:t>
      </w:r>
      <w:r w:rsidRPr="00A911FA">
        <w:rPr>
          <w:rFonts w:cstheme="minorHAnsi"/>
          <w:noProof/>
          <w:sz w:val="20"/>
          <w:szCs w:val="20"/>
        </w:rPr>
        <w:t>10.1016/J.SOCSCIMED.2014.08.032</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8. </w:t>
      </w:r>
      <w:r w:rsidRPr="00A911FA">
        <w:rPr>
          <w:rFonts w:cstheme="minorHAnsi"/>
          <w:noProof/>
          <w:sz w:val="20"/>
          <w:szCs w:val="20"/>
        </w:rPr>
        <w:tab/>
        <w:t>Kneset Israel. National Health Insurance Law. Israeli parliament.</w:t>
      </w:r>
      <w:r w:rsidR="009D5BFB">
        <w:rPr>
          <w:rFonts w:cstheme="minorHAnsi"/>
          <w:noProof/>
          <w:sz w:val="20"/>
          <w:szCs w:val="20"/>
        </w:rPr>
        <w:t xml:space="preserve"> 1994.</w:t>
      </w:r>
      <w:r w:rsidRPr="00A911FA">
        <w:rPr>
          <w:rFonts w:cstheme="minorHAnsi"/>
          <w:noProof/>
          <w:sz w:val="20"/>
          <w:szCs w:val="20"/>
        </w:rPr>
        <w:t xml:space="preserve"> https://fs.knesset.gov.il//13/law/13</w:t>
      </w:r>
      <w:r w:rsidR="009D5BFB">
        <w:rPr>
          <w:rFonts w:cstheme="minorHAnsi"/>
          <w:noProof/>
          <w:sz w:val="20"/>
          <w:szCs w:val="20"/>
        </w:rPr>
        <w:t xml:space="preserve">_lsr_211132.PDF. </w:t>
      </w:r>
      <w:r w:rsidRPr="00A911FA">
        <w:rPr>
          <w:rFonts w:cstheme="minorHAnsi"/>
          <w:noProof/>
          <w:sz w:val="20"/>
          <w:szCs w:val="20"/>
        </w:rPr>
        <w:t xml:space="preserve">Accessed </w:t>
      </w:r>
      <w:r w:rsidR="009D5BFB">
        <w:rPr>
          <w:rFonts w:cstheme="minorHAnsi"/>
          <w:noProof/>
          <w:sz w:val="20"/>
          <w:szCs w:val="20"/>
        </w:rPr>
        <w:t xml:space="preserve">9 </w:t>
      </w:r>
      <w:r w:rsidRPr="00A911FA">
        <w:rPr>
          <w:rFonts w:cstheme="minorHAnsi"/>
          <w:noProof/>
          <w:sz w:val="20"/>
          <w:szCs w:val="20"/>
        </w:rPr>
        <w:t>July 2019.</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9. </w:t>
      </w:r>
      <w:r w:rsidRPr="00A911FA">
        <w:rPr>
          <w:rFonts w:cstheme="minorHAnsi"/>
          <w:noProof/>
          <w:sz w:val="20"/>
          <w:szCs w:val="20"/>
        </w:rPr>
        <w:tab/>
        <w:t xml:space="preserve">WHO | Chernobyl: the true scale of the accident. </w:t>
      </w:r>
      <w:r w:rsidRPr="009D5BFB">
        <w:rPr>
          <w:rFonts w:cstheme="minorHAnsi"/>
          <w:noProof/>
          <w:sz w:val="20"/>
          <w:szCs w:val="20"/>
        </w:rPr>
        <w:t>WHO</w:t>
      </w:r>
      <w:r w:rsidRPr="00A911FA">
        <w:rPr>
          <w:rFonts w:cstheme="minorHAnsi"/>
          <w:noProof/>
          <w:sz w:val="20"/>
          <w:szCs w:val="20"/>
        </w:rPr>
        <w:t xml:space="preserve">. 2018. https://www.who.int/mediacentre/news/releases/2005/pr38/en/index1.html. Accessed </w:t>
      </w:r>
      <w:r w:rsidR="009D5BFB">
        <w:rPr>
          <w:rFonts w:cstheme="minorHAnsi"/>
          <w:noProof/>
          <w:sz w:val="20"/>
          <w:szCs w:val="20"/>
        </w:rPr>
        <w:t xml:space="preserve">5 </w:t>
      </w:r>
      <w:r w:rsidRPr="00A911FA">
        <w:rPr>
          <w:rFonts w:cstheme="minorHAnsi"/>
          <w:noProof/>
          <w:sz w:val="20"/>
          <w:szCs w:val="20"/>
        </w:rPr>
        <w:t>July 2019.</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10. </w:t>
      </w:r>
      <w:r w:rsidRPr="00A911FA">
        <w:rPr>
          <w:rFonts w:cstheme="minorHAnsi"/>
          <w:noProof/>
          <w:sz w:val="20"/>
          <w:szCs w:val="20"/>
        </w:rPr>
        <w:tab/>
        <w:t xml:space="preserve">Bobak M, Marmot M. East-West mortality divide and its potential explanations: proposed research agenda. </w:t>
      </w:r>
      <w:r w:rsidRPr="009D5BFB">
        <w:rPr>
          <w:rFonts w:cstheme="minorHAnsi"/>
          <w:noProof/>
          <w:sz w:val="20"/>
          <w:szCs w:val="20"/>
        </w:rPr>
        <w:t>BMJ</w:t>
      </w:r>
      <w:r w:rsidRPr="00A911FA">
        <w:rPr>
          <w:rFonts w:cstheme="minorHAnsi"/>
          <w:noProof/>
          <w:sz w:val="20"/>
          <w:szCs w:val="20"/>
        </w:rPr>
        <w:t xml:space="preserve">. 1996;312(7028):421-425. </w:t>
      </w:r>
      <w:r w:rsidR="009D5BFB">
        <w:rPr>
          <w:rFonts w:cstheme="minorHAnsi"/>
          <w:noProof/>
          <w:sz w:val="20"/>
          <w:szCs w:val="20"/>
        </w:rPr>
        <w:t>https://doi.org/</w:t>
      </w:r>
      <w:r w:rsidRPr="00A911FA">
        <w:rPr>
          <w:rFonts w:cstheme="minorHAnsi"/>
          <w:noProof/>
          <w:sz w:val="20"/>
          <w:szCs w:val="20"/>
        </w:rPr>
        <w:t>10.1136/bmj.312.7028.421</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11. </w:t>
      </w:r>
      <w:r w:rsidRPr="00A911FA">
        <w:rPr>
          <w:rFonts w:cstheme="minorHAnsi"/>
          <w:noProof/>
          <w:sz w:val="20"/>
          <w:szCs w:val="20"/>
        </w:rPr>
        <w:tab/>
        <w:t xml:space="preserve">Pickett KE, Wilkinson RG. Income inequality and health: A causal review. </w:t>
      </w:r>
      <w:r w:rsidR="009D5BFB">
        <w:rPr>
          <w:rFonts w:cstheme="minorHAnsi"/>
          <w:noProof/>
          <w:sz w:val="20"/>
          <w:szCs w:val="20"/>
        </w:rPr>
        <w:t>Soc Sci Med. 20</w:t>
      </w:r>
      <w:r w:rsidR="009D5BFB" w:rsidRPr="009D5BFB">
        <w:rPr>
          <w:rFonts w:cstheme="minorHAnsi"/>
          <w:noProof/>
          <w:sz w:val="20"/>
          <w:szCs w:val="20"/>
        </w:rPr>
        <w:t>15;</w:t>
      </w:r>
      <w:r w:rsidR="009D5BFB" w:rsidRPr="009D5BFB">
        <w:rPr>
          <w:rFonts w:cstheme="minorHAnsi"/>
          <w:color w:val="000000"/>
          <w:sz w:val="20"/>
          <w:szCs w:val="20"/>
          <w:shd w:val="clear" w:color="auto" w:fill="FFFFFF"/>
        </w:rPr>
        <w:t>128:316-26</w:t>
      </w:r>
      <w:r w:rsidR="009D5BFB">
        <w:rPr>
          <w:rFonts w:cstheme="minorHAnsi"/>
          <w:color w:val="000000"/>
          <w:sz w:val="20"/>
          <w:szCs w:val="20"/>
          <w:shd w:val="clear" w:color="auto" w:fill="FFFFFF"/>
        </w:rPr>
        <w:t>.</w:t>
      </w:r>
      <w:r w:rsidR="009D5BFB" w:rsidRPr="009D5BFB">
        <w:rPr>
          <w:rFonts w:cstheme="minorHAnsi"/>
          <w:noProof/>
          <w:sz w:val="20"/>
          <w:szCs w:val="20"/>
        </w:rPr>
        <w:t xml:space="preserve"> https</w:t>
      </w:r>
      <w:r w:rsidR="009D5BFB">
        <w:rPr>
          <w:rFonts w:cstheme="minorHAnsi"/>
          <w:noProof/>
          <w:sz w:val="20"/>
          <w:szCs w:val="20"/>
        </w:rPr>
        <w:t>://doi.org/</w:t>
      </w:r>
      <w:r w:rsidRPr="00A911FA">
        <w:rPr>
          <w:rFonts w:cstheme="minorHAnsi"/>
          <w:noProof/>
          <w:sz w:val="20"/>
          <w:szCs w:val="20"/>
        </w:rPr>
        <w:t>10.1016/j.socscimed.2014.12.031</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12. </w:t>
      </w:r>
      <w:r w:rsidRPr="00A911FA">
        <w:rPr>
          <w:rFonts w:cstheme="minorHAnsi"/>
          <w:noProof/>
          <w:sz w:val="20"/>
          <w:szCs w:val="20"/>
        </w:rPr>
        <w:tab/>
        <w:t xml:space="preserve">Chetty R, Stepner M, Abraham S, et al. The </w:t>
      </w:r>
      <w:r w:rsidR="009D5BFB">
        <w:rPr>
          <w:rFonts w:cstheme="minorHAnsi"/>
          <w:noProof/>
          <w:sz w:val="20"/>
          <w:szCs w:val="20"/>
        </w:rPr>
        <w:t>a</w:t>
      </w:r>
      <w:r w:rsidRPr="00A911FA">
        <w:rPr>
          <w:rFonts w:cstheme="minorHAnsi"/>
          <w:noProof/>
          <w:sz w:val="20"/>
          <w:szCs w:val="20"/>
        </w:rPr>
        <w:t xml:space="preserve">ssociation </w:t>
      </w:r>
      <w:r w:rsidR="009D5BFB">
        <w:rPr>
          <w:rFonts w:cstheme="minorHAnsi"/>
          <w:noProof/>
          <w:sz w:val="20"/>
          <w:szCs w:val="20"/>
        </w:rPr>
        <w:t>b</w:t>
      </w:r>
      <w:r w:rsidRPr="00A911FA">
        <w:rPr>
          <w:rFonts w:cstheme="minorHAnsi"/>
          <w:noProof/>
          <w:sz w:val="20"/>
          <w:szCs w:val="20"/>
        </w:rPr>
        <w:t xml:space="preserve">etween </w:t>
      </w:r>
      <w:r w:rsidR="009D5BFB">
        <w:rPr>
          <w:rFonts w:cstheme="minorHAnsi"/>
          <w:noProof/>
          <w:sz w:val="20"/>
          <w:szCs w:val="20"/>
        </w:rPr>
        <w:t>i</w:t>
      </w:r>
      <w:r w:rsidRPr="00A911FA">
        <w:rPr>
          <w:rFonts w:cstheme="minorHAnsi"/>
          <w:noProof/>
          <w:sz w:val="20"/>
          <w:szCs w:val="20"/>
        </w:rPr>
        <w:t xml:space="preserve">ncome and </w:t>
      </w:r>
      <w:r w:rsidR="009D5BFB">
        <w:rPr>
          <w:rFonts w:cstheme="minorHAnsi"/>
          <w:noProof/>
          <w:sz w:val="20"/>
          <w:szCs w:val="20"/>
        </w:rPr>
        <w:t>l</w:t>
      </w:r>
      <w:r w:rsidRPr="00A911FA">
        <w:rPr>
          <w:rFonts w:cstheme="minorHAnsi"/>
          <w:noProof/>
          <w:sz w:val="20"/>
          <w:szCs w:val="20"/>
        </w:rPr>
        <w:t xml:space="preserve">ife </w:t>
      </w:r>
      <w:r w:rsidR="009D5BFB">
        <w:rPr>
          <w:rFonts w:cstheme="minorHAnsi"/>
          <w:noProof/>
          <w:sz w:val="20"/>
          <w:szCs w:val="20"/>
        </w:rPr>
        <w:t>e</w:t>
      </w:r>
      <w:r w:rsidRPr="00A911FA">
        <w:rPr>
          <w:rFonts w:cstheme="minorHAnsi"/>
          <w:noProof/>
          <w:sz w:val="20"/>
          <w:szCs w:val="20"/>
        </w:rPr>
        <w:t xml:space="preserve">xpectancy in the United States, 2001-2014: Association Between Income and Life Expectancy in the United States HHS Public Access. </w:t>
      </w:r>
      <w:r w:rsidRPr="009D5BFB">
        <w:rPr>
          <w:rFonts w:cstheme="minorHAnsi"/>
          <w:noProof/>
          <w:sz w:val="20"/>
          <w:szCs w:val="20"/>
        </w:rPr>
        <w:t>JAMA</w:t>
      </w:r>
      <w:r w:rsidRPr="00A911FA">
        <w:rPr>
          <w:rFonts w:cstheme="minorHAnsi"/>
          <w:noProof/>
          <w:sz w:val="20"/>
          <w:szCs w:val="20"/>
        </w:rPr>
        <w:t xml:space="preserve">. 2016;315(16):1750-1766. </w:t>
      </w:r>
      <w:r w:rsidR="009D5BFB">
        <w:rPr>
          <w:rFonts w:cstheme="minorHAnsi"/>
          <w:noProof/>
          <w:sz w:val="20"/>
          <w:szCs w:val="20"/>
        </w:rPr>
        <w:t>https://doi.org/</w:t>
      </w:r>
      <w:r w:rsidRPr="00A911FA">
        <w:rPr>
          <w:rFonts w:cstheme="minorHAnsi"/>
          <w:noProof/>
          <w:sz w:val="20"/>
          <w:szCs w:val="20"/>
        </w:rPr>
        <w:t>10.1001/jama.2016.4226</w:t>
      </w:r>
    </w:p>
    <w:p w:rsidR="00BD12DC" w:rsidRPr="00A911FA" w:rsidRDefault="00BD12DC" w:rsidP="009D5BFB">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13. </w:t>
      </w:r>
      <w:r w:rsidRPr="00A911FA">
        <w:rPr>
          <w:rFonts w:cstheme="minorHAnsi"/>
          <w:noProof/>
          <w:sz w:val="20"/>
          <w:szCs w:val="20"/>
        </w:rPr>
        <w:tab/>
        <w:t xml:space="preserve">Brodish PH, Hakes JK. Quantifying the individual-level association between income and mortality risk in the United States using the National Longitudinal Mortality Study. </w:t>
      </w:r>
      <w:r w:rsidRPr="009D5BFB">
        <w:rPr>
          <w:rFonts w:cstheme="minorHAnsi"/>
          <w:noProof/>
          <w:sz w:val="20"/>
          <w:szCs w:val="20"/>
        </w:rPr>
        <w:t>Soc Sci Med</w:t>
      </w:r>
      <w:r w:rsidRPr="00A911FA">
        <w:rPr>
          <w:rFonts w:cstheme="minorHAnsi"/>
          <w:noProof/>
          <w:sz w:val="20"/>
          <w:szCs w:val="20"/>
        </w:rPr>
        <w:t xml:space="preserve">. 2016;170:180-187. </w:t>
      </w:r>
      <w:r w:rsidR="009D5BFB">
        <w:rPr>
          <w:rFonts w:cstheme="minorHAnsi"/>
          <w:noProof/>
          <w:sz w:val="20"/>
          <w:szCs w:val="20"/>
        </w:rPr>
        <w:t>https://doi.org/</w:t>
      </w:r>
      <w:r w:rsidRPr="00A911FA">
        <w:rPr>
          <w:rFonts w:cstheme="minorHAnsi"/>
          <w:noProof/>
          <w:sz w:val="20"/>
          <w:szCs w:val="20"/>
        </w:rPr>
        <w:t>10.1016/J.SOCSCIMED.2016.10.026</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14. </w:t>
      </w:r>
      <w:r w:rsidRPr="00A911FA">
        <w:rPr>
          <w:rFonts w:cstheme="minorHAnsi"/>
          <w:noProof/>
          <w:sz w:val="20"/>
          <w:szCs w:val="20"/>
        </w:rPr>
        <w:tab/>
        <w:t>Mustard CA</w:t>
      </w:r>
      <w:r w:rsidR="009D5BFB">
        <w:rPr>
          <w:rFonts w:cstheme="minorHAnsi"/>
          <w:noProof/>
          <w:sz w:val="20"/>
          <w:szCs w:val="20"/>
        </w:rPr>
        <w:t>, Etches J.</w:t>
      </w:r>
      <w:r w:rsidRPr="00A911FA">
        <w:rPr>
          <w:rFonts w:cstheme="minorHAnsi"/>
          <w:noProof/>
          <w:sz w:val="20"/>
          <w:szCs w:val="20"/>
        </w:rPr>
        <w:t xml:space="preserve"> </w:t>
      </w:r>
      <w:r w:rsidRPr="009D5BFB">
        <w:rPr>
          <w:rFonts w:cstheme="minorHAnsi"/>
          <w:noProof/>
          <w:sz w:val="20"/>
          <w:szCs w:val="20"/>
        </w:rPr>
        <w:t>Gender Differences in Socioeconomic Inequality in Mortality.</w:t>
      </w:r>
      <w:r w:rsidRPr="00A911FA">
        <w:rPr>
          <w:rFonts w:cstheme="minorHAnsi"/>
          <w:noProof/>
          <w:sz w:val="20"/>
          <w:szCs w:val="20"/>
        </w:rPr>
        <w:t xml:space="preserve"> </w:t>
      </w:r>
      <w:r w:rsidR="00E362F6">
        <w:rPr>
          <w:rFonts w:cstheme="minorHAnsi"/>
          <w:noProof/>
          <w:sz w:val="20"/>
          <w:szCs w:val="20"/>
        </w:rPr>
        <w:t xml:space="preserve">J Epidemiol Community Health. </w:t>
      </w:r>
      <w:r w:rsidRPr="00A911FA">
        <w:rPr>
          <w:rFonts w:cstheme="minorHAnsi"/>
          <w:noProof/>
          <w:sz w:val="20"/>
          <w:szCs w:val="20"/>
        </w:rPr>
        <w:t>2003</w:t>
      </w:r>
      <w:r w:rsidR="00E362F6">
        <w:rPr>
          <w:rFonts w:cstheme="minorHAnsi"/>
          <w:noProof/>
          <w:sz w:val="20"/>
          <w:szCs w:val="20"/>
        </w:rPr>
        <w:t>;57:974-980</w:t>
      </w:r>
      <w:r w:rsidR="009D5BFB">
        <w:rPr>
          <w:rFonts w:cstheme="minorHAnsi"/>
          <w:noProof/>
          <w:sz w:val="20"/>
          <w:szCs w:val="20"/>
        </w:rPr>
        <w:t xml:space="preserve">. </w:t>
      </w:r>
      <w:r w:rsidR="00E362F6">
        <w:rPr>
          <w:rFonts w:cstheme="minorHAnsi"/>
          <w:noProof/>
          <w:sz w:val="20"/>
          <w:szCs w:val="20"/>
        </w:rPr>
        <w:t>https://doi.org/</w:t>
      </w:r>
      <w:hyperlink r:id="rId9" w:tgtFrame="pmc_ext" w:history="1">
        <w:r w:rsidR="00E362F6" w:rsidRPr="00E362F6">
          <w:rPr>
            <w:rStyle w:val="Hyperlink"/>
            <w:rFonts w:cstheme="minorHAnsi"/>
            <w:color w:val="auto"/>
            <w:sz w:val="20"/>
            <w:szCs w:val="20"/>
            <w:u w:val="none"/>
            <w:shd w:val="clear" w:color="auto" w:fill="FFFFFF"/>
          </w:rPr>
          <w:t>10.1136/jech.57.12.974</w:t>
        </w:r>
      </w:hyperlink>
      <w:r w:rsidR="009D5BFB">
        <w:rPr>
          <w:rFonts w:cstheme="minorHAnsi"/>
          <w:noProof/>
          <w:sz w:val="20"/>
          <w:szCs w:val="20"/>
        </w:rPr>
        <w:t xml:space="preserve">. </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lastRenderedPageBreak/>
        <w:t xml:space="preserve">15. </w:t>
      </w:r>
      <w:r w:rsidRPr="00A911FA">
        <w:rPr>
          <w:rFonts w:cstheme="minorHAnsi"/>
          <w:noProof/>
          <w:sz w:val="20"/>
          <w:szCs w:val="20"/>
        </w:rPr>
        <w:tab/>
        <w:t xml:space="preserve">Marmot M. The </w:t>
      </w:r>
      <w:r w:rsidR="00E362F6">
        <w:rPr>
          <w:rFonts w:cstheme="minorHAnsi"/>
          <w:noProof/>
          <w:sz w:val="20"/>
          <w:szCs w:val="20"/>
        </w:rPr>
        <w:t>i</w:t>
      </w:r>
      <w:r w:rsidRPr="00A911FA">
        <w:rPr>
          <w:rFonts w:cstheme="minorHAnsi"/>
          <w:noProof/>
          <w:sz w:val="20"/>
          <w:szCs w:val="20"/>
        </w:rPr>
        <w:t xml:space="preserve">nfluence </w:t>
      </w:r>
      <w:r w:rsidR="00E362F6">
        <w:rPr>
          <w:rFonts w:cstheme="minorHAnsi"/>
          <w:noProof/>
          <w:sz w:val="20"/>
          <w:szCs w:val="20"/>
        </w:rPr>
        <w:t>o</w:t>
      </w:r>
      <w:r w:rsidRPr="00A911FA">
        <w:rPr>
          <w:rFonts w:cstheme="minorHAnsi"/>
          <w:noProof/>
          <w:sz w:val="20"/>
          <w:szCs w:val="20"/>
        </w:rPr>
        <w:t xml:space="preserve">f </w:t>
      </w:r>
      <w:r w:rsidR="00E362F6">
        <w:rPr>
          <w:rFonts w:cstheme="minorHAnsi"/>
          <w:noProof/>
          <w:sz w:val="20"/>
          <w:szCs w:val="20"/>
        </w:rPr>
        <w:t>i</w:t>
      </w:r>
      <w:r w:rsidRPr="00A911FA">
        <w:rPr>
          <w:rFonts w:cstheme="minorHAnsi"/>
          <w:noProof/>
          <w:sz w:val="20"/>
          <w:szCs w:val="20"/>
        </w:rPr>
        <w:t xml:space="preserve">ncome </w:t>
      </w:r>
      <w:r w:rsidR="00E362F6">
        <w:rPr>
          <w:rFonts w:cstheme="minorHAnsi"/>
          <w:noProof/>
          <w:sz w:val="20"/>
          <w:szCs w:val="20"/>
        </w:rPr>
        <w:t>o</w:t>
      </w:r>
      <w:r w:rsidRPr="00A911FA">
        <w:rPr>
          <w:rFonts w:cstheme="minorHAnsi"/>
          <w:noProof/>
          <w:sz w:val="20"/>
          <w:szCs w:val="20"/>
        </w:rPr>
        <w:t xml:space="preserve">n </w:t>
      </w:r>
      <w:r w:rsidR="00E362F6">
        <w:rPr>
          <w:rFonts w:cstheme="minorHAnsi"/>
          <w:noProof/>
          <w:sz w:val="20"/>
          <w:szCs w:val="20"/>
        </w:rPr>
        <w:t>h</w:t>
      </w:r>
      <w:r w:rsidRPr="00A911FA">
        <w:rPr>
          <w:rFonts w:cstheme="minorHAnsi"/>
          <w:noProof/>
          <w:sz w:val="20"/>
          <w:szCs w:val="20"/>
        </w:rPr>
        <w:t xml:space="preserve">ealth: Views </w:t>
      </w:r>
      <w:r w:rsidR="00E362F6">
        <w:rPr>
          <w:rFonts w:cstheme="minorHAnsi"/>
          <w:noProof/>
          <w:sz w:val="20"/>
          <w:szCs w:val="20"/>
        </w:rPr>
        <w:t>o</w:t>
      </w:r>
      <w:r w:rsidRPr="00A911FA">
        <w:rPr>
          <w:rFonts w:cstheme="minorHAnsi"/>
          <w:noProof/>
          <w:sz w:val="20"/>
          <w:szCs w:val="20"/>
        </w:rPr>
        <w:t xml:space="preserve">f </w:t>
      </w:r>
      <w:r w:rsidR="00E362F6">
        <w:rPr>
          <w:rFonts w:cstheme="minorHAnsi"/>
          <w:noProof/>
          <w:sz w:val="20"/>
          <w:szCs w:val="20"/>
        </w:rPr>
        <w:t>a</w:t>
      </w:r>
      <w:r w:rsidRPr="00A911FA">
        <w:rPr>
          <w:rFonts w:cstheme="minorHAnsi"/>
          <w:noProof/>
          <w:sz w:val="20"/>
          <w:szCs w:val="20"/>
        </w:rPr>
        <w:t xml:space="preserve">n </w:t>
      </w:r>
      <w:r w:rsidR="00E362F6">
        <w:rPr>
          <w:rFonts w:cstheme="minorHAnsi"/>
          <w:noProof/>
          <w:sz w:val="20"/>
          <w:szCs w:val="20"/>
        </w:rPr>
        <w:t>e</w:t>
      </w:r>
      <w:r w:rsidRPr="00A911FA">
        <w:rPr>
          <w:rFonts w:cstheme="minorHAnsi"/>
          <w:noProof/>
          <w:sz w:val="20"/>
          <w:szCs w:val="20"/>
        </w:rPr>
        <w:t xml:space="preserve">pidemiologist. </w:t>
      </w:r>
      <w:r w:rsidRPr="00E362F6">
        <w:rPr>
          <w:rFonts w:cstheme="minorHAnsi"/>
          <w:noProof/>
          <w:sz w:val="20"/>
          <w:szCs w:val="20"/>
        </w:rPr>
        <w:t>Health Aff.</w:t>
      </w:r>
      <w:r w:rsidRPr="00A911FA">
        <w:rPr>
          <w:rFonts w:cstheme="minorHAnsi"/>
          <w:noProof/>
          <w:sz w:val="20"/>
          <w:szCs w:val="20"/>
        </w:rPr>
        <w:t xml:space="preserve"> 2002;21(2):31-46. </w:t>
      </w:r>
      <w:r w:rsidR="00E362F6">
        <w:rPr>
          <w:rFonts w:cstheme="minorHAnsi"/>
          <w:noProof/>
          <w:sz w:val="20"/>
          <w:szCs w:val="20"/>
        </w:rPr>
        <w:t>https://doi.org/</w:t>
      </w:r>
      <w:r w:rsidRPr="00A911FA">
        <w:rPr>
          <w:rFonts w:cstheme="minorHAnsi"/>
          <w:noProof/>
          <w:sz w:val="20"/>
          <w:szCs w:val="20"/>
        </w:rPr>
        <w:t>10.1377/hlthaff.21.2.31</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16. </w:t>
      </w:r>
      <w:r w:rsidRPr="00A911FA">
        <w:rPr>
          <w:rFonts w:cstheme="minorHAnsi"/>
          <w:noProof/>
          <w:sz w:val="20"/>
          <w:szCs w:val="20"/>
        </w:rPr>
        <w:tab/>
        <w:t xml:space="preserve">Lleras-Muney A. The </w:t>
      </w:r>
      <w:r w:rsidR="00E362F6">
        <w:rPr>
          <w:rFonts w:cstheme="minorHAnsi"/>
          <w:noProof/>
          <w:sz w:val="20"/>
          <w:szCs w:val="20"/>
        </w:rPr>
        <w:t>r</w:t>
      </w:r>
      <w:r w:rsidRPr="00A911FA">
        <w:rPr>
          <w:rFonts w:cstheme="minorHAnsi"/>
          <w:noProof/>
          <w:sz w:val="20"/>
          <w:szCs w:val="20"/>
        </w:rPr>
        <w:t xml:space="preserve">elationship </w:t>
      </w:r>
      <w:r w:rsidR="00E362F6">
        <w:rPr>
          <w:rFonts w:cstheme="minorHAnsi"/>
          <w:noProof/>
          <w:sz w:val="20"/>
          <w:szCs w:val="20"/>
        </w:rPr>
        <w:t>b</w:t>
      </w:r>
      <w:r w:rsidRPr="00A911FA">
        <w:rPr>
          <w:rFonts w:cstheme="minorHAnsi"/>
          <w:noProof/>
          <w:sz w:val="20"/>
          <w:szCs w:val="20"/>
        </w:rPr>
        <w:t xml:space="preserve">etween </w:t>
      </w:r>
      <w:r w:rsidR="00E362F6">
        <w:rPr>
          <w:rFonts w:cstheme="minorHAnsi"/>
          <w:noProof/>
          <w:sz w:val="20"/>
          <w:szCs w:val="20"/>
        </w:rPr>
        <w:t>e</w:t>
      </w:r>
      <w:r w:rsidRPr="00A911FA">
        <w:rPr>
          <w:rFonts w:cstheme="minorHAnsi"/>
          <w:noProof/>
          <w:sz w:val="20"/>
          <w:szCs w:val="20"/>
        </w:rPr>
        <w:t xml:space="preserve">ducation and </w:t>
      </w:r>
      <w:r w:rsidR="00E362F6">
        <w:rPr>
          <w:rFonts w:cstheme="minorHAnsi"/>
          <w:noProof/>
          <w:sz w:val="20"/>
          <w:szCs w:val="20"/>
        </w:rPr>
        <w:t>a</w:t>
      </w:r>
      <w:r w:rsidRPr="00A911FA">
        <w:rPr>
          <w:rFonts w:cstheme="minorHAnsi"/>
          <w:noProof/>
          <w:sz w:val="20"/>
          <w:szCs w:val="20"/>
        </w:rPr>
        <w:t xml:space="preserve">dult </w:t>
      </w:r>
      <w:r w:rsidR="00E362F6">
        <w:rPr>
          <w:rFonts w:cstheme="minorHAnsi"/>
          <w:noProof/>
          <w:sz w:val="20"/>
          <w:szCs w:val="20"/>
        </w:rPr>
        <w:t>m</w:t>
      </w:r>
      <w:r w:rsidRPr="00A911FA">
        <w:rPr>
          <w:rFonts w:cstheme="minorHAnsi"/>
          <w:noProof/>
          <w:sz w:val="20"/>
          <w:szCs w:val="20"/>
        </w:rPr>
        <w:t xml:space="preserve">ortality in the United States. </w:t>
      </w:r>
      <w:r w:rsidRPr="00E362F6">
        <w:rPr>
          <w:rFonts w:cstheme="minorHAnsi"/>
          <w:noProof/>
          <w:sz w:val="20"/>
          <w:szCs w:val="20"/>
        </w:rPr>
        <w:t>Rev Econ Stud.</w:t>
      </w:r>
      <w:r w:rsidRPr="00A911FA">
        <w:rPr>
          <w:rFonts w:cstheme="minorHAnsi"/>
          <w:noProof/>
          <w:sz w:val="20"/>
          <w:szCs w:val="20"/>
        </w:rPr>
        <w:t xml:space="preserve"> 2005;72(1):189-221. </w:t>
      </w:r>
      <w:r w:rsidR="00E362F6">
        <w:rPr>
          <w:rFonts w:cstheme="minorHAnsi"/>
          <w:noProof/>
          <w:sz w:val="20"/>
          <w:szCs w:val="20"/>
        </w:rPr>
        <w:t>https://doi.org/</w:t>
      </w:r>
      <w:r w:rsidRPr="00A911FA">
        <w:rPr>
          <w:rFonts w:cstheme="minorHAnsi"/>
          <w:noProof/>
          <w:sz w:val="20"/>
          <w:szCs w:val="20"/>
        </w:rPr>
        <w:t>10.1111/0034-6527.00329</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17. </w:t>
      </w:r>
      <w:r w:rsidRPr="00A911FA">
        <w:rPr>
          <w:rFonts w:cstheme="minorHAnsi"/>
          <w:noProof/>
          <w:sz w:val="20"/>
          <w:szCs w:val="20"/>
        </w:rPr>
        <w:tab/>
        <w:t xml:space="preserve">Regidor E, Reques L, Belza MJ, Kunst AE, Mackenbach JP, de la Fuente L. Education and mortality in Spain: a national study supports local findings. </w:t>
      </w:r>
      <w:r w:rsidRPr="00E362F6">
        <w:rPr>
          <w:rFonts w:cstheme="minorHAnsi"/>
          <w:noProof/>
          <w:sz w:val="20"/>
          <w:szCs w:val="20"/>
        </w:rPr>
        <w:t>Int J Public Health.</w:t>
      </w:r>
      <w:r w:rsidRPr="00A911FA">
        <w:rPr>
          <w:rFonts w:cstheme="minorHAnsi"/>
          <w:noProof/>
          <w:sz w:val="20"/>
          <w:szCs w:val="20"/>
        </w:rPr>
        <w:t xml:space="preserve"> 2016;61(1):139-145. </w:t>
      </w:r>
      <w:r w:rsidR="00E362F6">
        <w:rPr>
          <w:rFonts w:cstheme="minorHAnsi"/>
          <w:noProof/>
          <w:sz w:val="20"/>
          <w:szCs w:val="20"/>
        </w:rPr>
        <w:t>https://doi.org/</w:t>
      </w:r>
      <w:r w:rsidRPr="00A911FA">
        <w:rPr>
          <w:rFonts w:cstheme="minorHAnsi"/>
          <w:noProof/>
          <w:sz w:val="20"/>
          <w:szCs w:val="20"/>
        </w:rPr>
        <w:t>10.1007/s00038-015-0762-z</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18. </w:t>
      </w:r>
      <w:r w:rsidRPr="00A911FA">
        <w:rPr>
          <w:rFonts w:cstheme="minorHAnsi"/>
          <w:noProof/>
          <w:sz w:val="20"/>
          <w:szCs w:val="20"/>
        </w:rPr>
        <w:tab/>
        <w:t xml:space="preserve">Byhoff E, Hamati MC, Power R, Burgard SA, Chopra V. Increasing educational attainment and mortality reduction: A systematic review and taxonomy. </w:t>
      </w:r>
      <w:r w:rsidRPr="00E362F6">
        <w:rPr>
          <w:rFonts w:cstheme="minorHAnsi"/>
          <w:noProof/>
          <w:sz w:val="20"/>
          <w:szCs w:val="20"/>
        </w:rPr>
        <w:t>BMC Public Health</w:t>
      </w:r>
      <w:r w:rsidRPr="00A911FA">
        <w:rPr>
          <w:rFonts w:cstheme="minorHAnsi"/>
          <w:noProof/>
          <w:sz w:val="20"/>
          <w:szCs w:val="20"/>
        </w:rPr>
        <w:t xml:space="preserve">. 2017;17(1). </w:t>
      </w:r>
      <w:r w:rsidR="00E362F6">
        <w:rPr>
          <w:rFonts w:cstheme="minorHAnsi"/>
          <w:noProof/>
          <w:sz w:val="20"/>
          <w:szCs w:val="20"/>
        </w:rPr>
        <w:t>https://doi.org/</w:t>
      </w:r>
      <w:r w:rsidRPr="00A911FA">
        <w:rPr>
          <w:rFonts w:cstheme="minorHAnsi"/>
          <w:noProof/>
          <w:sz w:val="20"/>
          <w:szCs w:val="20"/>
        </w:rPr>
        <w:t>10.1186/s12889-017-4754-1</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19. </w:t>
      </w:r>
      <w:r w:rsidRPr="00A911FA">
        <w:rPr>
          <w:rFonts w:cstheme="minorHAnsi"/>
          <w:noProof/>
          <w:sz w:val="20"/>
          <w:szCs w:val="20"/>
        </w:rPr>
        <w:tab/>
        <w:t xml:space="preserve">Tatangelo G, McCabe M, Campbell S, Szoeke C. Gender, marital status and longevity. </w:t>
      </w:r>
      <w:r w:rsidRPr="00E362F6">
        <w:rPr>
          <w:rFonts w:cstheme="minorHAnsi"/>
          <w:noProof/>
          <w:sz w:val="20"/>
          <w:szCs w:val="20"/>
        </w:rPr>
        <w:t>Maturitas</w:t>
      </w:r>
      <w:r w:rsidRPr="00A911FA">
        <w:rPr>
          <w:rFonts w:cstheme="minorHAnsi"/>
          <w:noProof/>
          <w:sz w:val="20"/>
          <w:szCs w:val="20"/>
        </w:rPr>
        <w:t xml:space="preserve">. 2017;100:64-69. </w:t>
      </w:r>
      <w:r w:rsidR="00E362F6">
        <w:rPr>
          <w:rFonts w:cstheme="minorHAnsi"/>
          <w:noProof/>
          <w:sz w:val="20"/>
          <w:szCs w:val="20"/>
        </w:rPr>
        <w:t>https://doi.org/</w:t>
      </w:r>
      <w:r w:rsidRPr="00A911FA">
        <w:rPr>
          <w:rFonts w:cstheme="minorHAnsi"/>
          <w:noProof/>
          <w:sz w:val="20"/>
          <w:szCs w:val="20"/>
        </w:rPr>
        <w:t>10.1016/J.MATURITAS.2017.03.002</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20. </w:t>
      </w:r>
      <w:r w:rsidRPr="00A911FA">
        <w:rPr>
          <w:rFonts w:cstheme="minorHAnsi"/>
          <w:noProof/>
          <w:sz w:val="20"/>
          <w:szCs w:val="20"/>
        </w:rPr>
        <w:tab/>
        <w:t xml:space="preserve">Weiss A. </w:t>
      </w:r>
      <w:r w:rsidR="00E362F6">
        <w:rPr>
          <w:rFonts w:cstheme="minorHAnsi"/>
          <w:noProof/>
          <w:sz w:val="20"/>
          <w:szCs w:val="20"/>
        </w:rPr>
        <w:t xml:space="preserve">The Singer </w:t>
      </w:r>
      <w:r w:rsidRPr="00E362F6">
        <w:rPr>
          <w:rFonts w:cstheme="minorHAnsi"/>
          <w:noProof/>
          <w:sz w:val="20"/>
          <w:szCs w:val="20"/>
        </w:rPr>
        <w:t xml:space="preserve">Series </w:t>
      </w:r>
      <w:r w:rsidR="00E362F6">
        <w:rPr>
          <w:rFonts w:cstheme="minorHAnsi"/>
          <w:noProof/>
          <w:sz w:val="20"/>
          <w:szCs w:val="20"/>
        </w:rPr>
        <w:t xml:space="preserve">annual </w:t>
      </w:r>
      <w:r w:rsidRPr="00E362F6">
        <w:rPr>
          <w:rFonts w:cstheme="minorHAnsi"/>
          <w:noProof/>
          <w:sz w:val="20"/>
          <w:szCs w:val="20"/>
        </w:rPr>
        <w:t>State of the Nation Report</w:t>
      </w:r>
      <w:r w:rsidR="00E362F6">
        <w:rPr>
          <w:rFonts w:cstheme="minorHAnsi"/>
          <w:noProof/>
          <w:sz w:val="20"/>
          <w:szCs w:val="20"/>
        </w:rPr>
        <w:t>:</w:t>
      </w:r>
      <w:r w:rsidRPr="00E362F6">
        <w:rPr>
          <w:rFonts w:cstheme="minorHAnsi"/>
          <w:noProof/>
          <w:sz w:val="20"/>
          <w:szCs w:val="20"/>
        </w:rPr>
        <w:t xml:space="preserve"> Society, Economy and Policy in Israel 2017.</w:t>
      </w:r>
      <w:r w:rsidRPr="00A911FA">
        <w:rPr>
          <w:rFonts w:cstheme="minorHAnsi"/>
          <w:noProof/>
          <w:sz w:val="20"/>
          <w:szCs w:val="20"/>
        </w:rPr>
        <w:t xml:space="preserve"> Jerusalem</w:t>
      </w:r>
      <w:r w:rsidR="00E362F6">
        <w:rPr>
          <w:rFonts w:cstheme="minorHAnsi"/>
          <w:noProof/>
          <w:sz w:val="20"/>
          <w:szCs w:val="20"/>
        </w:rPr>
        <w:t>: Taub Center for Social Policy Studies in Israel</w:t>
      </w:r>
      <w:r w:rsidRPr="00A911FA">
        <w:rPr>
          <w:rFonts w:cstheme="minorHAnsi"/>
          <w:noProof/>
          <w:sz w:val="20"/>
          <w:szCs w:val="20"/>
        </w:rPr>
        <w:t xml:space="preserve">; 2017. www.taubcenter.org.il. Accessed </w:t>
      </w:r>
      <w:r w:rsidR="00E362F6">
        <w:rPr>
          <w:rFonts w:cstheme="minorHAnsi"/>
          <w:noProof/>
          <w:sz w:val="20"/>
          <w:szCs w:val="20"/>
        </w:rPr>
        <w:t xml:space="preserve">31 </w:t>
      </w:r>
      <w:r w:rsidRPr="00A911FA">
        <w:rPr>
          <w:rFonts w:cstheme="minorHAnsi"/>
          <w:noProof/>
          <w:sz w:val="20"/>
          <w:szCs w:val="20"/>
        </w:rPr>
        <w:t>July 2019.</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21. </w:t>
      </w:r>
      <w:r w:rsidRPr="00A911FA">
        <w:rPr>
          <w:rFonts w:cstheme="minorHAnsi"/>
          <w:noProof/>
          <w:sz w:val="20"/>
          <w:szCs w:val="20"/>
        </w:rPr>
        <w:tab/>
        <w:t xml:space="preserve">Rennert G. Implications of Russian immigration on mortality patterns in Israel. </w:t>
      </w:r>
      <w:r w:rsidRPr="00E362F6">
        <w:rPr>
          <w:rFonts w:cstheme="minorHAnsi"/>
          <w:noProof/>
          <w:sz w:val="20"/>
          <w:szCs w:val="20"/>
        </w:rPr>
        <w:t>Int J Epidemiol</w:t>
      </w:r>
      <w:r w:rsidRPr="00A911FA">
        <w:rPr>
          <w:rFonts w:cstheme="minorHAnsi"/>
          <w:noProof/>
          <w:sz w:val="20"/>
          <w:szCs w:val="20"/>
        </w:rPr>
        <w:t xml:space="preserve">. 1994;23(4):751-756. </w:t>
      </w:r>
      <w:r w:rsidR="00E362F6">
        <w:rPr>
          <w:rFonts w:cstheme="minorHAnsi"/>
          <w:noProof/>
          <w:sz w:val="20"/>
          <w:szCs w:val="20"/>
        </w:rPr>
        <w:t>https://doi.org/</w:t>
      </w:r>
      <w:r w:rsidRPr="00A911FA">
        <w:rPr>
          <w:rFonts w:cstheme="minorHAnsi"/>
          <w:noProof/>
          <w:sz w:val="20"/>
          <w:szCs w:val="20"/>
        </w:rPr>
        <w:t>10.1093/ije/23.4.751</w:t>
      </w:r>
    </w:p>
    <w:p w:rsidR="00BD12DC" w:rsidRPr="00A911FA" w:rsidRDefault="00BD12DC" w:rsidP="00E362F6">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22. </w:t>
      </w:r>
      <w:r w:rsidRPr="00A911FA">
        <w:rPr>
          <w:rFonts w:cstheme="minorHAnsi"/>
          <w:noProof/>
          <w:sz w:val="20"/>
          <w:szCs w:val="20"/>
        </w:rPr>
        <w:tab/>
        <w:t xml:space="preserve">Mehta NK, Elo IT. Migrant selection and the health of U.S. immigrants from the former Soviet Union. </w:t>
      </w:r>
      <w:r w:rsidRPr="00E362F6">
        <w:rPr>
          <w:rFonts w:cstheme="minorHAnsi"/>
          <w:noProof/>
          <w:sz w:val="20"/>
          <w:szCs w:val="20"/>
        </w:rPr>
        <w:t>Demography</w:t>
      </w:r>
      <w:r w:rsidRPr="00A911FA">
        <w:rPr>
          <w:rFonts w:cstheme="minorHAnsi"/>
          <w:noProof/>
          <w:sz w:val="20"/>
          <w:szCs w:val="20"/>
        </w:rPr>
        <w:t xml:space="preserve">. 2012;49(2):425-447. </w:t>
      </w:r>
      <w:r w:rsidR="00E362F6">
        <w:rPr>
          <w:rFonts w:cstheme="minorHAnsi"/>
          <w:noProof/>
          <w:sz w:val="20"/>
          <w:szCs w:val="20"/>
        </w:rPr>
        <w:t>https://doi.org/</w:t>
      </w:r>
      <w:r w:rsidRPr="00A911FA">
        <w:rPr>
          <w:rFonts w:cstheme="minorHAnsi"/>
          <w:noProof/>
          <w:sz w:val="20"/>
          <w:szCs w:val="20"/>
        </w:rPr>
        <w:t>10.1007/s13524-012-0099-7</w:t>
      </w:r>
    </w:p>
    <w:p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23. </w:t>
      </w:r>
      <w:r w:rsidRPr="00A911FA">
        <w:rPr>
          <w:rFonts w:cstheme="minorHAnsi"/>
          <w:noProof/>
          <w:sz w:val="20"/>
          <w:szCs w:val="20"/>
        </w:rPr>
        <w:tab/>
        <w:t xml:space="preserve">Schiff M, Rahav G, Teichman M. Israel 2000: Immigration and </w:t>
      </w:r>
      <w:r w:rsidR="002B7F60">
        <w:rPr>
          <w:rFonts w:cstheme="minorHAnsi"/>
          <w:noProof/>
          <w:sz w:val="20"/>
          <w:szCs w:val="20"/>
        </w:rPr>
        <w:t>g</w:t>
      </w:r>
      <w:r w:rsidRPr="00A911FA">
        <w:rPr>
          <w:rFonts w:cstheme="minorHAnsi"/>
          <w:noProof/>
          <w:sz w:val="20"/>
          <w:szCs w:val="20"/>
        </w:rPr>
        <w:t xml:space="preserve">ender </w:t>
      </w:r>
      <w:r w:rsidR="002B7F60">
        <w:rPr>
          <w:rFonts w:cstheme="minorHAnsi"/>
          <w:noProof/>
          <w:sz w:val="20"/>
          <w:szCs w:val="20"/>
        </w:rPr>
        <w:t>d</w:t>
      </w:r>
      <w:r w:rsidRPr="00A911FA">
        <w:rPr>
          <w:rFonts w:cstheme="minorHAnsi"/>
          <w:noProof/>
          <w:sz w:val="20"/>
          <w:szCs w:val="20"/>
        </w:rPr>
        <w:t xml:space="preserve">ifferences in </w:t>
      </w:r>
      <w:r w:rsidR="002B7F60">
        <w:rPr>
          <w:rFonts w:cstheme="minorHAnsi"/>
          <w:noProof/>
          <w:sz w:val="20"/>
          <w:szCs w:val="20"/>
        </w:rPr>
        <w:t>a</w:t>
      </w:r>
      <w:r w:rsidRPr="00A911FA">
        <w:rPr>
          <w:rFonts w:cstheme="minorHAnsi"/>
          <w:noProof/>
          <w:sz w:val="20"/>
          <w:szCs w:val="20"/>
        </w:rPr>
        <w:t xml:space="preserve">lcohol </w:t>
      </w:r>
      <w:r w:rsidR="002B7F60">
        <w:rPr>
          <w:rFonts w:cstheme="minorHAnsi"/>
          <w:noProof/>
          <w:sz w:val="20"/>
          <w:szCs w:val="20"/>
        </w:rPr>
        <w:t>c</w:t>
      </w:r>
      <w:r w:rsidRPr="00A911FA">
        <w:rPr>
          <w:rFonts w:cstheme="minorHAnsi"/>
          <w:noProof/>
          <w:sz w:val="20"/>
          <w:szCs w:val="20"/>
        </w:rPr>
        <w:t xml:space="preserve">onsumption. </w:t>
      </w:r>
      <w:r w:rsidRPr="002B7F60">
        <w:rPr>
          <w:rFonts w:cstheme="minorHAnsi"/>
          <w:noProof/>
          <w:sz w:val="20"/>
          <w:szCs w:val="20"/>
        </w:rPr>
        <w:t>Am J Addict</w:t>
      </w:r>
      <w:r w:rsidRPr="00A911FA">
        <w:rPr>
          <w:rFonts w:cstheme="minorHAnsi"/>
          <w:noProof/>
          <w:sz w:val="20"/>
          <w:szCs w:val="20"/>
        </w:rPr>
        <w:t xml:space="preserve">. 2005;14(3):234-247. </w:t>
      </w:r>
      <w:r w:rsidR="002B7F60">
        <w:rPr>
          <w:rFonts w:cstheme="minorHAnsi"/>
          <w:noProof/>
          <w:sz w:val="20"/>
          <w:szCs w:val="20"/>
        </w:rPr>
        <w:t>https://doi.org/</w:t>
      </w:r>
      <w:r w:rsidRPr="00A911FA">
        <w:rPr>
          <w:rFonts w:cstheme="minorHAnsi"/>
          <w:noProof/>
          <w:sz w:val="20"/>
          <w:szCs w:val="20"/>
        </w:rPr>
        <w:t>10.1080/10550490590949578</w:t>
      </w:r>
    </w:p>
    <w:p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24. </w:t>
      </w:r>
      <w:r w:rsidRPr="00A911FA">
        <w:rPr>
          <w:rFonts w:cstheme="minorHAnsi"/>
          <w:noProof/>
          <w:sz w:val="20"/>
          <w:szCs w:val="20"/>
        </w:rPr>
        <w:tab/>
        <w:t xml:space="preserve">Weiss S. Review: Alcohol </w:t>
      </w:r>
      <w:r w:rsidR="002B7F60">
        <w:rPr>
          <w:rFonts w:cstheme="minorHAnsi"/>
          <w:noProof/>
          <w:sz w:val="20"/>
          <w:szCs w:val="20"/>
        </w:rPr>
        <w:t>u</w:t>
      </w:r>
      <w:r w:rsidRPr="00A911FA">
        <w:rPr>
          <w:rFonts w:cstheme="minorHAnsi"/>
          <w:noProof/>
          <w:sz w:val="20"/>
          <w:szCs w:val="20"/>
        </w:rPr>
        <w:t xml:space="preserve">se and </w:t>
      </w:r>
      <w:r w:rsidR="002B7F60">
        <w:rPr>
          <w:rFonts w:cstheme="minorHAnsi"/>
          <w:noProof/>
          <w:sz w:val="20"/>
          <w:szCs w:val="20"/>
        </w:rPr>
        <w:t>p</w:t>
      </w:r>
      <w:r w:rsidRPr="00A911FA">
        <w:rPr>
          <w:rFonts w:cstheme="minorHAnsi"/>
          <w:noProof/>
          <w:sz w:val="20"/>
          <w:szCs w:val="20"/>
        </w:rPr>
        <w:t xml:space="preserve">roblems </w:t>
      </w:r>
      <w:r w:rsidR="002B7F60">
        <w:rPr>
          <w:rFonts w:cstheme="minorHAnsi"/>
          <w:noProof/>
          <w:sz w:val="20"/>
          <w:szCs w:val="20"/>
        </w:rPr>
        <w:t>a</w:t>
      </w:r>
      <w:r w:rsidRPr="00A911FA">
        <w:rPr>
          <w:rFonts w:cstheme="minorHAnsi"/>
          <w:noProof/>
          <w:sz w:val="20"/>
          <w:szCs w:val="20"/>
        </w:rPr>
        <w:t xml:space="preserve">mong </w:t>
      </w:r>
      <w:r w:rsidR="002B7F60">
        <w:rPr>
          <w:rFonts w:cstheme="minorHAnsi"/>
          <w:noProof/>
          <w:sz w:val="20"/>
          <w:szCs w:val="20"/>
        </w:rPr>
        <w:t>i</w:t>
      </w:r>
      <w:r w:rsidRPr="00A911FA">
        <w:rPr>
          <w:rFonts w:cstheme="minorHAnsi"/>
          <w:noProof/>
          <w:sz w:val="20"/>
          <w:szCs w:val="20"/>
        </w:rPr>
        <w:t xml:space="preserve">mmigrants from the </w:t>
      </w:r>
      <w:r w:rsidR="002B7F60">
        <w:rPr>
          <w:rFonts w:cstheme="minorHAnsi"/>
          <w:noProof/>
          <w:sz w:val="20"/>
          <w:szCs w:val="20"/>
        </w:rPr>
        <w:t>f</w:t>
      </w:r>
      <w:r w:rsidRPr="00A911FA">
        <w:rPr>
          <w:rFonts w:cstheme="minorHAnsi"/>
          <w:noProof/>
          <w:sz w:val="20"/>
          <w:szCs w:val="20"/>
        </w:rPr>
        <w:t xml:space="preserve">ormer Soviet Union in Israel. </w:t>
      </w:r>
      <w:r w:rsidRPr="002B7F60">
        <w:rPr>
          <w:rFonts w:cstheme="minorHAnsi"/>
          <w:noProof/>
          <w:sz w:val="20"/>
          <w:szCs w:val="20"/>
        </w:rPr>
        <w:t>Subst Abus</w:t>
      </w:r>
      <w:r w:rsidRPr="00A911FA">
        <w:rPr>
          <w:rFonts w:cstheme="minorHAnsi"/>
          <w:noProof/>
          <w:sz w:val="20"/>
          <w:szCs w:val="20"/>
        </w:rPr>
        <w:t xml:space="preserve">. 2008;29(4):5-17. </w:t>
      </w:r>
      <w:r w:rsidR="002B7F60">
        <w:rPr>
          <w:rFonts w:cstheme="minorHAnsi"/>
          <w:noProof/>
          <w:sz w:val="20"/>
          <w:szCs w:val="20"/>
        </w:rPr>
        <w:t>https://doi.org/</w:t>
      </w:r>
      <w:r w:rsidRPr="00A911FA">
        <w:rPr>
          <w:rFonts w:cstheme="minorHAnsi"/>
          <w:noProof/>
          <w:sz w:val="20"/>
          <w:szCs w:val="20"/>
        </w:rPr>
        <w:t>10.1080/08897070802418444</w:t>
      </w:r>
    </w:p>
    <w:p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25. </w:t>
      </w:r>
      <w:r w:rsidRPr="00A911FA">
        <w:rPr>
          <w:rFonts w:cstheme="minorHAnsi"/>
          <w:noProof/>
          <w:sz w:val="20"/>
          <w:szCs w:val="20"/>
        </w:rPr>
        <w:tab/>
        <w:t xml:space="preserve">Patel K, Kouvonen A, Koskinen A, et al. Distinctive role of income in the all-cause mortality among working age migrants and the settled population in Finland: A follow-up study from 2001 to 2014. </w:t>
      </w:r>
      <w:r w:rsidRPr="002B7F60">
        <w:rPr>
          <w:rFonts w:cstheme="minorHAnsi"/>
          <w:noProof/>
          <w:sz w:val="20"/>
          <w:szCs w:val="20"/>
        </w:rPr>
        <w:t>Scand J Public Health</w:t>
      </w:r>
      <w:r w:rsidRPr="00A911FA">
        <w:rPr>
          <w:rFonts w:cstheme="minorHAnsi"/>
          <w:noProof/>
          <w:sz w:val="20"/>
          <w:szCs w:val="20"/>
        </w:rPr>
        <w:t xml:space="preserve">. 2018;46(2):214-220. </w:t>
      </w:r>
      <w:r w:rsidR="002B7F60">
        <w:rPr>
          <w:rFonts w:cstheme="minorHAnsi"/>
          <w:noProof/>
          <w:sz w:val="20"/>
          <w:szCs w:val="20"/>
        </w:rPr>
        <w:t>https://doi.org/</w:t>
      </w:r>
      <w:r w:rsidRPr="00A911FA">
        <w:rPr>
          <w:rFonts w:cstheme="minorHAnsi"/>
          <w:noProof/>
          <w:sz w:val="20"/>
          <w:szCs w:val="20"/>
        </w:rPr>
        <w:t>10.1177/1403494817726620</w:t>
      </w:r>
    </w:p>
    <w:p w:rsidR="00BD12DC" w:rsidRPr="00A911FA" w:rsidRDefault="00BD12DC" w:rsidP="002B7F60">
      <w:pPr>
        <w:widowControl w:val="0"/>
        <w:autoSpaceDE w:val="0"/>
        <w:autoSpaceDN w:val="0"/>
        <w:adjustRightInd w:val="0"/>
        <w:ind w:left="640" w:hanging="640"/>
        <w:rPr>
          <w:rFonts w:cstheme="minorHAnsi"/>
          <w:noProof/>
          <w:sz w:val="20"/>
          <w:szCs w:val="20"/>
        </w:rPr>
      </w:pPr>
      <w:r w:rsidRPr="00A911FA">
        <w:rPr>
          <w:rFonts w:cstheme="minorHAnsi"/>
          <w:noProof/>
          <w:sz w:val="20"/>
          <w:szCs w:val="20"/>
        </w:rPr>
        <w:t xml:space="preserve">26. </w:t>
      </w:r>
      <w:r w:rsidRPr="00A911FA">
        <w:rPr>
          <w:rFonts w:cstheme="minorHAnsi"/>
          <w:noProof/>
          <w:sz w:val="20"/>
          <w:szCs w:val="20"/>
        </w:rPr>
        <w:tab/>
        <w:t xml:space="preserve">Slusky DA, Cwikel J, Quastel MR. Chronic diseases and mortality among immigrants to Israel from areas contaminated by the Chernobyl disaster: a follow-up study. </w:t>
      </w:r>
      <w:r w:rsidRPr="002B7F60">
        <w:rPr>
          <w:rFonts w:cstheme="minorHAnsi"/>
          <w:noProof/>
          <w:sz w:val="20"/>
          <w:szCs w:val="20"/>
        </w:rPr>
        <w:t>Int J Public Health</w:t>
      </w:r>
      <w:r w:rsidRPr="00A911FA">
        <w:rPr>
          <w:rFonts w:cstheme="minorHAnsi"/>
          <w:noProof/>
          <w:sz w:val="20"/>
          <w:szCs w:val="20"/>
        </w:rPr>
        <w:t xml:space="preserve">. 2017;62(4):463-469. </w:t>
      </w:r>
      <w:r w:rsidR="002B7F60">
        <w:rPr>
          <w:rFonts w:cstheme="minorHAnsi"/>
          <w:noProof/>
          <w:sz w:val="20"/>
          <w:szCs w:val="20"/>
        </w:rPr>
        <w:t>https://doi.org/</w:t>
      </w:r>
      <w:r w:rsidRPr="00A911FA">
        <w:rPr>
          <w:rFonts w:cstheme="minorHAnsi"/>
          <w:noProof/>
          <w:sz w:val="20"/>
          <w:szCs w:val="20"/>
        </w:rPr>
        <w:t>10.1007/s00038-017-0941-1</w:t>
      </w:r>
    </w:p>
    <w:p w:rsidR="00BD12DC" w:rsidRPr="00A911FA" w:rsidRDefault="00BD12DC" w:rsidP="00BD12DC">
      <w:pPr>
        <w:bidi/>
        <w:rPr>
          <w:rFonts w:cstheme="minorHAnsi"/>
          <w:sz w:val="20"/>
          <w:szCs w:val="20"/>
        </w:rPr>
      </w:pPr>
      <w:r w:rsidRPr="00A911FA">
        <w:rPr>
          <w:rFonts w:cstheme="minorHAnsi"/>
          <w:sz w:val="20"/>
          <w:szCs w:val="20"/>
        </w:rPr>
        <w:fldChar w:fldCharType="end"/>
      </w:r>
    </w:p>
    <w:p w:rsidR="00BD12DC" w:rsidRPr="00A911FA" w:rsidRDefault="00BD12DC" w:rsidP="00BD12DC">
      <w:pPr>
        <w:rPr>
          <w:rFonts w:cstheme="minorHAnsi"/>
          <w:sz w:val="20"/>
          <w:szCs w:val="20"/>
        </w:rPr>
      </w:pPr>
    </w:p>
    <w:sectPr w:rsidR="00BD12DC" w:rsidRPr="00A911FA">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rly" w:date="2019-11-13T12:32:00Z" w:initials="C">
    <w:p w:rsidR="002D2446" w:rsidRDefault="002D2446">
      <w:pPr>
        <w:pStyle w:val="CommentText"/>
      </w:pPr>
      <w:r>
        <w:rPr>
          <w:rStyle w:val="CommentReference"/>
        </w:rPr>
        <w:annotationRef/>
      </w:r>
      <w:r>
        <w:t>Instructions for the title page:</w:t>
      </w:r>
    </w:p>
    <w:p w:rsidR="002D2446" w:rsidRPr="00B9331B" w:rsidRDefault="002D2446" w:rsidP="00B9331B">
      <w:pPr>
        <w:shd w:val="clear" w:color="auto" w:fill="FCFCFC"/>
        <w:spacing w:after="360"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The title page should include:</w:t>
      </w:r>
    </w:p>
    <w:p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The name(s) of the author(s)</w:t>
      </w:r>
    </w:p>
    <w:p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A concise and informative title</w:t>
      </w:r>
    </w:p>
    <w:p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The affiliation(s) of the author(s), i.e. institution, (department), city, (state), country</w:t>
      </w:r>
    </w:p>
    <w:p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A clear indication and an active e-mail address of the corresponding author</w:t>
      </w:r>
    </w:p>
    <w:p w:rsidR="002D2446" w:rsidRPr="00B9331B" w:rsidRDefault="002D2446" w:rsidP="00B9331B">
      <w:pPr>
        <w:numPr>
          <w:ilvl w:val="0"/>
          <w:numId w:val="5"/>
        </w:numPr>
        <w:shd w:val="clear" w:color="auto" w:fill="FCFCFC"/>
        <w:spacing w:before="100" w:beforeAutospacing="1" w:after="100" w:afterAutospacing="1"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If available, the 16-digit ORCID of the author(s)</w:t>
      </w:r>
    </w:p>
    <w:p w:rsidR="002D2446" w:rsidRPr="00B9331B" w:rsidRDefault="002D2446" w:rsidP="00B9331B">
      <w:pPr>
        <w:shd w:val="clear" w:color="auto" w:fill="FCFCFC"/>
        <w:spacing w:after="360"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If address information is provided with the affiliation(s) it will also be published.</w:t>
      </w:r>
    </w:p>
    <w:p w:rsidR="002D2446" w:rsidRDefault="002D2446" w:rsidP="00B9331B">
      <w:pPr>
        <w:shd w:val="clear" w:color="auto" w:fill="FCFCFC"/>
        <w:spacing w:after="360" w:line="240" w:lineRule="auto"/>
        <w:rPr>
          <w:rFonts w:ascii="Segoe UI" w:eastAsia="Times New Roman" w:hAnsi="Segoe UI" w:cs="Segoe UI"/>
          <w:color w:val="333333"/>
          <w:sz w:val="27"/>
          <w:szCs w:val="27"/>
        </w:rPr>
      </w:pPr>
      <w:r w:rsidRPr="00B9331B">
        <w:rPr>
          <w:rFonts w:ascii="Segoe UI" w:eastAsia="Times New Roman" w:hAnsi="Segoe UI" w:cs="Segoe UI"/>
          <w:color w:val="333333"/>
          <w:sz w:val="27"/>
          <w:szCs w:val="27"/>
        </w:rPr>
        <w:t>For authors that are (temporarily) unaffiliated we will only capture their city and country of residence, not their e-mail address unless specifically requested.</w:t>
      </w:r>
    </w:p>
    <w:p w:rsidR="00A90157" w:rsidRPr="00B9331B" w:rsidRDefault="00A90157" w:rsidP="00A90157">
      <w:pPr>
        <w:spacing w:after="360" w:line="240" w:lineRule="auto"/>
        <w:rPr>
          <w:rFonts w:ascii="Segoe UI" w:eastAsia="Times New Roman" w:hAnsi="Segoe UI" w:cs="Segoe UI"/>
          <w:color w:val="333333"/>
          <w:sz w:val="27"/>
          <w:szCs w:val="27"/>
        </w:rPr>
      </w:pPr>
      <w:r w:rsidRPr="00A90157">
        <w:rPr>
          <w:rFonts w:ascii="Segoe UI" w:hAnsi="Segoe UI" w:cs="Segoe UI"/>
          <w:color w:val="333333"/>
          <w:sz w:val="27"/>
          <w:szCs w:val="27"/>
          <w:shd w:val="clear" w:color="auto" w:fill="FCFCFC"/>
        </w:rPr>
        <w:t>Acknowledgments of people, grants, funds, etc. should be placed in a separate section on the title page. The names of funding organizations should be written in full.</w:t>
      </w:r>
    </w:p>
  </w:comment>
  <w:comment w:id="1" w:author="Carly" w:date="2019-11-12T12:37:00Z" w:initials="C">
    <w:p w:rsidR="002D2446" w:rsidRDefault="002D2446" w:rsidP="00B9331B">
      <w:pPr>
        <w:pStyle w:val="CommentText"/>
      </w:pPr>
      <w:r>
        <w:rPr>
          <w:rStyle w:val="CommentReference"/>
        </w:rPr>
        <w:annotationRef/>
      </w:r>
      <w:r>
        <w:rPr>
          <w:rStyle w:val="CommentReference"/>
        </w:rPr>
        <w:annotationRef/>
      </w:r>
      <w:r>
        <w:t>Abstract should be 150-250 words long. Please see attached file of shortened abstract.</w:t>
      </w:r>
    </w:p>
  </w:comment>
  <w:comment w:id="3" w:author="Carly" w:date="2019-11-12T12:37:00Z" w:initials="C">
    <w:p w:rsidR="002D2446" w:rsidRDefault="002D2446">
      <w:pPr>
        <w:pStyle w:val="CommentText"/>
      </w:pPr>
      <w:r>
        <w:rPr>
          <w:rStyle w:val="CommentReference"/>
        </w:rPr>
        <w:annotationRef/>
      </w:r>
      <w:r>
        <w:t>Please indicate 4-6 keywords.</w:t>
      </w:r>
    </w:p>
  </w:comment>
  <w:comment w:id="4" w:author="Carly" w:date="2019-11-12T13:58:00Z" w:initials="C">
    <w:p w:rsidR="002D2446" w:rsidRDefault="002D2446" w:rsidP="002B7F60">
      <w:pPr>
        <w:pStyle w:val="CommentText"/>
      </w:pPr>
      <w:r>
        <w:rPr>
          <w:rStyle w:val="CommentReference"/>
        </w:rPr>
        <w:annotationRef/>
      </w:r>
      <w:r>
        <w:t xml:space="preserve">Please check the number of the citations throughout the text. The numbering should reflect the order in which the references are cited in the text. For example, you </w:t>
      </w:r>
      <w:proofErr w:type="gramStart"/>
      <w:r>
        <w:t>have  cited</w:t>
      </w:r>
      <w:proofErr w:type="gramEnd"/>
      <w:r>
        <w:t xml:space="preserve"> references 4-5 before reference 3. If this is correct, 4 should be renumbered 3, 5 should be renumbered 4 and 3 should be renumbered 5. Then the numbered need to be updated throughout the manuscript.</w:t>
      </w:r>
    </w:p>
  </w:comment>
  <w:comment w:id="6" w:author="Carly" w:date="2019-11-12T13:25:00Z" w:initials="C">
    <w:p w:rsidR="002D2446" w:rsidRDefault="002D2446" w:rsidP="004E6521">
      <w:pPr>
        <w:pStyle w:val="CommentText"/>
        <w:bidi/>
      </w:pPr>
      <w:r>
        <w:rPr>
          <w:rStyle w:val="CommentReference"/>
        </w:rPr>
        <w:annotationRef/>
      </w:r>
      <w:r>
        <w:rPr>
          <w:rStyle w:val="CommentReference"/>
        </w:rPr>
        <w:annotationRef/>
      </w:r>
      <w:r>
        <w:rPr>
          <w:rFonts w:hint="cs"/>
          <w:rtl/>
        </w:rPr>
        <w:t xml:space="preserve">בעברית המחברת כתבה "מובהקות נמוכה", אך מקובל להתייחס לערכה </w:t>
      </w:r>
      <w:r>
        <w:t>p</w:t>
      </w:r>
      <w:r>
        <w:rPr>
          <w:rFonts w:hint="cs"/>
          <w:rtl/>
        </w:rPr>
        <w:t xml:space="preserve"> מעל 0.1 כלא מובהקים (0.05 &gt;פ&gt;0.1</w:t>
      </w:r>
      <w:r>
        <w:t xml:space="preserve"> </w:t>
      </w:r>
      <w:r>
        <w:rPr>
          <w:rFonts w:hint="cs"/>
          <w:rtl/>
        </w:rPr>
        <w:t xml:space="preserve"> לרוב נקרא "מובהקות שולית"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E9" w:rsidRDefault="00275EE9" w:rsidP="00A911FA">
      <w:pPr>
        <w:spacing w:after="0" w:line="240" w:lineRule="auto"/>
      </w:pPr>
      <w:r>
        <w:separator/>
      </w:r>
    </w:p>
  </w:endnote>
  <w:endnote w:type="continuationSeparator" w:id="0">
    <w:p w:rsidR="00275EE9" w:rsidRDefault="00275EE9" w:rsidP="00A91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839023"/>
      <w:docPartObj>
        <w:docPartGallery w:val="Page Numbers (Bottom of Page)"/>
        <w:docPartUnique/>
      </w:docPartObj>
    </w:sdtPr>
    <w:sdtEndPr>
      <w:rPr>
        <w:noProof/>
      </w:rPr>
    </w:sdtEndPr>
    <w:sdtContent>
      <w:p w:rsidR="002D2446" w:rsidRDefault="002D2446">
        <w:pPr>
          <w:pStyle w:val="Footer"/>
          <w:jc w:val="center"/>
        </w:pPr>
        <w:r>
          <w:fldChar w:fldCharType="begin"/>
        </w:r>
        <w:r>
          <w:instrText xml:space="preserve"> PAGE   \* MERGEFORMAT </w:instrText>
        </w:r>
        <w:r>
          <w:fldChar w:fldCharType="separate"/>
        </w:r>
        <w:r w:rsidR="00A90157">
          <w:rPr>
            <w:noProof/>
          </w:rPr>
          <w:t>1</w:t>
        </w:r>
        <w:r>
          <w:rPr>
            <w:noProof/>
          </w:rPr>
          <w:fldChar w:fldCharType="end"/>
        </w:r>
      </w:p>
    </w:sdtContent>
  </w:sdt>
  <w:p w:rsidR="002D2446" w:rsidRDefault="002D2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E9" w:rsidRDefault="00275EE9" w:rsidP="00A911FA">
      <w:pPr>
        <w:spacing w:after="0" w:line="240" w:lineRule="auto"/>
      </w:pPr>
      <w:r>
        <w:separator/>
      </w:r>
    </w:p>
  </w:footnote>
  <w:footnote w:type="continuationSeparator" w:id="0">
    <w:p w:rsidR="00275EE9" w:rsidRDefault="00275EE9" w:rsidP="00A91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A5A"/>
    <w:multiLevelType w:val="multilevel"/>
    <w:tmpl w:val="B08C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0377EA"/>
    <w:multiLevelType w:val="hybridMultilevel"/>
    <w:tmpl w:val="5CDCC6B8"/>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AC3312"/>
    <w:multiLevelType w:val="hybridMultilevel"/>
    <w:tmpl w:val="E454FEAA"/>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C22A17"/>
    <w:multiLevelType w:val="hybridMultilevel"/>
    <w:tmpl w:val="E0EA36FE"/>
    <w:lvl w:ilvl="0" w:tplc="264EEC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625F45"/>
    <w:multiLevelType w:val="hybridMultilevel"/>
    <w:tmpl w:val="A7E8E812"/>
    <w:lvl w:ilvl="0" w:tplc="264EE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11"/>
    <w:rsid w:val="00013027"/>
    <w:rsid w:val="00193C28"/>
    <w:rsid w:val="001B48A8"/>
    <w:rsid w:val="001C3DE4"/>
    <w:rsid w:val="001E26C4"/>
    <w:rsid w:val="00234CA4"/>
    <w:rsid w:val="00275EE9"/>
    <w:rsid w:val="00285893"/>
    <w:rsid w:val="002B7F60"/>
    <w:rsid w:val="002D2446"/>
    <w:rsid w:val="00332B6E"/>
    <w:rsid w:val="003F50B7"/>
    <w:rsid w:val="00410311"/>
    <w:rsid w:val="004558CA"/>
    <w:rsid w:val="004A78E5"/>
    <w:rsid w:val="004C504E"/>
    <w:rsid w:val="004E6521"/>
    <w:rsid w:val="00510F73"/>
    <w:rsid w:val="00541FA0"/>
    <w:rsid w:val="00553F32"/>
    <w:rsid w:val="005A4184"/>
    <w:rsid w:val="005F4C08"/>
    <w:rsid w:val="0062529D"/>
    <w:rsid w:val="00645476"/>
    <w:rsid w:val="00653545"/>
    <w:rsid w:val="00727506"/>
    <w:rsid w:val="00745EAB"/>
    <w:rsid w:val="00751356"/>
    <w:rsid w:val="007B7DA3"/>
    <w:rsid w:val="00867389"/>
    <w:rsid w:val="008D58D3"/>
    <w:rsid w:val="009153B7"/>
    <w:rsid w:val="00920D04"/>
    <w:rsid w:val="00953D74"/>
    <w:rsid w:val="009647D3"/>
    <w:rsid w:val="009C7D1E"/>
    <w:rsid w:val="009D5BFB"/>
    <w:rsid w:val="00A1484D"/>
    <w:rsid w:val="00A81BBB"/>
    <w:rsid w:val="00A90157"/>
    <w:rsid w:val="00A911FA"/>
    <w:rsid w:val="00A9224D"/>
    <w:rsid w:val="00A92853"/>
    <w:rsid w:val="00AD74FF"/>
    <w:rsid w:val="00B57DE5"/>
    <w:rsid w:val="00B63B55"/>
    <w:rsid w:val="00B662A8"/>
    <w:rsid w:val="00B9331B"/>
    <w:rsid w:val="00BD12DC"/>
    <w:rsid w:val="00BE6121"/>
    <w:rsid w:val="00C11E07"/>
    <w:rsid w:val="00C40F07"/>
    <w:rsid w:val="00C81571"/>
    <w:rsid w:val="00D964A2"/>
    <w:rsid w:val="00DD2753"/>
    <w:rsid w:val="00DD6C7E"/>
    <w:rsid w:val="00DF523A"/>
    <w:rsid w:val="00E279B5"/>
    <w:rsid w:val="00E362F6"/>
    <w:rsid w:val="00E928C0"/>
    <w:rsid w:val="00EC42A2"/>
    <w:rsid w:val="00ED5E83"/>
    <w:rsid w:val="00EE437D"/>
    <w:rsid w:val="00F57E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571"/>
    <w:rPr>
      <w:sz w:val="16"/>
      <w:szCs w:val="16"/>
    </w:rPr>
  </w:style>
  <w:style w:type="paragraph" w:styleId="CommentText">
    <w:name w:val="annotation text"/>
    <w:basedOn w:val="Normal"/>
    <w:link w:val="CommentTextChar"/>
    <w:uiPriority w:val="99"/>
    <w:semiHidden/>
    <w:unhideWhenUsed/>
    <w:rsid w:val="00C81571"/>
    <w:pPr>
      <w:spacing w:line="240" w:lineRule="auto"/>
    </w:pPr>
    <w:rPr>
      <w:sz w:val="20"/>
      <w:szCs w:val="20"/>
    </w:rPr>
  </w:style>
  <w:style w:type="character" w:customStyle="1" w:styleId="CommentTextChar">
    <w:name w:val="Comment Text Char"/>
    <w:basedOn w:val="DefaultParagraphFont"/>
    <w:link w:val="CommentText"/>
    <w:uiPriority w:val="99"/>
    <w:semiHidden/>
    <w:rsid w:val="00C81571"/>
    <w:rPr>
      <w:sz w:val="20"/>
      <w:szCs w:val="20"/>
    </w:rPr>
  </w:style>
  <w:style w:type="paragraph" w:styleId="CommentSubject">
    <w:name w:val="annotation subject"/>
    <w:basedOn w:val="CommentText"/>
    <w:next w:val="CommentText"/>
    <w:link w:val="CommentSubjectChar"/>
    <w:uiPriority w:val="99"/>
    <w:semiHidden/>
    <w:unhideWhenUsed/>
    <w:rsid w:val="00C81571"/>
    <w:rPr>
      <w:b/>
      <w:bCs/>
    </w:rPr>
  </w:style>
  <w:style w:type="character" w:customStyle="1" w:styleId="CommentSubjectChar">
    <w:name w:val="Comment Subject Char"/>
    <w:basedOn w:val="CommentTextChar"/>
    <w:link w:val="CommentSubject"/>
    <w:uiPriority w:val="99"/>
    <w:semiHidden/>
    <w:rsid w:val="00C81571"/>
    <w:rPr>
      <w:b/>
      <w:bCs/>
      <w:sz w:val="20"/>
      <w:szCs w:val="20"/>
    </w:rPr>
  </w:style>
  <w:style w:type="paragraph" w:styleId="BalloonText">
    <w:name w:val="Balloon Text"/>
    <w:basedOn w:val="Normal"/>
    <w:link w:val="BalloonTextChar"/>
    <w:uiPriority w:val="99"/>
    <w:semiHidden/>
    <w:unhideWhenUsed/>
    <w:rsid w:val="00C8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571"/>
    <w:rPr>
      <w:rFonts w:ascii="Tahoma" w:hAnsi="Tahoma" w:cs="Tahoma"/>
      <w:sz w:val="16"/>
      <w:szCs w:val="16"/>
    </w:rPr>
  </w:style>
  <w:style w:type="paragraph" w:styleId="ListParagraph">
    <w:name w:val="List Paragraph"/>
    <w:basedOn w:val="Normal"/>
    <w:uiPriority w:val="34"/>
    <w:qFormat/>
    <w:rsid w:val="00E279B5"/>
    <w:pPr>
      <w:ind w:left="720"/>
      <w:contextualSpacing/>
    </w:pPr>
  </w:style>
  <w:style w:type="paragraph" w:styleId="NormalWeb">
    <w:name w:val="Normal (Web)"/>
    <w:basedOn w:val="Normal"/>
    <w:uiPriority w:val="99"/>
    <w:semiHidden/>
    <w:unhideWhenUsed/>
    <w:rsid w:val="00B933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1FA"/>
  </w:style>
  <w:style w:type="paragraph" w:styleId="Footer">
    <w:name w:val="footer"/>
    <w:basedOn w:val="Normal"/>
    <w:link w:val="FooterChar"/>
    <w:uiPriority w:val="99"/>
    <w:unhideWhenUsed/>
    <w:rsid w:val="00A9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1FA"/>
  </w:style>
  <w:style w:type="character" w:styleId="Hyperlink">
    <w:name w:val="Hyperlink"/>
    <w:basedOn w:val="DefaultParagraphFont"/>
    <w:uiPriority w:val="99"/>
    <w:semiHidden/>
    <w:unhideWhenUsed/>
    <w:rsid w:val="00E362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1571"/>
    <w:rPr>
      <w:sz w:val="16"/>
      <w:szCs w:val="16"/>
    </w:rPr>
  </w:style>
  <w:style w:type="paragraph" w:styleId="CommentText">
    <w:name w:val="annotation text"/>
    <w:basedOn w:val="Normal"/>
    <w:link w:val="CommentTextChar"/>
    <w:uiPriority w:val="99"/>
    <w:semiHidden/>
    <w:unhideWhenUsed/>
    <w:rsid w:val="00C81571"/>
    <w:pPr>
      <w:spacing w:line="240" w:lineRule="auto"/>
    </w:pPr>
    <w:rPr>
      <w:sz w:val="20"/>
      <w:szCs w:val="20"/>
    </w:rPr>
  </w:style>
  <w:style w:type="character" w:customStyle="1" w:styleId="CommentTextChar">
    <w:name w:val="Comment Text Char"/>
    <w:basedOn w:val="DefaultParagraphFont"/>
    <w:link w:val="CommentText"/>
    <w:uiPriority w:val="99"/>
    <w:semiHidden/>
    <w:rsid w:val="00C81571"/>
    <w:rPr>
      <w:sz w:val="20"/>
      <w:szCs w:val="20"/>
    </w:rPr>
  </w:style>
  <w:style w:type="paragraph" w:styleId="CommentSubject">
    <w:name w:val="annotation subject"/>
    <w:basedOn w:val="CommentText"/>
    <w:next w:val="CommentText"/>
    <w:link w:val="CommentSubjectChar"/>
    <w:uiPriority w:val="99"/>
    <w:semiHidden/>
    <w:unhideWhenUsed/>
    <w:rsid w:val="00C81571"/>
    <w:rPr>
      <w:b/>
      <w:bCs/>
    </w:rPr>
  </w:style>
  <w:style w:type="character" w:customStyle="1" w:styleId="CommentSubjectChar">
    <w:name w:val="Comment Subject Char"/>
    <w:basedOn w:val="CommentTextChar"/>
    <w:link w:val="CommentSubject"/>
    <w:uiPriority w:val="99"/>
    <w:semiHidden/>
    <w:rsid w:val="00C81571"/>
    <w:rPr>
      <w:b/>
      <w:bCs/>
      <w:sz w:val="20"/>
      <w:szCs w:val="20"/>
    </w:rPr>
  </w:style>
  <w:style w:type="paragraph" w:styleId="BalloonText">
    <w:name w:val="Balloon Text"/>
    <w:basedOn w:val="Normal"/>
    <w:link w:val="BalloonTextChar"/>
    <w:uiPriority w:val="99"/>
    <w:semiHidden/>
    <w:unhideWhenUsed/>
    <w:rsid w:val="00C81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571"/>
    <w:rPr>
      <w:rFonts w:ascii="Tahoma" w:hAnsi="Tahoma" w:cs="Tahoma"/>
      <w:sz w:val="16"/>
      <w:szCs w:val="16"/>
    </w:rPr>
  </w:style>
  <w:style w:type="paragraph" w:styleId="ListParagraph">
    <w:name w:val="List Paragraph"/>
    <w:basedOn w:val="Normal"/>
    <w:uiPriority w:val="34"/>
    <w:qFormat/>
    <w:rsid w:val="00E279B5"/>
    <w:pPr>
      <w:ind w:left="720"/>
      <w:contextualSpacing/>
    </w:pPr>
  </w:style>
  <w:style w:type="paragraph" w:styleId="NormalWeb">
    <w:name w:val="Normal (Web)"/>
    <w:basedOn w:val="Normal"/>
    <w:uiPriority w:val="99"/>
    <w:semiHidden/>
    <w:unhideWhenUsed/>
    <w:rsid w:val="00B933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1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1FA"/>
  </w:style>
  <w:style w:type="paragraph" w:styleId="Footer">
    <w:name w:val="footer"/>
    <w:basedOn w:val="Normal"/>
    <w:link w:val="FooterChar"/>
    <w:uiPriority w:val="99"/>
    <w:unhideWhenUsed/>
    <w:rsid w:val="00A9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1FA"/>
  </w:style>
  <w:style w:type="character" w:styleId="Hyperlink">
    <w:name w:val="Hyperlink"/>
    <w:basedOn w:val="DefaultParagraphFont"/>
    <w:uiPriority w:val="99"/>
    <w:semiHidden/>
    <w:unhideWhenUsed/>
    <w:rsid w:val="00E36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83712">
      <w:bodyDiv w:val="1"/>
      <w:marLeft w:val="0"/>
      <w:marRight w:val="0"/>
      <w:marTop w:val="0"/>
      <w:marBottom w:val="0"/>
      <w:divBdr>
        <w:top w:val="none" w:sz="0" w:space="0" w:color="auto"/>
        <w:left w:val="none" w:sz="0" w:space="0" w:color="auto"/>
        <w:bottom w:val="none" w:sz="0" w:space="0" w:color="auto"/>
        <w:right w:val="none" w:sz="0" w:space="0" w:color="auto"/>
      </w:divBdr>
    </w:div>
    <w:div w:id="16926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x.doi.org/10.1136%2Fjech.57.12.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12</Pages>
  <Words>5336</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14</cp:revision>
  <dcterms:created xsi:type="dcterms:W3CDTF">2019-10-30T12:51:00Z</dcterms:created>
  <dcterms:modified xsi:type="dcterms:W3CDTF">2019-11-13T10:32:00Z</dcterms:modified>
</cp:coreProperties>
</file>