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0E3AA" w14:textId="553387A0" w:rsidR="00C25B12" w:rsidRDefault="00C25B12">
      <w:pPr>
        <w:rPr>
          <w:rFonts w:ascii="STCaiyun" w:eastAsia="STCaiyun" w:hAnsi="STCaiyun"/>
        </w:rPr>
      </w:pPr>
    </w:p>
    <w:p w14:paraId="34E6DA8B" w14:textId="502DF2EE" w:rsidR="00C25B12" w:rsidRDefault="00C25B12" w:rsidP="00C25B12">
      <w:pPr>
        <w:jc w:val="center"/>
        <w:rPr>
          <w:rFonts w:ascii="Times New Roman" w:eastAsia="STCaiyun" w:hAnsi="Times New Roman" w:cs="Times New Roman"/>
          <w:b/>
          <w:bCs/>
          <w:sz w:val="24"/>
          <w:szCs w:val="24"/>
        </w:rPr>
      </w:pPr>
      <w:r>
        <w:rPr>
          <w:rFonts w:ascii="Times New Roman" w:eastAsia="STCaiyun" w:hAnsi="Times New Roman" w:cs="Times New Roman"/>
          <w:b/>
          <w:bCs/>
          <w:sz w:val="24"/>
          <w:szCs w:val="24"/>
        </w:rPr>
        <w:t>The third person plural ending -ασι(ν) of the aorist: diachronic and stylistic issues</w:t>
      </w:r>
    </w:p>
    <w:p w14:paraId="0DCD6995" w14:textId="1C5839CB" w:rsidR="00C25B12" w:rsidRDefault="00C25B12" w:rsidP="00C25B12">
      <w:pPr>
        <w:jc w:val="center"/>
        <w:rPr>
          <w:rFonts w:ascii="Times New Roman" w:eastAsia="STCaiyun" w:hAnsi="Times New Roman" w:cs="Times New Roman"/>
          <w:b/>
          <w:bCs/>
          <w:sz w:val="24"/>
          <w:szCs w:val="24"/>
        </w:rPr>
      </w:pPr>
    </w:p>
    <w:p w14:paraId="3768F563" w14:textId="64F940B2" w:rsidR="008C58AC" w:rsidRDefault="00C25B12" w:rsidP="00C25B12">
      <w:pPr>
        <w:rPr>
          <w:rFonts w:ascii="Times New Roman" w:eastAsia="STCaiyun" w:hAnsi="Times New Roman" w:cs="Times New Roman"/>
          <w:sz w:val="24"/>
          <w:szCs w:val="24"/>
        </w:rPr>
      </w:pPr>
      <w:r w:rsidRPr="00C25B12">
        <w:rPr>
          <w:rFonts w:ascii="Times New Roman" w:eastAsia="STCaiyun" w:hAnsi="Times New Roman" w:cs="Times New Roman"/>
          <w:sz w:val="24"/>
          <w:szCs w:val="24"/>
          <w:lang w:val="en"/>
        </w:rPr>
        <w:t>The polymorph</w:t>
      </w:r>
      <w:r w:rsidR="006858C5">
        <w:rPr>
          <w:rFonts w:ascii="Times New Roman" w:eastAsia="STCaiyun" w:hAnsi="Times New Roman" w:cs="Times New Roman"/>
          <w:sz w:val="24"/>
          <w:szCs w:val="24"/>
          <w:lang w:val="en"/>
        </w:rPr>
        <w:t>ic nature</w:t>
      </w:r>
      <w:r w:rsidRPr="00C25B12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of verb endings in </w:t>
      </w:r>
      <w:r w:rsidR="00055E4A">
        <w:rPr>
          <w:rFonts w:ascii="Times New Roman" w:eastAsia="STCaiyun" w:hAnsi="Times New Roman" w:cs="Times New Roman"/>
          <w:sz w:val="24"/>
          <w:szCs w:val="24"/>
          <w:lang w:val="en"/>
        </w:rPr>
        <w:t>many</w:t>
      </w:r>
      <w:r w:rsidR="006858C5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medieval Greek</w:t>
      </w:r>
      <w:r w:rsidRPr="00C25B12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</w:t>
      </w:r>
      <w:r w:rsidR="006858C5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tenses </w:t>
      </w:r>
      <w:r w:rsidRPr="00C25B12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has been the subject of several recent </w:t>
      </w:r>
      <w:commentRangeStart w:id="0"/>
      <w:r w:rsidRPr="00C25B12">
        <w:rPr>
          <w:rFonts w:ascii="Times New Roman" w:eastAsia="STCaiyun" w:hAnsi="Times New Roman" w:cs="Times New Roman"/>
          <w:sz w:val="24"/>
          <w:szCs w:val="24"/>
          <w:lang w:val="en"/>
        </w:rPr>
        <w:t>studies</w:t>
      </w:r>
      <w:commentRangeEnd w:id="0"/>
      <w:r w:rsidR="006858C5">
        <w:rPr>
          <w:rStyle w:val="CommentReference"/>
        </w:rPr>
        <w:commentReference w:id="0"/>
      </w:r>
      <w:r w:rsidRPr="00C25B12">
        <w:rPr>
          <w:rFonts w:ascii="Times New Roman" w:eastAsia="STCaiyun" w:hAnsi="Times New Roman" w:cs="Times New Roman"/>
          <w:sz w:val="24"/>
          <w:szCs w:val="24"/>
          <w:lang w:val="en"/>
        </w:rPr>
        <w:t>.</w:t>
      </w:r>
      <w:r w:rsidR="006858C5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Martin Hinterberger (2001) </w:t>
      </w:r>
      <w:r w:rsidR="00FD327D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in particular, </w:t>
      </w:r>
      <w:r w:rsidR="006858C5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has demonstrated that often these are not </w:t>
      </w:r>
      <w:r w:rsidR="00055E4A">
        <w:rPr>
          <w:rFonts w:ascii="Times New Roman" w:eastAsia="STCaiyun" w:hAnsi="Times New Roman" w:cs="Times New Roman"/>
          <w:sz w:val="24"/>
          <w:szCs w:val="24"/>
          <w:lang w:val="en"/>
        </w:rPr>
        <w:t>artificial</w:t>
      </w:r>
      <w:r w:rsidR="006858C5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contrivances</w:t>
      </w:r>
      <w:r w:rsidR="00055E4A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created for the benefit of poetic meter</w:t>
      </w:r>
      <w:r w:rsidR="00A210F9">
        <w:rPr>
          <w:rFonts w:ascii="Times New Roman" w:eastAsia="STCaiyun" w:hAnsi="Times New Roman" w:cs="Times New Roman"/>
          <w:sz w:val="24"/>
          <w:szCs w:val="24"/>
          <w:lang w:val="en"/>
        </w:rPr>
        <w:t>. Instead,</w:t>
      </w:r>
      <w:r w:rsidR="00055E4A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they originate </w:t>
      </w:r>
      <w:r w:rsidR="008C58AC">
        <w:rPr>
          <w:rFonts w:ascii="Times New Roman" w:eastAsia="STCaiyun" w:hAnsi="Times New Roman" w:cs="Times New Roman"/>
          <w:sz w:val="24"/>
          <w:szCs w:val="24"/>
          <w:lang w:val="en"/>
        </w:rPr>
        <w:t>in</w:t>
      </w:r>
      <w:r w:rsidR="00055E4A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the spoken language</w:t>
      </w:r>
      <w:r w:rsidR="00A210F9">
        <w:rPr>
          <w:rFonts w:ascii="Times New Roman" w:eastAsia="STCaiyun" w:hAnsi="Times New Roman" w:cs="Times New Roman"/>
          <w:sz w:val="24"/>
          <w:szCs w:val="24"/>
          <w:lang w:val="en"/>
        </w:rPr>
        <w:t>, and can be found in</w:t>
      </w:r>
      <w:r w:rsidR="00055E4A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prose at both a</w:t>
      </w:r>
      <w:r w:rsidR="009C48CC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n informal </w:t>
      </w:r>
      <w:r w:rsidR="00055E4A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and colloquial sociolinguistic </w:t>
      </w:r>
      <w:commentRangeStart w:id="1"/>
      <w:r w:rsidR="00055E4A">
        <w:rPr>
          <w:rFonts w:ascii="Times New Roman" w:eastAsia="STCaiyun" w:hAnsi="Times New Roman" w:cs="Times New Roman"/>
          <w:sz w:val="24"/>
          <w:szCs w:val="24"/>
          <w:lang w:val="en"/>
        </w:rPr>
        <w:t>level</w:t>
      </w:r>
      <w:commentRangeEnd w:id="1"/>
      <w:r w:rsidR="00783BF6">
        <w:rPr>
          <w:rStyle w:val="CommentReference"/>
        </w:rPr>
        <w:commentReference w:id="1"/>
      </w:r>
      <w:r w:rsidR="00A210F9">
        <w:rPr>
          <w:rFonts w:ascii="Times New Roman" w:eastAsia="STCaiyun" w:hAnsi="Times New Roman" w:cs="Times New Roman"/>
          <w:sz w:val="24"/>
          <w:szCs w:val="24"/>
          <w:lang w:val="en"/>
        </w:rPr>
        <w:t>. In this essay I plan to examine the occurrence and success within Byzantine literature of the endings -</w:t>
      </w:r>
      <w:r w:rsidR="00A210F9" w:rsidRPr="00A210F9">
        <w:rPr>
          <w:rFonts w:ascii="Times New Roman" w:eastAsia="STCaiyun" w:hAnsi="Times New Roman" w:cs="Times New Roman"/>
          <w:sz w:val="24"/>
          <w:szCs w:val="24"/>
          <w:lang w:val="el-GR"/>
        </w:rPr>
        <w:t>ασι</w:t>
      </w:r>
      <w:r w:rsidR="00A210F9" w:rsidRPr="00A210F9">
        <w:rPr>
          <w:rFonts w:ascii="Times New Roman" w:eastAsia="STCaiyun" w:hAnsi="Times New Roman" w:cs="Times New Roman"/>
          <w:sz w:val="24"/>
          <w:szCs w:val="24"/>
          <w:lang w:val="it-IT"/>
        </w:rPr>
        <w:t>(</w:t>
      </w:r>
      <w:r w:rsidR="00A210F9" w:rsidRPr="00A210F9">
        <w:rPr>
          <w:rFonts w:ascii="Times New Roman" w:eastAsia="STCaiyun" w:hAnsi="Times New Roman" w:cs="Times New Roman"/>
          <w:sz w:val="24"/>
          <w:szCs w:val="24"/>
          <w:lang w:val="el-GR"/>
        </w:rPr>
        <w:t>ν</w:t>
      </w:r>
      <w:r w:rsidR="00A210F9" w:rsidRPr="00A210F9">
        <w:rPr>
          <w:rFonts w:ascii="Times New Roman" w:eastAsia="STCaiyun" w:hAnsi="Times New Roman" w:cs="Times New Roman"/>
          <w:sz w:val="24"/>
          <w:szCs w:val="24"/>
          <w:lang w:val="it-IT"/>
        </w:rPr>
        <w:t>), -</w:t>
      </w:r>
      <w:r w:rsidR="00A210F9" w:rsidRPr="00A210F9">
        <w:rPr>
          <w:rFonts w:ascii="Times New Roman" w:eastAsia="STCaiyun" w:hAnsi="Times New Roman" w:cs="Times New Roman"/>
          <w:sz w:val="24"/>
          <w:szCs w:val="24"/>
          <w:lang w:val="el-GR"/>
        </w:rPr>
        <w:t>ασινε</w:t>
      </w:r>
      <w:r w:rsidR="008C58AC">
        <w:rPr>
          <w:rFonts w:ascii="Times New Roman" w:eastAsia="STCaiyun" w:hAnsi="Times New Roman" w:cs="Times New Roman"/>
          <w:sz w:val="24"/>
          <w:szCs w:val="24"/>
        </w:rPr>
        <w:t>,</w:t>
      </w:r>
      <w:r w:rsidR="00A210F9">
        <w:rPr>
          <w:rFonts w:ascii="Times New Roman" w:eastAsia="STCaiyun" w:hAnsi="Times New Roman" w:cs="Times New Roman"/>
          <w:sz w:val="24"/>
          <w:szCs w:val="24"/>
        </w:rPr>
        <w:t xml:space="preserve"> in the third person plural of the aorist tense.</w:t>
      </w:r>
    </w:p>
    <w:p w14:paraId="2895287E" w14:textId="72B70CDF" w:rsidR="008C58AC" w:rsidRDefault="008C58AC" w:rsidP="00C25B12">
      <w:pPr>
        <w:rPr>
          <w:rFonts w:ascii="Times New Roman" w:eastAsia="STCaiyun" w:hAnsi="Times New Roman" w:cs="Times New Roman"/>
          <w:sz w:val="24"/>
          <w:szCs w:val="24"/>
          <w:lang w:val="en"/>
        </w:rPr>
      </w:pPr>
      <w:r w:rsidRPr="008C58AC">
        <w:rPr>
          <w:rFonts w:ascii="Times New Roman" w:eastAsia="STCaiyun" w:hAnsi="Times New Roman" w:cs="Times New Roman"/>
          <w:sz w:val="24"/>
          <w:szCs w:val="24"/>
          <w:lang w:val="en"/>
        </w:rPr>
        <w:t>In post</w:t>
      </w:r>
      <w:r>
        <w:rPr>
          <w:rFonts w:ascii="Times New Roman" w:eastAsia="STCaiyun" w:hAnsi="Times New Roman" w:cs="Times New Roman"/>
          <w:sz w:val="24"/>
          <w:szCs w:val="24"/>
          <w:lang w:val="en"/>
        </w:rPr>
        <w:t>-</w:t>
      </w:r>
      <w:r w:rsidRPr="008C58AC">
        <w:rPr>
          <w:rFonts w:ascii="Times New Roman" w:eastAsia="STCaiyun" w:hAnsi="Times New Roman" w:cs="Times New Roman"/>
          <w:sz w:val="24"/>
          <w:szCs w:val="24"/>
          <w:lang w:val="en"/>
        </w:rPr>
        <w:t>classic</w:t>
      </w:r>
      <w:r>
        <w:rPr>
          <w:rFonts w:ascii="Times New Roman" w:eastAsia="STCaiyun" w:hAnsi="Times New Roman" w:cs="Times New Roman"/>
          <w:sz w:val="24"/>
          <w:szCs w:val="24"/>
          <w:lang w:val="en"/>
        </w:rPr>
        <w:t>al</w:t>
      </w:r>
      <w:r w:rsidRPr="008C58AC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Greek, an alternative form already existed for</w:t>
      </w:r>
      <w:r w:rsidR="00FD327D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the</w:t>
      </w:r>
      <w:r w:rsidRPr="008C58AC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thematic aorist in the third person plural</w:t>
      </w:r>
      <w:r w:rsidR="00FD327D">
        <w:rPr>
          <w:rFonts w:ascii="Times New Roman" w:eastAsia="STCaiyun" w:hAnsi="Times New Roman" w:cs="Times New Roman"/>
          <w:sz w:val="24"/>
          <w:szCs w:val="24"/>
          <w:lang w:val="en"/>
        </w:rPr>
        <w:t>. C</w:t>
      </w:r>
      <w:r w:rsidRPr="008C58AC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ases like ἔλαβαν, which </w:t>
      </w:r>
      <w:r w:rsidR="00FD327D">
        <w:rPr>
          <w:rFonts w:ascii="Times New Roman" w:eastAsia="STCaiyun" w:hAnsi="Times New Roman" w:cs="Times New Roman"/>
          <w:sz w:val="24"/>
          <w:szCs w:val="24"/>
          <w:lang w:val="en"/>
        </w:rPr>
        <w:t>can be found</w:t>
      </w:r>
      <w:r w:rsidRPr="008C58AC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in the </w:t>
      </w:r>
      <w:r w:rsidRPr="00FD327D">
        <w:rPr>
          <w:rFonts w:ascii="Times New Roman" w:eastAsia="STCaiyun" w:hAnsi="Times New Roman" w:cs="Times New Roman"/>
          <w:i/>
          <w:iCs/>
          <w:sz w:val="24"/>
          <w:szCs w:val="24"/>
          <w:lang w:val="en"/>
        </w:rPr>
        <w:t>Septuaginta</w:t>
      </w:r>
      <w:r w:rsidRPr="008C58AC">
        <w:rPr>
          <w:rFonts w:ascii="Times New Roman" w:eastAsia="STCaiyun" w:hAnsi="Times New Roman" w:cs="Times New Roman"/>
          <w:sz w:val="24"/>
          <w:szCs w:val="24"/>
          <w:lang w:val="en"/>
        </w:rPr>
        <w:t>, indicate an early analogical leveling of the thematic aorist o</w:t>
      </w:r>
      <w:r w:rsidR="00874F79">
        <w:rPr>
          <w:rFonts w:ascii="Times New Roman" w:eastAsia="STCaiyun" w:hAnsi="Times New Roman" w:cs="Times New Roman"/>
          <w:sz w:val="24"/>
          <w:szCs w:val="24"/>
          <w:lang w:val="en"/>
        </w:rPr>
        <w:t>ver</w:t>
      </w:r>
      <w:r w:rsidRPr="008C58AC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the al</w:t>
      </w:r>
      <w:r w:rsidR="00874F79">
        <w:rPr>
          <w:rFonts w:ascii="Times New Roman" w:eastAsia="STCaiyun" w:hAnsi="Times New Roman" w:cs="Times New Roman"/>
          <w:sz w:val="24"/>
          <w:szCs w:val="24"/>
          <w:lang w:val="en"/>
        </w:rPr>
        <w:t>ph</w:t>
      </w:r>
      <w:r w:rsidRPr="008C58AC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athematic </w:t>
      </w:r>
      <w:r w:rsidR="00874F79">
        <w:rPr>
          <w:rFonts w:ascii="Times New Roman" w:eastAsia="STCaiyun" w:hAnsi="Times New Roman" w:cs="Times New Roman"/>
          <w:sz w:val="24"/>
          <w:szCs w:val="24"/>
          <w:lang w:val="en"/>
        </w:rPr>
        <w:t>form</w:t>
      </w:r>
      <w:r w:rsidRPr="008C58AC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with the convenient importation of endings in -αν, which had the advantage of disambig</w:t>
      </w:r>
      <w:r w:rsidR="00F4053A">
        <w:rPr>
          <w:rFonts w:ascii="Times New Roman" w:eastAsia="STCaiyun" w:hAnsi="Times New Roman" w:cs="Times New Roman"/>
          <w:sz w:val="24"/>
          <w:szCs w:val="24"/>
          <w:lang w:val="en"/>
        </w:rPr>
        <w:t>uating</w:t>
      </w:r>
      <w:r w:rsidRPr="008C58AC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the</w:t>
      </w:r>
      <w:r w:rsidR="006B6033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</w:t>
      </w:r>
      <w:r w:rsidR="00794D52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third </w:t>
      </w:r>
      <w:r w:rsidR="006B6033">
        <w:rPr>
          <w:rFonts w:ascii="Times New Roman" w:eastAsia="STCaiyun" w:hAnsi="Times New Roman" w:cs="Times New Roman"/>
          <w:sz w:val="24"/>
          <w:szCs w:val="24"/>
          <w:lang w:val="en"/>
        </w:rPr>
        <w:t>person</w:t>
      </w:r>
      <w:r w:rsidRPr="008C58AC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plural</w:t>
      </w:r>
      <w:r w:rsidR="006B6033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endings</w:t>
      </w:r>
      <w:r w:rsidRPr="008C58AC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from the first </w:t>
      </w:r>
      <w:r w:rsidR="006B6033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person </w:t>
      </w:r>
      <w:r w:rsidRPr="008C58AC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singular. As is </w:t>
      </w:r>
      <w:r w:rsidR="009729F9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well </w:t>
      </w:r>
      <w:r w:rsidRPr="008C58AC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known, the third </w:t>
      </w:r>
      <w:r w:rsidR="009C48CC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person </w:t>
      </w:r>
      <w:r w:rsidRPr="008C58AC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plural of the aorist in KNE was </w:t>
      </w:r>
      <w:r w:rsidR="006D6FCF">
        <w:rPr>
          <w:rFonts w:ascii="Times New Roman" w:eastAsia="STCaiyun" w:hAnsi="Times New Roman" w:cs="Times New Roman"/>
          <w:sz w:val="24"/>
          <w:szCs w:val="24"/>
          <w:lang w:val="en"/>
        </w:rPr>
        <w:t>constructed</w:t>
      </w:r>
      <w:r w:rsidRPr="008C58AC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on these analogical </w:t>
      </w:r>
      <w:commentRangeStart w:id="2"/>
      <w:r w:rsidRPr="008C58AC">
        <w:rPr>
          <w:rFonts w:ascii="Times New Roman" w:eastAsia="STCaiyun" w:hAnsi="Times New Roman" w:cs="Times New Roman"/>
          <w:sz w:val="24"/>
          <w:szCs w:val="24"/>
          <w:lang w:val="en"/>
        </w:rPr>
        <w:t>forms</w:t>
      </w:r>
      <w:commentRangeEnd w:id="2"/>
      <w:r w:rsidR="006D6FCF">
        <w:rPr>
          <w:rStyle w:val="CommentReference"/>
        </w:rPr>
        <w:commentReference w:id="2"/>
      </w:r>
      <w:r w:rsidRPr="008C58AC">
        <w:rPr>
          <w:rFonts w:ascii="Times New Roman" w:eastAsia="STCaiyun" w:hAnsi="Times New Roman" w:cs="Times New Roman"/>
          <w:sz w:val="24"/>
          <w:szCs w:val="24"/>
          <w:lang w:val="en"/>
        </w:rPr>
        <w:t>.</w:t>
      </w:r>
    </w:p>
    <w:p w14:paraId="311D8321" w14:textId="4A4AB96C" w:rsidR="00EF53FD" w:rsidRDefault="00CE0368" w:rsidP="00C25B12">
      <w:pPr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STCaiyun" w:hAnsi="Times New Roman" w:cs="Times New Roman"/>
          <w:sz w:val="24"/>
          <w:szCs w:val="24"/>
          <w:lang w:val="en"/>
        </w:rPr>
        <w:t>Based on the written evidence, both literary and non, t</w:t>
      </w:r>
      <w:r w:rsidRPr="00CE0368">
        <w:rPr>
          <w:rFonts w:ascii="Times New Roman" w:eastAsia="STCaiyun" w:hAnsi="Times New Roman" w:cs="Times New Roman"/>
          <w:sz w:val="24"/>
          <w:szCs w:val="24"/>
          <w:lang w:val="en"/>
        </w:rPr>
        <w:t>he success of the -ασι</w:t>
      </w:r>
      <w:r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ending appears to have been a later development</w:t>
      </w:r>
      <w:r w:rsidRPr="00CE0368">
        <w:rPr>
          <w:rFonts w:ascii="Times New Roman" w:eastAsia="STCaiyun" w:hAnsi="Times New Roman" w:cs="Times New Roman"/>
          <w:sz w:val="24"/>
          <w:szCs w:val="24"/>
          <w:lang w:val="en"/>
        </w:rPr>
        <w:t>.</w:t>
      </w:r>
      <w:r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From the texts I have analyzed</w:t>
      </w:r>
      <w:r w:rsidRPr="00CE0368">
        <w:rPr>
          <w:rFonts w:ascii="Times New Roman" w:eastAsia="STCaiyun" w:hAnsi="Times New Roman" w:cs="Times New Roman"/>
          <w:sz w:val="24"/>
          <w:szCs w:val="24"/>
          <w:lang w:val="en"/>
        </w:rPr>
        <w:t>, it is clear</w:t>
      </w:r>
      <w:r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this form enjoyed little</w:t>
      </w:r>
      <w:r w:rsidRPr="00CE0368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initial socio-linguistic prestige</w:t>
      </w:r>
      <w:r>
        <w:rPr>
          <w:rFonts w:ascii="Times New Roman" w:eastAsia="STCaiyun" w:hAnsi="Times New Roman" w:cs="Times New Roman"/>
          <w:sz w:val="24"/>
          <w:szCs w:val="24"/>
          <w:lang w:val="en"/>
        </w:rPr>
        <w:t>. It</w:t>
      </w:r>
      <w:r w:rsidRPr="00CE0368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was perceived as colloquial, and avoided in </w:t>
      </w:r>
      <w:r w:rsidRPr="00136340">
        <w:rPr>
          <w:rFonts w:ascii="Times New Roman" w:eastAsia="STCaiyun" w:hAnsi="Times New Roman" w:cs="Times New Roman"/>
          <w:i/>
          <w:iCs/>
          <w:sz w:val="24"/>
          <w:szCs w:val="24"/>
          <w:lang w:val="en"/>
        </w:rPr>
        <w:t>Hochsprachliche Literatur</w:t>
      </w:r>
      <w:r w:rsidRPr="00CE0368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, </w:t>
      </w:r>
      <w:r w:rsidR="00C1560A">
        <w:rPr>
          <w:rFonts w:ascii="Times New Roman" w:eastAsia="STCaiyun" w:hAnsi="Times New Roman" w:cs="Times New Roman"/>
          <w:sz w:val="24"/>
          <w:szCs w:val="24"/>
          <w:lang w:val="en"/>
        </w:rPr>
        <w:t>instead finding</w:t>
      </w:r>
      <w:r w:rsidR="00136340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its place in the repertoire</w:t>
      </w:r>
      <w:r w:rsidRPr="00CE0368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of works of popular literature of the Byzantine Middle Ages such as the </w:t>
      </w:r>
      <w:r w:rsidRPr="00136340">
        <w:rPr>
          <w:rFonts w:ascii="Times New Roman" w:eastAsia="STCaiyun" w:hAnsi="Times New Roman" w:cs="Times New Roman"/>
          <w:i/>
          <w:iCs/>
          <w:sz w:val="24"/>
          <w:szCs w:val="24"/>
          <w:lang w:val="en"/>
        </w:rPr>
        <w:t>Digenìs Akritas</w:t>
      </w:r>
      <w:r w:rsidRPr="00CE0368">
        <w:rPr>
          <w:rFonts w:ascii="Times New Roman" w:eastAsia="STCaiyun" w:hAnsi="Times New Roman" w:cs="Times New Roman"/>
          <w:sz w:val="24"/>
          <w:szCs w:val="24"/>
          <w:lang w:val="en"/>
        </w:rPr>
        <w:t>.</w:t>
      </w:r>
      <w:r w:rsidR="00C1560A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A</w:t>
      </w:r>
      <w:r w:rsidR="00783BF6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survey </w:t>
      </w:r>
      <w:r w:rsidR="00C1560A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of </w:t>
      </w:r>
      <w:r w:rsidR="00783BF6">
        <w:rPr>
          <w:rFonts w:ascii="Times New Roman" w:eastAsia="STCaiyun" w:hAnsi="Times New Roman" w:cs="Times New Roman"/>
          <w:sz w:val="24"/>
          <w:szCs w:val="24"/>
          <w:lang w:val="en"/>
        </w:rPr>
        <w:t>its appearance</w:t>
      </w:r>
      <w:r w:rsidR="00C1560A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in the drafts present in the Escorial produces the following data</w:t>
      </w:r>
      <w:r w:rsidR="00C1560A" w:rsidRPr="00783BF6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: </w:t>
      </w:r>
      <w:r w:rsidR="00783BF6" w:rsidRPr="00783BF6">
        <w:rPr>
          <w:rFonts w:ascii="Times New Roman" w:eastAsia="Calibri" w:hAnsi="Times New Roman" w:cs="Times New Roman"/>
          <w:sz w:val="24"/>
          <w:szCs w:val="24"/>
          <w:lang w:val="el-GR"/>
        </w:rPr>
        <w:t>εἴδασι</w:t>
      </w:r>
      <w:r w:rsidR="00783BF6" w:rsidRPr="00783BF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5x, </w:t>
      </w:r>
      <w:r w:rsidR="00783BF6" w:rsidRPr="00783BF6">
        <w:rPr>
          <w:rFonts w:ascii="Times New Roman" w:eastAsia="Calibri" w:hAnsi="Times New Roman" w:cs="Times New Roman"/>
          <w:sz w:val="24"/>
          <w:szCs w:val="24"/>
          <w:lang w:val="el-GR"/>
        </w:rPr>
        <w:t>ἤλθασι</w:t>
      </w:r>
      <w:r w:rsidR="00783BF6" w:rsidRPr="00783BF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2x, ηὕρασιν 2x, </w:t>
      </w:r>
      <w:r w:rsidR="00783BF6" w:rsidRPr="00783BF6">
        <w:rPr>
          <w:rFonts w:ascii="Times New Roman" w:eastAsia="Calibri" w:hAnsi="Times New Roman" w:cs="Times New Roman"/>
          <w:sz w:val="24"/>
          <w:szCs w:val="24"/>
          <w:lang w:val="el-GR"/>
        </w:rPr>
        <w:t>εἴπασι</w:t>
      </w:r>
      <w:r w:rsidR="00783BF6" w:rsidRPr="00783BF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1x, </w:t>
      </w:r>
      <w:r w:rsidR="00783BF6" w:rsidRPr="00783BF6">
        <w:rPr>
          <w:rFonts w:ascii="Times New Roman" w:eastAsia="Calibri" w:hAnsi="Times New Roman" w:cs="Times New Roman"/>
          <w:sz w:val="24"/>
          <w:szCs w:val="24"/>
          <w:lang w:val="el-GR"/>
        </w:rPr>
        <w:t>ἐπήρασι</w:t>
      </w:r>
      <w:r w:rsidR="00783BF6" w:rsidRPr="00783BF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1x, </w:t>
      </w:r>
      <w:r w:rsidR="00783BF6" w:rsidRPr="00783BF6">
        <w:rPr>
          <w:rFonts w:ascii="Times New Roman" w:eastAsia="Calibri" w:hAnsi="Times New Roman" w:cs="Times New Roman"/>
          <w:sz w:val="24"/>
          <w:szCs w:val="24"/>
          <w:lang w:val="el-GR"/>
        </w:rPr>
        <w:t>ἐλάβασι</w:t>
      </w:r>
      <w:r w:rsidR="00783BF6" w:rsidRPr="00783BF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0x.</w:t>
      </w:r>
      <w:r w:rsidR="00783BF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The </w:t>
      </w:r>
      <w:r w:rsidR="00171447">
        <w:rPr>
          <w:rFonts w:ascii="Times New Roman" w:eastAsia="Calibri" w:hAnsi="Times New Roman" w:cs="Times New Roman"/>
          <w:sz w:val="24"/>
          <w:szCs w:val="24"/>
          <w:lang w:val="it-IT"/>
        </w:rPr>
        <w:t>presence</w:t>
      </w:r>
      <w:r w:rsidR="00783BF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of such forms greatly increases in a later work </w:t>
      </w:r>
      <w:r w:rsidR="00171447">
        <w:rPr>
          <w:rFonts w:ascii="Times New Roman" w:eastAsia="Calibri" w:hAnsi="Times New Roman" w:cs="Times New Roman"/>
          <w:sz w:val="24"/>
          <w:szCs w:val="24"/>
          <w:lang w:val="it-IT"/>
        </w:rPr>
        <w:t>like</w:t>
      </w:r>
      <w:r w:rsidR="00783BF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the </w:t>
      </w:r>
      <w:r w:rsidR="00783BF6" w:rsidRPr="00783BF6">
        <w:rPr>
          <w:rFonts w:ascii="Times New Roman" w:eastAsia="Calibri" w:hAnsi="Times New Roman" w:cs="Times New Roman"/>
          <w:i/>
          <w:iCs/>
          <w:sz w:val="24"/>
          <w:szCs w:val="24"/>
          <w:lang w:val="it-IT"/>
        </w:rPr>
        <w:t>Cronaca di Morea</w:t>
      </w:r>
      <w:r w:rsidR="00783BF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. An analysis of rec. </w:t>
      </w:r>
      <w:r w:rsidR="00783BF6" w:rsidRPr="00783BF6">
        <w:rPr>
          <w:rFonts w:ascii="Times New Roman" w:eastAsia="Calibri" w:hAnsi="Times New Roman" w:cs="Times New Roman"/>
          <w:sz w:val="24"/>
          <w:szCs w:val="24"/>
          <w:lang w:val="it-IT"/>
        </w:rPr>
        <w:t>Π</w:t>
      </w:r>
      <w:r w:rsidR="00783BF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reveals the following: </w:t>
      </w:r>
      <w:r w:rsidR="00783BF6" w:rsidRPr="00783BF6">
        <w:rPr>
          <w:rFonts w:ascii="Times New Roman" w:eastAsia="Calibri" w:hAnsi="Times New Roman" w:cs="Times New Roman"/>
          <w:sz w:val="24"/>
          <w:szCs w:val="24"/>
          <w:lang w:val="el-GR"/>
        </w:rPr>
        <w:t>ἤλθασι</w:t>
      </w:r>
      <w:r w:rsidR="00783BF6" w:rsidRPr="00783BF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45x, </w:t>
      </w:r>
      <w:r w:rsidR="00783BF6" w:rsidRPr="00783BF6">
        <w:rPr>
          <w:rFonts w:ascii="Times New Roman" w:eastAsia="Calibri" w:hAnsi="Times New Roman" w:cs="Times New Roman"/>
          <w:sz w:val="24"/>
          <w:szCs w:val="24"/>
          <w:lang w:val="el-GR"/>
        </w:rPr>
        <w:t>εἴπασι</w:t>
      </w:r>
      <w:r w:rsidR="00783BF6" w:rsidRPr="00783BF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33x, </w:t>
      </w:r>
      <w:r w:rsidR="00783BF6" w:rsidRPr="00783BF6">
        <w:rPr>
          <w:rFonts w:ascii="Times New Roman" w:eastAsia="Calibri" w:hAnsi="Times New Roman" w:cs="Times New Roman"/>
          <w:sz w:val="24"/>
          <w:szCs w:val="24"/>
          <w:lang w:val="el-GR"/>
        </w:rPr>
        <w:t>ἐπήρασι</w:t>
      </w:r>
      <w:r w:rsidR="00783BF6" w:rsidRPr="00783BF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31x, ηὕρασιν 10x, </w:t>
      </w:r>
      <w:r w:rsidR="00783BF6" w:rsidRPr="00783BF6">
        <w:rPr>
          <w:rFonts w:ascii="Times New Roman" w:eastAsia="Calibri" w:hAnsi="Times New Roman" w:cs="Times New Roman"/>
          <w:sz w:val="24"/>
          <w:szCs w:val="24"/>
          <w:lang w:val="el-GR"/>
        </w:rPr>
        <w:t>εἴδασι</w:t>
      </w:r>
      <w:r w:rsidR="00783BF6" w:rsidRPr="00783BF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8x, </w:t>
      </w:r>
      <w:r w:rsidR="00783BF6" w:rsidRPr="00783BF6">
        <w:rPr>
          <w:rFonts w:ascii="Times New Roman" w:eastAsia="Calibri" w:hAnsi="Times New Roman" w:cs="Times New Roman"/>
          <w:sz w:val="24"/>
          <w:szCs w:val="24"/>
          <w:lang w:val="el-GR"/>
        </w:rPr>
        <w:t>ἐλάβασι</w:t>
      </w:r>
      <w:r w:rsidR="00783BF6" w:rsidRPr="00783BF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1x</w:t>
      </w:r>
      <w:r w:rsidR="00783BF6" w:rsidRPr="00783BF6">
        <w:rPr>
          <w:rFonts w:ascii="Times New Roman" w:eastAsia="Calibri" w:hAnsi="Times New Roman" w:cs="Times New Roman"/>
          <w:sz w:val="24"/>
          <w:szCs w:val="24"/>
          <w:lang w:val="it-IT"/>
        </w:rPr>
        <w:t>. Even a poet</w:t>
      </w:r>
      <w:r w:rsidR="00783BF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such as Leonardo Dellaporta</w:t>
      </w:r>
      <w:r w:rsidR="00E01C2F">
        <w:rPr>
          <w:rFonts w:ascii="Times New Roman" w:eastAsia="Calibri" w:hAnsi="Times New Roman" w:cs="Times New Roman"/>
          <w:sz w:val="24"/>
          <w:szCs w:val="24"/>
          <w:lang w:val="it-IT"/>
        </w:rPr>
        <w:t>, the author of a number of compositions in demotic Greek</w:t>
      </w:r>
      <w:r w:rsidR="005955F3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dat</w:t>
      </w:r>
      <w:r w:rsidR="00143333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ing to </w:t>
      </w:r>
      <w:r w:rsidR="00E01C2F">
        <w:rPr>
          <w:rFonts w:ascii="Times New Roman" w:eastAsia="Calibri" w:hAnsi="Times New Roman" w:cs="Times New Roman"/>
          <w:sz w:val="24"/>
          <w:szCs w:val="24"/>
          <w:lang w:val="it-IT"/>
        </w:rPr>
        <w:t>the end of the 14th and the beginning of the 15th</w:t>
      </w:r>
      <w:r w:rsidR="00143333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century</w:t>
      </w:r>
      <w:r w:rsidR="00E01C2F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, uses many of these forms as an alternative to those ending in </w:t>
      </w:r>
      <w:r w:rsidR="00E01C2F" w:rsidRPr="00E01C2F">
        <w:rPr>
          <w:rFonts w:ascii="Times New Roman" w:eastAsia="Calibri" w:hAnsi="Times New Roman" w:cs="Times New Roman"/>
          <w:sz w:val="24"/>
          <w:szCs w:val="24"/>
          <w:lang w:val="it-IT"/>
        </w:rPr>
        <w:t>-</w:t>
      </w:r>
      <w:r w:rsidR="00E01C2F" w:rsidRPr="00E01C2F">
        <w:rPr>
          <w:rFonts w:ascii="Times New Roman" w:eastAsia="Calibri" w:hAnsi="Times New Roman" w:cs="Times New Roman"/>
          <w:sz w:val="24"/>
          <w:szCs w:val="24"/>
          <w:lang w:val="el-GR"/>
        </w:rPr>
        <w:t>ν</w:t>
      </w:r>
      <w:r w:rsidR="00E01C2F" w:rsidRPr="00E01C2F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</w:p>
    <w:p w14:paraId="5D1272AE" w14:textId="3DA4EFE6" w:rsidR="00E01C2F" w:rsidRDefault="005955F3" w:rsidP="00C25B12">
      <w:pPr>
        <w:rPr>
          <w:rFonts w:ascii="Times New Roman" w:eastAsia="Calibri" w:hAnsi="Times New Roman" w:cs="Times New Roman"/>
          <w:sz w:val="24"/>
          <w:szCs w:val="24"/>
          <w:lang w:val="en"/>
        </w:rPr>
      </w:pPr>
      <w:r w:rsidRPr="005955F3">
        <w:rPr>
          <w:rFonts w:ascii="Times New Roman" w:eastAsia="Calibri" w:hAnsi="Times New Roman" w:cs="Times New Roman"/>
          <w:sz w:val="24"/>
          <w:szCs w:val="24"/>
          <w:lang w:val="en"/>
        </w:rPr>
        <w:t xml:space="preserve">The situation changes considerably when we consider prose, </w:t>
      </w:r>
      <w:r w:rsidR="00F065FB">
        <w:rPr>
          <w:rFonts w:ascii="Times New Roman" w:eastAsia="Calibri" w:hAnsi="Times New Roman" w:cs="Times New Roman"/>
          <w:sz w:val="24"/>
          <w:szCs w:val="24"/>
          <w:lang w:val="en"/>
        </w:rPr>
        <w:t xml:space="preserve">both </w:t>
      </w:r>
      <w:r w:rsidRPr="005955F3">
        <w:rPr>
          <w:rFonts w:ascii="Times New Roman" w:eastAsia="Calibri" w:hAnsi="Times New Roman" w:cs="Times New Roman"/>
          <w:sz w:val="24"/>
          <w:szCs w:val="24"/>
          <w:lang w:val="en"/>
        </w:rPr>
        <w:t xml:space="preserve">literary and </w:t>
      </w:r>
      <w:r w:rsidR="00F065FB">
        <w:rPr>
          <w:rFonts w:ascii="Times New Roman" w:eastAsia="Calibri" w:hAnsi="Times New Roman" w:cs="Times New Roman"/>
          <w:sz w:val="24"/>
          <w:szCs w:val="24"/>
          <w:lang w:val="en"/>
        </w:rPr>
        <w:t>non</w:t>
      </w:r>
      <w:r w:rsidRPr="005955F3">
        <w:rPr>
          <w:rFonts w:ascii="Times New Roman" w:eastAsia="Calibri" w:hAnsi="Times New Roman" w:cs="Times New Roman"/>
          <w:sz w:val="24"/>
          <w:szCs w:val="24"/>
          <w:lang w:val="en"/>
        </w:rPr>
        <w:t xml:space="preserve">. A systematic </w:t>
      </w:r>
      <w:r w:rsidR="00F065FB">
        <w:rPr>
          <w:rFonts w:ascii="Times New Roman" w:eastAsia="Calibri" w:hAnsi="Times New Roman" w:cs="Times New Roman"/>
          <w:sz w:val="24"/>
          <w:szCs w:val="24"/>
          <w:lang w:val="en"/>
        </w:rPr>
        <w:t>perusal</w:t>
      </w:r>
      <w:r w:rsidRPr="005955F3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leads to </w:t>
      </w:r>
      <w:r w:rsidR="00F065FB">
        <w:rPr>
          <w:rFonts w:ascii="Times New Roman" w:eastAsia="Calibri" w:hAnsi="Times New Roman" w:cs="Times New Roman"/>
          <w:sz w:val="24"/>
          <w:szCs w:val="24"/>
          <w:lang w:val="en"/>
        </w:rPr>
        <w:t xml:space="preserve">some </w:t>
      </w:r>
      <w:r w:rsidRPr="005955F3">
        <w:rPr>
          <w:rFonts w:ascii="Times New Roman" w:eastAsia="Calibri" w:hAnsi="Times New Roman" w:cs="Times New Roman"/>
          <w:sz w:val="24"/>
          <w:szCs w:val="24"/>
          <w:lang w:val="en"/>
        </w:rPr>
        <w:t xml:space="preserve">interesting discoveries: for example, ἤλθασι is </w:t>
      </w:r>
      <w:r w:rsidR="00F065FB">
        <w:rPr>
          <w:rFonts w:ascii="Times New Roman" w:eastAsia="Calibri" w:hAnsi="Times New Roman" w:cs="Times New Roman"/>
          <w:sz w:val="24"/>
          <w:szCs w:val="24"/>
          <w:lang w:val="en"/>
        </w:rPr>
        <w:t>allowed</w:t>
      </w:r>
      <w:r w:rsidRPr="005955F3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in Ducas' </w:t>
      </w:r>
      <w:r w:rsidR="00F065FB" w:rsidRPr="00F065FB">
        <w:rPr>
          <w:rFonts w:ascii="Times New Roman" w:eastAsia="Calibri" w:hAnsi="Times New Roman" w:cs="Times New Roman"/>
          <w:i/>
          <w:iCs/>
          <w:sz w:val="24"/>
          <w:szCs w:val="24"/>
          <w:lang w:val="it-IT"/>
        </w:rPr>
        <w:t xml:space="preserve">Historia turcobyzantina </w:t>
      </w:r>
      <w:r w:rsidRPr="005955F3">
        <w:rPr>
          <w:rFonts w:ascii="Times New Roman" w:eastAsia="Calibri" w:hAnsi="Times New Roman" w:cs="Times New Roman"/>
          <w:sz w:val="24"/>
          <w:szCs w:val="24"/>
          <w:lang w:val="en"/>
        </w:rPr>
        <w:t xml:space="preserve">(9x), but not in other historiographical works of the late Byzantine period such as </w:t>
      </w:r>
      <w:r w:rsidR="001D3908">
        <w:rPr>
          <w:rFonts w:ascii="Times New Roman" w:eastAsia="Calibri" w:hAnsi="Times New Roman" w:cs="Times New Roman"/>
          <w:sz w:val="24"/>
          <w:szCs w:val="24"/>
          <w:lang w:val="en"/>
        </w:rPr>
        <w:t>those by</w:t>
      </w:r>
      <w:r w:rsidRPr="005955F3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r w:rsidR="00143333" w:rsidRPr="00143333">
        <w:rPr>
          <w:rFonts w:ascii="Times New Roman" w:eastAsia="Calibri" w:hAnsi="Times New Roman" w:cs="Times New Roman"/>
          <w:sz w:val="24"/>
          <w:szCs w:val="24"/>
        </w:rPr>
        <w:t>Laonicus Chalcocondyles</w:t>
      </w:r>
      <w:r w:rsidR="00143333" w:rsidRPr="00143333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r w:rsidRPr="005955F3">
        <w:rPr>
          <w:rFonts w:ascii="Times New Roman" w:eastAsia="Calibri" w:hAnsi="Times New Roman" w:cs="Times New Roman"/>
          <w:sz w:val="24"/>
          <w:szCs w:val="24"/>
          <w:lang w:val="en"/>
        </w:rPr>
        <w:t xml:space="preserve">and </w:t>
      </w:r>
      <w:r w:rsidR="00143333" w:rsidRPr="00143333">
        <w:rPr>
          <w:rFonts w:ascii="Times New Roman" w:eastAsia="Calibri" w:hAnsi="Times New Roman" w:cs="Times New Roman"/>
          <w:sz w:val="24"/>
          <w:szCs w:val="24"/>
        </w:rPr>
        <w:t>Michael Critobulus</w:t>
      </w:r>
      <w:r w:rsidRPr="00143333">
        <w:rPr>
          <w:rFonts w:ascii="Times New Roman" w:eastAsia="Calibri" w:hAnsi="Times New Roman" w:cs="Times New Roman"/>
          <w:sz w:val="24"/>
          <w:szCs w:val="24"/>
          <w:lang w:val="en"/>
        </w:rPr>
        <w:t>.</w:t>
      </w:r>
      <w:r w:rsidR="000B065C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L</w:t>
      </w:r>
      <w:r w:rsidR="000B065C" w:rsidRPr="000B065C">
        <w:rPr>
          <w:rFonts w:ascii="Times New Roman" w:eastAsia="Calibri" w:hAnsi="Times New Roman" w:cs="Times New Roman"/>
          <w:sz w:val="24"/>
          <w:szCs w:val="24"/>
          <w:lang w:val="en"/>
        </w:rPr>
        <w:t>egal and administrative writing</w:t>
      </w:r>
      <w:r w:rsidR="000B065C">
        <w:rPr>
          <w:rFonts w:ascii="Times New Roman" w:eastAsia="Calibri" w:hAnsi="Times New Roman" w:cs="Times New Roman"/>
          <w:sz w:val="24"/>
          <w:szCs w:val="24"/>
          <w:lang w:val="en"/>
        </w:rPr>
        <w:t>s</w:t>
      </w:r>
      <w:r w:rsidR="000B065C" w:rsidRPr="000B065C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r w:rsidR="000B065C">
        <w:rPr>
          <w:rFonts w:ascii="Times New Roman" w:eastAsia="Calibri" w:hAnsi="Times New Roman" w:cs="Times New Roman"/>
          <w:sz w:val="24"/>
          <w:szCs w:val="24"/>
          <w:lang w:val="en"/>
        </w:rPr>
        <w:t xml:space="preserve">also </w:t>
      </w:r>
      <w:r w:rsidR="000B065C" w:rsidRPr="000B065C">
        <w:rPr>
          <w:rFonts w:ascii="Times New Roman" w:eastAsia="Calibri" w:hAnsi="Times New Roman" w:cs="Times New Roman"/>
          <w:sz w:val="24"/>
          <w:szCs w:val="24"/>
          <w:lang w:val="en"/>
        </w:rPr>
        <w:t xml:space="preserve">provide </w:t>
      </w:r>
      <w:r w:rsidR="000B065C">
        <w:rPr>
          <w:rFonts w:ascii="Times New Roman" w:eastAsia="Calibri" w:hAnsi="Times New Roman" w:cs="Times New Roman"/>
          <w:sz w:val="24"/>
          <w:szCs w:val="24"/>
          <w:lang w:val="en"/>
        </w:rPr>
        <w:t>valuable</w:t>
      </w:r>
      <w:r w:rsidR="000B065C" w:rsidRPr="000B065C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documentation: the Parisian codices </w:t>
      </w:r>
      <w:r w:rsidR="000B065C">
        <w:rPr>
          <w:rFonts w:ascii="Times New Roman" w:eastAsia="Calibri" w:hAnsi="Times New Roman" w:cs="Times New Roman"/>
          <w:sz w:val="24"/>
          <w:szCs w:val="24"/>
          <w:lang w:val="en"/>
        </w:rPr>
        <w:t>which contain</w:t>
      </w:r>
      <w:r w:rsidR="000B065C" w:rsidRPr="000B065C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the Greek translation of the Assizes of the Kingdom of Jerusalem (</w:t>
      </w:r>
      <w:r w:rsidR="000B065C" w:rsidRPr="000B065C">
        <w:rPr>
          <w:rFonts w:ascii="Times New Roman" w:eastAsia="Calibri" w:hAnsi="Times New Roman" w:cs="Times New Roman"/>
          <w:i/>
          <w:iCs/>
          <w:sz w:val="24"/>
          <w:szCs w:val="24"/>
          <w:lang w:val="en"/>
        </w:rPr>
        <w:t xml:space="preserve">Par. Suppl. Gr. </w:t>
      </w:r>
      <w:r w:rsidR="000B065C" w:rsidRPr="000B065C">
        <w:rPr>
          <w:rFonts w:ascii="Times New Roman" w:eastAsia="Calibri" w:hAnsi="Times New Roman" w:cs="Times New Roman"/>
          <w:sz w:val="24"/>
          <w:szCs w:val="24"/>
          <w:lang w:val="en"/>
        </w:rPr>
        <w:t xml:space="preserve">465 and </w:t>
      </w:r>
      <w:r w:rsidR="000B065C" w:rsidRPr="000B065C">
        <w:rPr>
          <w:rFonts w:ascii="Times New Roman" w:eastAsia="Calibri" w:hAnsi="Times New Roman" w:cs="Times New Roman"/>
          <w:i/>
          <w:iCs/>
          <w:sz w:val="24"/>
          <w:szCs w:val="24"/>
          <w:lang w:val="en"/>
        </w:rPr>
        <w:t>Par. Gr.</w:t>
      </w:r>
      <w:r w:rsidR="000B065C" w:rsidRPr="000B065C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1390), for example, attest to the vitality of these forms in legal writing (ἐλάβασι 4x, εἴδασι 18x).</w:t>
      </w:r>
    </w:p>
    <w:p w14:paraId="5A2F1EB1" w14:textId="63E32B8E" w:rsidR="00C25B12" w:rsidRPr="003F0EF0" w:rsidRDefault="009A2C96" w:rsidP="003F0EF0">
      <w:pPr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9A2C96">
        <w:rPr>
          <w:rFonts w:ascii="Times New Roman" w:eastAsia="Calibri" w:hAnsi="Times New Roman" w:cs="Times New Roman"/>
          <w:sz w:val="24"/>
          <w:szCs w:val="24"/>
          <w:lang w:val="en"/>
        </w:rPr>
        <w:t xml:space="preserve">The creation of new standards in literary language gradually led to </w:t>
      </w:r>
      <w:r w:rsidR="00091C28">
        <w:rPr>
          <w:rFonts w:ascii="Times New Roman" w:eastAsia="Calibri" w:hAnsi="Times New Roman" w:cs="Times New Roman"/>
          <w:sz w:val="24"/>
          <w:szCs w:val="24"/>
          <w:lang w:val="en"/>
        </w:rPr>
        <w:t>the full recognition of</w:t>
      </w:r>
      <w:r w:rsidRPr="009A2C96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the -ασι </w:t>
      </w:r>
      <w:r w:rsidR="00091C28">
        <w:rPr>
          <w:rFonts w:ascii="Times New Roman" w:eastAsia="Calibri" w:hAnsi="Times New Roman" w:cs="Times New Roman"/>
          <w:sz w:val="24"/>
          <w:szCs w:val="24"/>
          <w:lang w:val="en"/>
        </w:rPr>
        <w:t xml:space="preserve">ending </w:t>
      </w:r>
      <w:r w:rsidRPr="009A2C96">
        <w:rPr>
          <w:rFonts w:ascii="Times New Roman" w:eastAsia="Calibri" w:hAnsi="Times New Roman" w:cs="Times New Roman"/>
          <w:sz w:val="24"/>
          <w:szCs w:val="24"/>
          <w:lang w:val="en"/>
        </w:rPr>
        <w:t>in the third person plural of the aorist</w:t>
      </w:r>
      <w:r w:rsidR="00091C28">
        <w:rPr>
          <w:rFonts w:ascii="Times New Roman" w:eastAsia="Calibri" w:hAnsi="Times New Roman" w:cs="Times New Roman"/>
          <w:sz w:val="24"/>
          <w:szCs w:val="24"/>
          <w:lang w:val="en"/>
        </w:rPr>
        <w:t>. However, there were</w:t>
      </w:r>
      <w:r w:rsidRPr="009A2C96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notable </w:t>
      </w:r>
      <w:r w:rsidR="00091C28">
        <w:rPr>
          <w:rFonts w:ascii="Times New Roman" w:eastAsia="Calibri" w:hAnsi="Times New Roman" w:cs="Times New Roman"/>
          <w:sz w:val="24"/>
          <w:szCs w:val="24"/>
          <w:lang w:val="en"/>
        </w:rPr>
        <w:t>divergences</w:t>
      </w:r>
      <w:r w:rsidRPr="009A2C96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and a </w:t>
      </w:r>
      <w:r w:rsidR="00091C28">
        <w:rPr>
          <w:rFonts w:ascii="Times New Roman" w:eastAsia="Calibri" w:hAnsi="Times New Roman" w:cs="Times New Roman"/>
          <w:sz w:val="24"/>
          <w:szCs w:val="24"/>
          <w:lang w:val="en"/>
        </w:rPr>
        <w:t xml:space="preserve">distinct lack of </w:t>
      </w:r>
      <w:r w:rsidRPr="009A2C96">
        <w:rPr>
          <w:rFonts w:ascii="Times New Roman" w:eastAsia="Calibri" w:hAnsi="Times New Roman" w:cs="Times New Roman"/>
          <w:sz w:val="24"/>
          <w:szCs w:val="24"/>
          <w:lang w:val="en"/>
        </w:rPr>
        <w:t>consensus among</w:t>
      </w:r>
      <w:r w:rsidR="00091C28">
        <w:rPr>
          <w:rFonts w:ascii="Times New Roman" w:eastAsia="Calibri" w:hAnsi="Times New Roman" w:cs="Times New Roman"/>
          <w:sz w:val="24"/>
          <w:szCs w:val="24"/>
          <w:lang w:val="en"/>
        </w:rPr>
        <w:t xml:space="preserve">st </w:t>
      </w:r>
      <w:r w:rsidRPr="009A2C96">
        <w:rPr>
          <w:rFonts w:ascii="Times New Roman" w:eastAsia="Calibri" w:hAnsi="Times New Roman" w:cs="Times New Roman"/>
          <w:sz w:val="24"/>
          <w:szCs w:val="24"/>
          <w:lang w:val="en"/>
        </w:rPr>
        <w:t>authors.</w:t>
      </w:r>
      <w:r w:rsidR="00091C28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The aim of this study is to undertake</w:t>
      </w:r>
      <w:r w:rsidR="00091C28" w:rsidRPr="00091C28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a survey of the use of these endings</w:t>
      </w:r>
      <w:r w:rsidR="003465F6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by</w:t>
      </w:r>
      <w:r w:rsidR="003465F6" w:rsidRPr="003465F6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r w:rsidR="003465F6" w:rsidRPr="00091C28">
        <w:rPr>
          <w:rFonts w:ascii="Times New Roman" w:eastAsia="Calibri" w:hAnsi="Times New Roman" w:cs="Times New Roman"/>
          <w:sz w:val="24"/>
          <w:szCs w:val="24"/>
          <w:lang w:val="en"/>
        </w:rPr>
        <w:t>authors of the mid and late</w:t>
      </w:r>
      <w:r w:rsidR="003F0EF0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r w:rsidR="003465F6" w:rsidRPr="00091C28">
        <w:rPr>
          <w:rFonts w:ascii="Times New Roman" w:eastAsia="Calibri" w:hAnsi="Times New Roman" w:cs="Times New Roman"/>
          <w:sz w:val="24"/>
          <w:szCs w:val="24"/>
          <w:lang w:val="en"/>
        </w:rPr>
        <w:t>Byzantine age</w:t>
      </w:r>
      <w:r w:rsidR="003465F6">
        <w:rPr>
          <w:rFonts w:ascii="Times New Roman" w:eastAsia="Calibri" w:hAnsi="Times New Roman" w:cs="Times New Roman"/>
          <w:sz w:val="24"/>
          <w:szCs w:val="24"/>
          <w:lang w:val="en"/>
        </w:rPr>
        <w:t>,</w:t>
      </w:r>
      <w:r w:rsidR="00091C28" w:rsidRPr="00091C28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r w:rsidR="00091C28">
        <w:rPr>
          <w:rFonts w:ascii="Times New Roman" w:eastAsia="Calibri" w:hAnsi="Times New Roman" w:cs="Times New Roman"/>
          <w:sz w:val="24"/>
          <w:szCs w:val="24"/>
          <w:lang w:val="en"/>
        </w:rPr>
        <w:t>principally</w:t>
      </w:r>
      <w:r w:rsidR="00091C28" w:rsidRPr="00091C28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in poetry and literary prose, </w:t>
      </w:r>
      <w:r w:rsidR="00091C28">
        <w:rPr>
          <w:rFonts w:ascii="Times New Roman" w:eastAsia="Calibri" w:hAnsi="Times New Roman" w:cs="Times New Roman"/>
          <w:sz w:val="24"/>
          <w:szCs w:val="24"/>
          <w:lang w:val="en"/>
        </w:rPr>
        <w:t xml:space="preserve">in order </w:t>
      </w:r>
      <w:r w:rsidR="00091C28" w:rsidRPr="00091C28">
        <w:rPr>
          <w:rFonts w:ascii="Times New Roman" w:eastAsia="Calibri" w:hAnsi="Times New Roman" w:cs="Times New Roman"/>
          <w:sz w:val="24"/>
          <w:szCs w:val="24"/>
          <w:lang w:val="en"/>
        </w:rPr>
        <w:t xml:space="preserve">to </w:t>
      </w:r>
      <w:r w:rsidR="00091C28">
        <w:rPr>
          <w:rFonts w:ascii="Times New Roman" w:eastAsia="Calibri" w:hAnsi="Times New Roman" w:cs="Times New Roman"/>
          <w:sz w:val="24"/>
          <w:szCs w:val="24"/>
          <w:lang w:val="en"/>
        </w:rPr>
        <w:t xml:space="preserve">decipher </w:t>
      </w:r>
      <w:r w:rsidR="00091C28" w:rsidRPr="00091C28">
        <w:rPr>
          <w:rFonts w:ascii="Times New Roman" w:eastAsia="Calibri" w:hAnsi="Times New Roman" w:cs="Times New Roman"/>
          <w:sz w:val="24"/>
          <w:szCs w:val="24"/>
          <w:lang w:val="en"/>
        </w:rPr>
        <w:t xml:space="preserve">stylistic preferences and </w:t>
      </w:r>
      <w:r w:rsidR="003465F6">
        <w:rPr>
          <w:rFonts w:ascii="Times New Roman" w:eastAsia="Calibri" w:hAnsi="Times New Roman" w:cs="Times New Roman"/>
          <w:sz w:val="24"/>
          <w:szCs w:val="24"/>
          <w:lang w:val="en"/>
        </w:rPr>
        <w:t>variations in</w:t>
      </w:r>
      <w:r w:rsidR="006C5C1B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r w:rsidR="00136CF5">
        <w:rPr>
          <w:rFonts w:ascii="Times New Roman" w:eastAsia="Calibri" w:hAnsi="Times New Roman" w:cs="Times New Roman"/>
          <w:sz w:val="24"/>
          <w:szCs w:val="24"/>
          <w:lang w:val="en"/>
        </w:rPr>
        <w:t xml:space="preserve">their </w:t>
      </w:r>
      <w:r w:rsidR="003465F6">
        <w:rPr>
          <w:rFonts w:ascii="Times New Roman" w:eastAsia="Calibri" w:hAnsi="Times New Roman" w:cs="Times New Roman"/>
          <w:sz w:val="24"/>
          <w:szCs w:val="24"/>
          <w:lang w:val="en"/>
        </w:rPr>
        <w:t>perception of</w:t>
      </w:r>
      <w:r w:rsidR="00091C28" w:rsidRPr="00091C28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r w:rsidR="003465F6">
        <w:rPr>
          <w:rFonts w:ascii="Times New Roman" w:eastAsia="Calibri" w:hAnsi="Times New Roman" w:cs="Times New Roman"/>
          <w:sz w:val="24"/>
          <w:szCs w:val="24"/>
          <w:lang w:val="en"/>
        </w:rPr>
        <w:t>linguistic</w:t>
      </w:r>
      <w:r w:rsidR="00091C28" w:rsidRPr="00091C28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correctness.</w:t>
      </w:r>
      <w:r w:rsidR="00783BF6">
        <w:rPr>
          <w:rFonts w:ascii="Times New Roman" w:eastAsia="STCaiyun" w:hAnsi="Times New Roman" w:cs="Times New Roman"/>
          <w:b/>
          <w:bCs/>
          <w:sz w:val="24"/>
          <w:szCs w:val="24"/>
        </w:rPr>
        <w:t xml:space="preserve"> </w:t>
      </w:r>
    </w:p>
    <w:sectPr w:rsidR="00C25B12" w:rsidRPr="003F0E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sarah bercusson" w:date="2020-11-25T20:42:00Z" w:initials="sb">
    <w:p w14:paraId="4484F25E" w14:textId="05F4E30A" w:rsidR="006858C5" w:rsidRDefault="006858C5">
      <w:pPr>
        <w:pStyle w:val="CommentText"/>
      </w:pPr>
      <w:r>
        <w:rPr>
          <w:rStyle w:val="CommentReference"/>
        </w:rPr>
        <w:annotationRef/>
      </w:r>
      <w:r w:rsidR="006D6FCF">
        <w:t>Suggerirei di sostituire questa frase con</w:t>
      </w:r>
      <w:r>
        <w:t>: “Several recent studies have examined the polymorphic nature of verb endings found in many medieval Greek tenses.”</w:t>
      </w:r>
    </w:p>
  </w:comment>
  <w:comment w:id="1" w:author="sarah bercusson" w:date="2020-11-26T17:57:00Z" w:initials="sb">
    <w:p w14:paraId="0991A886" w14:textId="459C0236" w:rsidR="00783BF6" w:rsidRDefault="00783BF6">
      <w:pPr>
        <w:pStyle w:val="CommentText"/>
      </w:pPr>
      <w:r>
        <w:rPr>
          <w:rStyle w:val="CommentReference"/>
        </w:rPr>
        <w:annotationRef/>
      </w:r>
      <w:r>
        <w:t xml:space="preserve">Ho tradotto ‘medio’ come ‘informal’. Non sono sicura se questo </w:t>
      </w:r>
      <w:r>
        <w:rPr>
          <w:rFonts w:cstheme="minorHAnsi"/>
        </w:rPr>
        <w:t>è</w:t>
      </w:r>
      <w:r>
        <w:t xml:space="preserve"> quello che vuoi dire.</w:t>
      </w:r>
      <w:r w:rsidR="00FA60C3">
        <w:t xml:space="preserve"> Inoltre non so se vuoi includere ‘sociolinguistic’ oppure se </w:t>
      </w:r>
      <w:r w:rsidR="00FA60C3">
        <w:rPr>
          <w:rFonts w:cstheme="minorHAnsi"/>
        </w:rPr>
        <w:t>è</w:t>
      </w:r>
      <w:r w:rsidR="00FA60C3">
        <w:t xml:space="preserve"> ridondante.</w:t>
      </w:r>
    </w:p>
  </w:comment>
  <w:comment w:id="2" w:author="sarah bercusson" w:date="2020-11-26T15:10:00Z" w:initials="sb">
    <w:p w14:paraId="1EB69967" w14:textId="450AD052" w:rsidR="006D6FCF" w:rsidRDefault="006D6FCF">
      <w:pPr>
        <w:pStyle w:val="CommentText"/>
      </w:pPr>
      <w:r>
        <w:rPr>
          <w:rStyle w:val="CommentReference"/>
        </w:rPr>
        <w:annotationRef/>
      </w:r>
      <w:r>
        <w:t>Non sono molto chiara sul significato di KNE.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484F25E" w15:done="0"/>
  <w15:commentEx w15:paraId="0991A886" w15:done="0"/>
  <w15:commentEx w15:paraId="1EB6996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94022" w16cex:dateUtc="2020-11-26T04:42:00Z"/>
  <w16cex:commentExtensible w16cex:durableId="236A6B15" w16cex:dateUtc="2020-11-27T01:57:00Z"/>
  <w16cex:commentExtensible w16cex:durableId="236A43CE" w16cex:dateUtc="2020-11-26T23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484F25E" w16cid:durableId="23694022"/>
  <w16cid:commentId w16cid:paraId="0991A886" w16cid:durableId="236A6B15"/>
  <w16cid:commentId w16cid:paraId="1EB69967" w16cid:durableId="236A43C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Caiyun">
    <w:charset w:val="86"/>
    <w:family w:val="auto"/>
    <w:pitch w:val="variable"/>
    <w:sig w:usb0="00000003" w:usb1="38CF00F8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arah bercusson">
    <w15:presenceInfo w15:providerId="Windows Live" w15:userId="150f15c2746f93f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12"/>
    <w:rsid w:val="00055E4A"/>
    <w:rsid w:val="00091C28"/>
    <w:rsid w:val="000B065C"/>
    <w:rsid w:val="00136340"/>
    <w:rsid w:val="00136CF5"/>
    <w:rsid w:val="00143333"/>
    <w:rsid w:val="00171447"/>
    <w:rsid w:val="001D3908"/>
    <w:rsid w:val="003465F6"/>
    <w:rsid w:val="003F0EF0"/>
    <w:rsid w:val="005955F3"/>
    <w:rsid w:val="006858C5"/>
    <w:rsid w:val="006B6033"/>
    <w:rsid w:val="006C5C1B"/>
    <w:rsid w:val="006D6FCF"/>
    <w:rsid w:val="00783BF6"/>
    <w:rsid w:val="00794D52"/>
    <w:rsid w:val="00874F79"/>
    <w:rsid w:val="008C58AC"/>
    <w:rsid w:val="009729F9"/>
    <w:rsid w:val="009A2C96"/>
    <w:rsid w:val="009C48CC"/>
    <w:rsid w:val="00A210F9"/>
    <w:rsid w:val="00C1560A"/>
    <w:rsid w:val="00C25B12"/>
    <w:rsid w:val="00CE0368"/>
    <w:rsid w:val="00E01C2F"/>
    <w:rsid w:val="00EF53FD"/>
    <w:rsid w:val="00F065FB"/>
    <w:rsid w:val="00F4053A"/>
    <w:rsid w:val="00F461A1"/>
    <w:rsid w:val="00FA60C3"/>
    <w:rsid w:val="00FD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01800"/>
  <w15:chartTrackingRefBased/>
  <w15:docId w15:val="{EB45F446-7701-4DC3-A92F-893E37C7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858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8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8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8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8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bercusson</dc:creator>
  <cp:keywords/>
  <dc:description/>
  <cp:lastModifiedBy>sarah bercusson</cp:lastModifiedBy>
  <cp:revision>11</cp:revision>
  <dcterms:created xsi:type="dcterms:W3CDTF">2020-11-27T02:31:00Z</dcterms:created>
  <dcterms:modified xsi:type="dcterms:W3CDTF">2020-11-27T03:23:00Z</dcterms:modified>
</cp:coreProperties>
</file>