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AA8BE" w14:textId="77777777" w:rsidR="00713DF4" w:rsidRPr="00A45399" w:rsidRDefault="00713DF4" w:rsidP="002C0322">
      <w:pPr>
        <w:spacing w:line="360" w:lineRule="auto"/>
        <w:ind w:firstLine="0"/>
        <w:rPr>
          <w:sz w:val="28"/>
          <w:szCs w:val="28"/>
          <w:u w:val="single"/>
        </w:rPr>
      </w:pPr>
      <w:bookmarkStart w:id="0" w:name="_GoBack"/>
      <w:r w:rsidRPr="00A45399">
        <w:rPr>
          <w:sz w:val="28"/>
          <w:szCs w:val="28"/>
          <w:u w:val="single"/>
        </w:rPr>
        <w:t>Abstract</w:t>
      </w:r>
    </w:p>
    <w:p w14:paraId="17D87EFB" w14:textId="77777777" w:rsidR="00713DF4" w:rsidRPr="00A45399" w:rsidRDefault="00713DF4" w:rsidP="002C0322">
      <w:pPr>
        <w:spacing w:line="360" w:lineRule="auto"/>
        <w:ind w:firstLine="0"/>
        <w:rPr>
          <w:sz w:val="28"/>
          <w:szCs w:val="28"/>
          <w:u w:val="single"/>
        </w:rPr>
      </w:pPr>
    </w:p>
    <w:p w14:paraId="06424C91" w14:textId="77777777" w:rsidR="00E633D7" w:rsidRPr="00A45399" w:rsidRDefault="00713DF4" w:rsidP="002C0322">
      <w:pPr>
        <w:spacing w:line="360" w:lineRule="auto"/>
        <w:ind w:firstLine="0"/>
        <w:rPr>
          <w:u w:val="single"/>
        </w:rPr>
      </w:pPr>
      <w:r w:rsidRPr="00A45399">
        <w:rPr>
          <w:u w:val="single"/>
        </w:rPr>
        <w:t>Chapter One – Introduction</w:t>
      </w:r>
    </w:p>
    <w:p w14:paraId="3C8CBE8B" w14:textId="66A65D6A" w:rsidR="002F3743" w:rsidRPr="00A45399" w:rsidRDefault="001E240E" w:rsidP="002C0322">
      <w:pPr>
        <w:spacing w:line="360" w:lineRule="auto"/>
        <w:ind w:firstLine="0"/>
      </w:pPr>
      <w:r w:rsidRPr="00A45399">
        <w:t xml:space="preserve">The </w:t>
      </w:r>
      <w:r w:rsidR="00FB6D48" w:rsidRPr="00A45399">
        <w:t>topic</w:t>
      </w:r>
      <w:r w:rsidRPr="00A45399">
        <w:t xml:space="preserve"> of this </w:t>
      </w:r>
      <w:r w:rsidR="00EE6DB6" w:rsidRPr="00A45399">
        <w:t>thesis</w:t>
      </w:r>
      <w:r w:rsidRPr="00A45399">
        <w:t xml:space="preserve"> is </w:t>
      </w:r>
      <w:r w:rsidR="00FB6D48" w:rsidRPr="00A45399">
        <w:t>a</w:t>
      </w:r>
      <w:r w:rsidRPr="00A45399">
        <w:t xml:space="preserve"> midrash entitled </w:t>
      </w:r>
      <w:r w:rsidR="00EE6DB6" w:rsidRPr="00A45399">
        <w:rPr>
          <w:i/>
          <w:iCs/>
        </w:rPr>
        <w:t>Shir HaShirim</w:t>
      </w:r>
      <w:r w:rsidRPr="00A45399">
        <w:rPr>
          <w:i/>
          <w:iCs/>
        </w:rPr>
        <w:t xml:space="preserve"> Zut</w:t>
      </w:r>
      <w:r w:rsidR="003134B3" w:rsidRPr="00A45399">
        <w:rPr>
          <w:i/>
          <w:iCs/>
        </w:rPr>
        <w:t>t</w:t>
      </w:r>
      <w:r w:rsidRPr="00A45399">
        <w:rPr>
          <w:i/>
          <w:iCs/>
        </w:rPr>
        <w:t>a</w:t>
      </w:r>
      <w:r w:rsidR="003134B3" w:rsidRPr="00A45399">
        <w:rPr>
          <w:i/>
          <w:iCs/>
        </w:rPr>
        <w:t>h</w:t>
      </w:r>
      <w:r w:rsidRPr="00A45399">
        <w:t xml:space="preserve">. </w:t>
      </w:r>
      <w:r w:rsidR="00B36A6A" w:rsidRPr="00A45399">
        <w:t>The</w:t>
      </w:r>
      <w:r w:rsidR="00FB6D48" w:rsidRPr="00A45399">
        <w:t xml:space="preserve"> text was available </w:t>
      </w:r>
      <w:r w:rsidR="00F2034C" w:rsidRPr="00A45399">
        <w:t>only</w:t>
      </w:r>
      <w:r w:rsidR="00CA5C55" w:rsidRPr="00A45399">
        <w:t xml:space="preserve"> </w:t>
      </w:r>
      <w:r w:rsidR="00B36A6A" w:rsidRPr="00A45399">
        <w:t>as</w:t>
      </w:r>
      <w:r w:rsidR="00F2034C" w:rsidRPr="00A45399">
        <w:t xml:space="preserve"> a</w:t>
      </w:r>
      <w:r w:rsidR="00B36A6A" w:rsidRPr="00A45399">
        <w:t xml:space="preserve"> handwritten</w:t>
      </w:r>
      <w:r w:rsidR="00FB6D48" w:rsidRPr="00A45399">
        <w:t xml:space="preserve"> manuscript until the end of the nineteenth century </w:t>
      </w:r>
      <w:r w:rsidR="00CA5C55" w:rsidRPr="00A45399">
        <w:t xml:space="preserve">when it was first </w:t>
      </w:r>
      <w:r w:rsidR="00B36A6A" w:rsidRPr="00A45399">
        <w:t>printed</w:t>
      </w:r>
      <w:r w:rsidR="00893D5C" w:rsidRPr="00A45399">
        <w:t>.</w:t>
      </w:r>
      <w:r w:rsidR="00B36A6A" w:rsidRPr="00A45399">
        <w:t xml:space="preserve"> </w:t>
      </w:r>
      <w:r w:rsidR="00893D5C" w:rsidRPr="00A45399">
        <w:t xml:space="preserve">Two </w:t>
      </w:r>
      <w:r w:rsidR="005B6919" w:rsidRPr="00A45399">
        <w:t xml:space="preserve">additional </w:t>
      </w:r>
      <w:r w:rsidR="009159F6" w:rsidRPr="00A45399">
        <w:t xml:space="preserve">printed </w:t>
      </w:r>
      <w:r w:rsidR="005B6919" w:rsidRPr="00A45399">
        <w:t xml:space="preserve">editions, also copied from the original manuscript, were published in the same </w:t>
      </w:r>
      <w:commentRangeStart w:id="1"/>
      <w:r w:rsidR="005B6919" w:rsidRPr="00A45399">
        <w:t>year</w:t>
      </w:r>
      <w:commentRangeEnd w:id="1"/>
      <w:r w:rsidR="009159F6" w:rsidRPr="00A45399">
        <w:rPr>
          <w:rStyle w:val="CommentReference"/>
        </w:rPr>
        <w:commentReference w:id="1"/>
      </w:r>
      <w:r w:rsidR="005B6919" w:rsidRPr="00A45399">
        <w:t xml:space="preserve">. These </w:t>
      </w:r>
      <w:r w:rsidR="000C0AF3" w:rsidRPr="00A45399">
        <w:t xml:space="preserve">three </w:t>
      </w:r>
      <w:r w:rsidR="00F2034C" w:rsidRPr="00A45399">
        <w:t>editions</w:t>
      </w:r>
      <w:r w:rsidR="000C0AF3" w:rsidRPr="00A45399">
        <w:t xml:space="preserve"> constitute the principal studies </w:t>
      </w:r>
      <w:r w:rsidR="00F2034C" w:rsidRPr="00A45399">
        <w:t>o</w:t>
      </w:r>
      <w:r w:rsidR="009C75DA">
        <w:t>n</w:t>
      </w:r>
      <w:r w:rsidR="00F2034C" w:rsidRPr="00A45399">
        <w:t xml:space="preserve"> </w:t>
      </w:r>
      <w:r w:rsidR="00F2034C" w:rsidRPr="00A45399">
        <w:rPr>
          <w:i/>
          <w:iCs/>
        </w:rPr>
        <w:t>Shir HaShirim Zuttah</w:t>
      </w:r>
      <w:r w:rsidR="00F2034C" w:rsidRPr="00A45399">
        <w:t xml:space="preserve"> to date.</w:t>
      </w:r>
      <w:r w:rsidR="009A39D0">
        <w:t xml:space="preserve"> </w:t>
      </w:r>
    </w:p>
    <w:p w14:paraId="3880158B" w14:textId="55C3331D" w:rsidR="00EE6DB6" w:rsidRPr="00A45399" w:rsidRDefault="00B36A6A" w:rsidP="002C0322">
      <w:pPr>
        <w:spacing w:line="360" w:lineRule="auto"/>
        <w:ind w:firstLine="0"/>
      </w:pPr>
      <w:r w:rsidRPr="00A45399">
        <w:t xml:space="preserve"> </w:t>
      </w:r>
    </w:p>
    <w:p w14:paraId="09C32FE1" w14:textId="594F72EE" w:rsidR="00D61F0D" w:rsidRPr="00A45399" w:rsidRDefault="00827AFC" w:rsidP="00B615C2">
      <w:pPr>
        <w:spacing w:after="240" w:line="360" w:lineRule="auto"/>
        <w:ind w:firstLine="0"/>
      </w:pPr>
      <w:r w:rsidRPr="00A45399">
        <w:t>In 1894, Solomon Buber publis</w:t>
      </w:r>
      <w:r w:rsidR="009159F6" w:rsidRPr="00A45399">
        <w:t xml:space="preserve">hed an edition of </w:t>
      </w:r>
      <w:r w:rsidRPr="00A45399">
        <w:t xml:space="preserve">midrashim for four out of the five </w:t>
      </w:r>
      <w:r w:rsidR="007940BF" w:rsidRPr="007940BF">
        <w:t>scrolls</w:t>
      </w:r>
      <w:r w:rsidRPr="00A45399">
        <w:t xml:space="preserve"> (</w:t>
      </w:r>
      <w:r w:rsidR="00E00EFA" w:rsidRPr="00002929">
        <w:t>Canticles</w:t>
      </w:r>
      <w:r w:rsidR="008878DB" w:rsidRPr="00A45399">
        <w:t xml:space="preserve">, </w:t>
      </w:r>
      <w:r w:rsidR="008878DB" w:rsidRPr="00002929">
        <w:t>Ruth</w:t>
      </w:r>
      <w:r w:rsidR="008878DB" w:rsidRPr="00A45399">
        <w:t xml:space="preserve">, </w:t>
      </w:r>
      <w:r w:rsidR="008878DB" w:rsidRPr="00002929">
        <w:t>Lamentations</w:t>
      </w:r>
      <w:r w:rsidR="008878DB" w:rsidRPr="00A45399">
        <w:t xml:space="preserve"> and </w:t>
      </w:r>
      <w:r w:rsidR="008878DB" w:rsidRPr="00002929">
        <w:t>Ecclesiastes</w:t>
      </w:r>
      <w:r w:rsidR="008878DB" w:rsidRPr="00A45399">
        <w:t>)</w:t>
      </w:r>
      <w:r w:rsidR="00EE6DB6" w:rsidRPr="00A45399">
        <w:t xml:space="preserve">. The </w:t>
      </w:r>
      <w:r w:rsidR="007940BF" w:rsidRPr="007940BF">
        <w:t>scrolls</w:t>
      </w:r>
      <w:r w:rsidR="00EE6DB6" w:rsidRPr="00A45399">
        <w:t xml:space="preserve"> were hand copied for Buber at the </w:t>
      </w:r>
      <w:r w:rsidR="004658C9" w:rsidRPr="00A45399">
        <w:t xml:space="preserve">Biblioteca </w:t>
      </w:r>
      <w:commentRangeStart w:id="2"/>
      <w:r w:rsidR="004658C9" w:rsidRPr="00A45399">
        <w:t>Palatina</w:t>
      </w:r>
      <w:commentRangeEnd w:id="2"/>
      <w:r w:rsidR="004658C9" w:rsidRPr="00A45399">
        <w:rPr>
          <w:rStyle w:val="CommentReference"/>
        </w:rPr>
        <w:commentReference w:id="2"/>
      </w:r>
      <w:r w:rsidR="00EE6DB6" w:rsidRPr="00A45399">
        <w:t xml:space="preserve"> in Parma, Italy.</w:t>
      </w:r>
      <w:r w:rsidR="002C0322" w:rsidRPr="00A45399">
        <w:t xml:space="preserve"> </w:t>
      </w:r>
      <w:r w:rsidR="003C5621" w:rsidRPr="00A45399">
        <w:t>B</w:t>
      </w:r>
      <w:r w:rsidR="00B53F1B" w:rsidRPr="00A45399">
        <w:t xml:space="preserve">uber </w:t>
      </w:r>
      <w:r w:rsidR="00CB6C20" w:rsidRPr="00A45399">
        <w:t>named</w:t>
      </w:r>
      <w:r w:rsidR="00B53F1B" w:rsidRPr="00A45399">
        <w:t xml:space="preserve"> th</w:t>
      </w:r>
      <w:r w:rsidR="00151D6E" w:rsidRPr="00A45399">
        <w:t xml:space="preserve">is collection </w:t>
      </w:r>
      <w:r w:rsidR="00B53F1B" w:rsidRPr="00A45399">
        <w:rPr>
          <w:i/>
          <w:iCs/>
        </w:rPr>
        <w:t>Midrash Zut</w:t>
      </w:r>
      <w:r w:rsidR="00151D6E" w:rsidRPr="00A45399">
        <w:rPr>
          <w:i/>
          <w:iCs/>
        </w:rPr>
        <w:t>ta</w:t>
      </w:r>
      <w:r w:rsidR="003134B3" w:rsidRPr="00A45399">
        <w:rPr>
          <w:i/>
          <w:iCs/>
        </w:rPr>
        <w:t>h</w:t>
      </w:r>
      <w:r w:rsidR="00B53F1B" w:rsidRPr="00A45399">
        <w:t xml:space="preserve">, </w:t>
      </w:r>
      <w:r w:rsidR="007659BB">
        <w:t>to distinguish them from</w:t>
      </w:r>
      <w:r w:rsidR="00B53F1B" w:rsidRPr="00A45399">
        <w:t xml:space="preserve"> </w:t>
      </w:r>
      <w:r w:rsidR="00B53F1B" w:rsidRPr="00A45399">
        <w:rPr>
          <w:i/>
          <w:iCs/>
        </w:rPr>
        <w:t>Midrash Rabbah</w:t>
      </w:r>
      <w:r w:rsidR="00B53F1B" w:rsidRPr="00A45399">
        <w:t xml:space="preserve">. In his introduction, Buber </w:t>
      </w:r>
      <w:r w:rsidR="00614411" w:rsidRPr="00A45399">
        <w:t xml:space="preserve">acknowledges </w:t>
      </w:r>
      <w:r w:rsidR="00AE6E41" w:rsidRPr="00A45399">
        <w:t>employing editorial practices identical to those</w:t>
      </w:r>
      <w:r w:rsidR="00AF1A7A" w:rsidRPr="00A45399">
        <w:t xml:space="preserve"> applied in his previous editions of midrashi</w:t>
      </w:r>
      <w:r w:rsidR="007940BF">
        <w:t>m</w:t>
      </w:r>
      <w:r w:rsidR="00AF1A7A" w:rsidRPr="00A45399">
        <w:t xml:space="preserve">: </w:t>
      </w:r>
      <w:r w:rsidR="00876A52" w:rsidRPr="00A45399">
        <w:t xml:space="preserve">he </w:t>
      </w:r>
      <w:r w:rsidR="00AF1A7A" w:rsidRPr="00A45399">
        <w:t>proofread</w:t>
      </w:r>
      <w:r w:rsidR="00876A52" w:rsidRPr="00A45399">
        <w:t xml:space="preserve"> </w:t>
      </w:r>
      <w:r w:rsidR="00B53F1B" w:rsidRPr="00A45399">
        <w:t xml:space="preserve">the manuscript, </w:t>
      </w:r>
      <w:r w:rsidR="00876A52" w:rsidRPr="00A45399">
        <w:t>corrected spelling and grammatical errors</w:t>
      </w:r>
      <w:r w:rsidR="00B53F1B" w:rsidRPr="00A45399">
        <w:t xml:space="preserve">, </w:t>
      </w:r>
      <w:r w:rsidR="00876A52" w:rsidRPr="00A45399">
        <w:t>composed an</w:t>
      </w:r>
      <w:r w:rsidR="00B53F1B" w:rsidRPr="00A45399">
        <w:t xml:space="preserve"> introduction</w:t>
      </w:r>
      <w:r w:rsidR="00876A52" w:rsidRPr="00A45399">
        <w:t xml:space="preserve">, </w:t>
      </w:r>
      <w:r w:rsidR="005F70E9" w:rsidRPr="00A45399">
        <w:t xml:space="preserve">and </w:t>
      </w:r>
      <w:r w:rsidR="00876A52" w:rsidRPr="00A45399">
        <w:t>wrote commentary</w:t>
      </w:r>
      <w:r w:rsidR="00B53F1B" w:rsidRPr="00A45399">
        <w:t xml:space="preserve"> and footnotes. The first midrash in </w:t>
      </w:r>
      <w:r w:rsidR="00535AFD" w:rsidRPr="00A45399">
        <w:rPr>
          <w:i/>
          <w:iCs/>
        </w:rPr>
        <w:t>Midrash Zutta</w:t>
      </w:r>
      <w:r w:rsidR="003134B3" w:rsidRPr="00A45399">
        <w:rPr>
          <w:i/>
          <w:iCs/>
        </w:rPr>
        <w:t>h</w:t>
      </w:r>
      <w:r w:rsidR="00B53F1B" w:rsidRPr="00A45399">
        <w:t xml:space="preserve"> is </w:t>
      </w:r>
      <w:r w:rsidR="00B53F1B" w:rsidRPr="00A45399">
        <w:rPr>
          <w:i/>
          <w:iCs/>
        </w:rPr>
        <w:t>Shir HaShirim Zuttah</w:t>
      </w:r>
      <w:r w:rsidR="00535AFD" w:rsidRPr="00A45399">
        <w:t>. Buber’s</w:t>
      </w:r>
      <w:r w:rsidR="00B53F1B" w:rsidRPr="00A45399">
        <w:t xml:space="preserve"> edition was </w:t>
      </w:r>
      <w:r w:rsidR="00C82E66" w:rsidRPr="00A45399">
        <w:t xml:space="preserve">reprinted </w:t>
      </w:r>
      <w:r w:rsidR="00535AFD" w:rsidRPr="00A45399">
        <w:t>numerous</w:t>
      </w:r>
      <w:r w:rsidR="00C82E66" w:rsidRPr="00A45399">
        <w:t xml:space="preserve"> times, including in recent years. </w:t>
      </w:r>
    </w:p>
    <w:p w14:paraId="1C10C8A0" w14:textId="43927897" w:rsidR="00F51400" w:rsidRPr="00A45399" w:rsidRDefault="00C82E66" w:rsidP="002C0322">
      <w:pPr>
        <w:spacing w:line="360" w:lineRule="auto"/>
        <w:ind w:firstLine="0"/>
      </w:pPr>
      <w:r w:rsidRPr="00A45399">
        <w:t>Between 1</w:t>
      </w:r>
      <w:r w:rsidR="00AA1086">
        <w:t>89</w:t>
      </w:r>
      <w:r w:rsidRPr="00A45399">
        <w:t>4-1</w:t>
      </w:r>
      <w:r w:rsidR="00AA1086">
        <w:t>89</w:t>
      </w:r>
      <w:r w:rsidRPr="00A45399">
        <w:t>6</w:t>
      </w:r>
      <w:r w:rsidR="00D16F51" w:rsidRPr="00A45399">
        <w:t>,</w:t>
      </w:r>
      <w:r w:rsidRPr="00A45399">
        <w:t xml:space="preserve"> Solomon Schechter published </w:t>
      </w:r>
      <w:r w:rsidR="0050272E" w:rsidRPr="00A45399">
        <w:t xml:space="preserve">a serialized </w:t>
      </w:r>
      <w:r w:rsidRPr="00A45399">
        <w:t xml:space="preserve">edition </w:t>
      </w:r>
      <w:r w:rsidR="006B1083" w:rsidRPr="00A45399">
        <w:t xml:space="preserve">of the </w:t>
      </w:r>
      <w:r w:rsidR="00D16F51" w:rsidRPr="00A45399">
        <w:t xml:space="preserve">handwritten original manuscript of the </w:t>
      </w:r>
      <w:r w:rsidR="005F70E9" w:rsidRPr="00A45399">
        <w:t xml:space="preserve">midrash on </w:t>
      </w:r>
      <w:r w:rsidR="006B1083" w:rsidRPr="00A45399">
        <w:rPr>
          <w:i/>
          <w:iCs/>
        </w:rPr>
        <w:t>Shir HaShirim</w:t>
      </w:r>
      <w:r w:rsidR="006B1083" w:rsidRPr="00A45399">
        <w:t xml:space="preserve"> </w:t>
      </w:r>
      <w:r w:rsidRPr="00A45399">
        <w:t xml:space="preserve">in the Jewish Quarterly </w:t>
      </w:r>
      <w:commentRangeStart w:id="3"/>
      <w:r w:rsidRPr="00A45399">
        <w:t>Review</w:t>
      </w:r>
      <w:commentRangeEnd w:id="3"/>
      <w:r w:rsidR="006B1083" w:rsidRPr="00A45399">
        <w:rPr>
          <w:rStyle w:val="CommentReference"/>
        </w:rPr>
        <w:commentReference w:id="3"/>
      </w:r>
      <w:r w:rsidR="00D16F51" w:rsidRPr="00A45399">
        <w:t>. In 1</w:t>
      </w:r>
      <w:r w:rsidR="00307AD2">
        <w:t>896</w:t>
      </w:r>
      <w:r w:rsidR="00D16F51" w:rsidRPr="00A45399">
        <w:t xml:space="preserve">, the </w:t>
      </w:r>
      <w:r w:rsidR="00751EDC" w:rsidRPr="00A45399">
        <w:t>segments were consolidated and published in book form.</w:t>
      </w:r>
      <w:r w:rsidR="00B51DAB" w:rsidRPr="00A45399">
        <w:t xml:space="preserve"> </w:t>
      </w:r>
      <w:r w:rsidR="007268C8" w:rsidRPr="00A45399">
        <w:t xml:space="preserve">In his edition, which </w:t>
      </w:r>
      <w:r w:rsidR="00863781">
        <w:t>he</w:t>
      </w:r>
      <w:r w:rsidR="007268C8" w:rsidRPr="00A45399">
        <w:t xml:space="preserve"> named </w:t>
      </w:r>
      <w:r w:rsidR="005F70E9" w:rsidRPr="00A45399">
        <w:rPr>
          <w:i/>
          <w:iCs/>
        </w:rPr>
        <w:t>Agad</w:t>
      </w:r>
      <w:r w:rsidR="00C368B4">
        <w:rPr>
          <w:i/>
          <w:iCs/>
        </w:rPr>
        <w:t>d</w:t>
      </w:r>
      <w:r w:rsidR="005F70E9" w:rsidRPr="00A45399">
        <w:rPr>
          <w:i/>
          <w:iCs/>
        </w:rPr>
        <w:t>at Shir HaShirim</w:t>
      </w:r>
      <w:r w:rsidR="00B51DAB" w:rsidRPr="00A45399">
        <w:t xml:space="preserve">, </w:t>
      </w:r>
      <w:r w:rsidR="007268C8" w:rsidRPr="00A45399">
        <w:t xml:space="preserve">Schechter </w:t>
      </w:r>
      <w:r w:rsidR="00751EDC" w:rsidRPr="00A45399">
        <w:t>included notes (</w:t>
      </w:r>
      <w:r w:rsidR="00966D50" w:rsidRPr="00A45399">
        <w:t>in English)</w:t>
      </w:r>
      <w:r w:rsidR="00D61F0D" w:rsidRPr="00A45399">
        <w:t>,</w:t>
      </w:r>
      <w:r w:rsidR="00966D50" w:rsidRPr="00A45399">
        <w:t xml:space="preserve"> corrections and </w:t>
      </w:r>
      <w:r w:rsidR="00751EDC" w:rsidRPr="00A45399">
        <w:t xml:space="preserve">cross </w:t>
      </w:r>
      <w:commentRangeStart w:id="4"/>
      <w:r w:rsidR="00751EDC" w:rsidRPr="00A45399">
        <w:t>references</w:t>
      </w:r>
      <w:commentRangeEnd w:id="4"/>
      <w:r w:rsidR="00751EDC" w:rsidRPr="00A45399">
        <w:rPr>
          <w:rStyle w:val="CommentReference"/>
        </w:rPr>
        <w:commentReference w:id="4"/>
      </w:r>
      <w:r w:rsidR="00863781">
        <w:t xml:space="preserve"> </w:t>
      </w:r>
      <w:r w:rsidR="00BE4CB7">
        <w:t>(</w:t>
      </w:r>
      <w:r w:rsidR="00863781">
        <w:t>parallels</w:t>
      </w:r>
      <w:r w:rsidR="00D0739B">
        <w:t>)</w:t>
      </w:r>
      <w:r w:rsidR="00751EDC" w:rsidRPr="00A45399">
        <w:t xml:space="preserve">. </w:t>
      </w:r>
      <w:r w:rsidR="00E83F11" w:rsidRPr="00A45399">
        <w:t>Schechter also attempted to date the composition of the original text</w:t>
      </w:r>
      <w:r w:rsidR="00716A84" w:rsidRPr="00A45399">
        <w:t xml:space="preserve">, </w:t>
      </w:r>
      <w:r w:rsidR="00B927C4">
        <w:t>and mentions</w:t>
      </w:r>
      <w:r w:rsidR="00716A84" w:rsidRPr="00A45399">
        <w:t xml:space="preserve"> an additional </w:t>
      </w:r>
      <w:r w:rsidR="007268C8" w:rsidRPr="00A45399">
        <w:t xml:space="preserve">manuscript, also from </w:t>
      </w:r>
      <w:commentRangeStart w:id="5"/>
      <w:r w:rsidR="007268C8" w:rsidRPr="00A45399">
        <w:t>Parma</w:t>
      </w:r>
      <w:commentRangeEnd w:id="5"/>
      <w:r w:rsidR="007268C8" w:rsidRPr="00A45399">
        <w:rPr>
          <w:rStyle w:val="CommentReference"/>
        </w:rPr>
        <w:commentReference w:id="5"/>
      </w:r>
      <w:r w:rsidR="007268C8" w:rsidRPr="00A45399">
        <w:t>.</w:t>
      </w:r>
    </w:p>
    <w:p w14:paraId="34D229A0" w14:textId="6804D29D" w:rsidR="00D61F0D" w:rsidRPr="00A45399" w:rsidRDefault="007268C8" w:rsidP="002C0322">
      <w:pPr>
        <w:spacing w:line="360" w:lineRule="auto"/>
        <w:ind w:firstLine="0"/>
      </w:pPr>
      <w:r w:rsidRPr="00A45399">
        <w:t xml:space="preserve"> </w:t>
      </w:r>
    </w:p>
    <w:p w14:paraId="6361B7FD" w14:textId="60C8782D" w:rsidR="00A20EA9" w:rsidRPr="00A45399" w:rsidRDefault="005B7069" w:rsidP="00B927C4">
      <w:pPr>
        <w:spacing w:line="360" w:lineRule="auto"/>
        <w:ind w:firstLine="0"/>
      </w:pPr>
      <w:r w:rsidRPr="00A45399">
        <w:t xml:space="preserve">During </w:t>
      </w:r>
      <w:r w:rsidR="00FF1049" w:rsidRPr="00A45399">
        <w:t>1895</w:t>
      </w:r>
      <w:r w:rsidRPr="00A45399">
        <w:t xml:space="preserve"> and 1</w:t>
      </w:r>
      <w:r w:rsidR="00715F09" w:rsidRPr="00A45399">
        <w:t>8</w:t>
      </w:r>
      <w:r w:rsidR="00C368B4">
        <w:t>9</w:t>
      </w:r>
      <w:r w:rsidR="00FF1049" w:rsidRPr="00A45399">
        <w:t>6</w:t>
      </w:r>
      <w:r w:rsidRPr="00A45399">
        <w:t>,</w:t>
      </w:r>
      <w:r w:rsidR="00FF1049" w:rsidRPr="00A45399">
        <w:t xml:space="preserve"> Schechter published two </w:t>
      </w:r>
      <w:r w:rsidR="008F2152" w:rsidRPr="00A45399">
        <w:t>articles</w:t>
      </w:r>
      <w:r w:rsidR="00FF1049" w:rsidRPr="00A45399">
        <w:t xml:space="preserve"> in which he </w:t>
      </w:r>
      <w:r w:rsidR="00B927C4">
        <w:t>fervently</w:t>
      </w:r>
      <w:r w:rsidR="00FF1049" w:rsidRPr="00A45399">
        <w:t xml:space="preserve"> criticized Buber’s </w:t>
      </w:r>
      <w:r w:rsidR="000A6766" w:rsidRPr="00A45399">
        <w:rPr>
          <w:i/>
          <w:iCs/>
        </w:rPr>
        <w:t>Midrash Zutta</w:t>
      </w:r>
      <w:r w:rsidR="003167F3" w:rsidRPr="00A45399">
        <w:rPr>
          <w:i/>
          <w:iCs/>
        </w:rPr>
        <w:t>h</w:t>
      </w:r>
      <w:r w:rsidR="00FF1049" w:rsidRPr="00A45399">
        <w:t xml:space="preserve">, </w:t>
      </w:r>
      <w:r w:rsidR="004F5E00" w:rsidRPr="00A45399">
        <w:t xml:space="preserve">particularly </w:t>
      </w:r>
      <w:r w:rsidR="00FF1049" w:rsidRPr="00A45399">
        <w:rPr>
          <w:i/>
          <w:iCs/>
        </w:rPr>
        <w:t>Shir HaShirim Zuttah</w:t>
      </w:r>
      <w:r w:rsidR="00FF1049" w:rsidRPr="00A45399">
        <w:t xml:space="preserve"> from which he </w:t>
      </w:r>
      <w:r w:rsidR="00660131" w:rsidRPr="00A45399">
        <w:t xml:space="preserve">drew </w:t>
      </w:r>
      <w:r w:rsidR="00FF1049" w:rsidRPr="00A45399">
        <w:t>examples</w:t>
      </w:r>
      <w:r w:rsidR="000A6766" w:rsidRPr="00A45399">
        <w:t xml:space="preserve"> to support his arguments. </w:t>
      </w:r>
      <w:r w:rsidR="004F5E00" w:rsidRPr="00A45399">
        <w:t xml:space="preserve">While </w:t>
      </w:r>
      <w:r w:rsidR="00660131" w:rsidRPr="00A45399">
        <w:t xml:space="preserve">Schechter’s claims </w:t>
      </w:r>
      <w:r w:rsidR="001C1C99" w:rsidRPr="00A45399">
        <w:t>were scholastically</w:t>
      </w:r>
      <w:r w:rsidR="00660131" w:rsidRPr="00A45399">
        <w:t xml:space="preserve"> pertinent</w:t>
      </w:r>
      <w:r w:rsidR="00037297" w:rsidRPr="00A45399">
        <w:t xml:space="preserve">, </w:t>
      </w:r>
      <w:r w:rsidR="001C1C99" w:rsidRPr="00A45399">
        <w:t>insolent</w:t>
      </w:r>
      <w:r w:rsidR="00660131" w:rsidRPr="00A45399">
        <w:t xml:space="preserve"> undertones in both articles </w:t>
      </w:r>
      <w:r w:rsidR="00893787" w:rsidRPr="00A45399">
        <w:t>suggested a personal attack on Buber.</w:t>
      </w:r>
      <w:r w:rsidR="002C0322" w:rsidRPr="00A45399">
        <w:t xml:space="preserve"> </w:t>
      </w:r>
      <w:r w:rsidR="00CB0F23" w:rsidRPr="00A45399">
        <w:t xml:space="preserve">In </w:t>
      </w:r>
      <w:r w:rsidR="00024162" w:rsidRPr="00A45399">
        <w:t>a letter</w:t>
      </w:r>
      <w:r w:rsidR="00D0739B">
        <w:t>, which I</w:t>
      </w:r>
      <w:r w:rsidR="00024162" w:rsidRPr="00A45399">
        <w:t xml:space="preserve"> discovered </w:t>
      </w:r>
      <w:r w:rsidR="00321663" w:rsidRPr="00A45399">
        <w:t>in the Buber</w:t>
      </w:r>
      <w:r w:rsidR="00CB0F23" w:rsidRPr="00A45399">
        <w:t xml:space="preserve"> Archive</w:t>
      </w:r>
      <w:r w:rsidR="002C0322" w:rsidRPr="00A45399">
        <w:t xml:space="preserve"> </w:t>
      </w:r>
      <w:r w:rsidR="00321663" w:rsidRPr="00A45399">
        <w:t>at the</w:t>
      </w:r>
      <w:r w:rsidR="00CB0F23" w:rsidRPr="00A45399">
        <w:t xml:space="preserve"> National Library</w:t>
      </w:r>
      <w:r w:rsidR="00321663" w:rsidRPr="00A45399">
        <w:t xml:space="preserve"> of </w:t>
      </w:r>
      <w:r w:rsidR="00F51400" w:rsidRPr="00A45399">
        <w:t>Israel, Buber</w:t>
      </w:r>
      <w:r w:rsidR="00321663" w:rsidRPr="00A45399">
        <w:t xml:space="preserve"> responds to Schechter’s </w:t>
      </w:r>
      <w:r w:rsidR="00E12BFB" w:rsidRPr="00A45399">
        <w:t xml:space="preserve">contentions; however, considering </w:t>
      </w:r>
      <w:r w:rsidR="00E12BFB" w:rsidRPr="00A45399">
        <w:lastRenderedPageBreak/>
        <w:t xml:space="preserve">that the identity of the addressee is unknown, </w:t>
      </w:r>
      <w:r w:rsidR="00D22EA0" w:rsidRPr="00A45399">
        <w:t>it is not clear</w:t>
      </w:r>
      <w:r w:rsidR="00E12BFB" w:rsidRPr="00A45399">
        <w:t xml:space="preserve"> </w:t>
      </w:r>
      <w:r w:rsidR="00E37F61" w:rsidRPr="00A45399">
        <w:t>whether</w:t>
      </w:r>
      <w:r w:rsidR="00E12BFB" w:rsidRPr="00A45399">
        <w:t xml:space="preserve"> Schechter </w:t>
      </w:r>
      <w:r w:rsidR="00B927C4">
        <w:t>r</w:t>
      </w:r>
      <w:r w:rsidR="00E12BFB" w:rsidRPr="00A45399">
        <w:t>eceived it.</w:t>
      </w:r>
      <w:r w:rsidR="002C0322" w:rsidRPr="00A45399">
        <w:t xml:space="preserve"> </w:t>
      </w:r>
    </w:p>
    <w:p w14:paraId="0D644D58" w14:textId="77777777" w:rsidR="00F51400" w:rsidRPr="00A45399" w:rsidRDefault="00F51400" w:rsidP="002C0322">
      <w:pPr>
        <w:spacing w:line="360" w:lineRule="auto"/>
        <w:ind w:firstLine="0"/>
      </w:pPr>
    </w:p>
    <w:p w14:paraId="36DC6018" w14:textId="0BDEFDC7" w:rsidR="004E6981" w:rsidRPr="00A45399" w:rsidRDefault="00CB0F23" w:rsidP="001931D3">
      <w:pPr>
        <w:spacing w:line="360" w:lineRule="auto"/>
        <w:ind w:firstLine="0"/>
      </w:pPr>
      <w:r w:rsidRPr="00A45399">
        <w:t xml:space="preserve">In 1977, </w:t>
      </w:r>
      <w:commentRangeStart w:id="6"/>
      <w:r w:rsidRPr="00A45399">
        <w:t>Rabinowitz</w:t>
      </w:r>
      <w:commentRangeEnd w:id="6"/>
      <w:r w:rsidR="00715F09" w:rsidRPr="00A45399">
        <w:rPr>
          <w:rStyle w:val="CommentReference"/>
        </w:rPr>
        <w:commentReference w:id="6"/>
      </w:r>
      <w:r w:rsidRPr="00A45399">
        <w:t xml:space="preserve"> </w:t>
      </w:r>
      <w:r w:rsidR="00936310" w:rsidRPr="00A45399">
        <w:t xml:space="preserve">published an article </w:t>
      </w:r>
      <w:r w:rsidR="00715F09" w:rsidRPr="00A45399">
        <w:t xml:space="preserve">in which he cites </w:t>
      </w:r>
      <w:r w:rsidR="00683A77" w:rsidRPr="00A45399">
        <w:t>an additional</w:t>
      </w:r>
      <w:r w:rsidR="00936310" w:rsidRPr="00A45399">
        <w:t xml:space="preserve"> manuscript of the midrash: si</w:t>
      </w:r>
      <w:r w:rsidR="00ED7E7B" w:rsidRPr="00A45399">
        <w:t>x</w:t>
      </w:r>
      <w:r w:rsidR="00936310" w:rsidRPr="00A45399">
        <w:t xml:space="preserve"> pages from the St. Petersburg Genizah</w:t>
      </w:r>
      <w:r w:rsidR="00683A77" w:rsidRPr="00A45399">
        <w:t xml:space="preserve">, approximately one third of the entire midrash. He offers alternative versions </w:t>
      </w:r>
      <w:r w:rsidR="00CE72D8">
        <w:t xml:space="preserve">to the Parma manuscripts, </w:t>
      </w:r>
      <w:r w:rsidR="001931D3">
        <w:t xml:space="preserve">citing </w:t>
      </w:r>
      <w:r w:rsidR="001931D3" w:rsidRPr="00A45399">
        <w:t>an</w:t>
      </w:r>
      <w:r w:rsidR="00CE72D8">
        <w:t xml:space="preserve"> </w:t>
      </w:r>
      <w:r w:rsidR="00683A77" w:rsidRPr="00A45399">
        <w:t xml:space="preserve">additional manuscript </w:t>
      </w:r>
      <w:r w:rsidR="00CE72D8">
        <w:t xml:space="preserve">of the midrash </w:t>
      </w:r>
      <w:r w:rsidR="004F2FF1">
        <w:t>located at</w:t>
      </w:r>
      <w:r w:rsidR="00683A77" w:rsidRPr="00A45399">
        <w:t xml:space="preserve"> the New York </w:t>
      </w:r>
      <w:r w:rsidR="001F0FA8" w:rsidRPr="00A45399">
        <w:t>Theological</w:t>
      </w:r>
      <w:r w:rsidR="00683A77" w:rsidRPr="00A45399">
        <w:t xml:space="preserve"> Seminary</w:t>
      </w:r>
      <w:r w:rsidR="004E6981" w:rsidRPr="00A45399">
        <w:t xml:space="preserve">, </w:t>
      </w:r>
      <w:r w:rsidR="001931D3">
        <w:t xml:space="preserve">adding commentary, </w:t>
      </w:r>
      <w:r w:rsidR="003167F3" w:rsidRPr="00A45399">
        <w:t xml:space="preserve">cross references </w:t>
      </w:r>
      <w:r w:rsidR="004E6981" w:rsidRPr="00A45399">
        <w:t xml:space="preserve">and </w:t>
      </w:r>
      <w:r w:rsidR="001931D3">
        <w:t>a bibliography of relevant studies.</w:t>
      </w:r>
      <w:r w:rsidR="009A39D0">
        <w:t xml:space="preserve"> </w:t>
      </w:r>
    </w:p>
    <w:p w14:paraId="2AB3F80A" w14:textId="77777777" w:rsidR="00F51400" w:rsidRPr="00A45399" w:rsidRDefault="00F51400" w:rsidP="002C0322">
      <w:pPr>
        <w:spacing w:line="360" w:lineRule="auto"/>
        <w:ind w:firstLine="0"/>
      </w:pPr>
    </w:p>
    <w:p w14:paraId="0F61582C" w14:textId="77777777" w:rsidR="00E21DEA" w:rsidRDefault="004E6981" w:rsidP="002C0322">
      <w:pPr>
        <w:spacing w:line="360" w:lineRule="auto"/>
        <w:ind w:firstLine="0"/>
      </w:pPr>
      <w:r w:rsidRPr="00A45399">
        <w:t xml:space="preserve">In 1990, </w:t>
      </w:r>
      <w:commentRangeStart w:id="7"/>
      <w:r w:rsidRPr="00A45399">
        <w:t>Lerner</w:t>
      </w:r>
      <w:commentRangeEnd w:id="7"/>
      <w:r w:rsidR="00BF5FEC">
        <w:rPr>
          <w:rStyle w:val="CommentReference"/>
        </w:rPr>
        <w:commentReference w:id="7"/>
      </w:r>
      <w:r w:rsidRPr="00A45399">
        <w:t xml:space="preserve"> published an article containing four sections from </w:t>
      </w:r>
      <w:r w:rsidR="00BF5FEC">
        <w:rPr>
          <w:lang w:val="en-GB"/>
        </w:rPr>
        <w:t>a</w:t>
      </w:r>
      <w:r w:rsidRPr="00A45399">
        <w:t xml:space="preserve"> </w:t>
      </w:r>
      <w:r w:rsidR="00BF5FEC">
        <w:t xml:space="preserve">fourth </w:t>
      </w:r>
      <w:r w:rsidRPr="00A45399">
        <w:t>manuscript</w:t>
      </w:r>
      <w:r w:rsidR="00BF5FEC">
        <w:t>, the Cambridge manuscript</w:t>
      </w:r>
      <w:r w:rsidR="001E3635">
        <w:t xml:space="preserve">, including </w:t>
      </w:r>
      <w:r w:rsidRPr="00A45399">
        <w:t>commentary</w:t>
      </w:r>
      <w:r w:rsidR="00F00763" w:rsidRPr="00A45399">
        <w:t xml:space="preserve">, elucidations </w:t>
      </w:r>
      <w:r w:rsidR="00D90700" w:rsidRPr="00A45399">
        <w:t xml:space="preserve">and </w:t>
      </w:r>
    </w:p>
    <w:p w14:paraId="3F5F43DF" w14:textId="14AEC251" w:rsidR="00D90700" w:rsidRPr="00A45399" w:rsidRDefault="003167F3" w:rsidP="002C0322">
      <w:pPr>
        <w:spacing w:line="360" w:lineRule="auto"/>
        <w:ind w:firstLine="0"/>
      </w:pPr>
      <w:r w:rsidRPr="00A45399">
        <w:t>cross references</w:t>
      </w:r>
      <w:r w:rsidR="00D90700" w:rsidRPr="00A45399">
        <w:t xml:space="preserve">. </w:t>
      </w:r>
    </w:p>
    <w:p w14:paraId="2060E06D" w14:textId="77777777" w:rsidR="001E3635" w:rsidRDefault="001E3635" w:rsidP="002C0322">
      <w:pPr>
        <w:spacing w:line="360" w:lineRule="auto"/>
        <w:ind w:firstLine="0"/>
      </w:pPr>
    </w:p>
    <w:p w14:paraId="7AB805BE" w14:textId="29431DD8" w:rsidR="00F51400" w:rsidRPr="00A45399" w:rsidRDefault="00D90700" w:rsidP="002C0322">
      <w:pPr>
        <w:spacing w:line="360" w:lineRule="auto"/>
        <w:ind w:firstLine="0"/>
      </w:pPr>
      <w:r w:rsidRPr="00A45399">
        <w:t xml:space="preserve">These are the </w:t>
      </w:r>
      <w:r w:rsidR="001E3635">
        <w:t>existing editions</w:t>
      </w:r>
      <w:r w:rsidRPr="00A45399">
        <w:t xml:space="preserve"> of the </w:t>
      </w:r>
      <w:r w:rsidR="00002929">
        <w:t>midrash</w:t>
      </w:r>
      <w:r w:rsidRPr="00A45399">
        <w:t xml:space="preserve">. I was unable to locate studies focusing on the midrash in its entirety, only </w:t>
      </w:r>
      <w:r w:rsidR="007B0F75" w:rsidRPr="00A45399">
        <w:t xml:space="preserve">several references in </w:t>
      </w:r>
      <w:r w:rsidR="00641319" w:rsidRPr="00A45399">
        <w:t xml:space="preserve">in encyclopedias </w:t>
      </w:r>
      <w:r w:rsidR="00641319">
        <w:t xml:space="preserve">and </w:t>
      </w:r>
      <w:r w:rsidR="007B0F75" w:rsidRPr="00A45399">
        <w:t xml:space="preserve">introductory books to the world of Midrash. There are studies addressing aspects of the </w:t>
      </w:r>
      <w:r w:rsidR="00641319" w:rsidRPr="00641319">
        <w:rPr>
          <w:i/>
          <w:iCs/>
        </w:rPr>
        <w:t>Shir HaShirim</w:t>
      </w:r>
      <w:r w:rsidR="00641319">
        <w:t xml:space="preserve"> </w:t>
      </w:r>
      <w:r w:rsidR="007B0F75" w:rsidRPr="00A45399">
        <w:t xml:space="preserve">midrash, however, these do not </w:t>
      </w:r>
      <w:r w:rsidR="00A92349" w:rsidRPr="00A45399">
        <w:t>relate to the text itself.</w:t>
      </w:r>
      <w:r w:rsidR="002C0322" w:rsidRPr="00A45399">
        <w:t xml:space="preserve"> </w:t>
      </w:r>
    </w:p>
    <w:p w14:paraId="113E10EC" w14:textId="77777777" w:rsidR="00F51400" w:rsidRPr="00A45399" w:rsidRDefault="00F51400" w:rsidP="002C0322">
      <w:pPr>
        <w:spacing w:line="360" w:lineRule="auto"/>
        <w:ind w:firstLine="0"/>
      </w:pPr>
    </w:p>
    <w:p w14:paraId="600448D3" w14:textId="4358C33F" w:rsidR="00FD082B" w:rsidRDefault="00520A62" w:rsidP="00A02DA2">
      <w:pPr>
        <w:spacing w:line="360" w:lineRule="auto"/>
        <w:ind w:firstLine="0"/>
        <w:rPr>
          <w:i/>
          <w:iCs/>
        </w:rPr>
      </w:pPr>
      <w:r w:rsidRPr="00A45399">
        <w:t xml:space="preserve">To date, </w:t>
      </w:r>
      <w:r w:rsidR="007937EC">
        <w:t xml:space="preserve">and to the best of my knowledge, </w:t>
      </w:r>
      <w:r w:rsidRPr="00A45399">
        <w:t xml:space="preserve">there </w:t>
      </w:r>
      <w:r w:rsidR="00307AD2">
        <w:t>is</w:t>
      </w:r>
      <w:r w:rsidRPr="00A45399">
        <w:t xml:space="preserve"> no extensive study o</w:t>
      </w:r>
      <w:r w:rsidR="00641319">
        <w:t>n</w:t>
      </w:r>
      <w:r w:rsidRPr="00A45399">
        <w:t xml:space="preserve"> </w:t>
      </w:r>
      <w:r w:rsidR="00E13CA6" w:rsidRPr="00E13CA6">
        <w:rPr>
          <w:i/>
          <w:iCs/>
        </w:rPr>
        <w:t>Shir</w:t>
      </w:r>
    </w:p>
    <w:p w14:paraId="072CD3CB" w14:textId="77777777" w:rsidR="00E21DEA" w:rsidRDefault="00E13CA6" w:rsidP="00A02DA2">
      <w:pPr>
        <w:spacing w:line="360" w:lineRule="auto"/>
        <w:ind w:firstLine="0"/>
        <w:rPr>
          <w:i/>
          <w:iCs/>
        </w:rPr>
      </w:pPr>
      <w:r w:rsidRPr="00E13CA6">
        <w:rPr>
          <w:i/>
          <w:iCs/>
        </w:rPr>
        <w:t>HaShirim Zuttah</w:t>
      </w:r>
      <w:r w:rsidR="007F4A32" w:rsidRPr="00A45399">
        <w:t>. T</w:t>
      </w:r>
      <w:r w:rsidR="00520A62" w:rsidRPr="00A45399">
        <w:t>he existing</w:t>
      </w:r>
      <w:r w:rsidR="00F00763" w:rsidRPr="00A45399">
        <w:t xml:space="preserve"> </w:t>
      </w:r>
      <w:r w:rsidR="007F4A32" w:rsidRPr="00A45399">
        <w:t xml:space="preserve">editions </w:t>
      </w:r>
      <w:r w:rsidR="00807FBE" w:rsidRPr="00A45399">
        <w:t>address portions of the midrash</w:t>
      </w:r>
      <w:r w:rsidR="00FC74BA" w:rsidRPr="00A45399">
        <w:t xml:space="preserve">, and </w:t>
      </w:r>
      <w:r w:rsidR="007F4A32" w:rsidRPr="00A45399">
        <w:t>do not comply with contemporary research standards</w:t>
      </w:r>
      <w:r w:rsidR="00FC74BA" w:rsidRPr="00A45399">
        <w:t xml:space="preserve">. </w:t>
      </w:r>
      <w:r w:rsidR="00FD6E93" w:rsidRPr="00A45399">
        <w:t>T</w:t>
      </w:r>
      <w:r w:rsidR="004017FC" w:rsidRPr="00A45399">
        <w:t xml:space="preserve">his </w:t>
      </w:r>
      <w:r w:rsidR="00A02DA2" w:rsidRPr="00A45399">
        <w:t>thesis</w:t>
      </w:r>
      <w:r w:rsidR="00FD6E93" w:rsidRPr="00A45399">
        <w:t xml:space="preserve"> offers an unprecedented</w:t>
      </w:r>
      <w:r w:rsidR="00054C20">
        <w:t>, comprehensive study of the midrash in its entirety (</w:t>
      </w:r>
      <w:r w:rsidR="00A02DA2" w:rsidRPr="00A45399">
        <w:t xml:space="preserve">using Buber’s </w:t>
      </w:r>
      <w:r w:rsidR="00A02DA2" w:rsidRPr="00A45399">
        <w:rPr>
          <w:i/>
          <w:iCs/>
        </w:rPr>
        <w:t xml:space="preserve">Shir </w:t>
      </w:r>
    </w:p>
    <w:p w14:paraId="44BBA2F8" w14:textId="614AA1C4" w:rsidR="00D61F0D" w:rsidRPr="00A45399" w:rsidRDefault="00A02DA2" w:rsidP="00A02DA2">
      <w:pPr>
        <w:spacing w:line="360" w:lineRule="auto"/>
        <w:ind w:firstLine="0"/>
      </w:pPr>
      <w:r w:rsidRPr="00A45399">
        <w:rPr>
          <w:i/>
          <w:iCs/>
        </w:rPr>
        <w:t xml:space="preserve">HaShirim </w:t>
      </w:r>
      <w:commentRangeStart w:id="8"/>
      <w:r w:rsidRPr="00A45399">
        <w:rPr>
          <w:i/>
          <w:iCs/>
        </w:rPr>
        <w:t>Zuttah</w:t>
      </w:r>
      <w:commentRangeEnd w:id="8"/>
      <w:r w:rsidR="00054C20">
        <w:rPr>
          <w:rStyle w:val="CommentReference"/>
        </w:rPr>
        <w:commentReference w:id="8"/>
      </w:r>
      <w:r w:rsidRPr="00A45399">
        <w:t>)</w:t>
      </w:r>
      <w:r w:rsidR="00054C20">
        <w:t>.</w:t>
      </w:r>
      <w:r w:rsidR="009A39D0">
        <w:t xml:space="preserve"> </w:t>
      </w:r>
    </w:p>
    <w:p w14:paraId="0D36B569" w14:textId="06DA2EAD" w:rsidR="00A02DA2" w:rsidRPr="00A45399" w:rsidRDefault="00A02DA2" w:rsidP="00A02DA2">
      <w:pPr>
        <w:spacing w:line="360" w:lineRule="auto"/>
        <w:ind w:firstLine="0"/>
      </w:pPr>
    </w:p>
    <w:p w14:paraId="7B3D58CB" w14:textId="1804AA72" w:rsidR="00A02DA2" w:rsidRPr="00A45399" w:rsidRDefault="002A1609" w:rsidP="00CF09DE">
      <w:pPr>
        <w:spacing w:line="360" w:lineRule="auto"/>
        <w:ind w:firstLine="0"/>
      </w:pPr>
      <w:r w:rsidRPr="00A45399">
        <w:t xml:space="preserve">Like </w:t>
      </w:r>
      <w:r w:rsidR="00211376" w:rsidRPr="00DD790C">
        <w:rPr>
          <w:lang w:val="en-GB"/>
        </w:rPr>
        <w:t>Canticles</w:t>
      </w:r>
      <w:r w:rsidRPr="00A45399">
        <w:t xml:space="preserve">, the midrash </w:t>
      </w:r>
      <w:r w:rsidR="00AF1FBD" w:rsidRPr="00A45399">
        <w:t>contains eight chapters</w:t>
      </w:r>
      <w:r w:rsidR="007937EC">
        <w:t xml:space="preserve">. </w:t>
      </w:r>
      <w:r w:rsidR="007937EC" w:rsidRPr="007937EC">
        <w:rPr>
          <w:i/>
          <w:iCs/>
        </w:rPr>
        <w:t>P</w:t>
      </w:r>
      <w:r w:rsidR="00751D9B" w:rsidRPr="007937EC">
        <w:rPr>
          <w:i/>
          <w:iCs/>
        </w:rPr>
        <w:t>arashah</w:t>
      </w:r>
      <w:r w:rsidR="00751D9B" w:rsidRPr="007937EC">
        <w:t xml:space="preserve"> </w:t>
      </w:r>
      <w:r w:rsidR="00CC6584">
        <w:rPr>
          <w:i/>
          <w:iCs/>
        </w:rPr>
        <w:t>alef</w:t>
      </w:r>
      <w:r w:rsidR="00751D9B" w:rsidRPr="00A45399">
        <w:t xml:space="preserve"> </w:t>
      </w:r>
      <w:r w:rsidR="00F62C87">
        <w:t>is exceptionally long</w:t>
      </w:r>
      <w:r w:rsidR="00E40CBA">
        <w:t>, constituting</w:t>
      </w:r>
      <w:r w:rsidR="00F62C87">
        <w:t xml:space="preserve"> </w:t>
      </w:r>
      <w:r w:rsidR="00E91E23" w:rsidRPr="00A45399">
        <w:t xml:space="preserve">half of the midrash, while the other </w:t>
      </w:r>
      <w:r w:rsidR="00E91E23" w:rsidRPr="00A45399">
        <w:rPr>
          <w:i/>
          <w:iCs/>
        </w:rPr>
        <w:t>parashot</w:t>
      </w:r>
      <w:r w:rsidR="00E91E23" w:rsidRPr="00A45399">
        <w:t xml:space="preserve"> </w:t>
      </w:r>
      <w:r w:rsidR="00E840F9" w:rsidRPr="00A45399">
        <w:t>are relatively short (with severa</w:t>
      </w:r>
      <w:r w:rsidR="002C3990" w:rsidRPr="00A45399">
        <w:t xml:space="preserve">l longer </w:t>
      </w:r>
      <w:commentRangeStart w:id="9"/>
      <w:r w:rsidR="002C3990" w:rsidRPr="00A45399">
        <w:t>sections</w:t>
      </w:r>
      <w:commentRangeEnd w:id="9"/>
      <w:r w:rsidR="00F62C87">
        <w:rPr>
          <w:rStyle w:val="CommentReference"/>
        </w:rPr>
        <w:commentReference w:id="9"/>
      </w:r>
      <w:r w:rsidR="002C3990" w:rsidRPr="00A45399">
        <w:t xml:space="preserve">); </w:t>
      </w:r>
      <w:r w:rsidR="00AB3B06" w:rsidRPr="00A45399">
        <w:t xml:space="preserve">the </w:t>
      </w:r>
      <w:r w:rsidR="002C3990" w:rsidRPr="00A45399">
        <w:rPr>
          <w:i/>
          <w:iCs/>
        </w:rPr>
        <w:t>simanim</w:t>
      </w:r>
      <w:r w:rsidR="002C3990" w:rsidRPr="00A45399">
        <w:t xml:space="preserve"> </w:t>
      </w:r>
      <w:r w:rsidR="00AB3B06" w:rsidRPr="00A45399">
        <w:t>var</w:t>
      </w:r>
      <w:r w:rsidR="00146807">
        <w:t>y in length</w:t>
      </w:r>
      <w:r w:rsidR="00AB6707" w:rsidRPr="00A45399">
        <w:t xml:space="preserve"> –</w:t>
      </w:r>
      <w:r w:rsidR="00D57CD2">
        <w:t xml:space="preserve"> </w:t>
      </w:r>
      <w:r w:rsidR="00AB3B06" w:rsidRPr="00A45399">
        <w:rPr>
          <w:i/>
          <w:iCs/>
        </w:rPr>
        <w:t xml:space="preserve">siman </w:t>
      </w:r>
      <w:r w:rsidR="00CC6584">
        <w:rPr>
          <w:i/>
          <w:iCs/>
        </w:rPr>
        <w:t>alef</w:t>
      </w:r>
      <w:r w:rsidR="00BF527A">
        <w:rPr>
          <w:i/>
          <w:iCs/>
        </w:rPr>
        <w:t xml:space="preserve"> </w:t>
      </w:r>
      <w:r w:rsidR="00AB3B06" w:rsidRPr="00A45399">
        <w:t xml:space="preserve">and </w:t>
      </w:r>
      <w:r w:rsidR="00AB3B06" w:rsidRPr="00A45399">
        <w:rPr>
          <w:i/>
          <w:iCs/>
        </w:rPr>
        <w:t xml:space="preserve">siman </w:t>
      </w:r>
      <w:r w:rsidR="00CC6584">
        <w:rPr>
          <w:i/>
          <w:iCs/>
        </w:rPr>
        <w:t>tet</w:t>
      </w:r>
      <w:r w:rsidR="008C50AB">
        <w:rPr>
          <w:i/>
          <w:iCs/>
        </w:rPr>
        <w:t>”v</w:t>
      </w:r>
      <w:r w:rsidR="00CC6584">
        <w:rPr>
          <w:i/>
          <w:iCs/>
        </w:rPr>
        <w:t>av</w:t>
      </w:r>
      <w:r w:rsidR="00126D9F" w:rsidRPr="00A45399">
        <w:rPr>
          <w:i/>
          <w:iCs/>
        </w:rPr>
        <w:t xml:space="preserve"> </w:t>
      </w:r>
      <w:r w:rsidR="00AB6707" w:rsidRPr="00A45399">
        <w:t xml:space="preserve">are </w:t>
      </w:r>
      <w:r w:rsidR="005611FC">
        <w:t xml:space="preserve">lengthy, </w:t>
      </w:r>
      <w:r w:rsidR="00AB6707" w:rsidRPr="00A45399">
        <w:t xml:space="preserve">accounting for half of the </w:t>
      </w:r>
      <w:r w:rsidR="00EA2A9D">
        <w:t>text’s</w:t>
      </w:r>
      <w:r w:rsidR="00D04B6C" w:rsidRPr="00A45399">
        <w:t xml:space="preserve"> </w:t>
      </w:r>
      <w:commentRangeStart w:id="10"/>
      <w:r w:rsidR="00D04B6C" w:rsidRPr="00A45399">
        <w:t>volume</w:t>
      </w:r>
      <w:commentRangeEnd w:id="10"/>
      <w:r w:rsidR="00263CA1">
        <w:rPr>
          <w:rStyle w:val="CommentReference"/>
        </w:rPr>
        <w:commentReference w:id="10"/>
      </w:r>
      <w:r w:rsidR="00D57CD2">
        <w:t xml:space="preserve">. </w:t>
      </w:r>
      <w:r w:rsidR="005611FC">
        <w:t>S</w:t>
      </w:r>
      <w:r w:rsidR="00C91F9F" w:rsidRPr="00A45399">
        <w:rPr>
          <w:i/>
          <w:iCs/>
        </w:rPr>
        <w:t>imanim</w:t>
      </w:r>
      <w:r w:rsidR="00C91F9F" w:rsidRPr="00A45399">
        <w:t xml:space="preserve"> </w:t>
      </w:r>
      <w:r w:rsidR="00CC6584">
        <w:rPr>
          <w:i/>
          <w:iCs/>
        </w:rPr>
        <w:t xml:space="preserve">alef </w:t>
      </w:r>
      <w:r w:rsidR="005611FC">
        <w:t xml:space="preserve">and </w:t>
      </w:r>
      <w:r w:rsidR="005611FC">
        <w:rPr>
          <w:i/>
          <w:iCs/>
        </w:rPr>
        <w:t>t</w:t>
      </w:r>
      <w:r w:rsidR="00CC6584">
        <w:rPr>
          <w:i/>
          <w:iCs/>
        </w:rPr>
        <w:t>et</w:t>
      </w:r>
      <w:r w:rsidR="005611FC">
        <w:rPr>
          <w:i/>
          <w:iCs/>
        </w:rPr>
        <w:t>”v</w:t>
      </w:r>
      <w:r w:rsidR="00CC6584">
        <w:rPr>
          <w:i/>
          <w:iCs/>
        </w:rPr>
        <w:t>av</w:t>
      </w:r>
      <w:r w:rsidR="005611FC" w:rsidRPr="00A45399">
        <w:rPr>
          <w:i/>
          <w:iCs/>
        </w:rPr>
        <w:t xml:space="preserve"> </w:t>
      </w:r>
      <w:r w:rsidR="008B6FBC" w:rsidRPr="007E2B32">
        <w:t>are</w:t>
      </w:r>
      <w:r w:rsidR="008B6FBC">
        <w:rPr>
          <w:i/>
          <w:iCs/>
        </w:rPr>
        <w:t xml:space="preserve"> </w:t>
      </w:r>
      <w:r w:rsidR="00C91F9F" w:rsidRPr="00A45399">
        <w:t xml:space="preserve">also </w:t>
      </w:r>
      <w:r w:rsidR="007E2B32">
        <w:t xml:space="preserve">distinctively </w:t>
      </w:r>
      <w:r w:rsidR="00DD5D17" w:rsidRPr="00A45399">
        <w:t>homiletical (</w:t>
      </w:r>
      <w:r w:rsidR="00C91F9F" w:rsidRPr="00A45399">
        <w:rPr>
          <w:i/>
          <w:iCs/>
        </w:rPr>
        <w:t>darshani’</w:t>
      </w:r>
      <w:r w:rsidR="00BA63FA" w:rsidRPr="00A45399">
        <w:rPr>
          <w:i/>
          <w:iCs/>
        </w:rPr>
        <w:t>i</w:t>
      </w:r>
      <w:r w:rsidR="00C91F9F" w:rsidRPr="00A45399">
        <w:rPr>
          <w:i/>
          <w:iCs/>
        </w:rPr>
        <w:t>m</w:t>
      </w:r>
      <w:r w:rsidR="00DD5D17" w:rsidRPr="00A45399">
        <w:t>)</w:t>
      </w:r>
      <w:r w:rsidR="00C91F9F" w:rsidRPr="00A45399">
        <w:t xml:space="preserve">, </w:t>
      </w:r>
      <w:r w:rsidR="00CF09DE">
        <w:t>as opposed to the other interpretative simanim (</w:t>
      </w:r>
      <w:r w:rsidR="00CF09DE" w:rsidRPr="00CF09DE">
        <w:rPr>
          <w:i/>
          <w:iCs/>
        </w:rPr>
        <w:t>parshani’im</w:t>
      </w:r>
      <w:r w:rsidR="00CF09DE">
        <w:t>).</w:t>
      </w:r>
      <w:r w:rsidR="009A39D0">
        <w:t xml:space="preserve"> </w:t>
      </w:r>
    </w:p>
    <w:p w14:paraId="0774E79C" w14:textId="2AE6000C" w:rsidR="00DD5D17" w:rsidRPr="00A45399" w:rsidRDefault="00DD5D17" w:rsidP="00A02DA2">
      <w:pPr>
        <w:spacing w:line="360" w:lineRule="auto"/>
        <w:ind w:firstLine="0"/>
      </w:pPr>
    </w:p>
    <w:p w14:paraId="549CA4EC" w14:textId="088CCC4B" w:rsidR="00DD5D17" w:rsidRPr="00A45399" w:rsidRDefault="00A24845" w:rsidP="00380D56">
      <w:pPr>
        <w:spacing w:line="360" w:lineRule="auto"/>
        <w:ind w:firstLine="0"/>
      </w:pPr>
      <w:r>
        <w:t xml:space="preserve">To reveal the </w:t>
      </w:r>
      <w:r w:rsidR="00625691">
        <w:t>midrash’s</w:t>
      </w:r>
      <w:r>
        <w:t xml:space="preserve"> original </w:t>
      </w:r>
      <w:r w:rsidR="00346C52">
        <w:t>homiletical</w:t>
      </w:r>
      <w:r w:rsidR="000D539D">
        <w:t>,</w:t>
      </w:r>
      <w:r w:rsidR="00346C52">
        <w:t xml:space="preserve"> relatively concise </w:t>
      </w:r>
      <w:r w:rsidR="00AF106A">
        <w:t>form</w:t>
      </w:r>
      <w:r>
        <w:t xml:space="preserve">, </w:t>
      </w:r>
      <w:r w:rsidR="00CB7963">
        <w:t>as well as meanings</w:t>
      </w:r>
      <w:r w:rsidR="00F671D2" w:rsidRPr="00F671D2">
        <w:t xml:space="preserve"> </w:t>
      </w:r>
      <w:r w:rsidR="006E7EFC">
        <w:t>‘hidden’</w:t>
      </w:r>
      <w:r w:rsidR="00F671D2">
        <w:t xml:space="preserve"> </w:t>
      </w:r>
      <w:r w:rsidR="00D479BA">
        <w:t>beneath</w:t>
      </w:r>
      <w:r w:rsidR="00F671D2">
        <w:t xml:space="preserve"> </w:t>
      </w:r>
      <w:r w:rsidR="00D479BA">
        <w:t>textual layering</w:t>
      </w:r>
      <w:r w:rsidR="00B278F0">
        <w:t xml:space="preserve">, </w:t>
      </w:r>
      <w:r w:rsidR="0047574E" w:rsidRPr="00A45399">
        <w:t xml:space="preserve">I propose extracting </w:t>
      </w:r>
      <w:r w:rsidR="0047574E" w:rsidRPr="00A45399">
        <w:rPr>
          <w:i/>
          <w:iCs/>
        </w:rPr>
        <w:t>simanim</w:t>
      </w:r>
      <w:r w:rsidR="0047574E" w:rsidRPr="00A45399">
        <w:t xml:space="preserve"> </w:t>
      </w:r>
      <w:r w:rsidR="00CD6DE2">
        <w:rPr>
          <w:i/>
          <w:iCs/>
        </w:rPr>
        <w:t>alef</w:t>
      </w:r>
      <w:r>
        <w:t xml:space="preserve"> and </w:t>
      </w:r>
      <w:r w:rsidRPr="00AF106A">
        <w:rPr>
          <w:i/>
          <w:iCs/>
        </w:rPr>
        <w:t>t</w:t>
      </w:r>
      <w:r w:rsidR="00CD6DE2">
        <w:rPr>
          <w:i/>
          <w:iCs/>
        </w:rPr>
        <w:t>et”vav</w:t>
      </w:r>
      <w:r w:rsidR="00625691">
        <w:t xml:space="preserve"> </w:t>
      </w:r>
      <w:r w:rsidR="0047574E" w:rsidRPr="00A45399">
        <w:t xml:space="preserve">from </w:t>
      </w:r>
      <w:r w:rsidR="006B4EDD" w:rsidRPr="00A45399">
        <w:t xml:space="preserve">the </w:t>
      </w:r>
      <w:r w:rsidR="00625691">
        <w:t xml:space="preserve">text. </w:t>
      </w:r>
      <w:r w:rsidR="00465185">
        <w:t>Facilitating</w:t>
      </w:r>
      <w:r w:rsidR="000E7600">
        <w:t xml:space="preserve"> interpretation of </w:t>
      </w:r>
      <w:r w:rsidR="00110800">
        <w:t>most</w:t>
      </w:r>
      <w:r w:rsidR="000E7600">
        <w:t xml:space="preserve"> </w:t>
      </w:r>
      <w:r w:rsidR="00817DA3" w:rsidRPr="00A45399">
        <w:rPr>
          <w:i/>
          <w:iCs/>
        </w:rPr>
        <w:t>Shir HaShirim</w:t>
      </w:r>
      <w:r w:rsidR="00074277" w:rsidRPr="00A45399">
        <w:t xml:space="preserve"> </w:t>
      </w:r>
      <w:r w:rsidR="00110800" w:rsidRPr="00A45399">
        <w:t xml:space="preserve">verses </w:t>
      </w:r>
      <w:r w:rsidR="00074277" w:rsidRPr="00A45399">
        <w:t xml:space="preserve">in </w:t>
      </w:r>
      <w:r w:rsidR="00074277" w:rsidRPr="00A45399">
        <w:lastRenderedPageBreak/>
        <w:t xml:space="preserve">chronological order, </w:t>
      </w:r>
      <w:r w:rsidR="00465185">
        <w:t xml:space="preserve">while </w:t>
      </w:r>
      <w:r w:rsidR="0039060A">
        <w:t>divulg</w:t>
      </w:r>
      <w:r w:rsidR="00465185">
        <w:t>ing</w:t>
      </w:r>
      <w:r w:rsidR="0039060A">
        <w:t xml:space="preserve"> their</w:t>
      </w:r>
      <w:r w:rsidR="00074277" w:rsidRPr="00A45399">
        <w:t xml:space="preserve"> </w:t>
      </w:r>
      <w:r w:rsidR="000D1B02" w:rsidRPr="00A45399">
        <w:t xml:space="preserve">characteristics and </w:t>
      </w:r>
      <w:r w:rsidR="0061607D">
        <w:t>themes</w:t>
      </w:r>
      <w:r w:rsidR="006F30BD" w:rsidRPr="00A45399">
        <w:t xml:space="preserve">, </w:t>
      </w:r>
      <w:r w:rsidR="00465185">
        <w:t xml:space="preserve">this extraction </w:t>
      </w:r>
      <w:r w:rsidR="00035F45">
        <w:t>sustains</w:t>
      </w:r>
      <w:r w:rsidR="006F30BD" w:rsidRPr="00A45399">
        <w:t xml:space="preserve"> the </w:t>
      </w:r>
      <w:r w:rsidR="00035F45">
        <w:t>premise</w:t>
      </w:r>
      <w:r w:rsidR="006F30BD" w:rsidRPr="00A45399">
        <w:t xml:space="preserve"> that the</w:t>
      </w:r>
      <w:r w:rsidR="00035F45">
        <w:t>se</w:t>
      </w:r>
      <w:r w:rsidR="006F30BD" w:rsidRPr="00A45399">
        <w:t xml:space="preserve"> </w:t>
      </w:r>
      <w:r w:rsidR="006F30BD" w:rsidRPr="00A45399">
        <w:rPr>
          <w:i/>
          <w:iCs/>
        </w:rPr>
        <w:t>simanim</w:t>
      </w:r>
      <w:r w:rsidR="006F30BD" w:rsidRPr="00A45399">
        <w:t xml:space="preserve"> are not part of the original midrash. </w:t>
      </w:r>
      <w:r w:rsidR="00D472A9">
        <w:t>T</w:t>
      </w:r>
      <w:r w:rsidR="00AC4646" w:rsidRPr="00A45399">
        <w:t xml:space="preserve">herefore, this study investigates the midrash without </w:t>
      </w:r>
      <w:r w:rsidR="00AC4646" w:rsidRPr="00A45399">
        <w:rPr>
          <w:i/>
          <w:iCs/>
        </w:rPr>
        <w:t>simanim</w:t>
      </w:r>
      <w:r w:rsidR="00D472A9">
        <w:t xml:space="preserve"> </w:t>
      </w:r>
      <w:r w:rsidR="002B7A7A">
        <w:rPr>
          <w:i/>
          <w:iCs/>
        </w:rPr>
        <w:t>alef</w:t>
      </w:r>
      <w:r w:rsidR="00D472A9">
        <w:t xml:space="preserve"> and </w:t>
      </w:r>
      <w:r w:rsidR="00D472A9" w:rsidRPr="00D472A9">
        <w:rPr>
          <w:i/>
          <w:iCs/>
        </w:rPr>
        <w:t>t</w:t>
      </w:r>
      <w:r w:rsidR="002B7A7A">
        <w:rPr>
          <w:i/>
          <w:iCs/>
        </w:rPr>
        <w:t>et</w:t>
      </w:r>
      <w:r w:rsidR="00D472A9" w:rsidRPr="00D472A9">
        <w:rPr>
          <w:i/>
          <w:iCs/>
        </w:rPr>
        <w:t>”</w:t>
      </w:r>
      <w:r w:rsidR="00D472A9" w:rsidRPr="00116963">
        <w:rPr>
          <w:i/>
          <w:iCs/>
        </w:rPr>
        <w:t>v</w:t>
      </w:r>
      <w:r w:rsidR="00116963" w:rsidRPr="00116963">
        <w:rPr>
          <w:i/>
          <w:iCs/>
        </w:rPr>
        <w:t>av</w:t>
      </w:r>
      <w:r w:rsidR="002B7A7A">
        <w:t>,</w:t>
      </w:r>
      <w:r w:rsidR="00A40F7B">
        <w:t xml:space="preserve"> employing an edition </w:t>
      </w:r>
      <w:r w:rsidR="003F6C4E">
        <w:t>from which they are omitted (</w:t>
      </w:r>
      <w:r w:rsidR="00380D56">
        <w:t>see</w:t>
      </w:r>
      <w:r w:rsidR="003F6C4E">
        <w:t xml:space="preserve"> appendix</w:t>
      </w:r>
      <w:r w:rsidR="009601D8">
        <w:t xml:space="preserve"> 1 and 2 </w:t>
      </w:r>
      <w:r w:rsidR="00380D56">
        <w:t>for original version</w:t>
      </w:r>
      <w:r w:rsidR="003F6C4E">
        <w:t>)</w:t>
      </w:r>
      <w:r w:rsidR="003F6C4E">
        <w:rPr>
          <w:lang w:val="en-GB"/>
        </w:rPr>
        <w:t>.</w:t>
      </w:r>
      <w:r w:rsidR="00AC4646" w:rsidRPr="00A45399">
        <w:t xml:space="preserve"> </w:t>
      </w:r>
    </w:p>
    <w:p w14:paraId="59B27D94" w14:textId="2F888E34" w:rsidR="00FF31F6" w:rsidRPr="00A45399" w:rsidRDefault="00FF31F6" w:rsidP="00A02DA2">
      <w:pPr>
        <w:spacing w:line="360" w:lineRule="auto"/>
        <w:ind w:firstLine="0"/>
      </w:pPr>
    </w:p>
    <w:p w14:paraId="24C428E6" w14:textId="30D29C57" w:rsidR="00FF31F6" w:rsidRPr="00A45399" w:rsidRDefault="00FF31F6" w:rsidP="00A02DA2">
      <w:pPr>
        <w:spacing w:line="360" w:lineRule="auto"/>
        <w:ind w:firstLine="0"/>
        <w:rPr>
          <w:u w:val="single"/>
        </w:rPr>
      </w:pPr>
      <w:r w:rsidRPr="00A45399">
        <w:rPr>
          <w:u w:val="single"/>
        </w:rPr>
        <w:t xml:space="preserve">Chapter Two – Editions </w:t>
      </w:r>
    </w:p>
    <w:p w14:paraId="14B7F174" w14:textId="6AA6E916" w:rsidR="00F133F4" w:rsidRPr="00A45399" w:rsidRDefault="00380D56" w:rsidP="00A02DA2">
      <w:pPr>
        <w:spacing w:line="360" w:lineRule="auto"/>
        <w:ind w:firstLine="0"/>
      </w:pPr>
      <w:r>
        <w:t>C</w:t>
      </w:r>
      <w:r w:rsidR="003A1FCE" w:rsidRPr="00A45399">
        <w:t xml:space="preserve">hapter </w:t>
      </w:r>
      <w:r w:rsidR="0061224C">
        <w:t>T</w:t>
      </w:r>
      <w:r>
        <w:t xml:space="preserve">wo </w:t>
      </w:r>
      <w:r w:rsidR="003A1FCE" w:rsidRPr="00A45399">
        <w:t xml:space="preserve">focuses on </w:t>
      </w:r>
      <w:r>
        <w:t xml:space="preserve">edited </w:t>
      </w:r>
      <w:r w:rsidR="00A8037D" w:rsidRPr="00A45399">
        <w:t xml:space="preserve">versions of </w:t>
      </w:r>
      <w:r w:rsidR="00002929">
        <w:t xml:space="preserve">the </w:t>
      </w:r>
      <w:r w:rsidR="003A1FCE" w:rsidRPr="00A45399">
        <w:t>midrash</w:t>
      </w:r>
      <w:r w:rsidR="00A8037D" w:rsidRPr="00A45399">
        <w:t xml:space="preserve">. I </w:t>
      </w:r>
      <w:r w:rsidR="007537D3">
        <w:t>offer</w:t>
      </w:r>
      <w:r w:rsidR="00A8037D" w:rsidRPr="00A45399">
        <w:t xml:space="preserve"> a complete edition of the text, including the </w:t>
      </w:r>
      <w:r w:rsidR="009121B4" w:rsidRPr="00A45399">
        <w:t>manuscripts</w:t>
      </w:r>
      <w:r w:rsidR="00E24517">
        <w:t xml:space="preserve"> presently available:</w:t>
      </w:r>
      <w:r w:rsidR="009121B4" w:rsidRPr="00A45399">
        <w:t xml:space="preserve"> two from Parma, one from St. Petersburg, the Cambridge edition</w:t>
      </w:r>
      <w:r w:rsidR="00817FA4">
        <w:t xml:space="preserve">, and a hitherto </w:t>
      </w:r>
      <w:r w:rsidR="00B001CE" w:rsidRPr="00A45399">
        <w:t>publi</w:t>
      </w:r>
      <w:r w:rsidR="00817FA4">
        <w:t>shed version</w:t>
      </w:r>
      <w:r w:rsidR="00B001CE" w:rsidRPr="00A45399">
        <w:t xml:space="preserve"> of the manuscript located </w:t>
      </w:r>
      <w:r w:rsidR="00817FA4">
        <w:t>at the</w:t>
      </w:r>
      <w:r w:rsidR="00B001CE" w:rsidRPr="00A45399">
        <w:t xml:space="preserve"> New York </w:t>
      </w:r>
      <w:r w:rsidR="00817FA4">
        <w:t xml:space="preserve">Theological Seminary </w:t>
      </w:r>
      <w:r w:rsidR="00B001CE" w:rsidRPr="00A45399">
        <w:t xml:space="preserve">(mentioned by Rabinowitz). </w:t>
      </w:r>
    </w:p>
    <w:p w14:paraId="4E32C5EE" w14:textId="77777777" w:rsidR="00F133F4" w:rsidRPr="00A45399" w:rsidRDefault="00F133F4" w:rsidP="00A02DA2">
      <w:pPr>
        <w:spacing w:line="360" w:lineRule="auto"/>
        <w:ind w:firstLine="0"/>
      </w:pPr>
    </w:p>
    <w:p w14:paraId="2953C037" w14:textId="29951F7E" w:rsidR="00986A1F" w:rsidRDefault="00F133F4" w:rsidP="00A02DA2">
      <w:pPr>
        <w:spacing w:line="360" w:lineRule="auto"/>
        <w:ind w:firstLine="0"/>
      </w:pPr>
      <w:r w:rsidRPr="00A45399">
        <w:t xml:space="preserve">I </w:t>
      </w:r>
      <w:r w:rsidR="00983128">
        <w:t xml:space="preserve">have devised a synoptic </w:t>
      </w:r>
      <w:r w:rsidR="008C068A">
        <w:t>version</w:t>
      </w:r>
      <w:r w:rsidR="006561B9">
        <w:t xml:space="preserve"> of the text</w:t>
      </w:r>
      <w:r w:rsidR="00983128">
        <w:t xml:space="preserve"> in which the edit</w:t>
      </w:r>
      <w:r w:rsidR="008C068A">
        <w:t xml:space="preserve">ions are color coded, </w:t>
      </w:r>
      <w:r w:rsidR="00BC2924">
        <w:t xml:space="preserve">and </w:t>
      </w:r>
      <w:r w:rsidR="00E230A6">
        <w:t>set line</w:t>
      </w:r>
      <w:r w:rsidRPr="00A45399">
        <w:t xml:space="preserve"> under line</w:t>
      </w:r>
      <w:r w:rsidR="006561B9">
        <w:t>.</w:t>
      </w:r>
      <w:r w:rsidRPr="00A45399">
        <w:t xml:space="preserve"> </w:t>
      </w:r>
      <w:r w:rsidR="00E230A6">
        <w:t>Although extensive</w:t>
      </w:r>
      <w:r w:rsidR="005373BA" w:rsidRPr="00A45399">
        <w:t xml:space="preserve">, </w:t>
      </w:r>
      <w:r w:rsidR="00E230A6">
        <w:t xml:space="preserve">this layout </w:t>
      </w:r>
      <w:r w:rsidR="005373BA" w:rsidRPr="00A45399">
        <w:t xml:space="preserve">provides readers with </w:t>
      </w:r>
      <w:r w:rsidR="007A023C">
        <w:t xml:space="preserve">a </w:t>
      </w:r>
      <w:r w:rsidR="00C9623C" w:rsidRPr="00A45399">
        <w:t xml:space="preserve">comprehensive view of the midrash. </w:t>
      </w:r>
      <w:r w:rsidR="002C22A3">
        <w:t xml:space="preserve">I </w:t>
      </w:r>
      <w:r w:rsidR="00776CBA">
        <w:t>did not</w:t>
      </w:r>
      <w:r w:rsidR="002C22A3">
        <w:t xml:space="preserve"> rely on mechanical</w:t>
      </w:r>
      <w:r w:rsidR="00776CBA">
        <w:t xml:space="preserve"> reproductions of the manuscripts, but rather copied them. </w:t>
      </w:r>
      <w:r w:rsidR="00745509">
        <w:t>T</w:t>
      </w:r>
      <w:r w:rsidR="00495382" w:rsidRPr="00A45399">
        <w:t xml:space="preserve">he </w:t>
      </w:r>
      <w:r w:rsidR="007E2382" w:rsidRPr="00A45399">
        <w:t>edition</w:t>
      </w:r>
      <w:r w:rsidR="007E2382">
        <w:t>s</w:t>
      </w:r>
      <w:r w:rsidR="00FC2461">
        <w:t xml:space="preserve"> are labelled and appear in the following </w:t>
      </w:r>
      <w:r w:rsidR="007E2382">
        <w:t xml:space="preserve">in </w:t>
      </w:r>
      <w:r w:rsidR="00495382" w:rsidRPr="00A45399">
        <w:t>order</w:t>
      </w:r>
      <w:r w:rsidR="00FC2461">
        <w:t>:</w:t>
      </w:r>
      <w:r w:rsidR="00796C86" w:rsidRPr="00A45399">
        <w:t xml:space="preserve"> </w:t>
      </w:r>
      <w:r w:rsidR="002A4E45" w:rsidRPr="002A4E45">
        <w:rPr>
          <w:i/>
          <w:iCs/>
        </w:rPr>
        <w:t>nun</w:t>
      </w:r>
      <w:r w:rsidR="00796C86" w:rsidRPr="00A45399">
        <w:t xml:space="preserve">=New York, </w:t>
      </w:r>
      <w:r w:rsidR="001F0FA8" w:rsidRPr="00A45399">
        <w:t>Theological S</w:t>
      </w:r>
      <w:r w:rsidR="009E76FB" w:rsidRPr="00A45399">
        <w:t xml:space="preserve">eminary 5043 (1681 RAB); </w:t>
      </w:r>
      <w:r w:rsidR="002A4E45" w:rsidRPr="002A4E45">
        <w:rPr>
          <w:i/>
          <w:iCs/>
        </w:rPr>
        <w:t>pei</w:t>
      </w:r>
      <w:r w:rsidR="002A4E45">
        <w:t>2</w:t>
      </w:r>
      <w:r w:rsidR="00677C46" w:rsidRPr="00A45399">
        <w:t xml:space="preserve">= Parma, Palatina 1/2851, catalogue </w:t>
      </w:r>
      <w:r w:rsidR="00942348" w:rsidRPr="00A45399">
        <w:t>D</w:t>
      </w:r>
      <w:r w:rsidR="00685880">
        <w:t>e</w:t>
      </w:r>
      <w:r w:rsidR="00942348" w:rsidRPr="00A45399">
        <w:t xml:space="preserve"> </w:t>
      </w:r>
      <w:commentRangeStart w:id="11"/>
      <w:r w:rsidR="00942348" w:rsidRPr="00A45399">
        <w:t>R</w:t>
      </w:r>
      <w:r w:rsidR="00685880">
        <w:t>ossi</w:t>
      </w:r>
      <w:commentRangeEnd w:id="11"/>
      <w:r w:rsidR="00685880">
        <w:rPr>
          <w:rStyle w:val="CommentReference"/>
        </w:rPr>
        <w:commentReference w:id="11"/>
      </w:r>
      <w:r w:rsidR="00942348" w:rsidRPr="00A45399">
        <w:t xml:space="preserve"> 616; </w:t>
      </w:r>
      <w:r w:rsidR="002A4E45" w:rsidRPr="002A4E45">
        <w:rPr>
          <w:i/>
          <w:iCs/>
        </w:rPr>
        <w:t>pe</w:t>
      </w:r>
      <w:r w:rsidR="002A4E45" w:rsidRPr="0024691D">
        <w:rPr>
          <w:i/>
          <w:iCs/>
        </w:rPr>
        <w:t>i</w:t>
      </w:r>
      <w:r w:rsidR="00B201E6" w:rsidRPr="00A45399">
        <w:t xml:space="preserve">1=Parma, Palatina 5/2342, catalogue </w:t>
      </w:r>
      <w:r w:rsidR="00685880">
        <w:t>De Rossi</w:t>
      </w:r>
      <w:r w:rsidR="00B201E6" w:rsidRPr="00A45399">
        <w:t xml:space="preserve"> 541</w:t>
      </w:r>
      <w:r w:rsidR="00986A1F">
        <w:t>;</w:t>
      </w:r>
      <w:r w:rsidR="00B201E6" w:rsidRPr="00A45399">
        <w:t xml:space="preserve"> </w:t>
      </w:r>
      <w:r w:rsidR="002F72B0" w:rsidRPr="00A45399">
        <w:t xml:space="preserve">Genizah portions: </w:t>
      </w:r>
      <w:r w:rsidR="002A4E45" w:rsidRPr="002A4E45">
        <w:rPr>
          <w:i/>
          <w:iCs/>
        </w:rPr>
        <w:t>kuf</w:t>
      </w:r>
      <w:r w:rsidR="002F72B0" w:rsidRPr="00A45399">
        <w:t>=Cambridge, University T-S</w:t>
      </w:r>
      <w:r w:rsidR="00425FE1" w:rsidRPr="00A45399">
        <w:t xml:space="preserve">, C 1.62; </w:t>
      </w:r>
    </w:p>
    <w:p w14:paraId="50A1E430" w14:textId="05B81237" w:rsidR="00AC4646" w:rsidRPr="00A45399" w:rsidRDefault="002A4E45" w:rsidP="00986A1F">
      <w:pPr>
        <w:spacing w:line="360" w:lineRule="auto"/>
        <w:ind w:firstLine="0"/>
      </w:pPr>
      <w:r w:rsidRPr="002A4E45">
        <w:rPr>
          <w:i/>
          <w:iCs/>
        </w:rPr>
        <w:t>samekh</w:t>
      </w:r>
      <w:r w:rsidR="00425FE1" w:rsidRPr="00A45399">
        <w:t xml:space="preserve">=St. Petersburg, </w:t>
      </w:r>
      <w:r w:rsidR="002E1382">
        <w:t>the Russian State</w:t>
      </w:r>
      <w:r w:rsidR="00425FE1" w:rsidRPr="00A45399">
        <w:t xml:space="preserve"> Library, Antonin Collection 927-928. </w:t>
      </w:r>
    </w:p>
    <w:p w14:paraId="036B771A" w14:textId="4CC4C5FC" w:rsidR="005350FC" w:rsidRPr="00A45399" w:rsidRDefault="005350FC" w:rsidP="00A02DA2">
      <w:pPr>
        <w:spacing w:line="360" w:lineRule="auto"/>
        <w:ind w:firstLine="0"/>
      </w:pPr>
    </w:p>
    <w:p w14:paraId="33EC2E76" w14:textId="0785C0D6" w:rsidR="005350FC" w:rsidRPr="00A45399" w:rsidRDefault="005350FC" w:rsidP="00A02DA2">
      <w:pPr>
        <w:spacing w:line="360" w:lineRule="auto"/>
        <w:ind w:firstLine="0"/>
      </w:pPr>
      <w:r w:rsidRPr="00A45399">
        <w:t xml:space="preserve">At the head of each </w:t>
      </w:r>
      <w:r w:rsidRPr="00986A1F">
        <w:rPr>
          <w:i/>
          <w:iCs/>
        </w:rPr>
        <w:t>parasha</w:t>
      </w:r>
      <w:r w:rsidR="00986A1F">
        <w:t>,</w:t>
      </w:r>
      <w:r w:rsidRPr="00A45399">
        <w:t xml:space="preserve"> I noted the editions it </w:t>
      </w:r>
      <w:r w:rsidR="00202C45">
        <w:t xml:space="preserve">includes </w:t>
      </w:r>
      <w:r w:rsidRPr="00A45399">
        <w:t>(</w:t>
      </w:r>
      <w:r w:rsidR="00202C45" w:rsidRPr="00A45399">
        <w:t xml:space="preserve">page numbers are indicated </w:t>
      </w:r>
      <w:r w:rsidRPr="00A45399">
        <w:t xml:space="preserve">in manuscripts </w:t>
      </w:r>
      <w:r w:rsidR="0024691D" w:rsidRPr="0024691D">
        <w:rPr>
          <w:i/>
          <w:iCs/>
        </w:rPr>
        <w:t>nun</w:t>
      </w:r>
      <w:r w:rsidRPr="00A45399">
        <w:t xml:space="preserve">, </w:t>
      </w:r>
      <w:r w:rsidR="0024691D" w:rsidRPr="0024691D">
        <w:rPr>
          <w:i/>
          <w:iCs/>
        </w:rPr>
        <w:t>pei</w:t>
      </w:r>
      <w:r w:rsidRPr="00A45399">
        <w:t xml:space="preserve">1, and </w:t>
      </w:r>
      <w:r w:rsidR="0024691D" w:rsidRPr="0024691D">
        <w:rPr>
          <w:i/>
          <w:iCs/>
        </w:rPr>
        <w:t>pei</w:t>
      </w:r>
      <w:r w:rsidRPr="00A45399">
        <w:t>2</w:t>
      </w:r>
      <w:r w:rsidR="00202C45">
        <w:t>;</w:t>
      </w:r>
      <w:r w:rsidRPr="00A45399">
        <w:t xml:space="preserve"> </w:t>
      </w:r>
      <w:r w:rsidR="00276A95" w:rsidRPr="00A45399">
        <w:t xml:space="preserve">in manuscripts </w:t>
      </w:r>
      <w:r w:rsidR="0024691D" w:rsidRPr="0024691D">
        <w:rPr>
          <w:i/>
          <w:iCs/>
        </w:rPr>
        <w:t>kuf</w:t>
      </w:r>
      <w:r w:rsidR="00276A95" w:rsidRPr="00A45399">
        <w:t xml:space="preserve"> and </w:t>
      </w:r>
      <w:r w:rsidR="0024691D" w:rsidRPr="0024691D">
        <w:rPr>
          <w:i/>
          <w:iCs/>
        </w:rPr>
        <w:t>samekh</w:t>
      </w:r>
      <w:r w:rsidR="00276A95" w:rsidRPr="00A45399">
        <w:t xml:space="preserve">, I refer to Rabinowitz and Lerner’s editions, respectively). </w:t>
      </w:r>
      <w:r w:rsidR="007C3A97">
        <w:t>The</w:t>
      </w:r>
      <w:r w:rsidR="00276A95" w:rsidRPr="00A45399">
        <w:t xml:space="preserve"> colors used to mark </w:t>
      </w:r>
      <w:r w:rsidR="00E342E4" w:rsidRPr="00A45399">
        <w:t>the manuscripts in each edition</w:t>
      </w:r>
      <w:r w:rsidR="007C3A97">
        <w:t xml:space="preserve"> are as follows:</w:t>
      </w:r>
      <w:r w:rsidR="00E342E4" w:rsidRPr="00A45399">
        <w:t xml:space="preserve"> </w:t>
      </w:r>
      <w:r w:rsidR="0003722E">
        <w:t>nun</w:t>
      </w:r>
      <w:r w:rsidR="00CF3BA2">
        <w:t>-black</w:t>
      </w:r>
      <w:r w:rsidR="00E342E4" w:rsidRPr="00A45399">
        <w:t xml:space="preserve">; </w:t>
      </w:r>
      <w:r w:rsidR="0003722E" w:rsidRPr="0024691D">
        <w:rPr>
          <w:i/>
          <w:iCs/>
        </w:rPr>
        <w:t>pei</w:t>
      </w:r>
      <w:r w:rsidR="0003722E">
        <w:t>2</w:t>
      </w:r>
      <w:r w:rsidR="00CF3BA2">
        <w:t xml:space="preserve">-green; </w:t>
      </w:r>
      <w:r w:rsidR="0003722E" w:rsidRPr="0024691D">
        <w:rPr>
          <w:i/>
          <w:iCs/>
        </w:rPr>
        <w:t>pei</w:t>
      </w:r>
      <w:r w:rsidR="0003722E" w:rsidRPr="00A45399">
        <w:t>1</w:t>
      </w:r>
      <w:r w:rsidR="00CF3BA2">
        <w:t>-</w:t>
      </w:r>
      <w:r w:rsidR="00E342E4" w:rsidRPr="00A45399">
        <w:t xml:space="preserve">red; </w:t>
      </w:r>
      <w:r w:rsidR="0003722E" w:rsidRPr="0003722E">
        <w:rPr>
          <w:i/>
          <w:iCs/>
        </w:rPr>
        <w:t>kuf</w:t>
      </w:r>
      <w:r w:rsidR="00CF3BA2">
        <w:t>-</w:t>
      </w:r>
      <w:r w:rsidR="00E342E4" w:rsidRPr="00A45399">
        <w:t xml:space="preserve">blue; </w:t>
      </w:r>
      <w:r w:rsidR="0003722E" w:rsidRPr="0003722E">
        <w:rPr>
          <w:i/>
          <w:iCs/>
        </w:rPr>
        <w:t>samekh</w:t>
      </w:r>
      <w:r w:rsidR="00CF3BA2">
        <w:t>-</w:t>
      </w:r>
      <w:r w:rsidR="00E342E4" w:rsidRPr="00A45399">
        <w:t xml:space="preserve">light blue. </w:t>
      </w:r>
    </w:p>
    <w:p w14:paraId="61E23E28" w14:textId="3F776ABC" w:rsidR="00E342E4" w:rsidRPr="00A45399" w:rsidRDefault="00E342E4" w:rsidP="00A02DA2">
      <w:pPr>
        <w:spacing w:line="360" w:lineRule="auto"/>
        <w:ind w:firstLine="0"/>
      </w:pPr>
    </w:p>
    <w:p w14:paraId="4BB3B118" w14:textId="0D0AAEB5" w:rsidR="00E73F9F" w:rsidRPr="00A45399" w:rsidRDefault="00313657" w:rsidP="00A02DA2">
      <w:pPr>
        <w:spacing w:line="360" w:lineRule="auto"/>
        <w:ind w:firstLine="0"/>
      </w:pPr>
      <w:r w:rsidRPr="00A45399">
        <w:t xml:space="preserve">My reconstruction of the midrash </w:t>
      </w:r>
      <w:r w:rsidR="006E5A40">
        <w:t>adheres to</w:t>
      </w:r>
      <w:r w:rsidRPr="00A45399">
        <w:t xml:space="preserve"> the</w:t>
      </w:r>
      <w:r w:rsidR="006E5A40">
        <w:t xml:space="preserve"> origin</w:t>
      </w:r>
      <w:r w:rsidRPr="00A45399">
        <w:t xml:space="preserve"> sources</w:t>
      </w:r>
      <w:r w:rsidR="001544F6">
        <w:t>;</w:t>
      </w:r>
      <w:r w:rsidR="006E5A40">
        <w:t xml:space="preserve"> however, </w:t>
      </w:r>
      <w:r w:rsidR="00330016">
        <w:t xml:space="preserve">minor changes were made for </w:t>
      </w:r>
      <w:r w:rsidR="006C5655">
        <w:t>more accessible reading</w:t>
      </w:r>
      <w:r w:rsidR="00F62832">
        <w:t>,</w:t>
      </w:r>
      <w:r w:rsidR="006C5655">
        <w:t xml:space="preserve"> </w:t>
      </w:r>
      <w:r w:rsidR="001544F6">
        <w:t xml:space="preserve">including </w:t>
      </w:r>
      <w:r w:rsidR="002C2317" w:rsidRPr="00A45399">
        <w:t>divi</w:t>
      </w:r>
      <w:r w:rsidR="003A5139">
        <w:t>ding the text</w:t>
      </w:r>
      <w:r w:rsidR="001544F6">
        <w:t xml:space="preserve"> </w:t>
      </w:r>
      <w:r w:rsidR="002C2317" w:rsidRPr="00A45399">
        <w:t xml:space="preserve">into </w:t>
      </w:r>
      <w:r w:rsidR="002C2317" w:rsidRPr="0027759A">
        <w:rPr>
          <w:i/>
          <w:iCs/>
        </w:rPr>
        <w:t>simanim</w:t>
      </w:r>
      <w:r w:rsidR="002C2317" w:rsidRPr="00A45399">
        <w:t xml:space="preserve">; </w:t>
      </w:r>
      <w:r w:rsidR="003A5139">
        <w:t>adding</w:t>
      </w:r>
      <w:r w:rsidR="00F62832">
        <w:t xml:space="preserve"> </w:t>
      </w:r>
      <w:r w:rsidR="002C2317" w:rsidRPr="00A45399">
        <w:t xml:space="preserve">quotation marks at the beginning and end of each verse; adding </w:t>
      </w:r>
      <w:r w:rsidR="00C829CF" w:rsidRPr="00A45399">
        <w:t xml:space="preserve">references to </w:t>
      </w:r>
      <w:r w:rsidR="00883AFF">
        <w:t>B</w:t>
      </w:r>
      <w:r w:rsidR="003A5139">
        <w:t>ible</w:t>
      </w:r>
      <w:r w:rsidR="00C829CF" w:rsidRPr="00A45399">
        <w:t xml:space="preserve"> verses</w:t>
      </w:r>
      <w:r w:rsidR="003A5139">
        <w:t xml:space="preserve">; </w:t>
      </w:r>
      <w:r w:rsidR="00042AB5">
        <w:t>completing partial</w:t>
      </w:r>
      <w:r w:rsidR="00C829CF" w:rsidRPr="00A45399">
        <w:t xml:space="preserve"> verse </w:t>
      </w:r>
      <w:r w:rsidR="00042AB5">
        <w:t>citations;</w:t>
      </w:r>
      <w:r w:rsidR="00C829CF" w:rsidRPr="00A45399">
        <w:t xml:space="preserve"> </w:t>
      </w:r>
      <w:r w:rsidR="00CF16AE" w:rsidRPr="00A45399">
        <w:t xml:space="preserve">and </w:t>
      </w:r>
      <w:r w:rsidR="00C829CF" w:rsidRPr="00A45399">
        <w:t xml:space="preserve">marking </w:t>
      </w:r>
      <w:r w:rsidR="00042AB5">
        <w:t>obscure</w:t>
      </w:r>
      <w:r w:rsidR="00876174" w:rsidRPr="00A45399">
        <w:t xml:space="preserve"> vocabulary with ast</w:t>
      </w:r>
      <w:r w:rsidR="00CF16AE" w:rsidRPr="00A45399">
        <w:t>eri</w:t>
      </w:r>
      <w:r w:rsidR="00245B54">
        <w:t>sk</w:t>
      </w:r>
      <w:r w:rsidR="00F20E2F">
        <w:t>s</w:t>
      </w:r>
      <w:r w:rsidR="00CF16AE" w:rsidRPr="00A45399">
        <w:t xml:space="preserve">. </w:t>
      </w:r>
      <w:r w:rsidR="00CF16AE" w:rsidRPr="00F20E2F">
        <w:t>In instances</w:t>
      </w:r>
      <w:r w:rsidR="00F20E2F">
        <w:t xml:space="preserve"> where</w:t>
      </w:r>
      <w:r w:rsidR="005429F0" w:rsidRPr="00F20E2F">
        <w:t xml:space="preserve"> </w:t>
      </w:r>
      <w:r w:rsidR="002352DA" w:rsidRPr="00F20E2F">
        <w:t xml:space="preserve">a </w:t>
      </w:r>
      <w:r w:rsidR="00EB29D9" w:rsidRPr="00F20E2F">
        <w:t xml:space="preserve">paragraph appears in </w:t>
      </w:r>
      <w:r w:rsidR="00C43B11">
        <w:t xml:space="preserve">only </w:t>
      </w:r>
      <w:r w:rsidR="00EB29D9" w:rsidRPr="00F20E2F">
        <w:t xml:space="preserve">one </w:t>
      </w:r>
      <w:r w:rsidR="00E20775">
        <w:t>source text</w:t>
      </w:r>
      <w:r w:rsidR="00EB29D9" w:rsidRPr="00F20E2F">
        <w:t xml:space="preserve"> </w:t>
      </w:r>
      <w:commentRangeStart w:id="12"/>
      <w:r w:rsidR="00EB29D9" w:rsidRPr="00F20E2F">
        <w:t>before or after the rest</w:t>
      </w:r>
      <w:commentRangeEnd w:id="12"/>
      <w:r w:rsidR="006527F8">
        <w:rPr>
          <w:rStyle w:val="CommentReference"/>
        </w:rPr>
        <w:commentReference w:id="12"/>
      </w:r>
      <w:r w:rsidR="005429F0" w:rsidRPr="00F20E2F">
        <w:t xml:space="preserve">, I </w:t>
      </w:r>
      <w:r w:rsidR="006527F8">
        <w:t>relocated</w:t>
      </w:r>
      <w:r w:rsidR="005429F0" w:rsidRPr="00F20E2F">
        <w:t xml:space="preserve"> it </w:t>
      </w:r>
      <w:r w:rsidR="00D02140">
        <w:rPr>
          <w:lang w:val="en-GB"/>
        </w:rPr>
        <w:t>to</w:t>
      </w:r>
      <w:r w:rsidR="005429F0" w:rsidRPr="00F20E2F">
        <w:t xml:space="preserve"> </w:t>
      </w:r>
      <w:r w:rsidR="00E20775">
        <w:t>apply to all</w:t>
      </w:r>
      <w:r w:rsidR="005429F0" w:rsidRPr="00F20E2F">
        <w:t xml:space="preserve"> </w:t>
      </w:r>
      <w:r w:rsidR="00E20775">
        <w:t xml:space="preserve">the </w:t>
      </w:r>
      <w:r w:rsidR="005429F0" w:rsidRPr="00F20E2F">
        <w:t xml:space="preserve">manuscripts, </w:t>
      </w:r>
      <w:r w:rsidR="00E20775">
        <w:t xml:space="preserve">coloring it </w:t>
      </w:r>
      <w:r w:rsidR="00E20775">
        <w:lastRenderedPageBreak/>
        <w:t xml:space="preserve">purple. </w:t>
      </w:r>
      <w:r w:rsidR="00D02140">
        <w:t>F</w:t>
      </w:r>
      <w:r w:rsidR="005429F0" w:rsidRPr="00A45399">
        <w:t xml:space="preserve">ootnotes regarding technical </w:t>
      </w:r>
      <w:r w:rsidR="00E73F9F" w:rsidRPr="00A45399">
        <w:t>issues in the manuscripts</w:t>
      </w:r>
      <w:r w:rsidR="00D02140">
        <w:t xml:space="preserve"> appear at the bottom of each </w:t>
      </w:r>
      <w:commentRangeStart w:id="13"/>
      <w:r w:rsidR="00D02140">
        <w:t>page</w:t>
      </w:r>
      <w:commentRangeEnd w:id="13"/>
      <w:r w:rsidR="00D02140">
        <w:rPr>
          <w:rStyle w:val="CommentReference"/>
        </w:rPr>
        <w:commentReference w:id="13"/>
      </w:r>
      <w:r w:rsidR="00D02140">
        <w:t>.</w:t>
      </w:r>
      <w:r w:rsidR="00E73F9F" w:rsidRPr="00A45399">
        <w:t xml:space="preserve"> </w:t>
      </w:r>
    </w:p>
    <w:p w14:paraId="5E313359" w14:textId="77777777" w:rsidR="00601DE8" w:rsidRDefault="00601DE8" w:rsidP="00A02DA2">
      <w:pPr>
        <w:spacing w:line="360" w:lineRule="auto"/>
        <w:ind w:firstLine="0"/>
      </w:pPr>
    </w:p>
    <w:p w14:paraId="63467ED8" w14:textId="21AD7644" w:rsidR="00E342E4" w:rsidRPr="00A45399" w:rsidRDefault="00ED114A" w:rsidP="00A02DA2">
      <w:pPr>
        <w:spacing w:line="360" w:lineRule="auto"/>
        <w:ind w:firstLine="0"/>
      </w:pPr>
      <w:r w:rsidRPr="00A45399">
        <w:t xml:space="preserve">Four </w:t>
      </w:r>
      <w:r w:rsidR="006E2B24" w:rsidRPr="00A45399">
        <w:t>later additions to the midrash</w:t>
      </w:r>
      <w:r w:rsidR="00A92CCE" w:rsidRPr="00A45399">
        <w:t xml:space="preserve"> are not included in the manuscript</w:t>
      </w:r>
      <w:r w:rsidR="006E2B24" w:rsidRPr="00A45399">
        <w:t>: 1-2</w:t>
      </w:r>
      <w:r w:rsidR="00242C03" w:rsidRPr="00A45399">
        <w:t>.</w:t>
      </w:r>
      <w:r w:rsidR="006E0B0D" w:rsidRPr="00A45399">
        <w:t xml:space="preserve"> </w:t>
      </w:r>
      <w:r w:rsidR="00D14693" w:rsidRPr="00601DE8">
        <w:rPr>
          <w:i/>
          <w:iCs/>
        </w:rPr>
        <w:t>S</w:t>
      </w:r>
      <w:r w:rsidR="006E0B0D" w:rsidRPr="00601DE8">
        <w:rPr>
          <w:i/>
          <w:iCs/>
        </w:rPr>
        <w:t>imanim</w:t>
      </w:r>
      <w:r w:rsidR="00D14693">
        <w:t xml:space="preserve"> </w:t>
      </w:r>
      <w:r w:rsidR="00F2791D">
        <w:rPr>
          <w:i/>
          <w:iCs/>
        </w:rPr>
        <w:t>alef,alef</w:t>
      </w:r>
      <w:r w:rsidR="00B23291">
        <w:t xml:space="preserve">; </w:t>
      </w:r>
      <w:r w:rsidR="00F2791D">
        <w:rPr>
          <w:i/>
          <w:iCs/>
        </w:rPr>
        <w:t>alef</w:t>
      </w:r>
      <w:r w:rsidR="00B23291">
        <w:t xml:space="preserve">; and </w:t>
      </w:r>
      <w:r w:rsidR="00F2791D">
        <w:rPr>
          <w:i/>
          <w:iCs/>
        </w:rPr>
        <w:t>tet</w:t>
      </w:r>
      <w:r w:rsidR="00AA34B7">
        <w:rPr>
          <w:i/>
          <w:iCs/>
        </w:rPr>
        <w:t xml:space="preserve">. </w:t>
      </w:r>
      <w:r w:rsidR="006E0B0D" w:rsidRPr="00A45399">
        <w:t>3</w:t>
      </w:r>
      <w:r w:rsidR="00242C03" w:rsidRPr="00A45399">
        <w:t>.</w:t>
      </w:r>
      <w:r w:rsidR="006E0B0D" w:rsidRPr="00A45399">
        <w:t xml:space="preserve"> </w:t>
      </w:r>
      <w:r w:rsidR="00F2791D">
        <w:t>A</w:t>
      </w:r>
      <w:r w:rsidR="006E0B0D" w:rsidRPr="00A45399">
        <w:t xml:space="preserve">n addition </w:t>
      </w:r>
      <w:r w:rsidR="00AA34B7">
        <w:t>unique to</w:t>
      </w:r>
      <w:r w:rsidR="006E0B0D" w:rsidRPr="00A45399">
        <w:t xml:space="preserve"> </w:t>
      </w:r>
      <w:r w:rsidR="0005692C" w:rsidRPr="0005692C">
        <w:rPr>
          <w:i/>
          <w:iCs/>
        </w:rPr>
        <w:t>pei</w:t>
      </w:r>
      <w:r w:rsidR="009C66C6" w:rsidRPr="0005692C">
        <w:rPr>
          <w:i/>
          <w:iCs/>
        </w:rPr>
        <w:t>2</w:t>
      </w:r>
      <w:r w:rsidR="009C66C6" w:rsidRPr="00A45399">
        <w:t xml:space="preserve">, </w:t>
      </w:r>
      <w:r w:rsidR="00F2791D">
        <w:t>preceding</w:t>
      </w:r>
      <w:r w:rsidR="00673153">
        <w:t xml:space="preserve"> </w:t>
      </w:r>
      <w:r w:rsidR="00673153" w:rsidRPr="00673153">
        <w:rPr>
          <w:i/>
          <w:iCs/>
        </w:rPr>
        <w:t>siman</w:t>
      </w:r>
      <w:r w:rsidR="00D13C5E">
        <w:rPr>
          <w:i/>
          <w:iCs/>
        </w:rPr>
        <w:t>im</w:t>
      </w:r>
      <w:r w:rsidR="009C66C6" w:rsidRPr="00A45399">
        <w:t xml:space="preserve"> </w:t>
      </w:r>
      <w:r w:rsidR="00673153" w:rsidRPr="00D14693">
        <w:rPr>
          <w:i/>
          <w:iCs/>
        </w:rPr>
        <w:t>d</w:t>
      </w:r>
      <w:r w:rsidR="00D13C5E">
        <w:rPr>
          <w:i/>
          <w:iCs/>
        </w:rPr>
        <w:t>alet and tet</w:t>
      </w:r>
      <w:r w:rsidR="009C66C6" w:rsidRPr="00A45399">
        <w:t xml:space="preserve"> copied from </w:t>
      </w:r>
      <w:r w:rsidR="009C66C6" w:rsidRPr="00A45399">
        <w:rPr>
          <w:i/>
          <w:iCs/>
        </w:rPr>
        <w:t>Shir HaShirim Rab</w:t>
      </w:r>
      <w:r w:rsidR="00D13C5E">
        <w:rPr>
          <w:i/>
          <w:iCs/>
        </w:rPr>
        <w:t>b</w:t>
      </w:r>
      <w:r w:rsidR="009C66C6" w:rsidRPr="00A45399">
        <w:rPr>
          <w:i/>
          <w:iCs/>
        </w:rPr>
        <w:t>a</w:t>
      </w:r>
      <w:r w:rsidR="00D13C5E">
        <w:rPr>
          <w:i/>
          <w:iCs/>
        </w:rPr>
        <w:t>h</w:t>
      </w:r>
      <w:r w:rsidR="009C66C6" w:rsidRPr="00A45399">
        <w:t>; and 4</w:t>
      </w:r>
      <w:r w:rsidR="00242C03" w:rsidRPr="00A45399">
        <w:t>.</w:t>
      </w:r>
      <w:r w:rsidR="009C66C6" w:rsidRPr="00A45399">
        <w:t xml:space="preserve"> </w:t>
      </w:r>
      <w:r w:rsidR="000E6E6D" w:rsidRPr="00A45399">
        <w:t xml:space="preserve">the section entitled </w:t>
      </w:r>
      <w:r w:rsidR="000E6E6D" w:rsidRPr="00A45399">
        <w:rPr>
          <w:i/>
          <w:iCs/>
        </w:rPr>
        <w:t>Agad</w:t>
      </w:r>
      <w:r w:rsidR="00BE4CB7">
        <w:rPr>
          <w:i/>
          <w:iCs/>
        </w:rPr>
        <w:t>d</w:t>
      </w:r>
      <w:r w:rsidR="000E6E6D" w:rsidRPr="00A45399">
        <w:rPr>
          <w:i/>
          <w:iCs/>
        </w:rPr>
        <w:t xml:space="preserve">ot </w:t>
      </w:r>
      <w:r w:rsidR="00242C03" w:rsidRPr="00A45399">
        <w:rPr>
          <w:i/>
          <w:iCs/>
        </w:rPr>
        <w:t>Aylu Nifti</w:t>
      </w:r>
      <w:r w:rsidR="009D098A">
        <w:rPr>
          <w:i/>
          <w:iCs/>
        </w:rPr>
        <w:t>k</w:t>
      </w:r>
      <w:r w:rsidR="00242C03" w:rsidRPr="00A45399">
        <w:rPr>
          <w:i/>
          <w:iCs/>
        </w:rPr>
        <w:t>hu Mi’to</w:t>
      </w:r>
      <w:r w:rsidR="009D098A">
        <w:rPr>
          <w:i/>
          <w:iCs/>
        </w:rPr>
        <w:t>k</w:t>
      </w:r>
      <w:r w:rsidR="00242C03" w:rsidRPr="00A45399">
        <w:rPr>
          <w:i/>
          <w:iCs/>
        </w:rPr>
        <w:t>ho</w:t>
      </w:r>
      <w:r w:rsidR="00242C03" w:rsidRPr="00A45399">
        <w:t xml:space="preserve"> </w:t>
      </w:r>
      <w:r w:rsidR="00FC2B53" w:rsidRPr="00A45399">
        <w:t xml:space="preserve">that appears at the end of manuscripts </w:t>
      </w:r>
      <w:r w:rsidR="00B108F9" w:rsidRPr="00B108F9">
        <w:rPr>
          <w:i/>
          <w:iCs/>
        </w:rPr>
        <w:t>nun</w:t>
      </w:r>
      <w:r w:rsidR="00FC2B53" w:rsidRPr="00A45399">
        <w:t xml:space="preserve"> and </w:t>
      </w:r>
      <w:r w:rsidR="00B108F9" w:rsidRPr="00B108F9">
        <w:rPr>
          <w:i/>
          <w:iCs/>
        </w:rPr>
        <w:t>pei</w:t>
      </w:r>
      <w:r w:rsidR="00FC2B53" w:rsidRPr="00A45399">
        <w:t>2, and is not part of the midrash sequence</w:t>
      </w:r>
      <w:r w:rsidR="00A92CCE" w:rsidRPr="00A45399">
        <w:t xml:space="preserve">. </w:t>
      </w:r>
      <w:r w:rsidR="00CC6C40">
        <w:t>(See</w:t>
      </w:r>
      <w:r w:rsidR="0053359E" w:rsidRPr="00A45399">
        <w:t xml:space="preserve"> appendix</w:t>
      </w:r>
      <w:r w:rsidR="009601D8">
        <w:t xml:space="preserve"> 3 and 4</w:t>
      </w:r>
      <w:r w:rsidR="00CC6C40">
        <w:t>)</w:t>
      </w:r>
      <w:r w:rsidR="007D60ED">
        <w:t>.</w:t>
      </w:r>
      <w:r w:rsidR="0053359E" w:rsidRPr="00A45399">
        <w:t xml:space="preserve"> </w:t>
      </w:r>
    </w:p>
    <w:p w14:paraId="699D0D0F" w14:textId="490AEAB7" w:rsidR="0053359E" w:rsidRPr="00A45399" w:rsidRDefault="0053359E" w:rsidP="00A02DA2">
      <w:pPr>
        <w:spacing w:line="360" w:lineRule="auto"/>
        <w:ind w:firstLine="0"/>
      </w:pPr>
    </w:p>
    <w:p w14:paraId="42DB4865" w14:textId="382F3AAA" w:rsidR="0053359E" w:rsidRPr="00A45399" w:rsidRDefault="0053359E" w:rsidP="00A02DA2">
      <w:pPr>
        <w:spacing w:line="360" w:lineRule="auto"/>
        <w:ind w:firstLine="0"/>
        <w:rPr>
          <w:u w:val="single"/>
        </w:rPr>
      </w:pPr>
      <w:r w:rsidRPr="00A45399">
        <w:rPr>
          <w:u w:val="single"/>
        </w:rPr>
        <w:t xml:space="preserve">Chapter Three – the Axes </w:t>
      </w:r>
    </w:p>
    <w:p w14:paraId="06EA6AD8" w14:textId="5F675B00" w:rsidR="0053359E" w:rsidRPr="00A45399" w:rsidRDefault="0053359E" w:rsidP="00A02DA2">
      <w:pPr>
        <w:spacing w:line="360" w:lineRule="auto"/>
        <w:ind w:firstLine="0"/>
      </w:pPr>
      <w:r w:rsidRPr="00A45399">
        <w:t xml:space="preserve">The third chapter </w:t>
      </w:r>
      <w:r w:rsidR="00FF2D4B" w:rsidRPr="00A45399">
        <w:t xml:space="preserve">focuses on the </w:t>
      </w:r>
      <w:r w:rsidR="007D60ED" w:rsidRPr="00A45399">
        <w:t>midrash</w:t>
      </w:r>
      <w:r w:rsidR="007D60ED">
        <w:t>’s</w:t>
      </w:r>
      <w:r w:rsidR="007D60ED" w:rsidRPr="00A45399">
        <w:t xml:space="preserve"> </w:t>
      </w:r>
      <w:r w:rsidR="00FF2D4B" w:rsidRPr="00A45399">
        <w:t xml:space="preserve">content and </w:t>
      </w:r>
      <w:r w:rsidR="00C5075B" w:rsidRPr="00A45399">
        <w:t>orientations</w:t>
      </w:r>
      <w:r w:rsidR="007D60ED">
        <w:t>.</w:t>
      </w:r>
      <w:r w:rsidR="00C5075B" w:rsidRPr="00A45399">
        <w:t xml:space="preserve"> </w:t>
      </w:r>
      <w:r w:rsidR="007D60ED">
        <w:t>Like most</w:t>
      </w:r>
      <w:r w:rsidR="00C5075B" w:rsidRPr="00A45399">
        <w:t xml:space="preserve"> </w:t>
      </w:r>
      <w:r w:rsidR="00C5075B" w:rsidRPr="00A45399">
        <w:rPr>
          <w:i/>
          <w:iCs/>
        </w:rPr>
        <w:t>Shir HaShirim</w:t>
      </w:r>
      <w:r w:rsidR="00C5075B" w:rsidRPr="00A45399">
        <w:t xml:space="preserve"> </w:t>
      </w:r>
      <w:r w:rsidR="00854A79" w:rsidRPr="00A45399">
        <w:t xml:space="preserve">midrashim, it does not </w:t>
      </w:r>
      <w:r w:rsidR="00F667C8">
        <w:t>read the text</w:t>
      </w:r>
      <w:r w:rsidR="0007110E">
        <w:t xml:space="preserve"> exegetical</w:t>
      </w:r>
      <w:r w:rsidR="00F667C8">
        <w:t>ly, but rather</w:t>
      </w:r>
      <w:r w:rsidR="0007110E">
        <w:t xml:space="preserve"> </w:t>
      </w:r>
      <w:r w:rsidR="00F667C8">
        <w:t>allegorically</w:t>
      </w:r>
      <w:r w:rsidR="003575D8">
        <w:t>.</w:t>
      </w:r>
      <w:r w:rsidR="004B6135">
        <w:t xml:space="preserve"> </w:t>
      </w:r>
      <w:r w:rsidR="003C5EF4">
        <w:t>Numerous themes are</w:t>
      </w:r>
      <w:r w:rsidR="00390856" w:rsidRPr="00A45399">
        <w:t xml:space="preserve"> </w:t>
      </w:r>
      <w:r w:rsidR="003575D8" w:rsidRPr="00A45399">
        <w:t xml:space="preserve">intertwined </w:t>
      </w:r>
      <w:r w:rsidR="003C5EF4">
        <w:t xml:space="preserve">throughout the midrash. </w:t>
      </w:r>
      <w:r w:rsidR="005F453D" w:rsidRPr="00A45399">
        <w:t xml:space="preserve">To examine </w:t>
      </w:r>
      <w:r w:rsidR="009804FA">
        <w:t>them</w:t>
      </w:r>
      <w:r w:rsidR="005F453D" w:rsidRPr="00A45399">
        <w:t xml:space="preserve"> </w:t>
      </w:r>
      <w:r w:rsidR="0081733C">
        <w:t>individually</w:t>
      </w:r>
      <w:r w:rsidR="005F453D" w:rsidRPr="00A45399">
        <w:t>, I separate</w:t>
      </w:r>
      <w:r w:rsidR="004A5638">
        <w:t>d</w:t>
      </w:r>
      <w:r w:rsidR="005F453D" w:rsidRPr="00A45399">
        <w:t xml:space="preserve"> the various </w:t>
      </w:r>
      <w:commentRangeStart w:id="14"/>
      <w:r w:rsidR="005F453D" w:rsidRPr="00A45399">
        <w:t>traditions</w:t>
      </w:r>
      <w:commentRangeEnd w:id="14"/>
      <w:r w:rsidR="001C690A">
        <w:rPr>
          <w:rStyle w:val="CommentReference"/>
        </w:rPr>
        <w:commentReference w:id="14"/>
      </w:r>
      <w:r w:rsidR="005F453D" w:rsidRPr="00A45399">
        <w:t xml:space="preserve">, </w:t>
      </w:r>
      <w:r w:rsidR="009804FA">
        <w:t xml:space="preserve">and </w:t>
      </w:r>
      <w:r w:rsidR="00075F4B">
        <w:t>identified</w:t>
      </w:r>
      <w:r w:rsidR="00E66DCC">
        <w:t xml:space="preserve"> the midrashim </w:t>
      </w:r>
      <w:r w:rsidR="00DC3FAE">
        <w:t>carrying a</w:t>
      </w:r>
      <w:r w:rsidR="003C2FE6">
        <w:t xml:space="preserve"> </w:t>
      </w:r>
      <w:r w:rsidR="00847D64">
        <w:t>specific</w:t>
      </w:r>
      <w:r w:rsidR="00E66DCC">
        <w:t xml:space="preserve"> </w:t>
      </w:r>
      <w:r w:rsidR="009067DD">
        <w:t>theme</w:t>
      </w:r>
      <w:r w:rsidR="00ED6C11">
        <w:t xml:space="preserve">. </w:t>
      </w:r>
      <w:r w:rsidR="00273E3E" w:rsidRPr="00A45399">
        <w:t xml:space="preserve">I refer to </w:t>
      </w:r>
      <w:r w:rsidR="00472677">
        <w:t>these</w:t>
      </w:r>
      <w:r w:rsidR="00273E3E" w:rsidRPr="00A45399">
        <w:t xml:space="preserve"> </w:t>
      </w:r>
      <w:r w:rsidR="00ED6C11">
        <w:t>theme</w:t>
      </w:r>
      <w:r w:rsidR="00472677">
        <w:t>s</w:t>
      </w:r>
      <w:r w:rsidR="00273E3E" w:rsidRPr="00A45399">
        <w:t xml:space="preserve"> as </w:t>
      </w:r>
      <w:r w:rsidR="00472677">
        <w:t>axes,</w:t>
      </w:r>
      <w:r w:rsidR="005E01B2">
        <w:t xml:space="preserve"> </w:t>
      </w:r>
      <w:r w:rsidR="00472677">
        <w:t xml:space="preserve">which I examined first in isolation, and then </w:t>
      </w:r>
      <w:r w:rsidR="004E338C">
        <w:t xml:space="preserve">together </w:t>
      </w:r>
      <w:r w:rsidR="00850B83">
        <w:t>to</w:t>
      </w:r>
      <w:r w:rsidR="004E338C">
        <w:t xml:space="preserve"> reveal the full extent of the midrash’s content and </w:t>
      </w:r>
      <w:r w:rsidR="00850B83">
        <w:t xml:space="preserve">the </w:t>
      </w:r>
      <w:r w:rsidR="000B0712">
        <w:t xml:space="preserve">meanings </w:t>
      </w:r>
      <w:r w:rsidR="000D14F6">
        <w:rPr>
          <w:lang w:val="en-GB"/>
        </w:rPr>
        <w:t xml:space="preserve">it communicates. </w:t>
      </w:r>
    </w:p>
    <w:p w14:paraId="3E6EEDAB" w14:textId="40A07ECE" w:rsidR="00DD0974" w:rsidRPr="00A45399" w:rsidRDefault="00DD0974" w:rsidP="00A02DA2">
      <w:pPr>
        <w:spacing w:line="360" w:lineRule="auto"/>
        <w:ind w:firstLine="0"/>
      </w:pPr>
    </w:p>
    <w:p w14:paraId="58071176" w14:textId="77777777" w:rsidR="00A4124C" w:rsidRDefault="00AF7FE8" w:rsidP="00A4124C">
      <w:pPr>
        <w:spacing w:line="360" w:lineRule="auto"/>
        <w:ind w:firstLine="0"/>
      </w:pPr>
      <w:r w:rsidRPr="00A45399">
        <w:t xml:space="preserve">I </w:t>
      </w:r>
      <w:r w:rsidR="00A4124C">
        <w:t>discovered four axes in</w:t>
      </w:r>
      <w:r w:rsidRPr="00A45399">
        <w:t xml:space="preserve"> the midrash</w:t>
      </w:r>
      <w:r w:rsidR="00A4124C">
        <w:t>:</w:t>
      </w:r>
      <w:r w:rsidRPr="00A45399">
        <w:t xml:space="preserve"> </w:t>
      </w:r>
    </w:p>
    <w:p w14:paraId="4535B369" w14:textId="0A9E3987" w:rsidR="00AF7FE8" w:rsidRPr="00A45399" w:rsidRDefault="00C13C9C" w:rsidP="00A4124C">
      <w:pPr>
        <w:pStyle w:val="ListParagraph"/>
        <w:numPr>
          <w:ilvl w:val="0"/>
          <w:numId w:val="1"/>
        </w:numPr>
        <w:spacing w:line="360" w:lineRule="auto"/>
      </w:pPr>
      <w:r w:rsidRPr="00A45399">
        <w:t xml:space="preserve">The historical axis/the </w:t>
      </w:r>
      <w:r w:rsidR="00A4124C">
        <w:t xml:space="preserve">‘past’ </w:t>
      </w:r>
      <w:r w:rsidRPr="00A45399">
        <w:t xml:space="preserve">axis. This is one of two prominent </w:t>
      </w:r>
      <w:r w:rsidR="002B1360" w:rsidRPr="00A45399">
        <w:t>axes</w:t>
      </w:r>
      <w:r w:rsidR="00A4124C">
        <w:t>. I</w:t>
      </w:r>
      <w:r w:rsidR="002B1360" w:rsidRPr="00A45399">
        <w:t xml:space="preserve">t deals with </w:t>
      </w:r>
      <w:r w:rsidR="00B45C85" w:rsidRPr="00A45399">
        <w:t xml:space="preserve">key events </w:t>
      </w:r>
      <w:r w:rsidR="00B45C85">
        <w:t xml:space="preserve">in </w:t>
      </w:r>
      <w:r w:rsidR="002B1360" w:rsidRPr="00A45399">
        <w:t>biblical history from its beginning (the creation), to its end (Koresh, the Persian king)</w:t>
      </w:r>
      <w:r w:rsidR="00D34FB3" w:rsidRPr="00A45399">
        <w:t xml:space="preserve">. </w:t>
      </w:r>
      <w:r w:rsidR="00B45C85">
        <w:t>In</w:t>
      </w:r>
      <w:r w:rsidR="00D34FB3" w:rsidRPr="00A45399">
        <w:t xml:space="preserve"> my opinion</w:t>
      </w:r>
      <w:r w:rsidR="00765B00">
        <w:t xml:space="preserve">, </w:t>
      </w:r>
      <w:r w:rsidR="002772BF">
        <w:t>this</w:t>
      </w:r>
      <w:r w:rsidR="00D34FB3" w:rsidRPr="00A45399">
        <w:t xml:space="preserve"> </w:t>
      </w:r>
      <w:r w:rsidR="00597C71">
        <w:t xml:space="preserve">is an </w:t>
      </w:r>
      <w:r w:rsidR="00D34FB3" w:rsidRPr="00A45399">
        <w:t xml:space="preserve">attempt to encompass </w:t>
      </w:r>
      <w:r w:rsidR="00765B00">
        <w:t>biblical</w:t>
      </w:r>
      <w:r w:rsidR="00D34FB3" w:rsidRPr="00A45399">
        <w:t xml:space="preserve"> history</w:t>
      </w:r>
      <w:r w:rsidR="00597C71">
        <w:t xml:space="preserve">, </w:t>
      </w:r>
      <w:r w:rsidR="002772BF">
        <w:t xml:space="preserve">motivated by a particular objective. </w:t>
      </w:r>
    </w:p>
    <w:p w14:paraId="035059BB" w14:textId="1F4FFFF6" w:rsidR="007659CF" w:rsidRPr="00A45399" w:rsidRDefault="007659CF" w:rsidP="007659CF">
      <w:pPr>
        <w:pStyle w:val="ListParagraph"/>
        <w:numPr>
          <w:ilvl w:val="0"/>
          <w:numId w:val="1"/>
        </w:numPr>
        <w:spacing w:line="360" w:lineRule="auto"/>
      </w:pPr>
      <w:r w:rsidRPr="00A45399">
        <w:t xml:space="preserve">The </w:t>
      </w:r>
      <w:r w:rsidR="009008F8" w:rsidRPr="00A45399">
        <w:t xml:space="preserve">eschatological </w:t>
      </w:r>
      <w:r w:rsidR="00705A67" w:rsidRPr="00A45399">
        <w:t xml:space="preserve">axis/the </w:t>
      </w:r>
      <w:r w:rsidR="00597C71">
        <w:t>‘</w:t>
      </w:r>
      <w:r w:rsidR="00705A67" w:rsidRPr="00A45399">
        <w:t>future</w:t>
      </w:r>
      <w:r w:rsidR="00597C71">
        <w:t>’ axis</w:t>
      </w:r>
      <w:r w:rsidR="00705A67" w:rsidRPr="00A45399">
        <w:t xml:space="preserve">. </w:t>
      </w:r>
      <w:r w:rsidR="00612A98">
        <w:t>As the</w:t>
      </w:r>
      <w:r w:rsidR="00705A67" w:rsidRPr="00A45399">
        <w:t xml:space="preserve"> second prominent axis, </w:t>
      </w:r>
      <w:r w:rsidR="00612A98">
        <w:t xml:space="preserve">the </w:t>
      </w:r>
      <w:r w:rsidR="00612A98" w:rsidRPr="00A45399">
        <w:t xml:space="preserve">eschatological </w:t>
      </w:r>
      <w:r w:rsidR="00612A98">
        <w:t xml:space="preserve">axis </w:t>
      </w:r>
      <w:r w:rsidR="00CD40CE">
        <w:t>is the</w:t>
      </w:r>
      <w:r w:rsidR="00705A67" w:rsidRPr="00A45399">
        <w:t xml:space="preserve"> opposite of the historical</w:t>
      </w:r>
      <w:r w:rsidR="00CD40CE">
        <w:t>, ‘past’</w:t>
      </w:r>
      <w:r w:rsidR="00705A67" w:rsidRPr="00A45399">
        <w:t xml:space="preserve"> axis </w:t>
      </w:r>
      <w:r w:rsidR="00CD40CE">
        <w:t>in that it is concerned with</w:t>
      </w:r>
      <w:r w:rsidR="00705A67" w:rsidRPr="00A45399">
        <w:t xml:space="preserve"> </w:t>
      </w:r>
      <w:r w:rsidR="00DD6EBF">
        <w:t xml:space="preserve">the </w:t>
      </w:r>
      <w:r w:rsidR="00DD2189" w:rsidRPr="00A45399">
        <w:t>future</w:t>
      </w:r>
      <w:r w:rsidR="0017377B" w:rsidRPr="00A45399">
        <w:t xml:space="preserve"> </w:t>
      </w:r>
      <w:r w:rsidR="000764B6" w:rsidRPr="00A45399">
        <w:t xml:space="preserve">expected to come at the end of days. </w:t>
      </w:r>
      <w:r w:rsidR="0085058F">
        <w:t>As</w:t>
      </w:r>
      <w:r w:rsidR="000764B6" w:rsidRPr="00A45399">
        <w:t xml:space="preserve"> in other </w:t>
      </w:r>
      <w:r w:rsidR="000764B6" w:rsidRPr="00A45399">
        <w:rPr>
          <w:i/>
          <w:iCs/>
        </w:rPr>
        <w:t>Shir HaShirim</w:t>
      </w:r>
      <w:r w:rsidR="000764B6" w:rsidRPr="00A45399">
        <w:t xml:space="preserve"> midrashim, </w:t>
      </w:r>
      <w:r w:rsidR="00B177D9" w:rsidRPr="00A45399">
        <w:t xml:space="preserve">these axes </w:t>
      </w:r>
      <w:r w:rsidR="00DD6EBF">
        <w:t>underscore</w:t>
      </w:r>
      <w:r w:rsidR="00B177D9" w:rsidRPr="00A45399">
        <w:t xml:space="preserve"> </w:t>
      </w:r>
      <w:r w:rsidR="00BB0EAA">
        <w:t>the</w:t>
      </w:r>
      <w:r w:rsidR="00B177D9" w:rsidRPr="00A45399">
        <w:t xml:space="preserve"> emphasis in this midrash on </w:t>
      </w:r>
      <w:r w:rsidR="00F55565" w:rsidRPr="00A45399">
        <w:t xml:space="preserve">the exodus from Egypt, the </w:t>
      </w:r>
      <w:r w:rsidR="006E1096" w:rsidRPr="00A45399">
        <w:t xml:space="preserve">giving of the Torah, the </w:t>
      </w:r>
      <w:r w:rsidR="00CF206D" w:rsidRPr="00A45399">
        <w:t>t</w:t>
      </w:r>
      <w:r w:rsidR="006E1096" w:rsidRPr="00A45399">
        <w:t xml:space="preserve">abernacle and </w:t>
      </w:r>
      <w:r w:rsidR="00CF206D" w:rsidRPr="00A45399">
        <w:t xml:space="preserve">temple, and future redemption. </w:t>
      </w:r>
    </w:p>
    <w:p w14:paraId="018D83C7" w14:textId="238904EA" w:rsidR="005409C9" w:rsidRPr="00A45399" w:rsidRDefault="0017314F" w:rsidP="007659CF">
      <w:pPr>
        <w:pStyle w:val="ListParagraph"/>
        <w:numPr>
          <w:ilvl w:val="0"/>
          <w:numId w:val="1"/>
        </w:numPr>
        <w:spacing w:line="360" w:lineRule="auto"/>
      </w:pPr>
      <w:r w:rsidRPr="00A45399">
        <w:t xml:space="preserve">The </w:t>
      </w:r>
      <w:r w:rsidR="005D2D37">
        <w:t>‘</w:t>
      </w:r>
      <w:r w:rsidRPr="00A45399">
        <w:t>present</w:t>
      </w:r>
      <w:r w:rsidR="005D2D37">
        <w:t>’ axis</w:t>
      </w:r>
      <w:r w:rsidRPr="00A45399">
        <w:t>. This axis is unique to this midrash</w:t>
      </w:r>
      <w:r w:rsidR="00EC309C">
        <w:t xml:space="preserve"> in that it</w:t>
      </w:r>
      <w:r w:rsidRPr="00A45399">
        <w:t xml:space="preserve"> links the historical and eschatological axes</w:t>
      </w:r>
      <w:r w:rsidR="005D2D37">
        <w:t xml:space="preserve"> to</w:t>
      </w:r>
      <w:r w:rsidRPr="00A45399">
        <w:t xml:space="preserve"> constitute </w:t>
      </w:r>
      <w:r w:rsidR="00EC309C">
        <w:t xml:space="preserve">a </w:t>
      </w:r>
      <w:r w:rsidR="00EC309C" w:rsidRPr="00A45399">
        <w:t xml:space="preserve">past-present-future </w:t>
      </w:r>
      <w:r w:rsidRPr="00A45399">
        <w:t>sequence</w:t>
      </w:r>
      <w:r w:rsidR="00EC309C">
        <w:t>.</w:t>
      </w:r>
      <w:r w:rsidRPr="00A45399">
        <w:t xml:space="preserve"> Th</w:t>
      </w:r>
      <w:r w:rsidR="00EC309C">
        <w:t>e ‘pres</w:t>
      </w:r>
      <w:r w:rsidR="00EF3280">
        <w:t>e</w:t>
      </w:r>
      <w:r w:rsidR="00EC309C">
        <w:t>nt’</w:t>
      </w:r>
      <w:r w:rsidRPr="00A45399">
        <w:t xml:space="preserve"> axis </w:t>
      </w:r>
      <w:r w:rsidR="00EF3280">
        <w:t>focuses on</w:t>
      </w:r>
      <w:r w:rsidRPr="00A45399">
        <w:t xml:space="preserve"> the history of the </w:t>
      </w:r>
      <w:r w:rsidR="00A50A4A" w:rsidRPr="00A45399">
        <w:t>Second Temple</w:t>
      </w:r>
      <w:r w:rsidR="0096353A">
        <w:t xml:space="preserve"> and the </w:t>
      </w:r>
      <w:r w:rsidR="00EE3702">
        <w:t xml:space="preserve">period </w:t>
      </w:r>
      <w:r w:rsidR="00EE3702" w:rsidRPr="00A45399">
        <w:t>following</w:t>
      </w:r>
      <w:r w:rsidR="00A50A4A" w:rsidRPr="00A45399">
        <w:t xml:space="preserve"> its destruction, Torah and Mitzvot, </w:t>
      </w:r>
      <w:r w:rsidR="00F901C8">
        <w:t>the people of</w:t>
      </w:r>
      <w:r w:rsidR="00E91862" w:rsidRPr="00A45399">
        <w:t xml:space="preserve"> Israel, life amongst gentiles, </w:t>
      </w:r>
      <w:r w:rsidR="005409C9" w:rsidRPr="00A45399">
        <w:t xml:space="preserve">reflections on the nature of man, and practical </w:t>
      </w:r>
      <w:r w:rsidR="002E27C9">
        <w:t>guidelines</w:t>
      </w:r>
      <w:r w:rsidR="005409C9" w:rsidRPr="00A45399">
        <w:t xml:space="preserve">. </w:t>
      </w:r>
    </w:p>
    <w:p w14:paraId="030E20DB" w14:textId="26BD4362" w:rsidR="00945C4F" w:rsidRPr="00A45399" w:rsidRDefault="005409C9" w:rsidP="007659CF">
      <w:pPr>
        <w:pStyle w:val="ListParagraph"/>
        <w:numPr>
          <w:ilvl w:val="0"/>
          <w:numId w:val="1"/>
        </w:numPr>
        <w:spacing w:line="360" w:lineRule="auto"/>
      </w:pPr>
      <w:r w:rsidRPr="00A45399">
        <w:lastRenderedPageBreak/>
        <w:t>The mystical axis. This is the shortest axis</w:t>
      </w:r>
      <w:r w:rsidR="00FE46BA">
        <w:t xml:space="preserve"> – an attribute which,</w:t>
      </w:r>
      <w:r w:rsidRPr="00A45399">
        <w:t xml:space="preserve"> in my opinion, is not </w:t>
      </w:r>
      <w:r w:rsidR="00EE3702" w:rsidRPr="00A45399">
        <w:t>coinciden</w:t>
      </w:r>
      <w:r w:rsidR="00EE3702">
        <w:t>tal considering that this</w:t>
      </w:r>
      <w:r w:rsidR="00945C4F" w:rsidRPr="00A45399">
        <w:t xml:space="preserve"> </w:t>
      </w:r>
      <w:r w:rsidR="00294AD3">
        <w:t xml:space="preserve">is not a principle </w:t>
      </w:r>
      <w:r w:rsidR="00945C4F" w:rsidRPr="00A45399">
        <w:t xml:space="preserve">topic </w:t>
      </w:r>
      <w:r w:rsidR="00294AD3">
        <w:t>in</w:t>
      </w:r>
      <w:r w:rsidR="00945C4F" w:rsidRPr="00A45399">
        <w:t xml:space="preserve"> the midrash</w:t>
      </w:r>
      <w:r w:rsidR="00607B7B">
        <w:t>, and that</w:t>
      </w:r>
      <w:r w:rsidR="00945C4F" w:rsidRPr="00A45399">
        <w:t xml:space="preserve"> </w:t>
      </w:r>
      <w:r w:rsidR="002E27C9">
        <w:t>the te</w:t>
      </w:r>
      <w:r w:rsidR="009777DA">
        <w:t xml:space="preserve">xt’s </w:t>
      </w:r>
      <w:r w:rsidR="00294AD3">
        <w:t>key</w:t>
      </w:r>
      <w:r w:rsidR="00945C4F" w:rsidRPr="00A45399">
        <w:t xml:space="preserve"> messages </w:t>
      </w:r>
      <w:r w:rsidR="009777DA">
        <w:t xml:space="preserve">are </w:t>
      </w:r>
      <w:r w:rsidR="00945C4F" w:rsidRPr="00A45399">
        <w:t xml:space="preserve">conveyed </w:t>
      </w:r>
      <w:r w:rsidR="009777DA">
        <w:t>through</w:t>
      </w:r>
      <w:r w:rsidR="00945C4F" w:rsidRPr="00A45399">
        <w:t xml:space="preserve"> the historical axes</w:t>
      </w:r>
      <w:r w:rsidR="00294AD3">
        <w:t>.</w:t>
      </w:r>
      <w:r w:rsidR="00945C4F" w:rsidRPr="00A45399">
        <w:t xml:space="preserve"> (I assume</w:t>
      </w:r>
      <w:r w:rsidR="009777DA">
        <w:t>, however,</w:t>
      </w:r>
      <w:r w:rsidR="00945C4F" w:rsidRPr="00A45399">
        <w:t xml:space="preserve"> that if </w:t>
      </w:r>
      <w:r w:rsidR="009777DA">
        <w:t xml:space="preserve">analyzed, </w:t>
      </w:r>
      <w:r w:rsidR="00294AD3">
        <w:t>I</w:t>
      </w:r>
      <w:r w:rsidR="001156B1">
        <w:t xml:space="preserve"> will find that this axis contains </w:t>
      </w:r>
      <w:r w:rsidR="00945C4F" w:rsidRPr="00A45399">
        <w:t>message</w:t>
      </w:r>
      <w:r w:rsidR="00F0155A">
        <w:t>s</w:t>
      </w:r>
      <w:r w:rsidR="00945C4F" w:rsidRPr="00A45399">
        <w:t xml:space="preserve"> </w:t>
      </w:r>
      <w:r w:rsidR="00F0155A">
        <w:t>similar to</w:t>
      </w:r>
      <w:r w:rsidR="00945C4F" w:rsidRPr="00A45399">
        <w:t xml:space="preserve"> those </w:t>
      </w:r>
      <w:r w:rsidR="00F0155A">
        <w:t>in</w:t>
      </w:r>
      <w:r w:rsidR="00945C4F" w:rsidRPr="00A45399">
        <w:t xml:space="preserve"> the historical axes). </w:t>
      </w:r>
    </w:p>
    <w:p w14:paraId="734041FA" w14:textId="77777777" w:rsidR="00945C4F" w:rsidRPr="00A45399" w:rsidRDefault="00945C4F" w:rsidP="00945C4F">
      <w:pPr>
        <w:spacing w:line="360" w:lineRule="auto"/>
        <w:ind w:firstLine="0"/>
      </w:pPr>
    </w:p>
    <w:p w14:paraId="4930806D" w14:textId="63C4123E" w:rsidR="00871F46" w:rsidRPr="00A45399" w:rsidRDefault="00BD3C93" w:rsidP="00376DCB">
      <w:pPr>
        <w:spacing w:line="360" w:lineRule="auto"/>
        <w:ind w:firstLine="0"/>
      </w:pPr>
      <w:r w:rsidRPr="00A45399">
        <w:t xml:space="preserve">Analysis of the axes shows that the principle themes </w:t>
      </w:r>
      <w:r w:rsidR="00400F46" w:rsidRPr="00A45399">
        <w:t xml:space="preserve">are embedded in the ‘present’ axis. </w:t>
      </w:r>
      <w:r w:rsidR="007B56BA">
        <w:t>This axis</w:t>
      </w:r>
      <w:r w:rsidR="00400F46" w:rsidRPr="00A45399">
        <w:t xml:space="preserve"> </w:t>
      </w:r>
      <w:r w:rsidR="007F580E">
        <w:t>includes</w:t>
      </w:r>
      <w:r w:rsidR="00400F46" w:rsidRPr="00A45399">
        <w:t xml:space="preserve"> </w:t>
      </w:r>
      <w:r w:rsidR="007F580E">
        <w:t>a</w:t>
      </w:r>
      <w:r w:rsidR="007B56BA">
        <w:t xml:space="preserve"> </w:t>
      </w:r>
      <w:r w:rsidR="007F580E">
        <w:t>distinct order</w:t>
      </w:r>
      <w:r w:rsidR="00400F46" w:rsidRPr="00A45399">
        <w:t xml:space="preserve"> </w:t>
      </w:r>
      <w:r w:rsidR="007F580E">
        <w:t>for</w:t>
      </w:r>
      <w:r w:rsidR="00EC33B2" w:rsidRPr="00A45399">
        <w:t xml:space="preserve"> </w:t>
      </w:r>
      <w:r w:rsidR="008202CE">
        <w:t xml:space="preserve">the people of </w:t>
      </w:r>
      <w:r w:rsidR="00EC33B2" w:rsidRPr="00A45399">
        <w:t xml:space="preserve">Israel </w:t>
      </w:r>
      <w:r w:rsidR="007F580E">
        <w:t>to</w:t>
      </w:r>
      <w:r w:rsidR="00EC33B2" w:rsidRPr="00A45399">
        <w:t xml:space="preserve"> accept the situation in which they are governed by gentiles, not to revolt against them, and </w:t>
      </w:r>
      <w:r w:rsidR="00C9094A">
        <w:t>to avoid</w:t>
      </w:r>
      <w:r w:rsidR="00EC33B2" w:rsidRPr="00A45399">
        <w:t xml:space="preserve"> attempt</w:t>
      </w:r>
      <w:r w:rsidR="00C9094A">
        <w:t>s</w:t>
      </w:r>
      <w:r w:rsidR="00EC33B2" w:rsidRPr="00A45399">
        <w:t xml:space="preserve"> </w:t>
      </w:r>
      <w:r w:rsidR="008202CE">
        <w:t>to expedite</w:t>
      </w:r>
      <w:r w:rsidR="008D1593" w:rsidRPr="00A45399">
        <w:t xml:space="preserve"> the coming of the end of days </w:t>
      </w:r>
      <w:r w:rsidR="00C9094A">
        <w:t xml:space="preserve">by taking action, which, as they know from past experiences, </w:t>
      </w:r>
      <w:r w:rsidR="008D1593" w:rsidRPr="00A45399">
        <w:t xml:space="preserve">may </w:t>
      </w:r>
      <w:r w:rsidR="00F25A99">
        <w:t>exacerbate</w:t>
      </w:r>
      <w:r w:rsidR="008D1593" w:rsidRPr="00A45399">
        <w:t xml:space="preserve"> the situation</w:t>
      </w:r>
      <w:r w:rsidR="0063490B">
        <w:t>. They must accept t</w:t>
      </w:r>
      <w:r w:rsidR="00E127AF" w:rsidRPr="00A45399">
        <w:t xml:space="preserve">he present circumstance </w:t>
      </w:r>
      <w:r w:rsidR="0063490B">
        <w:t xml:space="preserve">as </w:t>
      </w:r>
      <w:r w:rsidR="00E127AF" w:rsidRPr="00A45399">
        <w:t>justified punishment from above</w:t>
      </w:r>
      <w:r w:rsidR="0063490B">
        <w:t xml:space="preserve">. </w:t>
      </w:r>
      <w:r w:rsidR="0037340B">
        <w:t>Still, t</w:t>
      </w:r>
      <w:r w:rsidR="00E127AF" w:rsidRPr="00A45399">
        <w:t>he midrash also encourages Israel</w:t>
      </w:r>
      <w:r w:rsidR="00FD1BF1">
        <w:t xml:space="preserve"> by</w:t>
      </w:r>
      <w:r w:rsidR="00B959EC" w:rsidRPr="00A45399">
        <w:t xml:space="preserve"> stating that it is the best of nations</w:t>
      </w:r>
      <w:r w:rsidR="0037340B">
        <w:t xml:space="preserve">, </w:t>
      </w:r>
      <w:r w:rsidR="00630D2C">
        <w:t xml:space="preserve">and </w:t>
      </w:r>
      <w:r w:rsidR="00CB524A">
        <w:t>worthy</w:t>
      </w:r>
      <w:r w:rsidR="0037340B">
        <w:t xml:space="preserve"> in the eyes of God</w:t>
      </w:r>
      <w:r w:rsidR="00CB524A">
        <w:t xml:space="preserve"> </w:t>
      </w:r>
      <w:r w:rsidR="00630D2C">
        <w:t>who</w:t>
      </w:r>
      <w:r w:rsidR="00CC1206" w:rsidRPr="00A45399">
        <w:t xml:space="preserve"> </w:t>
      </w:r>
      <w:r w:rsidR="00630D2C">
        <w:t>therefore</w:t>
      </w:r>
      <w:r w:rsidR="006D6228">
        <w:t>,</w:t>
      </w:r>
      <w:r w:rsidR="00630D2C">
        <w:t xml:space="preserve"> will </w:t>
      </w:r>
      <w:r w:rsidR="00FD1BF1">
        <w:t>not allow its</w:t>
      </w:r>
      <w:r w:rsidR="006E5209">
        <w:t xml:space="preserve"> </w:t>
      </w:r>
      <w:r w:rsidR="004117C2" w:rsidRPr="00A45399">
        <w:t>annihilat</w:t>
      </w:r>
      <w:r w:rsidR="006D6228">
        <w:t>ion by other nations</w:t>
      </w:r>
      <w:r w:rsidR="00D41566">
        <w:t>,</w:t>
      </w:r>
      <w:r w:rsidR="004117C2" w:rsidRPr="00A45399">
        <w:t xml:space="preserve"> </w:t>
      </w:r>
      <w:r w:rsidR="00FD1BF1">
        <w:t xml:space="preserve">and </w:t>
      </w:r>
      <w:r w:rsidR="00D41566">
        <w:t xml:space="preserve">by </w:t>
      </w:r>
      <w:r w:rsidR="00FD1BF1">
        <w:t xml:space="preserve">stressing the value of studying </w:t>
      </w:r>
      <w:r w:rsidR="00871F46" w:rsidRPr="00A45399">
        <w:t>and abiding by</w:t>
      </w:r>
      <w:r w:rsidR="004117C2" w:rsidRPr="00A45399">
        <w:t xml:space="preserve"> the Torah</w:t>
      </w:r>
      <w:r w:rsidR="00376DCB">
        <w:t>.</w:t>
      </w:r>
      <w:r w:rsidR="009A39D0">
        <w:t xml:space="preserve"> </w:t>
      </w:r>
    </w:p>
    <w:p w14:paraId="10AD7D32" w14:textId="77777777" w:rsidR="00871F46" w:rsidRPr="00A45399" w:rsidRDefault="00871F46" w:rsidP="00945C4F">
      <w:pPr>
        <w:spacing w:line="360" w:lineRule="auto"/>
        <w:ind w:firstLine="0"/>
      </w:pPr>
    </w:p>
    <w:p w14:paraId="3684ACFD" w14:textId="770405CB" w:rsidR="00FF7402" w:rsidRPr="00A45399" w:rsidRDefault="003F6324" w:rsidP="00337040">
      <w:pPr>
        <w:spacing w:line="360" w:lineRule="auto"/>
        <w:ind w:firstLine="0"/>
      </w:pPr>
      <w:r>
        <w:t>Notwithstanding</w:t>
      </w:r>
      <w:r w:rsidR="00871F46" w:rsidRPr="00A45399">
        <w:t xml:space="preserve"> </w:t>
      </w:r>
      <w:r w:rsidR="00FF4F47">
        <w:t>directives</w:t>
      </w:r>
      <w:r w:rsidR="00871F46" w:rsidRPr="00A45399">
        <w:t xml:space="preserve"> for</w:t>
      </w:r>
      <w:r w:rsidR="004117C2" w:rsidRPr="00A45399">
        <w:t xml:space="preserve"> </w:t>
      </w:r>
      <w:r w:rsidR="00E807DD" w:rsidRPr="00A45399">
        <w:t xml:space="preserve">passivity, the midrash </w:t>
      </w:r>
      <w:r>
        <w:t>addresses</w:t>
      </w:r>
      <w:r w:rsidR="00E807DD" w:rsidRPr="00A45399">
        <w:t xml:space="preserve"> the expectation for redemption. The eschatological axis </w:t>
      </w:r>
      <w:r w:rsidR="00C3279A" w:rsidRPr="00A45399">
        <w:t>include</w:t>
      </w:r>
      <w:r w:rsidR="00A54332" w:rsidRPr="00A45399">
        <w:t>s</w:t>
      </w:r>
      <w:r w:rsidR="00C3279A" w:rsidRPr="00A45399">
        <w:t xml:space="preserve"> a powerful description of events in the future</w:t>
      </w:r>
      <w:r w:rsidR="00F42BA2" w:rsidRPr="00A45399">
        <w:t xml:space="preserve">: redemption, the </w:t>
      </w:r>
      <w:r w:rsidR="00D24700">
        <w:t>world to come</w:t>
      </w:r>
      <w:r w:rsidR="00F42BA2" w:rsidRPr="00A45399">
        <w:t>, the Messiah and Elijah, the resurrection of the dead</w:t>
      </w:r>
      <w:r w:rsidR="00060C92" w:rsidRPr="00A45399">
        <w:t xml:space="preserve">, Gog </w:t>
      </w:r>
      <w:r w:rsidR="00D24700">
        <w:t>and Magog</w:t>
      </w:r>
      <w:r w:rsidR="00060C92" w:rsidRPr="00A45399">
        <w:t xml:space="preserve">, the punishments that will be inflicted upon the kingdoms and </w:t>
      </w:r>
      <w:r w:rsidR="00EF7642">
        <w:t xml:space="preserve">in turn, </w:t>
      </w:r>
      <w:r w:rsidR="00060C92" w:rsidRPr="00A45399">
        <w:t xml:space="preserve">their acceptance of </w:t>
      </w:r>
      <w:r w:rsidR="00252325">
        <w:t>God</w:t>
      </w:r>
      <w:r w:rsidR="00060C92" w:rsidRPr="00A45399">
        <w:t xml:space="preserve"> and Israel, the </w:t>
      </w:r>
      <w:r w:rsidR="00ED5C84" w:rsidRPr="00A45399">
        <w:t>assembling of the diasporas</w:t>
      </w:r>
      <w:r w:rsidR="00EF7642">
        <w:t>,</w:t>
      </w:r>
      <w:r w:rsidR="00ED5C84" w:rsidRPr="00A45399">
        <w:t xml:space="preserve"> the return of the </w:t>
      </w:r>
      <w:r w:rsidR="00252325">
        <w:t>divine spirit (</w:t>
      </w:r>
      <w:r w:rsidR="00252325" w:rsidRPr="00252325">
        <w:rPr>
          <w:i/>
          <w:iCs/>
        </w:rPr>
        <w:t>S</w:t>
      </w:r>
      <w:r w:rsidR="00FF4F47">
        <w:rPr>
          <w:i/>
          <w:iCs/>
        </w:rPr>
        <w:t>h’</w:t>
      </w:r>
      <w:r w:rsidR="00252325" w:rsidRPr="00252325">
        <w:rPr>
          <w:i/>
          <w:iCs/>
        </w:rPr>
        <w:t>hina</w:t>
      </w:r>
      <w:r w:rsidR="00252325">
        <w:t>)</w:t>
      </w:r>
      <w:r w:rsidR="00ED5C84" w:rsidRPr="00A45399">
        <w:t xml:space="preserve">, </w:t>
      </w:r>
      <w:r w:rsidR="00685772">
        <w:t xml:space="preserve">and </w:t>
      </w:r>
      <w:r w:rsidR="00ED5C84" w:rsidRPr="00A45399">
        <w:t xml:space="preserve">the </w:t>
      </w:r>
      <w:r w:rsidR="00685772">
        <w:t>re</w:t>
      </w:r>
      <w:r w:rsidR="00ED5C84" w:rsidRPr="00A45399">
        <w:t xml:space="preserve">building of Jerusalem and the Temple. </w:t>
      </w:r>
      <w:r w:rsidR="00F03931">
        <w:t>While the message is that these promises will be kept</w:t>
      </w:r>
      <w:r w:rsidR="000C6CEF">
        <w:t xml:space="preserve">, manifest in future events, </w:t>
      </w:r>
      <w:r w:rsidR="00F03931">
        <w:t xml:space="preserve">it is at the same time </w:t>
      </w:r>
      <w:r w:rsidR="007B2063">
        <w:t>clear that</w:t>
      </w:r>
      <w:r w:rsidR="009B4AA5">
        <w:t xml:space="preserve"> their </w:t>
      </w:r>
      <w:r w:rsidR="000C6CEF">
        <w:t>realization</w:t>
      </w:r>
      <w:r w:rsidR="009B4AA5">
        <w:t xml:space="preserve"> is </w:t>
      </w:r>
      <w:r w:rsidR="00337040">
        <w:t xml:space="preserve">indeterminately </w:t>
      </w:r>
      <w:r w:rsidR="009B4AA5">
        <w:t>deferred</w:t>
      </w:r>
      <w:r w:rsidR="00337040">
        <w:t>.</w:t>
      </w:r>
      <w:r w:rsidR="009A39D0">
        <w:t xml:space="preserve"> </w:t>
      </w:r>
    </w:p>
    <w:p w14:paraId="19B0C610" w14:textId="77777777" w:rsidR="00FF7402" w:rsidRPr="00A45399" w:rsidRDefault="00FF7402" w:rsidP="00945C4F">
      <w:pPr>
        <w:spacing w:line="360" w:lineRule="auto"/>
        <w:ind w:firstLine="0"/>
      </w:pPr>
    </w:p>
    <w:p w14:paraId="7ED0C723" w14:textId="37070C5D" w:rsidR="002F59CA" w:rsidRPr="00A45399" w:rsidRDefault="000631EB" w:rsidP="00945C4F">
      <w:pPr>
        <w:spacing w:line="360" w:lineRule="auto"/>
        <w:ind w:firstLine="0"/>
      </w:pPr>
      <w:r>
        <w:t>Still, t</w:t>
      </w:r>
      <w:r w:rsidR="00FF7402" w:rsidRPr="00A45399">
        <w:t xml:space="preserve">he midrash </w:t>
      </w:r>
      <w:r>
        <w:t>provides assurances for these prospects</w:t>
      </w:r>
      <w:r w:rsidR="00AE1388">
        <w:t>. B</w:t>
      </w:r>
      <w:r w:rsidR="00F00303">
        <w:t xml:space="preserve">y pointing </w:t>
      </w:r>
      <w:r w:rsidR="00766D27">
        <w:t xml:space="preserve">(on the historical axis) </w:t>
      </w:r>
      <w:r w:rsidR="00F00303">
        <w:t xml:space="preserve">to </w:t>
      </w:r>
      <w:r w:rsidR="004B6135">
        <w:t>the</w:t>
      </w:r>
      <w:r w:rsidR="004B6135" w:rsidRPr="00A45399">
        <w:t xml:space="preserve"> manifestations</w:t>
      </w:r>
      <w:r w:rsidR="00F60605">
        <w:t xml:space="preserve"> of</w:t>
      </w:r>
      <w:r w:rsidR="00791A54">
        <w:t xml:space="preserve"> </w:t>
      </w:r>
      <w:r w:rsidR="003A0234" w:rsidRPr="00A45399">
        <w:t xml:space="preserve">the </w:t>
      </w:r>
      <w:r w:rsidR="00537935" w:rsidRPr="00A45399">
        <w:t xml:space="preserve">providence bestowed upon the </w:t>
      </w:r>
      <w:r w:rsidR="002F7A13">
        <w:t xml:space="preserve">chosen </w:t>
      </w:r>
      <w:r w:rsidR="00537935" w:rsidRPr="00A45399">
        <w:t>people of Israel</w:t>
      </w:r>
      <w:r w:rsidR="00C404B8">
        <w:t xml:space="preserve"> </w:t>
      </w:r>
      <w:r w:rsidR="007F21DE">
        <w:t xml:space="preserve">such </w:t>
      </w:r>
      <w:r w:rsidR="005021E5">
        <w:t xml:space="preserve">as </w:t>
      </w:r>
      <w:r w:rsidR="002F59CA" w:rsidRPr="00A45399">
        <w:t xml:space="preserve">ancestral merit, and </w:t>
      </w:r>
      <w:r w:rsidR="00D32DF4">
        <w:t>historical</w:t>
      </w:r>
      <w:r w:rsidR="002F59CA" w:rsidRPr="00A45399">
        <w:t xml:space="preserve"> events </w:t>
      </w:r>
      <w:r w:rsidR="00DB6015">
        <w:t>verifying the existence of a plan and leader</w:t>
      </w:r>
      <w:r w:rsidR="00E2340F">
        <w:t xml:space="preserve">, </w:t>
      </w:r>
      <w:r w:rsidR="007B1105">
        <w:t xml:space="preserve">the midrash stresses that </w:t>
      </w:r>
      <w:r w:rsidR="002F59CA" w:rsidRPr="00A45399">
        <w:t>history is not arbitrary</w:t>
      </w:r>
      <w:r w:rsidR="005061D7">
        <w:t xml:space="preserve">, but </w:t>
      </w:r>
      <w:r w:rsidR="00007616">
        <w:t xml:space="preserve">rather </w:t>
      </w:r>
      <w:r w:rsidR="005061D7">
        <w:t xml:space="preserve">preconceived </w:t>
      </w:r>
      <w:r w:rsidR="00315F18">
        <w:t>to accommodate</w:t>
      </w:r>
      <w:r w:rsidR="005061D7">
        <w:t xml:space="preserve"> God’s will.</w:t>
      </w:r>
      <w:r w:rsidR="009A39D0">
        <w:t xml:space="preserve"> </w:t>
      </w:r>
    </w:p>
    <w:p w14:paraId="506C35B1" w14:textId="77777777" w:rsidR="002F59CA" w:rsidRPr="00A45399" w:rsidRDefault="002F59CA" w:rsidP="00945C4F">
      <w:pPr>
        <w:spacing w:line="360" w:lineRule="auto"/>
        <w:ind w:firstLine="0"/>
      </w:pPr>
    </w:p>
    <w:p w14:paraId="4A1E03B9" w14:textId="13E9D7EE" w:rsidR="00800B7E" w:rsidRDefault="00E2037A" w:rsidP="00945C4F">
      <w:pPr>
        <w:spacing w:line="360" w:lineRule="auto"/>
        <w:ind w:firstLine="0"/>
      </w:pPr>
      <w:r>
        <w:t>I</w:t>
      </w:r>
      <w:r w:rsidRPr="00A45399">
        <w:t>n the midrash</w:t>
      </w:r>
      <w:r>
        <w:t>,</w:t>
      </w:r>
      <w:r w:rsidRPr="00A45399">
        <w:t xml:space="preserve"> </w:t>
      </w:r>
      <w:r w:rsidR="00541E27">
        <w:t>e</w:t>
      </w:r>
      <w:r w:rsidR="002F59CA" w:rsidRPr="00A45399">
        <w:t>mphas</w:t>
      </w:r>
      <w:r w:rsidR="00E53B8B">
        <w:t>es</w:t>
      </w:r>
      <w:r w:rsidR="002F59CA" w:rsidRPr="00A45399">
        <w:t xml:space="preserve"> on </w:t>
      </w:r>
      <w:r w:rsidR="00536B38">
        <w:t xml:space="preserve">the </w:t>
      </w:r>
      <w:r w:rsidR="008C2D55" w:rsidRPr="00A45399">
        <w:t>enslavement</w:t>
      </w:r>
      <w:r w:rsidR="00766D27">
        <w:t xml:space="preserve"> in Egypt</w:t>
      </w:r>
      <w:r w:rsidR="008C2D55" w:rsidRPr="00A45399">
        <w:t>, the exodus from Egypt</w:t>
      </w:r>
      <w:r w:rsidR="00E53B8B">
        <w:t>,</w:t>
      </w:r>
      <w:r w:rsidR="00766D27">
        <w:t xml:space="preserve"> and</w:t>
      </w:r>
      <w:r w:rsidR="008C2D55" w:rsidRPr="00A45399">
        <w:t xml:space="preserve"> the parting of the Red Sea </w:t>
      </w:r>
      <w:r w:rsidR="00FC6667" w:rsidRPr="00A45399">
        <w:t xml:space="preserve">function as proof that </w:t>
      </w:r>
      <w:r w:rsidR="00966895">
        <w:t xml:space="preserve">having experienced hardships in the past from which they were redeemed by God, </w:t>
      </w:r>
      <w:r w:rsidR="00315F18">
        <w:t>the people of Israel</w:t>
      </w:r>
      <w:r w:rsidR="00FC6667" w:rsidRPr="00A45399">
        <w:t xml:space="preserve"> </w:t>
      </w:r>
      <w:r w:rsidR="00966895">
        <w:t xml:space="preserve">will be redeemed </w:t>
      </w:r>
      <w:r w:rsidR="00966895">
        <w:lastRenderedPageBreak/>
        <w:t xml:space="preserve">again in the future. </w:t>
      </w:r>
      <w:r w:rsidR="00A65086">
        <w:t xml:space="preserve">This concept, </w:t>
      </w:r>
      <w:r w:rsidR="00175B08">
        <w:t xml:space="preserve">according to which </w:t>
      </w:r>
      <w:r w:rsidR="004341DE" w:rsidRPr="00A45399">
        <w:t>the exodus from Egypt is a paradigm</w:t>
      </w:r>
      <w:r w:rsidR="00800B7E" w:rsidRPr="00A45399">
        <w:t xml:space="preserve"> for future redemption, is discernable in </w:t>
      </w:r>
      <w:r w:rsidR="00A65086">
        <w:t>the Sages</w:t>
      </w:r>
      <w:r w:rsidR="00800B7E" w:rsidRPr="00A45399">
        <w:t xml:space="preserve">, and </w:t>
      </w:r>
      <w:r w:rsidR="001F7BC3">
        <w:t xml:space="preserve">is </w:t>
      </w:r>
      <w:r w:rsidR="00740C19">
        <w:t xml:space="preserve">accentuated </w:t>
      </w:r>
      <w:r w:rsidR="001F7BC3">
        <w:t>repeatedly</w:t>
      </w:r>
      <w:r w:rsidR="00800B7E" w:rsidRPr="00A45399">
        <w:t xml:space="preserve"> in </w:t>
      </w:r>
      <w:r w:rsidR="001F7BC3">
        <w:t>the</w:t>
      </w:r>
      <w:r w:rsidR="00800B7E" w:rsidRPr="00A45399">
        <w:t xml:space="preserve"> midrash. </w:t>
      </w:r>
    </w:p>
    <w:p w14:paraId="0D0D7B7D" w14:textId="77777777" w:rsidR="00E53B8B" w:rsidRPr="00A45399" w:rsidRDefault="00E53B8B" w:rsidP="00945C4F">
      <w:pPr>
        <w:spacing w:line="360" w:lineRule="auto"/>
        <w:ind w:firstLine="0"/>
      </w:pPr>
    </w:p>
    <w:p w14:paraId="783F0D0B" w14:textId="5CA128B0" w:rsidR="003A639F" w:rsidRPr="00A45399" w:rsidRDefault="00800B7E" w:rsidP="000475B9">
      <w:pPr>
        <w:spacing w:line="360" w:lineRule="auto"/>
        <w:ind w:firstLine="0"/>
      </w:pPr>
      <w:r w:rsidRPr="00A45399">
        <w:t xml:space="preserve">The midrash </w:t>
      </w:r>
      <w:r w:rsidR="00D35475">
        <w:t>means</w:t>
      </w:r>
      <w:r w:rsidR="001B7CB9" w:rsidRPr="00A45399">
        <w:t xml:space="preserve"> to educate </w:t>
      </w:r>
      <w:r w:rsidR="000B21F7">
        <w:t xml:space="preserve">the people of Israel </w:t>
      </w:r>
      <w:r w:rsidR="001B7CB9" w:rsidRPr="00A45399">
        <w:t xml:space="preserve">for a </w:t>
      </w:r>
      <w:r w:rsidR="00D35475">
        <w:t>specific</w:t>
      </w:r>
      <w:r w:rsidR="000B21F7">
        <w:t xml:space="preserve"> way of life by </w:t>
      </w:r>
      <w:r w:rsidR="001B7CB9" w:rsidRPr="00A45399">
        <w:t xml:space="preserve">illustrating the bitter consequences of </w:t>
      </w:r>
      <w:r w:rsidR="00EB7905">
        <w:t>those they</w:t>
      </w:r>
      <w:r w:rsidR="001B7CB9" w:rsidRPr="00A45399">
        <w:t xml:space="preserve"> </w:t>
      </w:r>
      <w:r w:rsidR="00CA1FDA" w:rsidRPr="00A45399">
        <w:t>should avoid</w:t>
      </w:r>
      <w:r w:rsidR="00EB7905">
        <w:t>. H</w:t>
      </w:r>
      <w:r w:rsidR="00CA1FDA" w:rsidRPr="00A45399">
        <w:t xml:space="preserve">owever, </w:t>
      </w:r>
      <w:r w:rsidR="00EB7905">
        <w:t xml:space="preserve">here too, these </w:t>
      </w:r>
      <w:r w:rsidR="007B638D" w:rsidRPr="00A45399">
        <w:t xml:space="preserve">severe messages are </w:t>
      </w:r>
      <w:r w:rsidR="000475B9">
        <w:t>mitigated</w:t>
      </w:r>
      <w:r w:rsidR="007E6197">
        <w:t xml:space="preserve"> </w:t>
      </w:r>
      <w:r w:rsidR="00E53B8B">
        <w:t xml:space="preserve">by </w:t>
      </w:r>
      <w:r w:rsidR="000475B9">
        <w:t xml:space="preserve">reassurances regarding the present, and </w:t>
      </w:r>
      <w:r w:rsidR="00926BB5">
        <w:t xml:space="preserve">expressions of </w:t>
      </w:r>
      <w:r w:rsidR="000475B9">
        <w:t xml:space="preserve">hope for the future. </w:t>
      </w:r>
    </w:p>
    <w:p w14:paraId="468C4909" w14:textId="77777777" w:rsidR="003A639F" w:rsidRPr="00A45399" w:rsidRDefault="003A639F" w:rsidP="00945C4F">
      <w:pPr>
        <w:spacing w:line="360" w:lineRule="auto"/>
        <w:ind w:firstLine="0"/>
      </w:pPr>
    </w:p>
    <w:p w14:paraId="22DAC5A6" w14:textId="382BC8C1" w:rsidR="00BC3F3A" w:rsidRPr="00A45399" w:rsidRDefault="007D15D2" w:rsidP="00945C4F">
      <w:pPr>
        <w:spacing w:line="360" w:lineRule="auto"/>
        <w:ind w:firstLine="0"/>
      </w:pPr>
      <w:r w:rsidRPr="00A45399">
        <w:t xml:space="preserve">Analysis of the axes elicits the image of </w:t>
      </w:r>
      <w:r w:rsidR="00E436D1">
        <w:t>the</w:t>
      </w:r>
      <w:r w:rsidR="006E30AB">
        <w:t xml:space="preserve"> </w:t>
      </w:r>
      <w:r w:rsidRPr="00A45399">
        <w:t>editor</w:t>
      </w:r>
      <w:r w:rsidR="006E30AB">
        <w:t xml:space="preserve">, revealing in turn, </w:t>
      </w:r>
      <w:r w:rsidR="006E30AB" w:rsidRPr="00A45399">
        <w:t>that</w:t>
      </w:r>
      <w:r w:rsidRPr="00A45399">
        <w:t xml:space="preserve"> </w:t>
      </w:r>
      <w:r w:rsidR="006E30AB">
        <w:t xml:space="preserve">while </w:t>
      </w:r>
      <w:r w:rsidR="005346CD">
        <w:t>this</w:t>
      </w:r>
      <w:r w:rsidRPr="00A45399">
        <w:t xml:space="preserve"> </w:t>
      </w:r>
      <w:r w:rsidR="006E30AB">
        <w:t>midrash is</w:t>
      </w:r>
      <w:r w:rsidR="006E30AB" w:rsidRPr="00A45399">
        <w:t xml:space="preserve"> </w:t>
      </w:r>
      <w:r w:rsidRPr="00A45399">
        <w:t xml:space="preserve">interpretative, </w:t>
      </w:r>
      <w:r w:rsidR="00E436D1">
        <w:t>he</w:t>
      </w:r>
      <w:r w:rsidRPr="00A45399">
        <w:t xml:space="preserve"> </w:t>
      </w:r>
      <w:r w:rsidR="00263349" w:rsidRPr="00A45399">
        <w:t xml:space="preserve">applied methods </w:t>
      </w:r>
      <w:r w:rsidR="00456677" w:rsidRPr="00A45399">
        <w:t>like</w:t>
      </w:r>
      <w:r w:rsidR="00263349" w:rsidRPr="00A45399">
        <w:t xml:space="preserve"> those employed by homiletical editors</w:t>
      </w:r>
      <w:r w:rsidR="00DE53C4" w:rsidRPr="00A45399">
        <w:t xml:space="preserve"> of </w:t>
      </w:r>
      <w:r w:rsidR="00456677">
        <w:t>M</w:t>
      </w:r>
      <w:commentRangeStart w:id="15"/>
      <w:r w:rsidR="00DE53C4" w:rsidRPr="00A45399">
        <w:t>idrash</w:t>
      </w:r>
      <w:commentRangeEnd w:id="15"/>
      <w:r w:rsidR="009F4656">
        <w:rPr>
          <w:rStyle w:val="CommentReference"/>
        </w:rPr>
        <w:commentReference w:id="15"/>
      </w:r>
      <w:r w:rsidR="00DE53C4" w:rsidRPr="00A45399">
        <w:t xml:space="preserve">. </w:t>
      </w:r>
      <w:r w:rsidR="0049491D">
        <w:rPr>
          <w:rFonts w:hint="cs"/>
        </w:rPr>
        <w:t>T</w:t>
      </w:r>
      <w:r w:rsidR="0049491D">
        <w:rPr>
          <w:lang w:val="en-GB"/>
        </w:rPr>
        <w:t>he editor not only</w:t>
      </w:r>
      <w:r w:rsidR="00DE53C4" w:rsidRPr="00A45399">
        <w:t xml:space="preserve"> </w:t>
      </w:r>
      <w:r w:rsidR="009F4656">
        <w:rPr>
          <w:lang w:val="en-GB"/>
        </w:rPr>
        <w:t>compiled</w:t>
      </w:r>
      <w:r w:rsidR="00DE53C4" w:rsidRPr="00A45399">
        <w:t xml:space="preserve"> midrashim on verses from </w:t>
      </w:r>
      <w:r w:rsidR="00DE53C4" w:rsidRPr="00A45399">
        <w:rPr>
          <w:i/>
          <w:iCs/>
        </w:rPr>
        <w:t>Shir HaShirim</w:t>
      </w:r>
      <w:r w:rsidR="00DE53C4" w:rsidRPr="00A45399">
        <w:t xml:space="preserve">, </w:t>
      </w:r>
      <w:r w:rsidR="00933E1D" w:rsidRPr="00A45399">
        <w:t>but processed</w:t>
      </w:r>
      <w:r w:rsidR="008E5428" w:rsidRPr="00A45399">
        <w:t xml:space="preserve"> </w:t>
      </w:r>
      <w:r w:rsidR="00933E1D" w:rsidRPr="00A45399">
        <w:t xml:space="preserve">and </w:t>
      </w:r>
      <w:r w:rsidR="008E5428" w:rsidRPr="00A45399">
        <w:t>edited</w:t>
      </w:r>
      <w:r w:rsidR="00A54332" w:rsidRPr="00A45399">
        <w:t xml:space="preserve"> </w:t>
      </w:r>
      <w:r w:rsidR="008E5428" w:rsidRPr="00A45399">
        <w:t xml:space="preserve">the material </w:t>
      </w:r>
      <w:r w:rsidR="009C5B48">
        <w:t>to comply with</w:t>
      </w:r>
      <w:r w:rsidR="008E5428" w:rsidRPr="00A45399">
        <w:t xml:space="preserve"> his objectives and </w:t>
      </w:r>
      <w:r w:rsidR="006B1186">
        <w:t xml:space="preserve">the </w:t>
      </w:r>
      <w:r w:rsidR="008E5428" w:rsidRPr="00A45399">
        <w:t xml:space="preserve">messages he </w:t>
      </w:r>
      <w:r w:rsidR="006B1186">
        <w:t>wanted</w:t>
      </w:r>
      <w:r w:rsidR="008E5428" w:rsidRPr="00A45399">
        <w:t xml:space="preserve"> to communicate. </w:t>
      </w:r>
      <w:r w:rsidR="006B1186">
        <w:t>Hence, the editor</w:t>
      </w:r>
      <w:r w:rsidR="008E5428" w:rsidRPr="00A45399">
        <w:t xml:space="preserve"> </w:t>
      </w:r>
      <w:r w:rsidR="006B1186">
        <w:t xml:space="preserve">plays </w:t>
      </w:r>
      <w:r w:rsidR="008E5428" w:rsidRPr="00A45399">
        <w:t xml:space="preserve">a </w:t>
      </w:r>
      <w:r w:rsidR="007D39E1" w:rsidRPr="00A45399">
        <w:t xml:space="preserve">decisive role in the midrash, and should not be </w:t>
      </w:r>
      <w:r w:rsidR="00BC3F3A" w:rsidRPr="00A45399">
        <w:t>disregarded.</w:t>
      </w:r>
    </w:p>
    <w:p w14:paraId="6BFAAEBC" w14:textId="77777777" w:rsidR="00BC3F3A" w:rsidRPr="00A45399" w:rsidRDefault="00BC3F3A" w:rsidP="00945C4F">
      <w:pPr>
        <w:spacing w:line="360" w:lineRule="auto"/>
        <w:ind w:firstLine="0"/>
      </w:pPr>
    </w:p>
    <w:p w14:paraId="378127D6" w14:textId="4000FA6C" w:rsidR="00BC3F3A" w:rsidRPr="00A45399" w:rsidRDefault="00BC3F3A" w:rsidP="00945C4F">
      <w:pPr>
        <w:spacing w:line="360" w:lineRule="auto"/>
        <w:ind w:firstLine="0"/>
        <w:rPr>
          <w:u w:val="single"/>
        </w:rPr>
      </w:pPr>
      <w:r w:rsidRPr="00A45399">
        <w:rPr>
          <w:u w:val="single"/>
        </w:rPr>
        <w:t xml:space="preserve">Chapter Four – Literary </w:t>
      </w:r>
      <w:r w:rsidR="004014A1" w:rsidRPr="00A45399">
        <w:rPr>
          <w:u w:val="single"/>
        </w:rPr>
        <w:t>Forms</w:t>
      </w:r>
    </w:p>
    <w:p w14:paraId="5FEC6EF6" w14:textId="369E90C8" w:rsidR="00F535C9" w:rsidRPr="00A45399" w:rsidRDefault="0061224C" w:rsidP="00945C4F">
      <w:pPr>
        <w:spacing w:line="360" w:lineRule="auto"/>
        <w:ind w:firstLine="0"/>
      </w:pPr>
      <w:r>
        <w:t>C</w:t>
      </w:r>
      <w:r w:rsidR="00BC3F3A" w:rsidRPr="00A45399">
        <w:t xml:space="preserve">hapter </w:t>
      </w:r>
      <w:r>
        <w:t xml:space="preserve">Four </w:t>
      </w:r>
      <w:r w:rsidR="00BC3F3A" w:rsidRPr="00A45399">
        <w:t xml:space="preserve">deals with </w:t>
      </w:r>
      <w:r w:rsidR="004014A1" w:rsidRPr="00A45399">
        <w:t xml:space="preserve">the three prominent literary forms in the midrash: </w:t>
      </w:r>
      <w:r w:rsidR="00F535C9" w:rsidRPr="00A45399">
        <w:t>ptirot, legends and stories:</w:t>
      </w:r>
    </w:p>
    <w:p w14:paraId="75C1C616" w14:textId="505468CB" w:rsidR="0006147E" w:rsidRDefault="00F535C9" w:rsidP="00F535C9">
      <w:pPr>
        <w:pStyle w:val="ListParagraph"/>
        <w:numPr>
          <w:ilvl w:val="0"/>
          <w:numId w:val="2"/>
        </w:numPr>
        <w:spacing w:line="360" w:lineRule="auto"/>
      </w:pPr>
      <w:r w:rsidRPr="00545FDB">
        <w:rPr>
          <w:i/>
          <w:iCs/>
        </w:rPr>
        <w:t>Ptirot</w:t>
      </w:r>
      <w:r w:rsidRPr="00A45399">
        <w:t xml:space="preserve">: </w:t>
      </w:r>
      <w:r w:rsidR="00E64988" w:rsidRPr="00545FDB">
        <w:rPr>
          <w:i/>
          <w:iCs/>
        </w:rPr>
        <w:t>Ptirot</w:t>
      </w:r>
      <w:r w:rsidR="00E64988">
        <w:t xml:space="preserve"> are </w:t>
      </w:r>
      <w:r w:rsidRPr="00A45399">
        <w:t xml:space="preserve">the most </w:t>
      </w:r>
      <w:r w:rsidR="00BA6356" w:rsidRPr="00A45399">
        <w:t xml:space="preserve">common </w:t>
      </w:r>
      <w:r w:rsidR="00F84420" w:rsidRPr="00A45399">
        <w:t xml:space="preserve">homiletical </w:t>
      </w:r>
      <w:r w:rsidR="00BA6356" w:rsidRPr="00A45399">
        <w:t xml:space="preserve">form </w:t>
      </w:r>
      <w:r w:rsidR="00F84420" w:rsidRPr="00A45399">
        <w:t>in the midrash (albeit th</w:t>
      </w:r>
      <w:r w:rsidR="001018A6" w:rsidRPr="00A45399">
        <w:t xml:space="preserve">e root </w:t>
      </w:r>
      <w:r w:rsidR="001018A6" w:rsidRPr="00545FDB">
        <w:rPr>
          <w:i/>
          <w:iCs/>
        </w:rPr>
        <w:t>pt”r</w:t>
      </w:r>
      <w:r w:rsidR="001018A6" w:rsidRPr="00A45399">
        <w:t xml:space="preserve"> does not appear</w:t>
      </w:r>
      <w:r w:rsidR="00997D21" w:rsidRPr="00A45399">
        <w:t xml:space="preserve">). </w:t>
      </w:r>
      <w:r w:rsidR="0094395D">
        <w:t>The</w:t>
      </w:r>
      <w:r w:rsidR="00997D21" w:rsidRPr="00A45399">
        <w:t xml:space="preserve"> </w:t>
      </w:r>
      <w:r w:rsidR="00997D21" w:rsidRPr="00545FDB">
        <w:rPr>
          <w:i/>
          <w:iCs/>
        </w:rPr>
        <w:t>ptirot</w:t>
      </w:r>
      <w:r w:rsidR="00997D21" w:rsidRPr="00A45399">
        <w:t xml:space="preserve"> </w:t>
      </w:r>
      <w:r w:rsidR="0094395D">
        <w:t xml:space="preserve">in my edition are indicated with </w:t>
      </w:r>
      <w:r w:rsidR="009A5275">
        <w:t xml:space="preserve">one of two </w:t>
      </w:r>
      <w:r w:rsidR="00E4611E">
        <w:t>titles</w:t>
      </w:r>
      <w:r w:rsidR="009A5275">
        <w:t xml:space="preserve">: </w:t>
      </w:r>
      <w:r w:rsidR="00997D21" w:rsidRPr="00545FDB">
        <w:rPr>
          <w:i/>
          <w:iCs/>
        </w:rPr>
        <w:t>milot ptira</w:t>
      </w:r>
      <w:r w:rsidR="00997D21" w:rsidRPr="00A45399">
        <w:t xml:space="preserve"> </w:t>
      </w:r>
      <w:r w:rsidR="00642997" w:rsidRPr="00A45399">
        <w:t xml:space="preserve">or </w:t>
      </w:r>
      <w:r w:rsidR="00642997" w:rsidRPr="00545FDB">
        <w:rPr>
          <w:i/>
          <w:iCs/>
        </w:rPr>
        <w:t>mishpatei ptira</w:t>
      </w:r>
      <w:r w:rsidR="009A5275">
        <w:t>.</w:t>
      </w:r>
      <w:r w:rsidR="00642997" w:rsidRPr="00A45399">
        <w:t xml:space="preserve"> </w:t>
      </w:r>
      <w:r w:rsidR="009A5275">
        <w:t>I</w:t>
      </w:r>
      <w:r w:rsidR="00642997" w:rsidRPr="00A45399">
        <w:t xml:space="preserve"> found that the midrash </w:t>
      </w:r>
      <w:r w:rsidR="00E4611E">
        <w:t xml:space="preserve">contains an abundance of </w:t>
      </w:r>
      <w:r w:rsidR="00E4611E" w:rsidRPr="00545FDB">
        <w:rPr>
          <w:i/>
          <w:iCs/>
        </w:rPr>
        <w:t>ptirot</w:t>
      </w:r>
      <w:r w:rsidR="00E4611E">
        <w:t xml:space="preserve"> (</w:t>
      </w:r>
      <w:r w:rsidR="00642997" w:rsidRPr="00A45399">
        <w:t>includ</w:t>
      </w:r>
      <w:r w:rsidR="00E4611E">
        <w:t>ing those</w:t>
      </w:r>
      <w:r w:rsidR="00642997" w:rsidRPr="00A45399">
        <w:t xml:space="preserve"> without these identifying </w:t>
      </w:r>
      <w:r w:rsidR="0036166A" w:rsidRPr="00A45399">
        <w:t>titles</w:t>
      </w:r>
      <w:r w:rsidR="00642997" w:rsidRPr="00A45399">
        <w:t xml:space="preserve">). </w:t>
      </w:r>
      <w:r w:rsidR="0036166A" w:rsidRPr="00A45399">
        <w:t xml:space="preserve">My analysis indicates that </w:t>
      </w:r>
      <w:r w:rsidR="0036166A" w:rsidRPr="00545FDB">
        <w:rPr>
          <w:i/>
          <w:iCs/>
        </w:rPr>
        <w:t>ptira</w:t>
      </w:r>
      <w:r w:rsidR="0036166A" w:rsidRPr="00A45399">
        <w:t xml:space="preserve"> words in th</w:t>
      </w:r>
      <w:r w:rsidR="00412F63">
        <w:t>is</w:t>
      </w:r>
      <w:r w:rsidR="0036166A" w:rsidRPr="00A45399">
        <w:t xml:space="preserve"> midrash are </w:t>
      </w:r>
      <w:r w:rsidR="00412F63">
        <w:t>comparable to</w:t>
      </w:r>
      <w:r w:rsidR="0036166A" w:rsidRPr="00A45399">
        <w:t xml:space="preserve"> those in Tan</w:t>
      </w:r>
      <w:r w:rsidR="00FE3E87" w:rsidRPr="00A45399">
        <w:t>n</w:t>
      </w:r>
      <w:r w:rsidR="00EC1B6D" w:rsidRPr="00A45399">
        <w:t>a</w:t>
      </w:r>
      <w:r w:rsidR="00FE3E87" w:rsidRPr="00A45399">
        <w:t>i</w:t>
      </w:r>
      <w:r w:rsidR="00EC1B6D" w:rsidRPr="00A45399">
        <w:t xml:space="preserve">tic literature, </w:t>
      </w:r>
      <w:r w:rsidR="00245C68">
        <w:t>as opposed to those</w:t>
      </w:r>
      <w:r w:rsidR="00EC1B6D" w:rsidRPr="00A45399">
        <w:t xml:space="preserve"> in Amoraic literature. </w:t>
      </w:r>
      <w:r w:rsidR="007D1BEA" w:rsidRPr="00A45399">
        <w:t xml:space="preserve">While this may support </w:t>
      </w:r>
      <w:r w:rsidR="00EB6989">
        <w:t xml:space="preserve">assumptions that the midrash was written during the </w:t>
      </w:r>
      <w:r w:rsidR="00245C68" w:rsidRPr="00A45399">
        <w:t>Tanna</w:t>
      </w:r>
      <w:r w:rsidR="00245C68">
        <w:t>i</w:t>
      </w:r>
      <w:r w:rsidR="00245C68" w:rsidRPr="00A45399">
        <w:t>tic</w:t>
      </w:r>
      <w:r w:rsidR="0047419F" w:rsidRPr="00A45399">
        <w:t xml:space="preserve"> period, or </w:t>
      </w:r>
      <w:r w:rsidR="00513193">
        <w:t>in</w:t>
      </w:r>
      <w:r w:rsidR="0047419F" w:rsidRPr="00A45399">
        <w:t xml:space="preserve"> the period in which </w:t>
      </w:r>
      <w:r w:rsidR="00513193" w:rsidRPr="00A45399">
        <w:t>Tanna</w:t>
      </w:r>
      <w:r w:rsidR="00513193">
        <w:t>i</w:t>
      </w:r>
      <w:r w:rsidR="00513193" w:rsidRPr="00A45399">
        <w:t xml:space="preserve">tic </w:t>
      </w:r>
      <w:r w:rsidR="00513193">
        <w:t>texts were</w:t>
      </w:r>
      <w:r w:rsidR="0047419F" w:rsidRPr="00A45399">
        <w:t xml:space="preserve"> edited, </w:t>
      </w:r>
      <w:r w:rsidR="00EB6989">
        <w:t>it is also</w:t>
      </w:r>
      <w:r w:rsidR="002C560B" w:rsidRPr="00A45399">
        <w:t xml:space="preserve"> </w:t>
      </w:r>
      <w:r w:rsidR="00EB6989">
        <w:t>possible</w:t>
      </w:r>
      <w:r w:rsidR="002C560B" w:rsidRPr="00A45399">
        <w:t xml:space="preserve"> that </w:t>
      </w:r>
      <w:r w:rsidR="00C15243">
        <w:t>it</w:t>
      </w:r>
      <w:r w:rsidR="00D3706F">
        <w:t xml:space="preserve"> is a later text, ‘disguised’ as an earlier, </w:t>
      </w:r>
      <w:r w:rsidR="00D3706F" w:rsidRPr="00A45399">
        <w:t>Tanna</w:t>
      </w:r>
      <w:r w:rsidR="00D3706F">
        <w:t>i</w:t>
      </w:r>
      <w:r w:rsidR="00D3706F" w:rsidRPr="00A45399">
        <w:t>tic</w:t>
      </w:r>
      <w:r w:rsidR="002C560B" w:rsidRPr="00A45399">
        <w:t xml:space="preserve"> text.</w:t>
      </w:r>
    </w:p>
    <w:p w14:paraId="2B422BE3" w14:textId="0C3559C6" w:rsidR="002C560B" w:rsidRDefault="002C560B" w:rsidP="0006147E">
      <w:pPr>
        <w:pStyle w:val="ListParagraph"/>
        <w:spacing w:line="360" w:lineRule="auto"/>
        <w:ind w:firstLine="0"/>
      </w:pPr>
      <w:r w:rsidRPr="00A45399">
        <w:t xml:space="preserve"> </w:t>
      </w:r>
    </w:p>
    <w:p w14:paraId="38A2E67D" w14:textId="1BE3F166" w:rsidR="0017314F" w:rsidRPr="00A45399" w:rsidRDefault="002C560B" w:rsidP="00F535C9">
      <w:pPr>
        <w:pStyle w:val="ListParagraph"/>
        <w:numPr>
          <w:ilvl w:val="0"/>
          <w:numId w:val="2"/>
        </w:numPr>
        <w:spacing w:line="360" w:lineRule="auto"/>
      </w:pPr>
      <w:r w:rsidRPr="00A45399">
        <w:t>Legends</w:t>
      </w:r>
      <w:r w:rsidR="00E64988">
        <w:t>:</w:t>
      </w:r>
      <w:r w:rsidRPr="00A45399">
        <w:t xml:space="preserve"> The midrash includes six legends, four of which</w:t>
      </w:r>
      <w:r w:rsidR="006D34EE" w:rsidRPr="00A45399">
        <w:t xml:space="preserve"> appear</w:t>
      </w:r>
      <w:r w:rsidRPr="00A45399">
        <w:t xml:space="preserve"> in </w:t>
      </w:r>
      <w:r w:rsidR="00D61F37" w:rsidRPr="00E64988">
        <w:rPr>
          <w:i/>
          <w:iCs/>
        </w:rPr>
        <w:t>parasha</w:t>
      </w:r>
      <w:r w:rsidR="00D61F37" w:rsidRPr="00A45399">
        <w:t xml:space="preserve"> </w:t>
      </w:r>
      <w:r w:rsidR="00D61F37" w:rsidRPr="00E64988">
        <w:rPr>
          <w:i/>
          <w:iCs/>
        </w:rPr>
        <w:t>a</w:t>
      </w:r>
      <w:r w:rsidR="00936015">
        <w:rPr>
          <w:i/>
          <w:iCs/>
        </w:rPr>
        <w:t>lef</w:t>
      </w:r>
      <w:r w:rsidR="00D61F37" w:rsidRPr="00A45399">
        <w:t xml:space="preserve">. </w:t>
      </w:r>
      <w:r w:rsidR="00B2594C">
        <w:t>B</w:t>
      </w:r>
      <w:r w:rsidR="00B2594C" w:rsidRPr="00A45399">
        <w:t xml:space="preserve">ased on the assumption that </w:t>
      </w:r>
      <w:r w:rsidR="00B2594C">
        <w:t>each proverb and moral</w:t>
      </w:r>
      <w:r w:rsidR="00B2594C" w:rsidRPr="00A45399">
        <w:t xml:space="preserve"> constitute </w:t>
      </w:r>
      <w:r w:rsidR="006C50DD">
        <w:t xml:space="preserve">an </w:t>
      </w:r>
      <w:r w:rsidR="00B2594C" w:rsidRPr="00A45399">
        <w:t xml:space="preserve">independent </w:t>
      </w:r>
      <w:commentRangeStart w:id="16"/>
      <w:r w:rsidR="006B716F">
        <w:t>unit</w:t>
      </w:r>
      <w:commentRangeEnd w:id="16"/>
      <w:r w:rsidR="006C50DD">
        <w:rPr>
          <w:rStyle w:val="CommentReference"/>
        </w:rPr>
        <w:commentReference w:id="16"/>
      </w:r>
      <w:r w:rsidR="006B716F">
        <w:t xml:space="preserve">, </w:t>
      </w:r>
      <w:r w:rsidR="00993D3F">
        <w:t>rather than</w:t>
      </w:r>
      <w:r w:rsidR="006B716F">
        <w:t xml:space="preserve"> </w:t>
      </w:r>
      <w:r w:rsidR="00B2594C" w:rsidRPr="00A45399">
        <w:t>parts of the entire text</w:t>
      </w:r>
      <w:r w:rsidR="00993D3F">
        <w:t xml:space="preserve">, </w:t>
      </w:r>
      <w:r w:rsidR="00D61F37" w:rsidRPr="00A45399">
        <w:t xml:space="preserve">I </w:t>
      </w:r>
      <w:r w:rsidR="00993D3F" w:rsidRPr="00A45399">
        <w:t xml:space="preserve">isolated </w:t>
      </w:r>
      <w:r w:rsidR="00993D3F">
        <w:t xml:space="preserve">them from surrounding midrashim, and </w:t>
      </w:r>
      <w:r w:rsidR="00C72CFD" w:rsidRPr="00A45399">
        <w:t>analyzed</w:t>
      </w:r>
      <w:r w:rsidR="00D61F37" w:rsidRPr="00A45399">
        <w:t xml:space="preserve"> each </w:t>
      </w:r>
      <w:r w:rsidR="00993D3F">
        <w:t xml:space="preserve">one separately. </w:t>
      </w:r>
      <w:r w:rsidR="00187986" w:rsidRPr="00A45399">
        <w:t>Only later</w:t>
      </w:r>
      <w:r w:rsidR="00055844">
        <w:t>,</w:t>
      </w:r>
      <w:r w:rsidR="00187986" w:rsidRPr="00A45399">
        <w:t xml:space="preserve"> did I </w:t>
      </w:r>
      <w:r w:rsidR="00055844">
        <w:t>address</w:t>
      </w:r>
      <w:r w:rsidR="006D34EE" w:rsidRPr="00A45399">
        <w:t xml:space="preserve"> their location within the text. </w:t>
      </w:r>
      <w:r w:rsidR="00055844">
        <w:t>The legends</w:t>
      </w:r>
      <w:r w:rsidR="00FB7420" w:rsidRPr="00A45399">
        <w:t xml:space="preserve"> are </w:t>
      </w:r>
      <w:r w:rsidR="00CF5B94">
        <w:t>divided according to</w:t>
      </w:r>
      <w:r w:rsidR="00776CD6">
        <w:t xml:space="preserve"> </w:t>
      </w:r>
      <w:r w:rsidR="00776CD6">
        <w:rPr>
          <w:lang w:val="en-GB"/>
        </w:rPr>
        <w:t xml:space="preserve">my </w:t>
      </w:r>
      <w:r w:rsidR="00CF5B94">
        <w:rPr>
          <w:lang w:val="en-GB"/>
        </w:rPr>
        <w:lastRenderedPageBreak/>
        <w:t>modified</w:t>
      </w:r>
      <w:r w:rsidR="00FB7420" w:rsidRPr="00A45399">
        <w:t xml:space="preserve"> line division</w:t>
      </w:r>
      <w:r w:rsidR="001724C4">
        <w:t xml:space="preserve"> and</w:t>
      </w:r>
      <w:r w:rsidR="00FB7420" w:rsidRPr="00A45399">
        <w:t xml:space="preserve"> </w:t>
      </w:r>
      <w:r w:rsidR="001724C4">
        <w:t xml:space="preserve">format, with the </w:t>
      </w:r>
      <w:r w:rsidR="00F74059">
        <w:t xml:space="preserve">name of the manuscript in which they appear </w:t>
      </w:r>
      <w:r w:rsidR="00FB7420" w:rsidRPr="00A45399">
        <w:t>indicat</w:t>
      </w:r>
      <w:r w:rsidR="001724C4">
        <w:t xml:space="preserve">ed </w:t>
      </w:r>
      <w:r w:rsidR="00F74059">
        <w:t>at the</w:t>
      </w:r>
      <w:r w:rsidR="00E704E9">
        <w:t xml:space="preserve"> top, while </w:t>
      </w:r>
      <w:r w:rsidR="006B087A" w:rsidRPr="00A45399">
        <w:t xml:space="preserve">alternative </w:t>
      </w:r>
      <w:r w:rsidR="0030107A" w:rsidRPr="00A45399">
        <w:t xml:space="preserve">versions </w:t>
      </w:r>
      <w:r w:rsidR="00C15243">
        <w:t xml:space="preserve">are </w:t>
      </w:r>
      <w:r w:rsidR="00E704E9">
        <w:t xml:space="preserve">indicated at the bottom </w:t>
      </w:r>
      <w:r w:rsidR="0030107A" w:rsidRPr="00A45399">
        <w:t>(as a ‘diplomatic’ edition, with N indicating</w:t>
      </w:r>
      <w:r w:rsidR="00FB7420" w:rsidRPr="00A45399">
        <w:t xml:space="preserve"> </w:t>
      </w:r>
      <w:r w:rsidR="0030107A" w:rsidRPr="00A45399">
        <w:t xml:space="preserve">‘internal version’). I analyzed </w:t>
      </w:r>
      <w:r w:rsidR="00351F76">
        <w:t>each</w:t>
      </w:r>
      <w:r w:rsidR="0030107A" w:rsidRPr="00A45399">
        <w:t xml:space="preserve"> proverb and moral</w:t>
      </w:r>
      <w:r w:rsidR="002D0F78">
        <w:t xml:space="preserve"> on various levels including</w:t>
      </w:r>
      <w:r w:rsidR="0030107A" w:rsidRPr="00A45399">
        <w:t xml:space="preserve"> the meanings of words, </w:t>
      </w:r>
      <w:r w:rsidR="00175F72" w:rsidRPr="00A45399">
        <w:t>linkages</w:t>
      </w:r>
      <w:r w:rsidR="0030107A" w:rsidRPr="00A45399">
        <w:t xml:space="preserve"> between </w:t>
      </w:r>
      <w:r w:rsidR="00175F72" w:rsidRPr="00A45399">
        <w:t>words</w:t>
      </w:r>
      <w:r w:rsidR="0030107A" w:rsidRPr="00A45399">
        <w:t>, literary forms</w:t>
      </w:r>
      <w:r w:rsidR="00175F72" w:rsidRPr="00A45399">
        <w:t xml:space="preserve">, the reality reflected </w:t>
      </w:r>
      <w:r w:rsidR="002E682E">
        <w:t>in the texts</w:t>
      </w:r>
      <w:r w:rsidR="00175F72" w:rsidRPr="00A45399">
        <w:t xml:space="preserve">, </w:t>
      </w:r>
      <w:r w:rsidR="00D15D39" w:rsidRPr="00A45399">
        <w:t xml:space="preserve">parallels in </w:t>
      </w:r>
      <w:r w:rsidR="002E682E">
        <w:t>the Sages</w:t>
      </w:r>
      <w:r w:rsidR="00D15D39" w:rsidRPr="00A45399">
        <w:t xml:space="preserve"> (if existing)</w:t>
      </w:r>
      <w:r w:rsidR="002000E0" w:rsidRPr="00A45399">
        <w:t>, the contexts in which they are situated, the</w:t>
      </w:r>
      <w:r w:rsidR="00645C3F">
        <w:t>ir</w:t>
      </w:r>
      <w:r w:rsidR="002000E0" w:rsidRPr="00A45399">
        <w:t xml:space="preserve"> orientation</w:t>
      </w:r>
      <w:r w:rsidR="00645C3F">
        <w:t>s</w:t>
      </w:r>
      <w:r w:rsidR="00351F76">
        <w:t>,</w:t>
      </w:r>
      <w:r w:rsidR="002000E0" w:rsidRPr="00A45399">
        <w:t xml:space="preserve"> and message</w:t>
      </w:r>
      <w:r w:rsidR="00645C3F">
        <w:t>s</w:t>
      </w:r>
      <w:r w:rsidR="002000E0" w:rsidRPr="00A45399">
        <w:t xml:space="preserve">. </w:t>
      </w:r>
    </w:p>
    <w:p w14:paraId="4B98E2FC" w14:textId="4348C938" w:rsidR="002000E0" w:rsidRPr="00A45399" w:rsidRDefault="002000E0" w:rsidP="002000E0">
      <w:pPr>
        <w:pStyle w:val="ListParagraph"/>
        <w:spacing w:line="360" w:lineRule="auto"/>
        <w:ind w:firstLine="0"/>
      </w:pPr>
    </w:p>
    <w:p w14:paraId="5A5C43DB" w14:textId="266E479C" w:rsidR="002000E0" w:rsidRPr="00A45399" w:rsidRDefault="00645C3F" w:rsidP="00455133">
      <w:pPr>
        <w:pStyle w:val="ListParagraph"/>
        <w:spacing w:line="360" w:lineRule="auto"/>
        <w:ind w:firstLine="0"/>
      </w:pPr>
      <w:r>
        <w:t>Although regarded as</w:t>
      </w:r>
      <w:r w:rsidR="002000E0" w:rsidRPr="00A45399">
        <w:t xml:space="preserve"> </w:t>
      </w:r>
      <w:r w:rsidR="00936015">
        <w:t xml:space="preserve">constituting </w:t>
      </w:r>
      <w:r w:rsidR="00DD454B" w:rsidRPr="00936015">
        <w:rPr>
          <w:i/>
          <w:iCs/>
        </w:rPr>
        <w:t>Legends of Kings</w:t>
      </w:r>
      <w:r w:rsidR="007918D4">
        <w:t>,</w:t>
      </w:r>
      <w:r w:rsidR="00DD454B" w:rsidRPr="00A45399">
        <w:t xml:space="preserve"> I </w:t>
      </w:r>
      <w:r w:rsidR="007918D4">
        <w:t xml:space="preserve">propose that </w:t>
      </w:r>
      <w:r w:rsidR="00351F76">
        <w:t>these legends</w:t>
      </w:r>
      <w:r w:rsidR="007918D4">
        <w:t xml:space="preserve"> merely seem so, and that in fact, they are</w:t>
      </w:r>
      <w:r w:rsidR="00987F9E">
        <w:t xml:space="preserve"> unlike the </w:t>
      </w:r>
      <w:r w:rsidR="00987F9E" w:rsidRPr="00812111">
        <w:rPr>
          <w:i/>
          <w:iCs/>
        </w:rPr>
        <w:t>Legends of Kings</w:t>
      </w:r>
      <w:r w:rsidR="00812111">
        <w:t xml:space="preserve"> </w:t>
      </w:r>
      <w:r w:rsidR="00987F9E">
        <w:t xml:space="preserve">written in the classic form </w:t>
      </w:r>
      <w:r w:rsidR="00351F76">
        <w:t>typical of</w:t>
      </w:r>
      <w:r w:rsidR="00987F9E">
        <w:t xml:space="preserve"> </w:t>
      </w:r>
      <w:r w:rsidR="00A64F59">
        <w:t xml:space="preserve">the </w:t>
      </w:r>
      <w:r w:rsidR="00987F9E">
        <w:t>Sage literature.</w:t>
      </w:r>
      <w:r w:rsidR="00D627CA">
        <w:t xml:space="preserve"> </w:t>
      </w:r>
      <w:r w:rsidR="002F716A">
        <w:t xml:space="preserve">While in the classic form, the proverb and moral must be precisely compatible, in this midrash </w:t>
      </w:r>
      <w:r w:rsidR="00441F67">
        <w:t>there are discrepancies between the two</w:t>
      </w:r>
      <w:r w:rsidR="009559EB">
        <w:t xml:space="preserve">, particularly in instances in which the moral </w:t>
      </w:r>
      <w:r w:rsidR="00812111">
        <w:t>is extremely</w:t>
      </w:r>
      <w:r w:rsidR="00F62654" w:rsidRPr="00A45399">
        <w:t xml:space="preserve"> short</w:t>
      </w:r>
      <w:r w:rsidR="006539D6" w:rsidRPr="00A45399">
        <w:t xml:space="preserve"> (sometimes a mere citation of the verse)</w:t>
      </w:r>
      <w:r w:rsidR="00455133">
        <w:t>.</w:t>
      </w:r>
      <w:r w:rsidR="009A39D0">
        <w:t xml:space="preserve"> </w:t>
      </w:r>
    </w:p>
    <w:p w14:paraId="17950E00" w14:textId="4C46C2CF" w:rsidR="00F62654" w:rsidRPr="00A45399" w:rsidRDefault="00F62654" w:rsidP="002000E0">
      <w:pPr>
        <w:pStyle w:val="ListParagraph"/>
        <w:spacing w:line="360" w:lineRule="auto"/>
        <w:ind w:firstLine="0"/>
      </w:pPr>
    </w:p>
    <w:p w14:paraId="07B927A6" w14:textId="7F83DA21" w:rsidR="00380835" w:rsidRPr="00A45399" w:rsidRDefault="00F62654" w:rsidP="002000E0">
      <w:pPr>
        <w:pStyle w:val="ListParagraph"/>
        <w:spacing w:line="360" w:lineRule="auto"/>
        <w:ind w:firstLine="0"/>
      </w:pPr>
      <w:r w:rsidRPr="00A45399">
        <w:t>It appears that the editor</w:t>
      </w:r>
      <w:r w:rsidR="00255A3E" w:rsidRPr="00A45399">
        <w:t xml:space="preserve"> puts more emphasis on meaning </w:t>
      </w:r>
      <w:r w:rsidR="00455133">
        <w:t>than</w:t>
      </w:r>
      <w:r w:rsidR="00255A3E" w:rsidRPr="00A45399">
        <w:t xml:space="preserve"> on form</w:t>
      </w:r>
      <w:r w:rsidR="00A31A33">
        <w:t xml:space="preserve">, which he appears to view as less obligating. </w:t>
      </w:r>
      <w:r w:rsidR="00812111">
        <w:t>While</w:t>
      </w:r>
      <w:r w:rsidR="00577C4B">
        <w:t xml:space="preserve"> </w:t>
      </w:r>
      <w:r w:rsidR="00A31A33">
        <w:t>t</w:t>
      </w:r>
      <w:r w:rsidR="00432A9E" w:rsidRPr="00A45399">
        <w:t xml:space="preserve">he </w:t>
      </w:r>
      <w:r w:rsidR="00577C4B">
        <w:t xml:space="preserve">structure and </w:t>
      </w:r>
      <w:r w:rsidR="00432A9E" w:rsidRPr="00A45399">
        <w:t>for</w:t>
      </w:r>
      <w:r w:rsidR="00577C4B">
        <w:t xml:space="preserve">mulaic </w:t>
      </w:r>
      <w:r w:rsidR="00432A9E" w:rsidRPr="00A45399">
        <w:t xml:space="preserve">guidelines </w:t>
      </w:r>
      <w:r w:rsidR="00D627CA">
        <w:t>are</w:t>
      </w:r>
      <w:r w:rsidR="00AE2108" w:rsidRPr="00A45399">
        <w:t xml:space="preserve"> not </w:t>
      </w:r>
      <w:r w:rsidR="00577C4B">
        <w:t>maintained</w:t>
      </w:r>
      <w:r w:rsidR="00AE2108" w:rsidRPr="00A45399">
        <w:t>, the meanings are commu</w:t>
      </w:r>
      <w:r w:rsidR="00DF09E3" w:rsidRPr="00A45399">
        <w:t>nicated effectively</w:t>
      </w:r>
      <w:r w:rsidR="00577C4B">
        <w:t xml:space="preserve"> – the leniency </w:t>
      </w:r>
      <w:r w:rsidR="003C123C">
        <w:t xml:space="preserve">exercised in terms of form does not entail a leniency in terms of </w:t>
      </w:r>
      <w:commentRangeStart w:id="17"/>
      <w:r w:rsidR="003C123C">
        <w:t>content</w:t>
      </w:r>
      <w:commentRangeEnd w:id="17"/>
      <w:r w:rsidR="003C123C">
        <w:rPr>
          <w:rStyle w:val="CommentReference"/>
        </w:rPr>
        <w:commentReference w:id="17"/>
      </w:r>
      <w:r w:rsidR="003C123C">
        <w:t xml:space="preserve">. </w:t>
      </w:r>
      <w:r w:rsidR="000263BD">
        <w:t>Thus, i</w:t>
      </w:r>
      <w:r w:rsidR="00DF09E3" w:rsidRPr="00A45399">
        <w:t xml:space="preserve">t can be concluded that this midrash </w:t>
      </w:r>
      <w:r w:rsidR="00CA0D71">
        <w:t xml:space="preserve">was written after classic Sage midrashim, at </w:t>
      </w:r>
      <w:r w:rsidR="009C6732" w:rsidRPr="00A45399">
        <w:t xml:space="preserve">a time when compliance with strict </w:t>
      </w:r>
      <w:r w:rsidR="00380835" w:rsidRPr="00A45399">
        <w:t xml:space="preserve">frameworks was </w:t>
      </w:r>
      <w:r w:rsidR="00CA0D71">
        <w:t>moderate</w:t>
      </w:r>
      <w:r w:rsidR="00512CFD">
        <w:t xml:space="preserve">d by the </w:t>
      </w:r>
      <w:r w:rsidR="00D15B01">
        <w:t xml:space="preserve">temporal </w:t>
      </w:r>
      <w:r w:rsidR="00512CFD">
        <w:t>distanc</w:t>
      </w:r>
      <w:r w:rsidR="00D15B01">
        <w:t xml:space="preserve">ing </w:t>
      </w:r>
      <w:r w:rsidR="005F6F2E">
        <w:t xml:space="preserve">from </w:t>
      </w:r>
      <w:r w:rsidR="00380835" w:rsidRPr="00A45399">
        <w:t xml:space="preserve">conventional terms and </w:t>
      </w:r>
      <w:r w:rsidR="00D627CA">
        <w:t>devices</w:t>
      </w:r>
      <w:r w:rsidR="00380835" w:rsidRPr="00A45399">
        <w:t xml:space="preserve">. </w:t>
      </w:r>
    </w:p>
    <w:p w14:paraId="69A50F9B" w14:textId="77777777" w:rsidR="00380835" w:rsidRPr="00A45399" w:rsidRDefault="00380835" w:rsidP="002000E0">
      <w:pPr>
        <w:pStyle w:val="ListParagraph"/>
        <w:spacing w:line="360" w:lineRule="auto"/>
        <w:ind w:firstLine="0"/>
      </w:pPr>
    </w:p>
    <w:p w14:paraId="0854C784" w14:textId="391A147B" w:rsidR="00B80F9A" w:rsidRPr="00A45399" w:rsidRDefault="00630121" w:rsidP="00380835">
      <w:pPr>
        <w:pStyle w:val="ListParagraph"/>
        <w:numPr>
          <w:ilvl w:val="0"/>
          <w:numId w:val="2"/>
        </w:numPr>
        <w:spacing w:line="360" w:lineRule="auto"/>
      </w:pPr>
      <w:r w:rsidRPr="00A45399">
        <w:t xml:space="preserve">Stories. There are four stories in the midrash, two of which are part of a single edited portion </w:t>
      </w:r>
      <w:r w:rsidR="00266FD4" w:rsidRPr="00A45399">
        <w:t xml:space="preserve">that includes three </w:t>
      </w:r>
      <w:r w:rsidR="007E512C">
        <w:t xml:space="preserve">additional </w:t>
      </w:r>
      <w:r w:rsidR="00266FD4" w:rsidRPr="00A45399">
        <w:t xml:space="preserve">parts (of </w:t>
      </w:r>
      <w:r w:rsidR="007E512C">
        <w:t xml:space="preserve">an </w:t>
      </w:r>
      <w:r w:rsidR="00266FD4" w:rsidRPr="00A45399">
        <w:t xml:space="preserve">‘extended </w:t>
      </w:r>
      <w:r w:rsidR="00266FD4" w:rsidRPr="007E512C">
        <w:rPr>
          <w:i/>
          <w:iCs/>
        </w:rPr>
        <w:t>mikrah</w:t>
      </w:r>
      <w:r w:rsidR="00266FD4" w:rsidRPr="00A45399">
        <w:t xml:space="preserve"> story</w:t>
      </w:r>
      <w:r w:rsidR="00812111">
        <w:t>’</w:t>
      </w:r>
      <w:r w:rsidR="00266FD4" w:rsidRPr="00A45399">
        <w:t>)</w:t>
      </w:r>
      <w:r w:rsidR="007E512C">
        <w:t>. In my analysis, I employed the methodol</w:t>
      </w:r>
      <w:r w:rsidR="005710AD">
        <w:t>og</w:t>
      </w:r>
      <w:r w:rsidR="007E512C">
        <w:t xml:space="preserve">y </w:t>
      </w:r>
      <w:r w:rsidR="00311631" w:rsidRPr="00A45399">
        <w:t xml:space="preserve">applied to the legends. </w:t>
      </w:r>
      <w:r w:rsidR="008D4763">
        <w:t>N</w:t>
      </w:r>
      <w:r w:rsidR="005710AD">
        <w:t>otable</w:t>
      </w:r>
      <w:r w:rsidR="004961A0">
        <w:t xml:space="preserve"> for its relatively </w:t>
      </w:r>
      <w:r w:rsidR="004A0CD5">
        <w:t>late authorship (</w:t>
      </w:r>
      <w:r w:rsidR="00821FA4">
        <w:t>as opposed to earlier versions</w:t>
      </w:r>
      <w:r w:rsidR="004A0CD5">
        <w:t>)</w:t>
      </w:r>
      <w:r w:rsidR="001D1049">
        <w:t>,</w:t>
      </w:r>
      <w:r w:rsidR="004A0CD5">
        <w:t xml:space="preserve"> evidenced in its</w:t>
      </w:r>
      <w:r w:rsidR="00821FA4">
        <w:t xml:space="preserve"> </w:t>
      </w:r>
      <w:r w:rsidR="008D4763">
        <w:t xml:space="preserve">modified form, the </w:t>
      </w:r>
      <w:r w:rsidR="00680970">
        <w:t xml:space="preserve">message in </w:t>
      </w:r>
      <w:r w:rsidR="008D4763">
        <w:t>first story (</w:t>
      </w:r>
      <w:r w:rsidR="00812111">
        <w:rPr>
          <w:i/>
          <w:iCs/>
        </w:rPr>
        <w:t>Sha</w:t>
      </w:r>
      <w:r w:rsidR="00E410C0">
        <w:rPr>
          <w:i/>
          <w:iCs/>
        </w:rPr>
        <w:t>’</w:t>
      </w:r>
      <w:r w:rsidR="00812111">
        <w:rPr>
          <w:i/>
          <w:iCs/>
        </w:rPr>
        <w:t>aray</w:t>
      </w:r>
      <w:r w:rsidR="008D4763" w:rsidRPr="00680970">
        <w:rPr>
          <w:i/>
          <w:iCs/>
        </w:rPr>
        <w:t xml:space="preserve"> Nikanor</w:t>
      </w:r>
      <w:r w:rsidR="008D4763">
        <w:t xml:space="preserve">) </w:t>
      </w:r>
      <w:r w:rsidR="00680970">
        <w:t>is easily discernable.</w:t>
      </w:r>
      <w:r w:rsidR="00821FA4">
        <w:t xml:space="preserve"> </w:t>
      </w:r>
      <w:r w:rsidR="00A6131D" w:rsidRPr="00A45399">
        <w:t>The second story (</w:t>
      </w:r>
      <w:r w:rsidR="00D15DD8" w:rsidRPr="00A45399">
        <w:rPr>
          <w:i/>
          <w:iCs/>
        </w:rPr>
        <w:t>Bor Hatamra</w:t>
      </w:r>
      <w:r w:rsidR="00D15DD8" w:rsidRPr="00A45399">
        <w:t xml:space="preserve">) </w:t>
      </w:r>
      <w:r w:rsidR="00B13809">
        <w:rPr>
          <w:lang w:val="en-GB"/>
        </w:rPr>
        <w:t xml:space="preserve">remains </w:t>
      </w:r>
      <w:r w:rsidR="00D15DD8" w:rsidRPr="00A45399">
        <w:t>obscure</w:t>
      </w:r>
      <w:r w:rsidR="00E00915">
        <w:t xml:space="preserve"> in that it is </w:t>
      </w:r>
      <w:r w:rsidR="00D15DD8" w:rsidRPr="00A45399">
        <w:t>difficult to identify its intentions</w:t>
      </w:r>
      <w:r w:rsidR="00777416">
        <w:t xml:space="preserve"> and concealed significances </w:t>
      </w:r>
      <w:r w:rsidR="00D92AED" w:rsidRPr="00A45399">
        <w:t xml:space="preserve">(it does not </w:t>
      </w:r>
      <w:r w:rsidR="00777416">
        <w:t>include</w:t>
      </w:r>
      <w:r w:rsidR="00D92AED" w:rsidRPr="00A45399">
        <w:t xml:space="preserve"> cross references). </w:t>
      </w:r>
      <w:r w:rsidR="00D16655" w:rsidRPr="00A45399">
        <w:t>The third and fourth stories are part of a compilation of five that</w:t>
      </w:r>
      <w:r w:rsidR="00AA6526" w:rsidRPr="00A45399">
        <w:t xml:space="preserve"> concludes the midrash. Th</w:t>
      </w:r>
      <w:r w:rsidR="000812F8">
        <w:t>is</w:t>
      </w:r>
      <w:r w:rsidR="00AA6526" w:rsidRPr="00A45399">
        <w:t xml:space="preserve"> compilation is edited, </w:t>
      </w:r>
      <w:r w:rsidR="000812F8">
        <w:t>and conveys</w:t>
      </w:r>
      <w:r w:rsidR="00AA6526" w:rsidRPr="00A45399">
        <w:t xml:space="preserve"> a unified message </w:t>
      </w:r>
      <w:r w:rsidR="000812F8">
        <w:t xml:space="preserve">throughout </w:t>
      </w:r>
      <w:r w:rsidR="008B3E56">
        <w:t>except for</w:t>
      </w:r>
      <w:r w:rsidR="000812F8">
        <w:t xml:space="preserve"> a </w:t>
      </w:r>
      <w:r w:rsidR="00C34800">
        <w:t xml:space="preserve">“surprise </w:t>
      </w:r>
      <w:commentRangeStart w:id="18"/>
      <w:r w:rsidR="00C34800">
        <w:t>ending</w:t>
      </w:r>
      <w:commentRangeEnd w:id="18"/>
      <w:r w:rsidR="00C34800">
        <w:rPr>
          <w:rStyle w:val="CommentReference"/>
        </w:rPr>
        <w:commentReference w:id="18"/>
      </w:r>
      <w:r w:rsidR="00C34800">
        <w:t xml:space="preserve">” </w:t>
      </w:r>
      <w:r w:rsidR="00E862BF">
        <w:rPr>
          <w:lang w:val="en-GB"/>
        </w:rPr>
        <w:t xml:space="preserve">that concludes </w:t>
      </w:r>
      <w:r w:rsidR="00852FB7" w:rsidRPr="00A45399">
        <w:t>the entire midrash with a sharp</w:t>
      </w:r>
      <w:r w:rsidR="00E862BF">
        <w:t>,</w:t>
      </w:r>
      <w:r w:rsidR="00852FB7" w:rsidRPr="00A45399">
        <w:t xml:space="preserve"> </w:t>
      </w:r>
      <w:r w:rsidR="000B5446" w:rsidRPr="00A45399">
        <w:t xml:space="preserve">severe message. </w:t>
      </w:r>
      <w:r w:rsidR="008B3E56">
        <w:t>In this portion of the text, t</w:t>
      </w:r>
      <w:r w:rsidR="00C32549" w:rsidRPr="00A45399">
        <w:t xml:space="preserve">here is </w:t>
      </w:r>
      <w:r w:rsidR="00C32549" w:rsidRPr="00A45399">
        <w:lastRenderedPageBreak/>
        <w:t xml:space="preserve">no diminution, either in form or </w:t>
      </w:r>
      <w:r w:rsidR="008B3E56">
        <w:t xml:space="preserve">in </w:t>
      </w:r>
      <w:r w:rsidR="00C32549" w:rsidRPr="00A45399">
        <w:t xml:space="preserve">content, and the stories seem compatible with those in ancient and classic midrash. </w:t>
      </w:r>
    </w:p>
    <w:p w14:paraId="1C32DAE8" w14:textId="593FB26F" w:rsidR="00B80F9A" w:rsidRDefault="00B80F9A" w:rsidP="00B80F9A">
      <w:pPr>
        <w:spacing w:line="360" w:lineRule="auto"/>
      </w:pPr>
    </w:p>
    <w:p w14:paraId="60F6058C" w14:textId="5548F0EF" w:rsidR="001F4CC5" w:rsidRDefault="00B80F9A" w:rsidP="00A45399">
      <w:pPr>
        <w:spacing w:line="360" w:lineRule="auto"/>
        <w:ind w:firstLine="0"/>
      </w:pPr>
      <w:r w:rsidRPr="00A45399">
        <w:t>Two literary form</w:t>
      </w:r>
      <w:r w:rsidR="00DA7E10">
        <w:t>s</w:t>
      </w:r>
      <w:r w:rsidRPr="00A45399">
        <w:t xml:space="preserve"> do no</w:t>
      </w:r>
      <w:r w:rsidR="001E2627" w:rsidRPr="00A45399">
        <w:t xml:space="preserve">t exist in the midrash: </w:t>
      </w:r>
    </w:p>
    <w:p w14:paraId="1FB6B5E6" w14:textId="2F346874" w:rsidR="007A79D3" w:rsidRDefault="008D2EE0" w:rsidP="007A79D3">
      <w:pPr>
        <w:pStyle w:val="ListParagraph"/>
        <w:numPr>
          <w:ilvl w:val="0"/>
          <w:numId w:val="5"/>
        </w:numPr>
        <w:spacing w:line="360" w:lineRule="auto"/>
      </w:pPr>
      <w:r w:rsidRPr="008D2EE0">
        <w:rPr>
          <w:i/>
          <w:iCs/>
        </w:rPr>
        <w:t xml:space="preserve">Ptikhtaot </w:t>
      </w:r>
      <w:r w:rsidRPr="008D2EE0">
        <w:rPr>
          <w:lang w:val="en-GB"/>
        </w:rPr>
        <w:t>(epigraphs)</w:t>
      </w:r>
      <w:r w:rsidRPr="00A45399">
        <w:t xml:space="preserve">: I assume </w:t>
      </w:r>
      <w:r w:rsidRPr="008D2EE0">
        <w:rPr>
          <w:i/>
          <w:iCs/>
        </w:rPr>
        <w:t>ptikhtaot</w:t>
      </w:r>
      <w:r>
        <w:t xml:space="preserve"> are not employed in this midrash due to stylistic modifications over time. Given that in ancient midrashim guidelines for the inclusion of this devi</w:t>
      </w:r>
      <w:r w:rsidR="00EA39C9">
        <w:t>c</w:t>
      </w:r>
      <w:r>
        <w:t xml:space="preserve">e were strict, their absence in this midrash is yet another indication of its later composition date. </w:t>
      </w:r>
    </w:p>
    <w:p w14:paraId="2CE1CE78" w14:textId="77777777" w:rsidR="0006147E" w:rsidRDefault="0006147E" w:rsidP="0006147E">
      <w:pPr>
        <w:pStyle w:val="ListParagraph"/>
        <w:spacing w:line="360" w:lineRule="auto"/>
        <w:ind w:firstLine="0"/>
      </w:pPr>
    </w:p>
    <w:p w14:paraId="3C9D52C3" w14:textId="199F6380" w:rsidR="007A79D3" w:rsidRDefault="007A79D3" w:rsidP="007A79D3">
      <w:pPr>
        <w:pStyle w:val="ListParagraph"/>
        <w:numPr>
          <w:ilvl w:val="0"/>
          <w:numId w:val="5"/>
        </w:numPr>
        <w:spacing w:line="360" w:lineRule="auto"/>
      </w:pPr>
      <w:r w:rsidRPr="007A79D3">
        <w:rPr>
          <w:i/>
          <w:iCs/>
        </w:rPr>
        <w:t>Siyum b’Davar Tov</w:t>
      </w:r>
      <w:r w:rsidRPr="007A79D3">
        <w:rPr>
          <w:i/>
          <w:iCs/>
          <w:lang w:val="en-GB"/>
        </w:rPr>
        <w:t xml:space="preserve"> </w:t>
      </w:r>
      <w:r w:rsidRPr="007A79D3">
        <w:rPr>
          <w:lang w:val="en-GB"/>
        </w:rPr>
        <w:t>(end with a positive message)</w:t>
      </w:r>
      <w:r>
        <w:t xml:space="preserve">: It appears to me that the editor intended to maintain the effect of the severe message at the end of the stories, and therefore relinquished the traditional </w:t>
      </w:r>
      <w:r w:rsidRPr="007A79D3">
        <w:rPr>
          <w:i/>
          <w:iCs/>
        </w:rPr>
        <w:t>Siyum b’Davar Tov</w:t>
      </w:r>
      <w:r>
        <w:t>.</w:t>
      </w:r>
      <w:r w:rsidRPr="00A45399">
        <w:t xml:space="preserve"> </w:t>
      </w:r>
      <w:r>
        <w:t xml:space="preserve">This too points to the later date of the midrash in which conventions are not binding, and the editor can act as he sees fit. </w:t>
      </w:r>
    </w:p>
    <w:p w14:paraId="6AFF4F88" w14:textId="5BC8B28A" w:rsidR="007A79D3" w:rsidRDefault="007A79D3" w:rsidP="007A79D3">
      <w:pPr>
        <w:pStyle w:val="ListParagraph"/>
        <w:spacing w:line="360" w:lineRule="auto"/>
        <w:ind w:firstLine="0"/>
      </w:pPr>
    </w:p>
    <w:p w14:paraId="3FA88A98" w14:textId="77777777" w:rsidR="00E95012" w:rsidRDefault="00E95012" w:rsidP="00A45399">
      <w:pPr>
        <w:spacing w:line="360" w:lineRule="auto"/>
        <w:ind w:firstLine="0"/>
      </w:pPr>
    </w:p>
    <w:p w14:paraId="51AC4A80" w14:textId="43365AEE" w:rsidR="00F62654" w:rsidRPr="00E95012" w:rsidRDefault="00E95012" w:rsidP="00A45399">
      <w:pPr>
        <w:spacing w:line="360" w:lineRule="auto"/>
        <w:ind w:firstLine="0"/>
        <w:rPr>
          <w:u w:val="single"/>
        </w:rPr>
      </w:pPr>
      <w:r w:rsidRPr="00E95012">
        <w:rPr>
          <w:u w:val="single"/>
        </w:rPr>
        <w:t>Chapter Five – When and Where the Midrash was Edited</w:t>
      </w:r>
      <w:r w:rsidR="004B6135">
        <w:rPr>
          <w:u w:val="single"/>
        </w:rPr>
        <w:t xml:space="preserve"> </w:t>
      </w:r>
    </w:p>
    <w:p w14:paraId="03D52A1B" w14:textId="6FEAFAFB" w:rsidR="00FB5301" w:rsidRDefault="002E55F2" w:rsidP="002E55F2">
      <w:pPr>
        <w:spacing w:line="360" w:lineRule="auto"/>
        <w:ind w:firstLine="0"/>
      </w:pPr>
      <w:r>
        <w:t xml:space="preserve">Several scholars have addressed the </w:t>
      </w:r>
      <w:r w:rsidR="00E13753">
        <w:t>dating</w:t>
      </w:r>
      <w:r>
        <w:t xml:space="preserve"> of the </w:t>
      </w:r>
      <w:r w:rsidR="00813B09">
        <w:t>edition;</w:t>
      </w:r>
      <w:r>
        <w:t xml:space="preserve"> however, it seems that this topic requires further inquiry </w:t>
      </w:r>
      <w:r w:rsidR="00E13753">
        <w:t>considering</w:t>
      </w:r>
      <w:r>
        <w:t xml:space="preserve"> </w:t>
      </w:r>
      <w:r w:rsidR="00932047">
        <w:t>that</w:t>
      </w:r>
      <w:r>
        <w:t xml:space="preserve"> studies </w:t>
      </w:r>
      <w:r w:rsidR="00B92FF0">
        <w:t xml:space="preserve">so far have dealt with the text including the two lengthy </w:t>
      </w:r>
      <w:r w:rsidR="00B92FF0" w:rsidRPr="00932047">
        <w:rPr>
          <w:i/>
          <w:iCs/>
        </w:rPr>
        <w:t>simanim</w:t>
      </w:r>
      <w:r w:rsidR="00932047">
        <w:t xml:space="preserve"> – </w:t>
      </w:r>
      <w:r w:rsidR="00932047" w:rsidRPr="00932047">
        <w:rPr>
          <w:i/>
          <w:iCs/>
        </w:rPr>
        <w:t>a</w:t>
      </w:r>
      <w:r w:rsidR="0006147E">
        <w:rPr>
          <w:i/>
          <w:iCs/>
        </w:rPr>
        <w:t>lef,</w:t>
      </w:r>
      <w:r w:rsidR="0091740F">
        <w:rPr>
          <w:i/>
          <w:iCs/>
        </w:rPr>
        <w:t xml:space="preserve"> </w:t>
      </w:r>
      <w:r w:rsidR="0006147E">
        <w:rPr>
          <w:i/>
          <w:iCs/>
        </w:rPr>
        <w:t>alef</w:t>
      </w:r>
      <w:r w:rsidR="00932047">
        <w:t xml:space="preserve">; </w:t>
      </w:r>
      <w:r w:rsidR="00932047" w:rsidRPr="00932047">
        <w:rPr>
          <w:i/>
          <w:iCs/>
        </w:rPr>
        <w:t>a</w:t>
      </w:r>
      <w:r w:rsidR="0091740F">
        <w:rPr>
          <w:i/>
          <w:iCs/>
        </w:rPr>
        <w:t>lef</w:t>
      </w:r>
      <w:r w:rsidR="00932047">
        <w:t xml:space="preserve">; and </w:t>
      </w:r>
      <w:r w:rsidR="00932047" w:rsidRPr="0091740F">
        <w:rPr>
          <w:i/>
          <w:iCs/>
        </w:rPr>
        <w:t>t</w:t>
      </w:r>
      <w:r w:rsidR="0091740F" w:rsidRPr="0091740F">
        <w:rPr>
          <w:i/>
          <w:iCs/>
        </w:rPr>
        <w:t>et</w:t>
      </w:r>
      <w:r w:rsidR="0091740F">
        <w:t>.</w:t>
      </w:r>
      <w:r w:rsidR="00932047">
        <w:t xml:space="preserve"> </w:t>
      </w:r>
      <w:r w:rsidR="00B86131" w:rsidRPr="00B86131">
        <w:t xml:space="preserve">As mentioned, </w:t>
      </w:r>
      <w:r w:rsidR="00B86131">
        <w:t xml:space="preserve">it is my belief that these </w:t>
      </w:r>
      <w:r w:rsidR="00B86131" w:rsidRPr="00B86131">
        <w:rPr>
          <w:i/>
          <w:iCs/>
        </w:rPr>
        <w:t>simanim</w:t>
      </w:r>
      <w:r w:rsidR="00B86131">
        <w:t xml:space="preserve"> were not part of the original text, and therefore </w:t>
      </w:r>
      <w:r w:rsidR="00735B99">
        <w:t>obstructed</w:t>
      </w:r>
      <w:r w:rsidR="006F5032">
        <w:t xml:space="preserve"> </w:t>
      </w:r>
      <w:r w:rsidR="0089129C">
        <w:t xml:space="preserve">these scholars’ </w:t>
      </w:r>
      <w:r w:rsidR="00C640AC">
        <w:t xml:space="preserve">view </w:t>
      </w:r>
      <w:r w:rsidR="00735B99">
        <w:t xml:space="preserve">of </w:t>
      </w:r>
      <w:r w:rsidR="00C640AC">
        <w:t xml:space="preserve">the midrash as </w:t>
      </w:r>
      <w:r w:rsidR="00735B99">
        <w:t xml:space="preserve">it was </w:t>
      </w:r>
      <w:r w:rsidR="00C640AC">
        <w:t>intended</w:t>
      </w:r>
      <w:r w:rsidR="0089129C">
        <w:t xml:space="preserve">, leading them in turn, to </w:t>
      </w:r>
      <w:r w:rsidR="0006147E">
        <w:t>inaccurate conclusions</w:t>
      </w:r>
      <w:r w:rsidR="00900A4F">
        <w:t>. Some scholars argue</w:t>
      </w:r>
      <w:r w:rsidR="003F44CB">
        <w:t>d</w:t>
      </w:r>
      <w:r w:rsidR="00900A4F">
        <w:t xml:space="preserve"> that this was a </w:t>
      </w:r>
      <w:r w:rsidR="007F1845">
        <w:t>Tannaitic</w:t>
      </w:r>
      <w:r w:rsidR="00900A4F">
        <w:t xml:space="preserve"> </w:t>
      </w:r>
      <w:r w:rsidR="00C1372E">
        <w:t>text; while other</w:t>
      </w:r>
      <w:r w:rsidR="007F1845">
        <w:t>s</w:t>
      </w:r>
      <w:r w:rsidR="00C1372E">
        <w:t xml:space="preserve"> claimed that it was a </w:t>
      </w:r>
      <w:r w:rsidR="003F44CB">
        <w:rPr>
          <w:i/>
          <w:iCs/>
        </w:rPr>
        <w:t>M</w:t>
      </w:r>
      <w:r w:rsidR="003F44CB" w:rsidRPr="003F44CB">
        <w:rPr>
          <w:i/>
          <w:iCs/>
        </w:rPr>
        <w:t xml:space="preserve">idrash </w:t>
      </w:r>
      <w:r w:rsidR="003F44CB">
        <w:rPr>
          <w:i/>
          <w:iCs/>
        </w:rPr>
        <w:t>T</w:t>
      </w:r>
      <w:r w:rsidR="003F44CB" w:rsidRPr="003F44CB">
        <w:rPr>
          <w:i/>
          <w:iCs/>
        </w:rPr>
        <w:t>anhuma</w:t>
      </w:r>
      <w:r w:rsidR="003F44CB">
        <w:t xml:space="preserve">; </w:t>
      </w:r>
      <w:r w:rsidR="007F1845">
        <w:t xml:space="preserve">but, based on what I demonstrate in </w:t>
      </w:r>
      <w:r w:rsidR="003F44CB">
        <w:t>this chapter</w:t>
      </w:r>
      <w:r w:rsidR="007F1845">
        <w:t>, both</w:t>
      </w:r>
      <w:r w:rsidR="003F44CB">
        <w:t xml:space="preserve"> claims are </w:t>
      </w:r>
      <w:r w:rsidR="00B92380">
        <w:t xml:space="preserve">not feasible. </w:t>
      </w:r>
      <w:r w:rsidR="003F2C64">
        <w:t>Regarding</w:t>
      </w:r>
      <w:r w:rsidR="00B92380">
        <w:t xml:space="preserve"> the place in which the midrash was edited, scholars </w:t>
      </w:r>
      <w:r w:rsidR="003F2C64">
        <w:t>agree</w:t>
      </w:r>
      <w:r w:rsidR="00B92380">
        <w:t xml:space="preserve"> that it was in Eretz Israel. </w:t>
      </w:r>
    </w:p>
    <w:p w14:paraId="0DEFCFBA" w14:textId="77777777" w:rsidR="00FB5301" w:rsidRDefault="00FB5301" w:rsidP="002E55F2">
      <w:pPr>
        <w:spacing w:line="360" w:lineRule="auto"/>
        <w:ind w:firstLine="0"/>
      </w:pPr>
    </w:p>
    <w:p w14:paraId="103E1280" w14:textId="77777777" w:rsidR="006445EA" w:rsidRDefault="00FB5301" w:rsidP="002E55F2">
      <w:pPr>
        <w:spacing w:line="360" w:lineRule="auto"/>
        <w:ind w:firstLine="0"/>
      </w:pPr>
      <w:r>
        <w:t xml:space="preserve">This chapter includes two </w:t>
      </w:r>
      <w:r w:rsidR="006F4CF7">
        <w:t>sections that can help determine the date</w:t>
      </w:r>
      <w:r w:rsidR="003F2C64">
        <w:t xml:space="preserve"> of authorship</w:t>
      </w:r>
      <w:r w:rsidR="006F4CF7">
        <w:t xml:space="preserve">: </w:t>
      </w:r>
    </w:p>
    <w:p w14:paraId="12245C29" w14:textId="1CA057D8" w:rsidR="008D5742" w:rsidRDefault="006F4CF7" w:rsidP="008D5742">
      <w:pPr>
        <w:pStyle w:val="ListParagraph"/>
        <w:numPr>
          <w:ilvl w:val="0"/>
          <w:numId w:val="6"/>
        </w:numPr>
        <w:spacing w:line="360" w:lineRule="auto"/>
      </w:pPr>
      <w:r w:rsidRPr="008D5742">
        <w:rPr>
          <w:i/>
          <w:iCs/>
        </w:rPr>
        <w:t>S</w:t>
      </w:r>
      <w:r w:rsidR="00446C52" w:rsidRPr="008D5742">
        <w:rPr>
          <w:i/>
          <w:iCs/>
        </w:rPr>
        <w:t>h</w:t>
      </w:r>
      <w:r w:rsidR="00DC7848" w:rsidRPr="008D5742">
        <w:rPr>
          <w:i/>
          <w:iCs/>
        </w:rPr>
        <w:t>e</w:t>
      </w:r>
      <w:r w:rsidR="00446C52" w:rsidRPr="008D5742">
        <w:rPr>
          <w:i/>
          <w:iCs/>
        </w:rPr>
        <w:t>mot Ha</w:t>
      </w:r>
      <w:r w:rsidR="00DC7848" w:rsidRPr="008D5742">
        <w:rPr>
          <w:i/>
          <w:iCs/>
        </w:rPr>
        <w:t>Ĥ</w:t>
      </w:r>
      <w:r w:rsidR="00446C52" w:rsidRPr="008D5742">
        <w:rPr>
          <w:i/>
          <w:iCs/>
        </w:rPr>
        <w:t>a</w:t>
      </w:r>
      <w:r w:rsidR="00DC7848" w:rsidRPr="008D5742">
        <w:rPr>
          <w:i/>
          <w:iCs/>
        </w:rPr>
        <w:t>k</w:t>
      </w:r>
      <w:r w:rsidR="00446C52" w:rsidRPr="008D5742">
        <w:rPr>
          <w:i/>
          <w:iCs/>
        </w:rPr>
        <w:t>hamim</w:t>
      </w:r>
      <w:r w:rsidR="00C00EC0">
        <w:t xml:space="preserve"> (the names of the</w:t>
      </w:r>
      <w:r w:rsidR="0091445F">
        <w:t xml:space="preserve"> wise)</w:t>
      </w:r>
      <w:r w:rsidR="00446C52">
        <w:t>. Most of the names</w:t>
      </w:r>
      <w:r w:rsidR="00A80736">
        <w:t xml:space="preserve"> are</w:t>
      </w:r>
      <w:r w:rsidR="000D0D9E">
        <w:t>, or can be</w:t>
      </w:r>
      <w:r w:rsidR="00C915E6">
        <w:t>,</w:t>
      </w:r>
      <w:r w:rsidR="000D0D9E">
        <w:t xml:space="preserve"> considered</w:t>
      </w:r>
      <w:r w:rsidR="00A80736">
        <w:t xml:space="preserve"> </w:t>
      </w:r>
      <w:r w:rsidR="0091445F">
        <w:t>Tannaitic;</w:t>
      </w:r>
      <w:r w:rsidR="00A80736">
        <w:t xml:space="preserve"> </w:t>
      </w:r>
      <w:r w:rsidR="000D0D9E">
        <w:t xml:space="preserve">however, </w:t>
      </w:r>
      <w:r w:rsidR="00A80736">
        <w:t>there are also names unrecogniz</w:t>
      </w:r>
      <w:r w:rsidR="00FB7999">
        <w:t xml:space="preserve">ed in </w:t>
      </w:r>
      <w:r w:rsidR="00205271">
        <w:t>the Sage</w:t>
      </w:r>
      <w:r w:rsidR="00FB7999">
        <w:t xml:space="preserve"> literature. Th</w:t>
      </w:r>
      <w:r w:rsidR="00205271">
        <w:t>is suggests that</w:t>
      </w:r>
      <w:r w:rsidR="00FB7999">
        <w:t xml:space="preserve"> </w:t>
      </w:r>
      <w:r w:rsidR="008834C3">
        <w:t xml:space="preserve">to render his </w:t>
      </w:r>
      <w:r w:rsidR="00A568D0">
        <w:t xml:space="preserve">later </w:t>
      </w:r>
      <w:r w:rsidR="008834C3">
        <w:t>text valuable and valid, the</w:t>
      </w:r>
      <w:r w:rsidR="002A29D1">
        <w:t xml:space="preserve"> editor not only employed Tannaitic </w:t>
      </w:r>
      <w:r w:rsidR="008834C3">
        <w:t>literary features</w:t>
      </w:r>
      <w:r w:rsidR="002A29D1">
        <w:t xml:space="preserve">, but also </w:t>
      </w:r>
      <w:r w:rsidR="00020CE3">
        <w:t>included</w:t>
      </w:r>
      <w:r w:rsidR="00705B3C">
        <w:t xml:space="preserve"> the greatest and most popular Tannaitic</w:t>
      </w:r>
      <w:r w:rsidR="00335A72">
        <w:t xml:space="preserve"> scholars</w:t>
      </w:r>
      <w:r w:rsidR="008834C3">
        <w:t xml:space="preserve"> </w:t>
      </w:r>
      <w:r w:rsidR="00020CE3">
        <w:t xml:space="preserve">in the </w:t>
      </w:r>
      <w:r w:rsidR="000D0D9E" w:rsidRPr="008D5742">
        <w:rPr>
          <w:i/>
          <w:iCs/>
        </w:rPr>
        <w:t>Shemot HaĤakhamim</w:t>
      </w:r>
      <w:r w:rsidR="00A568D0">
        <w:t>.</w:t>
      </w:r>
      <w:r w:rsidR="00335A72">
        <w:t xml:space="preserve"> </w:t>
      </w:r>
      <w:r w:rsidR="00A568D0">
        <w:t>T</w:t>
      </w:r>
      <w:r w:rsidR="00335A72">
        <w:t>he less familiar names</w:t>
      </w:r>
      <w:r w:rsidR="00A568D0">
        <w:t>, however, may</w:t>
      </w:r>
      <w:r w:rsidR="00335A72">
        <w:t xml:space="preserve"> </w:t>
      </w:r>
      <w:r w:rsidR="00AC62B1">
        <w:t xml:space="preserve">glimpse the possibility that the text </w:t>
      </w:r>
      <w:r w:rsidR="00C915E6">
        <w:t xml:space="preserve">is dated </w:t>
      </w:r>
      <w:r w:rsidR="00B20E0E">
        <w:lastRenderedPageBreak/>
        <w:t>even further</w:t>
      </w:r>
      <w:r w:rsidR="00AC62B1">
        <w:t xml:space="preserve"> from the </w:t>
      </w:r>
      <w:r w:rsidR="00A568D0">
        <w:t>Tannaitic</w:t>
      </w:r>
      <w:r w:rsidR="00AC62B1">
        <w:t xml:space="preserve"> period, because only from </w:t>
      </w:r>
      <w:r w:rsidR="00B20E0E">
        <w:t>such a</w:t>
      </w:r>
      <w:r w:rsidR="00AC62B1">
        <w:t xml:space="preserve"> </w:t>
      </w:r>
      <w:r w:rsidR="0098415E">
        <w:t xml:space="preserve">distance in time can </w:t>
      </w:r>
      <w:r w:rsidR="008D5742">
        <w:t>it</w:t>
      </w:r>
      <w:r w:rsidR="0098415E">
        <w:t xml:space="preserve"> be disrupted</w:t>
      </w:r>
      <w:r w:rsidR="00B27032">
        <w:t xml:space="preserve"> and include fictitious names </w:t>
      </w:r>
      <w:r w:rsidR="00B20E0E">
        <w:t xml:space="preserve">without </w:t>
      </w:r>
      <w:r w:rsidR="006445EA">
        <w:t>consequence</w:t>
      </w:r>
      <w:r w:rsidR="00B27032">
        <w:t>.</w:t>
      </w:r>
    </w:p>
    <w:p w14:paraId="4E56C2C0" w14:textId="77777777" w:rsidR="00F40576" w:rsidRDefault="00F40576" w:rsidP="00F40576">
      <w:pPr>
        <w:pStyle w:val="ListParagraph"/>
        <w:spacing w:line="360" w:lineRule="auto"/>
        <w:ind w:firstLine="0"/>
      </w:pPr>
    </w:p>
    <w:p w14:paraId="74F744D1" w14:textId="0314B088" w:rsidR="008D5742" w:rsidRDefault="008D5742" w:rsidP="00F40576">
      <w:pPr>
        <w:pStyle w:val="ListParagraph"/>
        <w:numPr>
          <w:ilvl w:val="0"/>
          <w:numId w:val="6"/>
        </w:numPr>
        <w:spacing w:line="360" w:lineRule="auto"/>
      </w:pPr>
      <w:r>
        <w:t xml:space="preserve">Tannaitic Sources. This section includes an interesting discovery that can link the midrash to the period in which Arabic was the commonly spoken language. Our midrash is written entirely in Hebrew, </w:t>
      </w:r>
      <w:r w:rsidR="003A6A8B">
        <w:t>as opposed to midrashim in the Sage literature that contain some</w:t>
      </w:r>
      <w:r>
        <w:t xml:space="preserve"> Aramaic and Greek words</w:t>
      </w:r>
      <w:r w:rsidR="003A6A8B">
        <w:t xml:space="preserve">. </w:t>
      </w:r>
      <w:r>
        <w:t xml:space="preserve">The transition from Hebrew and Aramaic, to Hebrew alone is characteristic of later midrashim, written after the Islamic conquest of Eretz Israel; therefore, it seems that the editing of the midrash </w:t>
      </w:r>
      <w:r w:rsidR="003A6A8B">
        <w:t>can be dated</w:t>
      </w:r>
      <w:r>
        <w:t xml:space="preserve"> in the Early Islamic era (634-1099AD). During this time, many midrashim were </w:t>
      </w:r>
      <w:commentRangeStart w:id="19"/>
      <w:r>
        <w:t>authored</w:t>
      </w:r>
      <w:commentRangeEnd w:id="19"/>
      <w:r>
        <w:rPr>
          <w:rStyle w:val="CommentReference"/>
        </w:rPr>
        <w:commentReference w:id="19"/>
      </w:r>
      <w:r>
        <w:t xml:space="preserve"> in Eretz Israel. Resembling </w:t>
      </w:r>
      <w:r w:rsidRPr="00A45399">
        <w:t>Amoraic</w:t>
      </w:r>
      <w:r>
        <w:t xml:space="preserve"> midrashim written in the Byzantine era, both in content and in form, they exemplify how stylistic imitation can hinder upon attempts to determine the time and place of authorship. </w:t>
      </w:r>
    </w:p>
    <w:p w14:paraId="35E22896" w14:textId="433DB26D" w:rsidR="006445EA" w:rsidRDefault="006445EA" w:rsidP="003A6A8B">
      <w:pPr>
        <w:pStyle w:val="ListParagraph"/>
        <w:spacing w:line="360" w:lineRule="auto"/>
        <w:ind w:firstLine="0"/>
      </w:pPr>
    </w:p>
    <w:p w14:paraId="0AD61423" w14:textId="6331DB6E" w:rsidR="00F62654" w:rsidRDefault="001C655E" w:rsidP="002E55F2">
      <w:pPr>
        <w:spacing w:line="360" w:lineRule="auto"/>
        <w:ind w:firstLine="0"/>
      </w:pPr>
      <w:r>
        <w:t xml:space="preserve">I </w:t>
      </w:r>
      <w:r w:rsidR="00902899">
        <w:t>endeavored</w:t>
      </w:r>
      <w:r>
        <w:t xml:space="preserve"> to examine the possibility of </w:t>
      </w:r>
      <w:r w:rsidR="000830E8">
        <w:t xml:space="preserve">situating the midrash </w:t>
      </w:r>
      <w:r w:rsidR="00902899">
        <w:t>with</w:t>
      </w:r>
      <w:r w:rsidR="000830E8">
        <w:t xml:space="preserve">in a </w:t>
      </w:r>
      <w:r w:rsidR="00902899">
        <w:t>more limited</w:t>
      </w:r>
      <w:r w:rsidR="005C3E43">
        <w:t xml:space="preserve"> time frame </w:t>
      </w:r>
      <w:r w:rsidR="00902899">
        <w:t>in</w:t>
      </w:r>
      <w:r w:rsidR="005C3E43">
        <w:t xml:space="preserve"> this era. From analysis of the legends and stories, I found that </w:t>
      </w:r>
      <w:r w:rsidR="00902899">
        <w:t>the midrash</w:t>
      </w:r>
      <w:r w:rsidR="005C3E43">
        <w:t xml:space="preserve"> was not influenced by the Babylonian Talmud, and that its conventions are unique to Eretz Israel. </w:t>
      </w:r>
      <w:r w:rsidR="003B44AA">
        <w:t>Scholars agree that during the ninth</w:t>
      </w:r>
      <w:r w:rsidR="00BA48E0">
        <w:t xml:space="preserve"> </w:t>
      </w:r>
      <w:r w:rsidR="003B44AA">
        <w:t>century</w:t>
      </w:r>
      <w:r w:rsidR="00BA48E0">
        <w:t>,</w:t>
      </w:r>
      <w:r w:rsidR="003B44AA">
        <w:t xml:space="preserve"> a transition from Eretz Israel </w:t>
      </w:r>
      <w:r w:rsidR="00BA48E0">
        <w:t xml:space="preserve">to Babylonian </w:t>
      </w:r>
      <w:r w:rsidR="003B44AA">
        <w:t xml:space="preserve">traditions </w:t>
      </w:r>
      <w:r w:rsidR="005F6803">
        <w:t>occurred, a process that accel</w:t>
      </w:r>
      <w:r w:rsidR="00370F1B">
        <w:t>erated during the tenth</w:t>
      </w:r>
      <w:r w:rsidR="00BA48E0">
        <w:t xml:space="preserve"> </w:t>
      </w:r>
      <w:r w:rsidR="00370F1B">
        <w:t>century. Accordingly, our midrash can be dated no later than the beginning of the tenth</w:t>
      </w:r>
      <w:r w:rsidR="00BA48E0">
        <w:t xml:space="preserve"> </w:t>
      </w:r>
      <w:r w:rsidR="00370F1B">
        <w:t xml:space="preserve">century, before the </w:t>
      </w:r>
      <w:r w:rsidR="00AE686F">
        <w:t xml:space="preserve">dissemination of Babylonian influences in Eretz Israel. </w:t>
      </w:r>
    </w:p>
    <w:p w14:paraId="27ACF4B5" w14:textId="31347C8D" w:rsidR="00AE686F" w:rsidRDefault="00AE686F" w:rsidP="002E55F2">
      <w:pPr>
        <w:spacing w:line="360" w:lineRule="auto"/>
        <w:ind w:firstLine="0"/>
      </w:pPr>
    </w:p>
    <w:p w14:paraId="035F47E4" w14:textId="45D64FDE" w:rsidR="002A1C70" w:rsidRDefault="00AE686F" w:rsidP="006B0F03">
      <w:pPr>
        <w:spacing w:line="360" w:lineRule="auto"/>
        <w:ind w:firstLine="0"/>
      </w:pPr>
      <w:r>
        <w:t xml:space="preserve">It is possible, </w:t>
      </w:r>
      <w:r w:rsidR="00D811D8">
        <w:t>although only hypothetically</w:t>
      </w:r>
      <w:r>
        <w:t xml:space="preserve">, to </w:t>
      </w:r>
      <w:r w:rsidR="00F827C7">
        <w:t>narrow this range</w:t>
      </w:r>
      <w:r w:rsidR="00D811D8">
        <w:t xml:space="preserve"> further</w:t>
      </w:r>
      <w:r w:rsidR="00F827C7">
        <w:t>. The Early Islam</w:t>
      </w:r>
      <w:r w:rsidR="00D811D8">
        <w:t>ic</w:t>
      </w:r>
      <w:r w:rsidR="00F827C7">
        <w:t xml:space="preserve"> </w:t>
      </w:r>
      <w:r w:rsidR="00D811D8">
        <w:t>era in Eretz Israel</w:t>
      </w:r>
      <w:r w:rsidR="00F827C7">
        <w:t xml:space="preserve"> is divided into three parts: from the conquest to </w:t>
      </w:r>
      <w:r w:rsidR="00FB62F5">
        <w:t xml:space="preserve">the end of </w:t>
      </w:r>
      <w:r w:rsidR="00166BF3">
        <w:t xml:space="preserve">the </w:t>
      </w:r>
      <w:r w:rsidR="00D811D8">
        <w:t>Umayyad Caliphate</w:t>
      </w:r>
      <w:r w:rsidR="00FB62F5">
        <w:t xml:space="preserve"> (634-750AD); the </w:t>
      </w:r>
      <w:r w:rsidR="00166BF3">
        <w:t>Ab</w:t>
      </w:r>
      <w:r w:rsidR="00841D63">
        <w:t>b</w:t>
      </w:r>
      <w:r w:rsidR="00166BF3">
        <w:t>asi</w:t>
      </w:r>
      <w:r w:rsidR="00841D63">
        <w:t>d Caliphate</w:t>
      </w:r>
      <w:r w:rsidR="00166BF3">
        <w:t xml:space="preserve"> (</w:t>
      </w:r>
      <w:r w:rsidR="00FB62F5">
        <w:t xml:space="preserve">750-969AD); and the </w:t>
      </w:r>
      <w:r w:rsidR="00841D63">
        <w:t>Fatimid</w:t>
      </w:r>
      <w:r w:rsidR="00FB62F5">
        <w:t xml:space="preserve"> </w:t>
      </w:r>
      <w:r w:rsidR="00841D63">
        <w:t>Caliphate</w:t>
      </w:r>
      <w:r w:rsidR="00FB62F5">
        <w:t xml:space="preserve"> (9</w:t>
      </w:r>
      <w:r w:rsidR="00166BF3">
        <w:t xml:space="preserve">69-1099AD). The first period was the </w:t>
      </w:r>
      <w:r w:rsidR="006B0F03">
        <w:t xml:space="preserve">most advantageous for the Jews in </w:t>
      </w:r>
      <w:r w:rsidR="00166BF3">
        <w:t xml:space="preserve">Eretz Israel, </w:t>
      </w:r>
      <w:r w:rsidR="006B0F03">
        <w:t xml:space="preserve">particularly in terms of their freedom for </w:t>
      </w:r>
      <w:r w:rsidR="00166BF3">
        <w:t xml:space="preserve">spiritual </w:t>
      </w:r>
      <w:r w:rsidR="002A1C70">
        <w:t xml:space="preserve">creativity. </w:t>
      </w:r>
    </w:p>
    <w:p w14:paraId="6389C6D2" w14:textId="77777777" w:rsidR="002A1C70" w:rsidRDefault="002A1C70" w:rsidP="002E55F2">
      <w:pPr>
        <w:spacing w:line="360" w:lineRule="auto"/>
        <w:ind w:firstLine="0"/>
      </w:pPr>
    </w:p>
    <w:p w14:paraId="459AFAEC" w14:textId="296B8E76" w:rsidR="00AE686F" w:rsidRDefault="002A1C70" w:rsidP="002E55F2">
      <w:pPr>
        <w:spacing w:line="360" w:lineRule="auto"/>
        <w:ind w:firstLine="0"/>
      </w:pPr>
      <w:r>
        <w:t xml:space="preserve">It may be that the key message in our midrash, the call for passivity, </w:t>
      </w:r>
      <w:r w:rsidR="0046743B">
        <w:t>constituted a</w:t>
      </w:r>
      <w:r>
        <w:t xml:space="preserve"> response to </w:t>
      </w:r>
      <w:r w:rsidR="0046743B">
        <w:t>historical</w:t>
      </w:r>
      <w:r>
        <w:t xml:space="preserve"> events. At the end of the Byzantine </w:t>
      </w:r>
      <w:r w:rsidR="0018346C">
        <w:t xml:space="preserve">era, the Persians conquered Eretz Israel, </w:t>
      </w:r>
      <w:r w:rsidR="00011C0B">
        <w:t>who were replaced by the</w:t>
      </w:r>
      <w:r w:rsidR="0018346C">
        <w:t xml:space="preserve"> Byzantines for </w:t>
      </w:r>
      <w:r w:rsidR="00011C0B">
        <w:t xml:space="preserve">a </w:t>
      </w:r>
      <w:r w:rsidR="0018346C">
        <w:t>short period,</w:t>
      </w:r>
      <w:r w:rsidR="00925988">
        <w:t xml:space="preserve"> then</w:t>
      </w:r>
      <w:r w:rsidR="0018346C">
        <w:t xml:space="preserve"> </w:t>
      </w:r>
      <w:r w:rsidR="00011C0B">
        <w:t>followed by</w:t>
      </w:r>
      <w:r w:rsidR="0018346C">
        <w:t xml:space="preserve"> the </w:t>
      </w:r>
      <w:r w:rsidR="00011C0B">
        <w:t>Islamic</w:t>
      </w:r>
      <w:r w:rsidR="0018346C">
        <w:t xml:space="preserve"> conquest. These </w:t>
      </w:r>
      <w:r w:rsidR="00CD0946">
        <w:t xml:space="preserve">vicissitudes evoked Messianic aspirations amongst the Jews. In addition, </w:t>
      </w:r>
      <w:r w:rsidR="00D22634">
        <w:t>because the Jews</w:t>
      </w:r>
      <w:r w:rsidR="00592B7A">
        <w:t xml:space="preserve"> </w:t>
      </w:r>
      <w:r w:rsidR="00CD0946">
        <w:t>cooperated with the Persians</w:t>
      </w:r>
      <w:r w:rsidR="00592B7A">
        <w:t xml:space="preserve"> in acting </w:t>
      </w:r>
      <w:r w:rsidR="006973B6">
        <w:t xml:space="preserve">against the </w:t>
      </w:r>
      <w:r w:rsidR="006973B6">
        <w:lastRenderedPageBreak/>
        <w:t xml:space="preserve">Christians, with the return of Heraclius, the Byzantine emperor, </w:t>
      </w:r>
      <w:r w:rsidR="00D22634">
        <w:t>they were</w:t>
      </w:r>
      <w:r w:rsidR="00C2414E">
        <w:t xml:space="preserve"> retaliated </w:t>
      </w:r>
      <w:r w:rsidR="00D22634">
        <w:t>against</w:t>
      </w:r>
      <w:r w:rsidR="00AC045C">
        <w:t xml:space="preserve">, and many were slaughtered. </w:t>
      </w:r>
      <w:r w:rsidR="00C2414E">
        <w:t xml:space="preserve">It is possible that these harrowing events instigated the transition from </w:t>
      </w:r>
      <w:r w:rsidR="008C3313">
        <w:t xml:space="preserve">a </w:t>
      </w:r>
      <w:r w:rsidR="00EF4F05">
        <w:t>perce</w:t>
      </w:r>
      <w:r w:rsidR="00AC045C">
        <w:t>ption</w:t>
      </w:r>
      <w:r w:rsidR="00EF4F05">
        <w:t xml:space="preserve"> of reality as heralding redemption and</w:t>
      </w:r>
      <w:r w:rsidR="003E0ED5">
        <w:t xml:space="preserve"> </w:t>
      </w:r>
      <w:r w:rsidR="00495968">
        <w:t xml:space="preserve">motivating a proactive orientation, to a perception in which redemption is deferred </w:t>
      </w:r>
      <w:r w:rsidR="00E24B73">
        <w:t>to an unknown time in the far future</w:t>
      </w:r>
      <w:r w:rsidR="00551F8C">
        <w:t xml:space="preserve">. From this viewpoint, our </w:t>
      </w:r>
      <w:r w:rsidR="00E24B73">
        <w:t xml:space="preserve">midrash </w:t>
      </w:r>
      <w:r w:rsidR="00551F8C">
        <w:t>can be aligned</w:t>
      </w:r>
      <w:r w:rsidR="00E24B73">
        <w:t xml:space="preserve">, in various ways, </w:t>
      </w:r>
      <w:r w:rsidR="00925988">
        <w:t>with</w:t>
      </w:r>
      <w:r w:rsidR="00E24B73">
        <w:t xml:space="preserve"> </w:t>
      </w:r>
      <w:r w:rsidR="00551F8C">
        <w:t xml:space="preserve">both </w:t>
      </w:r>
      <w:r w:rsidR="00E24B73">
        <w:t xml:space="preserve">ancient </w:t>
      </w:r>
      <w:r w:rsidR="00D6201C">
        <w:t xml:space="preserve">and later </w:t>
      </w:r>
      <w:r w:rsidR="00E24B73">
        <w:t>midrashim</w:t>
      </w:r>
      <w:r w:rsidR="00EF77F1">
        <w:t xml:space="preserve">; an indication of its composition during a </w:t>
      </w:r>
      <w:r w:rsidR="00D6201C">
        <w:t xml:space="preserve">transitional period, </w:t>
      </w:r>
      <w:r w:rsidR="00EF77F1">
        <w:t>when</w:t>
      </w:r>
      <w:r w:rsidR="00D6201C">
        <w:t xml:space="preserve"> old conventions </w:t>
      </w:r>
      <w:r w:rsidR="00EF77F1">
        <w:t>had</w:t>
      </w:r>
      <w:r w:rsidR="00D6201C">
        <w:t xml:space="preserve"> not yet disappeared and </w:t>
      </w:r>
      <w:r w:rsidR="00925988">
        <w:t xml:space="preserve">the </w:t>
      </w:r>
      <w:r w:rsidR="00D6201C">
        <w:t xml:space="preserve">new </w:t>
      </w:r>
      <w:r w:rsidR="00EF77F1">
        <w:t>had</w:t>
      </w:r>
      <w:r w:rsidR="00D6201C">
        <w:t xml:space="preserve"> not yet spread. If so, in my opinion</w:t>
      </w:r>
      <w:r w:rsidR="00A61BBA">
        <w:t xml:space="preserve"> the </w:t>
      </w:r>
      <w:r w:rsidR="00DA200F">
        <w:t>midrash</w:t>
      </w:r>
      <w:r w:rsidR="00A61BBA">
        <w:t xml:space="preserve"> can be dated </w:t>
      </w:r>
      <w:r w:rsidR="003409A3" w:rsidRPr="003409A3">
        <w:rPr>
          <w:lang w:val="en-GB"/>
        </w:rPr>
        <w:t>sometime during</w:t>
      </w:r>
      <w:r w:rsidR="00C50357">
        <w:t xml:space="preserve"> the </w:t>
      </w:r>
      <w:r w:rsidR="00DA200F">
        <w:t>Islamic</w:t>
      </w:r>
      <w:r w:rsidR="00C50357">
        <w:t xml:space="preserve"> Conquest. But again, this is only an a</w:t>
      </w:r>
      <w:r w:rsidR="00EE3A3B">
        <w:t xml:space="preserve">ssumption. </w:t>
      </w:r>
    </w:p>
    <w:p w14:paraId="42FFF4C8" w14:textId="77777777" w:rsidR="00DA200F" w:rsidRDefault="00DA200F" w:rsidP="002E55F2">
      <w:pPr>
        <w:spacing w:line="360" w:lineRule="auto"/>
        <w:ind w:firstLine="0"/>
      </w:pPr>
    </w:p>
    <w:p w14:paraId="2D082761" w14:textId="5F24E17D" w:rsidR="00EE3A3B" w:rsidRPr="002E55F2" w:rsidRDefault="00EE3A3B" w:rsidP="002E55F2">
      <w:pPr>
        <w:spacing w:line="360" w:lineRule="auto"/>
        <w:ind w:firstLine="0"/>
      </w:pPr>
      <w:r>
        <w:t xml:space="preserve">There is no way of knowing why the midrash disappeared and </w:t>
      </w:r>
      <w:r w:rsidR="00DA200F">
        <w:t xml:space="preserve">why it </w:t>
      </w:r>
      <w:r>
        <w:t xml:space="preserve">was not printed until the end of the nineteenth century. Still, </w:t>
      </w:r>
      <w:r w:rsidR="00D86C75">
        <w:t xml:space="preserve">one should remember that many midrashim disappeared, and as opposed to them, </w:t>
      </w:r>
      <w:r w:rsidR="00DA200F">
        <w:t>this</w:t>
      </w:r>
      <w:r w:rsidR="00D86C75">
        <w:t xml:space="preserve"> midrash </w:t>
      </w:r>
      <w:r w:rsidR="008A1861">
        <w:t xml:space="preserve">was eventually published. Buber and Schechter redeemed this forgotten midrash; and Rabinowitz and Lerner added </w:t>
      </w:r>
      <w:r w:rsidR="00334B69">
        <w:t>commentary</w:t>
      </w:r>
      <w:r w:rsidR="00646613">
        <w:t xml:space="preserve"> that contributed</w:t>
      </w:r>
      <w:r w:rsidR="00334B69">
        <w:t xml:space="preserve"> to its </w:t>
      </w:r>
      <w:r w:rsidR="00646613">
        <w:t xml:space="preserve">recognition. This thesis does not </w:t>
      </w:r>
      <w:r w:rsidR="00351B35">
        <w:t xml:space="preserve">address </w:t>
      </w:r>
      <w:r w:rsidR="007C342E">
        <w:t>all</w:t>
      </w:r>
      <w:r w:rsidR="00351B35">
        <w:t xml:space="preserve"> the topics warranting investigation </w:t>
      </w:r>
      <w:r w:rsidR="00104FBF">
        <w:t>regarding</w:t>
      </w:r>
      <w:r w:rsidR="00351B35">
        <w:t xml:space="preserve"> this midrash; it constitutes a base-study of sorts,</w:t>
      </w:r>
      <w:r w:rsidR="00ED7DDF">
        <w:t xml:space="preserve"> and it is my hope that it </w:t>
      </w:r>
      <w:r w:rsidR="00C55391">
        <w:t>will contribute</w:t>
      </w:r>
      <w:r w:rsidR="00ED7DDF">
        <w:t xml:space="preserve"> to the </w:t>
      </w:r>
      <w:r w:rsidR="00D77E9A">
        <w:t xml:space="preserve">proliferation of the Sage </w:t>
      </w:r>
      <w:r w:rsidR="00ED7DDF">
        <w:t xml:space="preserve">literature of legends. </w:t>
      </w:r>
    </w:p>
    <w:p w14:paraId="5BB3957D" w14:textId="1AB5940F" w:rsidR="00AC4646" w:rsidRPr="00A45399" w:rsidRDefault="00AC4646" w:rsidP="00A02DA2">
      <w:pPr>
        <w:spacing w:line="360" w:lineRule="auto"/>
        <w:ind w:firstLine="0"/>
      </w:pPr>
    </w:p>
    <w:p w14:paraId="6D67DF94" w14:textId="77777777" w:rsidR="00713DF4" w:rsidRPr="00A45399" w:rsidRDefault="00713DF4" w:rsidP="002C0322">
      <w:pPr>
        <w:spacing w:line="360" w:lineRule="auto"/>
        <w:ind w:firstLine="0"/>
        <w:rPr>
          <w:sz w:val="28"/>
          <w:szCs w:val="28"/>
        </w:rPr>
      </w:pPr>
    </w:p>
    <w:p w14:paraId="44F928A7" w14:textId="0E7DB521" w:rsidR="00E633D7" w:rsidRDefault="00E633D7" w:rsidP="002C0322">
      <w:pPr>
        <w:spacing w:line="360" w:lineRule="auto"/>
        <w:ind w:firstLine="0"/>
        <w:rPr>
          <w:sz w:val="28"/>
          <w:szCs w:val="28"/>
        </w:rPr>
      </w:pPr>
    </w:p>
    <w:p w14:paraId="079A6B1D" w14:textId="70CEA07E" w:rsidR="00D77E9A" w:rsidRDefault="00D77E9A" w:rsidP="002C0322">
      <w:pPr>
        <w:spacing w:line="360" w:lineRule="auto"/>
        <w:ind w:firstLine="0"/>
        <w:rPr>
          <w:sz w:val="28"/>
          <w:szCs w:val="28"/>
        </w:rPr>
      </w:pPr>
    </w:p>
    <w:p w14:paraId="41EFFFBA" w14:textId="6EC494EE" w:rsidR="00D77E9A" w:rsidRDefault="00D77E9A" w:rsidP="002C0322">
      <w:pPr>
        <w:spacing w:line="360" w:lineRule="auto"/>
        <w:ind w:firstLine="0"/>
        <w:rPr>
          <w:sz w:val="28"/>
          <w:szCs w:val="28"/>
        </w:rPr>
      </w:pPr>
    </w:p>
    <w:p w14:paraId="069261A1" w14:textId="2EDC9E0A" w:rsidR="00D77E9A" w:rsidRDefault="00D77E9A" w:rsidP="002C0322">
      <w:pPr>
        <w:spacing w:line="360" w:lineRule="auto"/>
        <w:ind w:firstLine="0"/>
        <w:rPr>
          <w:sz w:val="28"/>
          <w:szCs w:val="28"/>
        </w:rPr>
      </w:pPr>
    </w:p>
    <w:p w14:paraId="60A79EE0" w14:textId="60BF63B9" w:rsidR="00D77E9A" w:rsidRDefault="00D77E9A" w:rsidP="002C0322">
      <w:pPr>
        <w:spacing w:line="360" w:lineRule="auto"/>
        <w:ind w:firstLine="0"/>
        <w:rPr>
          <w:sz w:val="28"/>
          <w:szCs w:val="28"/>
        </w:rPr>
      </w:pPr>
    </w:p>
    <w:p w14:paraId="296187E0" w14:textId="7A9BFDD3" w:rsidR="00D77E9A" w:rsidRDefault="00D77E9A" w:rsidP="002C0322">
      <w:pPr>
        <w:spacing w:line="360" w:lineRule="auto"/>
        <w:ind w:firstLine="0"/>
        <w:rPr>
          <w:sz w:val="28"/>
          <w:szCs w:val="28"/>
        </w:rPr>
      </w:pPr>
    </w:p>
    <w:p w14:paraId="4D657EF0" w14:textId="5E7354C1" w:rsidR="00D77E9A" w:rsidRDefault="00D77E9A" w:rsidP="002C0322">
      <w:pPr>
        <w:spacing w:line="360" w:lineRule="auto"/>
        <w:ind w:firstLine="0"/>
        <w:rPr>
          <w:sz w:val="28"/>
          <w:szCs w:val="28"/>
        </w:rPr>
      </w:pPr>
    </w:p>
    <w:p w14:paraId="09875425" w14:textId="3816272C" w:rsidR="00D77E9A" w:rsidRDefault="00D77E9A" w:rsidP="002C0322">
      <w:pPr>
        <w:spacing w:line="360" w:lineRule="auto"/>
        <w:ind w:firstLine="0"/>
        <w:rPr>
          <w:sz w:val="28"/>
          <w:szCs w:val="28"/>
        </w:rPr>
      </w:pPr>
    </w:p>
    <w:p w14:paraId="44E9963B" w14:textId="00101895" w:rsidR="00D77E9A" w:rsidRDefault="00D77E9A" w:rsidP="002C0322">
      <w:pPr>
        <w:spacing w:line="360" w:lineRule="auto"/>
        <w:ind w:firstLine="0"/>
        <w:rPr>
          <w:sz w:val="28"/>
          <w:szCs w:val="28"/>
        </w:rPr>
      </w:pPr>
    </w:p>
    <w:p w14:paraId="048BBB43" w14:textId="1CB05531" w:rsidR="00D77E9A" w:rsidRDefault="00D77E9A" w:rsidP="002C0322">
      <w:pPr>
        <w:spacing w:line="360" w:lineRule="auto"/>
        <w:ind w:firstLine="0"/>
        <w:rPr>
          <w:sz w:val="28"/>
          <w:szCs w:val="28"/>
        </w:rPr>
      </w:pPr>
    </w:p>
    <w:p w14:paraId="33C104C7" w14:textId="0E5F2D04" w:rsidR="00D77E9A" w:rsidRDefault="00D77E9A" w:rsidP="002C0322">
      <w:pPr>
        <w:spacing w:line="360" w:lineRule="auto"/>
        <w:ind w:firstLine="0"/>
        <w:rPr>
          <w:sz w:val="28"/>
          <w:szCs w:val="28"/>
        </w:rPr>
      </w:pPr>
    </w:p>
    <w:p w14:paraId="4745FDED" w14:textId="06B6CE84" w:rsidR="00D77E9A" w:rsidRDefault="00D77E9A" w:rsidP="002C0322">
      <w:pPr>
        <w:spacing w:line="360" w:lineRule="auto"/>
        <w:ind w:firstLine="0"/>
        <w:rPr>
          <w:sz w:val="28"/>
          <w:szCs w:val="28"/>
          <w:u w:val="single"/>
        </w:rPr>
      </w:pPr>
      <w:r w:rsidRPr="00774879">
        <w:rPr>
          <w:sz w:val="28"/>
          <w:szCs w:val="28"/>
          <w:u w:val="single"/>
        </w:rPr>
        <w:lastRenderedPageBreak/>
        <w:t xml:space="preserve">Table of </w:t>
      </w:r>
      <w:r w:rsidR="00774879" w:rsidRPr="00774879">
        <w:rPr>
          <w:sz w:val="28"/>
          <w:szCs w:val="28"/>
          <w:u w:val="single"/>
        </w:rPr>
        <w:t>C</w:t>
      </w:r>
      <w:r w:rsidRPr="00774879">
        <w:rPr>
          <w:sz w:val="28"/>
          <w:szCs w:val="28"/>
          <w:u w:val="single"/>
        </w:rPr>
        <w:t>ontents</w:t>
      </w:r>
    </w:p>
    <w:p w14:paraId="2E1D5733" w14:textId="36A710AD" w:rsidR="00774879" w:rsidRDefault="00774879" w:rsidP="002C0322">
      <w:pPr>
        <w:spacing w:line="360" w:lineRule="auto"/>
        <w:ind w:firstLine="0"/>
        <w:rPr>
          <w:sz w:val="28"/>
          <w:szCs w:val="28"/>
          <w:u w:val="single"/>
        </w:rPr>
      </w:pPr>
    </w:p>
    <w:p w14:paraId="42378BD3" w14:textId="0AA8F975" w:rsidR="00774879" w:rsidRDefault="00774879" w:rsidP="002C0322">
      <w:pPr>
        <w:spacing w:line="360" w:lineRule="auto"/>
        <w:ind w:firstLine="0"/>
      </w:pPr>
      <w:r w:rsidRPr="00774879">
        <w:t xml:space="preserve">Chapter One </w:t>
      </w:r>
      <w:r w:rsidR="005B1D42">
        <w:t>–</w:t>
      </w:r>
      <w:r w:rsidRPr="00774879">
        <w:t xml:space="preserve"> Introduction</w:t>
      </w:r>
    </w:p>
    <w:p w14:paraId="605CC772" w14:textId="76E783DF" w:rsidR="005B1D42" w:rsidRDefault="005B1D42" w:rsidP="002C0322">
      <w:pPr>
        <w:spacing w:line="360" w:lineRule="auto"/>
        <w:ind w:firstLine="0"/>
      </w:pPr>
      <w:r>
        <w:tab/>
        <w:t>Thesis -objectives and content</w:t>
      </w:r>
    </w:p>
    <w:p w14:paraId="2ABAFB52" w14:textId="4E07CBDE" w:rsidR="005B1D42" w:rsidRDefault="005B1D42" w:rsidP="002C0322">
      <w:pPr>
        <w:spacing w:line="360" w:lineRule="auto"/>
        <w:ind w:firstLine="0"/>
      </w:pPr>
      <w:r>
        <w:tab/>
        <w:t>Version</w:t>
      </w:r>
    </w:p>
    <w:p w14:paraId="1C24EF9F" w14:textId="0DB24A75" w:rsidR="005B1D42" w:rsidRDefault="005B1D42" w:rsidP="002C0322">
      <w:pPr>
        <w:spacing w:line="360" w:lineRule="auto"/>
        <w:ind w:firstLine="0"/>
      </w:pPr>
      <w:r>
        <w:tab/>
        <w:t xml:space="preserve">Midrash structure – the problem and </w:t>
      </w:r>
      <w:r w:rsidR="00104FBF">
        <w:t xml:space="preserve">proposed </w:t>
      </w:r>
      <w:r>
        <w:t xml:space="preserve">solution </w:t>
      </w:r>
    </w:p>
    <w:p w14:paraId="3BE3581B" w14:textId="63439A7A" w:rsidR="005B1D42" w:rsidRDefault="005B1D42" w:rsidP="002C0322">
      <w:pPr>
        <w:spacing w:line="360" w:lineRule="auto"/>
        <w:ind w:firstLine="0"/>
      </w:pPr>
      <w:r>
        <w:tab/>
        <w:t>The axes</w:t>
      </w:r>
    </w:p>
    <w:p w14:paraId="338A1AFB" w14:textId="260B45BF" w:rsidR="005B1D42" w:rsidRDefault="005B1D42" w:rsidP="002C0322">
      <w:pPr>
        <w:spacing w:line="360" w:lineRule="auto"/>
        <w:ind w:firstLine="0"/>
      </w:pPr>
      <w:r>
        <w:tab/>
        <w:t>Literary forms</w:t>
      </w:r>
    </w:p>
    <w:p w14:paraId="197F6FDB" w14:textId="752CBA78" w:rsidR="005B1D42" w:rsidRDefault="005B1D42" w:rsidP="002C0322">
      <w:pPr>
        <w:spacing w:line="360" w:lineRule="auto"/>
        <w:ind w:firstLine="0"/>
      </w:pPr>
      <w:r>
        <w:tab/>
        <w:t xml:space="preserve">Where and When the midrash was composed </w:t>
      </w:r>
    </w:p>
    <w:p w14:paraId="4FFA9523" w14:textId="5B38502E" w:rsidR="005B1D42" w:rsidRDefault="005B1D42" w:rsidP="002C0322">
      <w:pPr>
        <w:spacing w:line="360" w:lineRule="auto"/>
        <w:ind w:firstLine="0"/>
      </w:pPr>
    </w:p>
    <w:p w14:paraId="1A68E734" w14:textId="27261D6A" w:rsidR="005B1D42" w:rsidRDefault="005B1D42" w:rsidP="002C0322">
      <w:pPr>
        <w:spacing w:line="360" w:lineRule="auto"/>
        <w:ind w:firstLine="0"/>
      </w:pPr>
      <w:r>
        <w:t>Chapter Two –</w:t>
      </w:r>
      <w:r w:rsidR="00104FBF">
        <w:t xml:space="preserve"> </w:t>
      </w:r>
      <w:r w:rsidR="009A3DCF">
        <w:t>Editions</w:t>
      </w:r>
    </w:p>
    <w:p w14:paraId="52655FC2" w14:textId="53C5F773" w:rsidR="009A3DCF" w:rsidRDefault="009A3DCF" w:rsidP="002C0322">
      <w:pPr>
        <w:spacing w:line="360" w:lineRule="auto"/>
        <w:ind w:firstLine="0"/>
      </w:pPr>
      <w:r>
        <w:tab/>
        <w:t>The manuscripts</w:t>
      </w:r>
    </w:p>
    <w:p w14:paraId="6CB2CC58" w14:textId="3B0869E3" w:rsidR="009A3DCF" w:rsidRDefault="009A3DCF" w:rsidP="002C0322">
      <w:pPr>
        <w:spacing w:line="360" w:lineRule="auto"/>
        <w:ind w:firstLine="0"/>
      </w:pPr>
      <w:r>
        <w:tab/>
        <w:t>Genizah portions</w:t>
      </w:r>
    </w:p>
    <w:p w14:paraId="4CD2FD89" w14:textId="73D3FFD9" w:rsidR="009A3DCF" w:rsidRDefault="009A3DCF" w:rsidP="002C0322">
      <w:pPr>
        <w:spacing w:line="360" w:lineRule="auto"/>
        <w:ind w:firstLine="0"/>
      </w:pPr>
      <w:r>
        <w:tab/>
        <w:t>My method in this edition</w:t>
      </w:r>
    </w:p>
    <w:p w14:paraId="270B12C2" w14:textId="77E27F7B" w:rsidR="009A3DCF" w:rsidRDefault="009A3DCF" w:rsidP="002C0322">
      <w:pPr>
        <w:spacing w:line="360" w:lineRule="auto"/>
        <w:ind w:firstLine="0"/>
      </w:pPr>
      <w:r>
        <w:tab/>
        <w:t>The edition</w:t>
      </w:r>
      <w:r w:rsidR="008168B2">
        <w:t>:</w:t>
      </w:r>
    </w:p>
    <w:p w14:paraId="47418A3E" w14:textId="2D17318B" w:rsidR="008168B2" w:rsidRDefault="008168B2" w:rsidP="002C0322">
      <w:pPr>
        <w:spacing w:line="360" w:lineRule="auto"/>
        <w:ind w:firstLine="0"/>
        <w:rPr>
          <w:i/>
          <w:iCs/>
        </w:rPr>
      </w:pPr>
      <w:r>
        <w:tab/>
      </w:r>
      <w:r>
        <w:tab/>
      </w:r>
      <w:r>
        <w:rPr>
          <w:i/>
          <w:iCs/>
        </w:rPr>
        <w:t>p</w:t>
      </w:r>
      <w:r w:rsidRPr="008168B2">
        <w:rPr>
          <w:i/>
          <w:iCs/>
        </w:rPr>
        <w:t>arasha a</w:t>
      </w:r>
      <w:r w:rsidR="000B0F74">
        <w:rPr>
          <w:i/>
          <w:iCs/>
        </w:rPr>
        <w:t>lef</w:t>
      </w:r>
      <w:r>
        <w:t xml:space="preserve">: </w:t>
      </w:r>
      <w:r w:rsidRPr="008168B2">
        <w:rPr>
          <w:i/>
          <w:iCs/>
        </w:rPr>
        <w:t>simanim b</w:t>
      </w:r>
      <w:r w:rsidR="00AF315D">
        <w:rPr>
          <w:i/>
          <w:iCs/>
        </w:rPr>
        <w:t>eit</w:t>
      </w:r>
      <w:r w:rsidRPr="008168B2">
        <w:rPr>
          <w:i/>
          <w:iCs/>
        </w:rPr>
        <w:t>-y</w:t>
      </w:r>
      <w:r w:rsidR="00AF315D">
        <w:rPr>
          <w:i/>
          <w:iCs/>
        </w:rPr>
        <w:t xml:space="preserve">ud </w:t>
      </w:r>
      <w:r w:rsidRPr="008168B2">
        <w:rPr>
          <w:i/>
          <w:iCs/>
        </w:rPr>
        <w:t>d</w:t>
      </w:r>
      <w:r w:rsidR="00AF315D">
        <w:rPr>
          <w:i/>
          <w:iCs/>
        </w:rPr>
        <w:t>alet</w:t>
      </w:r>
    </w:p>
    <w:p w14:paraId="1E975849" w14:textId="3C11452A" w:rsidR="008B404D" w:rsidRDefault="008B404D" w:rsidP="008B404D">
      <w:pPr>
        <w:spacing w:line="360" w:lineRule="auto"/>
        <w:ind w:left="720"/>
        <w:rPr>
          <w:i/>
          <w:iCs/>
        </w:rPr>
      </w:pPr>
      <w:r>
        <w:rPr>
          <w:i/>
          <w:iCs/>
        </w:rPr>
        <w:t>p</w:t>
      </w:r>
      <w:r w:rsidRPr="008168B2">
        <w:rPr>
          <w:i/>
          <w:iCs/>
        </w:rPr>
        <w:t>arasha a</w:t>
      </w:r>
      <w:r w:rsidR="00FD485F">
        <w:rPr>
          <w:i/>
          <w:iCs/>
        </w:rPr>
        <w:t>lef</w:t>
      </w:r>
      <w:r>
        <w:t xml:space="preserve">: </w:t>
      </w:r>
      <w:r w:rsidRPr="008168B2">
        <w:rPr>
          <w:i/>
          <w:iCs/>
        </w:rPr>
        <w:t xml:space="preserve">simanim </w:t>
      </w:r>
      <w:r>
        <w:rPr>
          <w:i/>
          <w:iCs/>
        </w:rPr>
        <w:t>t</w:t>
      </w:r>
      <w:r w:rsidR="00AF315D">
        <w:rPr>
          <w:i/>
          <w:iCs/>
        </w:rPr>
        <w:t xml:space="preserve">et </w:t>
      </w:r>
      <w:r>
        <w:rPr>
          <w:i/>
          <w:iCs/>
        </w:rPr>
        <w:t>z</w:t>
      </w:r>
      <w:r w:rsidR="00AF315D">
        <w:rPr>
          <w:i/>
          <w:iCs/>
        </w:rPr>
        <w:t>ayin</w:t>
      </w:r>
      <w:r w:rsidRPr="008168B2">
        <w:rPr>
          <w:i/>
          <w:iCs/>
        </w:rPr>
        <w:t>-y</w:t>
      </w:r>
      <w:r w:rsidR="00AF315D">
        <w:rPr>
          <w:i/>
          <w:iCs/>
        </w:rPr>
        <w:t xml:space="preserve">ud </w:t>
      </w:r>
      <w:r>
        <w:rPr>
          <w:i/>
          <w:iCs/>
        </w:rPr>
        <w:t>z</w:t>
      </w:r>
      <w:r w:rsidR="00AF315D">
        <w:rPr>
          <w:i/>
          <w:iCs/>
        </w:rPr>
        <w:t>ayin</w:t>
      </w:r>
    </w:p>
    <w:p w14:paraId="46EC1DAB" w14:textId="62C2E19C" w:rsidR="008B404D" w:rsidRDefault="008B404D" w:rsidP="008B404D">
      <w:pPr>
        <w:spacing w:line="360" w:lineRule="auto"/>
        <w:ind w:left="720"/>
        <w:rPr>
          <w:i/>
          <w:iCs/>
        </w:rPr>
      </w:pPr>
      <w:r>
        <w:rPr>
          <w:i/>
          <w:iCs/>
        </w:rPr>
        <w:t>parasha b</w:t>
      </w:r>
      <w:r w:rsidR="000B0F74">
        <w:rPr>
          <w:i/>
          <w:iCs/>
        </w:rPr>
        <w:t>eit</w:t>
      </w:r>
    </w:p>
    <w:p w14:paraId="15FD3866" w14:textId="16900E2D" w:rsidR="008B404D" w:rsidRDefault="008B404D" w:rsidP="008B404D">
      <w:pPr>
        <w:spacing w:line="360" w:lineRule="auto"/>
        <w:ind w:left="720"/>
        <w:rPr>
          <w:i/>
          <w:iCs/>
        </w:rPr>
      </w:pPr>
      <w:r>
        <w:rPr>
          <w:i/>
          <w:iCs/>
        </w:rPr>
        <w:t>parasha g</w:t>
      </w:r>
      <w:r w:rsidR="00FD485F">
        <w:rPr>
          <w:i/>
          <w:iCs/>
        </w:rPr>
        <w:t>immel</w:t>
      </w:r>
    </w:p>
    <w:p w14:paraId="5F8BA2DD" w14:textId="40B66658" w:rsidR="008B404D" w:rsidRDefault="008B404D" w:rsidP="008B404D">
      <w:pPr>
        <w:spacing w:line="360" w:lineRule="auto"/>
        <w:ind w:left="720"/>
        <w:rPr>
          <w:i/>
          <w:iCs/>
        </w:rPr>
      </w:pPr>
      <w:r>
        <w:rPr>
          <w:i/>
          <w:iCs/>
        </w:rPr>
        <w:t>parasha</w:t>
      </w:r>
      <w:r w:rsidR="00FD485F">
        <w:rPr>
          <w:i/>
          <w:iCs/>
        </w:rPr>
        <w:t xml:space="preserve"> dalet</w:t>
      </w:r>
    </w:p>
    <w:p w14:paraId="6D1B02D9" w14:textId="082DE0A8" w:rsidR="00FD485F" w:rsidRDefault="00FD485F" w:rsidP="008B404D">
      <w:pPr>
        <w:spacing w:line="360" w:lineRule="auto"/>
        <w:ind w:left="720"/>
        <w:rPr>
          <w:i/>
          <w:iCs/>
        </w:rPr>
      </w:pPr>
      <w:r>
        <w:rPr>
          <w:i/>
          <w:iCs/>
        </w:rPr>
        <w:t>parasha hey</w:t>
      </w:r>
    </w:p>
    <w:p w14:paraId="63103C02" w14:textId="1AA0667B" w:rsidR="00FD485F" w:rsidRDefault="00FD485F" w:rsidP="008B404D">
      <w:pPr>
        <w:spacing w:line="360" w:lineRule="auto"/>
        <w:ind w:left="720"/>
        <w:rPr>
          <w:i/>
          <w:iCs/>
        </w:rPr>
      </w:pPr>
      <w:r>
        <w:rPr>
          <w:i/>
          <w:iCs/>
        </w:rPr>
        <w:t>parasha vav</w:t>
      </w:r>
    </w:p>
    <w:p w14:paraId="168844D8" w14:textId="69561B8D" w:rsidR="00FD485F" w:rsidRDefault="00FD485F" w:rsidP="008B404D">
      <w:pPr>
        <w:spacing w:line="360" w:lineRule="auto"/>
        <w:ind w:left="720"/>
        <w:rPr>
          <w:i/>
          <w:iCs/>
        </w:rPr>
      </w:pPr>
      <w:r>
        <w:rPr>
          <w:i/>
          <w:iCs/>
        </w:rPr>
        <w:t>parasha zayin</w:t>
      </w:r>
    </w:p>
    <w:p w14:paraId="276BD00F" w14:textId="1322B83C" w:rsidR="000B0F74" w:rsidRDefault="000B0F74" w:rsidP="008B404D">
      <w:pPr>
        <w:spacing w:line="360" w:lineRule="auto"/>
        <w:ind w:left="720"/>
        <w:rPr>
          <w:i/>
          <w:iCs/>
        </w:rPr>
      </w:pPr>
      <w:r>
        <w:rPr>
          <w:i/>
          <w:iCs/>
        </w:rPr>
        <w:t>parasha khet</w:t>
      </w:r>
    </w:p>
    <w:p w14:paraId="36029723" w14:textId="1C6CDC2E" w:rsidR="003511F8" w:rsidRDefault="003511F8" w:rsidP="008B404D">
      <w:pPr>
        <w:spacing w:line="360" w:lineRule="auto"/>
        <w:ind w:left="720"/>
        <w:rPr>
          <w:i/>
          <w:iCs/>
        </w:rPr>
      </w:pPr>
    </w:p>
    <w:p w14:paraId="1747889C" w14:textId="3EF9DC23" w:rsidR="003511F8" w:rsidRDefault="003511F8" w:rsidP="003511F8">
      <w:pPr>
        <w:spacing w:line="360" w:lineRule="auto"/>
        <w:ind w:firstLine="0"/>
      </w:pPr>
      <w:r>
        <w:t>Chapter Three- The Axes</w:t>
      </w:r>
    </w:p>
    <w:p w14:paraId="127EF319" w14:textId="51FE94EC" w:rsidR="003511F8" w:rsidRDefault="003511F8" w:rsidP="003511F8">
      <w:pPr>
        <w:spacing w:line="360" w:lineRule="auto"/>
        <w:ind w:firstLine="0"/>
      </w:pPr>
      <w:r>
        <w:tab/>
        <w:t>The historical axis/past axis</w:t>
      </w:r>
    </w:p>
    <w:p w14:paraId="2EA406F7" w14:textId="45D78BAF" w:rsidR="003511F8" w:rsidRDefault="003511F8" w:rsidP="003511F8">
      <w:pPr>
        <w:spacing w:line="360" w:lineRule="auto"/>
        <w:ind w:firstLine="0"/>
      </w:pPr>
      <w:r>
        <w:tab/>
        <w:t xml:space="preserve">The </w:t>
      </w:r>
      <w:r w:rsidR="009008F8" w:rsidRPr="00A45399">
        <w:t>eschatological</w:t>
      </w:r>
      <w:r w:rsidR="009008F8">
        <w:t xml:space="preserve"> axis/future axis</w:t>
      </w:r>
    </w:p>
    <w:p w14:paraId="2E54A93C" w14:textId="238BE3E8" w:rsidR="009008F8" w:rsidRDefault="008B15E1" w:rsidP="008B15E1">
      <w:pPr>
        <w:spacing w:line="360" w:lineRule="auto"/>
        <w:ind w:firstLine="0"/>
      </w:pPr>
      <w:r>
        <w:tab/>
        <w:t>The present axis</w:t>
      </w:r>
    </w:p>
    <w:p w14:paraId="48B303E3" w14:textId="1C92EA74" w:rsidR="008B15E1" w:rsidRDefault="008B15E1" w:rsidP="008B15E1">
      <w:pPr>
        <w:spacing w:line="360" w:lineRule="auto"/>
        <w:ind w:firstLine="0"/>
      </w:pPr>
      <w:r>
        <w:tab/>
        <w:t>Summary:</w:t>
      </w:r>
    </w:p>
    <w:p w14:paraId="4B391FB4" w14:textId="4D80B21F" w:rsidR="008B15E1" w:rsidRDefault="008B15E1" w:rsidP="008B15E1">
      <w:pPr>
        <w:spacing w:line="360" w:lineRule="auto"/>
        <w:ind w:firstLine="0"/>
      </w:pPr>
      <w:r>
        <w:tab/>
      </w:r>
      <w:r>
        <w:tab/>
        <w:t>The mystical axis</w:t>
      </w:r>
    </w:p>
    <w:p w14:paraId="5D3E225B" w14:textId="2F8E3A79" w:rsidR="008B15E1" w:rsidRDefault="008B15E1" w:rsidP="008B15E1">
      <w:pPr>
        <w:spacing w:line="360" w:lineRule="auto"/>
        <w:ind w:firstLine="0"/>
      </w:pPr>
      <w:r>
        <w:tab/>
      </w:r>
      <w:r>
        <w:tab/>
        <w:t>The midrash editor</w:t>
      </w:r>
    </w:p>
    <w:p w14:paraId="7E65FBCF" w14:textId="297A3BD2" w:rsidR="008B15E1" w:rsidRDefault="008B15E1" w:rsidP="008B15E1">
      <w:pPr>
        <w:spacing w:line="360" w:lineRule="auto"/>
        <w:ind w:firstLine="0"/>
      </w:pPr>
    </w:p>
    <w:p w14:paraId="5155B870" w14:textId="24484308" w:rsidR="008B15E1" w:rsidRDefault="008B15E1" w:rsidP="008B15E1">
      <w:pPr>
        <w:spacing w:line="360" w:lineRule="auto"/>
        <w:ind w:firstLine="0"/>
      </w:pPr>
      <w:r>
        <w:lastRenderedPageBreak/>
        <w:t>Chapter Four – Literary Forms</w:t>
      </w:r>
    </w:p>
    <w:p w14:paraId="03404B06" w14:textId="0D9C81E9" w:rsidR="008B15E1" w:rsidRDefault="008B15E1" w:rsidP="008B15E1">
      <w:pPr>
        <w:spacing w:line="360" w:lineRule="auto"/>
        <w:ind w:firstLine="0"/>
      </w:pPr>
      <w:r>
        <w:tab/>
        <w:t>Ptirot</w:t>
      </w:r>
    </w:p>
    <w:p w14:paraId="48308E60" w14:textId="166D5249" w:rsidR="008B15E1" w:rsidRDefault="008B15E1" w:rsidP="008B15E1">
      <w:pPr>
        <w:spacing w:line="360" w:lineRule="auto"/>
        <w:ind w:firstLine="0"/>
      </w:pPr>
      <w:r>
        <w:tab/>
        <w:t>Legends:</w:t>
      </w:r>
    </w:p>
    <w:p w14:paraId="7AFA8B4A" w14:textId="0E6E2F22" w:rsidR="008B15E1" w:rsidRDefault="008B15E1" w:rsidP="008B15E1">
      <w:pPr>
        <w:spacing w:line="360" w:lineRule="auto"/>
        <w:ind w:firstLine="0"/>
        <w:rPr>
          <w:i/>
          <w:iCs/>
        </w:rPr>
      </w:pPr>
      <w:r>
        <w:tab/>
      </w:r>
      <w:r>
        <w:tab/>
        <w:t xml:space="preserve">The first legend: alef, dalet – </w:t>
      </w:r>
      <w:r w:rsidR="00EE6C29" w:rsidRPr="00EE6C29">
        <w:rPr>
          <w:i/>
          <w:iCs/>
        </w:rPr>
        <w:t xml:space="preserve">HaZug </w:t>
      </w:r>
      <w:r w:rsidR="00CB594E">
        <w:rPr>
          <w:i/>
          <w:iCs/>
        </w:rPr>
        <w:t>S</w:t>
      </w:r>
      <w:r w:rsidR="00EE6C29" w:rsidRPr="00EE6C29">
        <w:rPr>
          <w:i/>
          <w:iCs/>
        </w:rPr>
        <w:t>he</w:t>
      </w:r>
      <w:r w:rsidR="00CB594E">
        <w:rPr>
          <w:i/>
          <w:iCs/>
        </w:rPr>
        <w:t>a</w:t>
      </w:r>
      <w:r w:rsidR="00377535">
        <w:rPr>
          <w:i/>
          <w:iCs/>
        </w:rPr>
        <w:t>y</w:t>
      </w:r>
      <w:r w:rsidR="00EE6C29" w:rsidRPr="00EE6C29">
        <w:rPr>
          <w:i/>
          <w:iCs/>
        </w:rPr>
        <w:t>no Mi</w:t>
      </w:r>
      <w:r w:rsidR="00377535">
        <w:rPr>
          <w:i/>
          <w:iCs/>
        </w:rPr>
        <w:t>’</w:t>
      </w:r>
      <w:r w:rsidR="00EE6C29" w:rsidRPr="00EE6C29">
        <w:rPr>
          <w:i/>
          <w:iCs/>
        </w:rPr>
        <w:t>Tzidon</w:t>
      </w:r>
    </w:p>
    <w:p w14:paraId="4DEFC244" w14:textId="54F525ED" w:rsidR="00EE6C29" w:rsidRDefault="00EE6C29" w:rsidP="008B15E1">
      <w:pPr>
        <w:spacing w:line="360" w:lineRule="auto"/>
        <w:ind w:firstLine="0"/>
      </w:pPr>
      <w:r>
        <w:rPr>
          <w:i/>
          <w:iCs/>
        </w:rPr>
        <w:tab/>
      </w:r>
      <w:r>
        <w:rPr>
          <w:i/>
          <w:iCs/>
        </w:rPr>
        <w:tab/>
      </w:r>
      <w:r>
        <w:t xml:space="preserve">The second legend: alef, hey – </w:t>
      </w:r>
      <w:r w:rsidRPr="00547A14">
        <w:rPr>
          <w:i/>
          <w:iCs/>
        </w:rPr>
        <w:t>Tinoket Bat Melakhim Ba</w:t>
      </w:r>
      <w:r w:rsidR="00CB594E">
        <w:rPr>
          <w:i/>
          <w:iCs/>
        </w:rPr>
        <w:t>s</w:t>
      </w:r>
      <w:r w:rsidRPr="00547A14">
        <w:rPr>
          <w:i/>
          <w:iCs/>
        </w:rPr>
        <w:t>adeh</w:t>
      </w:r>
    </w:p>
    <w:p w14:paraId="7FEA9CDD" w14:textId="28817A6F" w:rsidR="00EE6C29" w:rsidRDefault="00EE6C29" w:rsidP="008B15E1">
      <w:pPr>
        <w:spacing w:line="360" w:lineRule="auto"/>
        <w:ind w:firstLine="0"/>
      </w:pPr>
      <w:r>
        <w:tab/>
      </w:r>
      <w:r>
        <w:tab/>
        <w:t xml:space="preserve">The third legend: alef, vav – </w:t>
      </w:r>
      <w:r w:rsidRPr="00547A14">
        <w:rPr>
          <w:i/>
          <w:iCs/>
        </w:rPr>
        <w:t>Ha</w:t>
      </w:r>
      <w:r w:rsidR="00DC6921">
        <w:rPr>
          <w:i/>
          <w:iCs/>
        </w:rPr>
        <w:t>l</w:t>
      </w:r>
      <w:r w:rsidRPr="00547A14">
        <w:rPr>
          <w:i/>
          <w:iCs/>
        </w:rPr>
        <w:t xml:space="preserve">igion </w:t>
      </w:r>
      <w:r w:rsidR="00DC6921">
        <w:rPr>
          <w:i/>
          <w:iCs/>
        </w:rPr>
        <w:t>S</w:t>
      </w:r>
      <w:r w:rsidR="00895199" w:rsidRPr="00547A14">
        <w:rPr>
          <w:i/>
          <w:iCs/>
        </w:rPr>
        <w:t>he</w:t>
      </w:r>
      <w:r w:rsidR="00DC6921">
        <w:rPr>
          <w:i/>
          <w:iCs/>
        </w:rPr>
        <w:t>m</w:t>
      </w:r>
      <w:r w:rsidR="00895199" w:rsidRPr="00547A14">
        <w:rPr>
          <w:i/>
          <w:iCs/>
        </w:rPr>
        <w:t xml:space="preserve">arad </w:t>
      </w:r>
      <w:r w:rsidR="00DC6921">
        <w:rPr>
          <w:i/>
          <w:iCs/>
        </w:rPr>
        <w:t>B</w:t>
      </w:r>
      <w:r w:rsidR="00895199" w:rsidRPr="00547A14">
        <w:rPr>
          <w:i/>
          <w:iCs/>
        </w:rPr>
        <w:t>a</w:t>
      </w:r>
      <w:r w:rsidR="00DC6921">
        <w:rPr>
          <w:i/>
          <w:iCs/>
        </w:rPr>
        <w:t>m</w:t>
      </w:r>
      <w:r w:rsidR="00895199" w:rsidRPr="00547A14">
        <w:rPr>
          <w:i/>
          <w:iCs/>
        </w:rPr>
        <w:t>elekh</w:t>
      </w:r>
    </w:p>
    <w:p w14:paraId="0CB3F5E3" w14:textId="5925065D" w:rsidR="00895199" w:rsidRDefault="00895199" w:rsidP="008B15E1">
      <w:pPr>
        <w:spacing w:line="360" w:lineRule="auto"/>
        <w:ind w:firstLine="0"/>
      </w:pPr>
      <w:r>
        <w:tab/>
      </w:r>
      <w:r>
        <w:tab/>
        <w:t xml:space="preserve">The fourth legend: alef, yud </w:t>
      </w:r>
      <w:r w:rsidR="000A67CC">
        <w:t xml:space="preserve">gimmel – </w:t>
      </w:r>
      <w:r w:rsidR="000A67CC" w:rsidRPr="00547A14">
        <w:rPr>
          <w:i/>
          <w:iCs/>
        </w:rPr>
        <w:t xml:space="preserve">Melekh, Isha </w:t>
      </w:r>
      <w:r w:rsidR="00DC6921">
        <w:rPr>
          <w:i/>
          <w:iCs/>
        </w:rPr>
        <w:t>V</w:t>
      </w:r>
      <w:r w:rsidR="000A67CC" w:rsidRPr="00547A14">
        <w:rPr>
          <w:i/>
          <w:iCs/>
        </w:rPr>
        <w:t>e</w:t>
      </w:r>
      <w:r w:rsidR="00DC6921">
        <w:rPr>
          <w:i/>
          <w:iCs/>
        </w:rPr>
        <w:t>s</w:t>
      </w:r>
      <w:r w:rsidR="000A67CC" w:rsidRPr="00547A14">
        <w:rPr>
          <w:i/>
          <w:iCs/>
        </w:rPr>
        <w:t>hnei Banim</w:t>
      </w:r>
    </w:p>
    <w:p w14:paraId="7DFB10AB" w14:textId="3D23F08E" w:rsidR="000A67CC" w:rsidRDefault="000A67CC" w:rsidP="008B15E1">
      <w:pPr>
        <w:spacing w:line="360" w:lineRule="auto"/>
        <w:ind w:firstLine="0"/>
      </w:pPr>
      <w:r>
        <w:tab/>
      </w:r>
      <w:r>
        <w:tab/>
        <w:t xml:space="preserve">The fifth legend: beit, yud dalet – </w:t>
      </w:r>
      <w:r w:rsidRPr="00547A14">
        <w:rPr>
          <w:i/>
          <w:iCs/>
        </w:rPr>
        <w:t>Eshet Ha</w:t>
      </w:r>
      <w:r w:rsidR="00DC6921">
        <w:rPr>
          <w:i/>
          <w:iCs/>
        </w:rPr>
        <w:t>m</w:t>
      </w:r>
      <w:r w:rsidRPr="00547A14">
        <w:rPr>
          <w:i/>
          <w:iCs/>
        </w:rPr>
        <w:t xml:space="preserve">elekh </w:t>
      </w:r>
      <w:r w:rsidR="00CB594E">
        <w:rPr>
          <w:i/>
          <w:iCs/>
        </w:rPr>
        <w:t>S</w:t>
      </w:r>
      <w:r w:rsidRPr="00547A14">
        <w:rPr>
          <w:i/>
          <w:iCs/>
        </w:rPr>
        <w:t>he</w:t>
      </w:r>
      <w:r w:rsidR="00CB594E">
        <w:rPr>
          <w:i/>
          <w:iCs/>
        </w:rPr>
        <w:t>k</w:t>
      </w:r>
      <w:r w:rsidRPr="00547A14">
        <w:rPr>
          <w:i/>
          <w:iCs/>
        </w:rPr>
        <w:t>olah Arev</w:t>
      </w:r>
    </w:p>
    <w:p w14:paraId="7EF58EEF" w14:textId="4F58EE05" w:rsidR="000A67CC" w:rsidRDefault="000A67CC" w:rsidP="008B15E1">
      <w:pPr>
        <w:spacing w:line="360" w:lineRule="auto"/>
        <w:ind w:firstLine="0"/>
        <w:rPr>
          <w:i/>
          <w:iCs/>
        </w:rPr>
      </w:pPr>
      <w:r>
        <w:tab/>
      </w:r>
      <w:r>
        <w:tab/>
        <w:t xml:space="preserve">The sixth legend: dalet, tet – </w:t>
      </w:r>
      <w:r w:rsidRPr="00547A14">
        <w:rPr>
          <w:i/>
          <w:iCs/>
        </w:rPr>
        <w:t xml:space="preserve">Tinoket </w:t>
      </w:r>
      <w:r w:rsidR="00547A14" w:rsidRPr="00547A14">
        <w:rPr>
          <w:i/>
          <w:iCs/>
        </w:rPr>
        <w:t xml:space="preserve">Akhat </w:t>
      </w:r>
      <w:r w:rsidR="00DC6921">
        <w:rPr>
          <w:i/>
          <w:iCs/>
        </w:rPr>
        <w:t>V</w:t>
      </w:r>
      <w:r w:rsidR="00547A14" w:rsidRPr="00547A14">
        <w:rPr>
          <w:i/>
          <w:iCs/>
        </w:rPr>
        <w:t>e</w:t>
      </w:r>
      <w:r w:rsidR="00DC6921">
        <w:rPr>
          <w:i/>
          <w:iCs/>
        </w:rPr>
        <w:t>a</w:t>
      </w:r>
      <w:r w:rsidR="00547A14" w:rsidRPr="00547A14">
        <w:rPr>
          <w:i/>
          <w:iCs/>
        </w:rPr>
        <w:t>yin Akhat</w:t>
      </w:r>
    </w:p>
    <w:p w14:paraId="0F6CAEE2" w14:textId="530D6B33" w:rsidR="00A86BAE" w:rsidRDefault="00A86BAE" w:rsidP="008B15E1">
      <w:pPr>
        <w:spacing w:line="360" w:lineRule="auto"/>
        <w:ind w:firstLine="0"/>
      </w:pPr>
      <w:r>
        <w:rPr>
          <w:i/>
          <w:iCs/>
        </w:rPr>
        <w:tab/>
      </w:r>
      <w:r>
        <w:t>Stories:</w:t>
      </w:r>
    </w:p>
    <w:p w14:paraId="44D66B9A" w14:textId="69A648F7" w:rsidR="00A86BAE" w:rsidRDefault="00A86BAE" w:rsidP="008B15E1">
      <w:pPr>
        <w:spacing w:line="360" w:lineRule="auto"/>
        <w:ind w:firstLine="0"/>
      </w:pPr>
      <w:r>
        <w:tab/>
      </w:r>
      <w:r>
        <w:tab/>
        <w:t>The first story: alef, yud za</w:t>
      </w:r>
      <w:r w:rsidR="00220888">
        <w:t>y</w:t>
      </w:r>
      <w:r>
        <w:t xml:space="preserve">in – </w:t>
      </w:r>
      <w:r w:rsidRPr="00A86BAE">
        <w:rPr>
          <w:i/>
          <w:iCs/>
        </w:rPr>
        <w:t>Sha’aray Nikanor</w:t>
      </w:r>
    </w:p>
    <w:p w14:paraId="6AD3957F" w14:textId="79F87B95" w:rsidR="00CE30DA" w:rsidRPr="00DA7184" w:rsidRDefault="00CE30DA" w:rsidP="008B15E1">
      <w:pPr>
        <w:spacing w:line="360" w:lineRule="auto"/>
        <w:ind w:firstLine="0"/>
        <w:rPr>
          <w:i/>
          <w:iCs/>
        </w:rPr>
      </w:pPr>
      <w:r>
        <w:tab/>
      </w:r>
      <w:r>
        <w:tab/>
        <w:t xml:space="preserve">The second story: beit, yud dalet – </w:t>
      </w:r>
      <w:r w:rsidRPr="00DA7184">
        <w:rPr>
          <w:i/>
          <w:iCs/>
        </w:rPr>
        <w:t>Bor Hatamra</w:t>
      </w:r>
    </w:p>
    <w:p w14:paraId="1FCCE9F1" w14:textId="56AEFD2C" w:rsidR="00CE30DA" w:rsidRDefault="00CE30DA" w:rsidP="008B15E1">
      <w:pPr>
        <w:spacing w:line="360" w:lineRule="auto"/>
        <w:ind w:firstLine="0"/>
        <w:rPr>
          <w:i/>
          <w:iCs/>
        </w:rPr>
      </w:pPr>
      <w:r>
        <w:tab/>
      </w:r>
      <w:r>
        <w:tab/>
        <w:t>The third and fourth stories: khet, yu</w:t>
      </w:r>
      <w:r w:rsidR="00DA7184">
        <w:t xml:space="preserve">d dalet – </w:t>
      </w:r>
      <w:r w:rsidRPr="00DA7184">
        <w:rPr>
          <w:i/>
          <w:iCs/>
        </w:rPr>
        <w:t>Arakhumo</w:t>
      </w:r>
    </w:p>
    <w:p w14:paraId="12336E9C" w14:textId="5A27002E" w:rsidR="00DA7184" w:rsidRDefault="00DA7184" w:rsidP="008B15E1">
      <w:pPr>
        <w:spacing w:line="360" w:lineRule="auto"/>
        <w:ind w:firstLine="0"/>
      </w:pPr>
    </w:p>
    <w:p w14:paraId="253ED6AE" w14:textId="68787AEF" w:rsidR="00DA7184" w:rsidRDefault="00DA7184" w:rsidP="008B15E1">
      <w:pPr>
        <w:spacing w:line="360" w:lineRule="auto"/>
        <w:ind w:firstLine="0"/>
      </w:pPr>
      <w:r>
        <w:tab/>
        <w:t>Summary</w:t>
      </w:r>
    </w:p>
    <w:p w14:paraId="711102CE" w14:textId="34A58CD3" w:rsidR="00DA7184" w:rsidRDefault="00DA7184" w:rsidP="008B15E1">
      <w:pPr>
        <w:spacing w:line="360" w:lineRule="auto"/>
        <w:ind w:firstLine="0"/>
      </w:pPr>
    </w:p>
    <w:p w14:paraId="4E185B62" w14:textId="436DB681" w:rsidR="00DA7184" w:rsidRDefault="00DA7184" w:rsidP="008B15E1">
      <w:pPr>
        <w:spacing w:line="360" w:lineRule="auto"/>
        <w:ind w:firstLine="0"/>
      </w:pPr>
      <w:r>
        <w:t>Chapter Five – When and Where the Midrash was Authored</w:t>
      </w:r>
    </w:p>
    <w:p w14:paraId="62FF4F06" w14:textId="430D109E" w:rsidR="00DA7184" w:rsidRDefault="00DA7184" w:rsidP="008B15E1">
      <w:pPr>
        <w:spacing w:line="360" w:lineRule="auto"/>
        <w:ind w:firstLine="0"/>
        <w:rPr>
          <w:i/>
          <w:iCs/>
          <w:lang w:val="en-GB"/>
        </w:rPr>
      </w:pPr>
      <w:r>
        <w:tab/>
      </w:r>
      <w:r>
        <w:tab/>
      </w:r>
      <w:r w:rsidR="005D7F57" w:rsidRPr="00C00EC0">
        <w:rPr>
          <w:i/>
          <w:iCs/>
        </w:rPr>
        <w:t>Sh</w:t>
      </w:r>
      <w:r w:rsidR="005D7F57">
        <w:rPr>
          <w:i/>
          <w:iCs/>
        </w:rPr>
        <w:t>e</w:t>
      </w:r>
      <w:r w:rsidR="005D7F57" w:rsidRPr="00C00EC0">
        <w:rPr>
          <w:i/>
          <w:iCs/>
        </w:rPr>
        <w:t>mot Ha</w:t>
      </w:r>
      <w:r w:rsidR="005D7F57">
        <w:rPr>
          <w:i/>
          <w:iCs/>
        </w:rPr>
        <w:t>Ĥ</w:t>
      </w:r>
      <w:r w:rsidR="005D7F57" w:rsidRPr="00C00EC0">
        <w:rPr>
          <w:i/>
          <w:iCs/>
        </w:rPr>
        <w:t>a</w:t>
      </w:r>
      <w:r w:rsidR="005D7F57">
        <w:rPr>
          <w:i/>
          <w:iCs/>
        </w:rPr>
        <w:t>k</w:t>
      </w:r>
      <w:r w:rsidR="005D7F57" w:rsidRPr="00C00EC0">
        <w:rPr>
          <w:i/>
          <w:iCs/>
        </w:rPr>
        <w:t>hamim</w:t>
      </w:r>
    </w:p>
    <w:p w14:paraId="74DB6596" w14:textId="77777777" w:rsidR="0066321D" w:rsidRDefault="0066321D" w:rsidP="008B15E1">
      <w:pPr>
        <w:spacing w:line="360" w:lineRule="auto"/>
        <w:ind w:firstLine="0"/>
        <w:rPr>
          <w:lang w:val="en-GB"/>
        </w:rPr>
      </w:pPr>
      <w:r>
        <w:rPr>
          <w:lang w:val="en-GB"/>
        </w:rPr>
        <w:tab/>
      </w:r>
      <w:r>
        <w:rPr>
          <w:lang w:val="en-GB"/>
        </w:rPr>
        <w:tab/>
        <w:t>Tannaitic Sources</w:t>
      </w:r>
    </w:p>
    <w:p w14:paraId="67435AD5" w14:textId="0815475F" w:rsidR="0066321D" w:rsidRPr="0066321D" w:rsidRDefault="0066321D" w:rsidP="008B15E1">
      <w:pPr>
        <w:spacing w:line="360" w:lineRule="auto"/>
        <w:ind w:firstLine="0"/>
        <w:rPr>
          <w:lang w:val="en-GB"/>
        </w:rPr>
      </w:pPr>
      <w:r>
        <w:rPr>
          <w:lang w:val="en-GB"/>
        </w:rPr>
        <w:tab/>
      </w:r>
      <w:r>
        <w:rPr>
          <w:lang w:val="en-GB"/>
        </w:rPr>
        <w:tab/>
        <w:t xml:space="preserve">To the time and place of </w:t>
      </w:r>
      <w:commentRangeStart w:id="20"/>
      <w:r>
        <w:rPr>
          <w:lang w:val="en-GB"/>
        </w:rPr>
        <w:t>shs</w:t>
      </w:r>
      <w:r>
        <w:t>”z</w:t>
      </w:r>
      <w:r>
        <w:rPr>
          <w:lang w:val="en-GB"/>
        </w:rPr>
        <w:t xml:space="preserve"> </w:t>
      </w:r>
      <w:commentRangeEnd w:id="20"/>
      <w:r>
        <w:rPr>
          <w:rStyle w:val="CommentReference"/>
        </w:rPr>
        <w:commentReference w:id="20"/>
      </w:r>
    </w:p>
    <w:p w14:paraId="156C9E83" w14:textId="261B3B34" w:rsidR="005D7F57" w:rsidRPr="00DA7184" w:rsidRDefault="005D7F57" w:rsidP="008B15E1">
      <w:pPr>
        <w:spacing w:line="360" w:lineRule="auto"/>
        <w:ind w:firstLine="0"/>
        <w:rPr>
          <w:rtl/>
        </w:rPr>
      </w:pPr>
      <w:r>
        <w:rPr>
          <w:i/>
          <w:iCs/>
        </w:rPr>
        <w:tab/>
      </w:r>
      <w:r>
        <w:rPr>
          <w:i/>
          <w:iCs/>
        </w:rPr>
        <w:tab/>
      </w:r>
    </w:p>
    <w:p w14:paraId="0F934DF2" w14:textId="449E4D49" w:rsidR="00CE30DA" w:rsidRDefault="00CE30DA" w:rsidP="008B15E1">
      <w:pPr>
        <w:spacing w:line="360" w:lineRule="auto"/>
        <w:ind w:firstLine="0"/>
      </w:pPr>
    </w:p>
    <w:p w14:paraId="0807B20E" w14:textId="04822E24" w:rsidR="00D80412" w:rsidRDefault="00D80412" w:rsidP="008B15E1">
      <w:pPr>
        <w:spacing w:line="360" w:lineRule="auto"/>
        <w:ind w:firstLine="0"/>
      </w:pPr>
      <w:r>
        <w:t>Bibliography</w:t>
      </w:r>
    </w:p>
    <w:p w14:paraId="1130D9A5" w14:textId="1A1A5C1F" w:rsidR="00D80412" w:rsidRDefault="00D80412" w:rsidP="008B15E1">
      <w:pPr>
        <w:spacing w:line="360" w:lineRule="auto"/>
        <w:ind w:firstLine="0"/>
      </w:pPr>
    </w:p>
    <w:p w14:paraId="004CC830" w14:textId="7E28FFCC" w:rsidR="00D80412" w:rsidRDefault="00D80412" w:rsidP="008B15E1">
      <w:pPr>
        <w:spacing w:line="360" w:lineRule="auto"/>
        <w:ind w:firstLine="0"/>
      </w:pPr>
      <w:r>
        <w:t>Appendices</w:t>
      </w:r>
    </w:p>
    <w:p w14:paraId="05EA3EE8" w14:textId="38F35C4C" w:rsidR="00D80412" w:rsidRPr="0095476A" w:rsidRDefault="00D80412" w:rsidP="008B15E1">
      <w:pPr>
        <w:spacing w:line="360" w:lineRule="auto"/>
        <w:ind w:firstLine="0"/>
        <w:rPr>
          <w:i/>
          <w:iCs/>
        </w:rPr>
      </w:pPr>
      <w:r>
        <w:tab/>
        <w:t xml:space="preserve">Appendix 1: </w:t>
      </w:r>
      <w:r w:rsidRPr="0095476A">
        <w:rPr>
          <w:i/>
          <w:iCs/>
        </w:rPr>
        <w:t xml:space="preserve">parasha alef, siman </w:t>
      </w:r>
      <w:r w:rsidR="0095476A" w:rsidRPr="0095476A">
        <w:rPr>
          <w:i/>
          <w:iCs/>
        </w:rPr>
        <w:t>alef</w:t>
      </w:r>
    </w:p>
    <w:p w14:paraId="6B28B0A4" w14:textId="54C73CC1" w:rsidR="0095476A" w:rsidRPr="0095476A" w:rsidRDefault="0095476A" w:rsidP="008B15E1">
      <w:pPr>
        <w:spacing w:line="360" w:lineRule="auto"/>
        <w:ind w:firstLine="0"/>
        <w:rPr>
          <w:i/>
          <w:iCs/>
        </w:rPr>
      </w:pPr>
      <w:r>
        <w:tab/>
        <w:t xml:space="preserve">Appendix 2: </w:t>
      </w:r>
      <w:r w:rsidRPr="0095476A">
        <w:rPr>
          <w:i/>
          <w:iCs/>
        </w:rPr>
        <w:t>parasha alef, siman tet</w:t>
      </w:r>
      <w:r w:rsidR="00220888">
        <w:rPr>
          <w:i/>
          <w:iCs/>
        </w:rPr>
        <w:t xml:space="preserve"> </w:t>
      </w:r>
      <w:r w:rsidRPr="0095476A">
        <w:rPr>
          <w:i/>
          <w:iCs/>
        </w:rPr>
        <w:t>vav</w:t>
      </w:r>
    </w:p>
    <w:p w14:paraId="3917E353" w14:textId="2BCA69BF" w:rsidR="0095476A" w:rsidRDefault="0095476A" w:rsidP="008B15E1">
      <w:pPr>
        <w:spacing w:line="360" w:lineRule="auto"/>
        <w:ind w:firstLine="0"/>
      </w:pPr>
      <w:r>
        <w:tab/>
        <w:t xml:space="preserve">Appendix 3: </w:t>
      </w:r>
      <w:r w:rsidRPr="0095476A">
        <w:rPr>
          <w:i/>
          <w:iCs/>
        </w:rPr>
        <w:t>parasha dalet, siman tet</w:t>
      </w:r>
    </w:p>
    <w:p w14:paraId="1B6D8931" w14:textId="4CDF1696" w:rsidR="00547A14" w:rsidRPr="00EE6C29" w:rsidRDefault="0095476A" w:rsidP="00423026">
      <w:pPr>
        <w:spacing w:line="360" w:lineRule="auto"/>
        <w:ind w:firstLine="0"/>
      </w:pPr>
      <w:r>
        <w:tab/>
        <w:t xml:space="preserve">Appendix 4: </w:t>
      </w:r>
      <w:r w:rsidR="00423026" w:rsidRPr="00A45399">
        <w:rPr>
          <w:i/>
          <w:iCs/>
        </w:rPr>
        <w:t>Agad</w:t>
      </w:r>
      <w:r w:rsidR="00BE4CB7">
        <w:rPr>
          <w:i/>
          <w:iCs/>
        </w:rPr>
        <w:t>d</w:t>
      </w:r>
      <w:r w:rsidR="00423026" w:rsidRPr="00A45399">
        <w:rPr>
          <w:i/>
          <w:iCs/>
        </w:rPr>
        <w:t>ot Aylu Nifti</w:t>
      </w:r>
      <w:r w:rsidR="00423026">
        <w:rPr>
          <w:i/>
          <w:iCs/>
        </w:rPr>
        <w:t>k</w:t>
      </w:r>
      <w:r w:rsidR="00423026" w:rsidRPr="00A45399">
        <w:rPr>
          <w:i/>
          <w:iCs/>
        </w:rPr>
        <w:t>hu Mi’to</w:t>
      </w:r>
      <w:r w:rsidR="00423026">
        <w:rPr>
          <w:i/>
          <w:iCs/>
        </w:rPr>
        <w:t>k</w:t>
      </w:r>
      <w:r w:rsidR="00423026" w:rsidRPr="00A45399">
        <w:rPr>
          <w:i/>
          <w:iCs/>
        </w:rPr>
        <w:t>ho</w:t>
      </w:r>
    </w:p>
    <w:p w14:paraId="484982D5" w14:textId="5902FE52" w:rsidR="00EE6C29" w:rsidRPr="00EE6C29" w:rsidRDefault="00EE6C29" w:rsidP="008B15E1">
      <w:pPr>
        <w:spacing w:line="360" w:lineRule="auto"/>
        <w:ind w:firstLine="0"/>
        <w:rPr>
          <w:rtl/>
          <w:lang w:val="en-GB"/>
        </w:rPr>
      </w:pPr>
      <w:r>
        <w:rPr>
          <w:i/>
          <w:iCs/>
        </w:rPr>
        <w:tab/>
      </w:r>
      <w:r>
        <w:rPr>
          <w:i/>
          <w:iCs/>
        </w:rPr>
        <w:tab/>
      </w:r>
    </w:p>
    <w:p w14:paraId="7E3DA95D" w14:textId="77777777" w:rsidR="008B404D" w:rsidRDefault="008B404D" w:rsidP="002C0322">
      <w:pPr>
        <w:spacing w:line="360" w:lineRule="auto"/>
        <w:ind w:firstLine="0"/>
      </w:pPr>
    </w:p>
    <w:p w14:paraId="49A6E10C" w14:textId="77777777" w:rsidR="009A3DCF" w:rsidRPr="00774879" w:rsidRDefault="009A3DCF" w:rsidP="002C0322">
      <w:pPr>
        <w:spacing w:line="360" w:lineRule="auto"/>
        <w:ind w:firstLine="0"/>
      </w:pPr>
    </w:p>
    <w:bookmarkEnd w:id="0"/>
    <w:p w14:paraId="3D41BEC2" w14:textId="77777777" w:rsidR="00774879" w:rsidRPr="00774879" w:rsidRDefault="00774879" w:rsidP="002C0322">
      <w:pPr>
        <w:spacing w:line="360" w:lineRule="auto"/>
        <w:ind w:firstLine="0"/>
        <w:rPr>
          <w:sz w:val="32"/>
          <w:szCs w:val="32"/>
          <w:u w:val="single"/>
        </w:rPr>
      </w:pPr>
    </w:p>
    <w:sectPr w:rsidR="00774879" w:rsidRPr="00774879" w:rsidSect="002813F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lizabeth Zauderer" w:date="2016-12-21T16:07:00Z" w:initials="EZ">
    <w:p w14:paraId="07232DBC" w14:textId="77777777" w:rsidR="009A39D0" w:rsidRDefault="009A39D0">
      <w:pPr>
        <w:pStyle w:val="CommentText"/>
      </w:pPr>
      <w:r>
        <w:rPr>
          <w:rStyle w:val="CommentReference"/>
        </w:rPr>
        <w:annotationRef/>
      </w:r>
      <w:r>
        <w:rPr>
          <w:rFonts w:hint="cs"/>
          <w:rtl/>
        </w:rPr>
        <w:t xml:space="preserve">אינך מציינת באיזו שנה המהדורה הראשונה הודפסה, כך שיש כאן בעייתיות בלציין "בשנה זו". </w:t>
      </w:r>
      <w:r>
        <w:t xml:space="preserve"> </w:t>
      </w:r>
    </w:p>
  </w:comment>
  <w:comment w:id="2" w:author="Elizabeth Zauderer" w:date="2016-12-21T16:12:00Z" w:initials="EZ">
    <w:p w14:paraId="2DBBAF36" w14:textId="77777777" w:rsidR="009A39D0" w:rsidRDefault="009A39D0">
      <w:pPr>
        <w:pStyle w:val="CommentText"/>
      </w:pPr>
      <w:r>
        <w:rPr>
          <w:rStyle w:val="CommentReference"/>
        </w:rPr>
        <w:annotationRef/>
      </w:r>
      <w:r>
        <w:rPr>
          <w:rFonts w:hint="cs"/>
          <w:rtl/>
        </w:rPr>
        <w:t xml:space="preserve">אני מניחה שזו הספריה אליה התכוונת? אני מציעה לדייק בפרטים כגון אלו. </w:t>
      </w:r>
      <w:r>
        <w:t xml:space="preserve"> </w:t>
      </w:r>
    </w:p>
  </w:comment>
  <w:comment w:id="3" w:author="Elizabeth Zauderer" w:date="2016-12-21T16:46:00Z" w:initials="EZ">
    <w:p w14:paraId="10B1BF4A" w14:textId="77777777" w:rsidR="009A39D0" w:rsidRDefault="009A39D0">
      <w:pPr>
        <w:pStyle w:val="CommentText"/>
        <w:rPr>
          <w:rtl/>
        </w:rPr>
      </w:pPr>
      <w:r>
        <w:rPr>
          <w:rStyle w:val="CommentReference"/>
        </w:rPr>
        <w:annotationRef/>
      </w:r>
      <w:r>
        <w:rPr>
          <w:rFonts w:hint="cs"/>
          <w:rtl/>
        </w:rPr>
        <w:t>אני מניחה שהכוונה לכתב עת זה?</w:t>
      </w:r>
    </w:p>
  </w:comment>
  <w:comment w:id="4" w:author="Elizabeth Zauderer" w:date="2016-12-21T16:55:00Z" w:initials="EZ">
    <w:p w14:paraId="5138D500" w14:textId="77777777" w:rsidR="009A39D0" w:rsidRDefault="009A39D0" w:rsidP="00751EDC">
      <w:pPr>
        <w:pStyle w:val="CommentText"/>
        <w:ind w:firstLine="0"/>
        <w:rPr>
          <w:rtl/>
        </w:rPr>
      </w:pPr>
      <w:r>
        <w:rPr>
          <w:rStyle w:val="CommentReference"/>
        </w:rPr>
        <w:annotationRef/>
      </w:r>
      <w:r>
        <w:rPr>
          <w:rFonts w:hint="cs"/>
          <w:rtl/>
        </w:rPr>
        <w:t xml:space="preserve">האם זו הכוונה של מקבילות? </w:t>
      </w:r>
    </w:p>
  </w:comment>
  <w:comment w:id="5" w:author="Elizabeth Zauderer" w:date="2016-12-21T17:02:00Z" w:initials="EZ">
    <w:p w14:paraId="0C5030E1" w14:textId="77777777" w:rsidR="009A39D0" w:rsidRDefault="009A39D0">
      <w:pPr>
        <w:pStyle w:val="CommentText"/>
        <w:rPr>
          <w:rtl/>
        </w:rPr>
      </w:pPr>
      <w:r>
        <w:rPr>
          <w:rStyle w:val="CommentReference"/>
        </w:rPr>
        <w:annotationRef/>
      </w:r>
      <w:r>
        <w:rPr>
          <w:rStyle w:val="CommentReference"/>
          <w:rFonts w:hint="cs"/>
          <w:rtl/>
        </w:rPr>
        <w:t xml:space="preserve">המשפט הזה לא ברור </w:t>
      </w:r>
      <w:r>
        <w:rPr>
          <w:rStyle w:val="CommentReference"/>
          <w:rtl/>
        </w:rPr>
        <w:t>–</w:t>
      </w:r>
      <w:r>
        <w:rPr>
          <w:rStyle w:val="CommentReference"/>
          <w:rFonts w:hint="cs"/>
          <w:rtl/>
        </w:rPr>
        <w:t xml:space="preserve"> מה הרלוונטיות של הכתב יד השני?</w:t>
      </w:r>
    </w:p>
  </w:comment>
  <w:comment w:id="6" w:author="Elizabeth Zauderer" w:date="2016-12-21T17:30:00Z" w:initials="EZ">
    <w:p w14:paraId="7B6FCCF9" w14:textId="77777777" w:rsidR="009A39D0" w:rsidRDefault="009A39D0">
      <w:pPr>
        <w:pStyle w:val="CommentText"/>
        <w:rPr>
          <w:rtl/>
        </w:rPr>
      </w:pPr>
      <w:r>
        <w:rPr>
          <w:rStyle w:val="CommentReference"/>
        </w:rPr>
        <w:annotationRef/>
      </w:r>
      <w:r>
        <w:rPr>
          <w:rFonts w:hint="cs"/>
          <w:rtl/>
        </w:rPr>
        <w:t>שם פרטי?</w:t>
      </w:r>
    </w:p>
  </w:comment>
  <w:comment w:id="7" w:author="Elizabeth Zauderer" w:date="2016-12-22T18:27:00Z" w:initials="EZ">
    <w:p w14:paraId="1BAFC9BB" w14:textId="188BCA00" w:rsidR="009A39D0" w:rsidRDefault="009A39D0">
      <w:pPr>
        <w:pStyle w:val="CommentText"/>
        <w:rPr>
          <w:rtl/>
        </w:rPr>
      </w:pPr>
      <w:r>
        <w:rPr>
          <w:rStyle w:val="CommentReference"/>
        </w:rPr>
        <w:annotationRef/>
      </w:r>
      <w:r>
        <w:rPr>
          <w:rFonts w:hint="cs"/>
          <w:rtl/>
        </w:rPr>
        <w:t xml:space="preserve">שוב, שם פרטי </w:t>
      </w:r>
      <w:r>
        <w:rPr>
          <w:rtl/>
        </w:rPr>
        <w:t>–</w:t>
      </w:r>
      <w:r>
        <w:rPr>
          <w:rFonts w:hint="cs"/>
          <w:rtl/>
        </w:rPr>
        <w:t xml:space="preserve"> מיהו לרנר?</w:t>
      </w:r>
    </w:p>
  </w:comment>
  <w:comment w:id="8" w:author="Elizabeth Zauderer" w:date="2016-12-22T18:31:00Z" w:initials="EZ">
    <w:p w14:paraId="3DC48D79" w14:textId="538F7542" w:rsidR="009A39D0" w:rsidRDefault="009A39D0">
      <w:pPr>
        <w:pStyle w:val="CommentText"/>
        <w:rPr>
          <w:rtl/>
        </w:rPr>
      </w:pPr>
      <w:r>
        <w:rPr>
          <w:rStyle w:val="CommentReference"/>
        </w:rPr>
        <w:annotationRef/>
      </w:r>
      <w:r>
        <w:rPr>
          <w:rFonts w:hint="cs"/>
          <w:rtl/>
        </w:rPr>
        <w:t xml:space="preserve">הכוונה כאן אינה ברורה </w:t>
      </w:r>
      <w:r>
        <w:rPr>
          <w:rtl/>
        </w:rPr>
        <w:t>–</w:t>
      </w:r>
      <w:r>
        <w:rPr>
          <w:rFonts w:hint="cs"/>
          <w:rtl/>
        </w:rPr>
        <w:t xml:space="preserve"> אם הבנתי נכון לפי המשך דבריך, את משווה בין מספר גרסאות. אם כך, מה משמעות התוספת הזאת כאן בסוגריים</w:t>
      </w:r>
    </w:p>
  </w:comment>
  <w:comment w:id="9" w:author="Elizabeth Zauderer" w:date="2016-12-22T18:37:00Z" w:initials="EZ">
    <w:p w14:paraId="29DB5439" w14:textId="60D7C207" w:rsidR="009A39D0" w:rsidRDefault="009A39D0">
      <w:pPr>
        <w:pStyle w:val="CommentText"/>
        <w:rPr>
          <w:rtl/>
        </w:rPr>
      </w:pPr>
      <w:r>
        <w:rPr>
          <w:rStyle w:val="CommentReference"/>
        </w:rPr>
        <w:annotationRef/>
      </w:r>
      <w:r>
        <w:rPr>
          <w:rFonts w:hint="cs"/>
          <w:rtl/>
        </w:rPr>
        <w:t xml:space="preserve">מעט סותר את שנאמר </w:t>
      </w:r>
      <w:r>
        <w:rPr>
          <w:rtl/>
        </w:rPr>
        <w:t>–</w:t>
      </w:r>
      <w:r>
        <w:rPr>
          <w:rFonts w:hint="cs"/>
          <w:rtl/>
        </w:rPr>
        <w:t xml:space="preserve"> או שקצר או ארוך.. כדאי להבהיר</w:t>
      </w:r>
    </w:p>
  </w:comment>
  <w:comment w:id="10" w:author="Elizabeth Zauderer" w:date="2016-12-22T18:41:00Z" w:initials="EZ">
    <w:p w14:paraId="229DBC0D" w14:textId="016B5FFF" w:rsidR="009A39D0" w:rsidRDefault="009A39D0">
      <w:pPr>
        <w:pStyle w:val="CommentText"/>
        <w:rPr>
          <w:rtl/>
        </w:rPr>
      </w:pPr>
      <w:r>
        <w:rPr>
          <w:rStyle w:val="CommentReference"/>
        </w:rPr>
        <w:annotationRef/>
      </w:r>
      <w:r>
        <w:rPr>
          <w:rFonts w:hint="cs"/>
          <w:rtl/>
        </w:rPr>
        <w:t xml:space="preserve">אם הסימנים תופסים מחצית מנפח הטקסט, אזי אין צורך לציין כי פרשה א' תופסת מחצית מהנפח. </w:t>
      </w:r>
    </w:p>
  </w:comment>
  <w:comment w:id="11" w:author="Elizabeth Zauderer" w:date="2016-12-22T18:50:00Z" w:initials="EZ">
    <w:p w14:paraId="6174E46F" w14:textId="0020B3FC" w:rsidR="009A39D0" w:rsidRDefault="009A39D0">
      <w:pPr>
        <w:pStyle w:val="CommentText"/>
        <w:rPr>
          <w:rtl/>
        </w:rPr>
      </w:pPr>
      <w:r>
        <w:rPr>
          <w:rStyle w:val="CommentReference"/>
        </w:rPr>
        <w:annotationRef/>
      </w:r>
      <w:r>
        <w:rPr>
          <w:rFonts w:hint="cs"/>
          <w:rtl/>
        </w:rPr>
        <w:t xml:space="preserve">כדאי לבדוק את האיות בעברית </w:t>
      </w:r>
      <w:r>
        <w:rPr>
          <w:rtl/>
        </w:rPr>
        <w:t>–</w:t>
      </w:r>
      <w:r>
        <w:rPr>
          <w:rFonts w:hint="cs"/>
          <w:rtl/>
        </w:rPr>
        <w:t xml:space="preserve"> לדעתי, זה דה רוסי ולא ד. רוסי כפי שמופיע בגרסה העברית כעת</w:t>
      </w:r>
    </w:p>
  </w:comment>
  <w:comment w:id="12" w:author="Elizabeth Zauderer" w:date="2016-12-23T04:59:00Z" w:initials="EZ">
    <w:p w14:paraId="6A0C0C4B" w14:textId="3BEA02AB" w:rsidR="009A39D0" w:rsidRDefault="009A39D0">
      <w:pPr>
        <w:pStyle w:val="CommentText"/>
        <w:rPr>
          <w:rtl/>
        </w:rPr>
      </w:pPr>
      <w:r>
        <w:rPr>
          <w:rStyle w:val="CommentReference"/>
        </w:rPr>
        <w:annotationRef/>
      </w:r>
      <w:r>
        <w:rPr>
          <w:rFonts w:hint="cs"/>
          <w:rtl/>
        </w:rPr>
        <w:t>לא ברור</w:t>
      </w:r>
    </w:p>
  </w:comment>
  <w:comment w:id="13" w:author="Elizabeth Zauderer" w:date="2016-12-23T05:03:00Z" w:initials="EZ">
    <w:p w14:paraId="2DB53823" w14:textId="6CB5F2BE" w:rsidR="009A39D0" w:rsidRDefault="009A39D0">
      <w:pPr>
        <w:pStyle w:val="CommentText"/>
      </w:pPr>
      <w:r>
        <w:rPr>
          <w:rStyle w:val="CommentReference"/>
        </w:rPr>
        <w:annotationRef/>
      </w:r>
      <w:r>
        <w:t xml:space="preserve">Footnotes, as opposed to endnotes, appear at the bottom of the page, so it is superfluous to indicate here that they appear at the bottom of the page. </w:t>
      </w:r>
    </w:p>
  </w:comment>
  <w:comment w:id="14" w:author="Elizabeth Zauderer" w:date="2016-12-23T05:26:00Z" w:initials="EZ">
    <w:p w14:paraId="77AF43AB" w14:textId="6DE5C4C6" w:rsidR="009A39D0" w:rsidRDefault="009A39D0">
      <w:pPr>
        <w:pStyle w:val="CommentText"/>
        <w:rPr>
          <w:rtl/>
        </w:rPr>
      </w:pPr>
      <w:r>
        <w:rPr>
          <w:rStyle w:val="CommentReference"/>
        </w:rPr>
        <w:annotationRef/>
      </w:r>
      <w:r>
        <w:rPr>
          <w:rFonts w:hint="cs"/>
          <w:rtl/>
        </w:rPr>
        <w:t>לא ברורה הכוונה, מסורות או מהדורות?</w:t>
      </w:r>
    </w:p>
  </w:comment>
  <w:comment w:id="15" w:author="Elizabeth Zauderer" w:date="2016-12-23T07:23:00Z" w:initials="EZ">
    <w:p w14:paraId="06AF315D" w14:textId="3275BB85" w:rsidR="009A39D0" w:rsidRDefault="009A39D0">
      <w:pPr>
        <w:pStyle w:val="CommentText"/>
        <w:rPr>
          <w:rtl/>
        </w:rPr>
      </w:pPr>
      <w:r>
        <w:rPr>
          <w:rStyle w:val="CommentReference"/>
        </w:rPr>
        <w:annotationRef/>
      </w:r>
      <w:r>
        <w:rPr>
          <w:rFonts w:hint="cs"/>
          <w:rtl/>
        </w:rPr>
        <w:t>לא ברור מיהו העורך? האם את לא בוחנת מספר גרסאות ערוכות, או האם הכוונה לבובר?</w:t>
      </w:r>
    </w:p>
  </w:comment>
  <w:comment w:id="16" w:author="Elizabeth Zauderer" w:date="2016-12-23T07:47:00Z" w:initials="EZ">
    <w:p w14:paraId="06A771FB" w14:textId="6203D6BA" w:rsidR="009A39D0" w:rsidRDefault="009A39D0">
      <w:pPr>
        <w:pStyle w:val="CommentText"/>
        <w:rPr>
          <w:rtl/>
        </w:rPr>
      </w:pPr>
      <w:r>
        <w:rPr>
          <w:rStyle w:val="CommentReference"/>
        </w:rPr>
        <w:annotationRef/>
      </w:r>
      <w:r>
        <w:rPr>
          <w:rFonts w:hint="cs"/>
          <w:rtl/>
        </w:rPr>
        <w:t xml:space="preserve">האם הכוונה ש משל ונמשל יחד הם יחידה אחת או שכל אחד מהם בנפרד? </w:t>
      </w:r>
    </w:p>
  </w:comment>
  <w:comment w:id="17" w:author="Elizabeth Zauderer" w:date="2016-12-23T08:07:00Z" w:initials="EZ">
    <w:p w14:paraId="27068509" w14:textId="724AE8BF" w:rsidR="009A39D0" w:rsidRDefault="009A39D0">
      <w:pPr>
        <w:pStyle w:val="CommentText"/>
        <w:rPr>
          <w:rtl/>
        </w:rPr>
      </w:pPr>
      <w:r>
        <w:rPr>
          <w:rStyle w:val="CommentReference"/>
        </w:rPr>
        <w:annotationRef/>
      </w:r>
      <w:r>
        <w:rPr>
          <w:rFonts w:hint="cs"/>
          <w:rtl/>
        </w:rPr>
        <w:t>חלק זה של המשפט לדעתי מיותר, מכיוון שהוא חוזר על אותו מסר בדיוק כמו בחלקו הראשון של המשפט</w:t>
      </w:r>
    </w:p>
  </w:comment>
  <w:comment w:id="18" w:author="Elizabeth Zauderer" w:date="2016-12-23T08:30:00Z" w:initials="EZ">
    <w:p w14:paraId="2002FDC7" w14:textId="72E95C0A" w:rsidR="009A39D0" w:rsidRDefault="009A39D0">
      <w:pPr>
        <w:pStyle w:val="CommentText"/>
        <w:rPr>
          <w:rtl/>
        </w:rPr>
      </w:pPr>
      <w:r>
        <w:rPr>
          <w:rStyle w:val="CommentReference"/>
        </w:rPr>
        <w:annotationRef/>
      </w:r>
      <w:r>
        <w:rPr>
          <w:rFonts w:hint="cs"/>
          <w:rtl/>
        </w:rPr>
        <w:t>מציעה להשתמש בשפה פחות יומיומית</w:t>
      </w:r>
    </w:p>
  </w:comment>
  <w:comment w:id="19" w:author="Elizabeth Zauderer" w:date="2016-12-23T09:18:00Z" w:initials="EZ">
    <w:p w14:paraId="4D17FEA3" w14:textId="77777777" w:rsidR="008D5742" w:rsidRDefault="008D5742" w:rsidP="008D5742">
      <w:pPr>
        <w:pStyle w:val="CommentText"/>
        <w:ind w:firstLine="0"/>
        <w:rPr>
          <w:rtl/>
        </w:rPr>
      </w:pPr>
      <w:r>
        <w:rPr>
          <w:rStyle w:val="CommentReference"/>
        </w:rPr>
        <w:annotationRef/>
      </w:r>
      <w:r>
        <w:rPr>
          <w:rStyle w:val="CommentReference"/>
          <w:rFonts w:hint="cs"/>
          <w:rtl/>
        </w:rPr>
        <w:t>כתבת "התקיימו" אני משערת שהכוונה לחוברו?</w:t>
      </w:r>
    </w:p>
  </w:comment>
  <w:comment w:id="20" w:author="Elizabeth Zauderer" w:date="2016-12-23T10:13:00Z" w:initials="EZ">
    <w:p w14:paraId="335FB525" w14:textId="1A681ACE" w:rsidR="009A39D0" w:rsidRDefault="009A39D0">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232DBC" w15:done="0"/>
  <w15:commentEx w15:paraId="2DBBAF36" w15:done="0"/>
  <w15:commentEx w15:paraId="10B1BF4A" w15:done="0"/>
  <w15:commentEx w15:paraId="5138D500" w15:done="0"/>
  <w15:commentEx w15:paraId="0C5030E1" w15:done="0"/>
  <w15:commentEx w15:paraId="7B6FCCF9" w15:done="0"/>
  <w15:commentEx w15:paraId="1BAFC9BB" w15:done="0"/>
  <w15:commentEx w15:paraId="3DC48D79" w15:done="0"/>
  <w15:commentEx w15:paraId="29DB5439" w15:done="0"/>
  <w15:commentEx w15:paraId="229DBC0D" w15:done="0"/>
  <w15:commentEx w15:paraId="6174E46F" w15:done="0"/>
  <w15:commentEx w15:paraId="6A0C0C4B" w15:done="0"/>
  <w15:commentEx w15:paraId="2DB53823" w15:done="0"/>
  <w15:commentEx w15:paraId="77AF43AB" w15:done="0"/>
  <w15:commentEx w15:paraId="06AF315D" w15:done="0"/>
  <w15:commentEx w15:paraId="06A771FB" w15:done="0"/>
  <w15:commentEx w15:paraId="27068509" w15:done="0"/>
  <w15:commentEx w15:paraId="2002FDC7" w15:done="0"/>
  <w15:commentEx w15:paraId="4D17FEA3" w15:done="0"/>
  <w15:commentEx w15:paraId="335FB52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679F7"/>
    <w:multiLevelType w:val="hybridMultilevel"/>
    <w:tmpl w:val="1A34C1E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141C3E"/>
    <w:multiLevelType w:val="hybridMultilevel"/>
    <w:tmpl w:val="26BAF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C33FCE"/>
    <w:multiLevelType w:val="hybridMultilevel"/>
    <w:tmpl w:val="F30A8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4F3823"/>
    <w:multiLevelType w:val="hybridMultilevel"/>
    <w:tmpl w:val="DE482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AE263A"/>
    <w:multiLevelType w:val="hybridMultilevel"/>
    <w:tmpl w:val="EE62E7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F26F9E"/>
    <w:multiLevelType w:val="hybridMultilevel"/>
    <w:tmpl w:val="A8CC2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applyBreakingRules/>
    <w:compatSetting w:name="compatibilityMode" w:uri="http://schemas.microsoft.com/office/word" w:val="12"/>
  </w:compat>
  <w:rsids>
    <w:rsidRoot w:val="00AC2A8E"/>
    <w:rsid w:val="00002929"/>
    <w:rsid w:val="00007616"/>
    <w:rsid w:val="00011C0B"/>
    <w:rsid w:val="00020364"/>
    <w:rsid w:val="00020CE3"/>
    <w:rsid w:val="00024162"/>
    <w:rsid w:val="000263BD"/>
    <w:rsid w:val="00035F45"/>
    <w:rsid w:val="0003722E"/>
    <w:rsid w:val="00037297"/>
    <w:rsid w:val="00042AB5"/>
    <w:rsid w:val="000475B9"/>
    <w:rsid w:val="00054C20"/>
    <w:rsid w:val="00055844"/>
    <w:rsid w:val="0005692C"/>
    <w:rsid w:val="00060C92"/>
    <w:rsid w:val="0006147E"/>
    <w:rsid w:val="000631EB"/>
    <w:rsid w:val="0007110E"/>
    <w:rsid w:val="00074277"/>
    <w:rsid w:val="00074675"/>
    <w:rsid w:val="00075F4B"/>
    <w:rsid w:val="000764B6"/>
    <w:rsid w:val="00077B78"/>
    <w:rsid w:val="000812F8"/>
    <w:rsid w:val="000830E8"/>
    <w:rsid w:val="00087C08"/>
    <w:rsid w:val="000A6766"/>
    <w:rsid w:val="000A67CC"/>
    <w:rsid w:val="000B0712"/>
    <w:rsid w:val="000B0F74"/>
    <w:rsid w:val="000B21F7"/>
    <w:rsid w:val="000B5446"/>
    <w:rsid w:val="000B7B85"/>
    <w:rsid w:val="000C0AF3"/>
    <w:rsid w:val="000C6CEF"/>
    <w:rsid w:val="000D0D9E"/>
    <w:rsid w:val="000D14F6"/>
    <w:rsid w:val="000D1582"/>
    <w:rsid w:val="000D1B02"/>
    <w:rsid w:val="000D539D"/>
    <w:rsid w:val="000E6E6D"/>
    <w:rsid w:val="000E7600"/>
    <w:rsid w:val="001018A6"/>
    <w:rsid w:val="00104FBF"/>
    <w:rsid w:val="00110800"/>
    <w:rsid w:val="001156B1"/>
    <w:rsid w:val="00116963"/>
    <w:rsid w:val="001174F7"/>
    <w:rsid w:val="00126D9F"/>
    <w:rsid w:val="00146807"/>
    <w:rsid w:val="00151D6E"/>
    <w:rsid w:val="001544F6"/>
    <w:rsid w:val="00166BF3"/>
    <w:rsid w:val="001724C4"/>
    <w:rsid w:val="0017314F"/>
    <w:rsid w:val="0017377B"/>
    <w:rsid w:val="00175B08"/>
    <w:rsid w:val="00175F72"/>
    <w:rsid w:val="001822EB"/>
    <w:rsid w:val="0018346C"/>
    <w:rsid w:val="00187986"/>
    <w:rsid w:val="001931D3"/>
    <w:rsid w:val="00194741"/>
    <w:rsid w:val="001B7CB9"/>
    <w:rsid w:val="001C1C99"/>
    <w:rsid w:val="001C655E"/>
    <w:rsid w:val="001C690A"/>
    <w:rsid w:val="001C7E2F"/>
    <w:rsid w:val="001D1049"/>
    <w:rsid w:val="001D5C9C"/>
    <w:rsid w:val="001E240E"/>
    <w:rsid w:val="001E2627"/>
    <w:rsid w:val="001E282F"/>
    <w:rsid w:val="001E3635"/>
    <w:rsid w:val="001F0FA8"/>
    <w:rsid w:val="001F4CC5"/>
    <w:rsid w:val="001F7BC3"/>
    <w:rsid w:val="002000E0"/>
    <w:rsid w:val="00202C45"/>
    <w:rsid w:val="0020478D"/>
    <w:rsid w:val="00205271"/>
    <w:rsid w:val="00211376"/>
    <w:rsid w:val="00220888"/>
    <w:rsid w:val="00232E24"/>
    <w:rsid w:val="002352DA"/>
    <w:rsid w:val="00242C03"/>
    <w:rsid w:val="00245B54"/>
    <w:rsid w:val="00245C68"/>
    <w:rsid w:val="0024691D"/>
    <w:rsid w:val="00250D80"/>
    <w:rsid w:val="00252325"/>
    <w:rsid w:val="00255A3E"/>
    <w:rsid w:val="00263349"/>
    <w:rsid w:val="00263CA1"/>
    <w:rsid w:val="00266FD4"/>
    <w:rsid w:val="00273E3E"/>
    <w:rsid w:val="00276A95"/>
    <w:rsid w:val="002772BF"/>
    <w:rsid w:val="0027759A"/>
    <w:rsid w:val="002813F9"/>
    <w:rsid w:val="00294AD3"/>
    <w:rsid w:val="002A1609"/>
    <w:rsid w:val="002A1C70"/>
    <w:rsid w:val="002A29D1"/>
    <w:rsid w:val="002A4E45"/>
    <w:rsid w:val="002B1360"/>
    <w:rsid w:val="002B7A7A"/>
    <w:rsid w:val="002C0322"/>
    <w:rsid w:val="002C22A3"/>
    <w:rsid w:val="002C2317"/>
    <w:rsid w:val="002C3990"/>
    <w:rsid w:val="002C560B"/>
    <w:rsid w:val="002D0F78"/>
    <w:rsid w:val="002D3FF2"/>
    <w:rsid w:val="002E1382"/>
    <w:rsid w:val="002E189F"/>
    <w:rsid w:val="002E27C9"/>
    <w:rsid w:val="002E55F2"/>
    <w:rsid w:val="002E682E"/>
    <w:rsid w:val="002F3743"/>
    <w:rsid w:val="002F59CA"/>
    <w:rsid w:val="002F716A"/>
    <w:rsid w:val="002F72B0"/>
    <w:rsid w:val="002F7A13"/>
    <w:rsid w:val="0030107A"/>
    <w:rsid w:val="00307AD2"/>
    <w:rsid w:val="00311631"/>
    <w:rsid w:val="003131D8"/>
    <w:rsid w:val="003134B3"/>
    <w:rsid w:val="00313657"/>
    <w:rsid w:val="00315F18"/>
    <w:rsid w:val="003167F3"/>
    <w:rsid w:val="00320131"/>
    <w:rsid w:val="00321663"/>
    <w:rsid w:val="00322AFF"/>
    <w:rsid w:val="00330016"/>
    <w:rsid w:val="00330090"/>
    <w:rsid w:val="00334B69"/>
    <w:rsid w:val="00335A72"/>
    <w:rsid w:val="00337040"/>
    <w:rsid w:val="003409A3"/>
    <w:rsid w:val="00346C52"/>
    <w:rsid w:val="003511F8"/>
    <w:rsid w:val="00351B35"/>
    <w:rsid w:val="00351F76"/>
    <w:rsid w:val="003575D8"/>
    <w:rsid w:val="0036166A"/>
    <w:rsid w:val="00370F1B"/>
    <w:rsid w:val="00371F3B"/>
    <w:rsid w:val="0037340B"/>
    <w:rsid w:val="00376DCB"/>
    <w:rsid w:val="00377535"/>
    <w:rsid w:val="00380795"/>
    <w:rsid w:val="00380835"/>
    <w:rsid w:val="00380D56"/>
    <w:rsid w:val="00382180"/>
    <w:rsid w:val="0039060A"/>
    <w:rsid w:val="00390856"/>
    <w:rsid w:val="00390C6E"/>
    <w:rsid w:val="003A0234"/>
    <w:rsid w:val="003A1FCE"/>
    <w:rsid w:val="003A5139"/>
    <w:rsid w:val="003A639F"/>
    <w:rsid w:val="003A6A8B"/>
    <w:rsid w:val="003B44AA"/>
    <w:rsid w:val="003B7127"/>
    <w:rsid w:val="003C123C"/>
    <w:rsid w:val="003C2FE6"/>
    <w:rsid w:val="003C5621"/>
    <w:rsid w:val="003C5EF4"/>
    <w:rsid w:val="003E0ED5"/>
    <w:rsid w:val="003F2C64"/>
    <w:rsid w:val="003F44CB"/>
    <w:rsid w:val="003F6324"/>
    <w:rsid w:val="003F6C4E"/>
    <w:rsid w:val="00400F46"/>
    <w:rsid w:val="004014A1"/>
    <w:rsid w:val="004017FC"/>
    <w:rsid w:val="00402FC3"/>
    <w:rsid w:val="004117C2"/>
    <w:rsid w:val="00412F63"/>
    <w:rsid w:val="00423026"/>
    <w:rsid w:val="00423DBF"/>
    <w:rsid w:val="00425FE1"/>
    <w:rsid w:val="00432A31"/>
    <w:rsid w:val="00432A9E"/>
    <w:rsid w:val="004341DE"/>
    <w:rsid w:val="00441F67"/>
    <w:rsid w:val="00446C52"/>
    <w:rsid w:val="00455133"/>
    <w:rsid w:val="00456677"/>
    <w:rsid w:val="00460100"/>
    <w:rsid w:val="00465185"/>
    <w:rsid w:val="004658C9"/>
    <w:rsid w:val="0046743B"/>
    <w:rsid w:val="00471106"/>
    <w:rsid w:val="00472677"/>
    <w:rsid w:val="0047419F"/>
    <w:rsid w:val="0047574E"/>
    <w:rsid w:val="004776F5"/>
    <w:rsid w:val="0048701F"/>
    <w:rsid w:val="0049491D"/>
    <w:rsid w:val="00495382"/>
    <w:rsid w:val="00495968"/>
    <w:rsid w:val="004961A0"/>
    <w:rsid w:val="004A0CD5"/>
    <w:rsid w:val="004A5638"/>
    <w:rsid w:val="004B6135"/>
    <w:rsid w:val="004C39B8"/>
    <w:rsid w:val="004E338C"/>
    <w:rsid w:val="004E6981"/>
    <w:rsid w:val="004F2FF1"/>
    <w:rsid w:val="004F30B6"/>
    <w:rsid w:val="004F5E00"/>
    <w:rsid w:val="005021E5"/>
    <w:rsid w:val="0050272E"/>
    <w:rsid w:val="005061D7"/>
    <w:rsid w:val="00512CFD"/>
    <w:rsid w:val="00513193"/>
    <w:rsid w:val="00520A62"/>
    <w:rsid w:val="00525F31"/>
    <w:rsid w:val="0053359E"/>
    <w:rsid w:val="005346CD"/>
    <w:rsid w:val="005350FC"/>
    <w:rsid w:val="00535AFD"/>
    <w:rsid w:val="00536B38"/>
    <w:rsid w:val="005373BA"/>
    <w:rsid w:val="00537935"/>
    <w:rsid w:val="005409C9"/>
    <w:rsid w:val="00541E27"/>
    <w:rsid w:val="005429F0"/>
    <w:rsid w:val="00543415"/>
    <w:rsid w:val="00545FDB"/>
    <w:rsid w:val="00546895"/>
    <w:rsid w:val="00547A14"/>
    <w:rsid w:val="00551F8C"/>
    <w:rsid w:val="005534EE"/>
    <w:rsid w:val="005611FC"/>
    <w:rsid w:val="00567865"/>
    <w:rsid w:val="005710AD"/>
    <w:rsid w:val="00577C4B"/>
    <w:rsid w:val="00592B7A"/>
    <w:rsid w:val="0059653F"/>
    <w:rsid w:val="00597C71"/>
    <w:rsid w:val="005A3D57"/>
    <w:rsid w:val="005B1D42"/>
    <w:rsid w:val="005B6919"/>
    <w:rsid w:val="005B6FFC"/>
    <w:rsid w:val="005B7069"/>
    <w:rsid w:val="005C3E43"/>
    <w:rsid w:val="005D2D37"/>
    <w:rsid w:val="005D7F57"/>
    <w:rsid w:val="005E01B2"/>
    <w:rsid w:val="005F453D"/>
    <w:rsid w:val="005F6803"/>
    <w:rsid w:val="005F6F2E"/>
    <w:rsid w:val="005F70E9"/>
    <w:rsid w:val="00601DE8"/>
    <w:rsid w:val="00607B7B"/>
    <w:rsid w:val="0061224C"/>
    <w:rsid w:val="00612A98"/>
    <w:rsid w:val="00614411"/>
    <w:rsid w:val="0061607D"/>
    <w:rsid w:val="00625691"/>
    <w:rsid w:val="00630121"/>
    <w:rsid w:val="00630D2C"/>
    <w:rsid w:val="0063490B"/>
    <w:rsid w:val="00641319"/>
    <w:rsid w:val="00642997"/>
    <w:rsid w:val="006445EA"/>
    <w:rsid w:val="00645C3F"/>
    <w:rsid w:val="00646613"/>
    <w:rsid w:val="006527F8"/>
    <w:rsid w:val="006539D6"/>
    <w:rsid w:val="006561B9"/>
    <w:rsid w:val="00660131"/>
    <w:rsid w:val="0066321D"/>
    <w:rsid w:val="00673153"/>
    <w:rsid w:val="00677C46"/>
    <w:rsid w:val="00680970"/>
    <w:rsid w:val="00683A77"/>
    <w:rsid w:val="00685772"/>
    <w:rsid w:val="00685880"/>
    <w:rsid w:val="006973B6"/>
    <w:rsid w:val="006A3F09"/>
    <w:rsid w:val="006B087A"/>
    <w:rsid w:val="006B0F03"/>
    <w:rsid w:val="006B1083"/>
    <w:rsid w:val="006B1186"/>
    <w:rsid w:val="006B4EDD"/>
    <w:rsid w:val="006B5CAE"/>
    <w:rsid w:val="006B716F"/>
    <w:rsid w:val="006C50DD"/>
    <w:rsid w:val="006C5655"/>
    <w:rsid w:val="006D34EE"/>
    <w:rsid w:val="006D6228"/>
    <w:rsid w:val="006E0B0D"/>
    <w:rsid w:val="006E1096"/>
    <w:rsid w:val="006E2B24"/>
    <w:rsid w:val="006E30AB"/>
    <w:rsid w:val="006E5209"/>
    <w:rsid w:val="006E5A40"/>
    <w:rsid w:val="006E7EFC"/>
    <w:rsid w:val="006F0403"/>
    <w:rsid w:val="006F2C2F"/>
    <w:rsid w:val="006F30BD"/>
    <w:rsid w:val="006F4CF7"/>
    <w:rsid w:val="006F5032"/>
    <w:rsid w:val="00705A67"/>
    <w:rsid w:val="00705B3C"/>
    <w:rsid w:val="00713DF4"/>
    <w:rsid w:val="00715F09"/>
    <w:rsid w:val="00716A84"/>
    <w:rsid w:val="00717E4E"/>
    <w:rsid w:val="0072168E"/>
    <w:rsid w:val="007268C8"/>
    <w:rsid w:val="00735B99"/>
    <w:rsid w:val="00740C19"/>
    <w:rsid w:val="00743E51"/>
    <w:rsid w:val="00745509"/>
    <w:rsid w:val="00751D9B"/>
    <w:rsid w:val="00751EDC"/>
    <w:rsid w:val="007537D3"/>
    <w:rsid w:val="007659BB"/>
    <w:rsid w:val="007659CF"/>
    <w:rsid w:val="00765B00"/>
    <w:rsid w:val="00766D27"/>
    <w:rsid w:val="00774879"/>
    <w:rsid w:val="00775691"/>
    <w:rsid w:val="00776CBA"/>
    <w:rsid w:val="00776CD6"/>
    <w:rsid w:val="00777416"/>
    <w:rsid w:val="007918D4"/>
    <w:rsid w:val="00791A54"/>
    <w:rsid w:val="0079218D"/>
    <w:rsid w:val="007937EC"/>
    <w:rsid w:val="007940BF"/>
    <w:rsid w:val="00796C86"/>
    <w:rsid w:val="007A023C"/>
    <w:rsid w:val="007A79D3"/>
    <w:rsid w:val="007B0F75"/>
    <w:rsid w:val="007B1105"/>
    <w:rsid w:val="007B2063"/>
    <w:rsid w:val="007B56BA"/>
    <w:rsid w:val="007B638D"/>
    <w:rsid w:val="007C342E"/>
    <w:rsid w:val="007C3A97"/>
    <w:rsid w:val="007D15D2"/>
    <w:rsid w:val="007D1BEA"/>
    <w:rsid w:val="007D39E1"/>
    <w:rsid w:val="007D60ED"/>
    <w:rsid w:val="007E2382"/>
    <w:rsid w:val="007E2B32"/>
    <w:rsid w:val="007E512C"/>
    <w:rsid w:val="007E6197"/>
    <w:rsid w:val="007F1845"/>
    <w:rsid w:val="007F21DE"/>
    <w:rsid w:val="007F4A32"/>
    <w:rsid w:val="007F580E"/>
    <w:rsid w:val="007F6940"/>
    <w:rsid w:val="00800B7E"/>
    <w:rsid w:val="00807FBE"/>
    <w:rsid w:val="0081003B"/>
    <w:rsid w:val="00812111"/>
    <w:rsid w:val="00813B09"/>
    <w:rsid w:val="008168B2"/>
    <w:rsid w:val="0081733C"/>
    <w:rsid w:val="00817DA3"/>
    <w:rsid w:val="00817FA4"/>
    <w:rsid w:val="008202CE"/>
    <w:rsid w:val="00821FA4"/>
    <w:rsid w:val="00827AFC"/>
    <w:rsid w:val="00841D63"/>
    <w:rsid w:val="0084538D"/>
    <w:rsid w:val="00847D64"/>
    <w:rsid w:val="0085058F"/>
    <w:rsid w:val="00850B83"/>
    <w:rsid w:val="00852FB7"/>
    <w:rsid w:val="00854A79"/>
    <w:rsid w:val="00854C11"/>
    <w:rsid w:val="00863781"/>
    <w:rsid w:val="00871F46"/>
    <w:rsid w:val="00876174"/>
    <w:rsid w:val="00876A52"/>
    <w:rsid w:val="008834C3"/>
    <w:rsid w:val="00883AFF"/>
    <w:rsid w:val="008878DB"/>
    <w:rsid w:val="0089129C"/>
    <w:rsid w:val="00893787"/>
    <w:rsid w:val="00893D5C"/>
    <w:rsid w:val="00895199"/>
    <w:rsid w:val="008A1861"/>
    <w:rsid w:val="008B15E1"/>
    <w:rsid w:val="008B25E9"/>
    <w:rsid w:val="008B3E56"/>
    <w:rsid w:val="008B404D"/>
    <w:rsid w:val="008B6FBC"/>
    <w:rsid w:val="008B7396"/>
    <w:rsid w:val="008C068A"/>
    <w:rsid w:val="008C2D55"/>
    <w:rsid w:val="008C3313"/>
    <w:rsid w:val="008C50AB"/>
    <w:rsid w:val="008D1593"/>
    <w:rsid w:val="008D202D"/>
    <w:rsid w:val="008D2EE0"/>
    <w:rsid w:val="008D4763"/>
    <w:rsid w:val="008D5742"/>
    <w:rsid w:val="008E0FAE"/>
    <w:rsid w:val="008E5428"/>
    <w:rsid w:val="008F2152"/>
    <w:rsid w:val="009008F8"/>
    <w:rsid w:val="00900A4F"/>
    <w:rsid w:val="009027AA"/>
    <w:rsid w:val="00902899"/>
    <w:rsid w:val="009032D4"/>
    <w:rsid w:val="009067DD"/>
    <w:rsid w:val="009121B4"/>
    <w:rsid w:val="0091445F"/>
    <w:rsid w:val="009159F6"/>
    <w:rsid w:val="0091740F"/>
    <w:rsid w:val="00925988"/>
    <w:rsid w:val="00926BB5"/>
    <w:rsid w:val="00932047"/>
    <w:rsid w:val="00933E1D"/>
    <w:rsid w:val="00936015"/>
    <w:rsid w:val="00936310"/>
    <w:rsid w:val="00942348"/>
    <w:rsid w:val="0094395D"/>
    <w:rsid w:val="00945C4F"/>
    <w:rsid w:val="009546F0"/>
    <w:rsid w:val="0095476A"/>
    <w:rsid w:val="009559EB"/>
    <w:rsid w:val="009601D8"/>
    <w:rsid w:val="0096353A"/>
    <w:rsid w:val="00966895"/>
    <w:rsid w:val="00966D50"/>
    <w:rsid w:val="00967089"/>
    <w:rsid w:val="009777DA"/>
    <w:rsid w:val="009804FA"/>
    <w:rsid w:val="00983128"/>
    <w:rsid w:val="0098415E"/>
    <w:rsid w:val="00986A1F"/>
    <w:rsid w:val="00987F9E"/>
    <w:rsid w:val="00993D3F"/>
    <w:rsid w:val="00997D21"/>
    <w:rsid w:val="009A39D0"/>
    <w:rsid w:val="009A3DCF"/>
    <w:rsid w:val="009A5275"/>
    <w:rsid w:val="009B2090"/>
    <w:rsid w:val="009B4AA5"/>
    <w:rsid w:val="009C5B48"/>
    <w:rsid w:val="009C66C6"/>
    <w:rsid w:val="009C6732"/>
    <w:rsid w:val="009C75DA"/>
    <w:rsid w:val="009D098A"/>
    <w:rsid w:val="009E76FB"/>
    <w:rsid w:val="009F4656"/>
    <w:rsid w:val="00A00A66"/>
    <w:rsid w:val="00A02DA2"/>
    <w:rsid w:val="00A1220C"/>
    <w:rsid w:val="00A15793"/>
    <w:rsid w:val="00A20EA9"/>
    <w:rsid w:val="00A216D1"/>
    <w:rsid w:val="00A24845"/>
    <w:rsid w:val="00A31A33"/>
    <w:rsid w:val="00A40F7B"/>
    <w:rsid w:val="00A4124C"/>
    <w:rsid w:val="00A45399"/>
    <w:rsid w:val="00A50A4A"/>
    <w:rsid w:val="00A54332"/>
    <w:rsid w:val="00A568D0"/>
    <w:rsid w:val="00A6131D"/>
    <w:rsid w:val="00A61BBA"/>
    <w:rsid w:val="00A64F59"/>
    <w:rsid w:val="00A65086"/>
    <w:rsid w:val="00A8037D"/>
    <w:rsid w:val="00A80736"/>
    <w:rsid w:val="00A86BAE"/>
    <w:rsid w:val="00A92349"/>
    <w:rsid w:val="00A92CCE"/>
    <w:rsid w:val="00AA1086"/>
    <w:rsid w:val="00AA34B7"/>
    <w:rsid w:val="00AA51B4"/>
    <w:rsid w:val="00AA6526"/>
    <w:rsid w:val="00AB1AE7"/>
    <w:rsid w:val="00AB3B06"/>
    <w:rsid w:val="00AB6707"/>
    <w:rsid w:val="00AB7107"/>
    <w:rsid w:val="00AC045C"/>
    <w:rsid w:val="00AC2A8E"/>
    <w:rsid w:val="00AC4646"/>
    <w:rsid w:val="00AC62B1"/>
    <w:rsid w:val="00AC7168"/>
    <w:rsid w:val="00AE1388"/>
    <w:rsid w:val="00AE2108"/>
    <w:rsid w:val="00AE686F"/>
    <w:rsid w:val="00AE6E41"/>
    <w:rsid w:val="00AF106A"/>
    <w:rsid w:val="00AF1A7A"/>
    <w:rsid w:val="00AF1FBD"/>
    <w:rsid w:val="00AF315D"/>
    <w:rsid w:val="00AF7FE8"/>
    <w:rsid w:val="00B001CE"/>
    <w:rsid w:val="00B108F9"/>
    <w:rsid w:val="00B13809"/>
    <w:rsid w:val="00B15F89"/>
    <w:rsid w:val="00B177D9"/>
    <w:rsid w:val="00B201E6"/>
    <w:rsid w:val="00B20E0E"/>
    <w:rsid w:val="00B23291"/>
    <w:rsid w:val="00B2594C"/>
    <w:rsid w:val="00B27032"/>
    <w:rsid w:val="00B278F0"/>
    <w:rsid w:val="00B36A6A"/>
    <w:rsid w:val="00B45C85"/>
    <w:rsid w:val="00B51DAB"/>
    <w:rsid w:val="00B53F1B"/>
    <w:rsid w:val="00B615C2"/>
    <w:rsid w:val="00B76816"/>
    <w:rsid w:val="00B80F9A"/>
    <w:rsid w:val="00B86131"/>
    <w:rsid w:val="00B92380"/>
    <w:rsid w:val="00B927C4"/>
    <w:rsid w:val="00B92FF0"/>
    <w:rsid w:val="00B959EC"/>
    <w:rsid w:val="00BA48E0"/>
    <w:rsid w:val="00BA6356"/>
    <w:rsid w:val="00BA63FA"/>
    <w:rsid w:val="00BB0EAA"/>
    <w:rsid w:val="00BC2924"/>
    <w:rsid w:val="00BC3992"/>
    <w:rsid w:val="00BC3F3A"/>
    <w:rsid w:val="00BC5562"/>
    <w:rsid w:val="00BD3C93"/>
    <w:rsid w:val="00BE23C5"/>
    <w:rsid w:val="00BE4CB7"/>
    <w:rsid w:val="00BF0324"/>
    <w:rsid w:val="00BF1739"/>
    <w:rsid w:val="00BF527A"/>
    <w:rsid w:val="00BF5FEC"/>
    <w:rsid w:val="00C00EC0"/>
    <w:rsid w:val="00C1372E"/>
    <w:rsid w:val="00C13C9C"/>
    <w:rsid w:val="00C15243"/>
    <w:rsid w:val="00C2414E"/>
    <w:rsid w:val="00C32549"/>
    <w:rsid w:val="00C3279A"/>
    <w:rsid w:val="00C34800"/>
    <w:rsid w:val="00C368B4"/>
    <w:rsid w:val="00C404B8"/>
    <w:rsid w:val="00C43B11"/>
    <w:rsid w:val="00C44886"/>
    <w:rsid w:val="00C50357"/>
    <w:rsid w:val="00C506D1"/>
    <w:rsid w:val="00C5075B"/>
    <w:rsid w:val="00C55391"/>
    <w:rsid w:val="00C640AC"/>
    <w:rsid w:val="00C72CFD"/>
    <w:rsid w:val="00C829CF"/>
    <w:rsid w:val="00C82E66"/>
    <w:rsid w:val="00C9094A"/>
    <w:rsid w:val="00C915E6"/>
    <w:rsid w:val="00C91F9F"/>
    <w:rsid w:val="00C9623C"/>
    <w:rsid w:val="00CA0D71"/>
    <w:rsid w:val="00CA1FDA"/>
    <w:rsid w:val="00CA5C55"/>
    <w:rsid w:val="00CA6F78"/>
    <w:rsid w:val="00CB0F23"/>
    <w:rsid w:val="00CB524A"/>
    <w:rsid w:val="00CB594E"/>
    <w:rsid w:val="00CB6C20"/>
    <w:rsid w:val="00CB7963"/>
    <w:rsid w:val="00CC1206"/>
    <w:rsid w:val="00CC2E99"/>
    <w:rsid w:val="00CC35C1"/>
    <w:rsid w:val="00CC6584"/>
    <w:rsid w:val="00CC6C40"/>
    <w:rsid w:val="00CD0946"/>
    <w:rsid w:val="00CD40CE"/>
    <w:rsid w:val="00CD5660"/>
    <w:rsid w:val="00CD6DE2"/>
    <w:rsid w:val="00CE30DA"/>
    <w:rsid w:val="00CE72D8"/>
    <w:rsid w:val="00CF09DE"/>
    <w:rsid w:val="00CF16AE"/>
    <w:rsid w:val="00CF206D"/>
    <w:rsid w:val="00CF3BA2"/>
    <w:rsid w:val="00CF5B94"/>
    <w:rsid w:val="00D02140"/>
    <w:rsid w:val="00D04B6C"/>
    <w:rsid w:val="00D05418"/>
    <w:rsid w:val="00D0739B"/>
    <w:rsid w:val="00D13C5E"/>
    <w:rsid w:val="00D13F32"/>
    <w:rsid w:val="00D14693"/>
    <w:rsid w:val="00D15B01"/>
    <w:rsid w:val="00D15D39"/>
    <w:rsid w:val="00D15DD8"/>
    <w:rsid w:val="00D16655"/>
    <w:rsid w:val="00D16F51"/>
    <w:rsid w:val="00D22634"/>
    <w:rsid w:val="00D22EA0"/>
    <w:rsid w:val="00D24700"/>
    <w:rsid w:val="00D32DF4"/>
    <w:rsid w:val="00D34E36"/>
    <w:rsid w:val="00D34FB3"/>
    <w:rsid w:val="00D35475"/>
    <w:rsid w:val="00D3706F"/>
    <w:rsid w:val="00D41566"/>
    <w:rsid w:val="00D472A9"/>
    <w:rsid w:val="00D479BA"/>
    <w:rsid w:val="00D502F4"/>
    <w:rsid w:val="00D57CD2"/>
    <w:rsid w:val="00D61F0D"/>
    <w:rsid w:val="00D61F37"/>
    <w:rsid w:val="00D6201C"/>
    <w:rsid w:val="00D627CA"/>
    <w:rsid w:val="00D741CC"/>
    <w:rsid w:val="00D77E9A"/>
    <w:rsid w:val="00D80412"/>
    <w:rsid w:val="00D811D8"/>
    <w:rsid w:val="00D86C75"/>
    <w:rsid w:val="00D90700"/>
    <w:rsid w:val="00D92AED"/>
    <w:rsid w:val="00DA200F"/>
    <w:rsid w:val="00DA7184"/>
    <w:rsid w:val="00DA7E10"/>
    <w:rsid w:val="00DB5B6F"/>
    <w:rsid w:val="00DB6015"/>
    <w:rsid w:val="00DC3FAE"/>
    <w:rsid w:val="00DC6921"/>
    <w:rsid w:val="00DC7848"/>
    <w:rsid w:val="00DD0974"/>
    <w:rsid w:val="00DD2189"/>
    <w:rsid w:val="00DD454B"/>
    <w:rsid w:val="00DD5D17"/>
    <w:rsid w:val="00DD6EBF"/>
    <w:rsid w:val="00DD790C"/>
    <w:rsid w:val="00DE53C4"/>
    <w:rsid w:val="00DE7F05"/>
    <w:rsid w:val="00DF09E3"/>
    <w:rsid w:val="00DF1AA1"/>
    <w:rsid w:val="00DF2FFC"/>
    <w:rsid w:val="00E00915"/>
    <w:rsid w:val="00E00EFA"/>
    <w:rsid w:val="00E05211"/>
    <w:rsid w:val="00E127AF"/>
    <w:rsid w:val="00E12BFB"/>
    <w:rsid w:val="00E13753"/>
    <w:rsid w:val="00E13CA6"/>
    <w:rsid w:val="00E2037A"/>
    <w:rsid w:val="00E20775"/>
    <w:rsid w:val="00E21DEA"/>
    <w:rsid w:val="00E230A6"/>
    <w:rsid w:val="00E2340F"/>
    <w:rsid w:val="00E24517"/>
    <w:rsid w:val="00E24B73"/>
    <w:rsid w:val="00E342E4"/>
    <w:rsid w:val="00E37F61"/>
    <w:rsid w:val="00E40924"/>
    <w:rsid w:val="00E40CBA"/>
    <w:rsid w:val="00E410C0"/>
    <w:rsid w:val="00E436D1"/>
    <w:rsid w:val="00E4611E"/>
    <w:rsid w:val="00E53B8B"/>
    <w:rsid w:val="00E633D7"/>
    <w:rsid w:val="00E64988"/>
    <w:rsid w:val="00E6633D"/>
    <w:rsid w:val="00E66DCC"/>
    <w:rsid w:val="00E704E9"/>
    <w:rsid w:val="00E73F9F"/>
    <w:rsid w:val="00E800B2"/>
    <w:rsid w:val="00E807DD"/>
    <w:rsid w:val="00E83230"/>
    <w:rsid w:val="00E83F11"/>
    <w:rsid w:val="00E840F9"/>
    <w:rsid w:val="00E862BF"/>
    <w:rsid w:val="00E91862"/>
    <w:rsid w:val="00E91E23"/>
    <w:rsid w:val="00E95012"/>
    <w:rsid w:val="00EA2A9D"/>
    <w:rsid w:val="00EA39C9"/>
    <w:rsid w:val="00EB29D9"/>
    <w:rsid w:val="00EB6989"/>
    <w:rsid w:val="00EB7905"/>
    <w:rsid w:val="00EC1B6D"/>
    <w:rsid w:val="00EC309C"/>
    <w:rsid w:val="00EC33B2"/>
    <w:rsid w:val="00ED114A"/>
    <w:rsid w:val="00ED5C84"/>
    <w:rsid w:val="00ED6C11"/>
    <w:rsid w:val="00ED7DDF"/>
    <w:rsid w:val="00ED7E7B"/>
    <w:rsid w:val="00EE0853"/>
    <w:rsid w:val="00EE3702"/>
    <w:rsid w:val="00EE3A3B"/>
    <w:rsid w:val="00EE6C29"/>
    <w:rsid w:val="00EE6DB6"/>
    <w:rsid w:val="00EF3280"/>
    <w:rsid w:val="00EF450A"/>
    <w:rsid w:val="00EF4F05"/>
    <w:rsid w:val="00EF58E2"/>
    <w:rsid w:val="00EF7642"/>
    <w:rsid w:val="00EF77F1"/>
    <w:rsid w:val="00F00303"/>
    <w:rsid w:val="00F00763"/>
    <w:rsid w:val="00F0155A"/>
    <w:rsid w:val="00F03931"/>
    <w:rsid w:val="00F123F5"/>
    <w:rsid w:val="00F133F4"/>
    <w:rsid w:val="00F2034C"/>
    <w:rsid w:val="00F20E2F"/>
    <w:rsid w:val="00F25A99"/>
    <w:rsid w:val="00F2791D"/>
    <w:rsid w:val="00F311CE"/>
    <w:rsid w:val="00F342A4"/>
    <w:rsid w:val="00F40576"/>
    <w:rsid w:val="00F42BA2"/>
    <w:rsid w:val="00F44736"/>
    <w:rsid w:val="00F4780B"/>
    <w:rsid w:val="00F51400"/>
    <w:rsid w:val="00F535C9"/>
    <w:rsid w:val="00F55565"/>
    <w:rsid w:val="00F60605"/>
    <w:rsid w:val="00F62654"/>
    <w:rsid w:val="00F62740"/>
    <w:rsid w:val="00F62832"/>
    <w:rsid w:val="00F62C87"/>
    <w:rsid w:val="00F667C8"/>
    <w:rsid w:val="00F671D2"/>
    <w:rsid w:val="00F74059"/>
    <w:rsid w:val="00F827C7"/>
    <w:rsid w:val="00F84420"/>
    <w:rsid w:val="00F85B33"/>
    <w:rsid w:val="00F901C8"/>
    <w:rsid w:val="00FB5301"/>
    <w:rsid w:val="00FB62F5"/>
    <w:rsid w:val="00FB6D48"/>
    <w:rsid w:val="00FB7420"/>
    <w:rsid w:val="00FB7999"/>
    <w:rsid w:val="00FC2461"/>
    <w:rsid w:val="00FC2B53"/>
    <w:rsid w:val="00FC6667"/>
    <w:rsid w:val="00FC74BA"/>
    <w:rsid w:val="00FD082B"/>
    <w:rsid w:val="00FD1BF1"/>
    <w:rsid w:val="00FD3205"/>
    <w:rsid w:val="00FD485F"/>
    <w:rsid w:val="00FD6E93"/>
    <w:rsid w:val="00FE3E87"/>
    <w:rsid w:val="00FE46BA"/>
    <w:rsid w:val="00FF1049"/>
    <w:rsid w:val="00FF2D4B"/>
    <w:rsid w:val="00FF31F6"/>
    <w:rsid w:val="00FF4F47"/>
    <w:rsid w:val="00FF7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FB71"/>
  <w15:docId w15:val="{D7CA3BCE-8280-49ED-92B8-D31D7452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he-IL"/>
      </w:rPr>
    </w:rPrDefault>
    <w:pPrDefault>
      <w:pPr>
        <w:spacing w:after="240"/>
        <w:ind w:left="720" w:firstLine="720"/>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B5CAE"/>
    <w:pPr>
      <w:spacing w:after="0"/>
      <w:ind w:lef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59F6"/>
    <w:rPr>
      <w:sz w:val="16"/>
      <w:szCs w:val="16"/>
    </w:rPr>
  </w:style>
  <w:style w:type="paragraph" w:styleId="CommentText">
    <w:name w:val="annotation text"/>
    <w:basedOn w:val="Normal"/>
    <w:link w:val="CommentTextChar"/>
    <w:uiPriority w:val="99"/>
    <w:semiHidden/>
    <w:unhideWhenUsed/>
    <w:rsid w:val="009159F6"/>
    <w:rPr>
      <w:sz w:val="20"/>
      <w:szCs w:val="20"/>
    </w:rPr>
  </w:style>
  <w:style w:type="character" w:customStyle="1" w:styleId="CommentTextChar">
    <w:name w:val="Comment Text Char"/>
    <w:basedOn w:val="DefaultParagraphFont"/>
    <w:link w:val="CommentText"/>
    <w:uiPriority w:val="99"/>
    <w:semiHidden/>
    <w:rsid w:val="009159F6"/>
    <w:rPr>
      <w:sz w:val="20"/>
      <w:szCs w:val="20"/>
    </w:rPr>
  </w:style>
  <w:style w:type="paragraph" w:styleId="CommentSubject">
    <w:name w:val="annotation subject"/>
    <w:basedOn w:val="CommentText"/>
    <w:next w:val="CommentText"/>
    <w:link w:val="CommentSubjectChar"/>
    <w:uiPriority w:val="99"/>
    <w:semiHidden/>
    <w:unhideWhenUsed/>
    <w:rsid w:val="009159F6"/>
    <w:rPr>
      <w:b/>
      <w:bCs/>
    </w:rPr>
  </w:style>
  <w:style w:type="character" w:customStyle="1" w:styleId="CommentSubjectChar">
    <w:name w:val="Comment Subject Char"/>
    <w:basedOn w:val="CommentTextChar"/>
    <w:link w:val="CommentSubject"/>
    <w:uiPriority w:val="99"/>
    <w:semiHidden/>
    <w:rsid w:val="009159F6"/>
    <w:rPr>
      <w:b/>
      <w:bCs/>
      <w:sz w:val="20"/>
      <w:szCs w:val="20"/>
    </w:rPr>
  </w:style>
  <w:style w:type="paragraph" w:styleId="BalloonText">
    <w:name w:val="Balloon Text"/>
    <w:basedOn w:val="Normal"/>
    <w:link w:val="BalloonTextChar"/>
    <w:uiPriority w:val="99"/>
    <w:semiHidden/>
    <w:unhideWhenUsed/>
    <w:rsid w:val="0091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9F6"/>
    <w:rPr>
      <w:rFonts w:ascii="Segoe UI" w:hAnsi="Segoe UI" w:cs="Segoe UI"/>
      <w:sz w:val="18"/>
      <w:szCs w:val="18"/>
    </w:rPr>
  </w:style>
  <w:style w:type="paragraph" w:styleId="ListParagraph">
    <w:name w:val="List Paragraph"/>
    <w:basedOn w:val="Normal"/>
    <w:uiPriority w:val="34"/>
    <w:qFormat/>
    <w:rsid w:val="00765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3427</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Zauderer</dc:creator>
  <cp:lastModifiedBy>Elizabeth Zauderer</cp:lastModifiedBy>
  <cp:revision>2</cp:revision>
  <dcterms:created xsi:type="dcterms:W3CDTF">2016-12-23T09:39:00Z</dcterms:created>
  <dcterms:modified xsi:type="dcterms:W3CDTF">2016-12-23T09:39:00Z</dcterms:modified>
</cp:coreProperties>
</file>