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6428" w14:textId="77777777" w:rsidR="00851D0E" w:rsidRPr="00A623A4" w:rsidRDefault="00851D0E" w:rsidP="00057E0D">
      <w:pPr>
        <w:spacing w:line="276" w:lineRule="auto"/>
        <w:rPr>
          <w:rFonts w:asciiTheme="minorBidi" w:hAnsiTheme="minorBidi"/>
          <w:b/>
          <w:bCs/>
        </w:rPr>
      </w:pPr>
    </w:p>
    <w:tbl>
      <w:tblPr>
        <w:tblStyle w:val="a7"/>
        <w:tblW w:w="0" w:type="auto"/>
        <w:tblLook w:val="04A0" w:firstRow="1" w:lastRow="0" w:firstColumn="1" w:lastColumn="0" w:noHBand="0" w:noVBand="1"/>
      </w:tblPr>
      <w:tblGrid>
        <w:gridCol w:w="4675"/>
        <w:gridCol w:w="4675"/>
      </w:tblGrid>
      <w:tr w:rsidR="00A623A4" w:rsidRPr="00A623A4" w14:paraId="7B2232A7" w14:textId="77777777" w:rsidTr="00E60E97">
        <w:trPr>
          <w:tblHeader/>
        </w:trPr>
        <w:tc>
          <w:tcPr>
            <w:tcW w:w="4675" w:type="dxa"/>
            <w:shd w:val="clear" w:color="auto" w:fill="D9E2F3" w:themeFill="accent1" w:themeFillTint="33"/>
          </w:tcPr>
          <w:p w14:paraId="2FBB3477"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14:paraId="3BD87C38" w14:textId="77777777"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14:paraId="54F006D9" w14:textId="77777777" w:rsidTr="004E1C22">
        <w:tc>
          <w:tcPr>
            <w:tcW w:w="4675" w:type="dxa"/>
          </w:tcPr>
          <w:p w14:paraId="12AD03AD" w14:textId="77777777" w:rsidR="006F59E7" w:rsidRPr="006F59E7" w:rsidRDefault="006F59E7" w:rsidP="006F59E7">
            <w:pPr>
              <w:shd w:val="clear" w:color="auto" w:fill="FFFFFF"/>
              <w:spacing w:after="281" w:line="655" w:lineRule="atLeast"/>
              <w:jc w:val="center"/>
              <w:outlineLvl w:val="0"/>
              <w:rPr>
                <w:rFonts w:ascii="Times New Roman" w:eastAsia="Times New Roman" w:hAnsi="Times New Roman" w:cs="Times New Roman"/>
                <w:color w:val="333333"/>
                <w:kern w:val="36"/>
                <w:sz w:val="37"/>
                <w:szCs w:val="37"/>
                <w:lang w:eastAsia="zh-CN" w:bidi="ar-SA"/>
              </w:rPr>
            </w:pPr>
            <w:proofErr w:type="spellStart"/>
            <w:r w:rsidRPr="006F59E7">
              <w:rPr>
                <w:rFonts w:ascii="Times New Roman" w:eastAsia="Times New Roman" w:hAnsi="Times New Roman" w:cs="Times New Roman"/>
                <w:color w:val="333333"/>
                <w:kern w:val="36"/>
                <w:sz w:val="37"/>
                <w:szCs w:val="37"/>
                <w:lang w:eastAsia="zh-CN" w:bidi="ar-SA"/>
              </w:rPr>
              <w:t>Tzaraat</w:t>
            </w:r>
            <w:proofErr w:type="spellEnd"/>
            <w:r w:rsidRPr="006F59E7">
              <w:rPr>
                <w:rFonts w:ascii="Times New Roman" w:eastAsia="Times New Roman" w:hAnsi="Times New Roman" w:cs="Times New Roman"/>
                <w:color w:val="333333"/>
                <w:kern w:val="36"/>
                <w:sz w:val="37"/>
                <w:szCs w:val="37"/>
                <w:lang w:eastAsia="zh-CN" w:bidi="ar-SA"/>
              </w:rPr>
              <w:t xml:space="preserve"> in Light of Its Mesopotamian Parallels</w:t>
            </w:r>
          </w:p>
          <w:p w14:paraId="69FE275A" w14:textId="77777777" w:rsidR="00A623A4" w:rsidRPr="00E60E97" w:rsidRDefault="00A623A4" w:rsidP="00057E0D">
            <w:pPr>
              <w:spacing w:line="276" w:lineRule="auto"/>
              <w:rPr>
                <w:rFonts w:asciiTheme="minorBidi" w:hAnsiTheme="minorBidi"/>
                <w:b/>
                <w:bCs/>
              </w:rPr>
            </w:pPr>
          </w:p>
        </w:tc>
        <w:tc>
          <w:tcPr>
            <w:tcW w:w="4675" w:type="dxa"/>
          </w:tcPr>
          <w:p w14:paraId="028FB1E8" w14:textId="77777777" w:rsidR="001B2169" w:rsidRPr="001B2169" w:rsidRDefault="001B2169" w:rsidP="001B2169">
            <w:pPr>
              <w:bidi/>
              <w:jc w:val="center"/>
              <w:rPr>
                <w:rFonts w:ascii="David" w:eastAsia="Calibri" w:hAnsi="David" w:cs="David"/>
                <w:b/>
                <w:bCs/>
                <w:sz w:val="36"/>
                <w:szCs w:val="36"/>
                <w:rtl/>
              </w:rPr>
            </w:pPr>
            <w:r w:rsidRPr="001B2169">
              <w:rPr>
                <w:rFonts w:ascii="David" w:eastAsia="Calibri" w:hAnsi="David" w:cs="David" w:hint="cs"/>
                <w:b/>
                <w:bCs/>
                <w:sz w:val="36"/>
                <w:szCs w:val="36"/>
                <w:rtl/>
              </w:rPr>
              <w:t>צרעת לאור מקבילותיו המסופוטמיות</w:t>
            </w:r>
          </w:p>
          <w:p w14:paraId="56389D1B" w14:textId="77777777" w:rsidR="00A623A4" w:rsidRDefault="00A623A4" w:rsidP="004E1C22">
            <w:pPr>
              <w:bidi/>
              <w:spacing w:line="276" w:lineRule="auto"/>
              <w:rPr>
                <w:rFonts w:asciiTheme="minorBidi" w:hAnsiTheme="minorBidi"/>
                <w:rtl/>
              </w:rPr>
            </w:pPr>
          </w:p>
        </w:tc>
      </w:tr>
      <w:tr w:rsidR="004E1C22" w14:paraId="1569C657" w14:textId="77777777" w:rsidTr="004E1C22">
        <w:tc>
          <w:tcPr>
            <w:tcW w:w="4675" w:type="dxa"/>
          </w:tcPr>
          <w:p w14:paraId="412E59CA" w14:textId="77777777" w:rsidR="006F59E7" w:rsidRPr="006F59E7" w:rsidRDefault="006F59E7" w:rsidP="006F59E7">
            <w:pPr>
              <w:shd w:val="clear" w:color="auto" w:fill="FFFFFF"/>
              <w:spacing w:after="94" w:line="346" w:lineRule="atLeast"/>
              <w:rPr>
                <w:rFonts w:ascii="Times New Roman" w:eastAsia="Times New Roman" w:hAnsi="Times New Roman" w:cs="Times New Roman"/>
                <w:color w:val="333333"/>
                <w:sz w:val="19"/>
                <w:szCs w:val="19"/>
                <w:lang w:eastAsia="zh-CN" w:bidi="ar-SA"/>
              </w:rPr>
            </w:pPr>
            <w:r w:rsidRPr="006F59E7">
              <w:rPr>
                <w:rFonts w:ascii="Times New Roman" w:eastAsia="Times New Roman" w:hAnsi="Times New Roman" w:cs="Times New Roman"/>
                <w:color w:val="333333"/>
                <w:sz w:val="19"/>
                <w:szCs w:val="19"/>
                <w:lang w:eastAsia="zh-CN" w:bidi="ar-SA"/>
              </w:rPr>
              <w:t>Notwithstanding its lengthy coverage of </w:t>
            </w:r>
            <w:proofErr w:type="spellStart"/>
            <w:r w:rsidRPr="006F59E7">
              <w:rPr>
                <w:rFonts w:ascii="Times New Roman" w:eastAsia="Times New Roman" w:hAnsi="Times New Roman" w:cs="Times New Roman"/>
                <w:i/>
                <w:iCs/>
                <w:color w:val="333333"/>
                <w:sz w:val="19"/>
                <w:lang w:eastAsia="zh-CN" w:bidi="ar-SA"/>
              </w:rPr>
              <w:t>tzaraat</w:t>
            </w:r>
            <w:proofErr w:type="spellEnd"/>
            <w:r w:rsidRPr="006F59E7">
              <w:rPr>
                <w:rFonts w:ascii="Times New Roman" w:eastAsia="Times New Roman" w:hAnsi="Times New Roman" w:cs="Times New Roman"/>
                <w:color w:val="333333"/>
                <w:sz w:val="19"/>
                <w:szCs w:val="19"/>
                <w:lang w:eastAsia="zh-CN" w:bidi="ar-SA"/>
              </w:rPr>
              <w:t> (</w:t>
            </w:r>
            <w:r w:rsidRPr="006F59E7">
              <w:rPr>
                <w:rFonts w:ascii="Times New Roman" w:eastAsia="Times New Roman" w:hAnsi="Times New Roman" w:cs="Times New Roman"/>
                <w:color w:val="333333"/>
                <w:sz w:val="19"/>
                <w:szCs w:val="19"/>
                <w:rtl/>
                <w:lang w:eastAsia="zh-CN"/>
              </w:rPr>
              <w:t>צרעת</w:t>
            </w:r>
            <w:r w:rsidRPr="006F59E7">
              <w:rPr>
                <w:rFonts w:ascii="Times New Roman" w:eastAsia="Times New Roman" w:hAnsi="Times New Roman" w:cs="Times New Roman"/>
                <w:color w:val="333333"/>
                <w:sz w:val="19"/>
                <w:szCs w:val="19"/>
                <w:lang w:eastAsia="zh-CN" w:bidi="ar-SA"/>
              </w:rPr>
              <w:t>, biblical “leprosy”), why does the Torah omit discussion of its cause (sin?), its infectiousness, and its treatment? Comparison to the Mesopotamian rituals pertaining to a strikingly similar disease (</w:t>
            </w:r>
            <w:proofErr w:type="spellStart"/>
            <w:r w:rsidRPr="006F59E7">
              <w:rPr>
                <w:rFonts w:ascii="Times New Roman" w:eastAsia="Times New Roman" w:hAnsi="Times New Roman" w:cs="Times New Roman"/>
                <w:i/>
                <w:iCs/>
                <w:color w:val="333333"/>
                <w:sz w:val="19"/>
                <w:lang w:eastAsia="zh-CN" w:bidi="ar-SA"/>
              </w:rPr>
              <w:t>Saḫaršubbû</w:t>
            </w:r>
            <w:proofErr w:type="spellEnd"/>
            <w:r w:rsidRPr="006F59E7">
              <w:rPr>
                <w:rFonts w:ascii="Times New Roman" w:eastAsia="Times New Roman" w:hAnsi="Times New Roman" w:cs="Times New Roman"/>
                <w:color w:val="333333"/>
                <w:sz w:val="19"/>
                <w:szCs w:val="19"/>
                <w:lang w:eastAsia="zh-CN" w:bidi="ar-SA"/>
              </w:rPr>
              <w:t>) shows that these omissions were far from accidental.</w:t>
            </w:r>
          </w:p>
          <w:p w14:paraId="2A3782FC" w14:textId="77777777" w:rsidR="006F59E7" w:rsidRPr="006F59E7" w:rsidRDefault="006F59E7" w:rsidP="006F59E7">
            <w:pPr>
              <w:shd w:val="clear" w:color="auto" w:fill="FFFFFF"/>
              <w:rPr>
                <w:rFonts w:ascii="Times New Roman" w:eastAsia="Times New Roman" w:hAnsi="Times New Roman" w:cs="Times New Roman"/>
                <w:color w:val="2E2E2E"/>
                <w:sz w:val="14"/>
                <w:szCs w:val="14"/>
                <w:lang w:eastAsia="zh-CN" w:bidi="ar-SA"/>
              </w:rPr>
            </w:pPr>
            <w:r w:rsidRPr="006F59E7">
              <w:rPr>
                <w:rFonts w:ascii="Times New Roman" w:eastAsia="Times New Roman" w:hAnsi="Times New Roman" w:cs="Times New Roman"/>
                <w:color w:val="333333"/>
                <w:sz w:val="14"/>
                <w:szCs w:val="14"/>
                <w:lang w:eastAsia="zh-CN" w:bidi="ar-SA"/>
              </w:rPr>
              <w:fldChar w:fldCharType="begin"/>
            </w:r>
            <w:r w:rsidRPr="006F59E7">
              <w:rPr>
                <w:rFonts w:ascii="Times New Roman" w:eastAsia="Times New Roman" w:hAnsi="Times New Roman" w:cs="Times New Roman"/>
                <w:color w:val="333333"/>
                <w:sz w:val="14"/>
                <w:szCs w:val="14"/>
                <w:lang w:eastAsia="zh-CN" w:bidi="ar-SA"/>
              </w:rPr>
              <w:instrText xml:space="preserve"> HYPERLINK "https://www.thetorah.com/author/yitzhaq-feder" </w:instrText>
            </w:r>
            <w:r w:rsidRPr="006F59E7">
              <w:rPr>
                <w:rFonts w:ascii="Times New Roman" w:eastAsia="Times New Roman" w:hAnsi="Times New Roman" w:cs="Times New Roman"/>
                <w:color w:val="333333"/>
                <w:sz w:val="14"/>
                <w:szCs w:val="14"/>
                <w:lang w:eastAsia="zh-CN" w:bidi="ar-SA"/>
              </w:rPr>
              <w:fldChar w:fldCharType="separate"/>
            </w:r>
          </w:p>
          <w:p w14:paraId="2EA8C6E7" w14:textId="77777777" w:rsidR="006F59E7" w:rsidRPr="006F59E7" w:rsidRDefault="006F59E7" w:rsidP="006F59E7">
            <w:pPr>
              <w:shd w:val="clear" w:color="auto" w:fill="FFFFFF"/>
              <w:spacing w:line="337" w:lineRule="atLeast"/>
              <w:ind w:right="150"/>
              <w:rPr>
                <w:rFonts w:ascii="Times New Roman" w:eastAsia="Times New Roman" w:hAnsi="Times New Roman" w:cs="Times New Roman"/>
                <w:sz w:val="19"/>
                <w:szCs w:val="19"/>
                <w:lang w:eastAsia="zh-CN" w:bidi="ar-SA"/>
              </w:rPr>
            </w:pPr>
            <w:r w:rsidRPr="006F59E7">
              <w:rPr>
                <w:rFonts w:ascii="Times New Roman" w:eastAsia="Times New Roman" w:hAnsi="Times New Roman" w:cs="Times New Roman"/>
                <w:color w:val="2E2E2E"/>
                <w:sz w:val="19"/>
                <w:szCs w:val="19"/>
                <w:lang w:eastAsia="zh-CN" w:bidi="ar-SA"/>
              </w:rPr>
              <w:t>Dr.</w:t>
            </w:r>
            <w:r w:rsidRPr="006F59E7">
              <w:rPr>
                <w:rFonts w:ascii="Times New Roman" w:eastAsia="Times New Roman" w:hAnsi="Times New Roman" w:cs="Times New Roman"/>
                <w:sz w:val="19"/>
                <w:szCs w:val="19"/>
                <w:lang w:eastAsia="zh-CN" w:bidi="ar-SA"/>
              </w:rPr>
              <w:t xml:space="preserve"> </w:t>
            </w:r>
            <w:proofErr w:type="spellStart"/>
            <w:r w:rsidRPr="006F59E7">
              <w:rPr>
                <w:rFonts w:ascii="Times New Roman" w:eastAsia="Times New Roman" w:hAnsi="Times New Roman" w:cs="Times New Roman"/>
                <w:color w:val="2E2E2E"/>
                <w:sz w:val="19"/>
                <w:szCs w:val="19"/>
                <w:lang w:eastAsia="zh-CN" w:bidi="ar-SA"/>
              </w:rPr>
              <w:t>Yitzhaq</w:t>
            </w:r>
            <w:proofErr w:type="spellEnd"/>
            <w:r w:rsidRPr="006F59E7">
              <w:rPr>
                <w:rFonts w:ascii="Times New Roman" w:eastAsia="Times New Roman" w:hAnsi="Times New Roman" w:cs="Times New Roman"/>
                <w:color w:val="2E2E2E"/>
                <w:sz w:val="19"/>
                <w:szCs w:val="19"/>
                <w:lang w:eastAsia="zh-CN" w:bidi="ar-SA"/>
              </w:rPr>
              <w:t xml:space="preserve"> Feder</w:t>
            </w:r>
          </w:p>
          <w:p w14:paraId="17439E35" w14:textId="1BE35F17" w:rsidR="004E1C22" w:rsidRPr="004E1C22" w:rsidRDefault="006F59E7" w:rsidP="006F59E7">
            <w:pPr>
              <w:spacing w:line="276" w:lineRule="auto"/>
              <w:rPr>
                <w:rFonts w:asciiTheme="minorBidi" w:hAnsiTheme="minorBidi"/>
              </w:rPr>
            </w:pPr>
            <w:r w:rsidRPr="006F59E7">
              <w:rPr>
                <w:rFonts w:ascii="Times New Roman" w:eastAsia="Times New Roman" w:hAnsi="Times New Roman" w:cs="Times New Roman"/>
                <w:color w:val="333333"/>
                <w:sz w:val="14"/>
                <w:szCs w:val="14"/>
                <w:lang w:eastAsia="zh-CN" w:bidi="ar-SA"/>
              </w:rPr>
              <w:fldChar w:fldCharType="end"/>
            </w:r>
          </w:p>
        </w:tc>
        <w:tc>
          <w:tcPr>
            <w:tcW w:w="4675" w:type="dxa"/>
          </w:tcPr>
          <w:p w14:paraId="449ACF10"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 xml:space="preserve">על אף שהתורה דנה באריכות בנושא הצרעת, מדוע היא משמיטה דיון על הגורם למחלה (חטא?), מידת יכולת ההדבקה שלה והטיפול בה? מן ההשוואה לפולחנים מסופוטמיים הנוגעים למחלה דומה מאוד </w:t>
            </w:r>
            <w:r w:rsidRPr="00A00195">
              <w:rPr>
                <w:rFonts w:ascii="Times New Roman" w:eastAsia="Times New Roman" w:hAnsi="Times New Roman" w:cs="Times New Roman"/>
                <w:color w:val="333333"/>
                <w:sz w:val="19"/>
                <w:szCs w:val="19"/>
                <w:lang w:bidi="ar-SA"/>
              </w:rPr>
              <w:t>(</w:t>
            </w:r>
            <w:proofErr w:type="spellStart"/>
            <w:r w:rsidRPr="00A00195">
              <w:rPr>
                <w:rFonts w:ascii="Times New Roman" w:eastAsia="Times New Roman" w:hAnsi="Times New Roman" w:cs="Times New Roman"/>
                <w:i/>
                <w:iCs/>
                <w:color w:val="333333"/>
                <w:sz w:val="19"/>
                <w:lang w:bidi="ar-SA"/>
              </w:rPr>
              <w:t>Saḫaršubbû</w:t>
            </w:r>
            <w:proofErr w:type="spellEnd"/>
            <w:r w:rsidRPr="00A00195">
              <w:rPr>
                <w:rFonts w:ascii="Times New Roman" w:eastAsia="Times New Roman" w:hAnsi="Times New Roman" w:cs="Times New Roman"/>
                <w:color w:val="333333"/>
                <w:sz w:val="19"/>
                <w:szCs w:val="19"/>
                <w:lang w:bidi="ar-SA"/>
              </w:rPr>
              <w:t>)</w:t>
            </w:r>
            <w:r w:rsidRPr="00A00195">
              <w:rPr>
                <w:rFonts w:ascii="David" w:eastAsia="Calibri" w:hAnsi="David" w:cs="David" w:hint="cs"/>
                <w:sz w:val="24"/>
                <w:szCs w:val="24"/>
                <w:rtl/>
              </w:rPr>
              <w:t xml:space="preserve"> עולה כי השמטות אלה היו לגמרי לא מקריות.</w:t>
            </w:r>
          </w:p>
          <w:p w14:paraId="02067CB2"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ד"ר יצחק פדר</w:t>
            </w:r>
          </w:p>
          <w:p w14:paraId="181915E6" w14:textId="77777777" w:rsidR="004E1C22" w:rsidRDefault="004E1C22" w:rsidP="00E60E97">
            <w:pPr>
              <w:bidi/>
              <w:spacing w:line="276" w:lineRule="auto"/>
              <w:rPr>
                <w:rFonts w:asciiTheme="minorBidi" w:hAnsiTheme="minorBidi"/>
                <w:rtl/>
              </w:rPr>
            </w:pPr>
          </w:p>
        </w:tc>
      </w:tr>
      <w:tr w:rsidR="004E1C22" w14:paraId="7894A858" w14:textId="77777777" w:rsidTr="004E1C22">
        <w:tc>
          <w:tcPr>
            <w:tcW w:w="4675" w:type="dxa"/>
          </w:tcPr>
          <w:p w14:paraId="57E8C1C3" w14:textId="77777777" w:rsidR="006F59E7" w:rsidRPr="002A2E5E" w:rsidRDefault="006F59E7" w:rsidP="006F59E7">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He is diagnosed as sick, but never treated. He is banished from the community, but not contagious. He offers a guilt offering (</w:t>
            </w:r>
            <w:r w:rsidRPr="002A2E5E">
              <w:rPr>
                <w:rFonts w:ascii="Times New Roman" w:eastAsia="Times New Roman" w:hAnsi="Times New Roman" w:cs="Times New Roman"/>
                <w:color w:val="000000"/>
                <w:sz w:val="16"/>
                <w:szCs w:val="16"/>
                <w:rtl/>
              </w:rPr>
              <w:t>אשם</w:t>
            </w:r>
            <w:r w:rsidRPr="002A2E5E">
              <w:rPr>
                <w:rFonts w:ascii="Times New Roman" w:eastAsia="Times New Roman" w:hAnsi="Times New Roman" w:cs="Times New Roman"/>
                <w:color w:val="000000"/>
                <w:sz w:val="16"/>
                <w:szCs w:val="16"/>
                <w:lang w:bidi="ar-SA"/>
              </w:rPr>
              <w:t>), but his sin is left unstated. Who is this </w:t>
            </w:r>
            <w:proofErr w:type="spellStart"/>
            <w:proofErr w:type="gramStart"/>
            <w:r w:rsidRPr="0090141D">
              <w:rPr>
                <w:rFonts w:ascii="Times New Roman" w:eastAsia="Times New Roman" w:hAnsi="Times New Roman" w:cs="Times New Roman"/>
                <w:i/>
                <w:iCs/>
                <w:color w:val="000000"/>
                <w:sz w:val="16"/>
                <w:lang w:bidi="ar-SA"/>
              </w:rPr>
              <w:t>meṣor‘</w:t>
            </w:r>
            <w:proofErr w:type="gramEnd"/>
            <w:r w:rsidRPr="0090141D">
              <w:rPr>
                <w:rFonts w:ascii="Times New Roman" w:eastAsia="Times New Roman" w:hAnsi="Times New Roman" w:cs="Times New Roman"/>
                <w:i/>
                <w:iCs/>
                <w:color w:val="000000"/>
                <w:sz w:val="16"/>
                <w:lang w:bidi="ar-SA"/>
              </w:rPr>
              <w:t>a</w:t>
            </w:r>
            <w:proofErr w:type="spellEnd"/>
            <w:r w:rsidRPr="002A2E5E">
              <w:rPr>
                <w:rFonts w:ascii="Times New Roman" w:eastAsia="Times New Roman" w:hAnsi="Times New Roman" w:cs="Times New Roman"/>
                <w:color w:val="000000"/>
                <w:sz w:val="16"/>
                <w:szCs w:val="16"/>
                <w:lang w:bidi="ar-SA"/>
              </w:rPr>
              <w:t>, and what is this disease called </w:t>
            </w:r>
            <w:proofErr w:type="spellStart"/>
            <w:r w:rsidRPr="0090141D">
              <w:rPr>
                <w:rFonts w:ascii="Times New Roman" w:eastAsia="Times New Roman" w:hAnsi="Times New Roman" w:cs="Times New Roman"/>
                <w:i/>
                <w:iCs/>
                <w:color w:val="000000"/>
                <w:sz w:val="16"/>
                <w:lang w:bidi="ar-SA"/>
              </w:rPr>
              <w:t>tzaraat</w:t>
            </w:r>
            <w:proofErr w:type="spellEnd"/>
            <w:r w:rsidRPr="0090141D">
              <w:rPr>
                <w:rFonts w:ascii="Times New Roman" w:eastAsia="Times New Roman" w:hAnsi="Times New Roman" w:cs="Times New Roman"/>
                <w:i/>
                <w:iCs/>
                <w:color w:val="000000"/>
                <w:sz w:val="16"/>
                <w:lang w:bidi="ar-SA"/>
              </w:rPr>
              <w:t>?</w:t>
            </w:r>
          </w:p>
          <w:p w14:paraId="15EAAA69" w14:textId="77777777" w:rsidR="004E1C22" w:rsidRPr="004E1C22" w:rsidRDefault="004E1C22" w:rsidP="00057E0D">
            <w:pPr>
              <w:spacing w:line="276" w:lineRule="auto"/>
              <w:rPr>
                <w:rFonts w:asciiTheme="minorBidi" w:hAnsiTheme="minorBidi"/>
              </w:rPr>
            </w:pPr>
          </w:p>
        </w:tc>
        <w:tc>
          <w:tcPr>
            <w:tcW w:w="4675" w:type="dxa"/>
          </w:tcPr>
          <w:p w14:paraId="2BBC4DC8"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הוא מאובחן כחולה אך כלל אינו מטופל. הוא מורחק מן הקהילה, אך אינו מדבק. הוא מקריב קורבן אשם, אך חטאו לא מוזכר. מי הוא מצורע זה, ומהי מחלה זו המכונה צרעת?</w:t>
            </w:r>
          </w:p>
          <w:p w14:paraId="66983776" w14:textId="77777777" w:rsidR="004E1C22" w:rsidRDefault="004E1C22" w:rsidP="004E1C22">
            <w:pPr>
              <w:bidi/>
              <w:spacing w:line="276" w:lineRule="auto"/>
              <w:rPr>
                <w:rFonts w:asciiTheme="minorBidi" w:hAnsiTheme="minorBidi"/>
                <w:rtl/>
              </w:rPr>
            </w:pPr>
          </w:p>
        </w:tc>
      </w:tr>
      <w:tr w:rsidR="006F59E7" w14:paraId="5BB61125" w14:textId="77777777" w:rsidTr="004E1C22">
        <w:tc>
          <w:tcPr>
            <w:tcW w:w="4675" w:type="dxa"/>
          </w:tcPr>
          <w:p w14:paraId="0B9F09A4" w14:textId="77777777" w:rsidR="006F59E7" w:rsidRPr="002A2E5E" w:rsidRDefault="006F59E7" w:rsidP="006F59E7">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The question of the identity of this disease has been subject to hundreds of academic papers, a fact that may surprise the average reader who would be quite content to ignore this subject entirely. Yet the detailed discussion of skin disease in Leviticus 13–14 has implications that reach far beyond the discussion of this particular disease. These can only be appreciated when recognizing what is missing – perhaps even deliberately concealed – from these chapters.</w:t>
            </w:r>
          </w:p>
          <w:p w14:paraId="4716CD98" w14:textId="77777777" w:rsidR="006F59E7" w:rsidRPr="004E1C22" w:rsidRDefault="006F59E7" w:rsidP="00057E0D">
            <w:pPr>
              <w:spacing w:line="276" w:lineRule="auto"/>
              <w:rPr>
                <w:rFonts w:asciiTheme="minorBidi" w:hAnsiTheme="minorBidi"/>
              </w:rPr>
            </w:pPr>
          </w:p>
        </w:tc>
        <w:tc>
          <w:tcPr>
            <w:tcW w:w="4675" w:type="dxa"/>
          </w:tcPr>
          <w:p w14:paraId="4D2D0C61"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שאלת זהותה של מחלה זו הייתה נושא למאות מחקרים אקדמיים, עובדה העשויה להפתיע את הקורא הממוצע שהיה בהחלט מוכן להתעלם כליל מן הנושא. אולם לדיון המפורט על מחלת עור בספר ויקרא 13</w:t>
            </w:r>
            <w:r w:rsidRPr="00A00195">
              <w:rPr>
                <w:rFonts w:ascii="David" w:eastAsia="Calibri" w:hAnsi="David" w:cs="David" w:hint="eastAsia"/>
                <w:sz w:val="24"/>
                <w:szCs w:val="24"/>
                <w:rtl/>
              </w:rPr>
              <w:t>–</w:t>
            </w:r>
            <w:r w:rsidRPr="00A00195">
              <w:rPr>
                <w:rFonts w:ascii="David" w:eastAsia="Calibri" w:hAnsi="David" w:cs="David" w:hint="cs"/>
                <w:sz w:val="24"/>
                <w:szCs w:val="24"/>
                <w:rtl/>
              </w:rPr>
              <w:t xml:space="preserve">14 יש השלכות החורגות הרבה מעבר לדיון במחלה ספציפית זו. אפשר להעריך אותן רק כאשר מכירים במה שחסר </w:t>
            </w:r>
            <w:r w:rsidRPr="00A00195">
              <w:rPr>
                <w:rFonts w:ascii="David" w:eastAsia="Calibri" w:hAnsi="David" w:cs="David"/>
                <w:sz w:val="24"/>
                <w:szCs w:val="24"/>
                <w:rtl/>
              </w:rPr>
              <w:t>–</w:t>
            </w:r>
            <w:r w:rsidRPr="00A00195">
              <w:rPr>
                <w:rFonts w:ascii="David" w:eastAsia="Calibri" w:hAnsi="David" w:cs="David" w:hint="cs"/>
                <w:sz w:val="24"/>
                <w:szCs w:val="24"/>
                <w:rtl/>
              </w:rPr>
              <w:t xml:space="preserve"> אולי אף מוסתר בכוונה </w:t>
            </w:r>
            <w:r w:rsidRPr="00A00195">
              <w:rPr>
                <w:rFonts w:ascii="David" w:eastAsia="Calibri" w:hAnsi="David" w:cs="David"/>
                <w:sz w:val="24"/>
                <w:szCs w:val="24"/>
                <w:rtl/>
              </w:rPr>
              <w:t>–</w:t>
            </w:r>
            <w:r w:rsidRPr="00A00195">
              <w:rPr>
                <w:rFonts w:ascii="David" w:eastAsia="Calibri" w:hAnsi="David" w:cs="David" w:hint="cs"/>
                <w:sz w:val="24"/>
                <w:szCs w:val="24"/>
                <w:rtl/>
              </w:rPr>
              <w:t xml:space="preserve"> בפרקים אלה.</w:t>
            </w:r>
          </w:p>
          <w:p w14:paraId="50DA2479" w14:textId="77777777" w:rsidR="006F59E7" w:rsidRDefault="006F59E7" w:rsidP="004E1C22">
            <w:pPr>
              <w:bidi/>
              <w:spacing w:line="276" w:lineRule="auto"/>
              <w:rPr>
                <w:rFonts w:asciiTheme="minorBidi" w:hAnsiTheme="minorBidi"/>
                <w:rtl/>
              </w:rPr>
            </w:pPr>
          </w:p>
        </w:tc>
      </w:tr>
      <w:tr w:rsidR="004E1C22" w14:paraId="0EF0493D" w14:textId="77777777" w:rsidTr="004E1C22">
        <w:tc>
          <w:tcPr>
            <w:tcW w:w="4675" w:type="dxa"/>
          </w:tcPr>
          <w:p w14:paraId="17D26854" w14:textId="77777777" w:rsidR="006F59E7" w:rsidRPr="002A2E5E" w:rsidRDefault="006F59E7" w:rsidP="006F59E7">
            <w:pPr>
              <w:shd w:val="clear" w:color="auto" w:fill="FFFFFF"/>
              <w:spacing w:before="187" w:after="94" w:line="281" w:lineRule="atLeast"/>
              <w:outlineLvl w:val="2"/>
              <w:rPr>
                <w:rFonts w:ascii="Times New Roman" w:eastAsia="Times New Roman" w:hAnsi="Times New Roman" w:cs="Times New Roman"/>
                <w:color w:val="000000"/>
                <w:sz w:val="20"/>
                <w:szCs w:val="20"/>
                <w:lang w:bidi="ar-SA"/>
              </w:rPr>
            </w:pPr>
            <w:r w:rsidRPr="002A2E5E">
              <w:rPr>
                <w:rFonts w:ascii="Times New Roman" w:eastAsia="Times New Roman" w:hAnsi="Times New Roman" w:cs="Times New Roman"/>
                <w:color w:val="000000"/>
                <w:sz w:val="20"/>
                <w:szCs w:val="20"/>
                <w:lang w:bidi="ar-SA"/>
              </w:rPr>
              <w:t>An Imaginary Disease?</w:t>
            </w:r>
          </w:p>
          <w:p w14:paraId="7DF90FBD" w14:textId="77777777" w:rsidR="006F59E7" w:rsidRPr="002A2E5E" w:rsidRDefault="006F59E7" w:rsidP="006F59E7">
            <w:pPr>
              <w:shd w:val="clear" w:color="auto" w:fill="FFFFFF"/>
              <w:spacing w:after="187" w:line="290" w:lineRule="atLeast"/>
              <w:rPr>
                <w:rFonts w:ascii="Times New Roman" w:eastAsia="Times New Roman" w:hAnsi="Times New Roman" w:cs="Times New Roman"/>
                <w:color w:val="000000"/>
                <w:sz w:val="16"/>
                <w:szCs w:val="16"/>
                <w:lang w:bidi="ar-SA"/>
              </w:rPr>
            </w:pPr>
            <w:r w:rsidRPr="002A2E5E">
              <w:rPr>
                <w:rFonts w:ascii="Times New Roman" w:eastAsia="Times New Roman" w:hAnsi="Times New Roman" w:cs="Times New Roman"/>
                <w:color w:val="000000"/>
                <w:sz w:val="16"/>
                <w:szCs w:val="16"/>
                <w:lang w:bidi="ar-SA"/>
              </w:rPr>
              <w:t>This disease cannot simply be identified with “leprosy” (Hansen’s Disease), which has a different set of symptoms, nor do its symptoms align with any single disease. For this reason, some scholars have suggested that it is a symbolic or imaginary disease,</w:t>
            </w:r>
            <w:r w:rsidRPr="002A2E5E">
              <w:rPr>
                <w:rFonts w:ascii="Times New Roman" w:eastAsia="Times New Roman" w:hAnsi="Times New Roman" w:cs="Times New Roman"/>
                <w:color w:val="B22222"/>
                <w:sz w:val="14"/>
                <w:szCs w:val="14"/>
                <w:vertAlign w:val="superscript"/>
                <w:lang w:bidi="ar-SA"/>
              </w:rPr>
              <w:t>[1]</w:t>
            </w:r>
            <w:r w:rsidRPr="002A2E5E">
              <w:rPr>
                <w:rFonts w:ascii="Times New Roman" w:eastAsia="Times New Roman" w:hAnsi="Times New Roman" w:cs="Times New Roman"/>
                <w:color w:val="000000"/>
                <w:sz w:val="16"/>
                <w:szCs w:val="16"/>
                <w:lang w:bidi="ar-SA"/>
              </w:rPr>
              <w:t> but this is likely incorrect.</w:t>
            </w:r>
          </w:p>
          <w:p w14:paraId="7A0B292F" w14:textId="77777777" w:rsidR="00CE34EA" w:rsidRPr="004E1C22" w:rsidRDefault="00CE34EA" w:rsidP="004E1C22">
            <w:pPr>
              <w:spacing w:line="276" w:lineRule="auto"/>
              <w:rPr>
                <w:rFonts w:asciiTheme="minorBidi" w:hAnsiTheme="minorBidi"/>
              </w:rPr>
            </w:pPr>
          </w:p>
        </w:tc>
        <w:tc>
          <w:tcPr>
            <w:tcW w:w="4675" w:type="dxa"/>
          </w:tcPr>
          <w:p w14:paraId="674226D5"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lastRenderedPageBreak/>
              <w:t>מחלה דמיונית?</w:t>
            </w:r>
          </w:p>
          <w:p w14:paraId="6FD8A619"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אי אפשר פשוט לשייך מחלה זו ל"</w:t>
            </w:r>
            <w:r w:rsidRPr="00A00195">
              <w:rPr>
                <w:rFonts w:ascii="David" w:eastAsia="Calibri" w:hAnsi="David" w:cs="David"/>
                <w:sz w:val="24"/>
                <w:szCs w:val="24"/>
              </w:rPr>
              <w:t>leprosy</w:t>
            </w:r>
            <w:r w:rsidRPr="00A00195">
              <w:rPr>
                <w:rFonts w:ascii="David" w:eastAsia="Calibri" w:hAnsi="David" w:cs="David" w:hint="cs"/>
                <w:sz w:val="24"/>
                <w:szCs w:val="24"/>
                <w:rtl/>
              </w:rPr>
              <w:t xml:space="preserve">" (מחלת הנסן) שיש לה מערכת תסמינים נפרדת, והתסמינים שלה גם אינם חופפים לאלה של אף מחלה מסוימת. </w:t>
            </w:r>
            <w:r w:rsidRPr="00A00195">
              <w:rPr>
                <w:rFonts w:ascii="David" w:eastAsia="Calibri" w:hAnsi="David" w:cs="David" w:hint="cs"/>
                <w:sz w:val="24"/>
                <w:szCs w:val="24"/>
                <w:rtl/>
              </w:rPr>
              <w:lastRenderedPageBreak/>
              <w:t>מסיבה זו, הציעו כמה חוקרים שמדובר במחלה סימבולית או דמיונית,</w:t>
            </w:r>
            <w:r w:rsidRPr="00A00195">
              <w:rPr>
                <w:rFonts w:ascii="David" w:eastAsia="Calibri" w:hAnsi="David" w:cs="David"/>
                <w:sz w:val="24"/>
                <w:szCs w:val="24"/>
                <w:vertAlign w:val="superscript"/>
                <w:rtl/>
              </w:rPr>
              <w:footnoteReference w:id="1"/>
            </w:r>
            <w:r w:rsidRPr="00A00195">
              <w:rPr>
                <w:rFonts w:ascii="David" w:eastAsia="Calibri" w:hAnsi="David" w:cs="David" w:hint="cs"/>
                <w:sz w:val="24"/>
                <w:szCs w:val="24"/>
                <w:rtl/>
              </w:rPr>
              <w:t xml:space="preserve"> אך סביר שאין זה נכון. </w:t>
            </w:r>
          </w:p>
          <w:p w14:paraId="1937DB99" w14:textId="77777777" w:rsidR="004E1C22" w:rsidRDefault="004E1C22" w:rsidP="004E1C22">
            <w:pPr>
              <w:bidi/>
              <w:spacing w:line="276" w:lineRule="auto"/>
              <w:rPr>
                <w:rFonts w:asciiTheme="minorBidi" w:hAnsiTheme="minorBidi"/>
                <w:rtl/>
              </w:rPr>
            </w:pPr>
          </w:p>
        </w:tc>
      </w:tr>
      <w:tr w:rsidR="006F59E7" w14:paraId="06A18313" w14:textId="77777777" w:rsidTr="004E1C22">
        <w:tc>
          <w:tcPr>
            <w:tcW w:w="4675" w:type="dxa"/>
          </w:tcPr>
          <w:p w14:paraId="0D877704" w14:textId="77777777" w:rsidR="006F59E7" w:rsidRPr="006F59E7" w:rsidRDefault="006F59E7" w:rsidP="006F59E7">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6F59E7">
              <w:rPr>
                <w:rFonts w:ascii="Times New Roman" w:eastAsia="Times New Roman" w:hAnsi="Times New Roman" w:cs="Times New Roman"/>
                <w:color w:val="000000"/>
                <w:sz w:val="16"/>
                <w:szCs w:val="16"/>
                <w:lang w:eastAsia="zh-CN" w:bidi="ar-SA"/>
              </w:rPr>
              <w:lastRenderedPageBreak/>
              <w:t>The existence of ancient Near Eastern parallels, and the ubiquitous discussion of this ailment in Second Temple writings, makes clear that the practical ramifications of these prescriptions were taken to be quite real. Without committing myself to a particular diagnosis, the translation “leprosy” will be adopted here for convenience.</w:t>
            </w:r>
            <w:r w:rsidRPr="006F59E7">
              <w:rPr>
                <w:rFonts w:ascii="Times New Roman" w:eastAsia="Times New Roman" w:hAnsi="Times New Roman" w:cs="Times New Roman"/>
                <w:color w:val="B22222"/>
                <w:sz w:val="14"/>
                <w:szCs w:val="14"/>
                <w:vertAlign w:val="superscript"/>
                <w:lang w:eastAsia="zh-CN" w:bidi="ar-SA"/>
              </w:rPr>
              <w:t>[2]</w:t>
            </w:r>
          </w:p>
          <w:p w14:paraId="2D948E50" w14:textId="77777777" w:rsidR="006F59E7" w:rsidRPr="004E1C22" w:rsidRDefault="006F59E7" w:rsidP="004E1C22">
            <w:pPr>
              <w:spacing w:line="276" w:lineRule="auto"/>
              <w:rPr>
                <w:rFonts w:asciiTheme="minorBidi" w:hAnsiTheme="minorBidi"/>
              </w:rPr>
            </w:pPr>
          </w:p>
        </w:tc>
        <w:tc>
          <w:tcPr>
            <w:tcW w:w="4675" w:type="dxa"/>
          </w:tcPr>
          <w:p w14:paraId="70AA4F1D"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קיומן של מקבילות מן המזרח הקרוב העתיק והדיון המצוי בו-זמנית ברבים מכתבי בית שני מבהירים שההשלכות המעשיות של מרשמים אלה נתפסו כאמיתיים בהחלט. בלי להתחייב לאבחנה מסוימת, אני אשתמש כאן במונח "</w:t>
            </w:r>
            <w:r w:rsidRPr="00A00195">
              <w:rPr>
                <w:rFonts w:ascii="David" w:eastAsia="Calibri" w:hAnsi="David" w:cs="David"/>
                <w:sz w:val="24"/>
                <w:szCs w:val="24"/>
              </w:rPr>
              <w:t>leprosy</w:t>
            </w:r>
            <w:r w:rsidRPr="00A00195">
              <w:rPr>
                <w:rFonts w:ascii="David" w:eastAsia="Calibri" w:hAnsi="David" w:cs="David" w:hint="cs"/>
                <w:sz w:val="24"/>
                <w:szCs w:val="24"/>
                <w:rtl/>
              </w:rPr>
              <w:t>" משיקולי נוחות.</w:t>
            </w:r>
            <w:r w:rsidRPr="00A00195">
              <w:rPr>
                <w:rFonts w:ascii="David" w:eastAsia="Calibri" w:hAnsi="David" w:cs="David"/>
                <w:sz w:val="24"/>
                <w:szCs w:val="24"/>
                <w:vertAlign w:val="superscript"/>
                <w:rtl/>
              </w:rPr>
              <w:footnoteReference w:id="2"/>
            </w:r>
          </w:p>
          <w:p w14:paraId="37244CC2" w14:textId="77777777" w:rsidR="006F59E7" w:rsidRDefault="006F59E7" w:rsidP="004E1C22">
            <w:pPr>
              <w:bidi/>
              <w:spacing w:line="276" w:lineRule="auto"/>
              <w:rPr>
                <w:rFonts w:asciiTheme="minorBidi" w:hAnsiTheme="minorBidi"/>
                <w:rtl/>
              </w:rPr>
            </w:pPr>
          </w:p>
        </w:tc>
      </w:tr>
      <w:tr w:rsidR="006F59E7" w14:paraId="7B63A24D" w14:textId="77777777" w:rsidTr="004E1C22">
        <w:tc>
          <w:tcPr>
            <w:tcW w:w="4675" w:type="dxa"/>
          </w:tcPr>
          <w:p w14:paraId="68763E6E" w14:textId="77777777" w:rsidR="00B57E6C" w:rsidRPr="00B57E6C" w:rsidRDefault="00B57E6C" w:rsidP="00B57E6C">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r w:rsidRPr="00B57E6C">
              <w:rPr>
                <w:rFonts w:ascii="Times New Roman" w:eastAsia="Times New Roman" w:hAnsi="Times New Roman" w:cs="Times New Roman"/>
                <w:color w:val="000000"/>
                <w:sz w:val="23"/>
                <w:szCs w:val="23"/>
                <w:lang w:eastAsia="zh-CN" w:bidi="ar-SA"/>
              </w:rPr>
              <w:t>The Question of Contagiousness</w:t>
            </w:r>
          </w:p>
          <w:p w14:paraId="1B45E159" w14:textId="77777777" w:rsidR="00B57E6C" w:rsidRPr="00B57E6C" w:rsidRDefault="00B57E6C" w:rsidP="00B57E6C">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lang w:eastAsia="zh-CN" w:bidi="ar-SA"/>
              </w:rPr>
              <w:t>The most perplexing aspect of this disease is the question of its contagiousness. The banishment of lepers is mentioned several times in the Hebrew Bible (Numbers 5:2–5; 12:14). Leviticus 13 depicts their ostracism in explicit terms (vv. 45–46):</w:t>
            </w:r>
          </w:p>
          <w:p w14:paraId="69B93F10" w14:textId="77777777" w:rsidR="006F59E7" w:rsidRPr="004E1C22" w:rsidRDefault="006F59E7" w:rsidP="004E1C22">
            <w:pPr>
              <w:spacing w:line="276" w:lineRule="auto"/>
              <w:rPr>
                <w:rFonts w:asciiTheme="minorBidi" w:hAnsiTheme="minorBidi"/>
              </w:rPr>
            </w:pPr>
          </w:p>
        </w:tc>
        <w:tc>
          <w:tcPr>
            <w:tcW w:w="4675" w:type="dxa"/>
          </w:tcPr>
          <w:p w14:paraId="3B602F38"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שאלת יכולת ההדבקה</w:t>
            </w:r>
          </w:p>
          <w:p w14:paraId="74004CC2"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 xml:space="preserve">הבחינה המבלבלת ביותר של מחלה זו היא שאלת מידת יכולת ההדבקה שלה. הרחקת מצורעים מוזכרת פעמים רבות במקרא (דברים 5 :2–5; 14:12). ויקרא 13 מתאר את נידוים באופן מפורש (פסוקים 45–46): </w:t>
            </w:r>
          </w:p>
          <w:p w14:paraId="02B52BF2" w14:textId="77777777" w:rsidR="006F59E7" w:rsidRDefault="006F59E7" w:rsidP="004E1C22">
            <w:pPr>
              <w:bidi/>
              <w:spacing w:line="276" w:lineRule="auto"/>
              <w:rPr>
                <w:rFonts w:asciiTheme="minorBidi" w:hAnsiTheme="minorBidi"/>
                <w:rtl/>
              </w:rPr>
            </w:pPr>
          </w:p>
        </w:tc>
      </w:tr>
      <w:tr w:rsidR="006F59E7" w14:paraId="5BE302A9" w14:textId="77777777" w:rsidTr="004E1C22">
        <w:tc>
          <w:tcPr>
            <w:tcW w:w="4675" w:type="dxa"/>
          </w:tcPr>
          <w:p w14:paraId="39BC9AB3" w14:textId="77777777" w:rsidR="00B57E6C" w:rsidRPr="00B57E6C" w:rsidRDefault="00B57E6C" w:rsidP="00B57E6C">
            <w:pPr>
              <w:shd w:val="clear" w:color="auto" w:fill="FFFFFF"/>
              <w:bidi/>
              <w:spacing w:after="100" w:line="290" w:lineRule="atLeast"/>
              <w:textAlignment w:val="top"/>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rtl/>
                <w:lang w:eastAsia="zh-CN"/>
              </w:rPr>
              <w:t>וְהַצָּרוּעַ אֲשֶׁר בּוֹ הַנֶּגַע בְּגָדָיו יִהְיוּ פְרֻמִים וְרֹאשׁוֹ יִהְיֶה פָרוּעַ וְעַל שָׂפָם יַעְטֶה וְטָמֵא טָמֵא יִקְרָא… בָּדָד יֵשֵׁב מִחוּץ לַמַּחֲנֶה מוֹשָׁבוֹ.</w:t>
            </w:r>
          </w:p>
          <w:p w14:paraId="13878B8A" w14:textId="77777777" w:rsidR="00B57E6C" w:rsidRPr="00B57E6C" w:rsidRDefault="00B57E6C" w:rsidP="00B57E6C">
            <w:pPr>
              <w:shd w:val="clear" w:color="auto" w:fill="FFFFFF"/>
              <w:spacing w:line="262" w:lineRule="atLeast"/>
              <w:rPr>
                <w:rFonts w:ascii="Times New Roman" w:eastAsia="Times New Roman" w:hAnsi="Times New Roman" w:cs="Times New Roman"/>
                <w:color w:val="000000"/>
                <w:sz w:val="14"/>
                <w:szCs w:val="14"/>
                <w:rtl/>
                <w:lang w:eastAsia="zh-CN" w:bidi="ar-SA"/>
              </w:rPr>
            </w:pPr>
            <w:r w:rsidRPr="00B57E6C">
              <w:rPr>
                <w:rFonts w:ascii="Times New Roman" w:eastAsia="Times New Roman" w:hAnsi="Times New Roman" w:cs="Times New Roman"/>
                <w:color w:val="000000"/>
                <w:sz w:val="14"/>
                <w:szCs w:val="14"/>
                <w:lang w:eastAsia="zh-CN" w:bidi="ar-SA"/>
              </w:rPr>
              <w:t> </w:t>
            </w:r>
          </w:p>
          <w:p w14:paraId="5200DDB0" w14:textId="77777777" w:rsidR="00B57E6C" w:rsidRPr="00B57E6C" w:rsidRDefault="00B57E6C" w:rsidP="00B57E6C">
            <w:pPr>
              <w:shd w:val="clear" w:color="auto" w:fill="FFFFFF"/>
              <w:spacing w:line="290" w:lineRule="atLeast"/>
              <w:textAlignment w:val="top"/>
              <w:rPr>
                <w:rFonts w:ascii="Times New Roman" w:eastAsia="Times New Roman" w:hAnsi="Times New Roman" w:cs="Times New Roman"/>
                <w:color w:val="000000"/>
                <w:sz w:val="14"/>
                <w:szCs w:val="14"/>
                <w:lang w:eastAsia="zh-CN" w:bidi="ar-SA"/>
              </w:rPr>
            </w:pPr>
            <w:r w:rsidRPr="00B57E6C">
              <w:rPr>
                <w:rFonts w:ascii="Times New Roman" w:eastAsia="Times New Roman" w:hAnsi="Times New Roman" w:cs="Times New Roman"/>
                <w:color w:val="000000"/>
                <w:sz w:val="14"/>
                <w:szCs w:val="14"/>
                <w:lang w:eastAsia="zh-CN" w:bidi="ar-SA"/>
              </w:rPr>
              <w:t>The leper who has the affliction: his clothes shall be torn, his hair shall be disheveled, he shall cover his moustache and call out: ‘Impure, impure!’…He shall dwell alone. His dwelling shall be outside the camp.</w:t>
            </w:r>
          </w:p>
          <w:p w14:paraId="42FF5BF5" w14:textId="77777777" w:rsidR="006F59E7" w:rsidRPr="004E1C22" w:rsidRDefault="006F59E7" w:rsidP="004E1C22">
            <w:pPr>
              <w:spacing w:line="276" w:lineRule="auto"/>
              <w:rPr>
                <w:rFonts w:asciiTheme="minorBidi" w:hAnsiTheme="minorBidi"/>
              </w:rPr>
            </w:pPr>
          </w:p>
        </w:tc>
        <w:tc>
          <w:tcPr>
            <w:tcW w:w="4675" w:type="dxa"/>
          </w:tcPr>
          <w:p w14:paraId="01D54631"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והצרוע אשר בו הנגע בגדיו יהיו פרומים וראשו יהיה פרוע ועל שפם יעטה וטמא טמא יקרא... בדד ישב מחוץ למחנה מושבו.</w:t>
            </w:r>
          </w:p>
          <w:p w14:paraId="597796DA" w14:textId="77777777" w:rsidR="006F59E7" w:rsidRDefault="006F59E7" w:rsidP="004E1C22">
            <w:pPr>
              <w:bidi/>
              <w:spacing w:line="276" w:lineRule="auto"/>
              <w:rPr>
                <w:rFonts w:asciiTheme="minorBidi" w:hAnsiTheme="minorBidi"/>
                <w:rtl/>
              </w:rPr>
            </w:pPr>
          </w:p>
        </w:tc>
      </w:tr>
      <w:tr w:rsidR="006F59E7" w14:paraId="7BD1F145" w14:textId="77777777" w:rsidTr="004E1C22">
        <w:tc>
          <w:tcPr>
            <w:tcW w:w="4675" w:type="dxa"/>
          </w:tcPr>
          <w:p w14:paraId="254A7188" w14:textId="77777777" w:rsidR="00B57E6C" w:rsidRPr="00B57E6C" w:rsidRDefault="00B57E6C" w:rsidP="00B57E6C">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lang w:eastAsia="zh-CN" w:bidi="ar-SA"/>
              </w:rPr>
              <w:t>This banishment is also reflected in the narrative describing the banishment of four lepers in 2 Kings 7:3–10. This account does not associate leprosy with concerns for sanctuary purity, and the numerous attestations to this practice in Second Temple sources (</w:t>
            </w:r>
            <w:proofErr w:type="gramStart"/>
            <w:r w:rsidRPr="00B57E6C">
              <w:rPr>
                <w:rFonts w:ascii="Times New Roman" w:eastAsia="Times New Roman" w:hAnsi="Times New Roman" w:cs="Times New Roman"/>
                <w:color w:val="000000"/>
                <w:sz w:val="16"/>
                <w:szCs w:val="16"/>
                <w:lang w:eastAsia="zh-CN" w:bidi="ar-SA"/>
              </w:rPr>
              <w:t>e.g.</w:t>
            </w:r>
            <w:proofErr w:type="gramEnd"/>
            <w:r w:rsidRPr="00B57E6C">
              <w:rPr>
                <w:rFonts w:ascii="Times New Roman" w:eastAsia="Times New Roman" w:hAnsi="Times New Roman" w:cs="Times New Roman"/>
                <w:color w:val="000000"/>
                <w:sz w:val="16"/>
                <w:szCs w:val="16"/>
                <w:lang w:eastAsia="zh-CN" w:bidi="ar-SA"/>
              </w:rPr>
              <w:t xml:space="preserve"> Temple Scroll 48:14–7; Josephus, </w:t>
            </w:r>
            <w:r w:rsidRPr="00B57E6C">
              <w:rPr>
                <w:rFonts w:ascii="Times New Roman" w:eastAsia="Times New Roman" w:hAnsi="Times New Roman" w:cs="Times New Roman"/>
                <w:i/>
                <w:iCs/>
                <w:color w:val="000000"/>
                <w:sz w:val="16"/>
                <w:lang w:eastAsia="zh-CN" w:bidi="ar-SA"/>
              </w:rPr>
              <w:t xml:space="preserve">Against </w:t>
            </w:r>
            <w:proofErr w:type="spellStart"/>
            <w:r w:rsidRPr="00B57E6C">
              <w:rPr>
                <w:rFonts w:ascii="Times New Roman" w:eastAsia="Times New Roman" w:hAnsi="Times New Roman" w:cs="Times New Roman"/>
                <w:i/>
                <w:iCs/>
                <w:color w:val="000000"/>
                <w:sz w:val="16"/>
                <w:lang w:eastAsia="zh-CN" w:bidi="ar-SA"/>
              </w:rPr>
              <w:t>Apion</w:t>
            </w:r>
            <w:proofErr w:type="spellEnd"/>
            <w:r w:rsidRPr="00B57E6C">
              <w:rPr>
                <w:rFonts w:ascii="Times New Roman" w:eastAsia="Times New Roman" w:hAnsi="Times New Roman" w:cs="Times New Roman"/>
                <w:color w:val="000000"/>
                <w:sz w:val="16"/>
                <w:szCs w:val="16"/>
                <w:lang w:eastAsia="zh-CN" w:bidi="ar-SA"/>
              </w:rPr>
              <w:t> I 281), similarly suggest a general trepidation from any contact with these lepers, unrelated to the cultic sphere.</w:t>
            </w:r>
            <w:r w:rsidRPr="00B57E6C">
              <w:rPr>
                <w:rFonts w:ascii="Times New Roman" w:eastAsia="Times New Roman" w:hAnsi="Times New Roman" w:cs="Times New Roman"/>
                <w:color w:val="B22222"/>
                <w:sz w:val="14"/>
                <w:szCs w:val="14"/>
                <w:vertAlign w:val="superscript"/>
                <w:lang w:eastAsia="zh-CN" w:bidi="ar-SA"/>
              </w:rPr>
              <w:t>[3]</w:t>
            </w:r>
          </w:p>
          <w:p w14:paraId="1CAE37C8" w14:textId="77777777" w:rsidR="006F59E7" w:rsidRPr="004E1C22" w:rsidRDefault="006F59E7" w:rsidP="004E1C22">
            <w:pPr>
              <w:spacing w:line="276" w:lineRule="auto"/>
              <w:rPr>
                <w:rFonts w:asciiTheme="minorBidi" w:hAnsiTheme="minorBidi"/>
              </w:rPr>
            </w:pPr>
          </w:p>
        </w:tc>
        <w:tc>
          <w:tcPr>
            <w:tcW w:w="4675" w:type="dxa"/>
          </w:tcPr>
          <w:p w14:paraId="035CCCFD" w14:textId="54A1AF09"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 xml:space="preserve">הגליה זו משתקפת גם בנרטיב המתאר את הגליית ארבעת מצורעים במלכים ב 3:7–10. תיאור זה אינו מקשר בין צרעת לדאגה לטהרת המקדש, והאישורים הרבים לנוהל זה במקורות מבית שני  (למשל </w:t>
            </w:r>
            <w:r w:rsidRPr="00A00195">
              <w:rPr>
                <w:rFonts w:ascii="David" w:eastAsia="Calibri" w:hAnsi="David" w:cs="David"/>
                <w:sz w:val="24"/>
                <w:szCs w:val="24"/>
              </w:rPr>
              <w:t>Temple Scroll 48:14–7</w:t>
            </w:r>
            <w:r w:rsidRPr="00A00195">
              <w:rPr>
                <w:rFonts w:ascii="David" w:eastAsia="Calibri" w:hAnsi="David" w:cs="David" w:hint="cs"/>
                <w:sz w:val="24"/>
                <w:szCs w:val="24"/>
                <w:rtl/>
              </w:rPr>
              <w:t xml:space="preserve">; </w:t>
            </w:r>
            <w:r w:rsidRPr="00A00195">
              <w:rPr>
                <w:rFonts w:ascii="David" w:eastAsia="Calibri" w:hAnsi="David" w:cs="David"/>
                <w:sz w:val="24"/>
                <w:szCs w:val="24"/>
              </w:rPr>
              <w:t xml:space="preserve">Josephus, Against </w:t>
            </w:r>
            <w:proofErr w:type="spellStart"/>
            <w:r w:rsidRPr="00A00195">
              <w:rPr>
                <w:rFonts w:ascii="David" w:eastAsia="Calibri" w:hAnsi="David" w:cs="David"/>
                <w:sz w:val="24"/>
                <w:szCs w:val="24"/>
              </w:rPr>
              <w:t>Apion</w:t>
            </w:r>
            <w:proofErr w:type="spellEnd"/>
            <w:r w:rsidRPr="00A00195">
              <w:rPr>
                <w:rFonts w:ascii="David" w:eastAsia="Calibri" w:hAnsi="David" w:cs="David"/>
                <w:sz w:val="24"/>
                <w:szCs w:val="24"/>
              </w:rPr>
              <w:t xml:space="preserve"> I 281</w:t>
            </w:r>
            <w:r w:rsidRPr="00A00195">
              <w:rPr>
                <w:rFonts w:ascii="David" w:eastAsia="Calibri" w:hAnsi="David" w:cs="David" w:hint="cs"/>
                <w:sz w:val="24"/>
                <w:szCs w:val="24"/>
                <w:rtl/>
              </w:rPr>
              <w:t>) מרמזים אף הם על חרדה כללית מכל מגע עם מצורעים אלה, ללא קשר למרחב הפולחני.</w:t>
            </w:r>
            <w:r w:rsidRPr="00A00195">
              <w:rPr>
                <w:rFonts w:ascii="David" w:eastAsia="Calibri" w:hAnsi="David" w:cs="David"/>
                <w:sz w:val="24"/>
                <w:szCs w:val="24"/>
                <w:vertAlign w:val="superscript"/>
                <w:rtl/>
              </w:rPr>
              <w:footnoteReference w:id="3"/>
            </w:r>
          </w:p>
          <w:p w14:paraId="629EA94E" w14:textId="77777777" w:rsidR="006F59E7" w:rsidRDefault="006F59E7" w:rsidP="004E1C22">
            <w:pPr>
              <w:bidi/>
              <w:spacing w:line="276" w:lineRule="auto"/>
              <w:rPr>
                <w:rFonts w:asciiTheme="minorBidi" w:hAnsiTheme="minorBidi"/>
                <w:rtl/>
              </w:rPr>
            </w:pPr>
          </w:p>
        </w:tc>
      </w:tr>
      <w:tr w:rsidR="006F59E7" w14:paraId="6D15C58C" w14:textId="77777777" w:rsidTr="004E1C22">
        <w:tc>
          <w:tcPr>
            <w:tcW w:w="4675" w:type="dxa"/>
          </w:tcPr>
          <w:p w14:paraId="42A1C6F3" w14:textId="77777777" w:rsidR="00B57E6C" w:rsidRPr="00B57E6C" w:rsidRDefault="00B57E6C" w:rsidP="00B57E6C">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lang w:eastAsia="zh-CN" w:bidi="ar-SA"/>
              </w:rPr>
              <w:lastRenderedPageBreak/>
              <w:t xml:space="preserve">This might suggest that the banishment was motivated by a concern for contagion, yet there is no hint in Priestly texts that this banishment was motivated by a fear of infection! In fact, the divine imperative mandating the banishment of lepers, </w:t>
            </w:r>
            <w:proofErr w:type="spellStart"/>
            <w:r w:rsidRPr="00B57E6C">
              <w:rPr>
                <w:rFonts w:ascii="Times New Roman" w:eastAsia="Times New Roman" w:hAnsi="Times New Roman" w:cs="Times New Roman"/>
                <w:color w:val="000000"/>
                <w:sz w:val="16"/>
                <w:szCs w:val="16"/>
                <w:lang w:eastAsia="zh-CN" w:bidi="ar-SA"/>
              </w:rPr>
              <w:t>gonorrheics</w:t>
            </w:r>
            <w:proofErr w:type="spellEnd"/>
            <w:r w:rsidRPr="00B57E6C">
              <w:rPr>
                <w:rFonts w:ascii="Times New Roman" w:eastAsia="Times New Roman" w:hAnsi="Times New Roman" w:cs="Times New Roman"/>
                <w:color w:val="000000"/>
                <w:sz w:val="16"/>
                <w:szCs w:val="16"/>
                <w:lang w:eastAsia="zh-CN" w:bidi="ar-SA"/>
              </w:rPr>
              <w:t xml:space="preserve"> and bearers of corpse impurity from the Israelite camp in Numbers 5:3 gives an entirely different rationale:</w:t>
            </w:r>
          </w:p>
          <w:p w14:paraId="22D04DF6" w14:textId="77777777" w:rsidR="006F59E7" w:rsidRPr="004E1C22" w:rsidRDefault="006F59E7" w:rsidP="004E1C22">
            <w:pPr>
              <w:spacing w:line="276" w:lineRule="auto"/>
              <w:rPr>
                <w:rFonts w:asciiTheme="minorBidi" w:hAnsiTheme="minorBidi"/>
              </w:rPr>
            </w:pPr>
          </w:p>
        </w:tc>
        <w:tc>
          <w:tcPr>
            <w:tcW w:w="4675" w:type="dxa"/>
          </w:tcPr>
          <w:p w14:paraId="05F71EF7"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ייתכן שנרמז כאן שההרחקה נבעה מחשש להדבקה, אך אין כל רמז בטקסטים כוהניים שהרחקה זו נבעה מחשש להדבקה! יתר על כן, הצו האלוקי המורה על הרחקת מצורעים, זבים וטמאי מת ממחנה ישראל בספר דברים 3:5 נותן טעם שונה לגמרי:</w:t>
            </w:r>
          </w:p>
          <w:p w14:paraId="2C4BA56B" w14:textId="77777777" w:rsidR="006F59E7" w:rsidRDefault="006F59E7" w:rsidP="004E1C22">
            <w:pPr>
              <w:bidi/>
              <w:spacing w:line="276" w:lineRule="auto"/>
              <w:rPr>
                <w:rFonts w:asciiTheme="minorBidi" w:hAnsiTheme="minorBidi"/>
                <w:rtl/>
              </w:rPr>
            </w:pPr>
          </w:p>
        </w:tc>
      </w:tr>
      <w:tr w:rsidR="006F59E7" w14:paraId="10E0B307" w14:textId="77777777" w:rsidTr="004E1C22">
        <w:tc>
          <w:tcPr>
            <w:tcW w:w="4675" w:type="dxa"/>
          </w:tcPr>
          <w:p w14:paraId="5859C84B" w14:textId="77777777" w:rsidR="00B57E6C" w:rsidRPr="00B57E6C" w:rsidRDefault="00B57E6C" w:rsidP="00B57E6C">
            <w:pPr>
              <w:shd w:val="clear" w:color="auto" w:fill="FFFFFF"/>
              <w:bidi/>
              <w:spacing w:after="100" w:line="290" w:lineRule="atLeast"/>
              <w:textAlignment w:val="top"/>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rtl/>
                <w:lang w:eastAsia="zh-CN"/>
              </w:rPr>
              <w:t xml:space="preserve">וְלֹא יְטַמְּאוּ אֶת </w:t>
            </w:r>
            <w:proofErr w:type="spellStart"/>
            <w:r w:rsidRPr="00B57E6C">
              <w:rPr>
                <w:rFonts w:ascii="Times New Roman" w:eastAsia="Times New Roman" w:hAnsi="Times New Roman" w:cs="Times New Roman"/>
                <w:color w:val="000000"/>
                <w:sz w:val="16"/>
                <w:szCs w:val="16"/>
                <w:rtl/>
                <w:lang w:eastAsia="zh-CN"/>
              </w:rPr>
              <w:t>מַחֲנֵיהֶם</w:t>
            </w:r>
            <w:proofErr w:type="spellEnd"/>
            <w:r w:rsidRPr="00B57E6C">
              <w:rPr>
                <w:rFonts w:ascii="Times New Roman" w:eastAsia="Times New Roman" w:hAnsi="Times New Roman" w:cs="Times New Roman"/>
                <w:color w:val="000000"/>
                <w:sz w:val="16"/>
                <w:szCs w:val="16"/>
                <w:rtl/>
                <w:lang w:eastAsia="zh-CN"/>
              </w:rPr>
              <w:t xml:space="preserve"> אֲשֶׁר אֲנִי שֹׁכֵן בְּתוֹכָם.</w:t>
            </w:r>
          </w:p>
          <w:p w14:paraId="0765D57E" w14:textId="77777777" w:rsidR="00B57E6C" w:rsidRPr="00B57E6C" w:rsidRDefault="00B57E6C" w:rsidP="00B57E6C">
            <w:pPr>
              <w:shd w:val="clear" w:color="auto" w:fill="FFFFFF"/>
              <w:spacing w:line="262" w:lineRule="atLeast"/>
              <w:rPr>
                <w:rFonts w:ascii="Times New Roman" w:eastAsia="Times New Roman" w:hAnsi="Times New Roman" w:cs="Times New Roman"/>
                <w:color w:val="000000"/>
                <w:sz w:val="14"/>
                <w:szCs w:val="14"/>
                <w:rtl/>
                <w:lang w:eastAsia="zh-CN" w:bidi="ar-SA"/>
              </w:rPr>
            </w:pPr>
            <w:r w:rsidRPr="00B57E6C">
              <w:rPr>
                <w:rFonts w:ascii="Times New Roman" w:eastAsia="Times New Roman" w:hAnsi="Times New Roman" w:cs="Times New Roman"/>
                <w:color w:val="000000"/>
                <w:sz w:val="14"/>
                <w:szCs w:val="14"/>
                <w:lang w:eastAsia="zh-CN" w:bidi="ar-SA"/>
              </w:rPr>
              <w:t> </w:t>
            </w:r>
          </w:p>
          <w:p w14:paraId="68BBF9FE" w14:textId="77777777" w:rsidR="00B57E6C" w:rsidRPr="00B57E6C" w:rsidRDefault="00B57E6C" w:rsidP="00B57E6C">
            <w:pPr>
              <w:shd w:val="clear" w:color="auto" w:fill="FFFFFF"/>
              <w:spacing w:line="290" w:lineRule="atLeast"/>
              <w:textAlignment w:val="top"/>
              <w:rPr>
                <w:rFonts w:ascii="Times New Roman" w:eastAsia="Times New Roman" w:hAnsi="Times New Roman" w:cs="Times New Roman"/>
                <w:color w:val="000000"/>
                <w:sz w:val="14"/>
                <w:szCs w:val="14"/>
                <w:lang w:eastAsia="zh-CN" w:bidi="ar-SA"/>
              </w:rPr>
            </w:pPr>
            <w:r w:rsidRPr="00B57E6C">
              <w:rPr>
                <w:rFonts w:ascii="Times New Roman" w:eastAsia="Times New Roman" w:hAnsi="Times New Roman" w:cs="Times New Roman"/>
                <w:color w:val="000000"/>
                <w:sz w:val="14"/>
                <w:szCs w:val="14"/>
                <w:lang w:eastAsia="zh-CN" w:bidi="ar-SA"/>
              </w:rPr>
              <w:t>So that they do not defile the camp of those in whose midst I dwell.</w:t>
            </w:r>
          </w:p>
          <w:p w14:paraId="63997EE7" w14:textId="77777777" w:rsidR="006F59E7" w:rsidRPr="004E1C22" w:rsidRDefault="006F59E7" w:rsidP="00B57E6C">
            <w:pPr>
              <w:shd w:val="clear" w:color="auto" w:fill="FFFFFF"/>
              <w:spacing w:line="290" w:lineRule="atLeast"/>
              <w:textAlignment w:val="top"/>
              <w:rPr>
                <w:rFonts w:asciiTheme="minorBidi" w:hAnsiTheme="minorBidi"/>
              </w:rPr>
            </w:pPr>
          </w:p>
        </w:tc>
        <w:tc>
          <w:tcPr>
            <w:tcW w:w="4675" w:type="dxa"/>
          </w:tcPr>
          <w:p w14:paraId="24084BCB"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 xml:space="preserve">ולא יטמאו את </w:t>
            </w:r>
            <w:proofErr w:type="spellStart"/>
            <w:r w:rsidRPr="00A00195">
              <w:rPr>
                <w:rFonts w:ascii="David" w:eastAsia="Calibri" w:hAnsi="David" w:cs="David" w:hint="cs"/>
                <w:sz w:val="24"/>
                <w:szCs w:val="24"/>
                <w:rtl/>
              </w:rPr>
              <w:t>מחניהם</w:t>
            </w:r>
            <w:proofErr w:type="spellEnd"/>
            <w:r w:rsidRPr="00A00195">
              <w:rPr>
                <w:rFonts w:ascii="David" w:eastAsia="Calibri" w:hAnsi="David" w:cs="David" w:hint="cs"/>
                <w:sz w:val="24"/>
                <w:szCs w:val="24"/>
                <w:rtl/>
              </w:rPr>
              <w:t xml:space="preserve"> אשר אני שכן בתוכם.</w:t>
            </w:r>
          </w:p>
          <w:p w14:paraId="12A64CE5" w14:textId="77777777" w:rsidR="006F59E7" w:rsidRDefault="006F59E7" w:rsidP="004E1C22">
            <w:pPr>
              <w:bidi/>
              <w:spacing w:line="276" w:lineRule="auto"/>
              <w:rPr>
                <w:rFonts w:asciiTheme="minorBidi" w:hAnsiTheme="minorBidi"/>
                <w:rtl/>
              </w:rPr>
            </w:pPr>
          </w:p>
        </w:tc>
      </w:tr>
      <w:tr w:rsidR="00B57E6C" w14:paraId="14761981" w14:textId="77777777" w:rsidTr="004E1C22">
        <w:tc>
          <w:tcPr>
            <w:tcW w:w="4675" w:type="dxa"/>
          </w:tcPr>
          <w:p w14:paraId="71C981C5" w14:textId="77777777" w:rsidR="00B57E6C" w:rsidRPr="00B57E6C" w:rsidRDefault="00B57E6C" w:rsidP="00B57E6C">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lang w:eastAsia="zh-CN" w:bidi="ar-SA"/>
              </w:rPr>
              <w:t>Similarly, the corpus of purity laws in Leviticus 11–15 concludes with the rationale (15:31):</w:t>
            </w:r>
          </w:p>
          <w:p w14:paraId="5A844D44" w14:textId="77777777" w:rsidR="00B57E6C" w:rsidRPr="00B57E6C" w:rsidRDefault="00B57E6C" w:rsidP="00B57E6C">
            <w:pPr>
              <w:shd w:val="clear" w:color="auto" w:fill="FFFFFF"/>
              <w:bidi/>
              <w:spacing w:after="100" w:line="290" w:lineRule="atLeast"/>
              <w:textAlignment w:val="top"/>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rtl/>
                <w:lang w:eastAsia="zh-CN"/>
              </w:rPr>
              <w:t xml:space="preserve">וְהִזַּרְתֶּם אֶת בְּנֵי יִשְׂרָאֵל </w:t>
            </w:r>
            <w:proofErr w:type="spellStart"/>
            <w:r w:rsidRPr="00B57E6C">
              <w:rPr>
                <w:rFonts w:ascii="Times New Roman" w:eastAsia="Times New Roman" w:hAnsi="Times New Roman" w:cs="Times New Roman"/>
                <w:color w:val="000000"/>
                <w:sz w:val="16"/>
                <w:szCs w:val="16"/>
                <w:rtl/>
                <w:lang w:eastAsia="zh-CN"/>
              </w:rPr>
              <w:t>מִטֻּמְאָתָם</w:t>
            </w:r>
            <w:proofErr w:type="spellEnd"/>
            <w:r w:rsidRPr="00B57E6C">
              <w:rPr>
                <w:rFonts w:ascii="Times New Roman" w:eastAsia="Times New Roman" w:hAnsi="Times New Roman" w:cs="Times New Roman"/>
                <w:color w:val="000000"/>
                <w:sz w:val="16"/>
                <w:szCs w:val="16"/>
                <w:rtl/>
                <w:lang w:eastAsia="zh-CN"/>
              </w:rPr>
              <w:t xml:space="preserve"> וְלֹא יָמֻתוּ </w:t>
            </w:r>
            <w:proofErr w:type="spellStart"/>
            <w:r w:rsidRPr="00B57E6C">
              <w:rPr>
                <w:rFonts w:ascii="Times New Roman" w:eastAsia="Times New Roman" w:hAnsi="Times New Roman" w:cs="Times New Roman"/>
                <w:color w:val="000000"/>
                <w:sz w:val="16"/>
                <w:szCs w:val="16"/>
                <w:rtl/>
                <w:lang w:eastAsia="zh-CN"/>
              </w:rPr>
              <w:t>בְּטֻמְאָתָם</w:t>
            </w:r>
            <w:proofErr w:type="spellEnd"/>
            <w:r w:rsidRPr="00B57E6C">
              <w:rPr>
                <w:rFonts w:ascii="Times New Roman" w:eastAsia="Times New Roman" w:hAnsi="Times New Roman" w:cs="Times New Roman"/>
                <w:color w:val="000000"/>
                <w:sz w:val="16"/>
                <w:szCs w:val="16"/>
                <w:rtl/>
                <w:lang w:eastAsia="zh-CN"/>
              </w:rPr>
              <w:t xml:space="preserve"> בְּטַמְּאָם אֶת מִשְׁכָּנִי אֲשֶׁר בְּתוֹכָם.</w:t>
            </w:r>
          </w:p>
          <w:p w14:paraId="20950D6F" w14:textId="77777777" w:rsidR="00B57E6C" w:rsidRPr="00B57E6C" w:rsidRDefault="00B57E6C" w:rsidP="00B57E6C">
            <w:pPr>
              <w:shd w:val="clear" w:color="auto" w:fill="FFFFFF"/>
              <w:spacing w:line="262" w:lineRule="atLeast"/>
              <w:rPr>
                <w:rFonts w:ascii="Times New Roman" w:eastAsia="Times New Roman" w:hAnsi="Times New Roman" w:cs="Times New Roman"/>
                <w:color w:val="000000"/>
                <w:sz w:val="14"/>
                <w:szCs w:val="14"/>
                <w:rtl/>
                <w:lang w:eastAsia="zh-CN" w:bidi="ar-SA"/>
              </w:rPr>
            </w:pPr>
            <w:r w:rsidRPr="00B57E6C">
              <w:rPr>
                <w:rFonts w:ascii="Times New Roman" w:eastAsia="Times New Roman" w:hAnsi="Times New Roman" w:cs="Times New Roman"/>
                <w:color w:val="000000"/>
                <w:sz w:val="14"/>
                <w:szCs w:val="14"/>
                <w:lang w:eastAsia="zh-CN" w:bidi="ar-SA"/>
              </w:rPr>
              <w:t> </w:t>
            </w:r>
          </w:p>
          <w:p w14:paraId="11312C1A" w14:textId="77777777" w:rsidR="00B57E6C" w:rsidRPr="00B57E6C" w:rsidRDefault="00B57E6C" w:rsidP="00B57E6C">
            <w:pPr>
              <w:shd w:val="clear" w:color="auto" w:fill="FFFFFF"/>
              <w:spacing w:line="290" w:lineRule="atLeast"/>
              <w:textAlignment w:val="top"/>
              <w:rPr>
                <w:rFonts w:ascii="Times New Roman" w:eastAsia="Times New Roman" w:hAnsi="Times New Roman" w:cs="Times New Roman"/>
                <w:color w:val="000000"/>
                <w:sz w:val="14"/>
                <w:szCs w:val="14"/>
                <w:lang w:eastAsia="zh-CN" w:bidi="ar-SA"/>
              </w:rPr>
            </w:pPr>
            <w:r w:rsidRPr="00B57E6C">
              <w:rPr>
                <w:rFonts w:ascii="Times New Roman" w:eastAsia="Times New Roman" w:hAnsi="Times New Roman" w:cs="Times New Roman"/>
                <w:color w:val="000000"/>
                <w:sz w:val="14"/>
                <w:szCs w:val="14"/>
                <w:lang w:eastAsia="zh-CN" w:bidi="ar-SA"/>
              </w:rPr>
              <w:t>You shall put the Israelites on guard against their uncleanness, lest they die through their uncleanness by </w:t>
            </w:r>
            <w:r w:rsidRPr="00B57E6C">
              <w:rPr>
                <w:rFonts w:ascii="Times New Roman" w:eastAsia="Times New Roman" w:hAnsi="Times New Roman" w:cs="Times New Roman"/>
                <w:i/>
                <w:iCs/>
                <w:color w:val="000000"/>
                <w:sz w:val="14"/>
                <w:lang w:eastAsia="zh-CN" w:bidi="ar-SA"/>
              </w:rPr>
              <w:t>defiling My Tabernacle</w:t>
            </w:r>
            <w:r w:rsidRPr="00B57E6C">
              <w:rPr>
                <w:rFonts w:ascii="Times New Roman" w:eastAsia="Times New Roman" w:hAnsi="Times New Roman" w:cs="Times New Roman"/>
                <w:color w:val="000000"/>
                <w:sz w:val="14"/>
                <w:szCs w:val="14"/>
                <w:lang w:eastAsia="zh-CN" w:bidi="ar-SA"/>
              </w:rPr>
              <w:t> which is among them.</w:t>
            </w:r>
          </w:p>
          <w:p w14:paraId="26758D94" w14:textId="77777777" w:rsidR="00B57E6C" w:rsidRPr="00B57E6C" w:rsidRDefault="00B57E6C" w:rsidP="00B57E6C">
            <w:pPr>
              <w:shd w:val="clear" w:color="auto" w:fill="FFFFFF"/>
              <w:spacing w:line="290" w:lineRule="atLeast"/>
              <w:textAlignment w:val="top"/>
              <w:rPr>
                <w:rFonts w:ascii="Times New Roman" w:eastAsia="Times New Roman" w:hAnsi="Times New Roman" w:cs="Times New Roman"/>
                <w:color w:val="000000"/>
                <w:sz w:val="14"/>
                <w:szCs w:val="14"/>
                <w:lang w:eastAsia="zh-CN" w:bidi="ar-SA"/>
              </w:rPr>
            </w:pPr>
          </w:p>
          <w:p w14:paraId="2C2FFB53" w14:textId="7F2B6534" w:rsidR="00B57E6C" w:rsidRPr="00B57E6C" w:rsidRDefault="00B57E6C" w:rsidP="00B57E6C">
            <w:pPr>
              <w:shd w:val="clear" w:color="auto" w:fill="FFFFFF"/>
              <w:bidi/>
              <w:spacing w:after="100" w:line="290" w:lineRule="atLeast"/>
              <w:textAlignment w:val="top"/>
              <w:rPr>
                <w:rFonts w:ascii="Times New Roman" w:eastAsia="Times New Roman" w:hAnsi="Times New Roman" w:cs="Times New Roman"/>
                <w:color w:val="000000"/>
                <w:sz w:val="16"/>
                <w:szCs w:val="16"/>
                <w:rtl/>
                <w:lang w:eastAsia="zh-CN"/>
              </w:rPr>
            </w:pPr>
          </w:p>
        </w:tc>
        <w:tc>
          <w:tcPr>
            <w:tcW w:w="4675" w:type="dxa"/>
          </w:tcPr>
          <w:p w14:paraId="4FABC26D"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באופן דומה, קובץ חוקי הטהרה בספר ויקרא 11–15 מסתיים בטעם הבא (31:15):</w:t>
            </w:r>
          </w:p>
          <w:p w14:paraId="0B4E9FA0"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 xml:space="preserve">והזרתם את בני ישראל </w:t>
            </w:r>
            <w:proofErr w:type="spellStart"/>
            <w:r w:rsidRPr="00A00195">
              <w:rPr>
                <w:rFonts w:ascii="David" w:eastAsia="Calibri" w:hAnsi="David" w:cs="David" w:hint="cs"/>
                <w:sz w:val="24"/>
                <w:szCs w:val="24"/>
                <w:rtl/>
              </w:rPr>
              <w:t>מטמאתם</w:t>
            </w:r>
            <w:proofErr w:type="spellEnd"/>
            <w:r w:rsidRPr="00A00195">
              <w:rPr>
                <w:rFonts w:ascii="David" w:eastAsia="Calibri" w:hAnsi="David" w:cs="David" w:hint="cs"/>
                <w:sz w:val="24"/>
                <w:szCs w:val="24"/>
                <w:rtl/>
              </w:rPr>
              <w:t xml:space="preserve"> ולא ימתו </w:t>
            </w:r>
            <w:proofErr w:type="spellStart"/>
            <w:r w:rsidRPr="00A00195">
              <w:rPr>
                <w:rFonts w:ascii="David" w:eastAsia="Calibri" w:hAnsi="David" w:cs="David" w:hint="cs"/>
                <w:sz w:val="24"/>
                <w:szCs w:val="24"/>
                <w:rtl/>
              </w:rPr>
              <w:t>בטמאתם</w:t>
            </w:r>
            <w:proofErr w:type="spellEnd"/>
            <w:r w:rsidRPr="00A00195">
              <w:rPr>
                <w:rFonts w:ascii="David" w:eastAsia="Calibri" w:hAnsi="David" w:cs="David" w:hint="cs"/>
                <w:sz w:val="24"/>
                <w:szCs w:val="24"/>
                <w:rtl/>
              </w:rPr>
              <w:t xml:space="preserve"> בטמאם את משכני אשר בתוכם.</w:t>
            </w:r>
          </w:p>
          <w:p w14:paraId="47C966B5" w14:textId="77777777" w:rsidR="00B57E6C" w:rsidRDefault="00B57E6C" w:rsidP="004E1C22">
            <w:pPr>
              <w:bidi/>
              <w:spacing w:line="276" w:lineRule="auto"/>
              <w:rPr>
                <w:rFonts w:asciiTheme="minorBidi" w:hAnsiTheme="minorBidi"/>
                <w:rtl/>
              </w:rPr>
            </w:pPr>
          </w:p>
        </w:tc>
      </w:tr>
      <w:tr w:rsidR="006F59E7" w14:paraId="5C664F64" w14:textId="77777777" w:rsidTr="004E1C22">
        <w:tc>
          <w:tcPr>
            <w:tcW w:w="4675" w:type="dxa"/>
          </w:tcPr>
          <w:p w14:paraId="3ED35010" w14:textId="77777777" w:rsidR="00B57E6C" w:rsidRPr="00B57E6C" w:rsidRDefault="00B57E6C" w:rsidP="00B57E6C">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B57E6C">
              <w:rPr>
                <w:rFonts w:ascii="Times New Roman" w:eastAsia="Times New Roman" w:hAnsi="Times New Roman" w:cs="Times New Roman"/>
                <w:color w:val="000000"/>
                <w:sz w:val="16"/>
                <w:szCs w:val="16"/>
                <w:lang w:eastAsia="zh-CN" w:bidi="ar-SA"/>
              </w:rPr>
              <w:t>In other words, the motivation for these purity laws is a concern for maintaining the purity of the site of the divine presence, and not – as one might have supposed – an underlying fear of infection. Nevertheless, might this be a post-facto rationale that is covering up the more ancient motives underlying these purity practices?</w:t>
            </w:r>
          </w:p>
          <w:p w14:paraId="410FB89E" w14:textId="77777777" w:rsidR="006F59E7" w:rsidRPr="004E1C22" w:rsidRDefault="006F59E7" w:rsidP="004E1C22">
            <w:pPr>
              <w:spacing w:line="276" w:lineRule="auto"/>
              <w:rPr>
                <w:rFonts w:asciiTheme="minorBidi" w:hAnsiTheme="minorBidi"/>
              </w:rPr>
            </w:pPr>
          </w:p>
        </w:tc>
        <w:tc>
          <w:tcPr>
            <w:tcW w:w="4675" w:type="dxa"/>
          </w:tcPr>
          <w:p w14:paraId="036A7DE0" w14:textId="77777777" w:rsidR="00A00195" w:rsidRPr="00A00195" w:rsidRDefault="00A00195" w:rsidP="00A00195">
            <w:pPr>
              <w:bidi/>
              <w:spacing w:line="360" w:lineRule="auto"/>
              <w:rPr>
                <w:rFonts w:ascii="David" w:eastAsia="Calibri" w:hAnsi="David" w:cs="David"/>
                <w:sz w:val="24"/>
                <w:szCs w:val="24"/>
                <w:rtl/>
              </w:rPr>
            </w:pPr>
            <w:r w:rsidRPr="00A00195">
              <w:rPr>
                <w:rFonts w:ascii="David" w:eastAsia="Calibri" w:hAnsi="David" w:cs="David" w:hint="cs"/>
                <w:sz w:val="24"/>
                <w:szCs w:val="24"/>
                <w:rtl/>
              </w:rPr>
              <w:t xml:space="preserve">כלומר, המניע לחוקי טהרה אלה הוא דאגה לקיום הטהרה של מקום הנוכחות האלוקית, ולא </w:t>
            </w:r>
            <w:r w:rsidRPr="00A00195">
              <w:rPr>
                <w:rFonts w:ascii="David" w:eastAsia="Calibri" w:hAnsi="David" w:cs="David"/>
                <w:sz w:val="24"/>
                <w:szCs w:val="24"/>
                <w:rtl/>
              </w:rPr>
              <w:t>–</w:t>
            </w:r>
            <w:r w:rsidRPr="00A00195">
              <w:rPr>
                <w:rFonts w:ascii="David" w:eastAsia="Calibri" w:hAnsi="David" w:cs="David" w:hint="cs"/>
                <w:sz w:val="24"/>
                <w:szCs w:val="24"/>
                <w:rtl/>
              </w:rPr>
              <w:t xml:space="preserve"> כפי שאפשר היה להניח </w:t>
            </w:r>
            <w:r w:rsidRPr="00A00195">
              <w:rPr>
                <w:rFonts w:ascii="David" w:eastAsia="Calibri" w:hAnsi="David" w:cs="David"/>
                <w:sz w:val="24"/>
                <w:szCs w:val="24"/>
                <w:rtl/>
              </w:rPr>
              <w:t>–</w:t>
            </w:r>
            <w:r w:rsidRPr="00A00195">
              <w:rPr>
                <w:rFonts w:ascii="David" w:eastAsia="Calibri" w:hAnsi="David" w:cs="David" w:hint="cs"/>
                <w:sz w:val="24"/>
                <w:szCs w:val="24"/>
                <w:rtl/>
              </w:rPr>
              <w:t xml:space="preserve"> חשש מוסתר מהדבקה. על אף זאת, האם מדובר ברציונל פוסט פקטו המחפה על מניעים עתיקים יותר המונחים ביסוד מנהגי טהרה אלה?</w:t>
            </w:r>
          </w:p>
          <w:p w14:paraId="132A64B6" w14:textId="77777777" w:rsidR="006F59E7" w:rsidRDefault="006F59E7" w:rsidP="004E1C22">
            <w:pPr>
              <w:bidi/>
              <w:spacing w:line="276" w:lineRule="auto"/>
              <w:rPr>
                <w:rFonts w:asciiTheme="minorBidi" w:hAnsiTheme="minorBidi"/>
                <w:rtl/>
              </w:rPr>
            </w:pPr>
          </w:p>
        </w:tc>
      </w:tr>
      <w:tr w:rsidR="006F59E7" w14:paraId="27F3B08E" w14:textId="77777777" w:rsidTr="004E1C22">
        <w:tc>
          <w:tcPr>
            <w:tcW w:w="4675" w:type="dxa"/>
          </w:tcPr>
          <w:p w14:paraId="34CA3F19" w14:textId="77777777" w:rsidR="006E412A" w:rsidRPr="006E412A" w:rsidRDefault="006E412A" w:rsidP="006E412A">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r w:rsidRPr="006E412A">
              <w:rPr>
                <w:rFonts w:ascii="Times New Roman" w:eastAsia="Times New Roman" w:hAnsi="Times New Roman" w:cs="Times New Roman"/>
                <w:color w:val="000000"/>
                <w:sz w:val="23"/>
                <w:szCs w:val="23"/>
                <w:lang w:eastAsia="zh-CN" w:bidi="ar-SA"/>
              </w:rPr>
              <w:t>A Mesopotamian Parallel: </w:t>
            </w:r>
            <w:proofErr w:type="spellStart"/>
            <w:r w:rsidRPr="006E412A">
              <w:rPr>
                <w:rFonts w:ascii="Times New Roman" w:eastAsia="Times New Roman" w:hAnsi="Times New Roman" w:cs="Times New Roman"/>
                <w:i/>
                <w:iCs/>
                <w:color w:val="000000"/>
                <w:sz w:val="23"/>
                <w:lang w:eastAsia="zh-CN" w:bidi="ar-SA"/>
              </w:rPr>
              <w:t>Saḫaršubbû</w:t>
            </w:r>
            <w:proofErr w:type="spellEnd"/>
          </w:p>
          <w:p w14:paraId="4DE362F8" w14:textId="77777777" w:rsidR="006E412A" w:rsidRPr="006E412A" w:rsidRDefault="006E412A" w:rsidP="006E412A">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6E412A">
              <w:rPr>
                <w:rFonts w:ascii="Times New Roman" w:eastAsia="Times New Roman" w:hAnsi="Times New Roman" w:cs="Times New Roman"/>
                <w:color w:val="000000"/>
                <w:sz w:val="16"/>
                <w:szCs w:val="16"/>
                <w:lang w:eastAsia="zh-CN" w:bidi="ar-SA"/>
              </w:rPr>
              <w:t>Before addressing this question, it is important to point out that biblical leprosy shares many characteristics with the Akkadian disease called </w:t>
            </w:r>
            <w:proofErr w:type="spellStart"/>
            <w:r w:rsidRPr="006E412A">
              <w:rPr>
                <w:rFonts w:ascii="Times New Roman" w:eastAsia="Times New Roman" w:hAnsi="Times New Roman" w:cs="Times New Roman"/>
                <w:i/>
                <w:iCs/>
                <w:color w:val="000000"/>
                <w:sz w:val="16"/>
                <w:lang w:eastAsia="zh-CN" w:bidi="ar-SA"/>
              </w:rPr>
              <w:t>saḫaršubbû</w:t>
            </w:r>
            <w:proofErr w:type="spellEnd"/>
            <w:r w:rsidRPr="006E412A">
              <w:rPr>
                <w:rFonts w:ascii="Times New Roman" w:eastAsia="Times New Roman" w:hAnsi="Times New Roman" w:cs="Times New Roman"/>
                <w:i/>
                <w:iCs/>
                <w:color w:val="000000"/>
                <w:sz w:val="16"/>
                <w:lang w:eastAsia="zh-CN" w:bidi="ar-SA"/>
              </w:rPr>
              <w:t> </w:t>
            </w:r>
            <w:r w:rsidRPr="006E412A">
              <w:rPr>
                <w:rFonts w:ascii="Times New Roman" w:eastAsia="Times New Roman" w:hAnsi="Times New Roman" w:cs="Times New Roman"/>
                <w:color w:val="000000"/>
                <w:sz w:val="16"/>
                <w:szCs w:val="16"/>
                <w:lang w:eastAsia="zh-CN" w:bidi="ar-SA"/>
              </w:rPr>
              <w:t>(a loanword derived from Sumerian saḫar.šub.ba: “covered with dust”)</w:t>
            </w:r>
            <w:r w:rsidRPr="006E412A">
              <w:rPr>
                <w:rFonts w:ascii="Times New Roman" w:eastAsia="Times New Roman" w:hAnsi="Times New Roman" w:cs="Times New Roman"/>
                <w:i/>
                <w:iCs/>
                <w:color w:val="000000"/>
                <w:sz w:val="16"/>
                <w:lang w:eastAsia="zh-CN" w:bidi="ar-SA"/>
              </w:rPr>
              <w:t>.</w:t>
            </w:r>
            <w:r w:rsidRPr="006E412A">
              <w:rPr>
                <w:rFonts w:ascii="Times New Roman" w:eastAsia="Times New Roman" w:hAnsi="Times New Roman" w:cs="Times New Roman"/>
                <w:color w:val="B22222"/>
                <w:sz w:val="14"/>
                <w:szCs w:val="14"/>
                <w:vertAlign w:val="superscript"/>
                <w:lang w:eastAsia="zh-CN" w:bidi="ar-SA"/>
              </w:rPr>
              <w:t>[4]</w:t>
            </w:r>
            <w:r w:rsidRPr="006E412A">
              <w:rPr>
                <w:rFonts w:ascii="Times New Roman" w:eastAsia="Times New Roman" w:hAnsi="Times New Roman" w:cs="Times New Roman"/>
                <w:color w:val="000000"/>
                <w:sz w:val="16"/>
                <w:szCs w:val="16"/>
                <w:lang w:eastAsia="zh-CN" w:bidi="ar-SA"/>
              </w:rPr>
              <w:t> This highly infectious skin disease is mentioned in numerous texts of various genres (lists of workers, incantations, oath-curses, rituals) from the early second millennium</w:t>
            </w:r>
            <w:r w:rsidRPr="006E412A">
              <w:rPr>
                <w:rFonts w:ascii="Times New Roman" w:eastAsia="Times New Roman" w:hAnsi="Times New Roman" w:cs="Times New Roman"/>
                <w:smallCaps/>
                <w:color w:val="000000"/>
                <w:sz w:val="16"/>
                <w:szCs w:val="16"/>
                <w:lang w:eastAsia="zh-CN" w:bidi="ar-SA"/>
              </w:rPr>
              <w:t> BCE </w:t>
            </w:r>
            <w:r w:rsidRPr="006E412A">
              <w:rPr>
                <w:rFonts w:ascii="Times New Roman" w:eastAsia="Times New Roman" w:hAnsi="Times New Roman" w:cs="Times New Roman"/>
                <w:color w:val="000000"/>
                <w:sz w:val="16"/>
                <w:szCs w:val="16"/>
                <w:lang w:eastAsia="zh-CN" w:bidi="ar-SA"/>
              </w:rPr>
              <w:t>and on.</w:t>
            </w:r>
            <w:r w:rsidRPr="006E412A">
              <w:rPr>
                <w:rFonts w:ascii="Times New Roman" w:eastAsia="Times New Roman" w:hAnsi="Times New Roman" w:cs="Times New Roman"/>
                <w:color w:val="B22222"/>
                <w:sz w:val="14"/>
                <w:szCs w:val="14"/>
                <w:vertAlign w:val="superscript"/>
                <w:lang w:eastAsia="zh-CN" w:bidi="ar-SA"/>
              </w:rPr>
              <w:t>[5]</w:t>
            </w:r>
          </w:p>
          <w:p w14:paraId="743B046F" w14:textId="77777777" w:rsidR="006F59E7" w:rsidRPr="004E1C22" w:rsidRDefault="006F59E7" w:rsidP="004E1C22">
            <w:pPr>
              <w:spacing w:line="276" w:lineRule="auto"/>
              <w:rPr>
                <w:rFonts w:asciiTheme="minorBidi" w:hAnsiTheme="minorBidi"/>
              </w:rPr>
            </w:pPr>
          </w:p>
        </w:tc>
        <w:tc>
          <w:tcPr>
            <w:tcW w:w="4675" w:type="dxa"/>
          </w:tcPr>
          <w:p w14:paraId="58C1D841" w14:textId="77777777" w:rsidR="00A90A14" w:rsidRPr="00A90A14" w:rsidRDefault="00A90A14" w:rsidP="00A90A14">
            <w:pPr>
              <w:shd w:val="clear" w:color="auto" w:fill="FFFFFF"/>
              <w:bidi/>
              <w:spacing w:before="131" w:after="131" w:line="393" w:lineRule="atLeast"/>
              <w:jc w:val="center"/>
              <w:outlineLvl w:val="1"/>
              <w:rPr>
                <w:rFonts w:ascii="Times New Roman" w:eastAsia="Times New Roman" w:hAnsi="Times New Roman" w:cs="Times New Roman"/>
                <w:color w:val="000000"/>
                <w:sz w:val="23"/>
                <w:szCs w:val="23"/>
                <w:rtl/>
                <w:lang w:eastAsia="zh-CN" w:bidi="ar-SA"/>
              </w:rPr>
            </w:pPr>
            <w:r w:rsidRPr="00A90A14">
              <w:rPr>
                <w:rFonts w:ascii="David" w:eastAsia="Calibri" w:hAnsi="David" w:cs="David" w:hint="cs"/>
                <w:sz w:val="24"/>
                <w:szCs w:val="24"/>
                <w:rtl/>
              </w:rPr>
              <w:t xml:space="preserve">מקבילה מסופוטמית: </w:t>
            </w:r>
            <w:proofErr w:type="spellStart"/>
            <w:r w:rsidRPr="00A90A14">
              <w:rPr>
                <w:rFonts w:ascii="Times New Roman" w:eastAsia="Times New Roman" w:hAnsi="Times New Roman" w:cs="Times New Roman"/>
                <w:i/>
                <w:iCs/>
                <w:color w:val="000000"/>
                <w:sz w:val="23"/>
                <w:lang w:eastAsia="zh-CN" w:bidi="ar-SA"/>
              </w:rPr>
              <w:t>Saḫaršubbû</w:t>
            </w:r>
            <w:proofErr w:type="spellEnd"/>
          </w:p>
          <w:p w14:paraId="1F9228B5" w14:textId="77777777" w:rsidR="00A90A14" w:rsidRPr="00A90A14" w:rsidRDefault="00A90A14" w:rsidP="00A90A14">
            <w:pPr>
              <w:shd w:val="clear" w:color="auto" w:fill="FFFFFF"/>
              <w:bidi/>
              <w:spacing w:before="131" w:after="131" w:line="393" w:lineRule="atLeast"/>
              <w:outlineLvl w:val="1"/>
              <w:rPr>
                <w:rFonts w:ascii="David" w:eastAsia="Times New Roman" w:hAnsi="David" w:cs="David"/>
                <w:color w:val="000000"/>
                <w:sz w:val="24"/>
                <w:szCs w:val="24"/>
                <w:rtl/>
                <w:lang w:eastAsia="zh-CN"/>
              </w:rPr>
            </w:pPr>
            <w:r w:rsidRPr="00A90A14">
              <w:rPr>
                <w:rFonts w:ascii="David" w:eastAsia="Times New Roman" w:hAnsi="David" w:cs="David" w:hint="cs"/>
                <w:color w:val="000000"/>
                <w:sz w:val="24"/>
                <w:szCs w:val="24"/>
                <w:rtl/>
                <w:lang w:eastAsia="zh-CN"/>
              </w:rPr>
              <w:t xml:space="preserve">לפני שנתייחס לשאלה זו, חשוב לציין שלצרעת מקראית יש תכונות רבות המשותפות למחלה אכדית בשם </w:t>
            </w:r>
            <w:proofErr w:type="spellStart"/>
            <w:r w:rsidRPr="00A90A14">
              <w:rPr>
                <w:rFonts w:ascii="Times New Roman" w:eastAsia="Times New Roman" w:hAnsi="Times New Roman" w:cs="Times New Roman"/>
                <w:i/>
                <w:iCs/>
                <w:color w:val="000000"/>
                <w:sz w:val="16"/>
                <w:lang w:bidi="ar-SA"/>
              </w:rPr>
              <w:t>saḫaršubbû</w:t>
            </w:r>
            <w:proofErr w:type="spellEnd"/>
            <w:r w:rsidRPr="00A90A14">
              <w:rPr>
                <w:rFonts w:ascii="Times New Roman" w:eastAsia="Times New Roman" w:hAnsi="Times New Roman" w:cs="Times New Roman"/>
                <w:i/>
                <w:iCs/>
                <w:color w:val="000000"/>
                <w:sz w:val="16"/>
                <w:lang w:bidi="ar-SA"/>
              </w:rPr>
              <w:t> </w:t>
            </w:r>
            <w:r w:rsidRPr="00A90A14">
              <w:rPr>
                <w:rFonts w:ascii="David" w:eastAsia="Times New Roman" w:hAnsi="David" w:cs="David" w:hint="cs"/>
                <w:color w:val="000000"/>
                <w:sz w:val="24"/>
                <w:szCs w:val="24"/>
                <w:rtl/>
                <w:lang w:eastAsia="zh-CN"/>
              </w:rPr>
              <w:t xml:space="preserve"> (מילה שאולה מהמילה השומרית </w:t>
            </w:r>
            <w:r w:rsidRPr="00A90A14">
              <w:rPr>
                <w:rFonts w:ascii="Times New Roman" w:eastAsia="Times New Roman" w:hAnsi="Times New Roman" w:cs="Times New Roman"/>
                <w:color w:val="000000"/>
                <w:sz w:val="16"/>
                <w:szCs w:val="16"/>
                <w:lang w:bidi="ar-SA"/>
              </w:rPr>
              <w:t>saḫar.šub.ba:</w:t>
            </w:r>
            <w:r w:rsidRPr="00A90A14">
              <w:rPr>
                <w:rFonts w:ascii="David" w:eastAsia="Times New Roman" w:hAnsi="David" w:cs="David" w:hint="cs"/>
                <w:color w:val="000000"/>
                <w:sz w:val="24"/>
                <w:szCs w:val="24"/>
                <w:rtl/>
                <w:lang w:eastAsia="zh-CN"/>
              </w:rPr>
              <w:t>: "מכוסה באבק").</w:t>
            </w:r>
            <w:r w:rsidRPr="00A90A14">
              <w:rPr>
                <w:rFonts w:ascii="David" w:eastAsia="Times New Roman" w:hAnsi="David" w:cs="David"/>
                <w:color w:val="000000"/>
                <w:sz w:val="24"/>
                <w:szCs w:val="24"/>
                <w:vertAlign w:val="superscript"/>
                <w:rtl/>
                <w:lang w:eastAsia="zh-CN"/>
              </w:rPr>
              <w:footnoteReference w:id="4"/>
            </w:r>
            <w:r w:rsidRPr="00A90A14">
              <w:rPr>
                <w:rFonts w:ascii="David" w:eastAsia="Times New Roman" w:hAnsi="David" w:cs="David" w:hint="cs"/>
                <w:color w:val="000000"/>
                <w:sz w:val="24"/>
                <w:szCs w:val="24"/>
                <w:rtl/>
                <w:lang w:eastAsia="zh-CN"/>
              </w:rPr>
              <w:t xml:space="preserve"> מחלת עור זו המידבקת מאוד מוזכרת בטקסטים רבים מסוגות שונות (רשימות עובדים, לחשים, קללות שבועה, </w:t>
            </w:r>
            <w:r w:rsidRPr="00A90A14">
              <w:rPr>
                <w:rFonts w:ascii="David" w:eastAsia="Times New Roman" w:hAnsi="David" w:cs="David" w:hint="cs"/>
                <w:color w:val="000000"/>
                <w:sz w:val="24"/>
                <w:szCs w:val="24"/>
                <w:rtl/>
                <w:lang w:eastAsia="zh-CN"/>
              </w:rPr>
              <w:lastRenderedPageBreak/>
              <w:t>טקסים) מראשית המילניום השני לפני הספירה והלאה.</w:t>
            </w:r>
            <w:r w:rsidRPr="00A90A14">
              <w:rPr>
                <w:rFonts w:ascii="David" w:eastAsia="Times New Roman" w:hAnsi="David" w:cs="David"/>
                <w:color w:val="000000"/>
                <w:sz w:val="24"/>
                <w:szCs w:val="24"/>
                <w:vertAlign w:val="superscript"/>
                <w:rtl/>
                <w:lang w:eastAsia="zh-CN"/>
              </w:rPr>
              <w:footnoteReference w:id="5"/>
            </w:r>
          </w:p>
          <w:p w14:paraId="172600A6" w14:textId="77777777" w:rsidR="006F59E7" w:rsidRDefault="006F59E7" w:rsidP="004E1C22">
            <w:pPr>
              <w:bidi/>
              <w:spacing w:line="276" w:lineRule="auto"/>
              <w:rPr>
                <w:rFonts w:asciiTheme="minorBidi" w:hAnsiTheme="minorBidi"/>
                <w:rtl/>
              </w:rPr>
            </w:pPr>
          </w:p>
        </w:tc>
      </w:tr>
      <w:tr w:rsidR="006F59E7" w14:paraId="0DB7013D" w14:textId="77777777" w:rsidTr="004E1C22">
        <w:tc>
          <w:tcPr>
            <w:tcW w:w="4675" w:type="dxa"/>
          </w:tcPr>
          <w:p w14:paraId="17484E7E" w14:textId="77777777" w:rsidR="000F3D41" w:rsidRPr="000F3D41" w:rsidRDefault="000F3D41" w:rsidP="000F3D41">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lastRenderedPageBreak/>
              <w:t>The Akkadian term referred to a condition that covered the body of its victim like a garment and led to his stigmatization and banishment from the community. Often the victim was forced to literally roam the steppe. Like </w:t>
            </w:r>
            <w:proofErr w:type="spellStart"/>
            <w:r w:rsidRPr="000F3D41">
              <w:rPr>
                <w:rFonts w:ascii="Times New Roman" w:eastAsia="Times New Roman" w:hAnsi="Times New Roman" w:cs="Times New Roman"/>
                <w:i/>
                <w:iCs/>
                <w:color w:val="000000"/>
                <w:sz w:val="16"/>
                <w:lang w:eastAsia="zh-CN" w:bidi="ar-SA"/>
              </w:rPr>
              <w:t>tzaraat</w:t>
            </w:r>
            <w:proofErr w:type="spellEnd"/>
            <w:r w:rsidRPr="000F3D41">
              <w:rPr>
                <w:rFonts w:ascii="Times New Roman" w:eastAsia="Times New Roman" w:hAnsi="Times New Roman" w:cs="Times New Roman"/>
                <w:i/>
                <w:iCs/>
                <w:color w:val="000000"/>
                <w:sz w:val="16"/>
                <w:lang w:eastAsia="zh-CN" w:bidi="ar-SA"/>
              </w:rPr>
              <w:t> </w:t>
            </w:r>
            <w:r w:rsidRPr="000F3D41">
              <w:rPr>
                <w:rFonts w:ascii="Times New Roman" w:eastAsia="Times New Roman" w:hAnsi="Times New Roman" w:cs="Times New Roman"/>
                <w:color w:val="000000"/>
                <w:sz w:val="16"/>
                <w:szCs w:val="16"/>
                <w:lang w:eastAsia="zh-CN" w:bidi="ar-SA"/>
              </w:rPr>
              <w:t>in non-Priestly biblical sources (Num 12:10; 2 Sam 3:29 2 Kgs 5:27; 2 Chr 26:19–20), it was often viewed as a divine punishment or curse.</w:t>
            </w:r>
            <w:r w:rsidRPr="000F3D41">
              <w:rPr>
                <w:rFonts w:ascii="Times New Roman" w:eastAsia="Times New Roman" w:hAnsi="Times New Roman" w:cs="Times New Roman"/>
                <w:color w:val="B22222"/>
                <w:sz w:val="14"/>
                <w:szCs w:val="14"/>
                <w:vertAlign w:val="superscript"/>
                <w:lang w:eastAsia="zh-CN" w:bidi="ar-SA"/>
              </w:rPr>
              <w:t>[6]</w:t>
            </w:r>
          </w:p>
          <w:p w14:paraId="09B3AC5F" w14:textId="77777777" w:rsidR="006F59E7" w:rsidRPr="004E1C22" w:rsidRDefault="006F59E7" w:rsidP="004E1C22">
            <w:pPr>
              <w:spacing w:line="276" w:lineRule="auto"/>
              <w:rPr>
                <w:rFonts w:asciiTheme="minorBidi" w:hAnsiTheme="minorBidi"/>
              </w:rPr>
            </w:pPr>
          </w:p>
        </w:tc>
        <w:tc>
          <w:tcPr>
            <w:tcW w:w="4675" w:type="dxa"/>
          </w:tcPr>
          <w:p w14:paraId="4259B583" w14:textId="77777777" w:rsidR="00A90A14" w:rsidRPr="00A90A14" w:rsidRDefault="00A90A14" w:rsidP="00A90A14">
            <w:pPr>
              <w:shd w:val="clear" w:color="auto" w:fill="FFFFFF"/>
              <w:bidi/>
              <w:spacing w:before="131" w:after="131" w:line="393" w:lineRule="atLeast"/>
              <w:outlineLvl w:val="1"/>
              <w:rPr>
                <w:rFonts w:ascii="David" w:eastAsia="Calibri" w:hAnsi="David" w:cs="David"/>
                <w:sz w:val="24"/>
                <w:szCs w:val="24"/>
                <w:rtl/>
                <w:lang w:eastAsia="zh-CN"/>
              </w:rPr>
            </w:pPr>
            <w:r w:rsidRPr="00A90A14">
              <w:rPr>
                <w:rFonts w:ascii="David" w:eastAsia="Times New Roman" w:hAnsi="David" w:cs="David" w:hint="cs"/>
                <w:color w:val="000000"/>
                <w:sz w:val="24"/>
                <w:szCs w:val="24"/>
                <w:rtl/>
                <w:lang w:eastAsia="zh-CN"/>
              </w:rPr>
              <w:t>המונח האכדי התייחס למצב רפואי שכיסה את גופו של הקורבן כמו מלבוש והביא להדבקתו באות קלון ולהרחקתו מן הקהילה. לעיתים הוכרח הקורבן לשוטט בערבה פשוטו כמשמעו. כמו צרעת במקורות חוץ-כוהניים (במדבר 10:12; שמואל ב 3: 29; מלכים ב 5: 27; דברי הימים ב 26:</w:t>
            </w:r>
            <w:r w:rsidRPr="00A90A14">
              <w:rPr>
                <w:rFonts w:ascii="David" w:eastAsia="Calibri" w:hAnsi="David" w:cs="David" w:hint="cs"/>
                <w:sz w:val="24"/>
                <w:szCs w:val="24"/>
                <w:rtl/>
              </w:rPr>
              <w:t xml:space="preserve"> 19–20), הוא נתפס לעיתים כעונש או קללה אלוקית.</w:t>
            </w:r>
            <w:r w:rsidRPr="00A90A14">
              <w:rPr>
                <w:rFonts w:ascii="David" w:eastAsia="Calibri" w:hAnsi="David" w:cs="David"/>
                <w:sz w:val="24"/>
                <w:szCs w:val="24"/>
                <w:vertAlign w:val="superscript"/>
                <w:rtl/>
              </w:rPr>
              <w:footnoteReference w:id="6"/>
            </w:r>
          </w:p>
          <w:p w14:paraId="4CE87AAC" w14:textId="77777777" w:rsidR="006F59E7" w:rsidRDefault="006F59E7" w:rsidP="004E1C22">
            <w:pPr>
              <w:bidi/>
              <w:spacing w:line="276" w:lineRule="auto"/>
              <w:rPr>
                <w:rFonts w:asciiTheme="minorBidi" w:hAnsiTheme="minorBidi"/>
                <w:rtl/>
              </w:rPr>
            </w:pPr>
          </w:p>
        </w:tc>
      </w:tr>
      <w:tr w:rsidR="006F59E7" w14:paraId="78974239" w14:textId="77777777" w:rsidTr="004E1C22">
        <w:tc>
          <w:tcPr>
            <w:tcW w:w="4675" w:type="dxa"/>
          </w:tcPr>
          <w:p w14:paraId="59E1715D" w14:textId="77777777" w:rsidR="000F3D41" w:rsidRPr="000F3D41" w:rsidRDefault="000F3D41" w:rsidP="000F3D41">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r w:rsidRPr="000F3D41">
              <w:rPr>
                <w:rFonts w:ascii="Times New Roman" w:eastAsia="Times New Roman" w:hAnsi="Times New Roman" w:cs="Times New Roman"/>
                <w:color w:val="000000"/>
                <w:sz w:val="20"/>
                <w:szCs w:val="20"/>
                <w:lang w:eastAsia="zh-CN" w:bidi="ar-SA"/>
              </w:rPr>
              <w:t>Treating the Patient</w:t>
            </w:r>
          </w:p>
          <w:p w14:paraId="38C6DBF2" w14:textId="77777777" w:rsidR="000F3D41" w:rsidRPr="000F3D41" w:rsidRDefault="000F3D41" w:rsidP="000F3D41">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t>Of particular interest is the only known ritual for the treatment of </w:t>
            </w:r>
            <w:proofErr w:type="spellStart"/>
            <w:r w:rsidRPr="000F3D41">
              <w:rPr>
                <w:rFonts w:ascii="Times New Roman" w:eastAsia="Times New Roman" w:hAnsi="Times New Roman" w:cs="Times New Roman"/>
                <w:i/>
                <w:iCs/>
                <w:color w:val="000000"/>
                <w:sz w:val="16"/>
                <w:lang w:eastAsia="zh-CN" w:bidi="ar-SA"/>
              </w:rPr>
              <w:t>saḫaršubbû</w:t>
            </w:r>
            <w:proofErr w:type="spellEnd"/>
            <w:r w:rsidRPr="000F3D41">
              <w:rPr>
                <w:rFonts w:ascii="Times New Roman" w:eastAsia="Times New Roman" w:hAnsi="Times New Roman" w:cs="Times New Roman"/>
                <w:i/>
                <w:iCs/>
                <w:color w:val="000000"/>
                <w:sz w:val="16"/>
                <w:lang w:eastAsia="zh-CN" w:bidi="ar-SA"/>
              </w:rPr>
              <w:t>. </w:t>
            </w:r>
            <w:r w:rsidRPr="000F3D41">
              <w:rPr>
                <w:rFonts w:ascii="Times New Roman" w:eastAsia="Times New Roman" w:hAnsi="Times New Roman" w:cs="Times New Roman"/>
                <w:color w:val="000000"/>
                <w:sz w:val="16"/>
                <w:szCs w:val="16"/>
                <w:lang w:eastAsia="zh-CN" w:bidi="ar-SA"/>
              </w:rPr>
              <w:t xml:space="preserve">This ritual was found on a single tablet composed in </w:t>
            </w:r>
            <w:proofErr w:type="spellStart"/>
            <w:r w:rsidRPr="000F3D41">
              <w:rPr>
                <w:rFonts w:ascii="Times New Roman" w:eastAsia="Times New Roman" w:hAnsi="Times New Roman" w:cs="Times New Roman"/>
                <w:color w:val="000000"/>
                <w:sz w:val="16"/>
                <w:szCs w:val="16"/>
                <w:lang w:eastAsia="zh-CN" w:bidi="ar-SA"/>
              </w:rPr>
              <w:t>Emar</w:t>
            </w:r>
            <w:proofErr w:type="spellEnd"/>
            <w:r w:rsidRPr="000F3D41">
              <w:rPr>
                <w:rFonts w:ascii="Times New Roman" w:eastAsia="Times New Roman" w:hAnsi="Times New Roman" w:cs="Times New Roman"/>
                <w:color w:val="000000"/>
                <w:sz w:val="16"/>
                <w:szCs w:val="16"/>
                <w:lang w:eastAsia="zh-CN" w:bidi="ar-SA"/>
              </w:rPr>
              <w:t xml:space="preserve"> (located on the bend of the Euphrates River in Syria) in the 13</w:t>
            </w:r>
            <w:r w:rsidRPr="000F3D41">
              <w:rPr>
                <w:rFonts w:ascii="Times New Roman" w:eastAsia="Times New Roman" w:hAnsi="Times New Roman" w:cs="Times New Roman"/>
                <w:color w:val="000000"/>
                <w:sz w:val="12"/>
                <w:szCs w:val="12"/>
                <w:vertAlign w:val="superscript"/>
                <w:lang w:eastAsia="zh-CN" w:bidi="ar-SA"/>
              </w:rPr>
              <w:t>th</w:t>
            </w:r>
            <w:r w:rsidRPr="000F3D41">
              <w:rPr>
                <w:rFonts w:ascii="Times New Roman" w:eastAsia="Times New Roman" w:hAnsi="Times New Roman" w:cs="Times New Roman"/>
                <w:color w:val="000000"/>
                <w:sz w:val="16"/>
                <w:szCs w:val="16"/>
                <w:lang w:eastAsia="zh-CN" w:bidi="ar-SA"/>
              </w:rPr>
              <w:t> cent. BCE,</w:t>
            </w:r>
            <w:r w:rsidRPr="000F3D41">
              <w:rPr>
                <w:rFonts w:ascii="Times New Roman" w:eastAsia="Times New Roman" w:hAnsi="Times New Roman" w:cs="Times New Roman"/>
                <w:color w:val="B22222"/>
                <w:sz w:val="14"/>
                <w:szCs w:val="14"/>
                <w:vertAlign w:val="superscript"/>
                <w:lang w:eastAsia="zh-CN" w:bidi="ar-SA"/>
              </w:rPr>
              <w:t>[7]</w:t>
            </w:r>
            <w:r w:rsidRPr="000F3D41">
              <w:rPr>
                <w:rFonts w:ascii="Times New Roman" w:eastAsia="Times New Roman" w:hAnsi="Times New Roman" w:cs="Times New Roman"/>
                <w:color w:val="000000"/>
                <w:sz w:val="16"/>
                <w:szCs w:val="16"/>
                <w:lang w:eastAsia="zh-CN" w:bidi="ar-SA"/>
              </w:rPr>
              <w:t> where several other important ritual comparisons were found.</w:t>
            </w:r>
            <w:r w:rsidRPr="000F3D41">
              <w:rPr>
                <w:rFonts w:ascii="Times New Roman" w:eastAsia="Times New Roman" w:hAnsi="Times New Roman" w:cs="Times New Roman"/>
                <w:color w:val="B22222"/>
                <w:sz w:val="14"/>
                <w:szCs w:val="14"/>
                <w:vertAlign w:val="superscript"/>
                <w:lang w:eastAsia="zh-CN" w:bidi="ar-SA"/>
              </w:rPr>
              <w:t>[8]</w:t>
            </w:r>
            <w:r w:rsidRPr="000F3D41">
              <w:rPr>
                <w:rFonts w:ascii="Times New Roman" w:eastAsia="Times New Roman" w:hAnsi="Times New Roman" w:cs="Times New Roman"/>
                <w:color w:val="000000"/>
                <w:sz w:val="16"/>
                <w:szCs w:val="16"/>
                <w:lang w:eastAsia="zh-CN" w:bidi="ar-SA"/>
              </w:rPr>
              <w:t> This text contains three sections, consisting of an incantation, treatments, and a rite following recovery. The medical treatment section distinguishes between different types of the disease and offers specific instructions for each one, focusing on different skin discolorations (white, yellow, red, black and different combinations). Each one is followed by its appropriate treatment. For example, the text states that,</w:t>
            </w:r>
          </w:p>
          <w:p w14:paraId="3FF0AC14" w14:textId="77777777" w:rsidR="000F3D41" w:rsidRPr="000F3D41" w:rsidRDefault="000F3D41" w:rsidP="000F3D41">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t>[If] the </w:t>
            </w:r>
            <w:proofErr w:type="spellStart"/>
            <w:r w:rsidRPr="000F3D41">
              <w:rPr>
                <w:rFonts w:ascii="Times New Roman" w:eastAsia="Times New Roman" w:hAnsi="Times New Roman" w:cs="Times New Roman"/>
                <w:i/>
                <w:iCs/>
                <w:color w:val="000000"/>
                <w:sz w:val="16"/>
                <w:lang w:eastAsia="zh-CN" w:bidi="ar-SA"/>
              </w:rPr>
              <w:t>saḫaršubbû</w:t>
            </w:r>
            <w:proofErr w:type="spellEnd"/>
            <w:r w:rsidRPr="000F3D41">
              <w:rPr>
                <w:rFonts w:ascii="Times New Roman" w:eastAsia="Times New Roman" w:hAnsi="Times New Roman" w:cs="Times New Roman"/>
                <w:color w:val="000000"/>
                <w:sz w:val="16"/>
                <w:szCs w:val="16"/>
                <w:lang w:eastAsia="zh-CN" w:bidi="ar-SA"/>
              </w:rPr>
              <w:t xml:space="preserve"> is yellow and red, it is the hand of (the moon god) </w:t>
            </w:r>
            <w:proofErr w:type="spellStart"/>
            <w:r w:rsidRPr="000F3D41">
              <w:rPr>
                <w:rFonts w:ascii="Times New Roman" w:eastAsia="Times New Roman" w:hAnsi="Times New Roman" w:cs="Times New Roman"/>
                <w:color w:val="000000"/>
                <w:sz w:val="16"/>
                <w:szCs w:val="16"/>
                <w:lang w:eastAsia="zh-CN" w:bidi="ar-SA"/>
              </w:rPr>
              <w:t>Sîn</w:t>
            </w:r>
            <w:proofErr w:type="spellEnd"/>
            <w:r w:rsidRPr="000F3D41">
              <w:rPr>
                <w:rFonts w:ascii="Times New Roman" w:eastAsia="Times New Roman" w:hAnsi="Times New Roman" w:cs="Times New Roman"/>
                <w:color w:val="000000"/>
                <w:sz w:val="16"/>
                <w:szCs w:val="16"/>
                <w:lang w:eastAsia="zh-CN" w:bidi="ar-SA"/>
              </w:rPr>
              <w:t xml:space="preserve">. To remove it, you should </w:t>
            </w:r>
            <w:proofErr w:type="spellStart"/>
            <w:proofErr w:type="gramStart"/>
            <w:r w:rsidRPr="000F3D41">
              <w:rPr>
                <w:rFonts w:ascii="Times New Roman" w:eastAsia="Times New Roman" w:hAnsi="Times New Roman" w:cs="Times New Roman"/>
                <w:color w:val="000000"/>
                <w:sz w:val="16"/>
                <w:szCs w:val="16"/>
                <w:lang w:eastAsia="zh-CN" w:bidi="ar-SA"/>
              </w:rPr>
              <w:t>anoin</w:t>
            </w:r>
            <w:proofErr w:type="spellEnd"/>
            <w:r w:rsidRPr="000F3D41">
              <w:rPr>
                <w:rFonts w:ascii="Times New Roman" w:eastAsia="Times New Roman" w:hAnsi="Times New Roman" w:cs="Times New Roman"/>
                <w:color w:val="000000"/>
                <w:sz w:val="16"/>
                <w:szCs w:val="16"/>
                <w:lang w:eastAsia="zh-CN" w:bidi="ar-SA"/>
              </w:rPr>
              <w:t>[</w:t>
            </w:r>
            <w:proofErr w:type="gramEnd"/>
            <w:r w:rsidRPr="000F3D41">
              <w:rPr>
                <w:rFonts w:ascii="Times New Roman" w:eastAsia="Times New Roman" w:hAnsi="Times New Roman" w:cs="Times New Roman"/>
                <w:color w:val="000000"/>
                <w:sz w:val="16"/>
                <w:szCs w:val="16"/>
                <w:lang w:eastAsia="zh-CN" w:bidi="ar-SA"/>
              </w:rPr>
              <w:t>t him] with human semen for seven days [and he will recover] (line 60).</w:t>
            </w:r>
          </w:p>
          <w:p w14:paraId="36CC2793" w14:textId="77777777" w:rsidR="006F59E7" w:rsidRPr="004E1C22" w:rsidRDefault="006F59E7" w:rsidP="004E1C22">
            <w:pPr>
              <w:spacing w:line="276" w:lineRule="auto"/>
              <w:rPr>
                <w:rFonts w:asciiTheme="minorBidi" w:hAnsiTheme="minorBidi"/>
              </w:rPr>
            </w:pPr>
          </w:p>
        </w:tc>
        <w:tc>
          <w:tcPr>
            <w:tcW w:w="4675" w:type="dxa"/>
          </w:tcPr>
          <w:p w14:paraId="409FFD60"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הטיפול בחולה</w:t>
            </w:r>
          </w:p>
          <w:p w14:paraId="54C811C8"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עניין מיוחד יש בפולחן היחיד המוכר לטיפול ב-</w:t>
            </w:r>
            <w:r w:rsidRPr="003F7CF7">
              <w:rPr>
                <w:rFonts w:ascii="Times New Roman" w:eastAsia="Times New Roman" w:hAnsi="Times New Roman" w:cs="Times New Roman"/>
                <w:i/>
                <w:iCs/>
                <w:color w:val="000000"/>
                <w:sz w:val="16"/>
                <w:lang w:bidi="ar-SA"/>
              </w:rPr>
              <w:t xml:space="preserve"> </w:t>
            </w:r>
            <w:proofErr w:type="spellStart"/>
            <w:r w:rsidRPr="003F7CF7">
              <w:rPr>
                <w:rFonts w:ascii="Times New Roman" w:eastAsia="Times New Roman" w:hAnsi="Times New Roman" w:cs="Times New Roman"/>
                <w:i/>
                <w:iCs/>
                <w:color w:val="000000"/>
                <w:sz w:val="16"/>
                <w:lang w:bidi="ar-SA"/>
              </w:rPr>
              <w:t>saḫaršubbû</w:t>
            </w:r>
            <w:proofErr w:type="spellEnd"/>
            <w:r w:rsidRPr="003F7CF7">
              <w:rPr>
                <w:rFonts w:ascii="David" w:eastAsia="Calibri" w:hAnsi="David" w:cs="David" w:hint="cs"/>
                <w:sz w:val="24"/>
                <w:szCs w:val="24"/>
                <w:rtl/>
                <w:lang w:eastAsia="zh-CN"/>
              </w:rPr>
              <w:t>. פולחן זה נמצא על גבי לוח יחיד שחובר ב-</w:t>
            </w:r>
            <w:r w:rsidRPr="003F7CF7">
              <w:rPr>
                <w:rFonts w:ascii="Times New Roman" w:eastAsia="Times New Roman" w:hAnsi="Times New Roman" w:cs="Times New Roman"/>
                <w:color w:val="000000"/>
                <w:sz w:val="16"/>
                <w:szCs w:val="16"/>
                <w:lang w:bidi="ar-SA"/>
              </w:rPr>
              <w:t xml:space="preserve"> </w:t>
            </w:r>
            <w:proofErr w:type="spellStart"/>
            <w:r w:rsidRPr="003F7CF7">
              <w:rPr>
                <w:rFonts w:ascii="Times New Roman" w:eastAsia="Times New Roman" w:hAnsi="Times New Roman" w:cs="Times New Roman"/>
                <w:color w:val="000000"/>
                <w:sz w:val="16"/>
                <w:szCs w:val="16"/>
                <w:lang w:bidi="ar-SA"/>
              </w:rPr>
              <w:t>Emar</w:t>
            </w:r>
            <w:proofErr w:type="spellEnd"/>
            <w:r w:rsidRPr="003F7CF7">
              <w:rPr>
                <w:rFonts w:ascii="David" w:eastAsia="Calibri" w:hAnsi="David" w:cs="David" w:hint="cs"/>
                <w:sz w:val="24"/>
                <w:szCs w:val="24"/>
                <w:rtl/>
                <w:lang w:eastAsia="zh-CN"/>
              </w:rPr>
              <w:t xml:space="preserve"> (נמצא בעיקול נהר פרת בסוריה) במאה ה-13 לפני הספירה,</w:t>
            </w:r>
            <w:r w:rsidRPr="003F7CF7">
              <w:rPr>
                <w:rFonts w:ascii="David" w:eastAsia="Calibri" w:hAnsi="David" w:cs="David"/>
                <w:sz w:val="24"/>
                <w:szCs w:val="24"/>
                <w:vertAlign w:val="superscript"/>
                <w:rtl/>
                <w:lang w:eastAsia="zh-CN"/>
              </w:rPr>
              <w:footnoteReference w:id="7"/>
            </w:r>
            <w:r w:rsidRPr="003F7CF7">
              <w:rPr>
                <w:rFonts w:ascii="David" w:eastAsia="Calibri" w:hAnsi="David" w:cs="David" w:hint="cs"/>
                <w:sz w:val="24"/>
                <w:szCs w:val="24"/>
                <w:rtl/>
                <w:lang w:eastAsia="zh-CN"/>
              </w:rPr>
              <w:t xml:space="preserve"> שם נמצאו עוד פולחנים חשובים להשוואה.</w:t>
            </w:r>
            <w:r w:rsidRPr="003F7CF7">
              <w:rPr>
                <w:rFonts w:ascii="David" w:eastAsia="Calibri" w:hAnsi="David" w:cs="David"/>
                <w:sz w:val="24"/>
                <w:szCs w:val="24"/>
                <w:vertAlign w:val="superscript"/>
                <w:rtl/>
                <w:lang w:eastAsia="zh-CN"/>
              </w:rPr>
              <w:footnoteReference w:id="8"/>
            </w:r>
            <w:r w:rsidRPr="003F7CF7">
              <w:rPr>
                <w:rFonts w:ascii="David" w:eastAsia="Calibri" w:hAnsi="David" w:cs="David" w:hint="cs"/>
                <w:sz w:val="24"/>
                <w:szCs w:val="24"/>
                <w:rtl/>
                <w:lang w:eastAsia="zh-CN"/>
              </w:rPr>
              <w:t xml:space="preserve"> טקסט זה מורכב משלושה חלקים הכוללים לחש, טיפולים וטקס לאחר הריפוי. החלק העוסק בטיפול רפואי מבחין בין סוגי מחלה שונים ונותן הוראות ספציפיות לכל אחד מהם, תוך התמקדות במיני שינויים בצבע העור (לבן, צהוב, אדום, שחור ושילובים שונים). לאחר כל סוג, מופיע הטיפול המותאם לו. למשל, הטקסט קובע,</w:t>
            </w:r>
          </w:p>
          <w:p w14:paraId="1A5F118E" w14:textId="77777777" w:rsidR="003F7CF7" w:rsidRPr="003F7CF7" w:rsidRDefault="003F7CF7" w:rsidP="003F7CF7">
            <w:pPr>
              <w:shd w:val="clear" w:color="auto" w:fill="FFFFFF"/>
              <w:spacing w:after="140" w:line="290" w:lineRule="atLeast"/>
              <w:rPr>
                <w:rFonts w:ascii="David" w:eastAsia="Times New Roman" w:hAnsi="David" w:cs="David"/>
                <w:color w:val="000000"/>
                <w:sz w:val="24"/>
                <w:szCs w:val="24"/>
                <w:lang w:eastAsia="zh-CN" w:bidi="ar-SA"/>
              </w:rPr>
            </w:pPr>
            <w:r w:rsidRPr="003F7CF7">
              <w:rPr>
                <w:rFonts w:ascii="Times New Roman" w:eastAsia="Times New Roman" w:hAnsi="Times New Roman" w:cs="Times New Roman"/>
                <w:color w:val="000000"/>
                <w:sz w:val="24"/>
                <w:szCs w:val="24"/>
                <w:lang w:eastAsia="zh-CN" w:bidi="ar-SA"/>
              </w:rPr>
              <w:t>[If] the </w:t>
            </w:r>
            <w:proofErr w:type="spellStart"/>
            <w:r w:rsidRPr="003F7CF7">
              <w:rPr>
                <w:rFonts w:ascii="Times New Roman" w:eastAsia="Times New Roman" w:hAnsi="Times New Roman" w:cs="Times New Roman"/>
                <w:i/>
                <w:iCs/>
                <w:color w:val="000000"/>
                <w:sz w:val="24"/>
                <w:szCs w:val="24"/>
                <w:lang w:eastAsia="zh-CN" w:bidi="ar-SA"/>
              </w:rPr>
              <w:t>saḫaršubbû</w:t>
            </w:r>
            <w:proofErr w:type="spellEnd"/>
            <w:r w:rsidRPr="003F7CF7">
              <w:rPr>
                <w:rFonts w:ascii="Times New Roman" w:eastAsia="Times New Roman" w:hAnsi="Times New Roman" w:cs="Times New Roman"/>
                <w:color w:val="000000"/>
                <w:sz w:val="24"/>
                <w:szCs w:val="24"/>
                <w:lang w:eastAsia="zh-CN" w:bidi="ar-SA"/>
              </w:rPr>
              <w:t xml:space="preserve"> is yellow and red, it is the hand of (the moon god) </w:t>
            </w:r>
            <w:proofErr w:type="spellStart"/>
            <w:r w:rsidRPr="003F7CF7">
              <w:rPr>
                <w:rFonts w:ascii="Times New Roman" w:eastAsia="Times New Roman" w:hAnsi="Times New Roman" w:cs="Times New Roman"/>
                <w:color w:val="000000"/>
                <w:sz w:val="24"/>
                <w:szCs w:val="24"/>
                <w:lang w:eastAsia="zh-CN" w:bidi="ar-SA"/>
              </w:rPr>
              <w:t>Sîn</w:t>
            </w:r>
            <w:proofErr w:type="spellEnd"/>
            <w:r w:rsidRPr="003F7CF7">
              <w:rPr>
                <w:rFonts w:ascii="Times New Roman" w:eastAsia="Times New Roman" w:hAnsi="Times New Roman" w:cs="Times New Roman"/>
                <w:color w:val="000000"/>
                <w:sz w:val="24"/>
                <w:szCs w:val="24"/>
                <w:lang w:eastAsia="zh-CN" w:bidi="ar-SA"/>
              </w:rPr>
              <w:t xml:space="preserve">. To remove it, you should </w:t>
            </w:r>
            <w:proofErr w:type="spellStart"/>
            <w:proofErr w:type="gramStart"/>
            <w:r w:rsidRPr="003F7CF7">
              <w:rPr>
                <w:rFonts w:ascii="Times New Roman" w:eastAsia="Times New Roman" w:hAnsi="Times New Roman" w:cs="Times New Roman"/>
                <w:color w:val="000000"/>
                <w:sz w:val="24"/>
                <w:szCs w:val="24"/>
                <w:lang w:eastAsia="zh-CN" w:bidi="ar-SA"/>
              </w:rPr>
              <w:t>anoin</w:t>
            </w:r>
            <w:proofErr w:type="spellEnd"/>
            <w:r w:rsidRPr="003F7CF7">
              <w:rPr>
                <w:rFonts w:ascii="Times New Roman" w:eastAsia="Times New Roman" w:hAnsi="Times New Roman" w:cs="Times New Roman"/>
                <w:color w:val="000000"/>
                <w:sz w:val="24"/>
                <w:szCs w:val="24"/>
                <w:lang w:eastAsia="zh-CN" w:bidi="ar-SA"/>
              </w:rPr>
              <w:t>[</w:t>
            </w:r>
            <w:proofErr w:type="gramEnd"/>
            <w:r w:rsidRPr="003F7CF7">
              <w:rPr>
                <w:rFonts w:ascii="Times New Roman" w:eastAsia="Times New Roman" w:hAnsi="Times New Roman" w:cs="Times New Roman"/>
                <w:color w:val="000000"/>
                <w:sz w:val="24"/>
                <w:szCs w:val="24"/>
                <w:lang w:eastAsia="zh-CN" w:bidi="ar-SA"/>
              </w:rPr>
              <w:t>t him] with human semen for seven days [and he will recover] (line 60).</w:t>
            </w:r>
          </w:p>
          <w:p w14:paraId="4C313DA4" w14:textId="77777777" w:rsidR="003F7CF7" w:rsidRPr="003F7CF7" w:rsidRDefault="003F7CF7" w:rsidP="003F7CF7">
            <w:pPr>
              <w:shd w:val="clear" w:color="auto" w:fill="FFFFFF"/>
              <w:bidi/>
              <w:spacing w:after="140" w:line="290" w:lineRule="atLeast"/>
              <w:rPr>
                <w:rFonts w:ascii="David" w:eastAsia="Times New Roman" w:hAnsi="David" w:cs="David"/>
                <w:color w:val="000000"/>
                <w:sz w:val="24"/>
                <w:szCs w:val="24"/>
                <w:rtl/>
                <w:lang w:eastAsia="zh-CN"/>
              </w:rPr>
            </w:pPr>
            <w:r w:rsidRPr="003F7CF7">
              <w:rPr>
                <w:rFonts w:ascii="David" w:eastAsia="Times New Roman" w:hAnsi="David" w:cs="David"/>
                <w:color w:val="000000"/>
                <w:sz w:val="24"/>
                <w:szCs w:val="24"/>
                <w:rtl/>
                <w:lang w:eastAsia="zh-CN"/>
              </w:rPr>
              <w:lastRenderedPageBreak/>
              <w:t>[אם</w:t>
            </w:r>
            <w:r w:rsidRPr="003F7CF7">
              <w:rPr>
                <w:rFonts w:ascii="David" w:eastAsia="Times New Roman" w:hAnsi="David" w:cs="David" w:hint="cs"/>
                <w:color w:val="000000"/>
                <w:sz w:val="24"/>
                <w:szCs w:val="24"/>
                <w:rtl/>
                <w:lang w:eastAsia="zh-CN"/>
              </w:rPr>
              <w:t>]</w:t>
            </w:r>
            <w:r w:rsidRPr="003F7CF7">
              <w:rPr>
                <w:rFonts w:ascii="David" w:eastAsia="Times New Roman" w:hAnsi="David" w:cs="David"/>
                <w:color w:val="000000"/>
                <w:sz w:val="24"/>
                <w:szCs w:val="24"/>
                <w:rtl/>
                <w:lang w:eastAsia="zh-CN"/>
              </w:rPr>
              <w:t xml:space="preserve"> ה-</w:t>
            </w:r>
            <w:r w:rsidRPr="003F7CF7">
              <w:rPr>
                <w:rFonts w:ascii="David" w:eastAsia="Times New Roman" w:hAnsi="David" w:cs="David"/>
                <w:i/>
                <w:iCs/>
                <w:color w:val="000000"/>
                <w:sz w:val="24"/>
                <w:szCs w:val="24"/>
                <w:lang w:eastAsia="zh-CN" w:bidi="ar-SA"/>
              </w:rPr>
              <w:t xml:space="preserve"> </w:t>
            </w:r>
            <w:proofErr w:type="spellStart"/>
            <w:r w:rsidRPr="003F7CF7">
              <w:rPr>
                <w:rFonts w:ascii="David" w:eastAsia="Times New Roman" w:hAnsi="David" w:cs="David"/>
                <w:i/>
                <w:iCs/>
                <w:color w:val="000000"/>
                <w:sz w:val="24"/>
                <w:szCs w:val="24"/>
                <w:lang w:eastAsia="zh-CN" w:bidi="ar-SA"/>
              </w:rPr>
              <w:t>sa</w:t>
            </w:r>
            <w:r w:rsidRPr="003F7CF7">
              <w:rPr>
                <w:rFonts w:ascii="Calibri" w:eastAsia="Times New Roman" w:hAnsi="Calibri" w:cs="Calibri"/>
                <w:i/>
                <w:iCs/>
                <w:color w:val="000000"/>
                <w:sz w:val="24"/>
                <w:szCs w:val="24"/>
                <w:lang w:eastAsia="zh-CN" w:bidi="ar-SA"/>
              </w:rPr>
              <w:t>ḫ</w:t>
            </w:r>
            <w:r w:rsidRPr="003F7CF7">
              <w:rPr>
                <w:rFonts w:ascii="David" w:eastAsia="Times New Roman" w:hAnsi="David" w:cs="David"/>
                <w:i/>
                <w:iCs/>
                <w:color w:val="000000"/>
                <w:sz w:val="24"/>
                <w:szCs w:val="24"/>
                <w:lang w:eastAsia="zh-CN" w:bidi="ar-SA"/>
              </w:rPr>
              <w:t>aršubbû</w:t>
            </w:r>
            <w:proofErr w:type="spellEnd"/>
            <w:r w:rsidRPr="003F7CF7">
              <w:rPr>
                <w:rFonts w:ascii="David" w:eastAsia="Times New Roman" w:hAnsi="David" w:cs="David"/>
                <w:color w:val="000000"/>
                <w:sz w:val="24"/>
                <w:szCs w:val="24"/>
                <w:lang w:eastAsia="zh-CN" w:bidi="ar-SA"/>
              </w:rPr>
              <w:t> </w:t>
            </w:r>
            <w:r w:rsidRPr="003F7CF7">
              <w:rPr>
                <w:rFonts w:ascii="David" w:eastAsia="Times New Roman" w:hAnsi="David" w:cs="David"/>
                <w:color w:val="000000"/>
                <w:sz w:val="24"/>
                <w:szCs w:val="24"/>
                <w:rtl/>
                <w:lang w:eastAsia="zh-CN"/>
              </w:rPr>
              <w:t xml:space="preserve">הוא צהוב ואדום, זוהי היד של </w:t>
            </w:r>
            <w:r w:rsidRPr="003F7CF7">
              <w:rPr>
                <w:rFonts w:ascii="David" w:eastAsia="Times New Roman" w:hAnsi="David" w:cs="David" w:hint="cs"/>
                <w:color w:val="000000"/>
                <w:sz w:val="24"/>
                <w:szCs w:val="24"/>
                <w:rtl/>
                <w:lang w:eastAsia="zh-CN"/>
              </w:rPr>
              <w:t>סין</w:t>
            </w:r>
            <w:r w:rsidRPr="003F7CF7">
              <w:rPr>
                <w:rFonts w:ascii="David" w:eastAsia="Times New Roman" w:hAnsi="David" w:cs="David"/>
                <w:color w:val="000000"/>
                <w:sz w:val="24"/>
                <w:szCs w:val="24"/>
                <w:rtl/>
                <w:lang w:eastAsia="zh-CN"/>
              </w:rPr>
              <w:t xml:space="preserve"> [אל הירח] .</w:t>
            </w:r>
            <w:r w:rsidRPr="003F7CF7">
              <w:rPr>
                <w:rFonts w:ascii="David" w:eastAsia="Times New Roman" w:hAnsi="David" w:cs="David" w:hint="cs"/>
                <w:color w:val="000000"/>
                <w:sz w:val="24"/>
                <w:szCs w:val="24"/>
                <w:rtl/>
                <w:lang w:eastAsia="zh-CN"/>
              </w:rPr>
              <w:t xml:space="preserve"> כדי להסיר אותה, עליך למשוח [אותו] בזרע אדם למשך שבעה ימים [והוא יחלים] (שורה 60). (</w:t>
            </w:r>
            <w:r w:rsidRPr="003F7CF7">
              <w:rPr>
                <w:rFonts w:ascii="David" w:eastAsia="Times New Roman" w:hAnsi="David" w:cs="David" w:hint="cs"/>
                <w:color w:val="000000"/>
                <w:sz w:val="24"/>
                <w:szCs w:val="24"/>
                <w:highlight w:val="yellow"/>
                <w:rtl/>
                <w:lang w:eastAsia="zh-CN"/>
              </w:rPr>
              <w:t>תרגום שלי)</w:t>
            </w:r>
          </w:p>
          <w:p w14:paraId="5116F3E4" w14:textId="77777777" w:rsidR="006F59E7" w:rsidRDefault="006F59E7" w:rsidP="004E1C22">
            <w:pPr>
              <w:bidi/>
              <w:spacing w:line="276" w:lineRule="auto"/>
              <w:rPr>
                <w:rFonts w:asciiTheme="minorBidi" w:hAnsiTheme="minorBidi"/>
                <w:rtl/>
              </w:rPr>
            </w:pPr>
          </w:p>
        </w:tc>
      </w:tr>
      <w:tr w:rsidR="00B57E6C" w14:paraId="54FD135D" w14:textId="77777777" w:rsidTr="004E1C22">
        <w:tc>
          <w:tcPr>
            <w:tcW w:w="4675" w:type="dxa"/>
          </w:tcPr>
          <w:p w14:paraId="1E3641F0" w14:textId="77777777" w:rsidR="000F3D41" w:rsidRPr="000F3D41" w:rsidRDefault="000F3D41" w:rsidP="000F3D41">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lastRenderedPageBreak/>
              <w:t>These instructions are reminiscent of those of </w:t>
            </w:r>
            <w:proofErr w:type="spellStart"/>
            <w:r w:rsidRPr="000F3D41">
              <w:rPr>
                <w:rFonts w:ascii="Times New Roman" w:eastAsia="Times New Roman" w:hAnsi="Times New Roman" w:cs="Times New Roman"/>
                <w:i/>
                <w:iCs/>
                <w:color w:val="000000"/>
                <w:sz w:val="16"/>
                <w:lang w:eastAsia="zh-CN" w:bidi="ar-SA"/>
              </w:rPr>
              <w:t>ṣara‛at</w:t>
            </w:r>
            <w:proofErr w:type="spellEnd"/>
            <w:r w:rsidRPr="000F3D41">
              <w:rPr>
                <w:rFonts w:ascii="Times New Roman" w:eastAsia="Times New Roman" w:hAnsi="Times New Roman" w:cs="Times New Roman"/>
                <w:i/>
                <w:iCs/>
                <w:color w:val="000000"/>
                <w:sz w:val="16"/>
                <w:lang w:eastAsia="zh-CN" w:bidi="ar-SA"/>
              </w:rPr>
              <w:t> </w:t>
            </w:r>
            <w:r w:rsidRPr="000F3D41">
              <w:rPr>
                <w:rFonts w:ascii="Times New Roman" w:eastAsia="Times New Roman" w:hAnsi="Times New Roman" w:cs="Times New Roman"/>
                <w:color w:val="000000"/>
                <w:sz w:val="16"/>
                <w:szCs w:val="16"/>
                <w:lang w:eastAsia="zh-CN" w:bidi="ar-SA"/>
              </w:rPr>
              <w:t>in Leviticus 13, where discolorations serve as the primary diagnostic criteria. (Another illuminating parallel comes in the laws of wall </w:t>
            </w:r>
            <w:proofErr w:type="spellStart"/>
            <w:r w:rsidRPr="000F3D41">
              <w:rPr>
                <w:rFonts w:ascii="Times New Roman" w:eastAsia="Times New Roman" w:hAnsi="Times New Roman" w:cs="Times New Roman"/>
                <w:i/>
                <w:iCs/>
                <w:color w:val="000000"/>
                <w:sz w:val="16"/>
                <w:lang w:eastAsia="zh-CN" w:bidi="ar-SA"/>
              </w:rPr>
              <w:t>ṣara‛at</w:t>
            </w:r>
            <w:proofErr w:type="spellEnd"/>
            <w:r w:rsidRPr="000F3D41">
              <w:rPr>
                <w:rFonts w:ascii="Times New Roman" w:eastAsia="Times New Roman" w:hAnsi="Times New Roman" w:cs="Times New Roman"/>
                <w:color w:val="000000"/>
                <w:sz w:val="16"/>
                <w:szCs w:val="16"/>
                <w:lang w:eastAsia="zh-CN" w:bidi="ar-SA"/>
              </w:rPr>
              <w:t>; see appendix for details.)</w:t>
            </w:r>
          </w:p>
          <w:p w14:paraId="68F10207" w14:textId="77777777" w:rsidR="00B57E6C" w:rsidRPr="004E1C22" w:rsidRDefault="00B57E6C" w:rsidP="004E1C22">
            <w:pPr>
              <w:spacing w:line="276" w:lineRule="auto"/>
              <w:rPr>
                <w:rFonts w:asciiTheme="minorBidi" w:hAnsiTheme="minorBidi"/>
              </w:rPr>
            </w:pPr>
          </w:p>
        </w:tc>
        <w:tc>
          <w:tcPr>
            <w:tcW w:w="4675" w:type="dxa"/>
          </w:tcPr>
          <w:p w14:paraId="18D4FC44"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הוראות אלה מזכירים את אלה של צרעת בספר ויקרא 13, אשר שינויי צבע שם משמשים כאמות מידה עיקריות לאבחון. (יש עוד מקבילה מאירה מחוקי צרעת של קירות הבית, ראו נספח לפרטים.)</w:t>
            </w:r>
          </w:p>
          <w:p w14:paraId="00E7BAFC" w14:textId="77777777" w:rsidR="00B57E6C" w:rsidRDefault="00B57E6C" w:rsidP="004E1C22">
            <w:pPr>
              <w:bidi/>
              <w:spacing w:line="276" w:lineRule="auto"/>
              <w:rPr>
                <w:rFonts w:asciiTheme="minorBidi" w:hAnsiTheme="minorBidi"/>
                <w:rtl/>
              </w:rPr>
            </w:pPr>
          </w:p>
        </w:tc>
      </w:tr>
      <w:tr w:rsidR="00B57E6C" w14:paraId="060DB7AD" w14:textId="77777777" w:rsidTr="004E1C22">
        <w:tc>
          <w:tcPr>
            <w:tcW w:w="4675" w:type="dxa"/>
          </w:tcPr>
          <w:p w14:paraId="5FAD9872" w14:textId="77777777" w:rsidR="000F3D41" w:rsidRPr="000F3D41" w:rsidRDefault="000F3D41" w:rsidP="000F3D41">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r w:rsidRPr="000F3D41">
              <w:rPr>
                <w:rFonts w:ascii="Times New Roman" w:eastAsia="Times New Roman" w:hAnsi="Times New Roman" w:cs="Times New Roman"/>
                <w:color w:val="000000"/>
                <w:sz w:val="20"/>
                <w:szCs w:val="20"/>
                <w:lang w:eastAsia="zh-CN" w:bidi="ar-SA"/>
              </w:rPr>
              <w:t>Ensuring a Permanent Healing – The Two Birds</w:t>
            </w:r>
          </w:p>
          <w:p w14:paraId="21BE2801" w14:textId="77777777" w:rsidR="000F3D41" w:rsidRPr="000F3D41" w:rsidRDefault="000F3D41" w:rsidP="000F3D41">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t>An even more striking comparison involves the purification to be performed after the patient has healed. The bandages used in healing the patient are to be removed and thrown in a fire. An incense altar and table with offerings are presented to the sun god (Shamash). Then the following rite takes place:</w:t>
            </w:r>
          </w:p>
          <w:p w14:paraId="2EF820EA" w14:textId="77777777" w:rsidR="00B57E6C" w:rsidRPr="004E1C22" w:rsidRDefault="00B57E6C" w:rsidP="004E1C22">
            <w:pPr>
              <w:spacing w:line="276" w:lineRule="auto"/>
              <w:rPr>
                <w:rFonts w:asciiTheme="minorBidi" w:hAnsiTheme="minorBidi"/>
              </w:rPr>
            </w:pPr>
          </w:p>
        </w:tc>
        <w:tc>
          <w:tcPr>
            <w:tcW w:w="4675" w:type="dxa"/>
          </w:tcPr>
          <w:p w14:paraId="179D56C4"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הבטחת ריפוי קבוע</w:t>
            </w:r>
            <w:r w:rsidRPr="003F7CF7">
              <w:rPr>
                <w:rFonts w:ascii="David" w:eastAsia="Calibri" w:hAnsi="David" w:cs="David"/>
                <w:sz w:val="24"/>
                <w:szCs w:val="24"/>
                <w:lang w:eastAsia="zh-CN"/>
              </w:rPr>
              <w:t xml:space="preserve"> – </w:t>
            </w:r>
            <w:r w:rsidRPr="003F7CF7">
              <w:rPr>
                <w:rFonts w:ascii="David" w:eastAsia="Calibri" w:hAnsi="David" w:cs="David" w:hint="cs"/>
                <w:sz w:val="24"/>
                <w:szCs w:val="24"/>
                <w:rtl/>
                <w:lang w:eastAsia="zh-CN"/>
              </w:rPr>
              <w:t>שתי הציפורים</w:t>
            </w:r>
          </w:p>
          <w:p w14:paraId="0A1668F6"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השוואה בולטת עוד יותר נוגעת לטהרה שיש לבצע לאחר שהחולה התרפא. התחבושות שהיו בשימוש לריפוי החולה מוסרות ומושלכות לאש. מזבח קטורת ושולחן שעליו קורבנות מוצגים בפני אל השמש (שמש). אז מתקיים הטקס הבא:</w:t>
            </w:r>
          </w:p>
          <w:p w14:paraId="001378CB" w14:textId="77777777" w:rsidR="00B57E6C" w:rsidRDefault="00B57E6C" w:rsidP="004E1C22">
            <w:pPr>
              <w:bidi/>
              <w:spacing w:line="276" w:lineRule="auto"/>
              <w:rPr>
                <w:rFonts w:asciiTheme="minorBidi" w:hAnsiTheme="minorBidi"/>
                <w:rtl/>
              </w:rPr>
            </w:pPr>
          </w:p>
        </w:tc>
      </w:tr>
      <w:tr w:rsidR="00B57E6C" w14:paraId="1C4280D9" w14:textId="77777777" w:rsidTr="004E1C22">
        <w:tc>
          <w:tcPr>
            <w:tcW w:w="4675" w:type="dxa"/>
          </w:tcPr>
          <w:p w14:paraId="71FAAAEF" w14:textId="77777777" w:rsidR="000F3D41" w:rsidRPr="000F3D41" w:rsidRDefault="000F3D41" w:rsidP="000F3D41">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t>This patient stands before Shamash. You shall burn one partridge and a crab before Shamash, [and] with (another) partridge you shall wipe his body and he will let (it) go.</w:t>
            </w:r>
            <w:r w:rsidRPr="000F3D41">
              <w:rPr>
                <w:rFonts w:ascii="Times New Roman" w:eastAsia="Times New Roman" w:hAnsi="Times New Roman" w:cs="Times New Roman"/>
                <w:color w:val="B22222"/>
                <w:sz w:val="14"/>
                <w:szCs w:val="14"/>
                <w:vertAlign w:val="superscript"/>
                <w:lang w:eastAsia="zh-CN" w:bidi="ar-SA"/>
              </w:rPr>
              <w:t>[9]</w:t>
            </w:r>
          </w:p>
          <w:p w14:paraId="387C9965" w14:textId="77777777" w:rsidR="000F3D41" w:rsidRPr="000F3D41" w:rsidRDefault="000F3D41" w:rsidP="000F3D41">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t>This rite aims to remove any residual impurity after the patient has healed. A crab and a partridge are burned, either as offerings or in order to destroy the impurity (which, according to this understanding, was absorbed into these creatures). Then a second partridge is wiped over the body of the patient and then released, serving to transfer this pollution to a distant location.</w:t>
            </w:r>
          </w:p>
          <w:p w14:paraId="71671957" w14:textId="77777777" w:rsidR="00B57E6C" w:rsidRPr="004E1C22" w:rsidRDefault="00B57E6C" w:rsidP="004E1C22">
            <w:pPr>
              <w:spacing w:line="276" w:lineRule="auto"/>
              <w:rPr>
                <w:rFonts w:asciiTheme="minorBidi" w:hAnsiTheme="minorBidi"/>
              </w:rPr>
            </w:pPr>
          </w:p>
        </w:tc>
        <w:tc>
          <w:tcPr>
            <w:tcW w:w="4675" w:type="dxa"/>
          </w:tcPr>
          <w:p w14:paraId="16BA78DD"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מטופל זה עומד בפני שמש. עליך לשרוף חוגלה אחת וסרטן לפני שמש, [ו] עם חוגלה [נוספת] עליך לנגב את גופו והוא ישחרר [אותו].</w:t>
            </w:r>
            <w:r w:rsidRPr="003F7CF7">
              <w:rPr>
                <w:rFonts w:ascii="David" w:eastAsia="Calibri" w:hAnsi="David" w:cs="David"/>
                <w:sz w:val="24"/>
                <w:szCs w:val="24"/>
                <w:vertAlign w:val="superscript"/>
                <w:rtl/>
                <w:lang w:eastAsia="zh-CN"/>
              </w:rPr>
              <w:footnoteReference w:id="9"/>
            </w:r>
            <w:r w:rsidRPr="003F7CF7">
              <w:rPr>
                <w:rFonts w:ascii="David" w:eastAsia="Calibri" w:hAnsi="David" w:cs="David" w:hint="cs"/>
                <w:sz w:val="24"/>
                <w:szCs w:val="24"/>
                <w:rtl/>
                <w:lang w:eastAsia="zh-CN"/>
              </w:rPr>
              <w:t xml:space="preserve"> (</w:t>
            </w:r>
            <w:r w:rsidRPr="003F7CF7">
              <w:rPr>
                <w:rFonts w:ascii="David" w:eastAsia="Calibri" w:hAnsi="David" w:cs="David" w:hint="cs"/>
                <w:sz w:val="24"/>
                <w:szCs w:val="24"/>
                <w:highlight w:val="yellow"/>
                <w:rtl/>
                <w:lang w:eastAsia="zh-CN"/>
              </w:rPr>
              <w:t>תרגום שלי)</w:t>
            </w:r>
          </w:p>
          <w:p w14:paraId="0ABB7215"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מטרת טקס זה היא להסיר כל שארית טומאה לאחר ריפוי המטופל. סרטן וחוגלה נשרפים, או כקורבנות או כדי להכחיד את הטומאה (אשר, לפי הבנה זו, נטמעה בבעלי חיים אלה). או אז חוגלה שנייה נמרחת על גופו של המטופל ואז משוחררת, ובכך מעבירה טומאה זו אל מקום מרוחק.</w:t>
            </w:r>
          </w:p>
          <w:p w14:paraId="1B440A0E" w14:textId="77777777" w:rsidR="00B57E6C" w:rsidRDefault="00B57E6C" w:rsidP="004E1C22">
            <w:pPr>
              <w:bidi/>
              <w:spacing w:line="276" w:lineRule="auto"/>
              <w:rPr>
                <w:rFonts w:asciiTheme="minorBidi" w:hAnsiTheme="minorBidi"/>
                <w:rtl/>
              </w:rPr>
            </w:pPr>
          </w:p>
        </w:tc>
      </w:tr>
      <w:tr w:rsidR="000F3D41" w14:paraId="44C335F8" w14:textId="77777777" w:rsidTr="004E1C22">
        <w:tc>
          <w:tcPr>
            <w:tcW w:w="4675" w:type="dxa"/>
          </w:tcPr>
          <w:p w14:paraId="1CF7AAC8" w14:textId="77777777" w:rsidR="000F3D41" w:rsidRPr="000F3D41" w:rsidRDefault="000F3D41" w:rsidP="000F3D41">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0F3D41">
              <w:rPr>
                <w:rFonts w:ascii="Times New Roman" w:eastAsia="Times New Roman" w:hAnsi="Times New Roman" w:cs="Times New Roman"/>
                <w:color w:val="000000"/>
                <w:sz w:val="16"/>
                <w:szCs w:val="16"/>
                <w:lang w:eastAsia="zh-CN" w:bidi="ar-SA"/>
              </w:rPr>
              <w:lastRenderedPageBreak/>
              <w:t>This rite invites a comparison with the purification of the leper in Leviticus 14. After he has been healed, the priest is instructed to perform upon him a rite involving two birds (vv. 4-7). The first of these is slaughtered, and its blood is sprinkled on the patient. The second bird is dipped in the blood and then released into an open field.</w:t>
            </w:r>
          </w:p>
          <w:p w14:paraId="4266A53F" w14:textId="77777777" w:rsidR="000F3D41" w:rsidRPr="004E1C22" w:rsidRDefault="000F3D41" w:rsidP="004E1C22">
            <w:pPr>
              <w:spacing w:line="276" w:lineRule="auto"/>
              <w:rPr>
                <w:rFonts w:asciiTheme="minorBidi" w:hAnsiTheme="minorBidi"/>
              </w:rPr>
            </w:pPr>
          </w:p>
        </w:tc>
        <w:tc>
          <w:tcPr>
            <w:tcW w:w="4675" w:type="dxa"/>
          </w:tcPr>
          <w:p w14:paraId="4137739F" w14:textId="77777777" w:rsidR="003F7CF7" w:rsidRPr="003F7CF7" w:rsidRDefault="003F7CF7" w:rsidP="003F7CF7">
            <w:pPr>
              <w:shd w:val="clear" w:color="auto" w:fill="FFFFFF"/>
              <w:bidi/>
              <w:spacing w:before="131" w:after="131" w:line="393" w:lineRule="atLeast"/>
              <w:outlineLvl w:val="1"/>
              <w:rPr>
                <w:rFonts w:ascii="David" w:eastAsia="Calibri" w:hAnsi="David" w:cs="David"/>
                <w:sz w:val="24"/>
                <w:szCs w:val="24"/>
                <w:rtl/>
                <w:lang w:eastAsia="zh-CN"/>
              </w:rPr>
            </w:pPr>
            <w:r w:rsidRPr="003F7CF7">
              <w:rPr>
                <w:rFonts w:ascii="David" w:eastAsia="Calibri" w:hAnsi="David" w:cs="David" w:hint="cs"/>
                <w:sz w:val="24"/>
                <w:szCs w:val="24"/>
                <w:rtl/>
                <w:lang w:eastAsia="zh-CN"/>
              </w:rPr>
              <w:t>מתבקשת השוואת טקס זה לטוהרת המצורע בספר ויקרא 14. לאחר שהתרפא המצורע, הכהן מצטווה לבצע בו טקס שכלולים בו שתי ציפורים (פסוקים 4–7). הראשונה נשחטת ואת דמה מזים על המטופל. את ציפור השנייה טובלים בדם ואחר כך היא משוחררת אל שדה פתוח.</w:t>
            </w:r>
          </w:p>
          <w:p w14:paraId="76DE2F23" w14:textId="77777777" w:rsidR="000F3D41" w:rsidRDefault="000F3D41" w:rsidP="004E1C22">
            <w:pPr>
              <w:bidi/>
              <w:spacing w:line="276" w:lineRule="auto"/>
              <w:rPr>
                <w:rFonts w:asciiTheme="minorBidi" w:hAnsiTheme="minorBidi"/>
                <w:rtl/>
              </w:rPr>
            </w:pPr>
          </w:p>
        </w:tc>
      </w:tr>
      <w:tr w:rsidR="000F3D41" w14:paraId="5F539232" w14:textId="77777777" w:rsidTr="004E1C22">
        <w:tc>
          <w:tcPr>
            <w:tcW w:w="4675" w:type="dxa"/>
          </w:tcPr>
          <w:p w14:paraId="2B6BE0FD" w14:textId="77777777" w:rsidR="00914FF4" w:rsidRPr="00914FF4" w:rsidRDefault="00914FF4" w:rsidP="00914FF4">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914FF4">
              <w:rPr>
                <w:rFonts w:ascii="Times New Roman" w:eastAsia="Times New Roman" w:hAnsi="Times New Roman" w:cs="Times New Roman"/>
                <w:color w:val="000000"/>
                <w:sz w:val="16"/>
                <w:szCs w:val="16"/>
                <w:lang w:eastAsia="zh-CN" w:bidi="ar-SA"/>
              </w:rPr>
              <w:t>Both of these texts use two birds: one is killed and the other is used to carry the pollution away from the community. Since these rituals pertain to the same types of skin disease, this similarity is quite significant.</w:t>
            </w:r>
          </w:p>
          <w:p w14:paraId="5D0A6557" w14:textId="77777777" w:rsidR="000F3D41" w:rsidRPr="004E1C22" w:rsidRDefault="000F3D41" w:rsidP="004E1C22">
            <w:pPr>
              <w:spacing w:line="276" w:lineRule="auto"/>
              <w:rPr>
                <w:rFonts w:asciiTheme="minorBidi" w:hAnsiTheme="minorBidi"/>
              </w:rPr>
            </w:pPr>
          </w:p>
        </w:tc>
        <w:tc>
          <w:tcPr>
            <w:tcW w:w="4675" w:type="dxa"/>
          </w:tcPr>
          <w:p w14:paraId="28EB2245" w14:textId="77777777" w:rsidR="00766498" w:rsidRPr="00766498" w:rsidRDefault="00766498" w:rsidP="00766498">
            <w:pPr>
              <w:shd w:val="clear" w:color="auto" w:fill="FFFFFF"/>
              <w:bidi/>
              <w:spacing w:before="131" w:after="131" w:line="393" w:lineRule="atLeast"/>
              <w:outlineLvl w:val="1"/>
              <w:rPr>
                <w:rFonts w:ascii="David" w:eastAsia="Calibri" w:hAnsi="David" w:cs="David"/>
                <w:sz w:val="24"/>
                <w:szCs w:val="24"/>
                <w:rtl/>
                <w:lang w:eastAsia="zh-CN"/>
              </w:rPr>
            </w:pPr>
            <w:r w:rsidRPr="00766498">
              <w:rPr>
                <w:rFonts w:ascii="David" w:eastAsia="Calibri" w:hAnsi="David" w:cs="David" w:hint="cs"/>
                <w:sz w:val="24"/>
                <w:szCs w:val="24"/>
                <w:rtl/>
                <w:lang w:eastAsia="zh-CN"/>
              </w:rPr>
              <w:t xml:space="preserve">שני הטקסטים עושים שימוש בשתי ציפורים: אחת נשחטת ובשנייה משתמשים כדי לשאת את הטומאה הרחק מן הקהילה. מאחר ופולחנים אלה מתייחסים למחלות מאותו סוג, דמיון זה הוא בעל חשיבות ניכרת. </w:t>
            </w:r>
          </w:p>
          <w:p w14:paraId="72DE9052" w14:textId="77777777" w:rsidR="000F3D41" w:rsidRDefault="000F3D41" w:rsidP="004E1C22">
            <w:pPr>
              <w:bidi/>
              <w:spacing w:line="276" w:lineRule="auto"/>
              <w:rPr>
                <w:rFonts w:asciiTheme="minorBidi" w:hAnsiTheme="minorBidi"/>
                <w:rtl/>
              </w:rPr>
            </w:pPr>
          </w:p>
        </w:tc>
      </w:tr>
      <w:tr w:rsidR="000F3D41" w14:paraId="48949633" w14:textId="77777777" w:rsidTr="004E1C22">
        <w:tc>
          <w:tcPr>
            <w:tcW w:w="4675" w:type="dxa"/>
          </w:tcPr>
          <w:p w14:paraId="23079734" w14:textId="77777777" w:rsidR="00914FF4" w:rsidRPr="00914FF4" w:rsidRDefault="00914FF4"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r w:rsidRPr="00914FF4">
              <w:rPr>
                <w:rFonts w:ascii="Times New Roman" w:eastAsia="Times New Roman" w:hAnsi="Times New Roman" w:cs="Times New Roman"/>
                <w:color w:val="000000"/>
                <w:sz w:val="23"/>
                <w:szCs w:val="23"/>
                <w:lang w:eastAsia="zh-CN" w:bidi="ar-SA"/>
              </w:rPr>
              <w:t>The Torah’s Treatment?</w:t>
            </w:r>
          </w:p>
          <w:p w14:paraId="754059F6" w14:textId="77777777" w:rsidR="00914FF4" w:rsidRPr="00914FF4" w:rsidRDefault="00914FF4" w:rsidP="00914FF4">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914FF4">
              <w:rPr>
                <w:rFonts w:ascii="Times New Roman" w:eastAsia="Times New Roman" w:hAnsi="Times New Roman" w:cs="Times New Roman"/>
                <w:color w:val="000000"/>
                <w:sz w:val="16"/>
                <w:szCs w:val="16"/>
                <w:lang w:eastAsia="zh-CN" w:bidi="ar-SA"/>
              </w:rPr>
              <w:t>The most significant parallels and differences become clear when we compare the overall structure of these two texts:</w:t>
            </w:r>
          </w:p>
          <w:p w14:paraId="6EBD825D" w14:textId="3D170C90" w:rsidR="000F3D41" w:rsidRPr="004E1C22" w:rsidRDefault="00766498" w:rsidP="004E1C22">
            <w:pPr>
              <w:spacing w:line="276" w:lineRule="auto"/>
              <w:rPr>
                <w:rFonts w:asciiTheme="minorBidi" w:hAnsiTheme="minorBidi"/>
              </w:rPr>
            </w:pPr>
            <w:r>
              <w:rPr>
                <w:rFonts w:asciiTheme="minorBidi" w:hAnsiTheme="minorBidi"/>
              </w:rPr>
              <w:t>(Chart is at end of table)</w:t>
            </w:r>
          </w:p>
        </w:tc>
        <w:tc>
          <w:tcPr>
            <w:tcW w:w="4675" w:type="dxa"/>
          </w:tcPr>
          <w:p w14:paraId="07E0B105" w14:textId="77777777" w:rsidR="00766498" w:rsidRPr="00766498" w:rsidRDefault="00766498" w:rsidP="00766498">
            <w:pPr>
              <w:shd w:val="clear" w:color="auto" w:fill="FFFFFF"/>
              <w:bidi/>
              <w:spacing w:before="131" w:after="131" w:line="393" w:lineRule="atLeast"/>
              <w:outlineLvl w:val="1"/>
              <w:rPr>
                <w:rFonts w:ascii="David" w:eastAsia="Calibri" w:hAnsi="David" w:cs="David"/>
                <w:sz w:val="24"/>
                <w:szCs w:val="24"/>
                <w:rtl/>
                <w:lang w:eastAsia="zh-CN"/>
              </w:rPr>
            </w:pPr>
            <w:r w:rsidRPr="00766498">
              <w:rPr>
                <w:rFonts w:ascii="David" w:eastAsia="Calibri" w:hAnsi="David" w:cs="David" w:hint="cs"/>
                <w:sz w:val="24"/>
                <w:szCs w:val="24"/>
                <w:rtl/>
                <w:lang w:eastAsia="zh-CN"/>
              </w:rPr>
              <w:t>הטיפול של התורה?</w:t>
            </w:r>
          </w:p>
          <w:p w14:paraId="51F3B6ED" w14:textId="77777777" w:rsidR="00766498" w:rsidRPr="00766498" w:rsidRDefault="00766498" w:rsidP="00766498">
            <w:pPr>
              <w:shd w:val="clear" w:color="auto" w:fill="FFFFFF"/>
              <w:bidi/>
              <w:spacing w:before="131" w:after="131" w:line="393" w:lineRule="atLeast"/>
              <w:outlineLvl w:val="1"/>
              <w:rPr>
                <w:rFonts w:ascii="David" w:eastAsia="Calibri" w:hAnsi="David" w:cs="David"/>
                <w:sz w:val="24"/>
                <w:szCs w:val="24"/>
                <w:rtl/>
                <w:lang w:eastAsia="zh-CN"/>
              </w:rPr>
            </w:pPr>
            <w:r w:rsidRPr="00766498">
              <w:rPr>
                <w:rFonts w:ascii="David" w:eastAsia="Calibri" w:hAnsi="David" w:cs="David" w:hint="cs"/>
                <w:sz w:val="24"/>
                <w:szCs w:val="24"/>
                <w:rtl/>
                <w:lang w:eastAsia="zh-CN"/>
              </w:rPr>
              <w:t>המקבילות וההבדלים הבולטים ביותר מתבררים כאשר אנו משווים את המבנה הכולל של שני טקסטים אלה:</w:t>
            </w:r>
          </w:p>
          <w:p w14:paraId="0DBD7F16" w14:textId="15CBB381" w:rsidR="00766498" w:rsidRPr="00766498" w:rsidRDefault="00766498" w:rsidP="00766498">
            <w:pPr>
              <w:shd w:val="clear" w:color="auto" w:fill="FFFFFF"/>
              <w:bidi/>
              <w:spacing w:before="131" w:after="131" w:line="393" w:lineRule="atLeast"/>
              <w:outlineLvl w:val="1"/>
              <w:rPr>
                <w:rFonts w:ascii="David" w:eastAsia="Calibri" w:hAnsi="David" w:cs="David"/>
                <w:sz w:val="24"/>
                <w:szCs w:val="24"/>
                <w:rtl/>
                <w:lang w:eastAsia="zh-CN"/>
              </w:rPr>
            </w:pPr>
            <w:r>
              <w:rPr>
                <w:rFonts w:ascii="David" w:eastAsia="Calibri" w:hAnsi="David" w:cs="David" w:hint="cs"/>
                <w:sz w:val="24"/>
                <w:szCs w:val="24"/>
                <w:rtl/>
                <w:lang w:eastAsia="zh-CN"/>
              </w:rPr>
              <w:t>(הלוח נמצא בסוף הטבלה)</w:t>
            </w:r>
          </w:p>
          <w:p w14:paraId="773F0AF7" w14:textId="77777777" w:rsidR="000F3D41" w:rsidRDefault="000F3D41" w:rsidP="004E1C22">
            <w:pPr>
              <w:bidi/>
              <w:spacing w:line="276" w:lineRule="auto"/>
              <w:rPr>
                <w:rFonts w:asciiTheme="minorBidi" w:hAnsiTheme="minorBidi"/>
                <w:rtl/>
              </w:rPr>
            </w:pPr>
          </w:p>
        </w:tc>
      </w:tr>
      <w:tr w:rsidR="00D33387" w14:paraId="39270036" w14:textId="77777777" w:rsidTr="004E1C22">
        <w:tc>
          <w:tcPr>
            <w:tcW w:w="4675" w:type="dxa"/>
          </w:tcPr>
          <w:p w14:paraId="136DB73F" w14:textId="77777777" w:rsidR="00D33387" w:rsidRPr="00D33387" w:rsidRDefault="00D33387" w:rsidP="00D33387">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D33387">
              <w:rPr>
                <w:rFonts w:ascii="Times New Roman" w:eastAsia="Times New Roman" w:hAnsi="Times New Roman" w:cs="Times New Roman"/>
                <w:color w:val="000000"/>
                <w:sz w:val="16"/>
                <w:szCs w:val="16"/>
                <w:lang w:eastAsia="zh-CN" w:bidi="ar-SA"/>
              </w:rPr>
              <w:t>As noted, the elaborate diagnostic procedures outlined in Lev 13 parallels the detailed symptomology of </w:t>
            </w:r>
            <w:proofErr w:type="spellStart"/>
            <w:r w:rsidRPr="00D33387">
              <w:rPr>
                <w:rFonts w:ascii="Times New Roman" w:eastAsia="Times New Roman" w:hAnsi="Times New Roman" w:cs="Times New Roman"/>
                <w:i/>
                <w:iCs/>
                <w:color w:val="000000"/>
                <w:sz w:val="16"/>
                <w:lang w:eastAsia="zh-CN" w:bidi="ar-SA"/>
              </w:rPr>
              <w:t>saḫaršubbû</w:t>
            </w:r>
            <w:proofErr w:type="spellEnd"/>
            <w:r w:rsidRPr="00D33387">
              <w:rPr>
                <w:rFonts w:ascii="Times New Roman" w:eastAsia="Times New Roman" w:hAnsi="Times New Roman" w:cs="Times New Roman"/>
                <w:i/>
                <w:iCs/>
                <w:color w:val="000000"/>
                <w:sz w:val="16"/>
                <w:lang w:eastAsia="zh-CN" w:bidi="ar-SA"/>
              </w:rPr>
              <w:t> </w:t>
            </w:r>
            <w:r w:rsidRPr="00D33387">
              <w:rPr>
                <w:rFonts w:ascii="Times New Roman" w:eastAsia="Times New Roman" w:hAnsi="Times New Roman" w:cs="Times New Roman"/>
                <w:color w:val="000000"/>
                <w:sz w:val="16"/>
                <w:szCs w:val="16"/>
                <w:lang w:eastAsia="zh-CN" w:bidi="ar-SA"/>
              </w:rPr>
              <w:t xml:space="preserve">as indicated in ll. 50–84 of the </w:t>
            </w:r>
            <w:proofErr w:type="spellStart"/>
            <w:r w:rsidRPr="00D33387">
              <w:rPr>
                <w:rFonts w:ascii="Times New Roman" w:eastAsia="Times New Roman" w:hAnsi="Times New Roman" w:cs="Times New Roman"/>
                <w:color w:val="000000"/>
                <w:sz w:val="16"/>
                <w:szCs w:val="16"/>
                <w:lang w:eastAsia="zh-CN" w:bidi="ar-SA"/>
              </w:rPr>
              <w:t>Emar</w:t>
            </w:r>
            <w:proofErr w:type="spellEnd"/>
            <w:r w:rsidRPr="00D33387">
              <w:rPr>
                <w:rFonts w:ascii="Times New Roman" w:eastAsia="Times New Roman" w:hAnsi="Times New Roman" w:cs="Times New Roman"/>
                <w:color w:val="000000"/>
                <w:sz w:val="16"/>
                <w:szCs w:val="16"/>
                <w:lang w:eastAsia="zh-CN" w:bidi="ar-SA"/>
              </w:rPr>
              <w:t xml:space="preserve"> tablet. In turn, Lev 14 parallels the section in lines 85–89 of the </w:t>
            </w:r>
            <w:proofErr w:type="spellStart"/>
            <w:r w:rsidRPr="00D33387">
              <w:rPr>
                <w:rFonts w:ascii="Times New Roman" w:eastAsia="Times New Roman" w:hAnsi="Times New Roman" w:cs="Times New Roman"/>
                <w:color w:val="000000"/>
                <w:sz w:val="16"/>
                <w:szCs w:val="16"/>
                <w:lang w:eastAsia="zh-CN" w:bidi="ar-SA"/>
              </w:rPr>
              <w:t>Emar</w:t>
            </w:r>
            <w:proofErr w:type="spellEnd"/>
            <w:r w:rsidRPr="00D33387">
              <w:rPr>
                <w:rFonts w:ascii="Times New Roman" w:eastAsia="Times New Roman" w:hAnsi="Times New Roman" w:cs="Times New Roman"/>
                <w:color w:val="000000"/>
                <w:sz w:val="16"/>
                <w:szCs w:val="16"/>
                <w:lang w:eastAsia="zh-CN" w:bidi="ar-SA"/>
              </w:rPr>
              <w:t xml:space="preserve"> tablet dealing with the patient “after he recovers” (</w:t>
            </w:r>
            <w:proofErr w:type="spellStart"/>
            <w:r w:rsidRPr="00D33387">
              <w:rPr>
                <w:rFonts w:ascii="Times New Roman" w:eastAsia="Times New Roman" w:hAnsi="Times New Roman" w:cs="Times New Roman"/>
                <w:i/>
                <w:iCs/>
                <w:color w:val="000000"/>
                <w:sz w:val="16"/>
                <w:lang w:eastAsia="zh-CN" w:bidi="ar-SA"/>
              </w:rPr>
              <w:t>kīmê</w:t>
            </w:r>
            <w:proofErr w:type="spellEnd"/>
            <w:r w:rsidRPr="00D33387">
              <w:rPr>
                <w:rFonts w:ascii="Times New Roman" w:eastAsia="Times New Roman" w:hAnsi="Times New Roman" w:cs="Times New Roman"/>
                <w:i/>
                <w:iCs/>
                <w:color w:val="000000"/>
                <w:sz w:val="16"/>
                <w:lang w:eastAsia="zh-CN" w:bidi="ar-SA"/>
              </w:rPr>
              <w:t xml:space="preserve"> </w:t>
            </w:r>
            <w:proofErr w:type="spellStart"/>
            <w:r w:rsidRPr="00D33387">
              <w:rPr>
                <w:rFonts w:ascii="Times New Roman" w:eastAsia="Times New Roman" w:hAnsi="Times New Roman" w:cs="Times New Roman"/>
                <w:i/>
                <w:iCs/>
                <w:color w:val="000000"/>
                <w:sz w:val="16"/>
                <w:lang w:eastAsia="zh-CN" w:bidi="ar-SA"/>
              </w:rPr>
              <w:t>ibluṭ</w:t>
            </w:r>
            <w:proofErr w:type="spellEnd"/>
            <w:r w:rsidRPr="00D33387">
              <w:rPr>
                <w:rFonts w:ascii="Times New Roman" w:eastAsia="Times New Roman" w:hAnsi="Times New Roman" w:cs="Times New Roman"/>
                <w:i/>
                <w:iCs/>
                <w:color w:val="000000"/>
                <w:sz w:val="16"/>
                <w:lang w:eastAsia="zh-CN" w:bidi="ar-SA"/>
              </w:rPr>
              <w:t> </w:t>
            </w:r>
            <w:r w:rsidRPr="00D33387">
              <w:rPr>
                <w:rFonts w:ascii="Times New Roman" w:eastAsia="Times New Roman" w:hAnsi="Times New Roman" w:cs="Times New Roman"/>
                <w:color w:val="000000"/>
                <w:sz w:val="16"/>
                <w:szCs w:val="16"/>
                <w:lang w:eastAsia="zh-CN" w:bidi="ar-SA"/>
              </w:rPr>
              <w:t>[TI-</w:t>
            </w:r>
            <w:proofErr w:type="spellStart"/>
            <w:r w:rsidRPr="00D33387">
              <w:rPr>
                <w:rFonts w:ascii="Times New Roman" w:eastAsia="Times New Roman" w:hAnsi="Times New Roman" w:cs="Times New Roman"/>
                <w:i/>
                <w:iCs/>
                <w:color w:val="000000"/>
                <w:sz w:val="16"/>
                <w:lang w:eastAsia="zh-CN" w:bidi="ar-SA"/>
              </w:rPr>
              <w:t>uṭ</w:t>
            </w:r>
            <w:proofErr w:type="spellEnd"/>
            <w:r w:rsidRPr="00D33387">
              <w:rPr>
                <w:rFonts w:ascii="Times New Roman" w:eastAsia="Times New Roman" w:hAnsi="Times New Roman" w:cs="Times New Roman"/>
                <w:color w:val="000000"/>
                <w:sz w:val="16"/>
                <w:szCs w:val="16"/>
                <w:lang w:eastAsia="zh-CN" w:bidi="ar-SA"/>
              </w:rPr>
              <w:t>]).</w:t>
            </w:r>
          </w:p>
          <w:p w14:paraId="35CEE693" w14:textId="77777777" w:rsidR="00D33387" w:rsidRPr="00914FF4" w:rsidRDefault="00D33387"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tc>
        <w:tc>
          <w:tcPr>
            <w:tcW w:w="4675" w:type="dxa"/>
          </w:tcPr>
          <w:p w14:paraId="7EDAAE7F"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t>כפי שצוין, ההליכים האבחנתיים המפורטים המתוארים בספר ויקרא 13 מקבילים לתיאור המפורט של תסמיני ה-</w:t>
            </w:r>
            <w:r w:rsidRPr="00766498">
              <w:rPr>
                <w:rFonts w:ascii="Times New Roman" w:eastAsia="Times New Roman" w:hAnsi="Times New Roman" w:cs="Times New Roman"/>
                <w:i/>
                <w:iCs/>
                <w:color w:val="000000"/>
                <w:sz w:val="16"/>
                <w:lang w:bidi="ar-SA"/>
              </w:rPr>
              <w:t xml:space="preserve"> </w:t>
            </w:r>
            <w:proofErr w:type="spellStart"/>
            <w:r w:rsidRPr="00766498">
              <w:rPr>
                <w:rFonts w:ascii="Times New Roman" w:eastAsia="Times New Roman" w:hAnsi="Times New Roman" w:cs="Times New Roman"/>
                <w:i/>
                <w:iCs/>
                <w:color w:val="000000"/>
                <w:sz w:val="16"/>
                <w:lang w:bidi="ar-SA"/>
              </w:rPr>
              <w:t>saḫaršubbû</w:t>
            </w:r>
            <w:proofErr w:type="spellEnd"/>
            <w:r w:rsidRPr="00766498">
              <w:rPr>
                <w:rFonts w:ascii="David" w:eastAsia="Times New Roman" w:hAnsi="David" w:cs="David" w:hint="cs"/>
                <w:sz w:val="24"/>
                <w:szCs w:val="24"/>
                <w:rtl/>
              </w:rPr>
              <w:t xml:space="preserve"> כפי שנרמז ב-1</w:t>
            </w:r>
            <w:r w:rsidRPr="00766498">
              <w:rPr>
                <w:rFonts w:ascii="David" w:eastAsia="Times New Roman" w:hAnsi="David" w:cs="David" w:hint="cs"/>
                <w:sz w:val="24"/>
                <w:szCs w:val="24"/>
              </w:rPr>
              <w:t>I</w:t>
            </w:r>
            <w:r w:rsidRPr="00766498">
              <w:rPr>
                <w:rFonts w:ascii="David" w:eastAsia="Times New Roman" w:hAnsi="David" w:cs="David" w:hint="cs"/>
                <w:sz w:val="24"/>
                <w:szCs w:val="24"/>
                <w:rtl/>
              </w:rPr>
              <w:t xml:space="preserve">. 50–84 בלוח </w:t>
            </w:r>
            <w:r w:rsidRPr="00766498">
              <w:rPr>
                <w:rFonts w:ascii="David" w:eastAsia="Times New Roman" w:hAnsi="David" w:cs="David"/>
                <w:sz w:val="24"/>
                <w:szCs w:val="24"/>
              </w:rPr>
              <w:t xml:space="preserve">. </w:t>
            </w:r>
            <w:r w:rsidRPr="00766498">
              <w:rPr>
                <w:rFonts w:ascii="Times New Roman" w:eastAsia="Times New Roman" w:hAnsi="Times New Roman" w:cs="Times New Roman"/>
                <w:color w:val="000000"/>
                <w:sz w:val="16"/>
                <w:szCs w:val="16"/>
                <w:lang w:bidi="ar-SA"/>
              </w:rPr>
              <w:t xml:space="preserve"> </w:t>
            </w:r>
            <w:proofErr w:type="spellStart"/>
            <w:r w:rsidRPr="00766498">
              <w:rPr>
                <w:rFonts w:ascii="Times New Roman" w:eastAsia="Times New Roman" w:hAnsi="Times New Roman" w:cs="Times New Roman"/>
                <w:color w:val="000000"/>
                <w:sz w:val="16"/>
                <w:szCs w:val="16"/>
                <w:lang w:bidi="ar-SA"/>
              </w:rPr>
              <w:t>Emar</w:t>
            </w:r>
            <w:proofErr w:type="spellEnd"/>
            <w:r w:rsidRPr="00766498">
              <w:rPr>
                <w:rFonts w:ascii="David" w:eastAsia="Times New Roman" w:hAnsi="David" w:cs="David" w:hint="cs"/>
                <w:sz w:val="24"/>
                <w:szCs w:val="24"/>
                <w:rtl/>
              </w:rPr>
              <w:t xml:space="preserve">בהמשך לכך, ויקרא 14 מקביל לקטע בשורות 85–89 בלוח </w:t>
            </w:r>
            <w:proofErr w:type="spellStart"/>
            <w:r w:rsidRPr="00766498">
              <w:rPr>
                <w:rFonts w:ascii="Times New Roman" w:eastAsia="Times New Roman" w:hAnsi="Times New Roman" w:cs="Times New Roman"/>
                <w:color w:val="000000"/>
                <w:sz w:val="16"/>
                <w:szCs w:val="16"/>
                <w:lang w:bidi="ar-SA"/>
              </w:rPr>
              <w:t>Emar</w:t>
            </w:r>
            <w:proofErr w:type="spellEnd"/>
            <w:r w:rsidRPr="00766498">
              <w:rPr>
                <w:rFonts w:ascii="David" w:eastAsia="Times New Roman" w:hAnsi="David" w:cs="David" w:hint="cs"/>
                <w:sz w:val="24"/>
                <w:szCs w:val="24"/>
                <w:rtl/>
              </w:rPr>
              <w:t xml:space="preserve"> העוסק במטופל "לאחר החלמתו" </w:t>
            </w:r>
            <w:r w:rsidRPr="00766498">
              <w:rPr>
                <w:rFonts w:ascii="Times New Roman" w:eastAsia="Times New Roman" w:hAnsi="Times New Roman" w:cs="Times New Roman"/>
                <w:color w:val="000000"/>
                <w:sz w:val="16"/>
                <w:szCs w:val="16"/>
                <w:lang w:bidi="ar-SA"/>
              </w:rPr>
              <w:t>(</w:t>
            </w:r>
            <w:proofErr w:type="spellStart"/>
            <w:r w:rsidRPr="00766498">
              <w:rPr>
                <w:rFonts w:ascii="Times New Roman" w:eastAsia="Times New Roman" w:hAnsi="Times New Roman" w:cs="Times New Roman"/>
                <w:i/>
                <w:iCs/>
                <w:color w:val="000000"/>
                <w:sz w:val="16"/>
                <w:lang w:bidi="ar-SA"/>
              </w:rPr>
              <w:t>kīmê</w:t>
            </w:r>
            <w:proofErr w:type="spellEnd"/>
            <w:r w:rsidRPr="00766498">
              <w:rPr>
                <w:rFonts w:ascii="Times New Roman" w:eastAsia="Times New Roman" w:hAnsi="Times New Roman" w:cs="Times New Roman"/>
                <w:i/>
                <w:iCs/>
                <w:color w:val="000000"/>
                <w:sz w:val="16"/>
                <w:lang w:bidi="ar-SA"/>
              </w:rPr>
              <w:t xml:space="preserve"> </w:t>
            </w:r>
            <w:proofErr w:type="spellStart"/>
            <w:r w:rsidRPr="00766498">
              <w:rPr>
                <w:rFonts w:ascii="Times New Roman" w:eastAsia="Times New Roman" w:hAnsi="Times New Roman" w:cs="Times New Roman"/>
                <w:i/>
                <w:iCs/>
                <w:color w:val="000000"/>
                <w:sz w:val="16"/>
                <w:lang w:bidi="ar-SA"/>
              </w:rPr>
              <w:t>ibluṭ</w:t>
            </w:r>
            <w:proofErr w:type="spellEnd"/>
            <w:r w:rsidRPr="00766498">
              <w:rPr>
                <w:rFonts w:ascii="Times New Roman" w:eastAsia="Times New Roman" w:hAnsi="Times New Roman" w:cs="Times New Roman"/>
                <w:i/>
                <w:iCs/>
                <w:color w:val="000000"/>
                <w:sz w:val="16"/>
                <w:lang w:bidi="ar-SA"/>
              </w:rPr>
              <w:t> </w:t>
            </w:r>
            <w:r w:rsidRPr="00766498">
              <w:rPr>
                <w:rFonts w:ascii="Times New Roman" w:eastAsia="Times New Roman" w:hAnsi="Times New Roman" w:cs="Times New Roman"/>
                <w:color w:val="000000"/>
                <w:sz w:val="16"/>
                <w:szCs w:val="16"/>
                <w:lang w:bidi="ar-SA"/>
              </w:rPr>
              <w:t>[TI-</w:t>
            </w:r>
            <w:proofErr w:type="spellStart"/>
            <w:proofErr w:type="gramStart"/>
            <w:r w:rsidRPr="00766498">
              <w:rPr>
                <w:rFonts w:ascii="Times New Roman" w:eastAsia="Times New Roman" w:hAnsi="Times New Roman" w:cs="Times New Roman"/>
                <w:i/>
                <w:iCs/>
                <w:color w:val="000000"/>
                <w:sz w:val="16"/>
                <w:lang w:bidi="ar-SA"/>
              </w:rPr>
              <w:t>uṭ</w:t>
            </w:r>
            <w:proofErr w:type="spellEnd"/>
            <w:r w:rsidRPr="00766498">
              <w:rPr>
                <w:rFonts w:ascii="Times New Roman" w:eastAsia="Times New Roman" w:hAnsi="Times New Roman" w:cs="Times New Roman"/>
                <w:color w:val="000000"/>
                <w:sz w:val="16"/>
                <w:szCs w:val="16"/>
                <w:lang w:bidi="ar-SA"/>
              </w:rPr>
              <w:t>]).</w:t>
            </w:r>
            <w:r w:rsidRPr="00766498">
              <w:rPr>
                <w:rFonts w:ascii="David" w:eastAsia="Times New Roman" w:hAnsi="David" w:cs="David" w:hint="cs"/>
                <w:sz w:val="24"/>
                <w:szCs w:val="24"/>
                <w:rtl/>
              </w:rPr>
              <w:t>.</w:t>
            </w:r>
            <w:proofErr w:type="gramEnd"/>
          </w:p>
          <w:p w14:paraId="5D7052D8" w14:textId="77777777" w:rsidR="00D33387" w:rsidRDefault="00D33387" w:rsidP="004E1C22">
            <w:pPr>
              <w:bidi/>
              <w:spacing w:line="276" w:lineRule="auto"/>
              <w:rPr>
                <w:rFonts w:asciiTheme="minorBidi" w:hAnsiTheme="minorBidi"/>
                <w:rtl/>
              </w:rPr>
            </w:pPr>
          </w:p>
        </w:tc>
      </w:tr>
      <w:tr w:rsidR="00D33387" w14:paraId="21ADCAC3" w14:textId="77777777" w:rsidTr="004E1C22">
        <w:tc>
          <w:tcPr>
            <w:tcW w:w="4675" w:type="dxa"/>
          </w:tcPr>
          <w:p w14:paraId="1BD35462" w14:textId="77777777" w:rsidR="00134FD3" w:rsidRPr="00134FD3" w:rsidRDefault="00134FD3" w:rsidP="00134FD3">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134FD3">
              <w:rPr>
                <w:rFonts w:ascii="Times New Roman" w:eastAsia="Times New Roman" w:hAnsi="Times New Roman" w:cs="Times New Roman"/>
                <w:color w:val="000000"/>
                <w:sz w:val="16"/>
                <w:szCs w:val="16"/>
                <w:lang w:eastAsia="zh-CN" w:bidi="ar-SA"/>
              </w:rPr>
              <w:t xml:space="preserve">This comparison highlights what is missing in the Bible: the striking absence of any treatment for the leper. The absence of any healing rite in Lev 14 has been noted by scholars well before the </w:t>
            </w:r>
            <w:proofErr w:type="spellStart"/>
            <w:r w:rsidRPr="00134FD3">
              <w:rPr>
                <w:rFonts w:ascii="Times New Roman" w:eastAsia="Times New Roman" w:hAnsi="Times New Roman" w:cs="Times New Roman"/>
                <w:color w:val="000000"/>
                <w:sz w:val="16"/>
                <w:szCs w:val="16"/>
                <w:lang w:eastAsia="zh-CN" w:bidi="ar-SA"/>
              </w:rPr>
              <w:t>Emar</w:t>
            </w:r>
            <w:proofErr w:type="spellEnd"/>
            <w:r w:rsidRPr="00134FD3">
              <w:rPr>
                <w:rFonts w:ascii="Times New Roman" w:eastAsia="Times New Roman" w:hAnsi="Times New Roman" w:cs="Times New Roman"/>
                <w:color w:val="000000"/>
                <w:sz w:val="16"/>
                <w:szCs w:val="16"/>
                <w:lang w:eastAsia="zh-CN" w:bidi="ar-SA"/>
              </w:rPr>
              <w:t xml:space="preserve"> texts were published,</w:t>
            </w:r>
            <w:r w:rsidRPr="00134FD3">
              <w:rPr>
                <w:rFonts w:ascii="Times New Roman" w:eastAsia="Times New Roman" w:hAnsi="Times New Roman" w:cs="Times New Roman"/>
                <w:color w:val="B22222"/>
                <w:sz w:val="14"/>
                <w:szCs w:val="14"/>
                <w:vertAlign w:val="superscript"/>
                <w:lang w:eastAsia="zh-CN" w:bidi="ar-SA"/>
              </w:rPr>
              <w:t>[10]</w:t>
            </w:r>
            <w:r w:rsidRPr="00134FD3">
              <w:rPr>
                <w:rFonts w:ascii="Times New Roman" w:eastAsia="Times New Roman" w:hAnsi="Times New Roman" w:cs="Times New Roman"/>
                <w:color w:val="000000"/>
                <w:sz w:val="16"/>
                <w:szCs w:val="16"/>
                <w:lang w:eastAsia="zh-CN" w:bidi="ar-SA"/>
              </w:rPr>
              <w:t xml:space="preserve"> but the otherwise close parallel with the </w:t>
            </w:r>
            <w:proofErr w:type="spellStart"/>
            <w:r w:rsidRPr="00134FD3">
              <w:rPr>
                <w:rFonts w:ascii="Times New Roman" w:eastAsia="Times New Roman" w:hAnsi="Times New Roman" w:cs="Times New Roman"/>
                <w:color w:val="000000"/>
                <w:sz w:val="16"/>
                <w:szCs w:val="16"/>
                <w:lang w:eastAsia="zh-CN" w:bidi="ar-SA"/>
              </w:rPr>
              <w:t>Emar</w:t>
            </w:r>
            <w:proofErr w:type="spellEnd"/>
            <w:r w:rsidRPr="00134FD3">
              <w:rPr>
                <w:rFonts w:ascii="Times New Roman" w:eastAsia="Times New Roman" w:hAnsi="Times New Roman" w:cs="Times New Roman"/>
                <w:color w:val="000000"/>
                <w:sz w:val="16"/>
                <w:szCs w:val="16"/>
                <w:lang w:eastAsia="zh-CN" w:bidi="ar-SA"/>
              </w:rPr>
              <w:t xml:space="preserve"> ritual makes this omission all the more conspicuous.</w:t>
            </w:r>
          </w:p>
          <w:p w14:paraId="2C823978" w14:textId="77777777" w:rsidR="00D33387" w:rsidRPr="00914FF4" w:rsidRDefault="00D33387"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tc>
        <w:tc>
          <w:tcPr>
            <w:tcW w:w="4675" w:type="dxa"/>
          </w:tcPr>
          <w:p w14:paraId="017F2A7D"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lastRenderedPageBreak/>
              <w:t xml:space="preserve">השוואה זו מדגישה את מה שחסר במקרא: ההעדר הבולט של כל טיפול במצורע. העדר כל טקס ריפוי בספר ויקרא 14 צוין בידי חוקרים זמן רב לפני </w:t>
            </w:r>
            <w:r w:rsidRPr="00766498">
              <w:rPr>
                <w:rFonts w:ascii="David" w:eastAsia="Times New Roman" w:hAnsi="David" w:cs="David" w:hint="cs"/>
                <w:sz w:val="24"/>
                <w:szCs w:val="24"/>
                <w:rtl/>
              </w:rPr>
              <w:lastRenderedPageBreak/>
              <w:t xml:space="preserve">שפורסמו הטקסטים של </w:t>
            </w:r>
            <w:proofErr w:type="spellStart"/>
            <w:r w:rsidRPr="00766498">
              <w:rPr>
                <w:rFonts w:ascii="Times New Roman" w:eastAsia="Times New Roman" w:hAnsi="Times New Roman" w:cs="Times New Roman"/>
                <w:color w:val="000000"/>
                <w:sz w:val="16"/>
                <w:szCs w:val="16"/>
                <w:lang w:bidi="ar-SA"/>
              </w:rPr>
              <w:t>Emar</w:t>
            </w:r>
            <w:proofErr w:type="spellEnd"/>
            <w:r w:rsidRPr="00766498">
              <w:rPr>
                <w:rFonts w:ascii="David" w:eastAsia="Times New Roman" w:hAnsi="David" w:cs="David" w:hint="cs"/>
                <w:sz w:val="24"/>
                <w:szCs w:val="24"/>
                <w:rtl/>
              </w:rPr>
              <w:t>,</w:t>
            </w:r>
            <w:r w:rsidRPr="00766498">
              <w:rPr>
                <w:rFonts w:ascii="David" w:eastAsia="Times New Roman" w:hAnsi="David" w:cs="David"/>
                <w:sz w:val="24"/>
                <w:szCs w:val="24"/>
                <w:vertAlign w:val="superscript"/>
                <w:rtl/>
              </w:rPr>
              <w:footnoteReference w:id="10"/>
            </w:r>
            <w:r w:rsidRPr="00766498">
              <w:rPr>
                <w:rFonts w:ascii="David" w:eastAsia="Times New Roman" w:hAnsi="David" w:cs="David" w:hint="cs"/>
                <w:sz w:val="24"/>
                <w:szCs w:val="24"/>
                <w:rtl/>
              </w:rPr>
              <w:t xml:space="preserve"> אך ההקבלה שמבחינות אחרות קרובה מאוד לטקס </w:t>
            </w:r>
            <w:proofErr w:type="spellStart"/>
            <w:r w:rsidRPr="00766498">
              <w:rPr>
                <w:rFonts w:ascii="Times New Roman" w:eastAsia="Times New Roman" w:hAnsi="Times New Roman" w:cs="Times New Roman"/>
                <w:color w:val="000000"/>
                <w:sz w:val="16"/>
                <w:szCs w:val="16"/>
                <w:lang w:bidi="ar-SA"/>
              </w:rPr>
              <w:t>Emar</w:t>
            </w:r>
            <w:proofErr w:type="spellEnd"/>
            <w:r w:rsidRPr="00766498">
              <w:rPr>
                <w:rFonts w:ascii="David" w:eastAsia="Times New Roman" w:hAnsi="David" w:cs="David" w:hint="cs"/>
                <w:sz w:val="24"/>
                <w:szCs w:val="24"/>
                <w:rtl/>
              </w:rPr>
              <w:t xml:space="preserve"> מבליטה עוד יותר השמטה זו.</w:t>
            </w:r>
          </w:p>
          <w:p w14:paraId="1AE36BDD" w14:textId="77777777" w:rsidR="00D33387" w:rsidRDefault="00D33387" w:rsidP="004E1C22">
            <w:pPr>
              <w:bidi/>
              <w:spacing w:line="276" w:lineRule="auto"/>
              <w:rPr>
                <w:rFonts w:asciiTheme="minorBidi" w:hAnsiTheme="minorBidi"/>
                <w:rtl/>
              </w:rPr>
            </w:pPr>
          </w:p>
        </w:tc>
      </w:tr>
      <w:tr w:rsidR="00D33387" w14:paraId="1AC279E8" w14:textId="77777777" w:rsidTr="004E1C22">
        <w:tc>
          <w:tcPr>
            <w:tcW w:w="4675" w:type="dxa"/>
          </w:tcPr>
          <w:p w14:paraId="2F8C4E3A" w14:textId="77777777" w:rsidR="00134FD3" w:rsidRPr="00134FD3" w:rsidRDefault="00134FD3" w:rsidP="00134FD3">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134FD3">
              <w:rPr>
                <w:rFonts w:ascii="Times New Roman" w:eastAsia="Times New Roman" w:hAnsi="Times New Roman" w:cs="Times New Roman"/>
                <w:color w:val="000000"/>
                <w:sz w:val="16"/>
                <w:szCs w:val="16"/>
                <w:lang w:eastAsia="zh-CN" w:bidi="ar-SA"/>
              </w:rPr>
              <w:lastRenderedPageBreak/>
              <w:t>That healing rites did exist among ancient Israelites is attested not only in the extra-biblical evidence from neighboring cultures, but from the abundant array of amulets and figurines found in Judean archaeological sites throughout the Iron Age. These probably served multiple functions, including healing and protection against dangerous forces.</w:t>
            </w:r>
            <w:r w:rsidRPr="00134FD3">
              <w:rPr>
                <w:rFonts w:ascii="Times New Roman" w:eastAsia="Times New Roman" w:hAnsi="Times New Roman" w:cs="Times New Roman"/>
                <w:color w:val="B22222"/>
                <w:sz w:val="14"/>
                <w:szCs w:val="14"/>
                <w:vertAlign w:val="superscript"/>
                <w:lang w:eastAsia="zh-CN" w:bidi="ar-SA"/>
              </w:rPr>
              <w:t>[11]</w:t>
            </w:r>
          </w:p>
          <w:p w14:paraId="57498F0A" w14:textId="77777777" w:rsidR="00D33387" w:rsidRPr="00914FF4" w:rsidRDefault="00D33387"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tc>
        <w:tc>
          <w:tcPr>
            <w:tcW w:w="4675" w:type="dxa"/>
          </w:tcPr>
          <w:p w14:paraId="78D8FA8D" w14:textId="77777777" w:rsidR="00D33387" w:rsidRDefault="00D33387" w:rsidP="004E1C22">
            <w:pPr>
              <w:bidi/>
              <w:spacing w:line="276" w:lineRule="auto"/>
              <w:rPr>
                <w:rFonts w:asciiTheme="minorBidi" w:hAnsiTheme="minorBidi"/>
                <w:rtl/>
              </w:rPr>
            </w:pPr>
          </w:p>
          <w:p w14:paraId="3B7E88A4"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t>העובדה שטקסי ריפוי היו קיימים אצל העברים הקדמונים נתמכת לא רק בראיות חוץ-מקראיות מתרבויות שכנות אלא גם מן המגוון הרב של קמעות ופסלונים שנמצאו באתרים ארכאולוגיים ביהודה לאורך תקופת הברזל. כפי הנראה, אלה שימשו בתפקידים מרובים, ובכללם ריפוי והגנה מפני כוחות מסוכנים.</w:t>
            </w:r>
            <w:r w:rsidRPr="00766498">
              <w:rPr>
                <w:rFonts w:ascii="David" w:eastAsia="Times New Roman" w:hAnsi="David" w:cs="David"/>
                <w:sz w:val="24"/>
                <w:szCs w:val="24"/>
                <w:vertAlign w:val="superscript"/>
                <w:rtl/>
              </w:rPr>
              <w:footnoteReference w:id="11"/>
            </w:r>
          </w:p>
          <w:p w14:paraId="3C01590F" w14:textId="2FD0D06F" w:rsidR="00766498" w:rsidRPr="00766498" w:rsidRDefault="00766498" w:rsidP="00766498">
            <w:pPr>
              <w:bidi/>
              <w:rPr>
                <w:rFonts w:asciiTheme="minorBidi" w:hAnsiTheme="minorBidi"/>
                <w:rtl/>
              </w:rPr>
            </w:pPr>
          </w:p>
        </w:tc>
      </w:tr>
      <w:tr w:rsidR="00D33387" w14:paraId="0290EA04" w14:textId="77777777" w:rsidTr="004E1C22">
        <w:tc>
          <w:tcPr>
            <w:tcW w:w="4675" w:type="dxa"/>
          </w:tcPr>
          <w:p w14:paraId="234A4FAA"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r w:rsidRPr="00134FD3">
              <w:rPr>
                <w:rFonts w:ascii="Times New Roman" w:eastAsia="Times New Roman" w:hAnsi="Times New Roman" w:cs="Times New Roman"/>
                <w:color w:val="000000"/>
                <w:sz w:val="20"/>
                <w:szCs w:val="20"/>
                <w:lang w:eastAsia="zh-CN" w:bidi="ar-SA"/>
              </w:rPr>
              <w:t>Sources of Impurity</w:t>
            </w:r>
          </w:p>
          <w:p w14:paraId="74DEE759" w14:textId="77777777" w:rsidR="00134FD3" w:rsidRPr="00134FD3" w:rsidRDefault="00134FD3" w:rsidP="00134FD3">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134FD3">
              <w:rPr>
                <w:rFonts w:ascii="Times New Roman" w:eastAsia="Times New Roman" w:hAnsi="Times New Roman" w:cs="Times New Roman"/>
                <w:color w:val="000000"/>
                <w:sz w:val="16"/>
                <w:szCs w:val="16"/>
                <w:lang w:eastAsia="zh-CN" w:bidi="ar-SA"/>
              </w:rPr>
              <w:t>The most convincing way to address the paradoxical treatment of the </w:t>
            </w:r>
            <w:proofErr w:type="spellStart"/>
            <w:proofErr w:type="gramStart"/>
            <w:r w:rsidRPr="00134FD3">
              <w:rPr>
                <w:rFonts w:ascii="Times New Roman" w:eastAsia="Times New Roman" w:hAnsi="Times New Roman" w:cs="Times New Roman"/>
                <w:i/>
                <w:iCs/>
                <w:color w:val="000000"/>
                <w:sz w:val="16"/>
                <w:lang w:eastAsia="zh-CN" w:bidi="ar-SA"/>
              </w:rPr>
              <w:t>meṣor‘</w:t>
            </w:r>
            <w:proofErr w:type="gramEnd"/>
            <w:r w:rsidRPr="00134FD3">
              <w:rPr>
                <w:rFonts w:ascii="Times New Roman" w:eastAsia="Times New Roman" w:hAnsi="Times New Roman" w:cs="Times New Roman"/>
                <w:i/>
                <w:iCs/>
                <w:color w:val="000000"/>
                <w:sz w:val="16"/>
                <w:lang w:eastAsia="zh-CN" w:bidi="ar-SA"/>
              </w:rPr>
              <w:t>a</w:t>
            </w:r>
            <w:proofErr w:type="spellEnd"/>
            <w:r w:rsidRPr="00134FD3">
              <w:rPr>
                <w:rFonts w:ascii="Times New Roman" w:eastAsia="Times New Roman" w:hAnsi="Times New Roman" w:cs="Times New Roman"/>
                <w:color w:val="000000"/>
                <w:sz w:val="16"/>
                <w:szCs w:val="16"/>
                <w:lang w:eastAsia="zh-CN" w:bidi="ar-SA"/>
              </w:rPr>
              <w:t> is by assuming that this disease has been reconceptualized. Indeed, the Bible offers hints of a more ancient conception than the one represented in the Priestly texts. As I have suggested elsewhere, the notion of pollution (</w:t>
            </w:r>
            <w:r w:rsidRPr="00134FD3">
              <w:rPr>
                <w:rFonts w:ascii="Times New Roman" w:eastAsia="Times New Roman" w:hAnsi="Times New Roman" w:cs="Times New Roman"/>
                <w:color w:val="000000"/>
                <w:sz w:val="16"/>
                <w:szCs w:val="16"/>
                <w:rtl/>
                <w:lang w:eastAsia="zh-CN"/>
              </w:rPr>
              <w:t>טומאה</w:t>
            </w:r>
            <w:r w:rsidRPr="00134FD3">
              <w:rPr>
                <w:rFonts w:ascii="Times New Roman" w:eastAsia="Times New Roman" w:hAnsi="Times New Roman" w:cs="Times New Roman"/>
                <w:color w:val="000000"/>
                <w:sz w:val="16"/>
                <w:szCs w:val="16"/>
                <w:lang w:eastAsia="zh-CN" w:bidi="ar-SA"/>
              </w:rPr>
              <w:t>) serves in part as a premodern conceptualization of infection,</w:t>
            </w:r>
            <w:r w:rsidRPr="00134FD3">
              <w:rPr>
                <w:rFonts w:ascii="Times New Roman" w:eastAsia="Times New Roman" w:hAnsi="Times New Roman" w:cs="Times New Roman"/>
                <w:color w:val="B22222"/>
                <w:sz w:val="14"/>
                <w:szCs w:val="14"/>
                <w:vertAlign w:val="superscript"/>
                <w:lang w:eastAsia="zh-CN" w:bidi="ar-SA"/>
              </w:rPr>
              <w:t>[</w:t>
            </w:r>
            <w:proofErr w:type="gramStart"/>
            <w:r w:rsidRPr="00134FD3">
              <w:rPr>
                <w:rFonts w:ascii="Times New Roman" w:eastAsia="Times New Roman" w:hAnsi="Times New Roman" w:cs="Times New Roman"/>
                <w:color w:val="B22222"/>
                <w:sz w:val="14"/>
                <w:szCs w:val="14"/>
                <w:vertAlign w:val="superscript"/>
                <w:lang w:eastAsia="zh-CN" w:bidi="ar-SA"/>
              </w:rPr>
              <w:t>12]</w:t>
            </w:r>
            <w:r w:rsidRPr="00134FD3">
              <w:rPr>
                <w:rFonts w:ascii="Times New Roman" w:eastAsia="Times New Roman" w:hAnsi="Times New Roman" w:cs="Times New Roman"/>
                <w:color w:val="000000"/>
                <w:sz w:val="16"/>
                <w:szCs w:val="16"/>
                <w:lang w:eastAsia="zh-CN" w:bidi="ar-SA"/>
              </w:rPr>
              <w:t>specifically</w:t>
            </w:r>
            <w:proofErr w:type="gramEnd"/>
            <w:r w:rsidRPr="00134FD3">
              <w:rPr>
                <w:rFonts w:ascii="Times New Roman" w:eastAsia="Times New Roman" w:hAnsi="Times New Roman" w:cs="Times New Roman"/>
                <w:color w:val="000000"/>
                <w:sz w:val="16"/>
                <w:szCs w:val="16"/>
                <w:lang w:eastAsia="zh-CN" w:bidi="ar-SA"/>
              </w:rPr>
              <w:t xml:space="preserve"> regarding severe conditions such as leprosy and gonorrhea.</w:t>
            </w:r>
            <w:r w:rsidRPr="00134FD3">
              <w:rPr>
                <w:rFonts w:ascii="Times New Roman" w:eastAsia="Times New Roman" w:hAnsi="Times New Roman" w:cs="Times New Roman"/>
                <w:color w:val="B22222"/>
                <w:sz w:val="14"/>
                <w:szCs w:val="14"/>
                <w:vertAlign w:val="superscript"/>
                <w:lang w:eastAsia="zh-CN" w:bidi="ar-SA"/>
              </w:rPr>
              <w:t>[13]</w:t>
            </w:r>
            <w:r w:rsidRPr="00134FD3">
              <w:rPr>
                <w:rFonts w:ascii="Times New Roman" w:eastAsia="Times New Roman" w:hAnsi="Times New Roman" w:cs="Times New Roman"/>
                <w:color w:val="000000"/>
                <w:sz w:val="16"/>
                <w:szCs w:val="16"/>
                <w:lang w:eastAsia="zh-CN" w:bidi="ar-SA"/>
              </w:rPr>
              <w:t> The severe pollution associated with corpses may stem from a fear associated with the spirits of the deceased.</w:t>
            </w:r>
            <w:r w:rsidRPr="00134FD3">
              <w:rPr>
                <w:rFonts w:ascii="Times New Roman" w:eastAsia="Times New Roman" w:hAnsi="Times New Roman" w:cs="Times New Roman"/>
                <w:color w:val="B22222"/>
                <w:sz w:val="14"/>
                <w:szCs w:val="14"/>
                <w:vertAlign w:val="superscript"/>
                <w:lang w:eastAsia="zh-CN" w:bidi="ar-SA"/>
              </w:rPr>
              <w:t>[14]</w:t>
            </w:r>
          </w:p>
          <w:p w14:paraId="265E432F" w14:textId="77777777" w:rsidR="00134FD3" w:rsidRPr="00134FD3" w:rsidRDefault="00134FD3" w:rsidP="00134FD3">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134FD3">
              <w:rPr>
                <w:rFonts w:ascii="Times New Roman" w:eastAsia="Times New Roman" w:hAnsi="Times New Roman" w:cs="Times New Roman"/>
                <w:color w:val="000000"/>
                <w:sz w:val="16"/>
                <w:szCs w:val="16"/>
                <w:lang w:eastAsia="zh-CN" w:bidi="ar-SA"/>
              </w:rPr>
              <w:t>David’s curse of Joab (2 Samuel 3:28–29) suggests the general fear that was associated with these conditions:</w:t>
            </w:r>
          </w:p>
          <w:p w14:paraId="094433AD" w14:textId="77777777" w:rsidR="00134FD3" w:rsidRPr="00134FD3" w:rsidRDefault="00134FD3" w:rsidP="00134FD3">
            <w:pPr>
              <w:shd w:val="clear" w:color="auto" w:fill="FFFFFF"/>
              <w:bidi/>
              <w:spacing w:after="100" w:line="290" w:lineRule="atLeast"/>
              <w:textAlignment w:val="top"/>
              <w:rPr>
                <w:rFonts w:ascii="Times New Roman" w:eastAsia="Times New Roman" w:hAnsi="Times New Roman" w:cs="Times New Roman"/>
                <w:color w:val="000000"/>
                <w:sz w:val="16"/>
                <w:szCs w:val="16"/>
                <w:lang w:eastAsia="zh-CN" w:bidi="ar-SA"/>
              </w:rPr>
            </w:pPr>
            <w:r w:rsidRPr="00134FD3">
              <w:rPr>
                <w:rFonts w:ascii="Times New Roman" w:eastAsia="Times New Roman" w:hAnsi="Times New Roman" w:cs="Times New Roman"/>
                <w:color w:val="000000"/>
                <w:sz w:val="12"/>
                <w:szCs w:val="12"/>
                <w:vertAlign w:val="superscript"/>
                <w:rtl/>
                <w:lang w:eastAsia="zh-CN"/>
              </w:rPr>
              <w:t>שמואל ב ג:כט</w:t>
            </w:r>
            <w:r w:rsidRPr="00134FD3">
              <w:rPr>
                <w:rFonts w:ascii="Times New Roman" w:eastAsia="Times New Roman" w:hAnsi="Times New Roman" w:cs="Times New Roman"/>
                <w:color w:val="000000"/>
                <w:sz w:val="16"/>
                <w:szCs w:val="16"/>
                <w:rtl/>
                <w:lang w:eastAsia="zh-CN" w:bidi="ar-SA"/>
              </w:rPr>
              <w:t> …</w:t>
            </w:r>
            <w:r w:rsidRPr="00134FD3">
              <w:rPr>
                <w:rFonts w:ascii="Times New Roman" w:eastAsia="Times New Roman" w:hAnsi="Times New Roman" w:cs="Times New Roman"/>
                <w:color w:val="000000"/>
                <w:sz w:val="16"/>
                <w:szCs w:val="16"/>
                <w:rtl/>
                <w:lang w:eastAsia="zh-CN"/>
              </w:rPr>
              <w:t xml:space="preserve">וְאַל </w:t>
            </w:r>
            <w:proofErr w:type="spellStart"/>
            <w:r w:rsidRPr="00134FD3">
              <w:rPr>
                <w:rFonts w:ascii="Times New Roman" w:eastAsia="Times New Roman" w:hAnsi="Times New Roman" w:cs="Times New Roman"/>
                <w:color w:val="000000"/>
                <w:sz w:val="16"/>
                <w:szCs w:val="16"/>
                <w:rtl/>
                <w:lang w:eastAsia="zh-CN"/>
              </w:rPr>
              <w:t>יִכָּרֵת</w:t>
            </w:r>
            <w:proofErr w:type="spellEnd"/>
            <w:r w:rsidRPr="00134FD3">
              <w:rPr>
                <w:rFonts w:ascii="Times New Roman" w:eastAsia="Times New Roman" w:hAnsi="Times New Roman" w:cs="Times New Roman"/>
                <w:color w:val="000000"/>
                <w:sz w:val="16"/>
                <w:szCs w:val="16"/>
                <w:rtl/>
                <w:lang w:eastAsia="zh-CN"/>
              </w:rPr>
              <w:t xml:space="preserve"> מִבֵּית יוֹאָב זָב </w:t>
            </w:r>
            <w:proofErr w:type="spellStart"/>
            <w:r w:rsidRPr="00134FD3">
              <w:rPr>
                <w:rFonts w:ascii="Times New Roman" w:eastAsia="Times New Roman" w:hAnsi="Times New Roman" w:cs="Times New Roman"/>
                <w:color w:val="000000"/>
                <w:sz w:val="16"/>
                <w:szCs w:val="16"/>
                <w:rtl/>
                <w:lang w:eastAsia="zh-CN"/>
              </w:rPr>
              <w:t>וּמְצֹרָע</w:t>
            </w:r>
            <w:proofErr w:type="spellEnd"/>
            <w:r w:rsidRPr="00134FD3">
              <w:rPr>
                <w:rFonts w:ascii="Times New Roman" w:eastAsia="Times New Roman" w:hAnsi="Times New Roman" w:cs="Times New Roman"/>
                <w:color w:val="000000"/>
                <w:sz w:val="16"/>
                <w:szCs w:val="16"/>
                <w:rtl/>
                <w:lang w:eastAsia="zh-CN"/>
              </w:rPr>
              <w:t xml:space="preserve"> וּמַחֲזִיק בַּפֶּלֶךְ וְנֹפֵל בַּחֶרֶב וַחֲסַר לָחֶם.</w:t>
            </w:r>
          </w:p>
          <w:p w14:paraId="187F1FE9" w14:textId="77777777" w:rsidR="00134FD3" w:rsidRPr="00134FD3" w:rsidRDefault="00134FD3" w:rsidP="00134FD3">
            <w:pPr>
              <w:shd w:val="clear" w:color="auto" w:fill="FFFFFF"/>
              <w:spacing w:line="262" w:lineRule="atLeast"/>
              <w:rPr>
                <w:rFonts w:ascii="Times New Roman" w:eastAsia="Times New Roman" w:hAnsi="Times New Roman" w:cs="Times New Roman"/>
                <w:color w:val="000000"/>
                <w:sz w:val="14"/>
                <w:szCs w:val="14"/>
                <w:rtl/>
                <w:lang w:eastAsia="zh-CN" w:bidi="ar-SA"/>
              </w:rPr>
            </w:pPr>
            <w:r w:rsidRPr="00134FD3">
              <w:rPr>
                <w:rFonts w:ascii="Times New Roman" w:eastAsia="Times New Roman" w:hAnsi="Times New Roman" w:cs="Times New Roman"/>
                <w:color w:val="000000"/>
                <w:sz w:val="14"/>
                <w:szCs w:val="14"/>
                <w:lang w:eastAsia="zh-CN" w:bidi="ar-SA"/>
              </w:rPr>
              <w:t> </w:t>
            </w:r>
          </w:p>
          <w:p w14:paraId="5FF7D9A0" w14:textId="77777777" w:rsidR="00134FD3" w:rsidRPr="00134FD3" w:rsidRDefault="00134FD3" w:rsidP="00134FD3">
            <w:pPr>
              <w:shd w:val="clear" w:color="auto" w:fill="FFFFFF"/>
              <w:spacing w:line="290" w:lineRule="atLeast"/>
              <w:textAlignment w:val="top"/>
              <w:rPr>
                <w:rFonts w:ascii="Times New Roman" w:eastAsia="Times New Roman" w:hAnsi="Times New Roman" w:cs="Times New Roman"/>
                <w:color w:val="000000"/>
                <w:sz w:val="14"/>
                <w:szCs w:val="14"/>
                <w:lang w:eastAsia="zh-CN" w:bidi="ar-SA"/>
              </w:rPr>
            </w:pPr>
            <w:r w:rsidRPr="00134FD3">
              <w:rPr>
                <w:rFonts w:ascii="Times New Roman" w:eastAsia="Times New Roman" w:hAnsi="Times New Roman" w:cs="Times New Roman"/>
                <w:color w:val="000000"/>
                <w:sz w:val="11"/>
                <w:szCs w:val="11"/>
                <w:vertAlign w:val="superscript"/>
                <w:lang w:eastAsia="zh-CN" w:bidi="ar-SA"/>
              </w:rPr>
              <w:t>2 Sam 3:29</w:t>
            </w:r>
            <w:r w:rsidRPr="00134FD3">
              <w:rPr>
                <w:rFonts w:ascii="Times New Roman" w:eastAsia="Times New Roman" w:hAnsi="Times New Roman" w:cs="Times New Roman"/>
                <w:color w:val="000000"/>
                <w:sz w:val="14"/>
                <w:szCs w:val="14"/>
                <w:lang w:eastAsia="zh-CN" w:bidi="ar-SA"/>
              </w:rPr>
              <w:t xml:space="preserve"> …May there never cease to be in the house of Joab a </w:t>
            </w:r>
            <w:proofErr w:type="spellStart"/>
            <w:r w:rsidRPr="00134FD3">
              <w:rPr>
                <w:rFonts w:ascii="Times New Roman" w:eastAsia="Times New Roman" w:hAnsi="Times New Roman" w:cs="Times New Roman"/>
                <w:color w:val="000000"/>
                <w:sz w:val="14"/>
                <w:szCs w:val="14"/>
                <w:lang w:eastAsia="zh-CN" w:bidi="ar-SA"/>
              </w:rPr>
              <w:t>gonorrheic</w:t>
            </w:r>
            <w:proofErr w:type="spellEnd"/>
            <w:r w:rsidRPr="00134FD3">
              <w:rPr>
                <w:rFonts w:ascii="Times New Roman" w:eastAsia="Times New Roman" w:hAnsi="Times New Roman" w:cs="Times New Roman"/>
                <w:color w:val="000000"/>
                <w:sz w:val="14"/>
                <w:szCs w:val="14"/>
                <w:lang w:eastAsia="zh-CN" w:bidi="ar-SA"/>
              </w:rPr>
              <w:t xml:space="preserve"> (</w:t>
            </w:r>
            <w:r w:rsidRPr="00134FD3">
              <w:rPr>
                <w:rFonts w:ascii="Times New Roman" w:eastAsia="Times New Roman" w:hAnsi="Times New Roman" w:cs="Times New Roman"/>
                <w:color w:val="000000"/>
                <w:sz w:val="14"/>
                <w:szCs w:val="14"/>
                <w:rtl/>
                <w:lang w:eastAsia="zh-CN"/>
              </w:rPr>
              <w:t>זב</w:t>
            </w:r>
            <w:r w:rsidRPr="00134FD3">
              <w:rPr>
                <w:rFonts w:ascii="Times New Roman" w:eastAsia="Times New Roman" w:hAnsi="Times New Roman" w:cs="Times New Roman"/>
                <w:color w:val="000000"/>
                <w:sz w:val="14"/>
                <w:szCs w:val="14"/>
                <w:lang w:eastAsia="zh-CN" w:bidi="ar-SA"/>
              </w:rPr>
              <w:t>), leper (</w:t>
            </w:r>
            <w:r w:rsidRPr="00134FD3">
              <w:rPr>
                <w:rFonts w:ascii="Times New Roman" w:eastAsia="Times New Roman" w:hAnsi="Times New Roman" w:cs="Times New Roman"/>
                <w:color w:val="000000"/>
                <w:sz w:val="14"/>
                <w:szCs w:val="14"/>
                <w:rtl/>
                <w:lang w:eastAsia="zh-CN"/>
              </w:rPr>
              <w:t>מצורע</w:t>
            </w:r>
            <w:r w:rsidRPr="00134FD3">
              <w:rPr>
                <w:rFonts w:ascii="Times New Roman" w:eastAsia="Times New Roman" w:hAnsi="Times New Roman" w:cs="Times New Roman"/>
                <w:color w:val="000000"/>
                <w:sz w:val="14"/>
                <w:szCs w:val="14"/>
                <w:lang w:eastAsia="zh-CN" w:bidi="ar-SA"/>
              </w:rPr>
              <w:t>), a holder of the spindle,</w:t>
            </w:r>
            <w:r w:rsidRPr="00134FD3">
              <w:rPr>
                <w:rFonts w:ascii="Times New Roman" w:eastAsia="Times New Roman" w:hAnsi="Times New Roman" w:cs="Times New Roman"/>
                <w:color w:val="B22222"/>
                <w:sz w:val="14"/>
                <w:szCs w:val="14"/>
                <w:vertAlign w:val="superscript"/>
                <w:lang w:eastAsia="zh-CN" w:bidi="ar-SA"/>
              </w:rPr>
              <w:t>[15]</w:t>
            </w:r>
            <w:r w:rsidRPr="00134FD3">
              <w:rPr>
                <w:rFonts w:ascii="Times New Roman" w:eastAsia="Times New Roman" w:hAnsi="Times New Roman" w:cs="Times New Roman"/>
                <w:color w:val="000000"/>
                <w:sz w:val="14"/>
                <w:szCs w:val="14"/>
                <w:lang w:eastAsia="zh-CN" w:bidi="ar-SA"/>
              </w:rPr>
              <w:t> a victim of the sword or a person lacking bread.</w:t>
            </w:r>
          </w:p>
          <w:p w14:paraId="1B237A5F" w14:textId="77777777" w:rsidR="00D33387" w:rsidRDefault="00D33387"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p w14:paraId="79345AA6" w14:textId="77777777" w:rsidR="00232350" w:rsidRDefault="00232350"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p w14:paraId="0C002A60" w14:textId="77777777" w:rsidR="00232350" w:rsidRDefault="00232350"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p w14:paraId="2055C27A" w14:textId="68868744" w:rsidR="00232350" w:rsidRPr="00914FF4" w:rsidRDefault="00232350" w:rsidP="00914FF4">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
        </w:tc>
        <w:tc>
          <w:tcPr>
            <w:tcW w:w="4675" w:type="dxa"/>
          </w:tcPr>
          <w:p w14:paraId="2AB5B204"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lastRenderedPageBreak/>
              <w:t>מקורות טומאה</w:t>
            </w:r>
          </w:p>
          <w:p w14:paraId="177B1487"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t>הדרך המשכנעת ביותר להתייחס לטיפול הפרדוקסלי במצורע היא להניח שמחלה זו הומשגה מחדש. אכן, המקרא רומז לתפיסה עתיקה יותר מזו המיוצגת בטקסטים הכוהניים. כפי שהצעתי במקומות אחרים, רעיון הטומאה משמש בחלקו כהמשגה פרה-מודרנית של הדבקה,</w:t>
            </w:r>
            <w:r w:rsidRPr="00766498">
              <w:rPr>
                <w:rFonts w:ascii="David" w:eastAsia="Times New Roman" w:hAnsi="David" w:cs="David"/>
                <w:sz w:val="24"/>
                <w:szCs w:val="24"/>
                <w:vertAlign w:val="superscript"/>
                <w:rtl/>
              </w:rPr>
              <w:footnoteReference w:id="12"/>
            </w:r>
            <w:r w:rsidRPr="00766498">
              <w:rPr>
                <w:rFonts w:ascii="David" w:eastAsia="Times New Roman" w:hAnsi="David" w:cs="David" w:hint="cs"/>
                <w:sz w:val="24"/>
                <w:szCs w:val="24"/>
                <w:rtl/>
              </w:rPr>
              <w:t xml:space="preserve"> במיוחד לגבי למצבים חמורים כגון צרעת וזיבה.</w:t>
            </w:r>
            <w:r w:rsidRPr="00766498">
              <w:rPr>
                <w:rFonts w:ascii="David" w:eastAsia="Times New Roman" w:hAnsi="David" w:cs="David"/>
                <w:sz w:val="24"/>
                <w:szCs w:val="24"/>
                <w:vertAlign w:val="superscript"/>
                <w:rtl/>
              </w:rPr>
              <w:footnoteReference w:id="13"/>
            </w:r>
            <w:r w:rsidRPr="00766498">
              <w:rPr>
                <w:rFonts w:ascii="David" w:eastAsia="Times New Roman" w:hAnsi="David" w:cs="David" w:hint="cs"/>
                <w:sz w:val="24"/>
                <w:szCs w:val="24"/>
                <w:rtl/>
              </w:rPr>
              <w:t xml:space="preserve"> ייתכן שהטומאה החמורה המיוחסת לגופות נובעת מפחד הקשור לרוחות הנפטרים.</w:t>
            </w:r>
            <w:r w:rsidRPr="00766498">
              <w:rPr>
                <w:rFonts w:ascii="David" w:eastAsia="Times New Roman" w:hAnsi="David" w:cs="David"/>
                <w:sz w:val="24"/>
                <w:szCs w:val="24"/>
                <w:vertAlign w:val="superscript"/>
                <w:rtl/>
              </w:rPr>
              <w:footnoteReference w:id="14"/>
            </w:r>
          </w:p>
          <w:p w14:paraId="67CF470C"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t>קללת דוד את יואב (שמואל ב 3</w:t>
            </w:r>
            <w:r w:rsidRPr="00766498">
              <w:rPr>
                <w:rFonts w:ascii="David" w:eastAsia="Times New Roman" w:hAnsi="David" w:cs="David"/>
                <w:sz w:val="24"/>
                <w:szCs w:val="24"/>
              </w:rPr>
              <w:t>:</w:t>
            </w:r>
            <w:r w:rsidRPr="00766498">
              <w:rPr>
                <w:rFonts w:ascii="David" w:eastAsia="Times New Roman" w:hAnsi="David" w:cs="David" w:hint="cs"/>
                <w:sz w:val="24"/>
                <w:szCs w:val="24"/>
                <w:rtl/>
              </w:rPr>
              <w:t xml:space="preserve"> 28–29) מרמזת לפחד הכללי שיוחס למצבים אלה:</w:t>
            </w:r>
          </w:p>
          <w:p w14:paraId="15E5868E" w14:textId="77777777" w:rsidR="00766498" w:rsidRPr="00766498" w:rsidRDefault="00766498" w:rsidP="00766498">
            <w:pPr>
              <w:bidi/>
              <w:spacing w:after="187" w:line="360" w:lineRule="auto"/>
              <w:rPr>
                <w:rFonts w:ascii="David" w:eastAsia="Times New Roman" w:hAnsi="David" w:cs="David"/>
                <w:sz w:val="24"/>
                <w:szCs w:val="24"/>
                <w:rtl/>
              </w:rPr>
            </w:pPr>
            <w:r w:rsidRPr="00766498">
              <w:rPr>
                <w:rFonts w:ascii="David" w:eastAsia="Times New Roman" w:hAnsi="David" w:cs="David" w:hint="cs"/>
                <w:sz w:val="24"/>
                <w:szCs w:val="24"/>
                <w:rtl/>
              </w:rPr>
              <w:t xml:space="preserve">(שמואל ב 3:29) ואל </w:t>
            </w:r>
            <w:proofErr w:type="spellStart"/>
            <w:r w:rsidRPr="00766498">
              <w:rPr>
                <w:rFonts w:ascii="David" w:eastAsia="Times New Roman" w:hAnsi="David" w:cs="David" w:hint="cs"/>
                <w:sz w:val="24"/>
                <w:szCs w:val="24"/>
                <w:rtl/>
              </w:rPr>
              <w:t>יכרת</w:t>
            </w:r>
            <w:proofErr w:type="spellEnd"/>
            <w:r w:rsidRPr="00766498">
              <w:rPr>
                <w:rFonts w:ascii="David" w:eastAsia="Times New Roman" w:hAnsi="David" w:cs="David" w:hint="cs"/>
                <w:sz w:val="24"/>
                <w:szCs w:val="24"/>
                <w:rtl/>
              </w:rPr>
              <w:t xml:space="preserve"> מבית יואב זב </w:t>
            </w:r>
            <w:proofErr w:type="spellStart"/>
            <w:r w:rsidRPr="00766498">
              <w:rPr>
                <w:rFonts w:ascii="David" w:eastAsia="Times New Roman" w:hAnsi="David" w:cs="David" w:hint="cs"/>
                <w:sz w:val="24"/>
                <w:szCs w:val="24"/>
                <w:rtl/>
              </w:rPr>
              <w:t>ומצרע</w:t>
            </w:r>
            <w:proofErr w:type="spellEnd"/>
            <w:r w:rsidRPr="00766498">
              <w:rPr>
                <w:rFonts w:ascii="David" w:eastAsia="Times New Roman" w:hAnsi="David" w:cs="David" w:hint="cs"/>
                <w:sz w:val="24"/>
                <w:szCs w:val="24"/>
                <w:rtl/>
              </w:rPr>
              <w:t xml:space="preserve"> ומחזיק בפלך</w:t>
            </w:r>
            <w:r w:rsidRPr="00766498">
              <w:rPr>
                <w:rFonts w:ascii="David" w:eastAsia="Times New Roman" w:hAnsi="David" w:cs="David"/>
                <w:sz w:val="24"/>
                <w:szCs w:val="24"/>
                <w:vertAlign w:val="superscript"/>
                <w:rtl/>
              </w:rPr>
              <w:footnoteReference w:id="15"/>
            </w:r>
            <w:r w:rsidRPr="00766498">
              <w:rPr>
                <w:rFonts w:ascii="David" w:eastAsia="Times New Roman" w:hAnsi="David" w:cs="David" w:hint="cs"/>
                <w:sz w:val="24"/>
                <w:szCs w:val="24"/>
                <w:rtl/>
              </w:rPr>
              <w:t xml:space="preserve"> ונפל בחרב וחסר לחם.</w:t>
            </w:r>
          </w:p>
          <w:p w14:paraId="1512854F" w14:textId="77777777" w:rsidR="00D33387" w:rsidRDefault="00D33387" w:rsidP="004E1C22">
            <w:pPr>
              <w:bidi/>
              <w:spacing w:line="276" w:lineRule="auto"/>
              <w:rPr>
                <w:rFonts w:asciiTheme="minorBidi" w:hAnsiTheme="minorBidi"/>
                <w:rtl/>
              </w:rPr>
            </w:pPr>
          </w:p>
        </w:tc>
      </w:tr>
      <w:tr w:rsidR="00134FD3" w14:paraId="6C1EA9A3" w14:textId="77777777" w:rsidTr="004E1C22">
        <w:tc>
          <w:tcPr>
            <w:tcW w:w="4675" w:type="dxa"/>
          </w:tcPr>
          <w:p w14:paraId="6752ED7C"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All of these curses involve social ostracism.</w:t>
            </w:r>
            <w:r w:rsidRPr="0025213D">
              <w:rPr>
                <w:rFonts w:ascii="Times New Roman" w:eastAsia="Times New Roman" w:hAnsi="Times New Roman" w:cs="Times New Roman"/>
                <w:color w:val="B22222"/>
                <w:sz w:val="14"/>
                <w:szCs w:val="14"/>
                <w:vertAlign w:val="superscript"/>
                <w:lang w:eastAsia="zh-CN" w:bidi="ar-SA"/>
              </w:rPr>
              <w:t>[16]</w:t>
            </w:r>
            <w:r w:rsidRPr="0025213D">
              <w:rPr>
                <w:rFonts w:ascii="Times New Roman" w:eastAsia="Times New Roman" w:hAnsi="Times New Roman" w:cs="Times New Roman"/>
                <w:color w:val="000000"/>
                <w:sz w:val="16"/>
                <w:szCs w:val="16"/>
                <w:lang w:eastAsia="zh-CN" w:bidi="ar-SA"/>
              </w:rPr>
              <w:t xml:space="preserve"> The presence of leprosy and gonorrhea (as well as corpses) in this list reinforces the impression that these situations were associated with a fear of contagion in ancient Israel, despite the fact that the Priestly source treats them as merely sources of impurity that needed to be distanced from the sanctuary. These types of pollution are exceptional in the Priestly instructions as regards their severity, involving banishment, </w:t>
            </w:r>
            <w:proofErr w:type="gramStart"/>
            <w:r w:rsidRPr="0025213D">
              <w:rPr>
                <w:rFonts w:ascii="Times New Roman" w:eastAsia="Times New Roman" w:hAnsi="Times New Roman" w:cs="Times New Roman"/>
                <w:color w:val="000000"/>
                <w:sz w:val="16"/>
                <w:szCs w:val="16"/>
                <w:lang w:eastAsia="zh-CN" w:bidi="ar-SA"/>
              </w:rPr>
              <w:t>seven day</w:t>
            </w:r>
            <w:proofErr w:type="gramEnd"/>
            <w:r w:rsidRPr="0025213D">
              <w:rPr>
                <w:rFonts w:ascii="Times New Roman" w:eastAsia="Times New Roman" w:hAnsi="Times New Roman" w:cs="Times New Roman"/>
                <w:color w:val="000000"/>
                <w:sz w:val="16"/>
                <w:szCs w:val="16"/>
                <w:lang w:eastAsia="zh-CN" w:bidi="ar-SA"/>
              </w:rPr>
              <w:t xml:space="preserve"> regimens of purification and expiatory offerings. Yet, Leviticus 13–15 lacks what is explicit in David’s curse, that these conditions are divine punishments.</w:t>
            </w:r>
            <w:r w:rsidRPr="0025213D">
              <w:rPr>
                <w:rFonts w:ascii="Times New Roman" w:eastAsia="Times New Roman" w:hAnsi="Times New Roman" w:cs="Times New Roman"/>
                <w:color w:val="B22222"/>
                <w:sz w:val="14"/>
                <w:szCs w:val="14"/>
                <w:vertAlign w:val="superscript"/>
                <w:lang w:eastAsia="zh-CN" w:bidi="ar-SA"/>
              </w:rPr>
              <w:t>[17]</w:t>
            </w:r>
          </w:p>
          <w:p w14:paraId="594A000F"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441B7A3F" w14:textId="77777777" w:rsidR="0031082F" w:rsidRPr="0031082F" w:rsidRDefault="0031082F" w:rsidP="0031082F">
            <w:pPr>
              <w:bidi/>
              <w:spacing w:after="187" w:line="360" w:lineRule="auto"/>
              <w:rPr>
                <w:rFonts w:ascii="David" w:eastAsia="Times New Roman" w:hAnsi="David" w:cs="David"/>
                <w:sz w:val="24"/>
                <w:szCs w:val="24"/>
                <w:rtl/>
              </w:rPr>
            </w:pPr>
            <w:r w:rsidRPr="0031082F">
              <w:rPr>
                <w:rFonts w:ascii="David" w:eastAsia="Times New Roman" w:hAnsi="David" w:cs="David" w:hint="cs"/>
                <w:sz w:val="24"/>
                <w:szCs w:val="24"/>
                <w:rtl/>
              </w:rPr>
              <w:t>כל הקללות האלה כרוכים בנידוי חברתי.</w:t>
            </w:r>
            <w:r w:rsidRPr="0031082F">
              <w:rPr>
                <w:rFonts w:ascii="David" w:eastAsia="Times New Roman" w:hAnsi="David" w:cs="David"/>
                <w:sz w:val="24"/>
                <w:szCs w:val="24"/>
                <w:vertAlign w:val="superscript"/>
                <w:rtl/>
              </w:rPr>
              <w:footnoteReference w:id="16"/>
            </w:r>
            <w:r w:rsidRPr="0031082F">
              <w:rPr>
                <w:rFonts w:ascii="David" w:eastAsia="Times New Roman" w:hAnsi="David" w:cs="David" w:hint="cs"/>
                <w:sz w:val="24"/>
                <w:szCs w:val="24"/>
                <w:rtl/>
              </w:rPr>
              <w:t xml:space="preserve"> נוכחותן של צרעת וזיבה (כמו גם גופות) ברשימה זו מחזקת את הרושם שמצבים אלה נקשרו לפחד מפני הדבקה בישראל העתיקה, על אף העובדה שהמקור הכוהני מתייחס אליהם כמקורות טומאה בלבד שיש צורך להרחיקם מן המקדש. סוגי טומאה אלה הם יוצאי דופן בהוראות הכהונה באשר לחומרתם, כרוכים בהרחקה, משטר של שבעה ימי טהרה וקורבנות לכפרה. אולם חסר בספר ויקרא 13–15 מה שמפורש בקללת דוד, והוא שמצבים אלה הם עונשים אלוקיים.</w:t>
            </w:r>
            <w:r w:rsidRPr="0031082F">
              <w:rPr>
                <w:rFonts w:ascii="David" w:eastAsia="Times New Roman" w:hAnsi="David" w:cs="David"/>
                <w:sz w:val="24"/>
                <w:szCs w:val="24"/>
                <w:vertAlign w:val="superscript"/>
                <w:rtl/>
              </w:rPr>
              <w:footnoteReference w:id="17"/>
            </w:r>
          </w:p>
          <w:p w14:paraId="06F124D5" w14:textId="77777777" w:rsidR="00134FD3" w:rsidRDefault="00134FD3" w:rsidP="004E1C22">
            <w:pPr>
              <w:bidi/>
              <w:spacing w:line="276" w:lineRule="auto"/>
              <w:rPr>
                <w:rFonts w:asciiTheme="minorBidi" w:hAnsiTheme="minorBidi"/>
                <w:rtl/>
              </w:rPr>
            </w:pPr>
          </w:p>
        </w:tc>
      </w:tr>
      <w:tr w:rsidR="00134FD3" w14:paraId="556AF25A" w14:textId="77777777" w:rsidTr="004E1C22">
        <w:tc>
          <w:tcPr>
            <w:tcW w:w="4675" w:type="dxa"/>
          </w:tcPr>
          <w:p w14:paraId="7735DB44"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Though the Rabbis were quick to reassert this cause in their </w:t>
            </w:r>
            <w:proofErr w:type="spellStart"/>
            <w:r w:rsidRPr="0025213D">
              <w:rPr>
                <w:rFonts w:ascii="Times New Roman" w:eastAsia="Times New Roman" w:hAnsi="Times New Roman" w:cs="Times New Roman"/>
                <w:i/>
                <w:iCs/>
                <w:color w:val="000000"/>
                <w:sz w:val="16"/>
                <w:lang w:eastAsia="zh-CN" w:bidi="ar-SA"/>
              </w:rPr>
              <w:t>aggadot</w:t>
            </w:r>
            <w:proofErr w:type="spellEnd"/>
            <w:r w:rsidRPr="0025213D">
              <w:rPr>
                <w:rFonts w:ascii="Times New Roman" w:eastAsia="Times New Roman" w:hAnsi="Times New Roman" w:cs="Times New Roman"/>
                <w:i/>
                <w:iCs/>
                <w:color w:val="000000"/>
                <w:sz w:val="16"/>
                <w:lang w:eastAsia="zh-CN" w:bidi="ar-SA"/>
              </w:rPr>
              <w:t>,</w:t>
            </w:r>
            <w:r w:rsidRPr="0025213D">
              <w:rPr>
                <w:rFonts w:ascii="Times New Roman" w:eastAsia="Times New Roman" w:hAnsi="Times New Roman" w:cs="Times New Roman"/>
                <w:color w:val="B22222"/>
                <w:sz w:val="14"/>
                <w:szCs w:val="14"/>
                <w:vertAlign w:val="superscript"/>
                <w:lang w:eastAsia="zh-CN" w:bidi="ar-SA"/>
              </w:rPr>
              <w:t>[18]</w:t>
            </w:r>
            <w:r w:rsidRPr="0025213D">
              <w:rPr>
                <w:rFonts w:ascii="Times New Roman" w:eastAsia="Times New Roman" w:hAnsi="Times New Roman" w:cs="Times New Roman"/>
                <w:color w:val="000000"/>
                <w:sz w:val="16"/>
                <w:szCs w:val="16"/>
                <w:lang w:eastAsia="zh-CN" w:bidi="ar-SA"/>
              </w:rPr>
              <w:t> this omission in Leviticus was not accidental. Leviticus systematically distinguishes between sin offerings pertaining to accidental sins (Lev 4–5; Num 15), which involve forgiveness (</w:t>
            </w:r>
            <w:proofErr w:type="spellStart"/>
            <w:r w:rsidRPr="0025213D">
              <w:rPr>
                <w:rFonts w:ascii="Times New Roman" w:eastAsia="Times New Roman" w:hAnsi="Times New Roman" w:cs="Times New Roman"/>
                <w:color w:val="000000"/>
                <w:sz w:val="16"/>
                <w:szCs w:val="16"/>
                <w:rtl/>
                <w:lang w:eastAsia="zh-CN"/>
              </w:rPr>
              <w:t>ס.ל.ח</w:t>
            </w:r>
            <w:proofErr w:type="spellEnd"/>
            <w:r w:rsidRPr="0025213D">
              <w:rPr>
                <w:rFonts w:ascii="Times New Roman" w:eastAsia="Times New Roman" w:hAnsi="Times New Roman" w:cs="Times New Roman"/>
                <w:color w:val="000000"/>
                <w:sz w:val="16"/>
                <w:szCs w:val="16"/>
                <w:lang w:eastAsia="zh-CN" w:bidi="ar-SA"/>
              </w:rPr>
              <w:t>), and sin offerings performed for bodily conditions (Lev 12; 15),</w:t>
            </w:r>
            <w:r w:rsidRPr="0025213D">
              <w:rPr>
                <w:rFonts w:ascii="Times New Roman" w:eastAsia="Times New Roman" w:hAnsi="Times New Roman" w:cs="Times New Roman"/>
                <w:color w:val="B22222"/>
                <w:sz w:val="14"/>
                <w:szCs w:val="14"/>
                <w:vertAlign w:val="superscript"/>
                <w:lang w:eastAsia="zh-CN" w:bidi="ar-SA"/>
              </w:rPr>
              <w:t>[19]</w:t>
            </w:r>
            <w:r w:rsidRPr="0025213D">
              <w:rPr>
                <w:rFonts w:ascii="Times New Roman" w:eastAsia="Times New Roman" w:hAnsi="Times New Roman" w:cs="Times New Roman"/>
                <w:color w:val="000000"/>
                <w:sz w:val="16"/>
                <w:szCs w:val="16"/>
                <w:lang w:eastAsia="zh-CN" w:bidi="ar-SA"/>
              </w:rPr>
              <w:t> which only mention purification (</w:t>
            </w:r>
            <w:proofErr w:type="spellStart"/>
            <w:r w:rsidRPr="0025213D">
              <w:rPr>
                <w:rFonts w:ascii="Times New Roman" w:eastAsia="Times New Roman" w:hAnsi="Times New Roman" w:cs="Times New Roman"/>
                <w:color w:val="000000"/>
                <w:sz w:val="16"/>
                <w:szCs w:val="16"/>
                <w:rtl/>
                <w:lang w:eastAsia="zh-CN"/>
              </w:rPr>
              <w:t>ט.ה.ר</w:t>
            </w:r>
            <w:proofErr w:type="spellEnd"/>
            <w:r w:rsidRPr="0025213D">
              <w:rPr>
                <w:rFonts w:ascii="Times New Roman" w:eastAsia="Times New Roman" w:hAnsi="Times New Roman" w:cs="Times New Roman"/>
                <w:color w:val="000000"/>
                <w:sz w:val="16"/>
                <w:szCs w:val="16"/>
                <w:lang w:eastAsia="zh-CN" w:bidi="ar-SA"/>
              </w:rPr>
              <w:t>). Apparently, the purity laws of leprosy here sought to depict pollution (caused by normal and abnormal bodily conditions) as a “natural” phenomenon, divorced from moral implications.</w:t>
            </w:r>
          </w:p>
          <w:p w14:paraId="075B28E3"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5A27F839"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על אף שהרבנים מיהרו לאשר מחדש טענה זו באגדותיהם,</w:t>
            </w:r>
            <w:r w:rsidRPr="00CA1BBB">
              <w:rPr>
                <w:rFonts w:ascii="David" w:eastAsia="Times New Roman" w:hAnsi="David" w:cs="David"/>
                <w:sz w:val="24"/>
                <w:szCs w:val="24"/>
                <w:vertAlign w:val="superscript"/>
                <w:rtl/>
              </w:rPr>
              <w:footnoteReference w:id="18"/>
            </w:r>
            <w:r w:rsidRPr="00CA1BBB">
              <w:rPr>
                <w:rFonts w:ascii="David" w:eastAsia="Times New Roman" w:hAnsi="David" w:cs="David" w:hint="cs"/>
                <w:sz w:val="24"/>
                <w:szCs w:val="24"/>
                <w:rtl/>
              </w:rPr>
              <w:t xml:space="preserve"> השמטה זו בספר ויקרא לא הייתה מקרית. ספר ויקרא מבחין באופן שיטתי בין קורבנות חטאת הנוגעים לשגגות (ויקרא 4–5; במדבר 15) המערבים סליחה לבין קורבנות חטאת המובאים בגלל מצבים גופניים (ויקרא 15:12),</w:t>
            </w:r>
            <w:r w:rsidRPr="00CA1BBB">
              <w:rPr>
                <w:rFonts w:ascii="David" w:eastAsia="Times New Roman" w:hAnsi="David" w:cs="David"/>
                <w:sz w:val="24"/>
                <w:szCs w:val="24"/>
                <w:vertAlign w:val="superscript"/>
                <w:rtl/>
              </w:rPr>
              <w:footnoteReference w:id="19"/>
            </w:r>
            <w:r w:rsidRPr="00CA1BBB">
              <w:rPr>
                <w:rFonts w:ascii="David" w:eastAsia="Times New Roman" w:hAnsi="David" w:cs="David" w:hint="cs"/>
                <w:sz w:val="24"/>
                <w:szCs w:val="24"/>
                <w:rtl/>
              </w:rPr>
              <w:t xml:space="preserve"> המזכירים טהרה בלבד. נראה שחוקי הטהרה של צרעת כאן ביקשו לתאר טומאה (הנגרמת בעקבות מצבים גופניים תקינים ולא תקינים) כתופעה "טבעית" ללא קשר להשלכות מוסריות.</w:t>
            </w:r>
          </w:p>
          <w:p w14:paraId="4F3C3FDD" w14:textId="77777777" w:rsidR="00134FD3" w:rsidRDefault="00134FD3" w:rsidP="004E1C22">
            <w:pPr>
              <w:bidi/>
              <w:spacing w:line="276" w:lineRule="auto"/>
              <w:rPr>
                <w:rFonts w:asciiTheme="minorBidi" w:hAnsiTheme="minorBidi"/>
                <w:rtl/>
              </w:rPr>
            </w:pPr>
          </w:p>
        </w:tc>
      </w:tr>
      <w:tr w:rsidR="00134FD3" w14:paraId="293EAECC" w14:textId="77777777" w:rsidTr="004E1C22">
        <w:tc>
          <w:tcPr>
            <w:tcW w:w="4675" w:type="dxa"/>
          </w:tcPr>
          <w:p w14:paraId="1F7D56D0" w14:textId="77777777" w:rsidR="0025213D" w:rsidRPr="0025213D" w:rsidRDefault="0025213D" w:rsidP="0025213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r w:rsidRPr="0025213D">
              <w:rPr>
                <w:rFonts w:ascii="Times New Roman" w:eastAsia="Times New Roman" w:hAnsi="Times New Roman" w:cs="Times New Roman"/>
                <w:color w:val="000000"/>
                <w:sz w:val="23"/>
                <w:szCs w:val="23"/>
                <w:lang w:eastAsia="zh-CN" w:bidi="ar-SA"/>
              </w:rPr>
              <w:lastRenderedPageBreak/>
              <w:t>Controlling the (Psychological) Power of the Disease</w:t>
            </w:r>
          </w:p>
          <w:p w14:paraId="26781FAA"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Three main features characterize leprosy in Lev 13–14:</w:t>
            </w:r>
          </w:p>
          <w:p w14:paraId="696375C7" w14:textId="77777777" w:rsidR="0025213D" w:rsidRPr="0025213D" w:rsidRDefault="0025213D" w:rsidP="0025213D">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1. The non-threatening depiction of pollution.</w:t>
            </w:r>
          </w:p>
          <w:p w14:paraId="27AA35E7" w14:textId="77777777" w:rsidR="0025213D" w:rsidRPr="0025213D" w:rsidRDefault="0025213D" w:rsidP="0025213D">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2. The absence of an explicit causal link between sin and disease.</w:t>
            </w:r>
          </w:p>
          <w:p w14:paraId="47E293E4" w14:textId="77777777" w:rsidR="0025213D" w:rsidRPr="0025213D" w:rsidRDefault="0025213D" w:rsidP="0025213D">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3. The absence of any healing ritual.</w:t>
            </w:r>
          </w:p>
          <w:p w14:paraId="163DA217"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8616EE2"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השליטה בכוח (הפסיכולוגי) של המחלה</w:t>
            </w:r>
          </w:p>
          <w:p w14:paraId="6CE79849"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שלוש תכונות עיקריות מאפיינות צרעת בספר ויקרא 13–14:</w:t>
            </w:r>
          </w:p>
          <w:p w14:paraId="0BCA0D9A" w14:textId="77777777" w:rsidR="00CA1BBB" w:rsidRPr="00CA1BBB" w:rsidRDefault="00CA1BBB" w:rsidP="00CA1BBB">
            <w:pPr>
              <w:numPr>
                <w:ilvl w:val="0"/>
                <w:numId w:val="2"/>
              </w:numPr>
              <w:bidi/>
              <w:spacing w:after="187" w:line="360" w:lineRule="auto"/>
              <w:contextualSpacing/>
              <w:rPr>
                <w:rFonts w:ascii="David" w:eastAsia="Times New Roman" w:hAnsi="David" w:cs="David"/>
                <w:sz w:val="24"/>
                <w:szCs w:val="24"/>
              </w:rPr>
            </w:pPr>
            <w:r w:rsidRPr="00CA1BBB">
              <w:rPr>
                <w:rFonts w:ascii="David" w:eastAsia="Times New Roman" w:hAnsi="David" w:cs="David" w:hint="cs"/>
                <w:sz w:val="24"/>
                <w:szCs w:val="24"/>
                <w:rtl/>
              </w:rPr>
              <w:t>תיאור הטומאה באופן שאינו מאיים.</w:t>
            </w:r>
          </w:p>
          <w:p w14:paraId="617881C5" w14:textId="77777777" w:rsidR="00CA1BBB" w:rsidRPr="00CA1BBB" w:rsidRDefault="00CA1BBB" w:rsidP="00CA1BBB">
            <w:pPr>
              <w:numPr>
                <w:ilvl w:val="0"/>
                <w:numId w:val="2"/>
              </w:numPr>
              <w:bidi/>
              <w:spacing w:after="187" w:line="360" w:lineRule="auto"/>
              <w:contextualSpacing/>
              <w:rPr>
                <w:rFonts w:ascii="David" w:eastAsia="Times New Roman" w:hAnsi="David" w:cs="David"/>
                <w:sz w:val="24"/>
                <w:szCs w:val="24"/>
              </w:rPr>
            </w:pPr>
            <w:r w:rsidRPr="00CA1BBB">
              <w:rPr>
                <w:rFonts w:ascii="David" w:eastAsia="Times New Roman" w:hAnsi="David" w:cs="David" w:hint="cs"/>
                <w:sz w:val="24"/>
                <w:szCs w:val="24"/>
                <w:rtl/>
              </w:rPr>
              <w:t>העדר קשר סיבתי מפורש בין חטא למחלה.</w:t>
            </w:r>
          </w:p>
          <w:p w14:paraId="67173E94" w14:textId="77777777" w:rsidR="00CA1BBB" w:rsidRPr="00CA1BBB" w:rsidRDefault="00CA1BBB" w:rsidP="00CA1BBB">
            <w:pPr>
              <w:numPr>
                <w:ilvl w:val="0"/>
                <w:numId w:val="2"/>
              </w:numPr>
              <w:bidi/>
              <w:spacing w:after="187" w:line="360" w:lineRule="auto"/>
              <w:contextualSpacing/>
              <w:rPr>
                <w:rFonts w:ascii="David" w:eastAsia="Times New Roman" w:hAnsi="David" w:cs="David"/>
                <w:sz w:val="24"/>
                <w:szCs w:val="24"/>
              </w:rPr>
            </w:pPr>
            <w:r w:rsidRPr="00CA1BBB">
              <w:rPr>
                <w:rFonts w:ascii="David" w:eastAsia="Times New Roman" w:hAnsi="David" w:cs="David" w:hint="cs"/>
                <w:sz w:val="24"/>
                <w:szCs w:val="24"/>
                <w:rtl/>
              </w:rPr>
              <w:t>העדר כל טקס ריפוי.</w:t>
            </w:r>
          </w:p>
          <w:p w14:paraId="557FF74A" w14:textId="77777777" w:rsidR="00134FD3" w:rsidRDefault="00134FD3" w:rsidP="004E1C22">
            <w:pPr>
              <w:bidi/>
              <w:spacing w:line="276" w:lineRule="auto"/>
              <w:rPr>
                <w:rFonts w:asciiTheme="minorBidi" w:hAnsiTheme="minorBidi"/>
                <w:rtl/>
              </w:rPr>
            </w:pPr>
          </w:p>
        </w:tc>
      </w:tr>
      <w:tr w:rsidR="00134FD3" w14:paraId="5B9B8270" w14:textId="77777777" w:rsidTr="004E1C22">
        <w:tc>
          <w:tcPr>
            <w:tcW w:w="4675" w:type="dxa"/>
          </w:tcPr>
          <w:p w14:paraId="6FFD6758"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Is there any connection between these characteristics? They are somewhat connected, since the elimination of pollution (1) and sin (2) as causal factors to disease removes the metaphysical basis for ritual therapy (3).</w:t>
            </w:r>
          </w:p>
          <w:p w14:paraId="5742F687"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59248291"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האם יש קשר כלשהו בין תכונות אלה? הן קשורות במידת מה מפני שהסרת טומאה (1) וחטא (2) כגורמים סיבתיים למחלה מסלקת את הבסיס המטפיזי לטיפול פולחני (3).</w:t>
            </w:r>
          </w:p>
          <w:p w14:paraId="3EF86DDD" w14:textId="77777777" w:rsidR="00134FD3" w:rsidRDefault="00134FD3" w:rsidP="004E1C22">
            <w:pPr>
              <w:bidi/>
              <w:spacing w:line="276" w:lineRule="auto"/>
              <w:rPr>
                <w:rFonts w:asciiTheme="minorBidi" w:hAnsiTheme="minorBidi"/>
                <w:rtl/>
              </w:rPr>
            </w:pPr>
          </w:p>
        </w:tc>
      </w:tr>
      <w:tr w:rsidR="00134FD3" w14:paraId="2EAFFFDC" w14:textId="77777777" w:rsidTr="004E1C22">
        <w:tc>
          <w:tcPr>
            <w:tcW w:w="4675" w:type="dxa"/>
          </w:tcPr>
          <w:p w14:paraId="319DCFE9"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 xml:space="preserve">These observations lend support to a more fundamental point made by </w:t>
            </w:r>
            <w:proofErr w:type="spellStart"/>
            <w:r w:rsidRPr="0025213D">
              <w:rPr>
                <w:rFonts w:ascii="Times New Roman" w:eastAsia="Times New Roman" w:hAnsi="Times New Roman" w:cs="Times New Roman"/>
                <w:color w:val="000000"/>
                <w:sz w:val="16"/>
                <w:szCs w:val="16"/>
                <w:lang w:eastAsia="zh-CN" w:bidi="ar-SA"/>
              </w:rPr>
              <w:t>Yehezkel</w:t>
            </w:r>
            <w:proofErr w:type="spellEnd"/>
            <w:r w:rsidRPr="0025213D">
              <w:rPr>
                <w:rFonts w:ascii="Times New Roman" w:eastAsia="Times New Roman" w:hAnsi="Times New Roman" w:cs="Times New Roman"/>
                <w:color w:val="000000"/>
                <w:sz w:val="16"/>
                <w:szCs w:val="16"/>
                <w:lang w:eastAsia="zh-CN" w:bidi="ar-SA"/>
              </w:rPr>
              <w:t xml:space="preserve"> Kaufmann nearly a century ago:</w:t>
            </w:r>
          </w:p>
          <w:p w14:paraId="0E3DFDEE" w14:textId="77777777" w:rsidR="0025213D" w:rsidRPr="0025213D" w:rsidRDefault="0025213D" w:rsidP="0025213D">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 xml:space="preserve">Now the distinctive feature of biblical purifications when compared with those of paganism is that they are not performed for the purpose of banishing harm or sickness. The pagan seeks to avert harm; his </w:t>
            </w:r>
            <w:proofErr w:type="spellStart"/>
            <w:r w:rsidRPr="0025213D">
              <w:rPr>
                <w:rFonts w:ascii="Times New Roman" w:eastAsia="Times New Roman" w:hAnsi="Times New Roman" w:cs="Times New Roman"/>
                <w:color w:val="000000"/>
                <w:sz w:val="16"/>
                <w:szCs w:val="16"/>
                <w:lang w:eastAsia="zh-CN" w:bidi="ar-SA"/>
              </w:rPr>
              <w:t>purgations</w:t>
            </w:r>
            <w:proofErr w:type="spellEnd"/>
            <w:r w:rsidRPr="0025213D">
              <w:rPr>
                <w:rFonts w:ascii="Times New Roman" w:eastAsia="Times New Roman" w:hAnsi="Times New Roman" w:cs="Times New Roman"/>
                <w:color w:val="000000"/>
                <w:sz w:val="16"/>
                <w:szCs w:val="16"/>
                <w:lang w:eastAsia="zh-CN" w:bidi="ar-SA"/>
              </w:rPr>
              <w:t xml:space="preserve"> are in effect a battle with baleful forces that menace men and gods. Biblical purifications lack this aspect entirely. Lustrations play no part in healing the sick. The woman who bears a child, the leper, the </w:t>
            </w:r>
            <w:proofErr w:type="spellStart"/>
            <w:r w:rsidRPr="0025213D">
              <w:rPr>
                <w:rFonts w:ascii="Times New Roman" w:eastAsia="Times New Roman" w:hAnsi="Times New Roman" w:cs="Times New Roman"/>
                <w:color w:val="000000"/>
                <w:sz w:val="16"/>
                <w:szCs w:val="16"/>
                <w:lang w:eastAsia="zh-CN" w:bidi="ar-SA"/>
              </w:rPr>
              <w:t>gonorrheic</w:t>
            </w:r>
            <w:proofErr w:type="spellEnd"/>
            <w:r w:rsidRPr="0025213D">
              <w:rPr>
                <w:rFonts w:ascii="Times New Roman" w:eastAsia="Times New Roman" w:hAnsi="Times New Roman" w:cs="Times New Roman"/>
                <w:color w:val="000000"/>
                <w:sz w:val="16"/>
                <w:szCs w:val="16"/>
                <w:lang w:eastAsia="zh-CN" w:bidi="ar-SA"/>
              </w:rPr>
              <w:t>, the “leprous” house, are all purified after the crisis or disease has passed.</w:t>
            </w:r>
            <w:r w:rsidRPr="0025213D">
              <w:rPr>
                <w:rFonts w:ascii="Times New Roman" w:eastAsia="Times New Roman" w:hAnsi="Times New Roman" w:cs="Times New Roman"/>
                <w:color w:val="B22222"/>
                <w:sz w:val="14"/>
                <w:szCs w:val="14"/>
                <w:vertAlign w:val="superscript"/>
                <w:lang w:eastAsia="zh-CN" w:bidi="ar-SA"/>
              </w:rPr>
              <w:t>[20]</w:t>
            </w:r>
          </w:p>
          <w:p w14:paraId="408AA98F"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7EC80EF"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הבחנות אלה תומכות בנקודה יסודית יותר שעליה הצביע יחזקאל קאופמן לפני כמעט מאה שנה:</w:t>
            </w:r>
          </w:p>
          <w:p w14:paraId="071B2F76"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אולם השינוי היסודי הוא: החיטויים מן הטומאה בדת המקראית אינם באים להרחיק רעה או מחלה... כל נימוסי החיטוי של האלילות מכוונים להרחיק את הרעה הגלומה בתוך הטומאה. המלחמה עם הטומאה היא מלחמה עם הדמונים הרעים... לא כן החיטויים מן הטומאה שבדת הישראלית. אין בהם כל מומנט של מלחמה ברע הבא ממקור הטומאה... בייחוד: אין אמצעי חיטוי אלה באים לרפא מחלה. דבר זה נמצאנו למדים בבירור מן החיטויים הקשורים במחלה: מחיטוי היולדת, המצורע והזב וכן גם הבית המנוגע. כי בכל המקרים האלה החיטוי בא אחרי ריפוי המחלה.</w:t>
            </w:r>
            <w:r w:rsidRPr="00CA1BBB">
              <w:rPr>
                <w:rFonts w:ascii="David" w:eastAsia="Times New Roman" w:hAnsi="David" w:cs="David"/>
                <w:sz w:val="24"/>
                <w:szCs w:val="24"/>
                <w:vertAlign w:val="superscript"/>
                <w:rtl/>
              </w:rPr>
              <w:footnoteReference w:id="20"/>
            </w:r>
          </w:p>
          <w:p w14:paraId="2297A55F" w14:textId="77777777" w:rsidR="00134FD3" w:rsidRDefault="00134FD3" w:rsidP="004E1C22">
            <w:pPr>
              <w:bidi/>
              <w:spacing w:line="276" w:lineRule="auto"/>
              <w:rPr>
                <w:rFonts w:asciiTheme="minorBidi" w:hAnsiTheme="minorBidi"/>
                <w:rtl/>
              </w:rPr>
            </w:pPr>
          </w:p>
        </w:tc>
      </w:tr>
      <w:tr w:rsidR="00134FD3" w14:paraId="6CF2B8AE" w14:textId="77777777" w:rsidTr="004E1C22">
        <w:tc>
          <w:tcPr>
            <w:tcW w:w="4675" w:type="dxa"/>
          </w:tcPr>
          <w:p w14:paraId="28AB9096"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 xml:space="preserve">Along these lines, it is likely that the ritual in Leviticus seeks to neutralize pollution so as to remove the impetus for various types of apotropaic rites aimed at exorcising malicious forces. In other words, to the extent that these diseases were considered to be dangerous, the </w:t>
            </w:r>
            <w:r w:rsidRPr="0025213D">
              <w:rPr>
                <w:rFonts w:ascii="Times New Roman" w:eastAsia="Times New Roman" w:hAnsi="Times New Roman" w:cs="Times New Roman"/>
                <w:color w:val="000000"/>
                <w:sz w:val="16"/>
                <w:szCs w:val="16"/>
                <w:lang w:eastAsia="zh-CN" w:bidi="ar-SA"/>
              </w:rPr>
              <w:lastRenderedPageBreak/>
              <w:t>sick party would be driven to seek some kind of ritual treatment. However, the existing options involved the banishment of malicious forces, involving an underlying worldview which was inimical to monotheism.</w:t>
            </w:r>
            <w:r w:rsidRPr="0025213D">
              <w:rPr>
                <w:rFonts w:ascii="Times New Roman" w:eastAsia="Times New Roman" w:hAnsi="Times New Roman" w:cs="Times New Roman"/>
                <w:color w:val="B22222"/>
                <w:sz w:val="14"/>
                <w:szCs w:val="14"/>
                <w:vertAlign w:val="superscript"/>
                <w:lang w:eastAsia="zh-CN" w:bidi="ar-SA"/>
              </w:rPr>
              <w:t>[21]</w:t>
            </w:r>
            <w:r w:rsidRPr="0025213D">
              <w:rPr>
                <w:rFonts w:ascii="Times New Roman" w:eastAsia="Times New Roman" w:hAnsi="Times New Roman" w:cs="Times New Roman"/>
                <w:color w:val="000000"/>
                <w:sz w:val="16"/>
                <w:szCs w:val="16"/>
                <w:lang w:eastAsia="zh-CN" w:bidi="ar-SA"/>
              </w:rPr>
              <w:t> By reframing pollution (</w:t>
            </w:r>
            <w:r w:rsidRPr="0025213D">
              <w:rPr>
                <w:rFonts w:ascii="Times New Roman" w:eastAsia="Times New Roman" w:hAnsi="Times New Roman" w:cs="Times New Roman"/>
                <w:color w:val="000000"/>
                <w:sz w:val="16"/>
                <w:szCs w:val="16"/>
                <w:rtl/>
                <w:lang w:eastAsia="zh-CN"/>
              </w:rPr>
              <w:t>טמאה</w:t>
            </w:r>
            <w:r w:rsidRPr="0025213D">
              <w:rPr>
                <w:rFonts w:ascii="Times New Roman" w:eastAsia="Times New Roman" w:hAnsi="Times New Roman" w:cs="Times New Roman"/>
                <w:color w:val="000000"/>
                <w:sz w:val="16"/>
                <w:szCs w:val="16"/>
                <w:lang w:eastAsia="zh-CN" w:bidi="ar-SA"/>
              </w:rPr>
              <w:t>) from being viewed as a cause of disease to a secondary effect, bearing only on the sanctuary, the temptation to perform such rites was reduced significantly.</w:t>
            </w:r>
          </w:p>
          <w:p w14:paraId="42BA5C15" w14:textId="77777777" w:rsidR="00134FD3" w:rsidRPr="00134FD3" w:rsidRDefault="00134FD3"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44AA54E1"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lastRenderedPageBreak/>
              <w:t xml:space="preserve">בהתאם לכיוון מחשבה זה, ישנה סבירות שהטקס בספר ויקרא מבקש לנטרל טומאה כדי להסיר את המניע לסוגים שונים של טקסי להדיפת רוע </w:t>
            </w:r>
            <w:r w:rsidRPr="00CA1BBB">
              <w:rPr>
                <w:rFonts w:ascii="David" w:eastAsia="Times New Roman" w:hAnsi="David" w:cs="David" w:hint="cs"/>
                <w:sz w:val="24"/>
                <w:szCs w:val="24"/>
                <w:rtl/>
              </w:rPr>
              <w:lastRenderedPageBreak/>
              <w:t>המכוונים נגד כוחות זדוניים. במילים אחרות, במידה ומחלות אלה נחשבו כמסוכנות, הגורם החולה היה נדרש לבקש סוג כלשהוא של טיפול טקסי. אולם האופציות הקיימות כללו גירוש כוחות זדוניים, והיו כרוכים בתפיסת עולם שביסודה הייתה עוינת למונותאיזם.</w:t>
            </w:r>
            <w:r w:rsidRPr="00CA1BBB">
              <w:rPr>
                <w:rFonts w:ascii="David" w:eastAsia="Times New Roman" w:hAnsi="David" w:cs="David"/>
                <w:sz w:val="24"/>
                <w:szCs w:val="24"/>
                <w:vertAlign w:val="superscript"/>
                <w:rtl/>
              </w:rPr>
              <w:footnoteReference w:id="21"/>
            </w:r>
            <w:r w:rsidRPr="00CA1BBB">
              <w:rPr>
                <w:rFonts w:ascii="David" w:eastAsia="Times New Roman" w:hAnsi="David" w:cs="David" w:hint="cs"/>
                <w:sz w:val="24"/>
                <w:szCs w:val="24"/>
                <w:rtl/>
              </w:rPr>
              <w:t xml:space="preserve"> באמצעות מסגור מחדש של טומאה מלהיתפס כגורם למחלה לאפקט משני השייך למקדש בלבד, צומצם במידה ניכרת הפיתוי לבצע טקסים מעין אלה.</w:t>
            </w:r>
          </w:p>
          <w:p w14:paraId="026B6447" w14:textId="77777777" w:rsidR="00134FD3" w:rsidRDefault="00134FD3" w:rsidP="004E1C22">
            <w:pPr>
              <w:bidi/>
              <w:spacing w:line="276" w:lineRule="auto"/>
              <w:rPr>
                <w:rFonts w:asciiTheme="minorBidi" w:hAnsiTheme="minorBidi"/>
                <w:rtl/>
              </w:rPr>
            </w:pPr>
          </w:p>
        </w:tc>
      </w:tr>
      <w:tr w:rsidR="0025213D" w14:paraId="775461E2" w14:textId="77777777" w:rsidTr="004E1C22">
        <w:tc>
          <w:tcPr>
            <w:tcW w:w="4675" w:type="dxa"/>
          </w:tcPr>
          <w:p w14:paraId="4CECAE59" w14:textId="77777777" w:rsidR="0025213D" w:rsidRPr="0025213D" w:rsidRDefault="0025213D" w:rsidP="0025213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proofErr w:type="spellStart"/>
            <w:r w:rsidRPr="0025213D">
              <w:rPr>
                <w:rFonts w:ascii="Times New Roman" w:eastAsia="Times New Roman" w:hAnsi="Times New Roman" w:cs="Times New Roman"/>
                <w:color w:val="000000"/>
                <w:sz w:val="23"/>
                <w:szCs w:val="23"/>
                <w:lang w:eastAsia="zh-CN" w:bidi="ar-SA"/>
              </w:rPr>
              <w:lastRenderedPageBreak/>
              <w:t>Tzaraat</w:t>
            </w:r>
            <w:proofErr w:type="spellEnd"/>
            <w:r w:rsidRPr="0025213D">
              <w:rPr>
                <w:rFonts w:ascii="Times New Roman" w:eastAsia="Times New Roman" w:hAnsi="Times New Roman" w:cs="Times New Roman"/>
                <w:color w:val="000000"/>
                <w:sz w:val="23"/>
                <w:szCs w:val="23"/>
                <w:lang w:eastAsia="zh-CN" w:bidi="ar-SA"/>
              </w:rPr>
              <w:t>: Not What It is, But What It Isn’t</w:t>
            </w:r>
          </w:p>
          <w:p w14:paraId="2EE96DAA"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The ostensibly technical discussion of </w:t>
            </w:r>
            <w:proofErr w:type="spellStart"/>
            <w:r w:rsidRPr="0025213D">
              <w:rPr>
                <w:rFonts w:ascii="Times New Roman" w:eastAsia="Times New Roman" w:hAnsi="Times New Roman" w:cs="Times New Roman"/>
                <w:i/>
                <w:iCs/>
                <w:color w:val="000000"/>
                <w:sz w:val="16"/>
                <w:lang w:eastAsia="zh-CN" w:bidi="ar-SA"/>
              </w:rPr>
              <w:t>ṣara‛at</w:t>
            </w:r>
            <w:proofErr w:type="spellEnd"/>
            <w:r w:rsidRPr="0025213D">
              <w:rPr>
                <w:rFonts w:ascii="Times New Roman" w:eastAsia="Times New Roman" w:hAnsi="Times New Roman" w:cs="Times New Roman"/>
                <w:i/>
                <w:iCs/>
                <w:color w:val="000000"/>
                <w:sz w:val="16"/>
                <w:lang w:eastAsia="zh-CN" w:bidi="ar-SA"/>
              </w:rPr>
              <w:t> </w:t>
            </w:r>
            <w:r w:rsidRPr="0025213D">
              <w:rPr>
                <w:rFonts w:ascii="Times New Roman" w:eastAsia="Times New Roman" w:hAnsi="Times New Roman" w:cs="Times New Roman"/>
                <w:color w:val="000000"/>
                <w:sz w:val="16"/>
                <w:szCs w:val="16"/>
                <w:lang w:eastAsia="zh-CN" w:bidi="ar-SA"/>
              </w:rPr>
              <w:t>in Lev 13–14 disguises the fact that the biblical discussion of this illness represents a radical departure from earlier conceptions of disease in the ancient Near East and, it may be assumed, in ancient Israel. The uniqueness of the Priestly treatment can only be fully appreciated by comparison with the extra-biblical evidence pertaining to </w:t>
            </w:r>
            <w:proofErr w:type="spellStart"/>
            <w:r w:rsidRPr="0025213D">
              <w:rPr>
                <w:rFonts w:ascii="Times New Roman" w:eastAsia="Times New Roman" w:hAnsi="Times New Roman" w:cs="Times New Roman"/>
                <w:i/>
                <w:iCs/>
                <w:color w:val="000000"/>
                <w:sz w:val="16"/>
                <w:lang w:eastAsia="zh-CN" w:bidi="ar-SA"/>
              </w:rPr>
              <w:t>saḫaršubbû</w:t>
            </w:r>
            <w:proofErr w:type="spellEnd"/>
            <w:r w:rsidRPr="0025213D">
              <w:rPr>
                <w:rFonts w:ascii="Times New Roman" w:eastAsia="Times New Roman" w:hAnsi="Times New Roman" w:cs="Times New Roman"/>
                <w:color w:val="000000"/>
                <w:sz w:val="16"/>
                <w:szCs w:val="16"/>
                <w:lang w:eastAsia="zh-CN" w:bidi="ar-SA"/>
              </w:rPr>
              <w:t> disease.</w:t>
            </w:r>
          </w:p>
          <w:p w14:paraId="2498A252"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CFFDE2F" w14:textId="77777777" w:rsidR="00CA1BBB" w:rsidRPr="00CA1BBB" w:rsidRDefault="00CA1BBB" w:rsidP="00CA1BBB">
            <w:pPr>
              <w:bidi/>
              <w:spacing w:after="187" w:line="360" w:lineRule="auto"/>
              <w:rPr>
                <w:rFonts w:ascii="David" w:eastAsia="Times New Roman" w:hAnsi="David" w:cs="David"/>
                <w:sz w:val="24"/>
                <w:szCs w:val="24"/>
                <w:rtl/>
              </w:rPr>
            </w:pPr>
            <w:r w:rsidRPr="00CA1BBB">
              <w:rPr>
                <w:rFonts w:ascii="David" w:eastAsia="Times New Roman" w:hAnsi="David" w:cs="David" w:hint="cs"/>
                <w:sz w:val="24"/>
                <w:szCs w:val="24"/>
                <w:rtl/>
              </w:rPr>
              <w:t>צרעת: לא מה שהינה אלא מה שהיא איננה</w:t>
            </w:r>
          </w:p>
          <w:p w14:paraId="3EFB98C6"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sz w:val="24"/>
                <w:szCs w:val="24"/>
                <w:rtl/>
              </w:rPr>
              <w:t>הדיון הטכני כביכול על צרעת בספר ויקרא 13–14 מסווה את העובדה שהדיון המקראי על מחלה זו מייצג עזיבה רדיקלית</w:t>
            </w:r>
            <w:r w:rsidRPr="00CA1BBB">
              <w:rPr>
                <w:rFonts w:ascii="David" w:eastAsia="Times New Roman" w:hAnsi="David" w:cs="David"/>
                <w:sz w:val="24"/>
                <w:szCs w:val="24"/>
              </w:rPr>
              <w:t xml:space="preserve"> </w:t>
            </w:r>
            <w:r w:rsidRPr="00CA1BBB">
              <w:rPr>
                <w:rFonts w:ascii="David" w:eastAsia="Times New Roman" w:hAnsi="David" w:cs="David" w:hint="cs"/>
                <w:sz w:val="24"/>
                <w:szCs w:val="24"/>
                <w:rtl/>
              </w:rPr>
              <w:t xml:space="preserve">של תפיסות מוקדמות יותר של מחלה במזרח הקרוב העתיק, וייתכן להניח שגם בישראל העתיקה. את הייחודיות של הטיפול הכוהני אפשר להעריך במלואה רק באמצעות השוואה לראיות חוץ-מקראיות הנוגעות למחלת </w:t>
            </w:r>
            <w:proofErr w:type="spellStart"/>
            <w:r w:rsidRPr="00CA1BBB">
              <w:rPr>
                <w:rFonts w:ascii="Times New Roman" w:eastAsia="Times New Roman" w:hAnsi="Times New Roman" w:cs="Times New Roman"/>
                <w:i/>
                <w:iCs/>
                <w:color w:val="000000"/>
                <w:sz w:val="16"/>
                <w:lang w:bidi="ar-SA"/>
              </w:rPr>
              <w:t>saḫaršubbû</w:t>
            </w:r>
            <w:proofErr w:type="spellEnd"/>
            <w:r w:rsidRPr="00CA1BBB">
              <w:rPr>
                <w:rFonts w:ascii="Times New Roman" w:eastAsia="Times New Roman" w:hAnsi="Times New Roman" w:cs="Times New Roman" w:hint="cs"/>
                <w:i/>
                <w:iCs/>
                <w:color w:val="000000"/>
                <w:sz w:val="16"/>
                <w:rtl/>
              </w:rPr>
              <w:t>.</w:t>
            </w:r>
            <w:r w:rsidRPr="00CA1BBB">
              <w:rPr>
                <w:rFonts w:ascii="David" w:eastAsia="Times New Roman" w:hAnsi="David" w:cs="David" w:hint="cs"/>
                <w:color w:val="000000"/>
                <w:sz w:val="24"/>
                <w:szCs w:val="24"/>
                <w:rtl/>
              </w:rPr>
              <w:t xml:space="preserve"> </w:t>
            </w:r>
          </w:p>
          <w:p w14:paraId="0E97F9BC" w14:textId="77777777" w:rsidR="0025213D" w:rsidRDefault="0025213D" w:rsidP="004E1C22">
            <w:pPr>
              <w:bidi/>
              <w:spacing w:line="276" w:lineRule="auto"/>
              <w:rPr>
                <w:rFonts w:asciiTheme="minorBidi" w:hAnsiTheme="minorBidi"/>
                <w:rtl/>
              </w:rPr>
            </w:pPr>
          </w:p>
        </w:tc>
      </w:tr>
      <w:tr w:rsidR="0025213D" w14:paraId="18BE4F08" w14:textId="77777777" w:rsidTr="004E1C22">
        <w:tc>
          <w:tcPr>
            <w:tcW w:w="4675" w:type="dxa"/>
          </w:tcPr>
          <w:p w14:paraId="67508D84"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The absence of any ritual prescription for healing </w:t>
            </w:r>
            <w:proofErr w:type="spellStart"/>
            <w:r w:rsidRPr="0025213D">
              <w:rPr>
                <w:rFonts w:ascii="Times New Roman" w:eastAsia="Times New Roman" w:hAnsi="Times New Roman" w:cs="Times New Roman"/>
                <w:i/>
                <w:iCs/>
                <w:color w:val="000000"/>
                <w:sz w:val="16"/>
                <w:lang w:eastAsia="zh-CN" w:bidi="ar-SA"/>
              </w:rPr>
              <w:t>tzaraat</w:t>
            </w:r>
            <w:proofErr w:type="spellEnd"/>
            <w:r w:rsidRPr="0025213D">
              <w:rPr>
                <w:rFonts w:ascii="Times New Roman" w:eastAsia="Times New Roman" w:hAnsi="Times New Roman" w:cs="Times New Roman"/>
                <w:i/>
                <w:iCs/>
                <w:color w:val="000000"/>
                <w:sz w:val="16"/>
                <w:lang w:eastAsia="zh-CN" w:bidi="ar-SA"/>
              </w:rPr>
              <w:t> </w:t>
            </w:r>
            <w:r w:rsidRPr="0025213D">
              <w:rPr>
                <w:rFonts w:ascii="Times New Roman" w:eastAsia="Times New Roman" w:hAnsi="Times New Roman" w:cs="Times New Roman"/>
                <w:color w:val="000000"/>
                <w:sz w:val="16"/>
                <w:szCs w:val="16"/>
                <w:lang w:eastAsia="zh-CN" w:bidi="ar-SA"/>
              </w:rPr>
              <w:t>together with the comparatively benign implications of this disease suggest a deliberate attempt to distance the Israelites from apotropaic rituals that they knew. Rather than through programmatic theological statements, it is in the gentle silence (</w:t>
            </w:r>
            <w:r w:rsidRPr="0025213D">
              <w:rPr>
                <w:rFonts w:ascii="Times New Roman" w:eastAsia="Times New Roman" w:hAnsi="Times New Roman" w:cs="Times New Roman"/>
                <w:color w:val="B22222"/>
                <w:sz w:val="14"/>
                <w:szCs w:val="14"/>
                <w:vertAlign w:val="superscript"/>
                <w:lang w:eastAsia="zh-CN" w:bidi="ar-SA"/>
              </w:rPr>
              <w:t>[</w:t>
            </w:r>
            <w:proofErr w:type="gramStart"/>
            <w:r w:rsidRPr="0025213D">
              <w:rPr>
                <w:rFonts w:ascii="Times New Roman" w:eastAsia="Times New Roman" w:hAnsi="Times New Roman" w:cs="Times New Roman"/>
                <w:color w:val="B22222"/>
                <w:sz w:val="14"/>
                <w:szCs w:val="14"/>
                <w:vertAlign w:val="superscript"/>
                <w:lang w:eastAsia="zh-CN" w:bidi="ar-SA"/>
              </w:rPr>
              <w:t>22]</w:t>
            </w:r>
            <w:r w:rsidRPr="0025213D">
              <w:rPr>
                <w:rFonts w:ascii="Times New Roman" w:eastAsia="Times New Roman" w:hAnsi="Times New Roman" w:cs="Times New Roman"/>
                <w:color w:val="000000"/>
                <w:sz w:val="16"/>
                <w:szCs w:val="16"/>
                <w:rtl/>
                <w:lang w:eastAsia="zh-CN"/>
              </w:rPr>
              <w:t>קול</w:t>
            </w:r>
            <w:proofErr w:type="gramEnd"/>
            <w:r w:rsidRPr="0025213D">
              <w:rPr>
                <w:rFonts w:ascii="Times New Roman" w:eastAsia="Times New Roman" w:hAnsi="Times New Roman" w:cs="Times New Roman"/>
                <w:color w:val="000000"/>
                <w:sz w:val="16"/>
                <w:szCs w:val="16"/>
                <w:rtl/>
                <w:lang w:eastAsia="zh-CN"/>
              </w:rPr>
              <w:t xml:space="preserve"> דממה דקה</w:t>
            </w:r>
            <w:r w:rsidRPr="0025213D">
              <w:rPr>
                <w:rFonts w:ascii="Times New Roman" w:eastAsia="Times New Roman" w:hAnsi="Times New Roman" w:cs="Times New Roman"/>
                <w:color w:val="000000"/>
                <w:sz w:val="16"/>
                <w:szCs w:val="16"/>
                <w:lang w:eastAsia="zh-CN" w:bidi="ar-SA"/>
              </w:rPr>
              <w:t>) left by these deliberate omissions that the Priestly source’s revolutionary conception of God is manifested.</w:t>
            </w:r>
          </w:p>
          <w:p w14:paraId="756D46E5"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23C281A2"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העדר כל מרשם טקסי לריפוי צרעת ביחד עם ההשלכות הבלתי מזיקות באופן יחסי של מחלה זו רומזים לניסיון מכוון להרחיק את העברים מטקסי הדיפת רוע שהם הכירו. במקום דרך שימוש באמירות תאולוגיות תוכניתיות, הרי שבקול הדממה הדקה</w:t>
            </w:r>
            <w:r w:rsidRPr="00CA1BBB">
              <w:rPr>
                <w:rFonts w:ascii="David" w:eastAsia="Times New Roman" w:hAnsi="David" w:cs="David"/>
                <w:color w:val="000000"/>
                <w:sz w:val="24"/>
                <w:szCs w:val="24"/>
                <w:vertAlign w:val="superscript"/>
                <w:rtl/>
              </w:rPr>
              <w:footnoteReference w:id="22"/>
            </w:r>
            <w:r w:rsidRPr="00CA1BBB">
              <w:rPr>
                <w:rFonts w:ascii="David" w:eastAsia="Times New Roman" w:hAnsi="David" w:cs="David" w:hint="cs"/>
                <w:color w:val="000000"/>
                <w:sz w:val="24"/>
                <w:szCs w:val="24"/>
                <w:rtl/>
              </w:rPr>
              <w:t xml:space="preserve"> הנותר בעקבות השמטות מכוונות אלה נגלית תפיסת המקור הכוהני המהפכנית של אלוקים.</w:t>
            </w:r>
          </w:p>
          <w:p w14:paraId="77F3DC58" w14:textId="77777777" w:rsidR="00CA1BBB" w:rsidRPr="00CA1BBB" w:rsidRDefault="00CA1BBB" w:rsidP="00CA1BBB">
            <w:pPr>
              <w:bidi/>
              <w:spacing w:after="187" w:line="360" w:lineRule="auto"/>
              <w:rPr>
                <w:rFonts w:ascii="David" w:eastAsia="Times New Roman" w:hAnsi="David" w:cs="David"/>
                <w:color w:val="000000"/>
                <w:sz w:val="24"/>
                <w:szCs w:val="24"/>
                <w:rtl/>
              </w:rPr>
            </w:pPr>
          </w:p>
          <w:p w14:paraId="7C45B1AE" w14:textId="77777777" w:rsidR="0025213D" w:rsidRDefault="0025213D" w:rsidP="004E1C22">
            <w:pPr>
              <w:bidi/>
              <w:spacing w:line="276" w:lineRule="auto"/>
              <w:rPr>
                <w:rFonts w:asciiTheme="minorBidi" w:hAnsiTheme="minorBidi"/>
                <w:rtl/>
              </w:rPr>
            </w:pPr>
          </w:p>
        </w:tc>
      </w:tr>
      <w:tr w:rsidR="0025213D" w14:paraId="70694436" w14:textId="77777777" w:rsidTr="004E1C22">
        <w:tc>
          <w:tcPr>
            <w:tcW w:w="4675" w:type="dxa"/>
          </w:tcPr>
          <w:p w14:paraId="5C8DDF83" w14:textId="77777777" w:rsidR="0025213D" w:rsidRPr="0025213D" w:rsidRDefault="0025213D" w:rsidP="0025213D">
            <w:pPr>
              <w:shd w:val="clear" w:color="auto" w:fill="FFFFFF"/>
              <w:spacing w:before="421" w:after="94" w:line="346" w:lineRule="atLeast"/>
              <w:outlineLvl w:val="4"/>
              <w:rPr>
                <w:rFonts w:ascii="Times New Roman" w:eastAsia="Times New Roman" w:hAnsi="Times New Roman" w:cs="Times New Roman"/>
                <w:b/>
                <w:bCs/>
                <w:color w:val="000000"/>
                <w:sz w:val="14"/>
                <w:szCs w:val="14"/>
                <w:lang w:eastAsia="zh-CN" w:bidi="ar-SA"/>
              </w:rPr>
            </w:pPr>
            <w:r w:rsidRPr="0025213D">
              <w:rPr>
                <w:rFonts w:ascii="Times New Roman" w:eastAsia="Times New Roman" w:hAnsi="Times New Roman" w:cs="Times New Roman"/>
                <w:b/>
                <w:bCs/>
                <w:color w:val="000000"/>
                <w:sz w:val="14"/>
                <w:szCs w:val="14"/>
                <w:lang w:eastAsia="zh-CN" w:bidi="ar-SA"/>
              </w:rPr>
              <w:lastRenderedPageBreak/>
              <w:t>Appendix</w:t>
            </w:r>
          </w:p>
          <w:p w14:paraId="49C47F67" w14:textId="77777777" w:rsidR="0025213D" w:rsidRPr="0025213D" w:rsidRDefault="0025213D" w:rsidP="0025213D">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r w:rsidRPr="0025213D">
              <w:rPr>
                <w:rFonts w:ascii="Times New Roman" w:eastAsia="Times New Roman" w:hAnsi="Times New Roman" w:cs="Times New Roman"/>
                <w:color w:val="000000"/>
                <w:sz w:val="23"/>
                <w:szCs w:val="23"/>
                <w:lang w:eastAsia="zh-CN" w:bidi="ar-SA"/>
              </w:rPr>
              <w:t>Never Mind the Fungus on the Wall</w:t>
            </w:r>
          </w:p>
          <w:p w14:paraId="125871F4"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An equally illuminating parallel to the one discussed in the main article can be found in the case of </w:t>
            </w:r>
            <w:proofErr w:type="spellStart"/>
            <w:r w:rsidRPr="0025213D">
              <w:rPr>
                <w:rFonts w:ascii="Times New Roman" w:eastAsia="Times New Roman" w:hAnsi="Times New Roman" w:cs="Times New Roman"/>
                <w:i/>
                <w:iCs/>
                <w:color w:val="000000"/>
                <w:sz w:val="16"/>
                <w:lang w:eastAsia="zh-CN" w:bidi="ar-SA"/>
              </w:rPr>
              <w:t>ṣara‛at</w:t>
            </w:r>
            <w:proofErr w:type="spellEnd"/>
            <w:r w:rsidRPr="0025213D">
              <w:rPr>
                <w:rFonts w:ascii="Times New Roman" w:eastAsia="Times New Roman" w:hAnsi="Times New Roman" w:cs="Times New Roman"/>
                <w:i/>
                <w:iCs/>
                <w:color w:val="000000"/>
                <w:sz w:val="16"/>
                <w:lang w:eastAsia="zh-CN" w:bidi="ar-SA"/>
              </w:rPr>
              <w:t> </w:t>
            </w:r>
            <w:r w:rsidRPr="0025213D">
              <w:rPr>
                <w:rFonts w:ascii="Times New Roman" w:eastAsia="Times New Roman" w:hAnsi="Times New Roman" w:cs="Times New Roman"/>
                <w:color w:val="000000"/>
                <w:sz w:val="16"/>
                <w:szCs w:val="16"/>
                <w:lang w:eastAsia="zh-CN" w:bidi="ar-SA"/>
              </w:rPr>
              <w:t>in a house (Lev 14:33–53), which is comparable to the </w:t>
            </w:r>
            <w:proofErr w:type="spellStart"/>
            <w:r w:rsidRPr="0025213D">
              <w:rPr>
                <w:rFonts w:ascii="Times New Roman" w:eastAsia="Times New Roman" w:hAnsi="Times New Roman" w:cs="Times New Roman"/>
                <w:i/>
                <w:iCs/>
                <w:color w:val="000000"/>
                <w:sz w:val="16"/>
                <w:lang w:eastAsia="zh-CN" w:bidi="ar-SA"/>
              </w:rPr>
              <w:t>katarru</w:t>
            </w:r>
            <w:proofErr w:type="spellEnd"/>
            <w:r w:rsidRPr="0025213D">
              <w:rPr>
                <w:rFonts w:ascii="Times New Roman" w:eastAsia="Times New Roman" w:hAnsi="Times New Roman" w:cs="Times New Roman"/>
                <w:i/>
                <w:iCs/>
                <w:color w:val="000000"/>
                <w:sz w:val="16"/>
                <w:lang w:eastAsia="zh-CN" w:bidi="ar-SA"/>
              </w:rPr>
              <w:t> </w:t>
            </w:r>
            <w:r w:rsidRPr="0025213D">
              <w:rPr>
                <w:rFonts w:ascii="Times New Roman" w:eastAsia="Times New Roman" w:hAnsi="Times New Roman" w:cs="Times New Roman"/>
                <w:color w:val="000000"/>
                <w:sz w:val="16"/>
                <w:szCs w:val="16"/>
                <w:lang w:eastAsia="zh-CN" w:bidi="ar-SA"/>
              </w:rPr>
              <w:t>fungus described in Mesopotamian omen and ritual texts. While today a home-owner suffering from this malady might prefer Lysol to an exorcist, this was no laughing matter for the Mesopotamians. For example, one text specifies:</w:t>
            </w:r>
          </w:p>
          <w:p w14:paraId="661867D1" w14:textId="77777777" w:rsidR="0025213D" w:rsidRPr="0025213D" w:rsidRDefault="0025213D" w:rsidP="0025213D">
            <w:pPr>
              <w:shd w:val="clear" w:color="auto" w:fill="FFFFFF"/>
              <w:spacing w:after="140"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[If] there is fungus on a man’s house on the outer northern side, the owner of the house will die and his [house] will be scattered.</w:t>
            </w:r>
            <w:r w:rsidRPr="0025213D">
              <w:rPr>
                <w:rFonts w:ascii="Times New Roman" w:eastAsia="Times New Roman" w:hAnsi="Times New Roman" w:cs="Times New Roman"/>
                <w:color w:val="B22222"/>
                <w:sz w:val="14"/>
                <w:szCs w:val="14"/>
                <w:vertAlign w:val="superscript"/>
                <w:lang w:eastAsia="zh-CN" w:bidi="ar-SA"/>
              </w:rPr>
              <w:t>[23]</w:t>
            </w:r>
          </w:p>
          <w:p w14:paraId="6DB3A884"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73F3C3F0"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נספח</w:t>
            </w:r>
          </w:p>
          <w:p w14:paraId="69B0CD1D" w14:textId="77777777" w:rsidR="00CA1BBB" w:rsidRPr="00CA1BBB" w:rsidRDefault="00CA1BBB" w:rsidP="00CA1BBB">
            <w:pPr>
              <w:bidi/>
              <w:spacing w:after="187" w:line="360" w:lineRule="auto"/>
              <w:rPr>
                <w:rFonts w:ascii="David" w:eastAsia="Times New Roman" w:hAnsi="David" w:cs="David"/>
                <w:color w:val="000000"/>
                <w:sz w:val="24"/>
                <w:szCs w:val="24"/>
                <w:rtl/>
              </w:rPr>
            </w:pPr>
          </w:p>
          <w:p w14:paraId="3EB9C659"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אל תתייחס לפטרייה שעל הקיר</w:t>
            </w:r>
          </w:p>
          <w:p w14:paraId="77FB24FD"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מקבילה מאירה באותה מידה לזו שנידונה במאמר העיקרי נמצאת בפרשת צרעת הבית (ויקרא 33:14–53), שאפשר להשוותה לפטריית ה-</w:t>
            </w:r>
            <w:r w:rsidRPr="00CA1BBB">
              <w:rPr>
                <w:rFonts w:ascii="Times New Roman" w:eastAsia="Times New Roman" w:hAnsi="Times New Roman" w:cs="Times New Roman"/>
                <w:i/>
                <w:iCs/>
                <w:color w:val="000000"/>
                <w:sz w:val="16"/>
                <w:lang w:bidi="ar-SA"/>
              </w:rPr>
              <w:t xml:space="preserve"> </w:t>
            </w:r>
            <w:proofErr w:type="spellStart"/>
            <w:r w:rsidRPr="00CA1BBB">
              <w:rPr>
                <w:rFonts w:ascii="Times New Roman" w:eastAsia="Times New Roman" w:hAnsi="Times New Roman" w:cs="Times New Roman"/>
                <w:i/>
                <w:iCs/>
                <w:color w:val="000000"/>
                <w:sz w:val="16"/>
                <w:lang w:bidi="ar-SA"/>
              </w:rPr>
              <w:t>katarru</w:t>
            </w:r>
            <w:proofErr w:type="spellEnd"/>
            <w:r w:rsidRPr="00CA1BBB">
              <w:rPr>
                <w:rFonts w:ascii="David" w:eastAsia="Times New Roman" w:hAnsi="David" w:cs="David" w:hint="cs"/>
                <w:color w:val="000000"/>
                <w:sz w:val="24"/>
                <w:szCs w:val="24"/>
                <w:rtl/>
              </w:rPr>
              <w:t xml:space="preserve"> המתוארת בטקסטים של מופתים וטקסים מסופוטמיים. בעוד שבעל בית בימינו הסובל מפגע זה יעדיף אולי את השימוש בליזול על פני מגרש שדים, לא היה זה נושא לבדיחה עבור המסופוטמים. לדוגמה, טקסט אחד מפרט:</w:t>
            </w:r>
          </w:p>
          <w:p w14:paraId="78C6E3E2"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[אם] יש פטרייה על קיר ביתו של אדם על הצד הצפוני החיצוני, בעל הבית ימות ו[הבית] שלו ינותץ.</w:t>
            </w:r>
            <w:r w:rsidRPr="00CA1BBB">
              <w:rPr>
                <w:rFonts w:ascii="David" w:eastAsia="Times New Roman" w:hAnsi="David" w:cs="David"/>
                <w:color w:val="000000"/>
                <w:sz w:val="24"/>
                <w:szCs w:val="24"/>
                <w:vertAlign w:val="superscript"/>
                <w:rtl/>
              </w:rPr>
              <w:footnoteReference w:id="23"/>
            </w:r>
            <w:r w:rsidRPr="00CA1BBB">
              <w:rPr>
                <w:rFonts w:ascii="David" w:eastAsia="Times New Roman" w:hAnsi="David" w:cs="David" w:hint="cs"/>
                <w:color w:val="000000"/>
                <w:sz w:val="24"/>
                <w:szCs w:val="24"/>
                <w:rtl/>
              </w:rPr>
              <w:t xml:space="preserve"> </w:t>
            </w:r>
            <w:r w:rsidRPr="00CA1BBB">
              <w:rPr>
                <w:rFonts w:ascii="David" w:eastAsia="Times New Roman" w:hAnsi="David" w:cs="David" w:hint="cs"/>
                <w:color w:val="000000"/>
                <w:sz w:val="24"/>
                <w:szCs w:val="24"/>
                <w:highlight w:val="yellow"/>
                <w:rtl/>
              </w:rPr>
              <w:t>(תרגום שלי)</w:t>
            </w:r>
          </w:p>
          <w:p w14:paraId="2054CDD6" w14:textId="77777777" w:rsidR="0025213D" w:rsidRDefault="0025213D" w:rsidP="004E1C22">
            <w:pPr>
              <w:bidi/>
              <w:spacing w:line="276" w:lineRule="auto"/>
              <w:rPr>
                <w:rFonts w:asciiTheme="minorBidi" w:hAnsiTheme="minorBidi"/>
                <w:rtl/>
              </w:rPr>
            </w:pPr>
          </w:p>
        </w:tc>
      </w:tr>
      <w:tr w:rsidR="0025213D" w14:paraId="485F0E68" w14:textId="77777777" w:rsidTr="004E1C22">
        <w:tc>
          <w:tcPr>
            <w:tcW w:w="4675" w:type="dxa"/>
          </w:tcPr>
          <w:p w14:paraId="4C119659"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t>According to this text and others, the </w:t>
            </w:r>
            <w:proofErr w:type="spellStart"/>
            <w:r w:rsidRPr="0025213D">
              <w:rPr>
                <w:rFonts w:ascii="Times New Roman" w:eastAsia="Times New Roman" w:hAnsi="Times New Roman" w:cs="Times New Roman"/>
                <w:i/>
                <w:iCs/>
                <w:color w:val="000000"/>
                <w:sz w:val="16"/>
                <w:lang w:eastAsia="zh-CN" w:bidi="ar-SA"/>
              </w:rPr>
              <w:t>katarru</w:t>
            </w:r>
            <w:proofErr w:type="spellEnd"/>
            <w:r w:rsidRPr="0025213D">
              <w:rPr>
                <w:rFonts w:ascii="Times New Roman" w:eastAsia="Times New Roman" w:hAnsi="Times New Roman" w:cs="Times New Roman"/>
                <w:i/>
                <w:iCs/>
                <w:color w:val="000000"/>
                <w:sz w:val="16"/>
                <w:lang w:eastAsia="zh-CN" w:bidi="ar-SA"/>
              </w:rPr>
              <w:t> </w:t>
            </w:r>
            <w:r w:rsidRPr="0025213D">
              <w:rPr>
                <w:rFonts w:ascii="Times New Roman" w:eastAsia="Times New Roman" w:hAnsi="Times New Roman" w:cs="Times New Roman"/>
                <w:color w:val="000000"/>
                <w:sz w:val="16"/>
                <w:szCs w:val="16"/>
                <w:lang w:eastAsia="zh-CN" w:bidi="ar-SA"/>
              </w:rPr>
              <w:t>fungus was viewed as an omen foretelling impending disaster. The text continues with other examples such as, if it is on the east, the victim will be his wife, and so on. Though the biblical instructions address a similar, if not identical, problem, there is no suggestion of any danger to the house’s occupants. In fact, they even limit the economic damage caused by the “impurity” by specifying that all of the belongings be removed from the house before the priest makes his diagnosis:</w:t>
            </w:r>
          </w:p>
          <w:p w14:paraId="59C1B570" w14:textId="77777777" w:rsidR="0025213D" w:rsidRPr="0025213D" w:rsidRDefault="0025213D" w:rsidP="0025213D">
            <w:pPr>
              <w:shd w:val="clear" w:color="auto" w:fill="FFFFFF"/>
              <w:bidi/>
              <w:spacing w:after="100" w:line="290" w:lineRule="atLeast"/>
              <w:textAlignment w:val="top"/>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2"/>
                <w:szCs w:val="12"/>
                <w:vertAlign w:val="superscript"/>
                <w:rtl/>
                <w:lang w:eastAsia="zh-CN"/>
              </w:rPr>
              <w:t xml:space="preserve">ויקרא </w:t>
            </w:r>
            <w:proofErr w:type="spellStart"/>
            <w:r w:rsidRPr="0025213D">
              <w:rPr>
                <w:rFonts w:ascii="Times New Roman" w:eastAsia="Times New Roman" w:hAnsi="Times New Roman" w:cs="Times New Roman"/>
                <w:color w:val="000000"/>
                <w:sz w:val="12"/>
                <w:szCs w:val="12"/>
                <w:vertAlign w:val="superscript"/>
                <w:rtl/>
                <w:lang w:eastAsia="zh-CN"/>
              </w:rPr>
              <w:t>יד:לו</w:t>
            </w:r>
            <w:proofErr w:type="spellEnd"/>
            <w:r w:rsidRPr="0025213D">
              <w:rPr>
                <w:rFonts w:ascii="Times New Roman" w:eastAsia="Times New Roman" w:hAnsi="Times New Roman" w:cs="Times New Roman"/>
                <w:color w:val="000000"/>
                <w:sz w:val="16"/>
                <w:szCs w:val="16"/>
                <w:rtl/>
                <w:lang w:eastAsia="zh-CN" w:bidi="ar-SA"/>
              </w:rPr>
              <w:t> </w:t>
            </w:r>
            <w:proofErr w:type="spellStart"/>
            <w:r w:rsidRPr="0025213D">
              <w:rPr>
                <w:rFonts w:ascii="Times New Roman" w:eastAsia="Times New Roman" w:hAnsi="Times New Roman" w:cs="Times New Roman"/>
                <w:color w:val="000000"/>
                <w:sz w:val="16"/>
                <w:szCs w:val="16"/>
                <w:rtl/>
                <w:lang w:eastAsia="zh-CN"/>
              </w:rPr>
              <w:t>וְצִוָּה</w:t>
            </w:r>
            <w:proofErr w:type="spellEnd"/>
            <w:r w:rsidRPr="0025213D">
              <w:rPr>
                <w:rFonts w:ascii="Times New Roman" w:eastAsia="Times New Roman" w:hAnsi="Times New Roman" w:cs="Times New Roman"/>
                <w:color w:val="000000"/>
                <w:sz w:val="16"/>
                <w:szCs w:val="16"/>
                <w:rtl/>
                <w:lang w:eastAsia="zh-CN"/>
              </w:rPr>
              <w:t xml:space="preserve"> הַכֹּהֵן וּפִנּוּ אֶת הַבַּיִת בְּטֶרֶם יָבֹא הַכֹּהֵן לִרְאוֹת אֶת הַנֶּגַע וְלֹא יִטְמָא כָּל אֲשֶׁר בַּבָּיִת וְאַחַר כֵּן יָבֹא הַכֹּהֵן לִרְאוֹת אֶת הַבָּיִת.</w:t>
            </w:r>
          </w:p>
          <w:p w14:paraId="775A731C" w14:textId="77777777" w:rsidR="0025213D" w:rsidRPr="0025213D" w:rsidRDefault="0025213D" w:rsidP="0025213D">
            <w:pPr>
              <w:shd w:val="clear" w:color="auto" w:fill="FFFFFF"/>
              <w:spacing w:line="262" w:lineRule="atLeast"/>
              <w:rPr>
                <w:rFonts w:ascii="Times New Roman" w:eastAsia="Times New Roman" w:hAnsi="Times New Roman" w:cs="Times New Roman"/>
                <w:color w:val="000000"/>
                <w:sz w:val="14"/>
                <w:szCs w:val="14"/>
                <w:rtl/>
                <w:lang w:eastAsia="zh-CN" w:bidi="ar-SA"/>
              </w:rPr>
            </w:pPr>
            <w:r w:rsidRPr="0025213D">
              <w:rPr>
                <w:rFonts w:ascii="Times New Roman" w:eastAsia="Times New Roman" w:hAnsi="Times New Roman" w:cs="Times New Roman"/>
                <w:color w:val="000000"/>
                <w:sz w:val="14"/>
                <w:szCs w:val="14"/>
                <w:lang w:eastAsia="zh-CN" w:bidi="ar-SA"/>
              </w:rPr>
              <w:t> </w:t>
            </w:r>
          </w:p>
          <w:p w14:paraId="63FEE8D0" w14:textId="77777777" w:rsidR="0025213D" w:rsidRPr="0025213D" w:rsidRDefault="0025213D" w:rsidP="0025213D">
            <w:pPr>
              <w:shd w:val="clear" w:color="auto" w:fill="FFFFFF"/>
              <w:spacing w:line="290" w:lineRule="atLeast"/>
              <w:textAlignment w:val="top"/>
              <w:rPr>
                <w:rFonts w:ascii="Times New Roman" w:eastAsia="Times New Roman" w:hAnsi="Times New Roman" w:cs="Times New Roman"/>
                <w:color w:val="B22222"/>
                <w:sz w:val="14"/>
                <w:szCs w:val="14"/>
                <w:vertAlign w:val="superscript"/>
                <w:lang w:eastAsia="zh-CN" w:bidi="ar-SA"/>
              </w:rPr>
            </w:pPr>
            <w:r w:rsidRPr="0025213D">
              <w:rPr>
                <w:rFonts w:ascii="Times New Roman" w:eastAsia="Times New Roman" w:hAnsi="Times New Roman" w:cs="Times New Roman"/>
                <w:color w:val="000000"/>
                <w:sz w:val="11"/>
                <w:szCs w:val="11"/>
                <w:vertAlign w:val="superscript"/>
                <w:lang w:eastAsia="zh-CN" w:bidi="ar-SA"/>
              </w:rPr>
              <w:t>Lev 14:36</w:t>
            </w:r>
            <w:r w:rsidRPr="0025213D">
              <w:rPr>
                <w:rFonts w:ascii="Times New Roman" w:eastAsia="Times New Roman" w:hAnsi="Times New Roman" w:cs="Times New Roman"/>
                <w:color w:val="000000"/>
                <w:sz w:val="14"/>
                <w:szCs w:val="14"/>
                <w:lang w:eastAsia="zh-CN" w:bidi="ar-SA"/>
              </w:rPr>
              <w:t> The priest shall order the house cleared before the priest enters to examine the infection, so that nothing in the house may become impure, after that the priest shall enter to examine the house.</w:t>
            </w:r>
            <w:r w:rsidRPr="0025213D">
              <w:rPr>
                <w:rFonts w:ascii="Times New Roman" w:eastAsia="Times New Roman" w:hAnsi="Times New Roman" w:cs="Times New Roman"/>
                <w:color w:val="B22222"/>
                <w:sz w:val="14"/>
                <w:szCs w:val="14"/>
                <w:vertAlign w:val="superscript"/>
                <w:lang w:eastAsia="zh-CN" w:bidi="ar-SA"/>
              </w:rPr>
              <w:t>[24]</w:t>
            </w:r>
          </w:p>
          <w:p w14:paraId="08A225D9"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894BB33"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לפי טקסט זה ואחרים, פטריית ה-</w:t>
            </w:r>
            <w:r w:rsidRPr="00CA1BBB">
              <w:rPr>
                <w:rFonts w:ascii="Times New Roman" w:eastAsia="Times New Roman" w:hAnsi="Times New Roman" w:cs="Times New Roman"/>
                <w:i/>
                <w:iCs/>
                <w:color w:val="000000"/>
                <w:sz w:val="16"/>
                <w:lang w:bidi="ar-SA"/>
              </w:rPr>
              <w:t xml:space="preserve"> </w:t>
            </w:r>
            <w:proofErr w:type="spellStart"/>
            <w:r w:rsidRPr="00CA1BBB">
              <w:rPr>
                <w:rFonts w:ascii="Times New Roman" w:eastAsia="Times New Roman" w:hAnsi="Times New Roman" w:cs="Times New Roman"/>
                <w:i/>
                <w:iCs/>
                <w:color w:val="000000"/>
                <w:sz w:val="16"/>
                <w:lang w:bidi="ar-SA"/>
              </w:rPr>
              <w:t>katarru</w:t>
            </w:r>
            <w:proofErr w:type="spellEnd"/>
            <w:r w:rsidRPr="00CA1BBB">
              <w:rPr>
                <w:rFonts w:ascii="David" w:eastAsia="Times New Roman" w:hAnsi="David" w:cs="David" w:hint="cs"/>
                <w:color w:val="000000"/>
                <w:sz w:val="24"/>
                <w:szCs w:val="24"/>
                <w:rtl/>
              </w:rPr>
              <w:t xml:space="preserve"> נתפסה כאות המבשר אסון מתקרב. הטקסט ממשיך ומביא דוגמאות נוספות כגון שאם הנגע נמצא בצד מזרח, הקורבן יהיה אשתו, וכן הלאה. אף שההדרכות המקראיות מתייחסות לבעיה דומה, אם לא זהה, אין רמיזה לכל סכנה הנשקפת לדיירי הבית. אדרבה, הן אפילו מצמצמות את הנזק הכלכלי הנגרם בידי ה"טומאה" בכך שהן מציינות שיש להוציא מן הבית את כל החפצים לפני שהכהן קובע את אבחנתו:</w:t>
            </w:r>
          </w:p>
          <w:p w14:paraId="1CDE4ECC"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 xml:space="preserve">(ויקרא 36:14) </w:t>
            </w:r>
            <w:proofErr w:type="spellStart"/>
            <w:r w:rsidRPr="00CA1BBB">
              <w:rPr>
                <w:rFonts w:ascii="David" w:eastAsia="Times New Roman" w:hAnsi="David" w:cs="David" w:hint="cs"/>
                <w:color w:val="000000"/>
                <w:sz w:val="24"/>
                <w:szCs w:val="24"/>
                <w:rtl/>
              </w:rPr>
              <w:t>וצוה</w:t>
            </w:r>
            <w:proofErr w:type="spellEnd"/>
            <w:r w:rsidRPr="00CA1BBB">
              <w:rPr>
                <w:rFonts w:ascii="David" w:eastAsia="Times New Roman" w:hAnsi="David" w:cs="David" w:hint="cs"/>
                <w:color w:val="000000"/>
                <w:sz w:val="24"/>
                <w:szCs w:val="24"/>
                <w:rtl/>
              </w:rPr>
              <w:t xml:space="preserve"> הכהן ופנו את הבית בטרם יבא הכהן לראות את הנגע ולא יטמא כל אשר בבית ואחר כן יבא הכהן לראות את הבית.</w:t>
            </w:r>
          </w:p>
          <w:p w14:paraId="4F92A8B5" w14:textId="77777777" w:rsidR="0025213D" w:rsidRDefault="0025213D" w:rsidP="004E1C22">
            <w:pPr>
              <w:bidi/>
              <w:spacing w:line="276" w:lineRule="auto"/>
              <w:rPr>
                <w:rFonts w:asciiTheme="minorBidi" w:hAnsiTheme="minorBidi"/>
                <w:rtl/>
              </w:rPr>
            </w:pPr>
          </w:p>
        </w:tc>
      </w:tr>
      <w:tr w:rsidR="0025213D" w14:paraId="2F8D3806" w14:textId="77777777" w:rsidTr="004E1C22">
        <w:tc>
          <w:tcPr>
            <w:tcW w:w="4675" w:type="dxa"/>
          </w:tcPr>
          <w:p w14:paraId="791A064C" w14:textId="77777777" w:rsidR="0025213D" w:rsidRPr="0025213D" w:rsidRDefault="0025213D" w:rsidP="0025213D">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25213D">
              <w:rPr>
                <w:rFonts w:ascii="Times New Roman" w:eastAsia="Times New Roman" w:hAnsi="Times New Roman" w:cs="Times New Roman"/>
                <w:color w:val="000000"/>
                <w:sz w:val="16"/>
                <w:szCs w:val="16"/>
                <w:lang w:eastAsia="zh-CN" w:bidi="ar-SA"/>
              </w:rPr>
              <w:lastRenderedPageBreak/>
              <w:t>The rationale for this dispensation, as is explicitly stated, is to enable the house-owner to save his possessions from needing to be discarded (or at least purified) as carriers of pollution.</w:t>
            </w:r>
            <w:r w:rsidRPr="0025213D">
              <w:rPr>
                <w:rFonts w:ascii="Times New Roman" w:eastAsia="Times New Roman" w:hAnsi="Times New Roman" w:cs="Times New Roman"/>
                <w:color w:val="B22222"/>
                <w:sz w:val="14"/>
                <w:szCs w:val="14"/>
                <w:vertAlign w:val="superscript"/>
                <w:lang w:eastAsia="zh-CN" w:bidi="ar-SA"/>
              </w:rPr>
              <w:t>[25]</w:t>
            </w:r>
          </w:p>
          <w:p w14:paraId="1D88963F"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E11FBE1" w14:textId="77777777" w:rsidR="00CA1BBB" w:rsidRPr="00CA1BBB" w:rsidRDefault="00CA1BBB" w:rsidP="00CA1BBB">
            <w:pPr>
              <w:bidi/>
              <w:spacing w:after="187" w:line="360" w:lineRule="auto"/>
              <w:rPr>
                <w:rFonts w:ascii="David" w:eastAsia="Times New Roman" w:hAnsi="David" w:cs="David"/>
                <w:color w:val="000000"/>
                <w:sz w:val="24"/>
                <w:szCs w:val="24"/>
                <w:rtl/>
              </w:rPr>
            </w:pPr>
            <w:r w:rsidRPr="00CA1BBB">
              <w:rPr>
                <w:rFonts w:ascii="David" w:eastAsia="Times New Roman" w:hAnsi="David" w:cs="David" w:hint="cs"/>
                <w:color w:val="000000"/>
                <w:sz w:val="24"/>
                <w:szCs w:val="24"/>
                <w:rtl/>
              </w:rPr>
              <w:t>הטעם לסטייה זו מן המקובל, כפי שנאמר במפורש, הוא כדי לאפשר לבעל הבית להציל את חפציו מן הצורך להשליך (או לפחות לטהר) אותם בתור נשאי טומאה.</w:t>
            </w:r>
            <w:r w:rsidRPr="00CA1BBB">
              <w:rPr>
                <w:rFonts w:ascii="David" w:eastAsia="Times New Roman" w:hAnsi="David" w:cs="David"/>
                <w:color w:val="000000"/>
                <w:sz w:val="24"/>
                <w:szCs w:val="24"/>
                <w:vertAlign w:val="superscript"/>
                <w:rtl/>
              </w:rPr>
              <w:footnoteReference w:id="24"/>
            </w:r>
          </w:p>
          <w:p w14:paraId="1BF8B6E5" w14:textId="77777777" w:rsidR="0025213D" w:rsidRDefault="0025213D" w:rsidP="004E1C22">
            <w:pPr>
              <w:bidi/>
              <w:spacing w:line="276" w:lineRule="auto"/>
              <w:rPr>
                <w:rFonts w:asciiTheme="minorBidi" w:hAnsiTheme="minorBidi"/>
                <w:rtl/>
              </w:rPr>
            </w:pPr>
          </w:p>
        </w:tc>
      </w:tr>
      <w:tr w:rsidR="006C0E13" w14:paraId="321AAAA7" w14:textId="77777777" w:rsidTr="004E1C22">
        <w:tc>
          <w:tcPr>
            <w:tcW w:w="4675" w:type="dxa"/>
          </w:tcPr>
          <w:p w14:paraId="1AF5D1F3" w14:textId="77777777" w:rsidR="006C0E13" w:rsidRPr="006C0E13" w:rsidRDefault="006C0E13" w:rsidP="006C0E13">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6C0E13">
              <w:rPr>
                <w:rFonts w:ascii="Times New Roman" w:eastAsia="Times New Roman" w:hAnsi="Times New Roman" w:cs="Times New Roman"/>
                <w:color w:val="000000"/>
                <w:sz w:val="16"/>
                <w:szCs w:val="16"/>
                <w:lang w:eastAsia="zh-CN" w:bidi="ar-SA"/>
              </w:rPr>
              <w:t>More significantly for our purposes, this rule represents a comprehensive downgrading of the seriousness of this fungus. Aside from the absence of any hint of mortal danger associated with this situation, even its ability to defile objects is under the control of the officiating priest. In this case, Jacob Milgrom’s conclusion concerning leprosy is indeed compelling: “we are dealing with an impurity that has been eviscerated of its principal potency</w:t>
            </w:r>
            <w:proofErr w:type="gramStart"/>
            <w:r w:rsidRPr="006C0E13">
              <w:rPr>
                <w:rFonts w:ascii="Times New Roman" w:eastAsia="Times New Roman" w:hAnsi="Times New Roman" w:cs="Times New Roman"/>
                <w:color w:val="000000"/>
                <w:sz w:val="16"/>
                <w:szCs w:val="16"/>
                <w:lang w:eastAsia="zh-CN" w:bidi="ar-SA"/>
              </w:rPr>
              <w:t>.”</w:t>
            </w:r>
            <w:r w:rsidRPr="006C0E13">
              <w:rPr>
                <w:rFonts w:ascii="Times New Roman" w:eastAsia="Times New Roman" w:hAnsi="Times New Roman" w:cs="Times New Roman"/>
                <w:color w:val="B22222"/>
                <w:sz w:val="14"/>
                <w:szCs w:val="14"/>
                <w:vertAlign w:val="superscript"/>
                <w:lang w:eastAsia="zh-CN" w:bidi="ar-SA"/>
              </w:rPr>
              <w:t>[</w:t>
            </w:r>
            <w:proofErr w:type="gramEnd"/>
            <w:r w:rsidRPr="006C0E13">
              <w:rPr>
                <w:rFonts w:ascii="Times New Roman" w:eastAsia="Times New Roman" w:hAnsi="Times New Roman" w:cs="Times New Roman"/>
                <w:color w:val="B22222"/>
                <w:sz w:val="14"/>
                <w:szCs w:val="14"/>
                <w:vertAlign w:val="superscript"/>
                <w:lang w:eastAsia="zh-CN" w:bidi="ar-SA"/>
              </w:rPr>
              <w:t>26]</w:t>
            </w:r>
          </w:p>
          <w:p w14:paraId="2A6947AC" w14:textId="77777777" w:rsidR="006C0E13" w:rsidRPr="0025213D" w:rsidRDefault="006C0E13" w:rsidP="006C0E13">
            <w:pPr>
              <w:shd w:val="clear" w:color="auto" w:fill="FFFFFF"/>
              <w:spacing w:after="187" w:line="290" w:lineRule="atLeast"/>
              <w:rPr>
                <w:rFonts w:ascii="Times New Roman" w:eastAsia="Times New Roman" w:hAnsi="Times New Roman" w:cs="Times New Roman"/>
                <w:color w:val="000000"/>
                <w:sz w:val="16"/>
                <w:szCs w:val="16"/>
                <w:lang w:eastAsia="zh-CN" w:bidi="ar-SA"/>
              </w:rPr>
            </w:pPr>
          </w:p>
        </w:tc>
        <w:tc>
          <w:tcPr>
            <w:tcW w:w="4675" w:type="dxa"/>
          </w:tcPr>
          <w:p w14:paraId="23EF65A2" w14:textId="2306069D" w:rsidR="006C0E13" w:rsidRPr="00CA1BBB" w:rsidRDefault="006C0E13" w:rsidP="006C0E13">
            <w:pPr>
              <w:bidi/>
              <w:spacing w:after="187" w:line="360" w:lineRule="auto"/>
              <w:rPr>
                <w:rFonts w:ascii="David" w:eastAsia="Times New Roman" w:hAnsi="David" w:cs="David"/>
                <w:color w:val="000000"/>
                <w:sz w:val="24"/>
                <w:szCs w:val="24"/>
                <w:rtl/>
              </w:rPr>
            </w:pPr>
            <w:r w:rsidRPr="004A7B32">
              <w:rPr>
                <w:rFonts w:ascii="David" w:eastAsia="Times New Roman" w:hAnsi="David" w:cs="David" w:hint="cs"/>
                <w:color w:val="000000"/>
                <w:sz w:val="24"/>
                <w:szCs w:val="24"/>
                <w:rtl/>
              </w:rPr>
              <w:t>מה שחשוב יותר למטרותינו הוא שכלל זה מייצג המעטה כוללת של חומרת פטרייה זו. פרט להעדר כל רמז לסכנת חיים הקשורה למצב זה, אפילו יכולתו לטמא חפצים נמצאת תחת שליטת הכהן העורך את הטקס. במקרה זה, מסקנתו של יעקב מלגרום לגבי צרעת אכן מרתקת: "אנו עוסקים בטומאה שנעקר ממנה כוחה העיקרי" (</w:t>
            </w:r>
            <w:r w:rsidRPr="004A7B32">
              <w:rPr>
                <w:rFonts w:ascii="David" w:eastAsia="Times New Roman" w:hAnsi="David" w:cs="David" w:hint="cs"/>
                <w:color w:val="000000"/>
                <w:sz w:val="24"/>
                <w:szCs w:val="24"/>
                <w:highlight w:val="yellow"/>
                <w:rtl/>
              </w:rPr>
              <w:t>תרגום שלי)</w:t>
            </w:r>
            <w:r w:rsidRPr="004A7B32">
              <w:rPr>
                <w:rFonts w:ascii="David" w:eastAsia="Times New Roman" w:hAnsi="David" w:cs="David" w:hint="cs"/>
                <w:color w:val="000000"/>
                <w:sz w:val="24"/>
                <w:szCs w:val="24"/>
                <w:rtl/>
              </w:rPr>
              <w:t>.</w:t>
            </w:r>
            <w:r w:rsidRPr="004A7B32">
              <w:rPr>
                <w:rStyle w:val="ad"/>
                <w:rFonts w:ascii="David" w:eastAsia="Times New Roman" w:hAnsi="David" w:cs="David"/>
                <w:color w:val="000000"/>
                <w:sz w:val="24"/>
                <w:szCs w:val="24"/>
                <w:rtl/>
              </w:rPr>
              <w:footnoteReference w:id="25"/>
            </w:r>
          </w:p>
        </w:tc>
      </w:tr>
      <w:tr w:rsidR="006C0E13" w14:paraId="1D8D1DA7" w14:textId="77777777" w:rsidTr="004E1C22">
        <w:tc>
          <w:tcPr>
            <w:tcW w:w="4675" w:type="dxa"/>
          </w:tcPr>
          <w:p w14:paraId="1C84D394" w14:textId="77777777" w:rsidR="006C0E13" w:rsidRPr="0025213D" w:rsidRDefault="006C0E13" w:rsidP="006C0E13">
            <w:pPr>
              <w:shd w:val="clear" w:color="auto" w:fill="FFFFFF"/>
              <w:rPr>
                <w:rFonts w:ascii="Times New Roman" w:eastAsia="Times New Roman" w:hAnsi="Times New Roman" w:cs="Times New Roman"/>
                <w:color w:val="000000"/>
                <w:sz w:val="20"/>
                <w:szCs w:val="20"/>
                <w:lang w:eastAsia="zh-CN" w:bidi="ar-SA"/>
              </w:rPr>
            </w:pPr>
            <w:r w:rsidRPr="0025213D">
              <w:rPr>
                <w:rFonts w:ascii="Times New Roman" w:eastAsia="Times New Roman" w:hAnsi="Times New Roman" w:cs="Times New Roman"/>
                <w:color w:val="000000"/>
                <w:sz w:val="20"/>
                <w:szCs w:val="20"/>
                <w:lang w:eastAsia="zh-CN" w:bidi="ar-SA"/>
              </w:rPr>
              <w:t>View Footnotes</w:t>
            </w:r>
          </w:p>
          <w:p w14:paraId="49EACABA" w14:textId="77777777" w:rsidR="006C0E13" w:rsidRPr="00134FD3" w:rsidRDefault="006C0E13" w:rsidP="006C0E1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F78EFA8" w14:textId="77777777" w:rsidR="006C0E13" w:rsidRPr="006C0E13" w:rsidRDefault="006C0E13" w:rsidP="006C0E13">
            <w:pPr>
              <w:bidi/>
              <w:spacing w:after="187" w:line="360" w:lineRule="auto"/>
              <w:rPr>
                <w:rFonts w:ascii="David" w:eastAsia="Times New Roman" w:hAnsi="David" w:cs="David"/>
                <w:color w:val="000000"/>
                <w:sz w:val="24"/>
                <w:szCs w:val="24"/>
                <w:rtl/>
              </w:rPr>
            </w:pPr>
            <w:r w:rsidRPr="006C0E13">
              <w:rPr>
                <w:rFonts w:ascii="David" w:eastAsia="Times New Roman" w:hAnsi="David" w:cs="David" w:hint="cs"/>
                <w:color w:val="000000"/>
                <w:sz w:val="24"/>
                <w:szCs w:val="24"/>
                <w:rtl/>
              </w:rPr>
              <w:t>הערות</w:t>
            </w:r>
          </w:p>
          <w:p w14:paraId="4F702D77" w14:textId="77777777" w:rsidR="006C0E13" w:rsidRDefault="006C0E13" w:rsidP="006C0E13">
            <w:pPr>
              <w:bidi/>
              <w:spacing w:line="276" w:lineRule="auto"/>
              <w:rPr>
                <w:rFonts w:asciiTheme="minorBidi" w:hAnsiTheme="minorBidi"/>
                <w:rtl/>
              </w:rPr>
            </w:pPr>
          </w:p>
        </w:tc>
      </w:tr>
      <w:tr w:rsidR="0025213D" w14:paraId="78438FD2" w14:textId="77777777" w:rsidTr="004E1C22">
        <w:tc>
          <w:tcPr>
            <w:tcW w:w="4675" w:type="dxa"/>
          </w:tcPr>
          <w:p w14:paraId="2F6D9335" w14:textId="77777777" w:rsidR="0025213D" w:rsidRPr="0025213D" w:rsidRDefault="0025213D" w:rsidP="0025213D">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rtl/>
                <w:lang w:eastAsia="zh-CN" w:bidi="ar-SA"/>
              </w:rPr>
            </w:pPr>
            <w:r w:rsidRPr="0025213D">
              <w:rPr>
                <w:rFonts w:ascii="Times New Roman" w:eastAsia="Times New Roman" w:hAnsi="Times New Roman" w:cs="Times New Roman"/>
                <w:color w:val="333333"/>
                <w:sz w:val="14"/>
                <w:szCs w:val="14"/>
                <w:lang w:eastAsia="zh-CN" w:bidi="ar-SA"/>
              </w:rPr>
              <w:t>See especially Jacob Milgrom, </w:t>
            </w:r>
            <w:r w:rsidRPr="0025213D">
              <w:rPr>
                <w:rFonts w:ascii="Times New Roman" w:eastAsia="Times New Roman" w:hAnsi="Times New Roman" w:cs="Times New Roman"/>
                <w:i/>
                <w:iCs/>
                <w:color w:val="333333"/>
                <w:sz w:val="14"/>
                <w:lang w:eastAsia="zh-CN" w:bidi="ar-SA"/>
              </w:rPr>
              <w:t>Leviticus 1 – 16 </w:t>
            </w:r>
            <w:r w:rsidRPr="0025213D">
              <w:rPr>
                <w:rFonts w:ascii="Times New Roman" w:eastAsia="Times New Roman" w:hAnsi="Times New Roman" w:cs="Times New Roman"/>
                <w:color w:val="333333"/>
                <w:sz w:val="14"/>
                <w:szCs w:val="14"/>
                <w:lang w:eastAsia="zh-CN" w:bidi="ar-SA"/>
              </w:rPr>
              <w:t>(New York: Doubleday, 1991), 816–20, 1002–3.</w:t>
            </w:r>
          </w:p>
          <w:p w14:paraId="29B3F737"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6FFA718" w14:textId="0F54FB36" w:rsidR="006C0E13" w:rsidRPr="006C0E13" w:rsidRDefault="006C0E13" w:rsidP="006C0E13">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w:t>
            </w:r>
            <w:r w:rsidRPr="006C0E13">
              <w:rPr>
                <w:rFonts w:ascii="David" w:eastAsia="Times New Roman" w:hAnsi="David" w:cs="David" w:hint="cs"/>
                <w:color w:val="000000"/>
                <w:sz w:val="20"/>
                <w:szCs w:val="20"/>
                <w:rtl/>
              </w:rPr>
              <w:t>.ראו במיוחד:</w:t>
            </w:r>
          </w:p>
          <w:p w14:paraId="68BA1324" w14:textId="77777777" w:rsidR="006C0E13" w:rsidRPr="006C0E13" w:rsidRDefault="006C0E13" w:rsidP="006C0E13">
            <w:pPr>
              <w:shd w:val="clear" w:color="auto" w:fill="FFFFFF"/>
              <w:spacing w:before="100" w:beforeAutospacing="1" w:line="480" w:lineRule="auto"/>
              <w:ind w:left="360"/>
              <w:rPr>
                <w:rFonts w:ascii="Times New Roman" w:eastAsia="Times New Roman" w:hAnsi="Times New Roman" w:cs="Times New Roman"/>
                <w:color w:val="333333"/>
                <w:sz w:val="20"/>
                <w:szCs w:val="20"/>
                <w:rtl/>
                <w:lang w:eastAsia="zh-CN" w:bidi="ar-SA"/>
              </w:rPr>
            </w:pPr>
            <w:r w:rsidRPr="006C0E13">
              <w:rPr>
                <w:rFonts w:ascii="Times New Roman" w:eastAsia="Times New Roman" w:hAnsi="Times New Roman" w:cs="Times New Roman"/>
                <w:color w:val="333333"/>
                <w:sz w:val="20"/>
                <w:szCs w:val="20"/>
                <w:lang w:eastAsia="zh-CN" w:bidi="ar-SA"/>
              </w:rPr>
              <w:t>Jacob Milgrom, </w:t>
            </w:r>
            <w:r w:rsidRPr="006C0E13">
              <w:rPr>
                <w:rFonts w:ascii="Times New Roman" w:eastAsia="Times New Roman" w:hAnsi="Times New Roman" w:cs="Times New Roman"/>
                <w:i/>
                <w:iCs/>
                <w:color w:val="333333"/>
                <w:sz w:val="20"/>
                <w:szCs w:val="20"/>
                <w:lang w:eastAsia="zh-CN" w:bidi="ar-SA"/>
              </w:rPr>
              <w:t>Leviticus 1 – 16 </w:t>
            </w:r>
            <w:r w:rsidRPr="006C0E13">
              <w:rPr>
                <w:rFonts w:ascii="Times New Roman" w:eastAsia="Times New Roman" w:hAnsi="Times New Roman" w:cs="Times New Roman"/>
                <w:color w:val="333333"/>
                <w:sz w:val="20"/>
                <w:szCs w:val="20"/>
                <w:lang w:eastAsia="zh-CN" w:bidi="ar-SA"/>
              </w:rPr>
              <w:t>(New York: Doubleday, 1991), 816–20, 1002–3.</w:t>
            </w:r>
          </w:p>
          <w:p w14:paraId="781FD537" w14:textId="77777777" w:rsidR="0025213D" w:rsidRDefault="0025213D" w:rsidP="004E1C22">
            <w:pPr>
              <w:bidi/>
              <w:spacing w:line="276" w:lineRule="auto"/>
              <w:rPr>
                <w:rFonts w:asciiTheme="minorBidi" w:hAnsiTheme="minorBidi"/>
                <w:rtl/>
              </w:rPr>
            </w:pPr>
          </w:p>
        </w:tc>
      </w:tr>
      <w:tr w:rsidR="0025213D" w14:paraId="147942A4" w14:textId="77777777" w:rsidTr="004E1C22">
        <w:tc>
          <w:tcPr>
            <w:tcW w:w="4675" w:type="dxa"/>
          </w:tcPr>
          <w:p w14:paraId="240C899B" w14:textId="5EDB19E0" w:rsidR="0025213D" w:rsidRPr="00001006" w:rsidRDefault="0025213D" w:rsidP="00001006">
            <w:pPr>
              <w:pStyle w:val="aa"/>
              <w:numPr>
                <w:ilvl w:val="0"/>
                <w:numId w:val="1"/>
              </w:num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r w:rsidRPr="00001006">
              <w:rPr>
                <w:rFonts w:ascii="Times New Roman" w:eastAsia="Times New Roman" w:hAnsi="Times New Roman" w:cs="Times New Roman"/>
                <w:color w:val="333333"/>
                <w:sz w:val="14"/>
                <w:szCs w:val="14"/>
                <w:lang w:bidi="ar-SA"/>
              </w:rPr>
              <w:t xml:space="preserve">In a separate TABS article, Dr. Chaim </w:t>
            </w:r>
            <w:proofErr w:type="spellStart"/>
            <w:r w:rsidRPr="00001006">
              <w:rPr>
                <w:rFonts w:ascii="Times New Roman" w:eastAsia="Times New Roman" w:hAnsi="Times New Roman" w:cs="Times New Roman"/>
                <w:color w:val="333333"/>
                <w:sz w:val="14"/>
                <w:szCs w:val="14"/>
                <w:lang w:bidi="ar-SA"/>
              </w:rPr>
              <w:t>Trachtman</w:t>
            </w:r>
            <w:proofErr w:type="spellEnd"/>
            <w:r w:rsidRPr="00001006">
              <w:rPr>
                <w:rFonts w:ascii="Times New Roman" w:eastAsia="Times New Roman" w:hAnsi="Times New Roman" w:cs="Times New Roman"/>
                <w:color w:val="333333"/>
                <w:sz w:val="14"/>
                <w:szCs w:val="14"/>
                <w:lang w:bidi="ar-SA"/>
              </w:rPr>
              <w:t xml:space="preserve"> has raised a provocative new possibility that this disease should be identified as a type of cancer (</w:t>
            </w:r>
            <w:hyperlink r:id="rId7" w:tgtFrame="_blank" w:history="1">
              <w:r w:rsidRPr="00001006">
                <w:rPr>
                  <w:rFonts w:ascii="Times New Roman" w:eastAsia="Times New Roman" w:hAnsi="Times New Roman" w:cs="Times New Roman"/>
                  <w:color w:val="000080"/>
                  <w:sz w:val="14"/>
                  <w:u w:val="single"/>
                  <w:lang w:bidi="ar-SA"/>
                </w:rPr>
                <w:t>“</w:t>
              </w:r>
              <w:proofErr w:type="spellStart"/>
              <w:r w:rsidRPr="00001006">
                <w:rPr>
                  <w:rFonts w:ascii="Times New Roman" w:eastAsia="Times New Roman" w:hAnsi="Times New Roman" w:cs="Times New Roman"/>
                  <w:color w:val="000080"/>
                  <w:sz w:val="14"/>
                  <w:u w:val="single"/>
                  <w:lang w:bidi="ar-SA"/>
                </w:rPr>
                <w:t>Tzaraat</w:t>
              </w:r>
              <w:proofErr w:type="spellEnd"/>
              <w:r w:rsidRPr="00001006">
                <w:rPr>
                  <w:rFonts w:ascii="Times New Roman" w:eastAsia="Times New Roman" w:hAnsi="Times New Roman" w:cs="Times New Roman"/>
                  <w:color w:val="000080"/>
                  <w:sz w:val="14"/>
                  <w:u w:val="single"/>
                  <w:lang w:bidi="ar-SA"/>
                </w:rPr>
                <w:t xml:space="preserve"> as Cancer,”</w:t>
              </w:r>
            </w:hyperlink>
            <w:r w:rsidRPr="00001006">
              <w:rPr>
                <w:rFonts w:ascii="Times New Roman" w:eastAsia="Times New Roman" w:hAnsi="Times New Roman" w:cs="Times New Roman"/>
                <w:color w:val="333333"/>
                <w:sz w:val="14"/>
                <w:szCs w:val="14"/>
                <w:lang w:bidi="ar-SA"/>
              </w:rPr>
              <w:t> </w:t>
            </w:r>
            <w:proofErr w:type="gramStart"/>
            <w:r w:rsidRPr="00001006">
              <w:rPr>
                <w:rFonts w:ascii="Times New Roman" w:eastAsia="Times New Roman" w:hAnsi="Times New Roman" w:cs="Times New Roman"/>
                <w:i/>
                <w:iCs/>
                <w:color w:val="333333"/>
                <w:sz w:val="14"/>
                <w:lang w:bidi="ar-SA"/>
              </w:rPr>
              <w:t>TheTorah.com</w:t>
            </w:r>
            <w:r w:rsidRPr="00001006">
              <w:rPr>
                <w:rFonts w:ascii="Times New Roman" w:eastAsia="Times New Roman" w:hAnsi="Times New Roman" w:cs="Times New Roman"/>
                <w:color w:val="333333"/>
                <w:sz w:val="14"/>
                <w:szCs w:val="14"/>
                <w:lang w:bidi="ar-SA"/>
              </w:rPr>
              <w:t>[</w:t>
            </w:r>
            <w:proofErr w:type="gramEnd"/>
            <w:r w:rsidRPr="00001006">
              <w:rPr>
                <w:rFonts w:ascii="Times New Roman" w:eastAsia="Times New Roman" w:hAnsi="Times New Roman" w:cs="Times New Roman"/>
                <w:color w:val="333333"/>
                <w:sz w:val="14"/>
                <w:szCs w:val="14"/>
                <w:lang w:bidi="ar-SA"/>
              </w:rPr>
              <w:t>2016]), though this is unlikely since the banishment of the patient indicated in numerous biblical sources suggests that this malady was contagious</w:t>
            </w:r>
          </w:p>
        </w:tc>
        <w:tc>
          <w:tcPr>
            <w:tcW w:w="4675" w:type="dxa"/>
          </w:tcPr>
          <w:p w14:paraId="1007C0B9" w14:textId="5B6BFA54" w:rsidR="0025213D" w:rsidRDefault="0057543C" w:rsidP="0057543C">
            <w:pPr>
              <w:bidi/>
              <w:spacing w:line="360" w:lineRule="auto"/>
              <w:rPr>
                <w:rFonts w:asciiTheme="minorBidi" w:hAnsiTheme="minorBidi"/>
                <w:rtl/>
              </w:rPr>
            </w:pPr>
            <w:r w:rsidRPr="0057543C">
              <w:rPr>
                <w:rFonts w:asciiTheme="minorBidi" w:hAnsiTheme="minorBidi" w:cs="Arial"/>
                <w:rtl/>
              </w:rPr>
              <w:t>2</w:t>
            </w:r>
            <w:r w:rsidRPr="0057543C">
              <w:rPr>
                <w:rFonts w:ascii="David" w:hAnsi="David" w:cs="David"/>
                <w:sz w:val="20"/>
                <w:szCs w:val="20"/>
                <w:rtl/>
              </w:rPr>
              <w:t xml:space="preserve">.במאמר </w:t>
            </w:r>
            <w:r w:rsidRPr="0057543C">
              <w:rPr>
                <w:rFonts w:ascii="David" w:hAnsi="David" w:cs="David"/>
                <w:sz w:val="20"/>
                <w:szCs w:val="20"/>
              </w:rPr>
              <w:t>TABS</w:t>
            </w:r>
            <w:r w:rsidRPr="0057543C">
              <w:rPr>
                <w:rFonts w:ascii="David" w:hAnsi="David" w:cs="David"/>
                <w:sz w:val="20"/>
                <w:szCs w:val="20"/>
                <w:rtl/>
              </w:rPr>
              <w:t xml:space="preserve"> נפרד, העלה ד"ר חיים </w:t>
            </w:r>
            <w:proofErr w:type="spellStart"/>
            <w:r w:rsidRPr="0057543C">
              <w:rPr>
                <w:rFonts w:ascii="David" w:hAnsi="David" w:cs="David"/>
                <w:sz w:val="20"/>
                <w:szCs w:val="20"/>
                <w:rtl/>
              </w:rPr>
              <w:t>טרכטמן</w:t>
            </w:r>
            <w:proofErr w:type="spellEnd"/>
            <w:r w:rsidRPr="0057543C">
              <w:rPr>
                <w:rFonts w:ascii="David" w:hAnsi="David" w:cs="David"/>
                <w:sz w:val="20"/>
                <w:szCs w:val="20"/>
                <w:rtl/>
              </w:rPr>
              <w:t xml:space="preserve"> אפשרות פרובוקטיבית חדשה שיש לזהות מחלה זו כסוג של סרטן (“</w:t>
            </w:r>
            <w:proofErr w:type="spellStart"/>
            <w:r w:rsidRPr="0057543C">
              <w:rPr>
                <w:rFonts w:ascii="David" w:hAnsi="David" w:cs="David"/>
                <w:sz w:val="20"/>
                <w:szCs w:val="20"/>
              </w:rPr>
              <w:t>Tzaraat</w:t>
            </w:r>
            <w:proofErr w:type="spellEnd"/>
            <w:r w:rsidRPr="0057543C">
              <w:rPr>
                <w:rFonts w:ascii="David" w:hAnsi="David" w:cs="David"/>
                <w:sz w:val="20"/>
                <w:szCs w:val="20"/>
              </w:rPr>
              <w:t xml:space="preserve"> as Cancer,” TheTorah.com[2016</w:t>
            </w:r>
            <w:r w:rsidRPr="0057543C">
              <w:rPr>
                <w:rFonts w:ascii="David" w:hAnsi="David" w:cs="David"/>
                <w:sz w:val="20"/>
                <w:szCs w:val="20"/>
                <w:rtl/>
              </w:rPr>
              <w:t>]),, אף שאין זה סביר מכיוון שהרחקת החולה המוזכרת במקורות מקראיים רבים מרמזת שמחלה זו הייתה מדבקת</w:t>
            </w:r>
            <w:r w:rsidRPr="0057543C">
              <w:rPr>
                <w:rFonts w:asciiTheme="minorBidi" w:hAnsiTheme="minorBidi" w:cs="Arial"/>
                <w:rtl/>
              </w:rPr>
              <w:t>.</w:t>
            </w:r>
          </w:p>
        </w:tc>
      </w:tr>
      <w:tr w:rsidR="0025213D" w14:paraId="79576A9A" w14:textId="77777777" w:rsidTr="004E1C22">
        <w:tc>
          <w:tcPr>
            <w:tcW w:w="4675" w:type="dxa"/>
          </w:tcPr>
          <w:p w14:paraId="32D76C04"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t>This disease was even the subject of an explicit dispute between the Qumran sectarians and the Rabbis. See my “The Polemic Regarding Skin Disease in 4QMMT,” </w:t>
            </w:r>
            <w:r w:rsidRPr="00001006">
              <w:rPr>
                <w:rFonts w:ascii="Times New Roman" w:eastAsia="Times New Roman" w:hAnsi="Times New Roman" w:cs="Times New Roman"/>
                <w:i/>
                <w:iCs/>
                <w:color w:val="333333"/>
                <w:sz w:val="14"/>
                <w:lang w:eastAsia="zh-CN" w:bidi="ar-SA"/>
              </w:rPr>
              <w:t>Dead Sea Discoveries</w:t>
            </w:r>
            <w:r w:rsidRPr="00001006">
              <w:rPr>
                <w:rFonts w:ascii="Times New Roman" w:eastAsia="Times New Roman" w:hAnsi="Times New Roman" w:cs="Times New Roman"/>
                <w:color w:val="333333"/>
                <w:sz w:val="14"/>
                <w:szCs w:val="14"/>
                <w:lang w:eastAsia="zh-CN" w:bidi="ar-SA"/>
              </w:rPr>
              <w:t xml:space="preserve"> 19 (2012): 55–70. For discussion of relevant New Testament evidence, see T. </w:t>
            </w:r>
            <w:proofErr w:type="spellStart"/>
            <w:r w:rsidRPr="00001006">
              <w:rPr>
                <w:rFonts w:ascii="Times New Roman" w:eastAsia="Times New Roman" w:hAnsi="Times New Roman" w:cs="Times New Roman"/>
                <w:color w:val="333333"/>
                <w:sz w:val="14"/>
                <w:szCs w:val="14"/>
                <w:lang w:eastAsia="zh-CN" w:bidi="ar-SA"/>
              </w:rPr>
              <w:t>Kazen</w:t>
            </w:r>
            <w:proofErr w:type="spellEnd"/>
            <w:r w:rsidRPr="00001006">
              <w:rPr>
                <w:rFonts w:ascii="Times New Roman" w:eastAsia="Times New Roman" w:hAnsi="Times New Roman" w:cs="Times New Roman"/>
                <w:color w:val="333333"/>
                <w:sz w:val="14"/>
                <w:szCs w:val="14"/>
                <w:lang w:eastAsia="zh-CN" w:bidi="ar-SA"/>
              </w:rPr>
              <w:t>, </w:t>
            </w:r>
            <w:r w:rsidRPr="00001006">
              <w:rPr>
                <w:rFonts w:ascii="Times New Roman" w:eastAsia="Times New Roman" w:hAnsi="Times New Roman" w:cs="Times New Roman"/>
                <w:i/>
                <w:iCs/>
                <w:color w:val="333333"/>
                <w:sz w:val="14"/>
                <w:lang w:eastAsia="zh-CN" w:bidi="ar-SA"/>
              </w:rPr>
              <w:t xml:space="preserve">Jesus and Purity </w:t>
            </w:r>
            <w:proofErr w:type="spellStart"/>
            <w:r w:rsidRPr="00001006">
              <w:rPr>
                <w:rFonts w:ascii="Times New Roman" w:eastAsia="Times New Roman" w:hAnsi="Times New Roman" w:cs="Times New Roman"/>
                <w:i/>
                <w:iCs/>
                <w:color w:val="333333"/>
                <w:sz w:val="14"/>
                <w:lang w:eastAsia="zh-CN" w:bidi="ar-SA"/>
              </w:rPr>
              <w:t>Halakhah</w:t>
            </w:r>
            <w:proofErr w:type="spellEnd"/>
            <w:r w:rsidRPr="00001006">
              <w:rPr>
                <w:rFonts w:ascii="Times New Roman" w:eastAsia="Times New Roman" w:hAnsi="Times New Roman" w:cs="Times New Roman"/>
                <w:color w:val="333333"/>
                <w:sz w:val="14"/>
                <w:szCs w:val="14"/>
                <w:lang w:eastAsia="zh-CN" w:bidi="ar-SA"/>
              </w:rPr>
              <w:t xml:space="preserve"> (Stockholm: Almqvist &amp; </w:t>
            </w:r>
            <w:proofErr w:type="spellStart"/>
            <w:r w:rsidRPr="00001006">
              <w:rPr>
                <w:rFonts w:ascii="Times New Roman" w:eastAsia="Times New Roman" w:hAnsi="Times New Roman" w:cs="Times New Roman"/>
                <w:color w:val="333333"/>
                <w:sz w:val="14"/>
                <w:szCs w:val="14"/>
                <w:lang w:eastAsia="zh-CN" w:bidi="ar-SA"/>
              </w:rPr>
              <w:t>Wiksell</w:t>
            </w:r>
            <w:proofErr w:type="spellEnd"/>
            <w:r w:rsidRPr="00001006">
              <w:rPr>
                <w:rFonts w:ascii="Times New Roman" w:eastAsia="Times New Roman" w:hAnsi="Times New Roman" w:cs="Times New Roman"/>
                <w:color w:val="333333"/>
                <w:sz w:val="14"/>
                <w:szCs w:val="14"/>
                <w:lang w:eastAsia="zh-CN" w:bidi="ar-SA"/>
              </w:rPr>
              <w:t>, 2002), 116–8.</w:t>
            </w:r>
          </w:p>
          <w:p w14:paraId="36089E6E"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5518338D" w14:textId="5992C85D" w:rsidR="0057543C" w:rsidRPr="0057543C" w:rsidRDefault="0057543C" w:rsidP="0057543C">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lastRenderedPageBreak/>
              <w:t>3</w:t>
            </w:r>
            <w:r w:rsidRPr="0057543C">
              <w:rPr>
                <w:rFonts w:ascii="David" w:eastAsia="Times New Roman" w:hAnsi="David" w:cs="David" w:hint="cs"/>
                <w:color w:val="000000"/>
                <w:sz w:val="20"/>
                <w:szCs w:val="20"/>
                <w:rtl/>
              </w:rPr>
              <w:t xml:space="preserve">.מחלה זו אף הייתה נושא למחלקת מפורשת בין אנשי כת הקומראן לבין הרבנים. ראו מאמר שלי </w:t>
            </w:r>
            <w:r w:rsidRPr="0057543C">
              <w:rPr>
                <w:rFonts w:ascii="Times New Roman" w:eastAsia="Times New Roman" w:hAnsi="Times New Roman" w:cs="Times New Roman"/>
                <w:color w:val="333333"/>
                <w:sz w:val="20"/>
                <w:szCs w:val="20"/>
                <w:lang w:bidi="ar-SA"/>
              </w:rPr>
              <w:t>“The Polemic Regarding Skin Disease in 4QMMT,” </w:t>
            </w:r>
            <w:r w:rsidRPr="0057543C">
              <w:rPr>
                <w:rFonts w:ascii="Times New Roman" w:eastAsia="Times New Roman" w:hAnsi="Times New Roman" w:cs="Times New Roman"/>
                <w:i/>
                <w:iCs/>
                <w:color w:val="333333"/>
                <w:sz w:val="20"/>
                <w:szCs w:val="20"/>
                <w:lang w:bidi="ar-SA"/>
              </w:rPr>
              <w:t>Dead Sea Discoveries</w:t>
            </w:r>
            <w:r w:rsidRPr="0057543C">
              <w:rPr>
                <w:rFonts w:ascii="Times New Roman" w:eastAsia="Times New Roman" w:hAnsi="Times New Roman" w:cs="Times New Roman"/>
                <w:color w:val="333333"/>
                <w:sz w:val="20"/>
                <w:szCs w:val="20"/>
                <w:lang w:bidi="ar-SA"/>
              </w:rPr>
              <w:t> 19 (2012): 55–70.</w:t>
            </w:r>
            <w:r w:rsidRPr="0057543C">
              <w:rPr>
                <w:rFonts w:ascii="David" w:eastAsia="Times New Roman" w:hAnsi="David" w:cs="David" w:hint="cs"/>
                <w:color w:val="000000"/>
                <w:sz w:val="20"/>
                <w:szCs w:val="20"/>
                <w:rtl/>
              </w:rPr>
              <w:t xml:space="preserve">. לדיון על ראיות רלוונטיות מן הברית החדשה, ראו: </w:t>
            </w:r>
          </w:p>
          <w:p w14:paraId="1C7E88E2" w14:textId="77777777" w:rsidR="0057543C" w:rsidRPr="0057543C" w:rsidRDefault="0057543C" w:rsidP="0057543C">
            <w:pPr>
              <w:shd w:val="clear" w:color="auto" w:fill="FFFFFF"/>
              <w:spacing w:before="100" w:beforeAutospacing="1" w:line="480" w:lineRule="auto"/>
              <w:rPr>
                <w:rFonts w:ascii="Times New Roman" w:eastAsia="Times New Roman" w:hAnsi="Times New Roman" w:cs="Times New Roman"/>
                <w:color w:val="333333"/>
                <w:sz w:val="20"/>
                <w:szCs w:val="20"/>
                <w:lang w:eastAsia="zh-CN" w:bidi="ar-SA"/>
              </w:rPr>
            </w:pPr>
            <w:r w:rsidRPr="0057543C">
              <w:rPr>
                <w:rFonts w:ascii="Times New Roman" w:eastAsia="Times New Roman" w:hAnsi="Times New Roman" w:cs="Times New Roman"/>
                <w:color w:val="333333"/>
                <w:sz w:val="20"/>
                <w:szCs w:val="20"/>
                <w:lang w:eastAsia="zh-CN" w:bidi="ar-SA"/>
              </w:rPr>
              <w:lastRenderedPageBreak/>
              <w:t xml:space="preserve">T. </w:t>
            </w:r>
            <w:proofErr w:type="spellStart"/>
            <w:r w:rsidRPr="0057543C">
              <w:rPr>
                <w:rFonts w:ascii="Times New Roman" w:eastAsia="Times New Roman" w:hAnsi="Times New Roman" w:cs="Times New Roman"/>
                <w:color w:val="333333"/>
                <w:sz w:val="20"/>
                <w:szCs w:val="20"/>
                <w:lang w:eastAsia="zh-CN" w:bidi="ar-SA"/>
              </w:rPr>
              <w:t>Kazen</w:t>
            </w:r>
            <w:proofErr w:type="spellEnd"/>
            <w:r w:rsidRPr="0057543C">
              <w:rPr>
                <w:rFonts w:ascii="Times New Roman" w:eastAsia="Times New Roman" w:hAnsi="Times New Roman" w:cs="Times New Roman"/>
                <w:color w:val="333333"/>
                <w:sz w:val="20"/>
                <w:szCs w:val="20"/>
                <w:lang w:eastAsia="zh-CN" w:bidi="ar-SA"/>
              </w:rPr>
              <w:t>, </w:t>
            </w:r>
            <w:r w:rsidRPr="0057543C">
              <w:rPr>
                <w:rFonts w:ascii="Times New Roman" w:eastAsia="Times New Roman" w:hAnsi="Times New Roman" w:cs="Times New Roman"/>
                <w:i/>
                <w:iCs/>
                <w:color w:val="333333"/>
                <w:sz w:val="20"/>
                <w:szCs w:val="20"/>
                <w:lang w:eastAsia="zh-CN" w:bidi="ar-SA"/>
              </w:rPr>
              <w:t xml:space="preserve">Jesus and Purity </w:t>
            </w:r>
            <w:proofErr w:type="spellStart"/>
            <w:r w:rsidRPr="0057543C">
              <w:rPr>
                <w:rFonts w:ascii="Times New Roman" w:eastAsia="Times New Roman" w:hAnsi="Times New Roman" w:cs="Times New Roman"/>
                <w:i/>
                <w:iCs/>
                <w:color w:val="333333"/>
                <w:sz w:val="20"/>
                <w:szCs w:val="20"/>
                <w:lang w:eastAsia="zh-CN" w:bidi="ar-SA"/>
              </w:rPr>
              <w:t>Halakhah</w:t>
            </w:r>
            <w:proofErr w:type="spellEnd"/>
            <w:r w:rsidRPr="0057543C">
              <w:rPr>
                <w:rFonts w:ascii="Times New Roman" w:eastAsia="Times New Roman" w:hAnsi="Times New Roman" w:cs="Times New Roman"/>
                <w:color w:val="333333"/>
                <w:sz w:val="20"/>
                <w:szCs w:val="20"/>
                <w:lang w:eastAsia="zh-CN" w:bidi="ar-SA"/>
              </w:rPr>
              <w:t xml:space="preserve"> (Stockholm: Almqvist &amp; </w:t>
            </w:r>
            <w:proofErr w:type="spellStart"/>
            <w:r w:rsidRPr="0057543C">
              <w:rPr>
                <w:rFonts w:ascii="Times New Roman" w:eastAsia="Times New Roman" w:hAnsi="Times New Roman" w:cs="Times New Roman"/>
                <w:color w:val="333333"/>
                <w:sz w:val="20"/>
                <w:szCs w:val="20"/>
                <w:lang w:eastAsia="zh-CN" w:bidi="ar-SA"/>
              </w:rPr>
              <w:t>Wiksell</w:t>
            </w:r>
            <w:proofErr w:type="spellEnd"/>
            <w:r w:rsidRPr="0057543C">
              <w:rPr>
                <w:rFonts w:ascii="Times New Roman" w:eastAsia="Times New Roman" w:hAnsi="Times New Roman" w:cs="Times New Roman"/>
                <w:color w:val="333333"/>
                <w:sz w:val="20"/>
                <w:szCs w:val="20"/>
                <w:lang w:eastAsia="zh-CN" w:bidi="ar-SA"/>
              </w:rPr>
              <w:t>, 2002), 116–8.</w:t>
            </w:r>
          </w:p>
          <w:p w14:paraId="03B2B1B0" w14:textId="77777777" w:rsidR="0025213D" w:rsidRPr="0057543C" w:rsidRDefault="0025213D" w:rsidP="004E1C22">
            <w:pPr>
              <w:bidi/>
              <w:spacing w:line="276" w:lineRule="auto"/>
              <w:rPr>
                <w:rFonts w:asciiTheme="minorBidi" w:hAnsiTheme="minorBidi"/>
                <w:rtl/>
              </w:rPr>
            </w:pPr>
          </w:p>
        </w:tc>
      </w:tr>
      <w:tr w:rsidR="0025213D" w14:paraId="4D063AD2" w14:textId="77777777" w:rsidTr="004E1C22">
        <w:tc>
          <w:tcPr>
            <w:tcW w:w="4675" w:type="dxa"/>
          </w:tcPr>
          <w:p w14:paraId="663A99B0"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lastRenderedPageBreak/>
              <w:t xml:space="preserve">See Moshe </w:t>
            </w:r>
            <w:proofErr w:type="spellStart"/>
            <w:r w:rsidRPr="00001006">
              <w:rPr>
                <w:rFonts w:ascii="Times New Roman" w:eastAsia="Times New Roman" w:hAnsi="Times New Roman" w:cs="Times New Roman"/>
                <w:color w:val="333333"/>
                <w:sz w:val="14"/>
                <w:szCs w:val="14"/>
                <w:lang w:eastAsia="zh-CN" w:bidi="ar-SA"/>
              </w:rPr>
              <w:t>Weinfeld</w:t>
            </w:r>
            <w:proofErr w:type="spellEnd"/>
            <w:r w:rsidRPr="00001006">
              <w:rPr>
                <w:rFonts w:ascii="Times New Roman" w:eastAsia="Times New Roman" w:hAnsi="Times New Roman" w:cs="Times New Roman"/>
                <w:color w:val="333333"/>
                <w:sz w:val="14"/>
                <w:szCs w:val="14"/>
                <w:lang w:eastAsia="zh-CN" w:bidi="ar-SA"/>
              </w:rPr>
              <w:t>, </w:t>
            </w:r>
            <w:r w:rsidRPr="00001006">
              <w:rPr>
                <w:rFonts w:ascii="Times New Roman" w:eastAsia="Times New Roman" w:hAnsi="Times New Roman" w:cs="Times New Roman"/>
                <w:i/>
                <w:iCs/>
                <w:color w:val="333333"/>
                <w:sz w:val="14"/>
                <w:lang w:eastAsia="zh-CN" w:bidi="ar-SA"/>
              </w:rPr>
              <w:t>Deuteronomy and the Deuteronomic School, </w:t>
            </w:r>
            <w:r w:rsidRPr="00001006">
              <w:rPr>
                <w:rFonts w:ascii="Times New Roman" w:eastAsia="Times New Roman" w:hAnsi="Times New Roman" w:cs="Times New Roman"/>
                <w:color w:val="333333"/>
                <w:sz w:val="14"/>
                <w:szCs w:val="14"/>
                <w:lang w:eastAsia="zh-CN" w:bidi="ar-SA"/>
              </w:rPr>
              <w:t>(Oxford: Clarendon, 1972), 117–8, n. 6, who calls attention to Ex 9:8–9: “Then the LORD said to Moses and Aaron, ‘Each of you take handfuls of soot from the kiln, and let Moses throw it toward the sky in the sight of Pharaoh. </w:t>
            </w:r>
            <w:r w:rsidRPr="00001006">
              <w:rPr>
                <w:rFonts w:ascii="Times New Roman" w:eastAsia="Times New Roman" w:hAnsi="Times New Roman" w:cs="Times New Roman"/>
                <w:i/>
                <w:iCs/>
                <w:color w:val="333333"/>
                <w:sz w:val="14"/>
                <w:lang w:eastAsia="zh-CN" w:bidi="ar-SA"/>
              </w:rPr>
              <w:t>It shall become a fine dust all over the land of Egypt, and cause an inflammation breaking out in boils</w:t>
            </w:r>
            <w:r w:rsidRPr="00001006">
              <w:rPr>
                <w:rFonts w:ascii="Times New Roman" w:eastAsia="Times New Roman" w:hAnsi="Times New Roman" w:cs="Times New Roman"/>
                <w:color w:val="333333"/>
                <w:sz w:val="14"/>
                <w:szCs w:val="14"/>
                <w:lang w:eastAsia="zh-CN" w:bidi="ar-SA"/>
              </w:rPr>
              <w:t> on man and beast throughout the land of Egypt” (NJPS).</w:t>
            </w:r>
          </w:p>
          <w:p w14:paraId="282348FD"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26B62259" w14:textId="24EBFD6E" w:rsidR="001765D1" w:rsidRPr="001765D1" w:rsidRDefault="001765D1" w:rsidP="001765D1">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4</w:t>
            </w:r>
            <w:r w:rsidRPr="001765D1">
              <w:rPr>
                <w:rFonts w:ascii="David" w:eastAsia="Times New Roman" w:hAnsi="David" w:cs="David" w:hint="cs"/>
                <w:color w:val="000000"/>
                <w:sz w:val="20"/>
                <w:szCs w:val="20"/>
                <w:rtl/>
              </w:rPr>
              <w:t>.ראו:</w:t>
            </w:r>
          </w:p>
          <w:p w14:paraId="345083E1" w14:textId="77777777" w:rsidR="001765D1" w:rsidRPr="001765D1" w:rsidRDefault="001765D1" w:rsidP="001765D1">
            <w:pPr>
              <w:bidi/>
              <w:spacing w:after="187" w:line="360" w:lineRule="auto"/>
              <w:rPr>
                <w:rFonts w:ascii="David" w:eastAsia="Times New Roman" w:hAnsi="David" w:cs="David"/>
                <w:color w:val="000000"/>
                <w:sz w:val="20"/>
                <w:szCs w:val="20"/>
                <w:rtl/>
              </w:rPr>
            </w:pPr>
            <w:r w:rsidRPr="001765D1">
              <w:rPr>
                <w:rFonts w:ascii="Times New Roman" w:eastAsia="Times New Roman" w:hAnsi="Times New Roman" w:cs="Times New Roman"/>
                <w:color w:val="333333"/>
                <w:sz w:val="20"/>
                <w:szCs w:val="20"/>
                <w:lang w:bidi="ar-SA"/>
              </w:rPr>
              <w:t xml:space="preserve">Moshe </w:t>
            </w:r>
            <w:proofErr w:type="spellStart"/>
            <w:r w:rsidRPr="001765D1">
              <w:rPr>
                <w:rFonts w:ascii="Times New Roman" w:eastAsia="Times New Roman" w:hAnsi="Times New Roman" w:cs="Times New Roman"/>
                <w:color w:val="333333"/>
                <w:sz w:val="20"/>
                <w:szCs w:val="20"/>
                <w:lang w:bidi="ar-SA"/>
              </w:rPr>
              <w:t>Weinfeld</w:t>
            </w:r>
            <w:proofErr w:type="spellEnd"/>
            <w:r w:rsidRPr="001765D1">
              <w:rPr>
                <w:rFonts w:ascii="Times New Roman" w:eastAsia="Times New Roman" w:hAnsi="Times New Roman" w:cs="Times New Roman"/>
                <w:color w:val="333333"/>
                <w:sz w:val="20"/>
                <w:szCs w:val="20"/>
                <w:lang w:bidi="ar-SA"/>
              </w:rPr>
              <w:t>, </w:t>
            </w:r>
            <w:r w:rsidRPr="001765D1">
              <w:rPr>
                <w:rFonts w:ascii="Times New Roman" w:eastAsia="Times New Roman" w:hAnsi="Times New Roman" w:cs="Times New Roman"/>
                <w:i/>
                <w:iCs/>
                <w:color w:val="333333"/>
                <w:sz w:val="20"/>
                <w:szCs w:val="20"/>
                <w:lang w:bidi="ar-SA"/>
              </w:rPr>
              <w:t>Deuteronomy and the Deuteronomic School, </w:t>
            </w:r>
            <w:r w:rsidRPr="001765D1">
              <w:rPr>
                <w:rFonts w:ascii="Times New Roman" w:eastAsia="Times New Roman" w:hAnsi="Times New Roman" w:cs="Times New Roman"/>
                <w:color w:val="333333"/>
                <w:sz w:val="20"/>
                <w:szCs w:val="20"/>
                <w:lang w:bidi="ar-SA"/>
              </w:rPr>
              <w:t xml:space="preserve">(Oxford: Clarendon, 1972), 117–8, n. </w:t>
            </w:r>
            <w:proofErr w:type="gramStart"/>
            <w:r w:rsidRPr="001765D1">
              <w:rPr>
                <w:rFonts w:ascii="Times New Roman" w:eastAsia="Times New Roman" w:hAnsi="Times New Roman" w:cs="Times New Roman"/>
                <w:color w:val="333333"/>
                <w:sz w:val="20"/>
                <w:szCs w:val="20"/>
                <w:lang w:bidi="ar-SA"/>
              </w:rPr>
              <w:t>6,</w:t>
            </w:r>
            <w:r w:rsidRPr="001765D1">
              <w:rPr>
                <w:rFonts w:ascii="David" w:eastAsia="Times New Roman" w:hAnsi="David" w:cs="David" w:hint="cs"/>
                <w:color w:val="000000"/>
                <w:sz w:val="20"/>
                <w:szCs w:val="20"/>
                <w:rtl/>
              </w:rPr>
              <w:t>,</w:t>
            </w:r>
            <w:proofErr w:type="gramEnd"/>
            <w:r w:rsidRPr="001765D1">
              <w:rPr>
                <w:rFonts w:ascii="David" w:eastAsia="Times New Roman" w:hAnsi="David" w:cs="David" w:hint="cs"/>
                <w:color w:val="000000"/>
                <w:sz w:val="20"/>
                <w:szCs w:val="20"/>
                <w:rtl/>
              </w:rPr>
              <w:t xml:space="preserve"> המפנה אותנו לספר שמות 8:9–9: "ויאמר ד' אל משה ואל אהרן קחו לכם מלא </w:t>
            </w:r>
            <w:proofErr w:type="spellStart"/>
            <w:r w:rsidRPr="001765D1">
              <w:rPr>
                <w:rFonts w:ascii="David" w:eastAsia="Times New Roman" w:hAnsi="David" w:cs="David" w:hint="cs"/>
                <w:color w:val="000000"/>
                <w:sz w:val="20"/>
                <w:szCs w:val="20"/>
                <w:rtl/>
              </w:rPr>
              <w:t>חפניכם</w:t>
            </w:r>
            <w:proofErr w:type="spellEnd"/>
            <w:r w:rsidRPr="001765D1">
              <w:rPr>
                <w:rFonts w:ascii="David" w:eastAsia="Times New Roman" w:hAnsi="David" w:cs="David" w:hint="cs"/>
                <w:color w:val="000000"/>
                <w:sz w:val="20"/>
                <w:szCs w:val="20"/>
                <w:rtl/>
              </w:rPr>
              <w:t xml:space="preserve"> פיח כבשן וזרקו משה </w:t>
            </w:r>
            <w:proofErr w:type="spellStart"/>
            <w:r w:rsidRPr="001765D1">
              <w:rPr>
                <w:rFonts w:ascii="David" w:eastAsia="Times New Roman" w:hAnsi="David" w:cs="David" w:hint="cs"/>
                <w:color w:val="000000"/>
                <w:sz w:val="20"/>
                <w:szCs w:val="20"/>
                <w:rtl/>
              </w:rPr>
              <w:t>השמימה</w:t>
            </w:r>
            <w:proofErr w:type="spellEnd"/>
            <w:r w:rsidRPr="001765D1">
              <w:rPr>
                <w:rFonts w:ascii="David" w:eastAsia="Times New Roman" w:hAnsi="David" w:cs="David" w:hint="cs"/>
                <w:color w:val="000000"/>
                <w:sz w:val="20"/>
                <w:szCs w:val="20"/>
                <w:rtl/>
              </w:rPr>
              <w:t xml:space="preserve"> לעיני פרעה. והיה לאבק על כל ארץ מצרים והיה על האדם ועל הבהמה לשחין פרח </w:t>
            </w:r>
            <w:proofErr w:type="spellStart"/>
            <w:r w:rsidRPr="001765D1">
              <w:rPr>
                <w:rFonts w:ascii="David" w:eastAsia="Times New Roman" w:hAnsi="David" w:cs="David" w:hint="cs"/>
                <w:color w:val="000000"/>
                <w:sz w:val="20"/>
                <w:szCs w:val="20"/>
                <w:rtl/>
              </w:rPr>
              <w:t>אבעבעות</w:t>
            </w:r>
            <w:proofErr w:type="spellEnd"/>
            <w:r w:rsidRPr="001765D1">
              <w:rPr>
                <w:rFonts w:ascii="David" w:eastAsia="Times New Roman" w:hAnsi="David" w:cs="David" w:hint="cs"/>
                <w:color w:val="000000"/>
                <w:sz w:val="20"/>
                <w:szCs w:val="20"/>
                <w:rtl/>
              </w:rPr>
              <w:t xml:space="preserve"> בכל ארץ מצרים".</w:t>
            </w:r>
          </w:p>
          <w:p w14:paraId="6CB3E933" w14:textId="77777777" w:rsidR="0025213D" w:rsidRDefault="0025213D" w:rsidP="004E1C22">
            <w:pPr>
              <w:bidi/>
              <w:spacing w:line="276" w:lineRule="auto"/>
              <w:rPr>
                <w:rFonts w:asciiTheme="minorBidi" w:hAnsiTheme="minorBidi"/>
                <w:rtl/>
              </w:rPr>
            </w:pPr>
          </w:p>
        </w:tc>
      </w:tr>
      <w:tr w:rsidR="0025213D" w14:paraId="1E62010B" w14:textId="77777777" w:rsidTr="004E1C22">
        <w:tc>
          <w:tcPr>
            <w:tcW w:w="4675" w:type="dxa"/>
          </w:tcPr>
          <w:p w14:paraId="4C50507F"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t xml:space="preserve">See CAD S 36–37; M. </w:t>
            </w:r>
            <w:proofErr w:type="spellStart"/>
            <w:r w:rsidRPr="00001006">
              <w:rPr>
                <w:rFonts w:ascii="Times New Roman" w:eastAsia="Times New Roman" w:hAnsi="Times New Roman" w:cs="Times New Roman"/>
                <w:color w:val="333333"/>
                <w:sz w:val="14"/>
                <w:szCs w:val="14"/>
                <w:lang w:eastAsia="zh-CN" w:bidi="ar-SA"/>
              </w:rPr>
              <w:t>Stol</w:t>
            </w:r>
            <w:proofErr w:type="spellEnd"/>
            <w:r w:rsidRPr="00001006">
              <w:rPr>
                <w:rFonts w:ascii="Times New Roman" w:eastAsia="Times New Roman" w:hAnsi="Times New Roman" w:cs="Times New Roman"/>
                <w:color w:val="333333"/>
                <w:sz w:val="14"/>
                <w:szCs w:val="14"/>
                <w:lang w:eastAsia="zh-CN" w:bidi="ar-SA"/>
              </w:rPr>
              <w:t>, “Leprosy: New Light from Greek and Babylonian Sources</w:t>
            </w:r>
            <w:proofErr w:type="gramStart"/>
            <w:r w:rsidRPr="00001006">
              <w:rPr>
                <w:rFonts w:ascii="Times New Roman" w:eastAsia="Times New Roman" w:hAnsi="Times New Roman" w:cs="Times New Roman"/>
                <w:color w:val="333333"/>
                <w:sz w:val="14"/>
                <w:szCs w:val="14"/>
                <w:lang w:eastAsia="zh-CN" w:bidi="ar-SA"/>
              </w:rPr>
              <w:t>,”</w:t>
            </w:r>
            <w:proofErr w:type="spellStart"/>
            <w:r w:rsidRPr="00001006">
              <w:rPr>
                <w:rFonts w:ascii="Times New Roman" w:eastAsia="Times New Roman" w:hAnsi="Times New Roman" w:cs="Times New Roman"/>
                <w:i/>
                <w:iCs/>
                <w:color w:val="333333"/>
                <w:sz w:val="14"/>
                <w:lang w:eastAsia="zh-CN" w:bidi="ar-SA"/>
              </w:rPr>
              <w:t>Jaarbericht</w:t>
            </w:r>
            <w:proofErr w:type="spellEnd"/>
            <w:proofErr w:type="gramEnd"/>
            <w:r w:rsidRPr="00001006">
              <w:rPr>
                <w:rFonts w:ascii="Times New Roman" w:eastAsia="Times New Roman" w:hAnsi="Times New Roman" w:cs="Times New Roman"/>
                <w:i/>
                <w:iCs/>
                <w:color w:val="333333"/>
                <w:sz w:val="14"/>
                <w:lang w:eastAsia="zh-CN" w:bidi="ar-SA"/>
              </w:rPr>
              <w:t xml:space="preserve"> van het </w:t>
            </w:r>
            <w:proofErr w:type="spellStart"/>
            <w:r w:rsidRPr="00001006">
              <w:rPr>
                <w:rFonts w:ascii="Times New Roman" w:eastAsia="Times New Roman" w:hAnsi="Times New Roman" w:cs="Times New Roman"/>
                <w:i/>
                <w:iCs/>
                <w:color w:val="333333"/>
                <w:sz w:val="14"/>
                <w:lang w:eastAsia="zh-CN" w:bidi="ar-SA"/>
              </w:rPr>
              <w:t>Vooraziatisch-Egyptisch</w:t>
            </w:r>
            <w:proofErr w:type="spellEnd"/>
            <w:r w:rsidRPr="00001006">
              <w:rPr>
                <w:rFonts w:ascii="Times New Roman" w:eastAsia="Times New Roman" w:hAnsi="Times New Roman" w:cs="Times New Roman"/>
                <w:i/>
                <w:iCs/>
                <w:color w:val="333333"/>
                <w:sz w:val="14"/>
                <w:lang w:eastAsia="zh-CN" w:bidi="ar-SA"/>
              </w:rPr>
              <w:t xml:space="preserve"> </w:t>
            </w:r>
            <w:proofErr w:type="spellStart"/>
            <w:r w:rsidRPr="00001006">
              <w:rPr>
                <w:rFonts w:ascii="Times New Roman" w:eastAsia="Times New Roman" w:hAnsi="Times New Roman" w:cs="Times New Roman"/>
                <w:i/>
                <w:iCs/>
                <w:color w:val="333333"/>
                <w:sz w:val="14"/>
                <w:lang w:eastAsia="zh-CN" w:bidi="ar-SA"/>
              </w:rPr>
              <w:t>Genootschap</w:t>
            </w:r>
            <w:proofErr w:type="spellEnd"/>
            <w:r w:rsidRPr="00001006">
              <w:rPr>
                <w:rFonts w:ascii="Times New Roman" w:eastAsia="Times New Roman" w:hAnsi="Times New Roman" w:cs="Times New Roman"/>
                <w:color w:val="333333"/>
                <w:sz w:val="14"/>
                <w:szCs w:val="14"/>
                <w:lang w:eastAsia="zh-CN" w:bidi="ar-SA"/>
              </w:rPr>
              <w:t> (</w:t>
            </w:r>
            <w:r w:rsidRPr="00001006">
              <w:rPr>
                <w:rFonts w:ascii="Times New Roman" w:eastAsia="Times New Roman" w:hAnsi="Times New Roman" w:cs="Times New Roman"/>
                <w:i/>
                <w:iCs/>
                <w:color w:val="333333"/>
                <w:sz w:val="14"/>
                <w:lang w:eastAsia="zh-CN" w:bidi="ar-SA"/>
              </w:rPr>
              <w:t xml:space="preserve">Ex </w:t>
            </w:r>
            <w:proofErr w:type="spellStart"/>
            <w:r w:rsidRPr="00001006">
              <w:rPr>
                <w:rFonts w:ascii="Times New Roman" w:eastAsia="Times New Roman" w:hAnsi="Times New Roman" w:cs="Times New Roman"/>
                <w:i/>
                <w:iCs/>
                <w:color w:val="333333"/>
                <w:sz w:val="14"/>
                <w:lang w:eastAsia="zh-CN" w:bidi="ar-SA"/>
              </w:rPr>
              <w:t>Oriente</w:t>
            </w:r>
            <w:proofErr w:type="spellEnd"/>
            <w:r w:rsidRPr="00001006">
              <w:rPr>
                <w:rFonts w:ascii="Times New Roman" w:eastAsia="Times New Roman" w:hAnsi="Times New Roman" w:cs="Times New Roman"/>
                <w:i/>
                <w:iCs/>
                <w:color w:val="333333"/>
                <w:sz w:val="14"/>
                <w:lang w:eastAsia="zh-CN" w:bidi="ar-SA"/>
              </w:rPr>
              <w:t xml:space="preserve"> Lux</w:t>
            </w:r>
            <w:r w:rsidRPr="00001006">
              <w:rPr>
                <w:rFonts w:ascii="Times New Roman" w:eastAsia="Times New Roman" w:hAnsi="Times New Roman" w:cs="Times New Roman"/>
                <w:color w:val="333333"/>
                <w:sz w:val="14"/>
                <w:szCs w:val="14"/>
                <w:lang w:eastAsia="zh-CN" w:bidi="ar-SA"/>
              </w:rPr>
              <w:t>) 30 (1989), 22–31; J. Scurlock and B. Andersen, </w:t>
            </w:r>
            <w:r w:rsidRPr="00001006">
              <w:rPr>
                <w:rFonts w:ascii="Times New Roman" w:eastAsia="Times New Roman" w:hAnsi="Times New Roman" w:cs="Times New Roman"/>
                <w:i/>
                <w:iCs/>
                <w:color w:val="333333"/>
                <w:sz w:val="14"/>
                <w:lang w:eastAsia="zh-CN" w:bidi="ar-SA"/>
              </w:rPr>
              <w:t>Diagnoses in Assyrian and Babylonian Medicine </w:t>
            </w:r>
            <w:r w:rsidRPr="00001006">
              <w:rPr>
                <w:rFonts w:ascii="Times New Roman" w:eastAsia="Times New Roman" w:hAnsi="Times New Roman" w:cs="Times New Roman"/>
                <w:color w:val="333333"/>
                <w:sz w:val="14"/>
                <w:szCs w:val="14"/>
                <w:lang w:eastAsia="zh-CN" w:bidi="ar-SA"/>
              </w:rPr>
              <w:t>(Chicago: Indiana University Press, 2005)</w:t>
            </w:r>
            <w:r w:rsidRPr="00001006">
              <w:rPr>
                <w:rFonts w:ascii="Times New Roman" w:eastAsia="Times New Roman" w:hAnsi="Times New Roman" w:cs="Times New Roman"/>
                <w:i/>
                <w:iCs/>
                <w:color w:val="333333"/>
                <w:sz w:val="14"/>
                <w:lang w:eastAsia="zh-CN" w:bidi="ar-SA"/>
              </w:rPr>
              <w:t>, </w:t>
            </w:r>
            <w:r w:rsidRPr="00001006">
              <w:rPr>
                <w:rFonts w:ascii="Times New Roman" w:eastAsia="Times New Roman" w:hAnsi="Times New Roman" w:cs="Times New Roman"/>
                <w:color w:val="333333"/>
                <w:sz w:val="14"/>
                <w:szCs w:val="14"/>
                <w:lang w:eastAsia="zh-CN" w:bidi="ar-SA"/>
              </w:rPr>
              <w:t xml:space="preserve">70–73, 231–33, 723–24, </w:t>
            </w:r>
            <w:proofErr w:type="spellStart"/>
            <w:r w:rsidRPr="00001006">
              <w:rPr>
                <w:rFonts w:ascii="Times New Roman" w:eastAsia="Times New Roman" w:hAnsi="Times New Roman" w:cs="Times New Roman"/>
                <w:color w:val="333333"/>
                <w:sz w:val="14"/>
                <w:szCs w:val="14"/>
                <w:lang w:eastAsia="zh-CN" w:bidi="ar-SA"/>
              </w:rPr>
              <w:t>nn</w:t>
            </w:r>
            <w:proofErr w:type="spellEnd"/>
            <w:r w:rsidRPr="00001006">
              <w:rPr>
                <w:rFonts w:ascii="Times New Roman" w:eastAsia="Times New Roman" w:hAnsi="Times New Roman" w:cs="Times New Roman"/>
                <w:color w:val="333333"/>
                <w:sz w:val="14"/>
                <w:szCs w:val="14"/>
                <w:lang w:eastAsia="zh-CN" w:bidi="ar-SA"/>
              </w:rPr>
              <w:t>. 139–40; “Disgust, Disease and Defilement: The Experiential Basis for Akkadian and Hittite Terms for Pollution,” </w:t>
            </w:r>
            <w:r w:rsidRPr="00001006">
              <w:rPr>
                <w:rFonts w:ascii="Times New Roman" w:eastAsia="Times New Roman" w:hAnsi="Times New Roman" w:cs="Times New Roman"/>
                <w:i/>
                <w:iCs/>
                <w:color w:val="333333"/>
                <w:sz w:val="14"/>
                <w:lang w:eastAsia="zh-CN" w:bidi="ar-SA"/>
              </w:rPr>
              <w:t>Journal of the American Oriental Society</w:t>
            </w:r>
            <w:r w:rsidRPr="00001006">
              <w:rPr>
                <w:rFonts w:ascii="Times New Roman" w:eastAsia="Times New Roman" w:hAnsi="Times New Roman" w:cs="Times New Roman"/>
                <w:color w:val="333333"/>
                <w:sz w:val="14"/>
                <w:szCs w:val="14"/>
                <w:lang w:eastAsia="zh-CN" w:bidi="ar-SA"/>
              </w:rPr>
              <w:t> 136 (2016): 99–116.</w:t>
            </w:r>
          </w:p>
          <w:p w14:paraId="39B56BE8"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2E013992" w14:textId="661A9401" w:rsidR="001765D1" w:rsidRPr="001765D1" w:rsidRDefault="001765D1" w:rsidP="001765D1">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5</w:t>
            </w:r>
            <w:r w:rsidRPr="001765D1">
              <w:rPr>
                <w:rFonts w:ascii="David" w:eastAsia="Times New Roman" w:hAnsi="David" w:cs="David" w:hint="cs"/>
                <w:color w:val="000000"/>
                <w:sz w:val="20"/>
                <w:szCs w:val="20"/>
                <w:rtl/>
              </w:rPr>
              <w:t>. ראו:</w:t>
            </w:r>
          </w:p>
          <w:p w14:paraId="000A597B" w14:textId="77777777" w:rsidR="001765D1" w:rsidRPr="001765D1" w:rsidRDefault="001765D1" w:rsidP="001765D1">
            <w:pPr>
              <w:shd w:val="clear" w:color="auto" w:fill="FFFFFF"/>
              <w:spacing w:before="100" w:beforeAutospacing="1" w:line="480" w:lineRule="auto"/>
              <w:ind w:left="360"/>
              <w:rPr>
                <w:rFonts w:ascii="David" w:eastAsia="Times New Roman" w:hAnsi="David" w:cs="David"/>
                <w:color w:val="333333"/>
                <w:sz w:val="20"/>
                <w:szCs w:val="20"/>
                <w:lang w:eastAsia="zh-CN" w:bidi="ar-SA"/>
              </w:rPr>
            </w:pPr>
            <w:r w:rsidRPr="001765D1">
              <w:rPr>
                <w:rFonts w:ascii="David" w:eastAsia="Times New Roman" w:hAnsi="David" w:cs="David"/>
                <w:color w:val="333333"/>
                <w:sz w:val="20"/>
                <w:szCs w:val="20"/>
                <w:lang w:eastAsia="zh-CN" w:bidi="ar-SA"/>
              </w:rPr>
              <w:t xml:space="preserve">CAD S 36–37; M. </w:t>
            </w:r>
            <w:proofErr w:type="spellStart"/>
            <w:r w:rsidRPr="001765D1">
              <w:rPr>
                <w:rFonts w:ascii="David" w:eastAsia="Times New Roman" w:hAnsi="David" w:cs="David"/>
                <w:color w:val="333333"/>
                <w:sz w:val="20"/>
                <w:szCs w:val="20"/>
                <w:lang w:eastAsia="zh-CN" w:bidi="ar-SA"/>
              </w:rPr>
              <w:t>Stol</w:t>
            </w:r>
            <w:proofErr w:type="spellEnd"/>
            <w:r w:rsidRPr="001765D1">
              <w:rPr>
                <w:rFonts w:ascii="David" w:eastAsia="Times New Roman" w:hAnsi="David" w:cs="David"/>
                <w:color w:val="333333"/>
                <w:sz w:val="20"/>
                <w:szCs w:val="20"/>
                <w:lang w:eastAsia="zh-CN" w:bidi="ar-SA"/>
              </w:rPr>
              <w:t>, “Leprosy: New Light from Greek and Babylonian Sources</w:t>
            </w:r>
            <w:proofErr w:type="gramStart"/>
            <w:r w:rsidRPr="001765D1">
              <w:rPr>
                <w:rFonts w:ascii="David" w:eastAsia="Times New Roman" w:hAnsi="David" w:cs="David"/>
                <w:color w:val="333333"/>
                <w:sz w:val="20"/>
                <w:szCs w:val="20"/>
                <w:lang w:eastAsia="zh-CN" w:bidi="ar-SA"/>
              </w:rPr>
              <w:t>,”</w:t>
            </w:r>
            <w:proofErr w:type="spellStart"/>
            <w:r w:rsidRPr="001765D1">
              <w:rPr>
                <w:rFonts w:ascii="David" w:eastAsia="Times New Roman" w:hAnsi="David" w:cs="David"/>
                <w:i/>
                <w:iCs/>
                <w:color w:val="333333"/>
                <w:sz w:val="20"/>
                <w:szCs w:val="20"/>
                <w:lang w:eastAsia="zh-CN" w:bidi="ar-SA"/>
              </w:rPr>
              <w:t>Jaarbericht</w:t>
            </w:r>
            <w:proofErr w:type="spellEnd"/>
            <w:proofErr w:type="gramEnd"/>
            <w:r w:rsidRPr="001765D1">
              <w:rPr>
                <w:rFonts w:ascii="David" w:eastAsia="Times New Roman" w:hAnsi="David" w:cs="David"/>
                <w:i/>
                <w:iCs/>
                <w:color w:val="333333"/>
                <w:sz w:val="20"/>
                <w:szCs w:val="20"/>
                <w:lang w:eastAsia="zh-CN" w:bidi="ar-SA"/>
              </w:rPr>
              <w:t xml:space="preserve"> van het </w:t>
            </w:r>
            <w:proofErr w:type="spellStart"/>
            <w:r w:rsidRPr="001765D1">
              <w:rPr>
                <w:rFonts w:ascii="David" w:eastAsia="Times New Roman" w:hAnsi="David" w:cs="David"/>
                <w:i/>
                <w:iCs/>
                <w:color w:val="333333"/>
                <w:sz w:val="20"/>
                <w:szCs w:val="20"/>
                <w:lang w:eastAsia="zh-CN" w:bidi="ar-SA"/>
              </w:rPr>
              <w:t>Vooraziatisch-Egyptisch</w:t>
            </w:r>
            <w:proofErr w:type="spellEnd"/>
            <w:r w:rsidRPr="001765D1">
              <w:rPr>
                <w:rFonts w:ascii="David" w:eastAsia="Times New Roman" w:hAnsi="David" w:cs="David"/>
                <w:i/>
                <w:iCs/>
                <w:color w:val="333333"/>
                <w:sz w:val="20"/>
                <w:szCs w:val="20"/>
                <w:lang w:eastAsia="zh-CN" w:bidi="ar-SA"/>
              </w:rPr>
              <w:t xml:space="preserve"> </w:t>
            </w:r>
            <w:proofErr w:type="spellStart"/>
            <w:r w:rsidRPr="001765D1">
              <w:rPr>
                <w:rFonts w:ascii="David" w:eastAsia="Times New Roman" w:hAnsi="David" w:cs="David"/>
                <w:i/>
                <w:iCs/>
                <w:color w:val="333333"/>
                <w:sz w:val="20"/>
                <w:szCs w:val="20"/>
                <w:lang w:eastAsia="zh-CN" w:bidi="ar-SA"/>
              </w:rPr>
              <w:t>Genootschap</w:t>
            </w:r>
            <w:proofErr w:type="spellEnd"/>
            <w:r w:rsidRPr="001765D1">
              <w:rPr>
                <w:rFonts w:ascii="David" w:eastAsia="Times New Roman" w:hAnsi="David" w:cs="David"/>
                <w:color w:val="333333"/>
                <w:sz w:val="20"/>
                <w:szCs w:val="20"/>
                <w:lang w:eastAsia="zh-CN" w:bidi="ar-SA"/>
              </w:rPr>
              <w:t> (</w:t>
            </w:r>
            <w:r w:rsidRPr="001765D1">
              <w:rPr>
                <w:rFonts w:ascii="David" w:eastAsia="Times New Roman" w:hAnsi="David" w:cs="David"/>
                <w:i/>
                <w:iCs/>
                <w:color w:val="333333"/>
                <w:sz w:val="20"/>
                <w:szCs w:val="20"/>
                <w:lang w:eastAsia="zh-CN" w:bidi="ar-SA"/>
              </w:rPr>
              <w:t xml:space="preserve">Ex </w:t>
            </w:r>
            <w:proofErr w:type="spellStart"/>
            <w:r w:rsidRPr="001765D1">
              <w:rPr>
                <w:rFonts w:ascii="David" w:eastAsia="Times New Roman" w:hAnsi="David" w:cs="David"/>
                <w:i/>
                <w:iCs/>
                <w:color w:val="333333"/>
                <w:sz w:val="20"/>
                <w:szCs w:val="20"/>
                <w:lang w:eastAsia="zh-CN" w:bidi="ar-SA"/>
              </w:rPr>
              <w:t>Oriente</w:t>
            </w:r>
            <w:proofErr w:type="spellEnd"/>
            <w:r w:rsidRPr="001765D1">
              <w:rPr>
                <w:rFonts w:ascii="David" w:eastAsia="Times New Roman" w:hAnsi="David" w:cs="David"/>
                <w:i/>
                <w:iCs/>
                <w:color w:val="333333"/>
                <w:sz w:val="20"/>
                <w:szCs w:val="20"/>
                <w:lang w:eastAsia="zh-CN" w:bidi="ar-SA"/>
              </w:rPr>
              <w:t xml:space="preserve"> Lux</w:t>
            </w:r>
            <w:r w:rsidRPr="001765D1">
              <w:rPr>
                <w:rFonts w:ascii="David" w:eastAsia="Times New Roman" w:hAnsi="David" w:cs="David"/>
                <w:color w:val="333333"/>
                <w:sz w:val="20"/>
                <w:szCs w:val="20"/>
                <w:lang w:eastAsia="zh-CN" w:bidi="ar-SA"/>
              </w:rPr>
              <w:t>) 30 (1989), 22–31; J. Scurlock and B. Andersen, </w:t>
            </w:r>
            <w:r w:rsidRPr="001765D1">
              <w:rPr>
                <w:rFonts w:ascii="David" w:eastAsia="Times New Roman" w:hAnsi="David" w:cs="David"/>
                <w:i/>
                <w:iCs/>
                <w:color w:val="333333"/>
                <w:sz w:val="20"/>
                <w:szCs w:val="20"/>
                <w:lang w:eastAsia="zh-CN" w:bidi="ar-SA"/>
              </w:rPr>
              <w:t>Diagnoses in Assyrian and Babylonian Medicine </w:t>
            </w:r>
            <w:r w:rsidRPr="001765D1">
              <w:rPr>
                <w:rFonts w:ascii="David" w:eastAsia="Times New Roman" w:hAnsi="David" w:cs="David"/>
                <w:color w:val="333333"/>
                <w:sz w:val="20"/>
                <w:szCs w:val="20"/>
                <w:lang w:eastAsia="zh-CN" w:bidi="ar-SA"/>
              </w:rPr>
              <w:t>(Chicago: Indiana University Press, 2005)</w:t>
            </w:r>
            <w:r w:rsidRPr="001765D1">
              <w:rPr>
                <w:rFonts w:ascii="David" w:eastAsia="Times New Roman" w:hAnsi="David" w:cs="David"/>
                <w:i/>
                <w:iCs/>
                <w:color w:val="333333"/>
                <w:sz w:val="20"/>
                <w:szCs w:val="20"/>
                <w:lang w:eastAsia="zh-CN" w:bidi="ar-SA"/>
              </w:rPr>
              <w:t>, </w:t>
            </w:r>
            <w:r w:rsidRPr="001765D1">
              <w:rPr>
                <w:rFonts w:ascii="David" w:eastAsia="Times New Roman" w:hAnsi="David" w:cs="David"/>
                <w:color w:val="333333"/>
                <w:sz w:val="20"/>
                <w:szCs w:val="20"/>
                <w:lang w:eastAsia="zh-CN" w:bidi="ar-SA"/>
              </w:rPr>
              <w:t xml:space="preserve">70–73, 231–33, 723–24, </w:t>
            </w:r>
            <w:proofErr w:type="spellStart"/>
            <w:r w:rsidRPr="001765D1">
              <w:rPr>
                <w:rFonts w:ascii="David" w:eastAsia="Times New Roman" w:hAnsi="David" w:cs="David"/>
                <w:color w:val="333333"/>
                <w:sz w:val="20"/>
                <w:szCs w:val="20"/>
                <w:lang w:eastAsia="zh-CN" w:bidi="ar-SA"/>
              </w:rPr>
              <w:t>nn</w:t>
            </w:r>
            <w:proofErr w:type="spellEnd"/>
            <w:r w:rsidRPr="001765D1">
              <w:rPr>
                <w:rFonts w:ascii="David" w:eastAsia="Times New Roman" w:hAnsi="David" w:cs="David"/>
                <w:color w:val="333333"/>
                <w:sz w:val="20"/>
                <w:szCs w:val="20"/>
                <w:lang w:eastAsia="zh-CN" w:bidi="ar-SA"/>
              </w:rPr>
              <w:t>. 139–40; “Disgust, Disease and Defilement: The Experiential Basis for Akkadian and Hittite Terms for Pollution,” </w:t>
            </w:r>
            <w:r w:rsidRPr="001765D1">
              <w:rPr>
                <w:rFonts w:ascii="David" w:eastAsia="Times New Roman" w:hAnsi="David" w:cs="David"/>
                <w:i/>
                <w:iCs/>
                <w:color w:val="333333"/>
                <w:sz w:val="20"/>
                <w:szCs w:val="20"/>
                <w:lang w:eastAsia="zh-CN" w:bidi="ar-SA"/>
              </w:rPr>
              <w:t>Journal of the American Oriental Society</w:t>
            </w:r>
            <w:r w:rsidRPr="001765D1">
              <w:rPr>
                <w:rFonts w:ascii="David" w:eastAsia="Times New Roman" w:hAnsi="David" w:cs="David"/>
                <w:color w:val="333333"/>
                <w:sz w:val="20"/>
                <w:szCs w:val="20"/>
                <w:lang w:eastAsia="zh-CN" w:bidi="ar-SA"/>
              </w:rPr>
              <w:t> 136 (2016): 99–116.</w:t>
            </w:r>
          </w:p>
          <w:p w14:paraId="7FF969EF" w14:textId="77777777" w:rsidR="0025213D" w:rsidRPr="001765D1" w:rsidRDefault="0025213D" w:rsidP="004E1C22">
            <w:pPr>
              <w:bidi/>
              <w:spacing w:line="276" w:lineRule="auto"/>
              <w:rPr>
                <w:rFonts w:asciiTheme="minorBidi" w:hAnsiTheme="minorBidi"/>
                <w:rtl/>
              </w:rPr>
            </w:pPr>
          </w:p>
        </w:tc>
      </w:tr>
      <w:tr w:rsidR="0025213D" w14:paraId="0E75F779" w14:textId="77777777" w:rsidTr="004E1C22">
        <w:tc>
          <w:tcPr>
            <w:tcW w:w="4675" w:type="dxa"/>
          </w:tcPr>
          <w:p w14:paraId="2C75B387"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t>For a detailed analysis of these curse formulas, attested in documents from the 14</w:t>
            </w:r>
            <w:r w:rsidRPr="00001006">
              <w:rPr>
                <w:rFonts w:ascii="Times New Roman" w:eastAsia="Times New Roman" w:hAnsi="Times New Roman" w:cs="Times New Roman"/>
                <w:color w:val="333333"/>
                <w:sz w:val="11"/>
                <w:szCs w:val="11"/>
                <w:vertAlign w:val="superscript"/>
                <w:lang w:eastAsia="zh-CN" w:bidi="ar-SA"/>
              </w:rPr>
              <w:t>th</w:t>
            </w:r>
            <w:r w:rsidRPr="00001006">
              <w:rPr>
                <w:rFonts w:ascii="Times New Roman" w:eastAsia="Times New Roman" w:hAnsi="Times New Roman" w:cs="Times New Roman"/>
                <w:color w:val="333333"/>
                <w:sz w:val="14"/>
                <w:szCs w:val="14"/>
                <w:lang w:eastAsia="zh-CN" w:bidi="ar-SA"/>
              </w:rPr>
              <w:t>–7</w:t>
            </w:r>
            <w:r w:rsidRPr="00001006">
              <w:rPr>
                <w:rFonts w:ascii="Times New Roman" w:eastAsia="Times New Roman" w:hAnsi="Times New Roman" w:cs="Times New Roman"/>
                <w:color w:val="333333"/>
                <w:sz w:val="11"/>
                <w:szCs w:val="11"/>
                <w:vertAlign w:val="superscript"/>
                <w:lang w:eastAsia="zh-CN" w:bidi="ar-SA"/>
              </w:rPr>
              <w:t>th</w:t>
            </w:r>
            <w:r w:rsidRPr="00001006">
              <w:rPr>
                <w:rFonts w:ascii="Times New Roman" w:eastAsia="Times New Roman" w:hAnsi="Times New Roman" w:cs="Times New Roman"/>
                <w:color w:val="333333"/>
                <w:sz w:val="14"/>
                <w:szCs w:val="14"/>
                <w:lang w:eastAsia="zh-CN" w:bidi="ar-SA"/>
              </w:rPr>
              <w:t xml:space="preserve">cent. BCE, see K. Watanabe, “Die </w:t>
            </w:r>
            <w:proofErr w:type="spellStart"/>
            <w:r w:rsidRPr="00001006">
              <w:rPr>
                <w:rFonts w:ascii="Times New Roman" w:eastAsia="Times New Roman" w:hAnsi="Times New Roman" w:cs="Times New Roman"/>
                <w:color w:val="333333"/>
                <w:sz w:val="14"/>
                <w:szCs w:val="14"/>
                <w:lang w:eastAsia="zh-CN" w:bidi="ar-SA"/>
              </w:rPr>
              <w:t>literarische</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Überlieferung</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eines</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babylonisch-assyrischen</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Fluchthemas</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mit</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Anrufung</w:t>
            </w:r>
            <w:proofErr w:type="spellEnd"/>
            <w:r w:rsidRPr="00001006">
              <w:rPr>
                <w:rFonts w:ascii="Times New Roman" w:eastAsia="Times New Roman" w:hAnsi="Times New Roman" w:cs="Times New Roman"/>
                <w:color w:val="333333"/>
                <w:sz w:val="14"/>
                <w:szCs w:val="14"/>
                <w:lang w:eastAsia="zh-CN" w:bidi="ar-SA"/>
              </w:rPr>
              <w:t xml:space="preserve"> des </w:t>
            </w:r>
            <w:proofErr w:type="spellStart"/>
            <w:r w:rsidRPr="00001006">
              <w:rPr>
                <w:rFonts w:ascii="Times New Roman" w:eastAsia="Times New Roman" w:hAnsi="Times New Roman" w:cs="Times New Roman"/>
                <w:color w:val="333333"/>
                <w:sz w:val="14"/>
                <w:szCs w:val="14"/>
                <w:lang w:eastAsia="zh-CN" w:bidi="ar-SA"/>
              </w:rPr>
              <w:t>Mondgottes</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Sîn</w:t>
            </w:r>
            <w:proofErr w:type="spellEnd"/>
            <w:r w:rsidRPr="00001006">
              <w:rPr>
                <w:rFonts w:ascii="Times New Roman" w:eastAsia="Times New Roman" w:hAnsi="Times New Roman" w:cs="Times New Roman"/>
                <w:color w:val="333333"/>
                <w:sz w:val="14"/>
                <w:szCs w:val="14"/>
                <w:lang w:eastAsia="zh-CN" w:bidi="ar-SA"/>
              </w:rPr>
              <w:t>,” </w:t>
            </w:r>
            <w:r w:rsidRPr="00001006">
              <w:rPr>
                <w:rFonts w:ascii="Times New Roman" w:eastAsia="Times New Roman" w:hAnsi="Times New Roman" w:cs="Times New Roman"/>
                <w:i/>
                <w:iCs/>
                <w:color w:val="333333"/>
                <w:sz w:val="14"/>
                <w:lang w:eastAsia="zh-CN" w:bidi="ar-SA"/>
              </w:rPr>
              <w:t xml:space="preserve">Acta </w:t>
            </w:r>
            <w:proofErr w:type="spellStart"/>
            <w:r w:rsidRPr="00001006">
              <w:rPr>
                <w:rFonts w:ascii="Times New Roman" w:eastAsia="Times New Roman" w:hAnsi="Times New Roman" w:cs="Times New Roman"/>
                <w:i/>
                <w:iCs/>
                <w:color w:val="333333"/>
                <w:sz w:val="14"/>
                <w:lang w:eastAsia="zh-CN" w:bidi="ar-SA"/>
              </w:rPr>
              <w:t>Sumerologica</w:t>
            </w:r>
            <w:proofErr w:type="spellEnd"/>
            <w:r w:rsidRPr="00001006">
              <w:rPr>
                <w:rFonts w:ascii="Times New Roman" w:eastAsia="Times New Roman" w:hAnsi="Times New Roman" w:cs="Times New Roman"/>
                <w:i/>
                <w:iCs/>
                <w:color w:val="333333"/>
                <w:sz w:val="14"/>
                <w:lang w:eastAsia="zh-CN" w:bidi="ar-SA"/>
              </w:rPr>
              <w:t> </w:t>
            </w:r>
            <w:r w:rsidRPr="00001006">
              <w:rPr>
                <w:rFonts w:ascii="Times New Roman" w:eastAsia="Times New Roman" w:hAnsi="Times New Roman" w:cs="Times New Roman"/>
                <w:color w:val="333333"/>
                <w:sz w:val="14"/>
                <w:szCs w:val="14"/>
                <w:lang w:eastAsia="zh-CN" w:bidi="ar-SA"/>
              </w:rPr>
              <w:t>6 (1984), 99–119.</w:t>
            </w:r>
          </w:p>
          <w:p w14:paraId="53706353" w14:textId="77777777" w:rsidR="0025213D" w:rsidRPr="00134FD3" w:rsidRDefault="0025213D"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0EE7D95D" w14:textId="5E74FBFC" w:rsidR="001765D1" w:rsidRDefault="001765D1" w:rsidP="001765D1">
            <w:pPr>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6. לניתוח מפורט של נוסחאות קללה אלה הנתמכות במסמכים מן המאות ה-7–14 לפני הספירה, ראו:</w:t>
            </w:r>
          </w:p>
          <w:p w14:paraId="6F8A7E7B" w14:textId="77777777" w:rsidR="001765D1" w:rsidRPr="005345ED" w:rsidRDefault="001765D1" w:rsidP="001765D1">
            <w:pPr>
              <w:shd w:val="clear" w:color="auto" w:fill="FFFFFF"/>
              <w:spacing w:before="100" w:beforeAutospacing="1" w:line="480" w:lineRule="auto"/>
              <w:ind w:left="360"/>
              <w:rPr>
                <w:rFonts w:ascii="David" w:eastAsia="Times New Roman" w:hAnsi="David" w:cs="David"/>
                <w:color w:val="333333"/>
                <w:sz w:val="20"/>
                <w:szCs w:val="20"/>
                <w:lang w:eastAsia="zh-CN" w:bidi="ar-SA"/>
              </w:rPr>
            </w:pPr>
            <w:r w:rsidRPr="005345ED">
              <w:rPr>
                <w:rFonts w:ascii="David" w:eastAsia="Times New Roman" w:hAnsi="David" w:cs="David"/>
                <w:color w:val="333333"/>
                <w:sz w:val="20"/>
                <w:szCs w:val="20"/>
                <w:lang w:eastAsia="zh-CN" w:bidi="ar-SA"/>
              </w:rPr>
              <w:t xml:space="preserve">K. Watanabe, “Die </w:t>
            </w:r>
            <w:proofErr w:type="spellStart"/>
            <w:r w:rsidRPr="005345ED">
              <w:rPr>
                <w:rFonts w:ascii="David" w:eastAsia="Times New Roman" w:hAnsi="David" w:cs="David"/>
                <w:color w:val="333333"/>
                <w:sz w:val="20"/>
                <w:szCs w:val="20"/>
                <w:lang w:eastAsia="zh-CN" w:bidi="ar-SA"/>
              </w:rPr>
              <w:t>literarische</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Überlieferung</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eines</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babylonisch-assyrischen</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Fluchthemas</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mit</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Anrufung</w:t>
            </w:r>
            <w:proofErr w:type="spellEnd"/>
            <w:r w:rsidRPr="005345ED">
              <w:rPr>
                <w:rFonts w:ascii="David" w:eastAsia="Times New Roman" w:hAnsi="David" w:cs="David"/>
                <w:color w:val="333333"/>
                <w:sz w:val="20"/>
                <w:szCs w:val="20"/>
                <w:lang w:eastAsia="zh-CN" w:bidi="ar-SA"/>
              </w:rPr>
              <w:t xml:space="preserve"> des </w:t>
            </w:r>
            <w:proofErr w:type="spellStart"/>
            <w:r w:rsidRPr="005345ED">
              <w:rPr>
                <w:rFonts w:ascii="David" w:eastAsia="Times New Roman" w:hAnsi="David" w:cs="David"/>
                <w:color w:val="333333"/>
                <w:sz w:val="20"/>
                <w:szCs w:val="20"/>
                <w:lang w:eastAsia="zh-CN" w:bidi="ar-SA"/>
              </w:rPr>
              <w:t>Mondgottes</w:t>
            </w:r>
            <w:proofErr w:type="spellEnd"/>
            <w:r w:rsidRPr="005345ED">
              <w:rPr>
                <w:rFonts w:ascii="David" w:eastAsia="Times New Roman" w:hAnsi="David" w:cs="David"/>
                <w:color w:val="333333"/>
                <w:sz w:val="20"/>
                <w:szCs w:val="20"/>
                <w:lang w:eastAsia="zh-CN" w:bidi="ar-SA"/>
              </w:rPr>
              <w:t xml:space="preserve"> </w:t>
            </w:r>
            <w:proofErr w:type="spellStart"/>
            <w:r w:rsidRPr="005345ED">
              <w:rPr>
                <w:rFonts w:ascii="David" w:eastAsia="Times New Roman" w:hAnsi="David" w:cs="David"/>
                <w:color w:val="333333"/>
                <w:sz w:val="20"/>
                <w:szCs w:val="20"/>
                <w:lang w:eastAsia="zh-CN" w:bidi="ar-SA"/>
              </w:rPr>
              <w:t>Sîn</w:t>
            </w:r>
            <w:proofErr w:type="spellEnd"/>
            <w:r w:rsidRPr="005345ED">
              <w:rPr>
                <w:rFonts w:ascii="David" w:eastAsia="Times New Roman" w:hAnsi="David" w:cs="David"/>
                <w:color w:val="333333"/>
                <w:sz w:val="20"/>
                <w:szCs w:val="20"/>
                <w:lang w:eastAsia="zh-CN" w:bidi="ar-SA"/>
              </w:rPr>
              <w:t>,” </w:t>
            </w:r>
            <w:r w:rsidRPr="005345ED">
              <w:rPr>
                <w:rFonts w:ascii="David" w:eastAsia="Times New Roman" w:hAnsi="David" w:cs="David"/>
                <w:i/>
                <w:iCs/>
                <w:color w:val="333333"/>
                <w:sz w:val="20"/>
                <w:szCs w:val="20"/>
                <w:lang w:eastAsia="zh-CN" w:bidi="ar-SA"/>
              </w:rPr>
              <w:t xml:space="preserve">Acta </w:t>
            </w:r>
            <w:proofErr w:type="spellStart"/>
            <w:r w:rsidRPr="005345ED">
              <w:rPr>
                <w:rFonts w:ascii="David" w:eastAsia="Times New Roman" w:hAnsi="David" w:cs="David"/>
                <w:i/>
                <w:iCs/>
                <w:color w:val="333333"/>
                <w:sz w:val="20"/>
                <w:szCs w:val="20"/>
                <w:lang w:eastAsia="zh-CN" w:bidi="ar-SA"/>
              </w:rPr>
              <w:t>Sumerologica</w:t>
            </w:r>
            <w:proofErr w:type="spellEnd"/>
            <w:r w:rsidRPr="005345ED">
              <w:rPr>
                <w:rFonts w:ascii="David" w:eastAsia="Times New Roman" w:hAnsi="David" w:cs="David"/>
                <w:i/>
                <w:iCs/>
                <w:color w:val="333333"/>
                <w:sz w:val="20"/>
                <w:szCs w:val="20"/>
                <w:lang w:eastAsia="zh-CN" w:bidi="ar-SA"/>
              </w:rPr>
              <w:t> </w:t>
            </w:r>
            <w:r w:rsidRPr="005345ED">
              <w:rPr>
                <w:rFonts w:ascii="David" w:eastAsia="Times New Roman" w:hAnsi="David" w:cs="David"/>
                <w:color w:val="333333"/>
                <w:sz w:val="20"/>
                <w:szCs w:val="20"/>
                <w:lang w:eastAsia="zh-CN" w:bidi="ar-SA"/>
              </w:rPr>
              <w:t>6 (1984), 99–119.</w:t>
            </w:r>
          </w:p>
          <w:p w14:paraId="199F4710" w14:textId="77777777" w:rsidR="0025213D" w:rsidRPr="001765D1" w:rsidRDefault="0025213D" w:rsidP="004E1C22">
            <w:pPr>
              <w:bidi/>
              <w:spacing w:line="276" w:lineRule="auto"/>
              <w:rPr>
                <w:rFonts w:asciiTheme="minorBidi" w:hAnsiTheme="minorBidi"/>
                <w:rtl/>
              </w:rPr>
            </w:pPr>
          </w:p>
        </w:tc>
      </w:tr>
      <w:tr w:rsidR="00001006" w14:paraId="0758038B" w14:textId="77777777" w:rsidTr="004E1C22">
        <w:tc>
          <w:tcPr>
            <w:tcW w:w="4675" w:type="dxa"/>
          </w:tcPr>
          <w:p w14:paraId="44A39C54"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lastRenderedPageBreak/>
              <w:t xml:space="preserve">See A. </w:t>
            </w:r>
            <w:proofErr w:type="spellStart"/>
            <w:proofErr w:type="gramStart"/>
            <w:r w:rsidRPr="00001006">
              <w:rPr>
                <w:rFonts w:ascii="Times New Roman" w:eastAsia="Times New Roman" w:hAnsi="Times New Roman" w:cs="Times New Roman"/>
                <w:color w:val="333333"/>
                <w:sz w:val="14"/>
                <w:szCs w:val="14"/>
                <w:lang w:eastAsia="zh-CN" w:bidi="ar-SA"/>
              </w:rPr>
              <w:t>Tsukimoto</w:t>
            </w:r>
            <w:proofErr w:type="spellEnd"/>
            <w:r w:rsidRPr="00001006">
              <w:rPr>
                <w:rFonts w:ascii="Times New Roman" w:eastAsia="Times New Roman" w:hAnsi="Times New Roman" w:cs="Times New Roman"/>
                <w:color w:val="333333"/>
                <w:sz w:val="14"/>
                <w:szCs w:val="14"/>
                <w:lang w:eastAsia="zh-CN" w:bidi="ar-SA"/>
              </w:rPr>
              <w:t>,“</w:t>
            </w:r>
            <w:proofErr w:type="gramEnd"/>
            <w:r w:rsidRPr="00001006">
              <w:rPr>
                <w:rFonts w:ascii="Times New Roman" w:eastAsia="Times New Roman" w:hAnsi="Times New Roman" w:cs="Times New Roman"/>
                <w:color w:val="333333"/>
                <w:sz w:val="14"/>
                <w:szCs w:val="14"/>
                <w:lang w:eastAsia="zh-CN" w:bidi="ar-SA"/>
              </w:rPr>
              <w:t>‘By the Hand of Madi-Dagan, the Scribe and </w:t>
            </w:r>
            <w:proofErr w:type="spellStart"/>
            <w:r w:rsidRPr="00001006">
              <w:rPr>
                <w:rFonts w:ascii="Times New Roman" w:eastAsia="Times New Roman" w:hAnsi="Times New Roman" w:cs="Times New Roman"/>
                <w:i/>
                <w:iCs/>
                <w:color w:val="333333"/>
                <w:sz w:val="14"/>
                <w:lang w:eastAsia="zh-CN" w:bidi="ar-SA"/>
              </w:rPr>
              <w:t>Apkallu</w:t>
            </w:r>
            <w:proofErr w:type="spellEnd"/>
            <w:r w:rsidRPr="00001006">
              <w:rPr>
                <w:rFonts w:ascii="Times New Roman" w:eastAsia="Times New Roman" w:hAnsi="Times New Roman" w:cs="Times New Roman"/>
                <w:i/>
                <w:iCs/>
                <w:color w:val="333333"/>
                <w:sz w:val="14"/>
                <w:lang w:eastAsia="zh-CN" w:bidi="ar-SA"/>
              </w:rPr>
              <w:t>-</w:t>
            </w:r>
            <w:r w:rsidRPr="00001006">
              <w:rPr>
                <w:rFonts w:ascii="Times New Roman" w:eastAsia="Times New Roman" w:hAnsi="Times New Roman" w:cs="Times New Roman"/>
                <w:color w:val="333333"/>
                <w:sz w:val="14"/>
                <w:szCs w:val="14"/>
                <w:lang w:eastAsia="zh-CN" w:bidi="ar-SA"/>
              </w:rPr>
              <w:t>Priest’ – A Medical Text from the Middle Euphrates Region,” in K. Watanabe (ed.),</w:t>
            </w:r>
            <w:r w:rsidRPr="00001006">
              <w:rPr>
                <w:rFonts w:ascii="Times New Roman" w:eastAsia="Times New Roman" w:hAnsi="Times New Roman" w:cs="Times New Roman"/>
                <w:i/>
                <w:iCs/>
                <w:color w:val="333333"/>
                <w:sz w:val="14"/>
                <w:lang w:eastAsia="zh-CN" w:bidi="ar-SA"/>
              </w:rPr>
              <w:t> Priests and Officials in the Ancient Near East </w:t>
            </w:r>
            <w:r w:rsidRPr="00001006">
              <w:rPr>
                <w:rFonts w:ascii="Times New Roman" w:eastAsia="Times New Roman" w:hAnsi="Times New Roman" w:cs="Times New Roman"/>
                <w:color w:val="333333"/>
                <w:sz w:val="14"/>
                <w:szCs w:val="14"/>
                <w:lang w:eastAsia="zh-CN" w:bidi="ar-SA"/>
              </w:rPr>
              <w:t>(Heidelberg: Winter, 1999), 187–200. The following abbreviated discussion is based on my article: “Behind the Scenes of a Priestly Polemic: Leviticus 14 and its Extra-Biblical Parallels,” </w:t>
            </w:r>
            <w:r w:rsidRPr="00001006">
              <w:rPr>
                <w:rFonts w:ascii="Times New Roman" w:eastAsia="Times New Roman" w:hAnsi="Times New Roman" w:cs="Times New Roman"/>
                <w:i/>
                <w:iCs/>
                <w:color w:val="333333"/>
                <w:sz w:val="14"/>
                <w:lang w:eastAsia="zh-CN" w:bidi="ar-SA"/>
              </w:rPr>
              <w:t>Journal of Hebrew Scriptures</w:t>
            </w:r>
            <w:r w:rsidRPr="00001006">
              <w:rPr>
                <w:rFonts w:ascii="Times New Roman" w:eastAsia="Times New Roman" w:hAnsi="Times New Roman" w:cs="Times New Roman"/>
                <w:color w:val="333333"/>
                <w:sz w:val="14"/>
                <w:szCs w:val="14"/>
                <w:lang w:eastAsia="zh-CN" w:bidi="ar-SA"/>
              </w:rPr>
              <w:t> 15.4 (2015): 1–26 http://www.jhsonline.org/Articles/article_207.pdf</w:t>
            </w:r>
          </w:p>
          <w:p w14:paraId="1662A6C6"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0D26E34" w14:textId="0DB53E97" w:rsidR="001765D1" w:rsidRPr="001765D1" w:rsidRDefault="001765D1" w:rsidP="001765D1">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7</w:t>
            </w:r>
            <w:r w:rsidRPr="001765D1">
              <w:rPr>
                <w:rFonts w:ascii="David" w:eastAsia="Times New Roman" w:hAnsi="David" w:cs="David" w:hint="cs"/>
                <w:color w:val="000000"/>
                <w:sz w:val="20"/>
                <w:szCs w:val="20"/>
                <w:rtl/>
              </w:rPr>
              <w:t>.</w:t>
            </w:r>
            <w:r>
              <w:rPr>
                <w:rFonts w:ascii="David" w:eastAsia="Times New Roman" w:hAnsi="David" w:cs="David" w:hint="cs"/>
                <w:color w:val="000000"/>
                <w:sz w:val="20"/>
                <w:szCs w:val="20"/>
                <w:rtl/>
              </w:rPr>
              <w:t xml:space="preserve"> </w:t>
            </w:r>
            <w:r w:rsidRPr="001765D1">
              <w:rPr>
                <w:rFonts w:ascii="David" w:eastAsia="Times New Roman" w:hAnsi="David" w:cs="David" w:hint="cs"/>
                <w:color w:val="000000"/>
                <w:sz w:val="20"/>
                <w:szCs w:val="20"/>
                <w:rtl/>
              </w:rPr>
              <w:t>ראו:</w:t>
            </w:r>
          </w:p>
          <w:p w14:paraId="73DA867F" w14:textId="77777777" w:rsidR="001765D1" w:rsidRPr="001765D1" w:rsidRDefault="001765D1" w:rsidP="001765D1">
            <w:pPr>
              <w:bidi/>
              <w:spacing w:after="187" w:line="360" w:lineRule="auto"/>
              <w:rPr>
                <w:rFonts w:ascii="David" w:eastAsia="Times New Roman" w:hAnsi="David" w:cs="David"/>
                <w:color w:val="000000"/>
                <w:sz w:val="20"/>
                <w:szCs w:val="20"/>
                <w:rtl/>
              </w:rPr>
            </w:pPr>
            <w:r w:rsidRPr="001765D1">
              <w:rPr>
                <w:rFonts w:ascii="David" w:eastAsia="Times New Roman" w:hAnsi="David" w:cs="David"/>
                <w:color w:val="333333"/>
                <w:sz w:val="20"/>
                <w:szCs w:val="20"/>
                <w:lang w:bidi="ar-SA"/>
              </w:rPr>
              <w:t xml:space="preserve">A. </w:t>
            </w:r>
            <w:proofErr w:type="spellStart"/>
            <w:proofErr w:type="gramStart"/>
            <w:r w:rsidRPr="001765D1">
              <w:rPr>
                <w:rFonts w:ascii="David" w:eastAsia="Times New Roman" w:hAnsi="David" w:cs="David"/>
                <w:color w:val="333333"/>
                <w:sz w:val="20"/>
                <w:szCs w:val="20"/>
                <w:lang w:bidi="ar-SA"/>
              </w:rPr>
              <w:t>Tsukimoto</w:t>
            </w:r>
            <w:proofErr w:type="spellEnd"/>
            <w:r w:rsidRPr="001765D1">
              <w:rPr>
                <w:rFonts w:ascii="David" w:eastAsia="Times New Roman" w:hAnsi="David" w:cs="David"/>
                <w:color w:val="333333"/>
                <w:sz w:val="20"/>
                <w:szCs w:val="20"/>
                <w:lang w:bidi="ar-SA"/>
              </w:rPr>
              <w:t>,“</w:t>
            </w:r>
            <w:proofErr w:type="gramEnd"/>
            <w:r w:rsidRPr="001765D1">
              <w:rPr>
                <w:rFonts w:ascii="David" w:eastAsia="Times New Roman" w:hAnsi="David" w:cs="David"/>
                <w:color w:val="333333"/>
                <w:sz w:val="20"/>
                <w:szCs w:val="20"/>
                <w:lang w:bidi="ar-SA"/>
              </w:rPr>
              <w:t>‘By the Hand of Madi-Dagan, the Scribe and </w:t>
            </w:r>
            <w:proofErr w:type="spellStart"/>
            <w:r w:rsidRPr="001765D1">
              <w:rPr>
                <w:rFonts w:ascii="David" w:eastAsia="Times New Roman" w:hAnsi="David" w:cs="David"/>
                <w:i/>
                <w:iCs/>
                <w:color w:val="333333"/>
                <w:sz w:val="20"/>
                <w:szCs w:val="20"/>
                <w:lang w:bidi="ar-SA"/>
              </w:rPr>
              <w:t>Apkallu</w:t>
            </w:r>
            <w:proofErr w:type="spellEnd"/>
            <w:r w:rsidRPr="001765D1">
              <w:rPr>
                <w:rFonts w:ascii="David" w:eastAsia="Times New Roman" w:hAnsi="David" w:cs="David"/>
                <w:i/>
                <w:iCs/>
                <w:color w:val="333333"/>
                <w:sz w:val="20"/>
                <w:szCs w:val="20"/>
                <w:lang w:bidi="ar-SA"/>
              </w:rPr>
              <w:t>-</w:t>
            </w:r>
            <w:r w:rsidRPr="001765D1">
              <w:rPr>
                <w:rFonts w:ascii="David" w:eastAsia="Times New Roman" w:hAnsi="David" w:cs="David"/>
                <w:color w:val="333333"/>
                <w:sz w:val="20"/>
                <w:szCs w:val="20"/>
                <w:lang w:bidi="ar-SA"/>
              </w:rPr>
              <w:t>Priest’ – A Medical Text from the Middle Euphrates Region,” in K. Watanabe (ed.),</w:t>
            </w:r>
            <w:r w:rsidRPr="001765D1">
              <w:rPr>
                <w:rFonts w:ascii="David" w:eastAsia="Times New Roman" w:hAnsi="David" w:cs="David"/>
                <w:i/>
                <w:iCs/>
                <w:color w:val="333333"/>
                <w:sz w:val="20"/>
                <w:szCs w:val="20"/>
                <w:lang w:bidi="ar-SA"/>
              </w:rPr>
              <w:t> Priests and Officials in the Ancient Near East </w:t>
            </w:r>
            <w:r w:rsidRPr="001765D1">
              <w:rPr>
                <w:rFonts w:ascii="David" w:eastAsia="Times New Roman" w:hAnsi="David" w:cs="David"/>
                <w:color w:val="333333"/>
                <w:sz w:val="20"/>
                <w:szCs w:val="20"/>
                <w:lang w:bidi="ar-SA"/>
              </w:rPr>
              <w:t>(Heidelberg: Winter, 1999), 187–200</w:t>
            </w:r>
            <w:r w:rsidRPr="001765D1">
              <w:rPr>
                <w:rFonts w:ascii="David" w:eastAsia="Times New Roman" w:hAnsi="David" w:cs="David"/>
                <w:color w:val="000000"/>
                <w:sz w:val="20"/>
                <w:szCs w:val="20"/>
                <w:rtl/>
              </w:rPr>
              <w:t>. הדיון המקוצר להלן מבוסס על מאמרי:</w:t>
            </w:r>
          </w:p>
          <w:p w14:paraId="2166AC87" w14:textId="77777777" w:rsidR="001765D1" w:rsidRPr="001765D1" w:rsidRDefault="001765D1" w:rsidP="001765D1">
            <w:pPr>
              <w:shd w:val="clear" w:color="auto" w:fill="FFFFFF"/>
              <w:spacing w:before="100" w:beforeAutospacing="1" w:line="480" w:lineRule="auto"/>
              <w:ind w:left="360"/>
              <w:rPr>
                <w:rFonts w:ascii="David" w:eastAsia="Times New Roman" w:hAnsi="David" w:cs="David"/>
                <w:color w:val="333333"/>
                <w:sz w:val="20"/>
                <w:szCs w:val="20"/>
                <w:lang w:eastAsia="zh-CN" w:bidi="ar-SA"/>
              </w:rPr>
            </w:pPr>
            <w:r w:rsidRPr="001765D1">
              <w:rPr>
                <w:rFonts w:ascii="David" w:eastAsia="Times New Roman" w:hAnsi="David" w:cs="David"/>
                <w:color w:val="333333"/>
                <w:sz w:val="20"/>
                <w:szCs w:val="20"/>
                <w:lang w:eastAsia="zh-CN" w:bidi="ar-SA"/>
              </w:rPr>
              <w:t>: “Behind the Scenes of a Priestly Polemic: Leviticus 14 and its Extra-Biblical Parallels,” </w:t>
            </w:r>
            <w:r w:rsidRPr="001765D1">
              <w:rPr>
                <w:rFonts w:ascii="David" w:eastAsia="Times New Roman" w:hAnsi="David" w:cs="David"/>
                <w:i/>
                <w:iCs/>
                <w:color w:val="333333"/>
                <w:sz w:val="20"/>
                <w:szCs w:val="20"/>
                <w:lang w:eastAsia="zh-CN" w:bidi="ar-SA"/>
              </w:rPr>
              <w:t>Journal of Hebrew Scriptures</w:t>
            </w:r>
            <w:r w:rsidRPr="001765D1">
              <w:rPr>
                <w:rFonts w:ascii="David" w:eastAsia="Times New Roman" w:hAnsi="David" w:cs="David"/>
                <w:color w:val="333333"/>
                <w:sz w:val="20"/>
                <w:szCs w:val="20"/>
                <w:lang w:eastAsia="zh-CN" w:bidi="ar-SA"/>
              </w:rPr>
              <w:t> 15.4 (2015): 1–</w:t>
            </w:r>
            <w:proofErr w:type="gramStart"/>
            <w:r w:rsidRPr="001765D1">
              <w:rPr>
                <w:rFonts w:ascii="David" w:eastAsia="Times New Roman" w:hAnsi="David" w:cs="David"/>
                <w:color w:val="333333"/>
                <w:sz w:val="20"/>
                <w:szCs w:val="20"/>
                <w:lang w:eastAsia="zh-CN" w:bidi="ar-SA"/>
              </w:rPr>
              <w:t>26</w:t>
            </w:r>
            <w:r w:rsidRPr="001765D1">
              <w:rPr>
                <w:rFonts w:ascii="David" w:eastAsia="Times New Roman" w:hAnsi="David" w:cs="David"/>
                <w:color w:val="333333"/>
                <w:sz w:val="20"/>
                <w:szCs w:val="20"/>
                <w:rtl/>
                <w:lang w:eastAsia="zh-CN"/>
              </w:rPr>
              <w:t>..</w:t>
            </w:r>
            <w:proofErr w:type="gramEnd"/>
            <w:r w:rsidRPr="001765D1">
              <w:rPr>
                <w:rFonts w:ascii="David" w:eastAsia="Times New Roman" w:hAnsi="David" w:cs="David"/>
                <w:color w:val="333333"/>
                <w:sz w:val="20"/>
                <w:szCs w:val="20"/>
                <w:lang w:eastAsia="zh-CN" w:bidi="ar-SA"/>
              </w:rPr>
              <w:t xml:space="preserve"> /http://www.jhsonline.org/Articles/article_207.pdf</w:t>
            </w:r>
          </w:p>
          <w:p w14:paraId="61A4B8F2" w14:textId="7D2ED2FC" w:rsidR="00001006" w:rsidRDefault="00001006" w:rsidP="001765D1">
            <w:pPr>
              <w:bidi/>
              <w:spacing w:line="276" w:lineRule="auto"/>
              <w:rPr>
                <w:rFonts w:asciiTheme="minorBidi" w:hAnsiTheme="minorBidi"/>
                <w:rtl/>
              </w:rPr>
            </w:pPr>
          </w:p>
        </w:tc>
      </w:tr>
      <w:tr w:rsidR="00001006" w14:paraId="55F24B77" w14:textId="77777777" w:rsidTr="004E1C22">
        <w:tc>
          <w:tcPr>
            <w:tcW w:w="4675" w:type="dxa"/>
          </w:tcPr>
          <w:p w14:paraId="162E57FF"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t xml:space="preserve">See further </w:t>
            </w:r>
            <w:proofErr w:type="spellStart"/>
            <w:r w:rsidRPr="00001006">
              <w:rPr>
                <w:rFonts w:ascii="Times New Roman" w:eastAsia="Times New Roman" w:hAnsi="Times New Roman" w:cs="Times New Roman"/>
                <w:color w:val="333333"/>
                <w:sz w:val="14"/>
                <w:szCs w:val="14"/>
                <w:lang w:eastAsia="zh-CN" w:bidi="ar-SA"/>
              </w:rPr>
              <w:t>Noga</w:t>
            </w:r>
            <w:proofErr w:type="spellEnd"/>
            <w:r w:rsidRPr="00001006">
              <w:rPr>
                <w:rFonts w:ascii="Times New Roman" w:eastAsia="Times New Roman" w:hAnsi="Times New Roman" w:cs="Times New Roman"/>
                <w:color w:val="333333"/>
                <w:sz w:val="14"/>
                <w:szCs w:val="14"/>
                <w:lang w:eastAsia="zh-CN" w:bidi="ar-SA"/>
              </w:rPr>
              <w:t xml:space="preserve"> </w:t>
            </w:r>
            <w:proofErr w:type="spellStart"/>
            <w:r w:rsidRPr="00001006">
              <w:rPr>
                <w:rFonts w:ascii="Times New Roman" w:eastAsia="Times New Roman" w:hAnsi="Times New Roman" w:cs="Times New Roman"/>
                <w:color w:val="333333"/>
                <w:sz w:val="14"/>
                <w:szCs w:val="14"/>
                <w:lang w:eastAsia="zh-CN" w:bidi="ar-SA"/>
              </w:rPr>
              <w:t>Ayali</w:t>
            </w:r>
            <w:proofErr w:type="spellEnd"/>
            <w:r w:rsidRPr="00001006">
              <w:rPr>
                <w:rFonts w:ascii="Times New Roman" w:eastAsia="Times New Roman" w:hAnsi="Times New Roman" w:cs="Times New Roman"/>
                <w:color w:val="333333"/>
                <w:sz w:val="14"/>
                <w:szCs w:val="14"/>
                <w:lang w:eastAsia="zh-CN" w:bidi="ar-SA"/>
              </w:rPr>
              <w:t>-Darshan, </w:t>
            </w:r>
            <w:hyperlink r:id="rId8" w:tgtFrame="_blank" w:history="1">
              <w:r w:rsidRPr="00001006">
                <w:rPr>
                  <w:rFonts w:ascii="Times New Roman" w:eastAsia="Times New Roman" w:hAnsi="Times New Roman" w:cs="Times New Roman"/>
                  <w:color w:val="000080"/>
                  <w:sz w:val="14"/>
                  <w:u w:val="single"/>
                  <w:lang w:eastAsia="zh-CN" w:bidi="ar-SA"/>
                </w:rPr>
                <w:t>“Sukkot’s Seventy Bulls,”</w:t>
              </w:r>
            </w:hyperlink>
            <w:r w:rsidRPr="00001006">
              <w:rPr>
                <w:rFonts w:ascii="Times New Roman" w:eastAsia="Times New Roman" w:hAnsi="Times New Roman" w:cs="Times New Roman"/>
                <w:color w:val="333333"/>
                <w:sz w:val="14"/>
                <w:szCs w:val="14"/>
                <w:lang w:eastAsia="zh-CN" w:bidi="ar-SA"/>
              </w:rPr>
              <w:t> </w:t>
            </w:r>
            <w:r w:rsidRPr="00001006">
              <w:rPr>
                <w:rFonts w:ascii="Times New Roman" w:eastAsia="Times New Roman" w:hAnsi="Times New Roman" w:cs="Times New Roman"/>
                <w:i/>
                <w:iCs/>
                <w:color w:val="333333"/>
                <w:sz w:val="14"/>
                <w:lang w:eastAsia="zh-CN" w:bidi="ar-SA"/>
              </w:rPr>
              <w:t>TheTorah.com</w:t>
            </w:r>
            <w:r w:rsidRPr="00001006">
              <w:rPr>
                <w:rFonts w:ascii="Times New Roman" w:eastAsia="Times New Roman" w:hAnsi="Times New Roman" w:cs="Times New Roman"/>
                <w:color w:val="333333"/>
                <w:sz w:val="14"/>
                <w:szCs w:val="14"/>
                <w:lang w:eastAsia="zh-CN" w:bidi="ar-SA"/>
              </w:rPr>
              <w:t> (2016).</w:t>
            </w:r>
          </w:p>
          <w:p w14:paraId="2BD075AE"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B06880A" w14:textId="04B16DA4" w:rsidR="001765D1" w:rsidRPr="001765D1" w:rsidRDefault="001765D1" w:rsidP="001765D1">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9</w:t>
            </w:r>
            <w:r w:rsidRPr="001765D1">
              <w:rPr>
                <w:rFonts w:ascii="David" w:eastAsia="Times New Roman" w:hAnsi="David" w:cs="David"/>
                <w:color w:val="000000"/>
                <w:sz w:val="20"/>
                <w:szCs w:val="20"/>
                <w:rtl/>
              </w:rPr>
              <w:t>.</w:t>
            </w:r>
            <w:r>
              <w:rPr>
                <w:rFonts w:ascii="David" w:eastAsia="Times New Roman" w:hAnsi="David" w:cs="David" w:hint="cs"/>
                <w:color w:val="000000"/>
                <w:sz w:val="20"/>
                <w:szCs w:val="20"/>
                <w:rtl/>
              </w:rPr>
              <w:t xml:space="preserve"> </w:t>
            </w:r>
            <w:r w:rsidRPr="001765D1">
              <w:rPr>
                <w:rFonts w:ascii="David" w:eastAsia="Times New Roman" w:hAnsi="David" w:cs="David"/>
                <w:color w:val="000000"/>
                <w:sz w:val="20"/>
                <w:szCs w:val="20"/>
                <w:rtl/>
              </w:rPr>
              <w:t>ראו עוד:</w:t>
            </w:r>
          </w:p>
          <w:p w14:paraId="649D9EC7" w14:textId="77777777" w:rsidR="001765D1" w:rsidRPr="001765D1" w:rsidRDefault="001765D1" w:rsidP="001765D1">
            <w:pPr>
              <w:shd w:val="clear" w:color="auto" w:fill="FFFFFF"/>
              <w:spacing w:before="100" w:beforeAutospacing="1" w:line="480" w:lineRule="auto"/>
              <w:ind w:left="360"/>
              <w:rPr>
                <w:rFonts w:ascii="David" w:eastAsia="Times New Roman" w:hAnsi="David" w:cs="David"/>
                <w:color w:val="333333"/>
                <w:sz w:val="20"/>
                <w:szCs w:val="20"/>
                <w:lang w:eastAsia="zh-CN" w:bidi="ar-SA"/>
              </w:rPr>
            </w:pPr>
            <w:proofErr w:type="spellStart"/>
            <w:r w:rsidRPr="001765D1">
              <w:rPr>
                <w:rFonts w:ascii="David" w:eastAsia="Times New Roman" w:hAnsi="David" w:cs="David"/>
                <w:color w:val="333333"/>
                <w:sz w:val="20"/>
                <w:szCs w:val="20"/>
                <w:lang w:eastAsia="zh-CN" w:bidi="ar-SA"/>
              </w:rPr>
              <w:t>Noga</w:t>
            </w:r>
            <w:proofErr w:type="spellEnd"/>
            <w:r w:rsidRPr="001765D1">
              <w:rPr>
                <w:rFonts w:ascii="David" w:eastAsia="Times New Roman" w:hAnsi="David" w:cs="David"/>
                <w:color w:val="333333"/>
                <w:sz w:val="20"/>
                <w:szCs w:val="20"/>
                <w:lang w:eastAsia="zh-CN" w:bidi="ar-SA"/>
              </w:rPr>
              <w:t xml:space="preserve"> </w:t>
            </w:r>
            <w:proofErr w:type="spellStart"/>
            <w:r w:rsidRPr="001765D1">
              <w:rPr>
                <w:rFonts w:ascii="David" w:eastAsia="Times New Roman" w:hAnsi="David" w:cs="David"/>
                <w:color w:val="333333"/>
                <w:sz w:val="20"/>
                <w:szCs w:val="20"/>
                <w:lang w:eastAsia="zh-CN" w:bidi="ar-SA"/>
              </w:rPr>
              <w:t>Ayali</w:t>
            </w:r>
            <w:proofErr w:type="spellEnd"/>
            <w:r w:rsidRPr="001765D1">
              <w:rPr>
                <w:rFonts w:ascii="David" w:eastAsia="Times New Roman" w:hAnsi="David" w:cs="David"/>
                <w:color w:val="333333"/>
                <w:sz w:val="20"/>
                <w:szCs w:val="20"/>
                <w:lang w:eastAsia="zh-CN" w:bidi="ar-SA"/>
              </w:rPr>
              <w:t>-Darshan, </w:t>
            </w:r>
            <w:hyperlink r:id="rId9" w:tgtFrame="_blank" w:history="1">
              <w:r w:rsidRPr="001765D1">
                <w:rPr>
                  <w:rFonts w:ascii="David" w:eastAsia="Times New Roman" w:hAnsi="David" w:cs="David"/>
                  <w:color w:val="000080"/>
                  <w:sz w:val="20"/>
                  <w:szCs w:val="20"/>
                  <w:u w:val="single"/>
                  <w:lang w:eastAsia="zh-CN" w:bidi="ar-SA"/>
                </w:rPr>
                <w:t>“Sukkot’s Seventy Bulls,”</w:t>
              </w:r>
            </w:hyperlink>
            <w:r w:rsidRPr="001765D1">
              <w:rPr>
                <w:rFonts w:ascii="David" w:eastAsia="Times New Roman" w:hAnsi="David" w:cs="David"/>
                <w:color w:val="333333"/>
                <w:sz w:val="20"/>
                <w:szCs w:val="20"/>
                <w:lang w:eastAsia="zh-CN" w:bidi="ar-SA"/>
              </w:rPr>
              <w:t> </w:t>
            </w:r>
            <w:r w:rsidRPr="001765D1">
              <w:rPr>
                <w:rFonts w:ascii="David" w:eastAsia="Times New Roman" w:hAnsi="David" w:cs="David"/>
                <w:i/>
                <w:iCs/>
                <w:color w:val="333333"/>
                <w:sz w:val="20"/>
                <w:szCs w:val="20"/>
                <w:lang w:eastAsia="zh-CN" w:bidi="ar-SA"/>
              </w:rPr>
              <w:t>TheTorah.com</w:t>
            </w:r>
            <w:r w:rsidRPr="001765D1">
              <w:rPr>
                <w:rFonts w:ascii="David" w:eastAsia="Times New Roman" w:hAnsi="David" w:cs="David"/>
                <w:color w:val="333333"/>
                <w:sz w:val="20"/>
                <w:szCs w:val="20"/>
                <w:lang w:eastAsia="zh-CN" w:bidi="ar-SA"/>
              </w:rPr>
              <w:t> (2016).</w:t>
            </w:r>
          </w:p>
          <w:p w14:paraId="773F6428" w14:textId="77777777" w:rsidR="00001006" w:rsidRDefault="00001006" w:rsidP="004E1C22">
            <w:pPr>
              <w:bidi/>
              <w:spacing w:line="276" w:lineRule="auto"/>
              <w:rPr>
                <w:rFonts w:asciiTheme="minorBidi" w:hAnsiTheme="minorBidi"/>
                <w:rtl/>
              </w:rPr>
            </w:pPr>
          </w:p>
        </w:tc>
      </w:tr>
      <w:tr w:rsidR="00001006" w14:paraId="79BEF1DD" w14:textId="77777777" w:rsidTr="004E1C22">
        <w:tc>
          <w:tcPr>
            <w:tcW w:w="4675" w:type="dxa"/>
          </w:tcPr>
          <w:p w14:paraId="0762930D" w14:textId="77777777" w:rsidR="00001006" w:rsidRPr="00001006" w:rsidRDefault="00001006" w:rsidP="0000100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01006">
              <w:rPr>
                <w:rFonts w:ascii="Times New Roman" w:eastAsia="Times New Roman" w:hAnsi="Times New Roman" w:cs="Times New Roman"/>
                <w:color w:val="333333"/>
                <w:sz w:val="14"/>
                <w:szCs w:val="14"/>
                <w:lang w:eastAsia="zh-CN" w:bidi="ar-SA"/>
              </w:rPr>
              <w:t xml:space="preserve">Lines 87–89. My translation differs significantly from that </w:t>
            </w:r>
            <w:proofErr w:type="spellStart"/>
            <w:r w:rsidRPr="00001006">
              <w:rPr>
                <w:rFonts w:ascii="Times New Roman" w:eastAsia="Times New Roman" w:hAnsi="Times New Roman" w:cs="Times New Roman"/>
                <w:color w:val="333333"/>
                <w:sz w:val="14"/>
                <w:szCs w:val="14"/>
                <w:lang w:eastAsia="zh-CN" w:bidi="ar-SA"/>
              </w:rPr>
              <w:t>Tsukimoto</w:t>
            </w:r>
            <w:proofErr w:type="spellEnd"/>
            <w:r w:rsidRPr="00001006">
              <w:rPr>
                <w:rFonts w:ascii="Times New Roman" w:eastAsia="Times New Roman" w:hAnsi="Times New Roman" w:cs="Times New Roman"/>
                <w:color w:val="333333"/>
                <w:sz w:val="14"/>
                <w:szCs w:val="14"/>
                <w:lang w:eastAsia="zh-CN" w:bidi="ar-SA"/>
              </w:rPr>
              <w:t>. For further discussion, see my “Behind the Scenes,” 6–8.</w:t>
            </w:r>
          </w:p>
          <w:p w14:paraId="72222962"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239A83CC" w14:textId="4E2C3D95" w:rsidR="00001006" w:rsidRPr="001765D1" w:rsidRDefault="001765D1" w:rsidP="001765D1">
            <w:pPr>
              <w:bidi/>
              <w:spacing w:line="360" w:lineRule="auto"/>
              <w:rPr>
                <w:rFonts w:asciiTheme="minorBidi" w:hAnsiTheme="minorBidi"/>
                <w:rtl/>
              </w:rPr>
            </w:pPr>
            <w:r>
              <w:rPr>
                <w:rFonts w:ascii="David" w:eastAsia="Times New Roman" w:hAnsi="David" w:cs="David" w:hint="cs"/>
                <w:color w:val="000000"/>
                <w:sz w:val="20"/>
                <w:szCs w:val="20"/>
                <w:rtl/>
              </w:rPr>
              <w:t>9</w:t>
            </w:r>
            <w:r w:rsidRPr="001765D1">
              <w:rPr>
                <w:rFonts w:ascii="David" w:eastAsia="Times New Roman" w:hAnsi="David" w:cs="David" w:hint="cs"/>
                <w:color w:val="000000"/>
                <w:sz w:val="20"/>
                <w:szCs w:val="20"/>
                <w:rtl/>
              </w:rPr>
              <w:t xml:space="preserve">.שורות 87–89. התרגום שלי שונה באופן ניכר מזה של </w:t>
            </w:r>
            <w:proofErr w:type="spellStart"/>
            <w:r w:rsidRPr="001765D1">
              <w:rPr>
                <w:rFonts w:ascii="David" w:eastAsia="Times New Roman" w:hAnsi="David" w:cs="David" w:hint="cs"/>
                <w:color w:val="000000"/>
                <w:sz w:val="20"/>
                <w:szCs w:val="20"/>
                <w:rtl/>
              </w:rPr>
              <w:t>צוקימוטו</w:t>
            </w:r>
            <w:proofErr w:type="spellEnd"/>
            <w:r w:rsidRPr="001765D1">
              <w:rPr>
                <w:rFonts w:ascii="David" w:eastAsia="Times New Roman" w:hAnsi="David" w:cs="David" w:hint="cs"/>
                <w:color w:val="000000"/>
                <w:sz w:val="20"/>
                <w:szCs w:val="20"/>
                <w:rtl/>
              </w:rPr>
              <w:t xml:space="preserve">. לדיון נוסף, ראו מאמרי </w:t>
            </w:r>
            <w:r w:rsidRPr="001765D1">
              <w:rPr>
                <w:rFonts w:ascii="David" w:eastAsia="Times New Roman" w:hAnsi="David" w:cs="David"/>
                <w:color w:val="000000"/>
                <w:sz w:val="20"/>
                <w:szCs w:val="20"/>
              </w:rPr>
              <w:t>“Behind the Scenes,” 6–8.</w:t>
            </w:r>
          </w:p>
        </w:tc>
      </w:tr>
      <w:tr w:rsidR="00001006" w14:paraId="190B2DB6" w14:textId="77777777" w:rsidTr="004E1C22">
        <w:tc>
          <w:tcPr>
            <w:tcW w:w="4675" w:type="dxa"/>
          </w:tcPr>
          <w:p w14:paraId="678105FD" w14:textId="77777777" w:rsidR="00D653E3" w:rsidRPr="00D653E3" w:rsidRDefault="00D653E3" w:rsidP="00D653E3">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D653E3">
              <w:rPr>
                <w:rFonts w:ascii="Times New Roman" w:eastAsia="Times New Roman" w:hAnsi="Times New Roman" w:cs="Times New Roman"/>
                <w:color w:val="333333"/>
                <w:sz w:val="14"/>
                <w:szCs w:val="14"/>
                <w:lang w:eastAsia="zh-CN" w:bidi="ar-SA"/>
              </w:rPr>
              <w:t xml:space="preserve">Specifically, see the remarks of </w:t>
            </w:r>
            <w:proofErr w:type="spellStart"/>
            <w:r w:rsidRPr="00D653E3">
              <w:rPr>
                <w:rFonts w:ascii="Times New Roman" w:eastAsia="Times New Roman" w:hAnsi="Times New Roman" w:cs="Times New Roman"/>
                <w:color w:val="333333"/>
                <w:sz w:val="14"/>
                <w:szCs w:val="14"/>
                <w:lang w:eastAsia="zh-CN" w:bidi="ar-SA"/>
              </w:rPr>
              <w:t>Yehezkel</w:t>
            </w:r>
            <w:proofErr w:type="spellEnd"/>
            <w:r w:rsidRPr="00D653E3">
              <w:rPr>
                <w:rFonts w:ascii="Times New Roman" w:eastAsia="Times New Roman" w:hAnsi="Times New Roman" w:cs="Times New Roman"/>
                <w:color w:val="333333"/>
                <w:sz w:val="14"/>
                <w:szCs w:val="14"/>
                <w:lang w:eastAsia="zh-CN" w:bidi="ar-SA"/>
              </w:rPr>
              <w:t xml:space="preserve"> Kaufmann and Jacob Milgrom cited below.</w:t>
            </w:r>
          </w:p>
          <w:p w14:paraId="538D73DB"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2B2BEEE" w14:textId="77777777" w:rsidR="00A26488" w:rsidRPr="00A26488" w:rsidRDefault="00A26488" w:rsidP="00A26488">
            <w:pPr>
              <w:bidi/>
              <w:spacing w:after="187" w:line="360" w:lineRule="auto"/>
              <w:rPr>
                <w:rFonts w:ascii="David" w:eastAsia="Times New Roman" w:hAnsi="David" w:cs="David"/>
                <w:color w:val="000000"/>
                <w:sz w:val="20"/>
                <w:szCs w:val="20"/>
                <w:rtl/>
              </w:rPr>
            </w:pPr>
            <w:r w:rsidRPr="00A26488">
              <w:rPr>
                <w:rFonts w:ascii="David" w:eastAsia="Times New Roman" w:hAnsi="David" w:cs="David" w:hint="cs"/>
                <w:color w:val="000000"/>
                <w:sz w:val="20"/>
                <w:szCs w:val="20"/>
                <w:rtl/>
              </w:rPr>
              <w:t xml:space="preserve">10.באופן ספציפי, ראו הערותיהם של יחזקאל </w:t>
            </w:r>
            <w:proofErr w:type="spellStart"/>
            <w:r w:rsidRPr="00A26488">
              <w:rPr>
                <w:rFonts w:ascii="David" w:eastAsia="Times New Roman" w:hAnsi="David" w:cs="David" w:hint="cs"/>
                <w:color w:val="000000"/>
                <w:sz w:val="20"/>
                <w:szCs w:val="20"/>
                <w:rtl/>
              </w:rPr>
              <w:t>קויפמן</w:t>
            </w:r>
            <w:proofErr w:type="spellEnd"/>
            <w:r w:rsidRPr="00A26488">
              <w:rPr>
                <w:rFonts w:ascii="David" w:eastAsia="Times New Roman" w:hAnsi="David" w:cs="David" w:hint="cs"/>
                <w:color w:val="000000"/>
                <w:sz w:val="20"/>
                <w:szCs w:val="20"/>
                <w:rtl/>
              </w:rPr>
              <w:t xml:space="preserve"> ויעקב </w:t>
            </w:r>
            <w:proofErr w:type="spellStart"/>
            <w:r w:rsidRPr="00A26488">
              <w:rPr>
                <w:rFonts w:ascii="David" w:eastAsia="Times New Roman" w:hAnsi="David" w:cs="David" w:hint="cs"/>
                <w:color w:val="000000"/>
                <w:sz w:val="20"/>
                <w:szCs w:val="20"/>
                <w:rtl/>
              </w:rPr>
              <w:t>מילגרום</w:t>
            </w:r>
            <w:proofErr w:type="spellEnd"/>
            <w:r w:rsidRPr="00A26488">
              <w:rPr>
                <w:rFonts w:ascii="David" w:eastAsia="Times New Roman" w:hAnsi="David" w:cs="David" w:hint="cs"/>
                <w:color w:val="000000"/>
                <w:sz w:val="20"/>
                <w:szCs w:val="20"/>
                <w:rtl/>
              </w:rPr>
              <w:t xml:space="preserve"> המצוינים למטה.</w:t>
            </w:r>
          </w:p>
          <w:p w14:paraId="74A27FBB" w14:textId="77777777" w:rsidR="00001006" w:rsidRDefault="00001006" w:rsidP="004E1C22">
            <w:pPr>
              <w:bidi/>
              <w:spacing w:line="276" w:lineRule="auto"/>
              <w:rPr>
                <w:rFonts w:asciiTheme="minorBidi" w:hAnsiTheme="minorBidi"/>
                <w:rtl/>
              </w:rPr>
            </w:pPr>
          </w:p>
        </w:tc>
      </w:tr>
      <w:tr w:rsidR="00001006" w14:paraId="580EAFB3" w14:textId="77777777" w:rsidTr="004E1C22">
        <w:tc>
          <w:tcPr>
            <w:tcW w:w="4675" w:type="dxa"/>
          </w:tcPr>
          <w:p w14:paraId="17D9EE3D" w14:textId="77777777" w:rsidR="00D653E3" w:rsidRPr="00D653E3" w:rsidRDefault="00D653E3" w:rsidP="00D653E3">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D653E3">
              <w:rPr>
                <w:rFonts w:ascii="Times New Roman" w:eastAsia="Times New Roman" w:hAnsi="Times New Roman" w:cs="Times New Roman"/>
                <w:color w:val="333333"/>
                <w:sz w:val="14"/>
                <w:szCs w:val="14"/>
                <w:lang w:eastAsia="zh-CN" w:bidi="ar-SA"/>
              </w:rPr>
              <w:t xml:space="preserve">See J.D. Smoak, “May YHWH Bless You and Keep You from Evil: The Rhetorical Argument of </w:t>
            </w:r>
            <w:proofErr w:type="spellStart"/>
            <w:r w:rsidRPr="00D653E3">
              <w:rPr>
                <w:rFonts w:ascii="Times New Roman" w:eastAsia="Times New Roman" w:hAnsi="Times New Roman" w:cs="Times New Roman"/>
                <w:color w:val="333333"/>
                <w:sz w:val="14"/>
                <w:szCs w:val="14"/>
                <w:lang w:eastAsia="zh-CN" w:bidi="ar-SA"/>
              </w:rPr>
              <w:t>Ketef</w:t>
            </w:r>
            <w:proofErr w:type="spellEnd"/>
            <w:r w:rsidRPr="00D653E3">
              <w:rPr>
                <w:rFonts w:ascii="Times New Roman" w:eastAsia="Times New Roman" w:hAnsi="Times New Roman" w:cs="Times New Roman"/>
                <w:color w:val="333333"/>
                <w:sz w:val="14"/>
                <w:szCs w:val="14"/>
                <w:lang w:eastAsia="zh-CN" w:bidi="ar-SA"/>
              </w:rPr>
              <w:t xml:space="preserve"> Hinnom Amulet I and the Form of the Prayers for Deliverance in the Psalms,” </w:t>
            </w:r>
            <w:r w:rsidRPr="00D653E3">
              <w:rPr>
                <w:rFonts w:ascii="Times New Roman" w:eastAsia="Times New Roman" w:hAnsi="Times New Roman" w:cs="Times New Roman"/>
                <w:i/>
                <w:iCs/>
                <w:color w:val="333333"/>
                <w:sz w:val="14"/>
                <w:lang w:eastAsia="zh-CN" w:bidi="ar-SA"/>
              </w:rPr>
              <w:t>JANER </w:t>
            </w:r>
            <w:r w:rsidRPr="00D653E3">
              <w:rPr>
                <w:rFonts w:ascii="Times New Roman" w:eastAsia="Times New Roman" w:hAnsi="Times New Roman" w:cs="Times New Roman"/>
                <w:color w:val="333333"/>
                <w:sz w:val="14"/>
                <w:szCs w:val="14"/>
                <w:lang w:eastAsia="zh-CN" w:bidi="ar-SA"/>
              </w:rPr>
              <w:t>12 (2012), 202–36; idem, </w:t>
            </w:r>
            <w:r w:rsidRPr="00D653E3">
              <w:rPr>
                <w:rFonts w:ascii="Times New Roman" w:eastAsia="Times New Roman" w:hAnsi="Times New Roman" w:cs="Times New Roman"/>
                <w:i/>
                <w:iCs/>
                <w:color w:val="333333"/>
                <w:sz w:val="14"/>
                <w:lang w:eastAsia="zh-CN" w:bidi="ar-SA"/>
              </w:rPr>
              <w:t>The Priestly Blessing in Inscription and Scripture</w:t>
            </w:r>
            <w:r w:rsidRPr="00D653E3">
              <w:rPr>
                <w:rFonts w:ascii="Times New Roman" w:eastAsia="Times New Roman" w:hAnsi="Times New Roman" w:cs="Times New Roman" w:hint="cs"/>
                <w:i/>
                <w:iCs/>
                <w:color w:val="333333"/>
                <w:sz w:val="14"/>
                <w:rtl/>
                <w:lang w:eastAsia="zh-CN"/>
              </w:rPr>
              <w:t xml:space="preserve"> </w:t>
            </w:r>
            <w:r w:rsidRPr="00D653E3">
              <w:rPr>
                <w:rFonts w:ascii="Times New Roman" w:eastAsia="Times New Roman" w:hAnsi="Times New Roman" w:cs="Times New Roman"/>
                <w:color w:val="333333"/>
                <w:sz w:val="14"/>
                <w:szCs w:val="14"/>
                <w:lang w:eastAsia="zh-CN" w:bidi="ar-SA"/>
              </w:rPr>
              <w:t>(Oxford: Oxford University Press, 2016); B.B. Schmidt, “The Social Matrix of Early Judean Magic and Divination: From ‘Top Down’ or ‘Bottom Up,’” in B.J. Collins and P. Michalowski (eds.),</w:t>
            </w:r>
            <w:r w:rsidRPr="00D653E3">
              <w:rPr>
                <w:rFonts w:ascii="Times New Roman" w:eastAsia="Times New Roman" w:hAnsi="Times New Roman" w:cs="Times New Roman"/>
                <w:i/>
                <w:iCs/>
                <w:color w:val="333333"/>
                <w:sz w:val="14"/>
                <w:lang w:eastAsia="zh-CN" w:bidi="ar-SA"/>
              </w:rPr>
              <w:t> Beyond Hatti: A Tribute to Gary Beckman </w:t>
            </w:r>
            <w:r w:rsidRPr="00D653E3">
              <w:rPr>
                <w:rFonts w:ascii="Times New Roman" w:eastAsia="Times New Roman" w:hAnsi="Times New Roman" w:cs="Times New Roman"/>
                <w:color w:val="333333"/>
                <w:sz w:val="14"/>
                <w:szCs w:val="14"/>
                <w:lang w:eastAsia="zh-CN" w:bidi="ar-SA"/>
              </w:rPr>
              <w:t>(Atlanta: Lockwood Press, 2013), 279–94; E. Darby, </w:t>
            </w:r>
            <w:r w:rsidRPr="00D653E3">
              <w:rPr>
                <w:rFonts w:ascii="Times New Roman" w:eastAsia="Times New Roman" w:hAnsi="Times New Roman" w:cs="Times New Roman"/>
                <w:i/>
                <w:iCs/>
                <w:color w:val="333333"/>
                <w:sz w:val="14"/>
                <w:lang w:eastAsia="zh-CN" w:bidi="ar-SA"/>
              </w:rPr>
              <w:t xml:space="preserve">Interpreting Judean </w:t>
            </w:r>
            <w:r w:rsidRPr="00D653E3">
              <w:rPr>
                <w:rFonts w:ascii="Times New Roman" w:eastAsia="Times New Roman" w:hAnsi="Times New Roman" w:cs="Times New Roman"/>
                <w:i/>
                <w:iCs/>
                <w:color w:val="333333"/>
                <w:sz w:val="14"/>
                <w:lang w:eastAsia="zh-CN" w:bidi="ar-SA"/>
              </w:rPr>
              <w:lastRenderedPageBreak/>
              <w:t>Pillar Figurines: Gender and Empire in Judean Apotropaic Ritual </w:t>
            </w:r>
            <w:r w:rsidRPr="00D653E3">
              <w:rPr>
                <w:rFonts w:ascii="Times New Roman" w:eastAsia="Times New Roman" w:hAnsi="Times New Roman" w:cs="Times New Roman"/>
                <w:color w:val="333333"/>
                <w:sz w:val="14"/>
                <w:szCs w:val="14"/>
                <w:lang w:eastAsia="zh-CN" w:bidi="ar-SA"/>
              </w:rPr>
              <w:t xml:space="preserve">(FAT2; Tübingen: Mohr </w:t>
            </w:r>
            <w:proofErr w:type="spellStart"/>
            <w:r w:rsidRPr="00D653E3">
              <w:rPr>
                <w:rFonts w:ascii="Times New Roman" w:eastAsia="Times New Roman" w:hAnsi="Times New Roman" w:cs="Times New Roman"/>
                <w:color w:val="333333"/>
                <w:sz w:val="14"/>
                <w:szCs w:val="14"/>
                <w:lang w:eastAsia="zh-CN" w:bidi="ar-SA"/>
              </w:rPr>
              <w:t>Siebeck</w:t>
            </w:r>
            <w:proofErr w:type="spellEnd"/>
            <w:r w:rsidRPr="00D653E3">
              <w:rPr>
                <w:rFonts w:ascii="Times New Roman" w:eastAsia="Times New Roman" w:hAnsi="Times New Roman" w:cs="Times New Roman"/>
                <w:color w:val="333333"/>
                <w:sz w:val="14"/>
                <w:szCs w:val="14"/>
                <w:lang w:eastAsia="zh-CN" w:bidi="ar-SA"/>
              </w:rPr>
              <w:t>, 2014) .</w:t>
            </w:r>
          </w:p>
          <w:p w14:paraId="60907DA7"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0BCEC896" w14:textId="4732F418" w:rsidR="00A26488" w:rsidRPr="00A26488" w:rsidRDefault="00A26488" w:rsidP="00A26488">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lastRenderedPageBreak/>
              <w:t>11</w:t>
            </w:r>
            <w:r w:rsidRPr="00A26488">
              <w:rPr>
                <w:rFonts w:ascii="David" w:eastAsia="Times New Roman" w:hAnsi="David" w:cs="David" w:hint="cs"/>
                <w:color w:val="000000"/>
                <w:sz w:val="20"/>
                <w:szCs w:val="20"/>
                <w:rtl/>
              </w:rPr>
              <w:t>.ראו:</w:t>
            </w:r>
          </w:p>
          <w:p w14:paraId="16F1EC13" w14:textId="77777777" w:rsidR="00A26488" w:rsidRPr="00A26488" w:rsidRDefault="00A26488" w:rsidP="00A26488">
            <w:pPr>
              <w:shd w:val="clear" w:color="auto" w:fill="FFFFFF"/>
              <w:spacing w:before="100" w:beforeAutospacing="1" w:line="480" w:lineRule="auto"/>
              <w:ind w:left="720"/>
              <w:rPr>
                <w:rFonts w:ascii="David" w:eastAsia="Times New Roman" w:hAnsi="David" w:cs="David"/>
                <w:color w:val="333333"/>
                <w:sz w:val="20"/>
                <w:szCs w:val="20"/>
                <w:lang w:eastAsia="zh-CN" w:bidi="ar-SA"/>
              </w:rPr>
            </w:pPr>
            <w:r w:rsidRPr="00A26488">
              <w:rPr>
                <w:rFonts w:ascii="David" w:eastAsia="Times New Roman" w:hAnsi="David" w:cs="David"/>
                <w:color w:val="333333"/>
                <w:sz w:val="20"/>
                <w:szCs w:val="20"/>
                <w:lang w:eastAsia="zh-CN" w:bidi="ar-SA"/>
              </w:rPr>
              <w:t xml:space="preserve">J.D. Smoak, “May YHWH Bless You and Keep You from Evil: The Rhetorical Argument of </w:t>
            </w:r>
            <w:proofErr w:type="spellStart"/>
            <w:r w:rsidRPr="00A26488">
              <w:rPr>
                <w:rFonts w:ascii="David" w:eastAsia="Times New Roman" w:hAnsi="David" w:cs="David"/>
                <w:color w:val="333333"/>
                <w:sz w:val="20"/>
                <w:szCs w:val="20"/>
                <w:lang w:eastAsia="zh-CN" w:bidi="ar-SA"/>
              </w:rPr>
              <w:t>Ketef</w:t>
            </w:r>
            <w:proofErr w:type="spellEnd"/>
            <w:r w:rsidRPr="00A26488">
              <w:rPr>
                <w:rFonts w:ascii="David" w:eastAsia="Times New Roman" w:hAnsi="David" w:cs="David"/>
                <w:color w:val="333333"/>
                <w:sz w:val="20"/>
                <w:szCs w:val="20"/>
                <w:lang w:eastAsia="zh-CN" w:bidi="ar-SA"/>
              </w:rPr>
              <w:t xml:space="preserve"> Hinnom Amulet I and the Form of the Prayers for Deliverance in the Psalms,” </w:t>
            </w:r>
            <w:r w:rsidRPr="00A26488">
              <w:rPr>
                <w:rFonts w:ascii="David" w:eastAsia="Times New Roman" w:hAnsi="David" w:cs="David"/>
                <w:i/>
                <w:iCs/>
                <w:color w:val="333333"/>
                <w:sz w:val="20"/>
                <w:szCs w:val="20"/>
                <w:lang w:eastAsia="zh-CN" w:bidi="ar-SA"/>
              </w:rPr>
              <w:t>JANER </w:t>
            </w:r>
            <w:r w:rsidRPr="00A26488">
              <w:rPr>
                <w:rFonts w:ascii="David" w:eastAsia="Times New Roman" w:hAnsi="David" w:cs="David"/>
                <w:color w:val="333333"/>
                <w:sz w:val="20"/>
                <w:szCs w:val="20"/>
                <w:lang w:eastAsia="zh-CN" w:bidi="ar-SA"/>
              </w:rPr>
              <w:t>12 (2012), 202–36; idem, </w:t>
            </w:r>
            <w:r w:rsidRPr="00A26488">
              <w:rPr>
                <w:rFonts w:ascii="David" w:eastAsia="Times New Roman" w:hAnsi="David" w:cs="David"/>
                <w:i/>
                <w:iCs/>
                <w:color w:val="333333"/>
                <w:sz w:val="20"/>
                <w:szCs w:val="20"/>
                <w:lang w:eastAsia="zh-CN" w:bidi="ar-SA"/>
              </w:rPr>
              <w:t>The Priestly Blessing in Inscription and Scripture</w:t>
            </w:r>
            <w:r w:rsidRPr="00A26488">
              <w:rPr>
                <w:rFonts w:ascii="David" w:eastAsia="Times New Roman" w:hAnsi="David" w:cs="David"/>
                <w:i/>
                <w:iCs/>
                <w:color w:val="333333"/>
                <w:sz w:val="20"/>
                <w:szCs w:val="20"/>
                <w:rtl/>
                <w:lang w:eastAsia="zh-CN"/>
              </w:rPr>
              <w:t xml:space="preserve"> </w:t>
            </w:r>
            <w:r w:rsidRPr="00A26488">
              <w:rPr>
                <w:rFonts w:ascii="David" w:eastAsia="Times New Roman" w:hAnsi="David" w:cs="David"/>
                <w:color w:val="333333"/>
                <w:sz w:val="20"/>
                <w:szCs w:val="20"/>
                <w:lang w:eastAsia="zh-CN" w:bidi="ar-SA"/>
              </w:rPr>
              <w:t xml:space="preserve">(Oxford: Oxford University Press, 2016); B.B. </w:t>
            </w:r>
            <w:r w:rsidRPr="00A26488">
              <w:rPr>
                <w:rFonts w:ascii="David" w:eastAsia="Times New Roman" w:hAnsi="David" w:cs="David"/>
                <w:color w:val="333333"/>
                <w:sz w:val="20"/>
                <w:szCs w:val="20"/>
                <w:lang w:eastAsia="zh-CN" w:bidi="ar-SA"/>
              </w:rPr>
              <w:lastRenderedPageBreak/>
              <w:t>Schmidt, “The Social Matrix of Early Judean Magic and Divination: From ‘Top Down’ or ‘Bottom Up,’” in B.J. Collins and P. Michalowski (eds.),</w:t>
            </w:r>
            <w:r w:rsidRPr="00A26488">
              <w:rPr>
                <w:rFonts w:ascii="David" w:eastAsia="Times New Roman" w:hAnsi="David" w:cs="David"/>
                <w:i/>
                <w:iCs/>
                <w:color w:val="333333"/>
                <w:sz w:val="20"/>
                <w:szCs w:val="20"/>
                <w:lang w:eastAsia="zh-CN" w:bidi="ar-SA"/>
              </w:rPr>
              <w:t> Beyond Hatti: A Tribute to Gary Beckman </w:t>
            </w:r>
            <w:r w:rsidRPr="00A26488">
              <w:rPr>
                <w:rFonts w:ascii="David" w:eastAsia="Times New Roman" w:hAnsi="David" w:cs="David"/>
                <w:color w:val="333333"/>
                <w:sz w:val="20"/>
                <w:szCs w:val="20"/>
                <w:lang w:eastAsia="zh-CN" w:bidi="ar-SA"/>
              </w:rPr>
              <w:t>(Atlanta: Lockwood Press, 2013), 279–94; E. Darby, </w:t>
            </w:r>
            <w:r w:rsidRPr="00A26488">
              <w:rPr>
                <w:rFonts w:ascii="David" w:eastAsia="Times New Roman" w:hAnsi="David" w:cs="David"/>
                <w:i/>
                <w:iCs/>
                <w:color w:val="333333"/>
                <w:sz w:val="20"/>
                <w:szCs w:val="20"/>
                <w:lang w:eastAsia="zh-CN" w:bidi="ar-SA"/>
              </w:rPr>
              <w:t>Interpreting Judean Pillar Figurines: Gender and Empire in Judean Apotropaic Ritual </w:t>
            </w:r>
            <w:r w:rsidRPr="00A26488">
              <w:rPr>
                <w:rFonts w:ascii="David" w:eastAsia="Times New Roman" w:hAnsi="David" w:cs="David"/>
                <w:color w:val="333333"/>
                <w:sz w:val="20"/>
                <w:szCs w:val="20"/>
                <w:lang w:eastAsia="zh-CN" w:bidi="ar-SA"/>
              </w:rPr>
              <w:t xml:space="preserve">(FAT2; Tübingen: Mohr </w:t>
            </w:r>
            <w:proofErr w:type="spellStart"/>
            <w:r w:rsidRPr="00A26488">
              <w:rPr>
                <w:rFonts w:ascii="David" w:eastAsia="Times New Roman" w:hAnsi="David" w:cs="David"/>
                <w:color w:val="333333"/>
                <w:sz w:val="20"/>
                <w:szCs w:val="20"/>
                <w:lang w:eastAsia="zh-CN" w:bidi="ar-SA"/>
              </w:rPr>
              <w:t>Siebeck</w:t>
            </w:r>
            <w:proofErr w:type="spellEnd"/>
            <w:r w:rsidRPr="00A26488">
              <w:rPr>
                <w:rFonts w:ascii="David" w:eastAsia="Times New Roman" w:hAnsi="David" w:cs="David"/>
                <w:color w:val="333333"/>
                <w:sz w:val="20"/>
                <w:szCs w:val="20"/>
                <w:lang w:eastAsia="zh-CN" w:bidi="ar-SA"/>
              </w:rPr>
              <w:t>, 2014) .</w:t>
            </w:r>
          </w:p>
          <w:p w14:paraId="22314AC8" w14:textId="77777777" w:rsidR="00001006" w:rsidRPr="00A26488" w:rsidRDefault="00001006" w:rsidP="004E1C22">
            <w:pPr>
              <w:bidi/>
              <w:spacing w:line="276" w:lineRule="auto"/>
              <w:rPr>
                <w:rFonts w:asciiTheme="minorBidi" w:hAnsiTheme="minorBidi"/>
                <w:rtl/>
              </w:rPr>
            </w:pPr>
          </w:p>
        </w:tc>
      </w:tr>
      <w:tr w:rsidR="00001006" w14:paraId="034798A5" w14:textId="77777777" w:rsidTr="004E1C22">
        <w:tc>
          <w:tcPr>
            <w:tcW w:w="4675" w:type="dxa"/>
          </w:tcPr>
          <w:p w14:paraId="35182E49" w14:textId="77777777" w:rsidR="00D653E3" w:rsidRPr="00D653E3" w:rsidRDefault="00D653E3" w:rsidP="00D653E3">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D653E3">
              <w:rPr>
                <w:rFonts w:ascii="Times New Roman" w:eastAsia="Times New Roman" w:hAnsi="Times New Roman" w:cs="Times New Roman"/>
                <w:color w:val="333333"/>
                <w:sz w:val="14"/>
                <w:szCs w:val="14"/>
                <w:lang w:eastAsia="zh-CN" w:bidi="ar-SA"/>
              </w:rPr>
              <w:lastRenderedPageBreak/>
              <w:t>“Contagion and Cognition: Bodily Experience and the Conceptualization of Pollution (</w:t>
            </w:r>
            <w:proofErr w:type="spellStart"/>
            <w:r w:rsidRPr="00D653E3">
              <w:rPr>
                <w:rFonts w:ascii="Times New Roman" w:eastAsia="Times New Roman" w:hAnsi="Times New Roman" w:cs="Times New Roman"/>
                <w:i/>
                <w:iCs/>
                <w:color w:val="333333"/>
                <w:sz w:val="14"/>
                <w:lang w:eastAsia="zh-CN" w:bidi="ar-SA"/>
              </w:rPr>
              <w:t>ṭum’ah</w:t>
            </w:r>
            <w:proofErr w:type="spellEnd"/>
            <w:r w:rsidRPr="00D653E3">
              <w:rPr>
                <w:rFonts w:ascii="Times New Roman" w:eastAsia="Times New Roman" w:hAnsi="Times New Roman" w:cs="Times New Roman"/>
                <w:color w:val="333333"/>
                <w:sz w:val="14"/>
                <w:szCs w:val="14"/>
                <w:lang w:eastAsia="zh-CN" w:bidi="ar-SA"/>
              </w:rPr>
              <w:t>) in the Hebrew Bible,” </w:t>
            </w:r>
            <w:r w:rsidRPr="00D653E3">
              <w:rPr>
                <w:rFonts w:ascii="Times New Roman" w:eastAsia="Times New Roman" w:hAnsi="Times New Roman" w:cs="Times New Roman"/>
                <w:i/>
                <w:iCs/>
                <w:color w:val="333333"/>
                <w:sz w:val="14"/>
                <w:lang w:eastAsia="zh-CN" w:bidi="ar-SA"/>
              </w:rPr>
              <w:t>JNES </w:t>
            </w:r>
            <w:r w:rsidRPr="00D653E3">
              <w:rPr>
                <w:rFonts w:ascii="Times New Roman" w:eastAsia="Times New Roman" w:hAnsi="Times New Roman" w:cs="Times New Roman"/>
                <w:color w:val="333333"/>
                <w:sz w:val="14"/>
                <w:szCs w:val="14"/>
                <w:lang w:eastAsia="zh-CN" w:bidi="ar-SA"/>
              </w:rPr>
              <w:t>72 (2013), 159–64.</w:t>
            </w:r>
          </w:p>
          <w:p w14:paraId="7112ED1A"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552BE71" w14:textId="79AAD216" w:rsidR="00A26488" w:rsidRPr="00A26488" w:rsidRDefault="00A26488" w:rsidP="00A26488">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12</w:t>
            </w:r>
            <w:r w:rsidR="00F51E29">
              <w:rPr>
                <w:rFonts w:ascii="David" w:eastAsia="Times New Roman" w:hAnsi="David" w:cs="David" w:hint="cs"/>
                <w:color w:val="000000"/>
                <w:sz w:val="20"/>
                <w:szCs w:val="20"/>
                <w:rtl/>
              </w:rPr>
              <w:t>.</w:t>
            </w:r>
          </w:p>
          <w:p w14:paraId="2260A622" w14:textId="77777777" w:rsidR="00A26488" w:rsidRPr="00A26488" w:rsidRDefault="00A26488" w:rsidP="00F51E29">
            <w:pPr>
              <w:shd w:val="clear" w:color="auto" w:fill="FFFFFF"/>
              <w:spacing w:before="100" w:beforeAutospacing="1" w:line="480" w:lineRule="auto"/>
              <w:ind w:left="360"/>
              <w:rPr>
                <w:rFonts w:ascii="Times New Roman" w:eastAsia="Times New Roman" w:hAnsi="Times New Roman" w:cs="Times New Roman"/>
                <w:color w:val="333333"/>
                <w:sz w:val="14"/>
                <w:szCs w:val="14"/>
                <w:lang w:eastAsia="zh-CN" w:bidi="ar-SA"/>
              </w:rPr>
            </w:pPr>
            <w:r w:rsidRPr="00A26488">
              <w:rPr>
                <w:rFonts w:ascii="David" w:eastAsia="Times New Roman" w:hAnsi="David" w:cs="David"/>
                <w:color w:val="333333"/>
                <w:sz w:val="20"/>
                <w:szCs w:val="20"/>
                <w:lang w:eastAsia="zh-CN" w:bidi="ar-SA"/>
              </w:rPr>
              <w:t>“Contagion and Cognition: Bodily Experience and the Conceptualization of Pollution (</w:t>
            </w:r>
            <w:proofErr w:type="spellStart"/>
            <w:r w:rsidRPr="00A26488">
              <w:rPr>
                <w:rFonts w:ascii="Calibri" w:eastAsia="Times New Roman" w:hAnsi="Calibri" w:cs="Calibri"/>
                <w:i/>
                <w:iCs/>
                <w:color w:val="333333"/>
                <w:sz w:val="20"/>
                <w:szCs w:val="20"/>
                <w:lang w:eastAsia="zh-CN" w:bidi="ar-SA"/>
              </w:rPr>
              <w:t>ṭ</w:t>
            </w:r>
            <w:r w:rsidRPr="00A26488">
              <w:rPr>
                <w:rFonts w:ascii="David" w:eastAsia="Times New Roman" w:hAnsi="David" w:cs="David"/>
                <w:i/>
                <w:iCs/>
                <w:color w:val="333333"/>
                <w:sz w:val="20"/>
                <w:szCs w:val="20"/>
                <w:lang w:eastAsia="zh-CN" w:bidi="ar-SA"/>
              </w:rPr>
              <w:t>um’ah</w:t>
            </w:r>
            <w:proofErr w:type="spellEnd"/>
            <w:r w:rsidRPr="00A26488">
              <w:rPr>
                <w:rFonts w:ascii="David" w:eastAsia="Times New Roman" w:hAnsi="David" w:cs="David"/>
                <w:color w:val="333333"/>
                <w:sz w:val="20"/>
                <w:szCs w:val="20"/>
                <w:lang w:eastAsia="zh-CN" w:bidi="ar-SA"/>
              </w:rPr>
              <w:t>) in the Hebrew Bible,” </w:t>
            </w:r>
            <w:r w:rsidRPr="00A26488">
              <w:rPr>
                <w:rFonts w:ascii="David" w:eastAsia="Times New Roman" w:hAnsi="David" w:cs="David"/>
                <w:i/>
                <w:iCs/>
                <w:color w:val="333333"/>
                <w:sz w:val="20"/>
                <w:szCs w:val="20"/>
                <w:lang w:eastAsia="zh-CN" w:bidi="ar-SA"/>
              </w:rPr>
              <w:t>JNES </w:t>
            </w:r>
            <w:r w:rsidRPr="00A26488">
              <w:rPr>
                <w:rFonts w:ascii="David" w:eastAsia="Times New Roman" w:hAnsi="David" w:cs="David"/>
                <w:color w:val="333333"/>
                <w:sz w:val="20"/>
                <w:szCs w:val="20"/>
                <w:lang w:eastAsia="zh-CN" w:bidi="ar-SA"/>
              </w:rPr>
              <w:t>72 (2013),</w:t>
            </w:r>
            <w:r w:rsidRPr="00A26488">
              <w:rPr>
                <w:rFonts w:ascii="Times New Roman" w:eastAsia="Times New Roman" w:hAnsi="Times New Roman" w:cs="Times New Roman"/>
                <w:color w:val="333333"/>
                <w:sz w:val="14"/>
                <w:szCs w:val="14"/>
                <w:lang w:eastAsia="zh-CN" w:bidi="ar-SA"/>
              </w:rPr>
              <w:t xml:space="preserve"> 159–64.</w:t>
            </w:r>
          </w:p>
          <w:p w14:paraId="7E1EEBC3" w14:textId="77777777" w:rsidR="00001006" w:rsidRPr="00A26488" w:rsidRDefault="00001006" w:rsidP="004E1C22">
            <w:pPr>
              <w:bidi/>
              <w:spacing w:line="276" w:lineRule="auto"/>
              <w:rPr>
                <w:rFonts w:asciiTheme="minorBidi" w:hAnsiTheme="minorBidi"/>
                <w:rtl/>
              </w:rPr>
            </w:pPr>
          </w:p>
        </w:tc>
      </w:tr>
      <w:tr w:rsidR="00001006" w14:paraId="13502023" w14:textId="77777777" w:rsidTr="004E1C22">
        <w:tc>
          <w:tcPr>
            <w:tcW w:w="4675" w:type="dxa"/>
          </w:tcPr>
          <w:p w14:paraId="0371D73A" w14:textId="77777777" w:rsidR="00D653E3" w:rsidRPr="00D653E3" w:rsidRDefault="00D653E3" w:rsidP="00D653E3">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D653E3">
              <w:rPr>
                <w:rFonts w:ascii="Times New Roman" w:eastAsia="Times New Roman" w:hAnsi="Times New Roman" w:cs="Times New Roman"/>
                <w:color w:val="333333"/>
                <w:sz w:val="14"/>
                <w:szCs w:val="14"/>
                <w:lang w:eastAsia="zh-CN" w:bidi="ar-SA"/>
              </w:rPr>
              <w:t>The medical anthropologist Edward Green came to a similar conclusion regarding African concepts of impurity: “Pollution…is not so mystical when examined closely. In the anthropological sense, pollution denotes a belief that people will become ill as a result of contact with, or contamination by, a substance or essence considered dangerous because it is unclean or impure.” (</w:t>
            </w:r>
            <w:r w:rsidRPr="00D653E3">
              <w:rPr>
                <w:rFonts w:ascii="Times New Roman" w:eastAsia="Times New Roman" w:hAnsi="Times New Roman" w:cs="Times New Roman"/>
                <w:i/>
                <w:iCs/>
                <w:color w:val="333333"/>
                <w:sz w:val="14"/>
                <w:lang w:eastAsia="zh-CN" w:bidi="ar-SA"/>
              </w:rPr>
              <w:t>Indigenous Theories of Infectious Disease </w:t>
            </w:r>
            <w:r w:rsidRPr="00D653E3">
              <w:rPr>
                <w:rFonts w:ascii="Times New Roman" w:eastAsia="Times New Roman" w:hAnsi="Times New Roman" w:cs="Times New Roman"/>
                <w:color w:val="333333"/>
                <w:sz w:val="14"/>
                <w:szCs w:val="14"/>
                <w:lang w:eastAsia="zh-CN" w:bidi="ar-SA"/>
              </w:rPr>
              <w:t xml:space="preserve">[Walnut Creek, CA: </w:t>
            </w:r>
            <w:proofErr w:type="spellStart"/>
            <w:r w:rsidRPr="00D653E3">
              <w:rPr>
                <w:rFonts w:ascii="Times New Roman" w:eastAsia="Times New Roman" w:hAnsi="Times New Roman" w:cs="Times New Roman"/>
                <w:color w:val="333333"/>
                <w:sz w:val="14"/>
                <w:szCs w:val="14"/>
                <w:lang w:eastAsia="zh-CN" w:bidi="ar-SA"/>
              </w:rPr>
              <w:t>AltaMira</w:t>
            </w:r>
            <w:proofErr w:type="spellEnd"/>
            <w:r w:rsidRPr="00D653E3">
              <w:rPr>
                <w:rFonts w:ascii="Times New Roman" w:eastAsia="Times New Roman" w:hAnsi="Times New Roman" w:cs="Times New Roman"/>
                <w:color w:val="333333"/>
                <w:sz w:val="14"/>
                <w:szCs w:val="14"/>
                <w:lang w:eastAsia="zh-CN" w:bidi="ar-SA"/>
              </w:rPr>
              <w:t>, 1999] 13). Contrasted with beliefs in witchcraft, he notes that the notion of pollution supplies a preferred explanation for “illnesses whose cause-and-effect relationship between exposure or contact and illness is most apparent (e.g., syphilis, measles, leprosy, and cholera)” (248–49). Green’s mention of leprosy and genital diseases is striking, considering the sources of severe pollution described in Leviticus 13–14 and 15, respectively.</w:t>
            </w:r>
          </w:p>
          <w:p w14:paraId="3315CE68"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57CB1D4D" w14:textId="77777777" w:rsidR="00346845" w:rsidRPr="00346845" w:rsidRDefault="00346845" w:rsidP="00346845">
            <w:pPr>
              <w:bidi/>
              <w:spacing w:after="187" w:line="360" w:lineRule="auto"/>
              <w:rPr>
                <w:rFonts w:ascii="David" w:eastAsia="Times New Roman" w:hAnsi="David" w:cs="David"/>
                <w:color w:val="000000"/>
                <w:sz w:val="20"/>
                <w:szCs w:val="20"/>
                <w:rtl/>
              </w:rPr>
            </w:pPr>
            <w:r w:rsidRPr="00346845">
              <w:rPr>
                <w:rFonts w:ascii="David" w:eastAsia="Times New Roman" w:hAnsi="David" w:cs="David" w:hint="cs"/>
                <w:color w:val="000000"/>
                <w:sz w:val="20"/>
                <w:szCs w:val="20"/>
                <w:rtl/>
              </w:rPr>
              <w:t>13.האנתרופולוג הרפואי אדוארד גרין הגיע למסקנה דומה לגבי תפיסות אפריקניות של טומאה:</w:t>
            </w:r>
          </w:p>
          <w:p w14:paraId="262FF056" w14:textId="77777777" w:rsidR="00346845" w:rsidRPr="00346845" w:rsidRDefault="00346845" w:rsidP="00346845">
            <w:pPr>
              <w:bidi/>
              <w:spacing w:after="187" w:line="360" w:lineRule="auto"/>
              <w:rPr>
                <w:rFonts w:ascii="David" w:eastAsia="Times New Roman" w:hAnsi="David" w:cs="David"/>
                <w:color w:val="000000"/>
                <w:sz w:val="20"/>
                <w:szCs w:val="20"/>
                <w:rtl/>
              </w:rPr>
            </w:pPr>
            <w:r w:rsidRPr="00346845">
              <w:rPr>
                <w:rFonts w:ascii="David" w:eastAsia="Times New Roman" w:hAnsi="David" w:cs="David"/>
                <w:color w:val="333333"/>
                <w:sz w:val="20"/>
                <w:szCs w:val="20"/>
                <w:lang w:bidi="ar-SA"/>
              </w:rPr>
              <w:t>“Pollution…is not so mystical when examined closely. In the anthropological sense, pollution denotes a belief that people will become ill as a result of contact with, or contamination by, a substance or essence considered dangerous because it is unclean or impure.” (</w:t>
            </w:r>
            <w:r w:rsidRPr="00346845">
              <w:rPr>
                <w:rFonts w:ascii="David" w:eastAsia="Times New Roman" w:hAnsi="David" w:cs="David"/>
                <w:i/>
                <w:iCs/>
                <w:color w:val="333333"/>
                <w:sz w:val="20"/>
                <w:szCs w:val="20"/>
                <w:lang w:bidi="ar-SA"/>
              </w:rPr>
              <w:t>Indigenous Theories of Infectious Disease </w:t>
            </w:r>
            <w:r w:rsidRPr="00346845">
              <w:rPr>
                <w:rFonts w:ascii="David" w:eastAsia="Times New Roman" w:hAnsi="David" w:cs="David"/>
                <w:color w:val="333333"/>
                <w:sz w:val="20"/>
                <w:szCs w:val="20"/>
                <w:lang w:bidi="ar-SA"/>
              </w:rPr>
              <w:t xml:space="preserve">[Walnut Creek, CA: </w:t>
            </w:r>
            <w:proofErr w:type="spellStart"/>
            <w:r w:rsidRPr="00346845">
              <w:rPr>
                <w:rFonts w:ascii="David" w:eastAsia="Times New Roman" w:hAnsi="David" w:cs="David"/>
                <w:color w:val="333333"/>
                <w:sz w:val="20"/>
                <w:szCs w:val="20"/>
                <w:lang w:bidi="ar-SA"/>
              </w:rPr>
              <w:t>AltaMira</w:t>
            </w:r>
            <w:proofErr w:type="spellEnd"/>
            <w:r w:rsidRPr="00346845">
              <w:rPr>
                <w:rFonts w:ascii="David" w:eastAsia="Times New Roman" w:hAnsi="David" w:cs="David"/>
                <w:color w:val="333333"/>
                <w:sz w:val="20"/>
                <w:szCs w:val="20"/>
                <w:lang w:bidi="ar-SA"/>
              </w:rPr>
              <w:t>, 1999] 13)</w:t>
            </w:r>
            <w:r w:rsidRPr="00346845">
              <w:rPr>
                <w:rFonts w:ascii="David" w:eastAsia="Times New Roman" w:hAnsi="David" w:cs="David"/>
                <w:color w:val="000000"/>
                <w:sz w:val="20"/>
                <w:szCs w:val="20"/>
                <w:rtl/>
              </w:rPr>
              <w:t xml:space="preserve">. בניגוד לאמונה בכישוף, הוא מציין שרעיון הטומאה מספק הסבר מועדף עבור </w:t>
            </w:r>
            <w:r w:rsidRPr="00346845">
              <w:rPr>
                <w:rFonts w:ascii="David" w:eastAsia="Times New Roman" w:hAnsi="David" w:cs="David"/>
                <w:color w:val="333333"/>
                <w:sz w:val="20"/>
                <w:szCs w:val="20"/>
                <w:lang w:bidi="ar-SA"/>
              </w:rPr>
              <w:t>“illnesses whose cause-and-effect relationship between exposure or contact and illness is most apparent (e.g., syphilis, measles, leprosy, and cholera)” (248–49)</w:t>
            </w:r>
            <w:proofErr w:type="gramStart"/>
            <w:r w:rsidRPr="00346845">
              <w:rPr>
                <w:rFonts w:ascii="David" w:eastAsia="Times New Roman" w:hAnsi="David" w:cs="David"/>
                <w:color w:val="333333"/>
                <w:sz w:val="20"/>
                <w:szCs w:val="20"/>
                <w:lang w:bidi="ar-SA"/>
              </w:rPr>
              <w:t>. </w:t>
            </w:r>
            <w:r w:rsidRPr="00346845">
              <w:rPr>
                <w:rFonts w:ascii="David" w:eastAsia="Times New Roman" w:hAnsi="David" w:cs="David"/>
                <w:color w:val="000000"/>
                <w:sz w:val="20"/>
                <w:szCs w:val="20"/>
                <w:rtl/>
              </w:rPr>
              <w:t>.</w:t>
            </w:r>
            <w:proofErr w:type="gramEnd"/>
            <w:r w:rsidRPr="00346845">
              <w:rPr>
                <w:rFonts w:ascii="David" w:eastAsia="Times New Roman" w:hAnsi="David" w:cs="David"/>
                <w:color w:val="000000"/>
                <w:sz w:val="20"/>
                <w:szCs w:val="20"/>
                <w:rtl/>
              </w:rPr>
              <w:t xml:space="preserve"> אזכור צרעת ומחלות מין מצד גרין הוא מרתק בהתחשב במקורות של טומאה חמורה המתוארים בספר ויקרא 13–14 ו-15 בהתאמה.</w:t>
            </w:r>
          </w:p>
          <w:p w14:paraId="669C4000" w14:textId="77777777" w:rsidR="00001006" w:rsidRDefault="00001006" w:rsidP="004E1C22">
            <w:pPr>
              <w:bidi/>
              <w:spacing w:line="276" w:lineRule="auto"/>
              <w:rPr>
                <w:rFonts w:asciiTheme="minorBidi" w:hAnsiTheme="minorBidi"/>
                <w:rtl/>
              </w:rPr>
            </w:pPr>
          </w:p>
        </w:tc>
      </w:tr>
      <w:tr w:rsidR="00001006" w14:paraId="1CC747A4" w14:textId="77777777" w:rsidTr="004E1C22">
        <w:tc>
          <w:tcPr>
            <w:tcW w:w="4675" w:type="dxa"/>
          </w:tcPr>
          <w:p w14:paraId="65B51BFE" w14:textId="77777777" w:rsidR="00D653E3" w:rsidRPr="00D653E3" w:rsidRDefault="00D653E3" w:rsidP="00D653E3">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D653E3">
              <w:rPr>
                <w:rFonts w:ascii="Times New Roman" w:eastAsia="Times New Roman" w:hAnsi="Times New Roman" w:cs="Times New Roman"/>
                <w:color w:val="333333"/>
                <w:sz w:val="14"/>
                <w:szCs w:val="14"/>
                <w:lang w:eastAsia="zh-CN" w:bidi="ar-SA"/>
              </w:rPr>
              <w:t xml:space="preserve">This topic will </w:t>
            </w:r>
            <w:proofErr w:type="gramStart"/>
            <w:r w:rsidRPr="00D653E3">
              <w:rPr>
                <w:rFonts w:ascii="Times New Roman" w:eastAsia="Times New Roman" w:hAnsi="Times New Roman" w:cs="Times New Roman"/>
                <w:color w:val="333333"/>
                <w:sz w:val="14"/>
                <w:szCs w:val="14"/>
                <w:lang w:eastAsia="zh-CN" w:bidi="ar-SA"/>
              </w:rPr>
              <w:t>examined</w:t>
            </w:r>
            <w:proofErr w:type="gramEnd"/>
            <w:r w:rsidRPr="00D653E3">
              <w:rPr>
                <w:rFonts w:ascii="Times New Roman" w:eastAsia="Times New Roman" w:hAnsi="Times New Roman" w:cs="Times New Roman"/>
                <w:color w:val="333333"/>
                <w:sz w:val="14"/>
                <w:szCs w:val="14"/>
                <w:lang w:eastAsia="zh-CN" w:bidi="ar-SA"/>
              </w:rPr>
              <w:t xml:space="preserve"> in a forthcoming article. For now, see “Contagion and Cognition,” 161–2.</w:t>
            </w:r>
          </w:p>
          <w:p w14:paraId="27879E21"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5F5C63BC" w14:textId="77777777" w:rsidR="00346845" w:rsidRPr="00346845" w:rsidRDefault="00346845" w:rsidP="00346845">
            <w:pPr>
              <w:bidi/>
              <w:spacing w:after="187" w:line="360" w:lineRule="auto"/>
              <w:rPr>
                <w:rFonts w:ascii="David" w:eastAsia="Times New Roman" w:hAnsi="David" w:cs="David"/>
                <w:color w:val="000000"/>
                <w:sz w:val="20"/>
                <w:szCs w:val="20"/>
                <w:rtl/>
              </w:rPr>
            </w:pPr>
            <w:r w:rsidRPr="00346845">
              <w:rPr>
                <w:rFonts w:ascii="David" w:eastAsia="Times New Roman" w:hAnsi="David" w:cs="David"/>
                <w:color w:val="000000"/>
                <w:sz w:val="20"/>
                <w:szCs w:val="20"/>
                <w:rtl/>
              </w:rPr>
              <w:lastRenderedPageBreak/>
              <w:t xml:space="preserve">14.נושא זה ייבחן במאמר שיתפרסם בקרוב. לעת עתה, ראו </w:t>
            </w:r>
            <w:r w:rsidRPr="00346845">
              <w:rPr>
                <w:rFonts w:ascii="David" w:eastAsia="Times New Roman" w:hAnsi="David" w:cs="David"/>
                <w:color w:val="333333"/>
                <w:sz w:val="20"/>
                <w:szCs w:val="20"/>
                <w:lang w:bidi="ar-SA"/>
              </w:rPr>
              <w:t xml:space="preserve"> “Contagion and Cognition,” 161–2.</w:t>
            </w:r>
            <w:r w:rsidRPr="00346845">
              <w:rPr>
                <w:rFonts w:ascii="David" w:eastAsia="Times New Roman" w:hAnsi="David" w:cs="David"/>
                <w:color w:val="000000"/>
                <w:sz w:val="20"/>
                <w:szCs w:val="20"/>
                <w:rtl/>
              </w:rPr>
              <w:t>.</w:t>
            </w:r>
          </w:p>
          <w:p w14:paraId="18CA1D00" w14:textId="77777777" w:rsidR="00001006" w:rsidRDefault="00001006" w:rsidP="004E1C22">
            <w:pPr>
              <w:bidi/>
              <w:spacing w:line="276" w:lineRule="auto"/>
              <w:rPr>
                <w:rFonts w:asciiTheme="minorBidi" w:hAnsiTheme="minorBidi"/>
                <w:rtl/>
              </w:rPr>
            </w:pPr>
          </w:p>
        </w:tc>
      </w:tr>
      <w:tr w:rsidR="00001006" w14:paraId="0AA97B03" w14:textId="77777777" w:rsidTr="004E1C22">
        <w:tc>
          <w:tcPr>
            <w:tcW w:w="4675" w:type="dxa"/>
          </w:tcPr>
          <w:p w14:paraId="6A75B3D7"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94D49">
              <w:rPr>
                <w:rFonts w:ascii="Times New Roman" w:eastAsia="Times New Roman" w:hAnsi="Times New Roman" w:cs="Times New Roman"/>
                <w:color w:val="333333"/>
                <w:sz w:val="14"/>
                <w:szCs w:val="14"/>
                <w:lang w:eastAsia="zh-CN" w:bidi="ar-SA"/>
              </w:rPr>
              <w:t xml:space="preserve">The holder of a spindle, a symbol of the feminine role throughout the ancient Near East, suggests an effeminate man, probably including a homosexual orientation, For a detailed analysis of this expression and the curse in its entirety, see M. </w:t>
            </w:r>
            <w:proofErr w:type="spellStart"/>
            <w:r w:rsidRPr="00094D49">
              <w:rPr>
                <w:rFonts w:ascii="Times New Roman" w:eastAsia="Times New Roman" w:hAnsi="Times New Roman" w:cs="Times New Roman"/>
                <w:color w:val="333333"/>
                <w:sz w:val="14"/>
                <w:szCs w:val="14"/>
                <w:lang w:eastAsia="zh-CN" w:bidi="ar-SA"/>
              </w:rPr>
              <w:t>Malul</w:t>
            </w:r>
            <w:proofErr w:type="spellEnd"/>
            <w:r w:rsidRPr="00094D49">
              <w:rPr>
                <w:rFonts w:ascii="Times New Roman" w:eastAsia="Times New Roman" w:hAnsi="Times New Roman" w:cs="Times New Roman"/>
                <w:color w:val="333333"/>
                <w:sz w:val="14"/>
                <w:szCs w:val="14"/>
                <w:lang w:eastAsia="zh-CN" w:bidi="ar-SA"/>
              </w:rPr>
              <w:t>, “David’s Curse of Joab and the Social Significance of </w:t>
            </w:r>
            <w:proofErr w:type="spellStart"/>
            <w:r w:rsidRPr="00094D49">
              <w:rPr>
                <w:rFonts w:ascii="Times New Roman" w:eastAsia="Times New Roman" w:hAnsi="Times New Roman" w:cs="Times New Roman"/>
                <w:i/>
                <w:iCs/>
                <w:color w:val="333333"/>
                <w:sz w:val="14"/>
                <w:lang w:eastAsia="zh-CN" w:bidi="ar-SA"/>
              </w:rPr>
              <w:t>mḥzyq</w:t>
            </w:r>
            <w:proofErr w:type="spellEnd"/>
            <w:r w:rsidRPr="00094D49">
              <w:rPr>
                <w:rFonts w:ascii="Times New Roman" w:eastAsia="Times New Roman" w:hAnsi="Times New Roman" w:cs="Times New Roman"/>
                <w:i/>
                <w:iCs/>
                <w:color w:val="333333"/>
                <w:sz w:val="14"/>
                <w:lang w:eastAsia="zh-CN" w:bidi="ar-SA"/>
              </w:rPr>
              <w:t xml:space="preserve"> </w:t>
            </w:r>
            <w:proofErr w:type="spellStart"/>
            <w:r w:rsidRPr="00094D49">
              <w:rPr>
                <w:rFonts w:ascii="Times New Roman" w:eastAsia="Times New Roman" w:hAnsi="Times New Roman" w:cs="Times New Roman"/>
                <w:i/>
                <w:iCs/>
                <w:color w:val="333333"/>
                <w:sz w:val="14"/>
                <w:lang w:eastAsia="zh-CN" w:bidi="ar-SA"/>
              </w:rPr>
              <w:t>bplk</w:t>
            </w:r>
            <w:proofErr w:type="spellEnd"/>
            <w:proofErr w:type="gramStart"/>
            <w:r w:rsidRPr="00094D49">
              <w:rPr>
                <w:rFonts w:ascii="Times New Roman" w:eastAsia="Times New Roman" w:hAnsi="Times New Roman" w:cs="Times New Roman"/>
                <w:i/>
                <w:iCs/>
                <w:color w:val="333333"/>
                <w:sz w:val="14"/>
                <w:lang w:eastAsia="zh-CN" w:bidi="ar-SA"/>
              </w:rPr>
              <w:t>,”Aula</w:t>
            </w:r>
            <w:proofErr w:type="gramEnd"/>
            <w:r w:rsidRPr="00094D49">
              <w:rPr>
                <w:rFonts w:ascii="Times New Roman" w:eastAsia="Times New Roman" w:hAnsi="Times New Roman" w:cs="Times New Roman"/>
                <w:i/>
                <w:iCs/>
                <w:color w:val="333333"/>
                <w:sz w:val="14"/>
                <w:lang w:eastAsia="zh-CN" w:bidi="ar-SA"/>
              </w:rPr>
              <w:t xml:space="preserve"> </w:t>
            </w:r>
            <w:proofErr w:type="spellStart"/>
            <w:r w:rsidRPr="00094D49">
              <w:rPr>
                <w:rFonts w:ascii="Times New Roman" w:eastAsia="Times New Roman" w:hAnsi="Times New Roman" w:cs="Times New Roman"/>
                <w:i/>
                <w:iCs/>
                <w:color w:val="333333"/>
                <w:sz w:val="14"/>
                <w:lang w:eastAsia="zh-CN" w:bidi="ar-SA"/>
              </w:rPr>
              <w:t>Orientalis</w:t>
            </w:r>
            <w:proofErr w:type="spellEnd"/>
            <w:r w:rsidRPr="00094D49">
              <w:rPr>
                <w:rFonts w:ascii="Times New Roman" w:eastAsia="Times New Roman" w:hAnsi="Times New Roman" w:cs="Times New Roman"/>
                <w:i/>
                <w:iCs/>
                <w:color w:val="333333"/>
                <w:sz w:val="14"/>
                <w:lang w:eastAsia="zh-CN" w:bidi="ar-SA"/>
              </w:rPr>
              <w:t> </w:t>
            </w:r>
            <w:r w:rsidRPr="00094D49">
              <w:rPr>
                <w:rFonts w:ascii="Times New Roman" w:eastAsia="Times New Roman" w:hAnsi="Times New Roman" w:cs="Times New Roman"/>
                <w:color w:val="333333"/>
                <w:sz w:val="14"/>
                <w:szCs w:val="14"/>
                <w:lang w:eastAsia="zh-CN" w:bidi="ar-SA"/>
              </w:rPr>
              <w:t>10 (1992), 49–67.</w:t>
            </w:r>
          </w:p>
          <w:p w14:paraId="09496833"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2C70D38" w14:textId="6E7BD339" w:rsidR="005B227A" w:rsidRPr="005B227A" w:rsidRDefault="005B227A" w:rsidP="005B227A">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15</w:t>
            </w:r>
            <w:r w:rsidRPr="005B227A">
              <w:rPr>
                <w:rFonts w:ascii="David" w:eastAsia="Times New Roman" w:hAnsi="David" w:cs="David" w:hint="cs"/>
                <w:color w:val="000000"/>
                <w:sz w:val="20"/>
                <w:szCs w:val="20"/>
                <w:rtl/>
              </w:rPr>
              <w:t xml:space="preserve">.המחזיק בפלך, סמל של התפקיד הנשי ברחבי המזרח הקרוב העתיק, מרמז על גבר נשי, אולי מדובר גם באוריינטציה נשית. לניתוח מפורט של ביטוי זה והקללה בשלמותה, ראו: </w:t>
            </w:r>
          </w:p>
          <w:p w14:paraId="1952E281" w14:textId="77777777" w:rsidR="005B227A" w:rsidRPr="005B227A" w:rsidRDefault="005B227A" w:rsidP="005B227A">
            <w:pPr>
              <w:shd w:val="clear" w:color="auto" w:fill="FFFFFF"/>
              <w:spacing w:before="100" w:beforeAutospacing="1" w:line="480" w:lineRule="auto"/>
              <w:ind w:left="360"/>
              <w:rPr>
                <w:rFonts w:ascii="David" w:eastAsia="Times New Roman" w:hAnsi="David" w:cs="David"/>
                <w:color w:val="333333"/>
                <w:sz w:val="20"/>
                <w:szCs w:val="20"/>
                <w:lang w:eastAsia="zh-CN" w:bidi="ar-SA"/>
              </w:rPr>
            </w:pPr>
            <w:r w:rsidRPr="005B227A">
              <w:rPr>
                <w:rFonts w:ascii="David" w:eastAsia="Times New Roman" w:hAnsi="David" w:cs="David"/>
                <w:color w:val="333333"/>
                <w:sz w:val="20"/>
                <w:szCs w:val="20"/>
                <w:lang w:eastAsia="zh-CN" w:bidi="ar-SA"/>
              </w:rPr>
              <w:t xml:space="preserve">M. </w:t>
            </w:r>
            <w:proofErr w:type="spellStart"/>
            <w:r w:rsidRPr="005B227A">
              <w:rPr>
                <w:rFonts w:ascii="David" w:eastAsia="Times New Roman" w:hAnsi="David" w:cs="David"/>
                <w:color w:val="333333"/>
                <w:sz w:val="20"/>
                <w:szCs w:val="20"/>
                <w:lang w:eastAsia="zh-CN" w:bidi="ar-SA"/>
              </w:rPr>
              <w:t>Malul</w:t>
            </w:r>
            <w:proofErr w:type="spellEnd"/>
            <w:r w:rsidRPr="005B227A">
              <w:rPr>
                <w:rFonts w:ascii="David" w:eastAsia="Times New Roman" w:hAnsi="David" w:cs="David"/>
                <w:color w:val="333333"/>
                <w:sz w:val="20"/>
                <w:szCs w:val="20"/>
                <w:lang w:eastAsia="zh-CN" w:bidi="ar-SA"/>
              </w:rPr>
              <w:t>, “David’s Curse of Joab and the Social Significance of </w:t>
            </w:r>
            <w:proofErr w:type="spellStart"/>
            <w:r w:rsidRPr="005B227A">
              <w:rPr>
                <w:rFonts w:ascii="David" w:eastAsia="Times New Roman" w:hAnsi="David" w:cs="David"/>
                <w:i/>
                <w:iCs/>
                <w:color w:val="333333"/>
                <w:sz w:val="20"/>
                <w:szCs w:val="20"/>
                <w:lang w:eastAsia="zh-CN" w:bidi="ar-SA"/>
              </w:rPr>
              <w:t>m</w:t>
            </w:r>
            <w:r w:rsidRPr="005B227A">
              <w:rPr>
                <w:rFonts w:ascii="Calibri" w:eastAsia="Times New Roman" w:hAnsi="Calibri" w:cs="Calibri"/>
                <w:i/>
                <w:iCs/>
                <w:color w:val="333333"/>
                <w:sz w:val="20"/>
                <w:szCs w:val="20"/>
                <w:lang w:eastAsia="zh-CN" w:bidi="ar-SA"/>
              </w:rPr>
              <w:t>ḥ</w:t>
            </w:r>
            <w:r w:rsidRPr="005B227A">
              <w:rPr>
                <w:rFonts w:ascii="David" w:eastAsia="Times New Roman" w:hAnsi="David" w:cs="David"/>
                <w:i/>
                <w:iCs/>
                <w:color w:val="333333"/>
                <w:sz w:val="20"/>
                <w:szCs w:val="20"/>
                <w:lang w:eastAsia="zh-CN" w:bidi="ar-SA"/>
              </w:rPr>
              <w:t>zyq</w:t>
            </w:r>
            <w:proofErr w:type="spellEnd"/>
            <w:r w:rsidRPr="005B227A">
              <w:rPr>
                <w:rFonts w:ascii="David" w:eastAsia="Times New Roman" w:hAnsi="David" w:cs="David"/>
                <w:i/>
                <w:iCs/>
                <w:color w:val="333333"/>
                <w:sz w:val="20"/>
                <w:szCs w:val="20"/>
                <w:lang w:eastAsia="zh-CN" w:bidi="ar-SA"/>
              </w:rPr>
              <w:t xml:space="preserve"> </w:t>
            </w:r>
            <w:proofErr w:type="spellStart"/>
            <w:r w:rsidRPr="005B227A">
              <w:rPr>
                <w:rFonts w:ascii="David" w:eastAsia="Times New Roman" w:hAnsi="David" w:cs="David"/>
                <w:i/>
                <w:iCs/>
                <w:color w:val="333333"/>
                <w:sz w:val="20"/>
                <w:szCs w:val="20"/>
                <w:lang w:eastAsia="zh-CN" w:bidi="ar-SA"/>
              </w:rPr>
              <w:t>bplk</w:t>
            </w:r>
            <w:proofErr w:type="spellEnd"/>
            <w:proofErr w:type="gramStart"/>
            <w:r w:rsidRPr="005B227A">
              <w:rPr>
                <w:rFonts w:ascii="David" w:eastAsia="Times New Roman" w:hAnsi="David" w:cs="David"/>
                <w:i/>
                <w:iCs/>
                <w:color w:val="333333"/>
                <w:sz w:val="20"/>
                <w:szCs w:val="20"/>
                <w:lang w:eastAsia="zh-CN" w:bidi="ar-SA"/>
              </w:rPr>
              <w:t>,”Aula</w:t>
            </w:r>
            <w:proofErr w:type="gramEnd"/>
            <w:r w:rsidRPr="005B227A">
              <w:rPr>
                <w:rFonts w:ascii="David" w:eastAsia="Times New Roman" w:hAnsi="David" w:cs="David"/>
                <w:i/>
                <w:iCs/>
                <w:color w:val="333333"/>
                <w:sz w:val="20"/>
                <w:szCs w:val="20"/>
                <w:lang w:eastAsia="zh-CN" w:bidi="ar-SA"/>
              </w:rPr>
              <w:t xml:space="preserve"> </w:t>
            </w:r>
            <w:proofErr w:type="spellStart"/>
            <w:r w:rsidRPr="005B227A">
              <w:rPr>
                <w:rFonts w:ascii="David" w:eastAsia="Times New Roman" w:hAnsi="David" w:cs="David"/>
                <w:i/>
                <w:iCs/>
                <w:color w:val="333333"/>
                <w:sz w:val="20"/>
                <w:szCs w:val="20"/>
                <w:lang w:eastAsia="zh-CN" w:bidi="ar-SA"/>
              </w:rPr>
              <w:t>Orientalis</w:t>
            </w:r>
            <w:proofErr w:type="spellEnd"/>
            <w:r w:rsidRPr="005B227A">
              <w:rPr>
                <w:rFonts w:ascii="David" w:eastAsia="Times New Roman" w:hAnsi="David" w:cs="David"/>
                <w:i/>
                <w:iCs/>
                <w:color w:val="333333"/>
                <w:sz w:val="20"/>
                <w:szCs w:val="20"/>
                <w:lang w:eastAsia="zh-CN" w:bidi="ar-SA"/>
              </w:rPr>
              <w:t> </w:t>
            </w:r>
            <w:r w:rsidRPr="005B227A">
              <w:rPr>
                <w:rFonts w:ascii="David" w:eastAsia="Times New Roman" w:hAnsi="David" w:cs="David"/>
                <w:color w:val="333333"/>
                <w:sz w:val="20"/>
                <w:szCs w:val="20"/>
                <w:lang w:eastAsia="zh-CN" w:bidi="ar-SA"/>
              </w:rPr>
              <w:t>10 (1992), 49–67.</w:t>
            </w:r>
          </w:p>
          <w:p w14:paraId="602F1E47" w14:textId="77777777" w:rsidR="00001006" w:rsidRPr="005B227A" w:rsidRDefault="00001006" w:rsidP="004E1C22">
            <w:pPr>
              <w:bidi/>
              <w:spacing w:line="276" w:lineRule="auto"/>
              <w:rPr>
                <w:rFonts w:asciiTheme="minorBidi" w:hAnsiTheme="minorBidi"/>
                <w:rtl/>
              </w:rPr>
            </w:pPr>
          </w:p>
        </w:tc>
      </w:tr>
      <w:tr w:rsidR="00001006" w14:paraId="3815B4CB" w14:textId="77777777" w:rsidTr="004E1C22">
        <w:tc>
          <w:tcPr>
            <w:tcW w:w="4675" w:type="dxa"/>
          </w:tcPr>
          <w:p w14:paraId="1BE26073"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proofErr w:type="spellStart"/>
            <w:r w:rsidRPr="00094D49">
              <w:rPr>
                <w:rFonts w:ascii="Times New Roman" w:eastAsia="Times New Roman" w:hAnsi="Times New Roman" w:cs="Times New Roman"/>
                <w:color w:val="333333"/>
                <w:sz w:val="14"/>
                <w:szCs w:val="14"/>
                <w:lang w:eastAsia="zh-CN" w:bidi="ar-SA"/>
              </w:rPr>
              <w:t>Malul</w:t>
            </w:r>
            <w:proofErr w:type="spellEnd"/>
            <w:r w:rsidRPr="00094D49">
              <w:rPr>
                <w:rFonts w:ascii="Times New Roman" w:eastAsia="Times New Roman" w:hAnsi="Times New Roman" w:cs="Times New Roman"/>
                <w:color w:val="333333"/>
                <w:sz w:val="14"/>
                <w:szCs w:val="14"/>
                <w:lang w:eastAsia="zh-CN" w:bidi="ar-SA"/>
              </w:rPr>
              <w:t xml:space="preserve"> summarizes (see previous note):</w:t>
            </w:r>
          </w:p>
          <w:p w14:paraId="569AEDE6" w14:textId="77777777" w:rsidR="00094D49" w:rsidRPr="00094D49" w:rsidRDefault="00094D49" w:rsidP="00094D49">
            <w:pPr>
              <w:shd w:val="clear" w:color="auto" w:fill="FFFFFF"/>
              <w:spacing w:beforeAutospacing="1" w:after="94" w:line="271" w:lineRule="atLeast"/>
              <w:ind w:left="720"/>
              <w:rPr>
                <w:rFonts w:ascii="Times New Roman" w:eastAsia="Times New Roman" w:hAnsi="Times New Roman" w:cs="Times New Roman"/>
                <w:color w:val="333333"/>
                <w:sz w:val="14"/>
                <w:szCs w:val="14"/>
                <w:lang w:eastAsia="zh-CN" w:bidi="ar-SA"/>
              </w:rPr>
            </w:pPr>
            <w:bookmarkStart w:id="0" w:name="_Hlk97817448"/>
            <w:r w:rsidRPr="00094D49">
              <w:rPr>
                <w:rFonts w:ascii="Times New Roman" w:eastAsia="Times New Roman" w:hAnsi="Times New Roman" w:cs="Times New Roman"/>
                <w:color w:val="333333"/>
                <w:sz w:val="14"/>
                <w:szCs w:val="14"/>
                <w:lang w:eastAsia="zh-CN" w:bidi="ar-SA"/>
              </w:rPr>
              <w:t>The basic and common theme in all the expressions in David’s curse seems clearly to be social – being chased across the border of civilized society and forced to stay in the lawless sphere. Whether the person is gonorrheal, leprous, poor or has fallen by the sword (and his corpse is assumed to have been left without burial), in all cases he or his spirit is relegated to the status of an outcast from society, having to roam the sphere of outlawry outside society (62).</w:t>
            </w:r>
          </w:p>
          <w:bookmarkEnd w:id="0"/>
          <w:p w14:paraId="1CDA7D08"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483F491" w14:textId="77777777" w:rsidR="005B227A" w:rsidRPr="005B227A" w:rsidRDefault="005B227A" w:rsidP="005B227A">
            <w:pPr>
              <w:bidi/>
              <w:spacing w:after="187" w:line="360" w:lineRule="auto"/>
              <w:rPr>
                <w:rFonts w:ascii="David" w:eastAsia="Times New Roman" w:hAnsi="David" w:cs="David"/>
                <w:color w:val="000000"/>
                <w:sz w:val="20"/>
                <w:szCs w:val="20"/>
                <w:rtl/>
              </w:rPr>
            </w:pPr>
            <w:r w:rsidRPr="005B227A">
              <w:rPr>
                <w:rFonts w:ascii="David" w:eastAsia="Times New Roman" w:hAnsi="David" w:cs="David" w:hint="cs"/>
                <w:color w:val="000000"/>
                <w:sz w:val="20"/>
                <w:szCs w:val="20"/>
                <w:rtl/>
              </w:rPr>
              <w:t>16. מלול מסכם (ראו הערה קודמת):</w:t>
            </w:r>
          </w:p>
          <w:p w14:paraId="254A1BD2" w14:textId="77777777" w:rsidR="005B227A" w:rsidRPr="005B227A" w:rsidRDefault="005B227A" w:rsidP="005B227A">
            <w:pPr>
              <w:shd w:val="clear" w:color="auto" w:fill="FFFFFF"/>
              <w:spacing w:beforeAutospacing="1" w:after="94" w:line="271" w:lineRule="atLeast"/>
              <w:ind w:left="720"/>
              <w:rPr>
                <w:rFonts w:ascii="Times New Roman" w:eastAsia="Times New Roman" w:hAnsi="Times New Roman" w:cs="Times New Roman"/>
                <w:color w:val="333333"/>
                <w:sz w:val="20"/>
                <w:szCs w:val="20"/>
                <w:lang w:eastAsia="zh-CN" w:bidi="ar-SA"/>
              </w:rPr>
            </w:pPr>
            <w:r w:rsidRPr="005B227A">
              <w:rPr>
                <w:rFonts w:ascii="Times New Roman" w:eastAsia="Times New Roman" w:hAnsi="Times New Roman" w:cs="Times New Roman"/>
                <w:color w:val="333333"/>
                <w:sz w:val="20"/>
                <w:szCs w:val="20"/>
                <w:lang w:eastAsia="zh-CN" w:bidi="ar-SA"/>
              </w:rPr>
              <w:t>The basic and common theme in all the expressions in David’s curse seems clearly to be social – being chased across the border of civilized society and forced to stay in the lawless sphere. Whether the person is gonorrheal, leprous, poor or has fallen by the sword (and his corpse is assumed to have been left without burial), in all cases he or his spirit is relegated to the status of an outcast from society, having to roam the sphere of outlawry outside society (62).</w:t>
            </w:r>
          </w:p>
          <w:p w14:paraId="271A0329" w14:textId="77777777" w:rsidR="005B227A" w:rsidRPr="005B227A" w:rsidRDefault="005B227A" w:rsidP="005B227A">
            <w:pPr>
              <w:bidi/>
              <w:spacing w:after="187" w:line="360" w:lineRule="auto"/>
              <w:rPr>
                <w:rFonts w:ascii="David" w:eastAsia="Times New Roman" w:hAnsi="David" w:cs="David"/>
                <w:color w:val="000000"/>
                <w:sz w:val="20"/>
                <w:szCs w:val="20"/>
                <w:rtl/>
              </w:rPr>
            </w:pPr>
          </w:p>
          <w:p w14:paraId="04FB4F16" w14:textId="77777777" w:rsidR="00001006" w:rsidRDefault="00001006" w:rsidP="004E1C22">
            <w:pPr>
              <w:bidi/>
              <w:spacing w:line="276" w:lineRule="auto"/>
              <w:rPr>
                <w:rFonts w:asciiTheme="minorBidi" w:hAnsiTheme="minorBidi"/>
                <w:rtl/>
              </w:rPr>
            </w:pPr>
          </w:p>
        </w:tc>
      </w:tr>
      <w:tr w:rsidR="00001006" w14:paraId="42746833" w14:textId="77777777" w:rsidTr="004E1C22">
        <w:tc>
          <w:tcPr>
            <w:tcW w:w="4675" w:type="dxa"/>
          </w:tcPr>
          <w:p w14:paraId="21DFBB39"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94D49">
              <w:rPr>
                <w:rFonts w:ascii="Times New Roman" w:eastAsia="Times New Roman" w:hAnsi="Times New Roman" w:cs="Times New Roman"/>
                <w:color w:val="333333"/>
                <w:sz w:val="14"/>
                <w:szCs w:val="14"/>
                <w:lang w:eastAsia="zh-CN" w:bidi="ar-SA"/>
              </w:rPr>
              <w:t>J. S. Baden and C. R. Moss, “The Origins and Interpretation of </w:t>
            </w:r>
            <w:proofErr w:type="spellStart"/>
            <w:r w:rsidRPr="00094D49">
              <w:rPr>
                <w:rFonts w:ascii="Times New Roman" w:eastAsia="Times New Roman" w:hAnsi="Times New Roman" w:cs="Times New Roman"/>
                <w:i/>
                <w:iCs/>
                <w:color w:val="333333"/>
                <w:sz w:val="14"/>
                <w:lang w:eastAsia="zh-CN" w:bidi="ar-SA"/>
              </w:rPr>
              <w:t>ṣaraʿat</w:t>
            </w:r>
            <w:proofErr w:type="spellEnd"/>
            <w:r w:rsidRPr="00094D49">
              <w:rPr>
                <w:rFonts w:ascii="Times New Roman" w:eastAsia="Times New Roman" w:hAnsi="Times New Roman" w:cs="Times New Roman"/>
                <w:color w:val="333333"/>
                <w:sz w:val="14"/>
                <w:szCs w:val="14"/>
                <w:lang w:eastAsia="zh-CN" w:bidi="ar-SA"/>
              </w:rPr>
              <w:t> in Leviticus 13–14,” </w:t>
            </w:r>
            <w:r w:rsidRPr="00094D49">
              <w:rPr>
                <w:rFonts w:ascii="Times New Roman" w:eastAsia="Times New Roman" w:hAnsi="Times New Roman" w:cs="Times New Roman"/>
                <w:i/>
                <w:iCs/>
                <w:color w:val="333333"/>
                <w:sz w:val="14"/>
                <w:lang w:eastAsia="zh-CN" w:bidi="ar-SA"/>
              </w:rPr>
              <w:t>Journal of Biblical Literature </w:t>
            </w:r>
            <w:r w:rsidRPr="00094D49">
              <w:rPr>
                <w:rFonts w:ascii="Times New Roman" w:eastAsia="Times New Roman" w:hAnsi="Times New Roman" w:cs="Times New Roman"/>
                <w:color w:val="333333"/>
                <w:sz w:val="14"/>
                <w:szCs w:val="14"/>
                <w:lang w:eastAsia="zh-CN" w:bidi="ar-SA"/>
              </w:rPr>
              <w:t>130 (2011): 643–53</w:t>
            </w:r>
          </w:p>
          <w:p w14:paraId="012D2E3C"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068651FC" w14:textId="77777777" w:rsidR="005B227A" w:rsidRPr="005B227A" w:rsidRDefault="005B227A" w:rsidP="005B227A">
            <w:pPr>
              <w:bidi/>
              <w:spacing w:after="187" w:line="360" w:lineRule="auto"/>
              <w:rPr>
                <w:rFonts w:ascii="David" w:eastAsia="Times New Roman" w:hAnsi="David" w:cs="David"/>
                <w:color w:val="000000"/>
                <w:sz w:val="20"/>
                <w:szCs w:val="20"/>
                <w:rtl/>
              </w:rPr>
            </w:pPr>
            <w:r w:rsidRPr="005B227A">
              <w:rPr>
                <w:rFonts w:ascii="David" w:eastAsia="Times New Roman" w:hAnsi="David" w:cs="David" w:hint="cs"/>
                <w:color w:val="000000"/>
                <w:sz w:val="20"/>
                <w:szCs w:val="20"/>
                <w:rtl/>
              </w:rPr>
              <w:t>17. ראו:</w:t>
            </w:r>
          </w:p>
          <w:p w14:paraId="3D535F1B" w14:textId="6A03D6AF" w:rsidR="00001006" w:rsidRPr="005B227A" w:rsidRDefault="005B227A" w:rsidP="005B227A">
            <w:pPr>
              <w:bidi/>
              <w:spacing w:line="276" w:lineRule="auto"/>
              <w:rPr>
                <w:rFonts w:asciiTheme="minorBidi" w:hAnsiTheme="minorBidi"/>
                <w:rtl/>
              </w:rPr>
            </w:pPr>
            <w:r w:rsidRPr="005B227A">
              <w:rPr>
                <w:rFonts w:ascii="David" w:eastAsia="Times New Roman" w:hAnsi="David" w:cs="David"/>
                <w:color w:val="000000"/>
                <w:sz w:val="20"/>
                <w:szCs w:val="20"/>
              </w:rPr>
              <w:t>J. S. Baden and C. R. Moss, “The Origins and Interpretation of </w:t>
            </w:r>
            <w:proofErr w:type="spellStart"/>
            <w:r w:rsidRPr="005B227A">
              <w:rPr>
                <w:rFonts w:ascii="Calibri" w:eastAsia="Times New Roman" w:hAnsi="Calibri" w:cs="Calibri"/>
                <w:i/>
                <w:iCs/>
                <w:color w:val="000000"/>
                <w:sz w:val="20"/>
                <w:szCs w:val="20"/>
              </w:rPr>
              <w:t>ṣ</w:t>
            </w:r>
            <w:r w:rsidRPr="005B227A">
              <w:rPr>
                <w:rFonts w:ascii="David" w:eastAsia="Times New Roman" w:hAnsi="David" w:cs="David"/>
                <w:i/>
                <w:iCs/>
                <w:color w:val="000000"/>
                <w:sz w:val="20"/>
                <w:szCs w:val="20"/>
              </w:rPr>
              <w:t>ara</w:t>
            </w:r>
            <w:r w:rsidRPr="005B227A">
              <w:rPr>
                <w:rFonts w:ascii="Arial" w:eastAsia="Times New Roman" w:hAnsi="Arial" w:cs="Arial"/>
                <w:i/>
                <w:iCs/>
                <w:color w:val="000000"/>
                <w:sz w:val="20"/>
                <w:szCs w:val="20"/>
              </w:rPr>
              <w:t>ʿ</w:t>
            </w:r>
            <w:r w:rsidRPr="005B227A">
              <w:rPr>
                <w:rFonts w:ascii="David" w:eastAsia="Times New Roman" w:hAnsi="David" w:cs="David"/>
                <w:i/>
                <w:iCs/>
                <w:color w:val="000000"/>
                <w:sz w:val="20"/>
                <w:szCs w:val="20"/>
              </w:rPr>
              <w:t>at</w:t>
            </w:r>
            <w:proofErr w:type="spellEnd"/>
            <w:r w:rsidRPr="005B227A">
              <w:rPr>
                <w:rFonts w:ascii="David" w:eastAsia="Times New Roman" w:hAnsi="David" w:cs="David"/>
                <w:color w:val="000000"/>
                <w:sz w:val="20"/>
                <w:szCs w:val="20"/>
              </w:rPr>
              <w:t> in Leviticus 13–14,” </w:t>
            </w:r>
            <w:r w:rsidRPr="005B227A">
              <w:rPr>
                <w:rFonts w:ascii="David" w:eastAsia="Times New Roman" w:hAnsi="David" w:cs="David"/>
                <w:i/>
                <w:iCs/>
                <w:color w:val="000000"/>
                <w:sz w:val="20"/>
                <w:szCs w:val="20"/>
              </w:rPr>
              <w:t>Journal of Biblical Literature </w:t>
            </w:r>
            <w:r w:rsidRPr="005B227A">
              <w:rPr>
                <w:rFonts w:ascii="David" w:eastAsia="Times New Roman" w:hAnsi="David" w:cs="David"/>
                <w:color w:val="000000"/>
                <w:sz w:val="20"/>
                <w:szCs w:val="20"/>
              </w:rPr>
              <w:t>130 (2011): 643–53</w:t>
            </w:r>
          </w:p>
        </w:tc>
      </w:tr>
      <w:tr w:rsidR="00001006" w14:paraId="6A89E4D9" w14:textId="77777777" w:rsidTr="004E1C22">
        <w:tc>
          <w:tcPr>
            <w:tcW w:w="4675" w:type="dxa"/>
          </w:tcPr>
          <w:p w14:paraId="35541794"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proofErr w:type="gramStart"/>
            <w:r w:rsidRPr="00094D49">
              <w:rPr>
                <w:rFonts w:ascii="Times New Roman" w:eastAsia="Times New Roman" w:hAnsi="Times New Roman" w:cs="Times New Roman"/>
                <w:color w:val="333333"/>
                <w:sz w:val="14"/>
                <w:szCs w:val="14"/>
                <w:lang w:eastAsia="zh-CN" w:bidi="ar-SA"/>
              </w:rPr>
              <w:t>E.g.</w:t>
            </w:r>
            <w:proofErr w:type="gramEnd"/>
            <w:r w:rsidRPr="00094D49">
              <w:rPr>
                <w:rFonts w:ascii="Times New Roman" w:eastAsia="Times New Roman" w:hAnsi="Times New Roman" w:cs="Times New Roman"/>
                <w:color w:val="333333"/>
                <w:sz w:val="14"/>
                <w:szCs w:val="14"/>
                <w:lang w:eastAsia="zh-CN" w:bidi="ar-SA"/>
              </w:rPr>
              <w:t> </w:t>
            </w:r>
            <w:proofErr w:type="spellStart"/>
            <w:r w:rsidRPr="00094D49">
              <w:rPr>
                <w:rFonts w:ascii="Times New Roman" w:eastAsia="Times New Roman" w:hAnsi="Times New Roman" w:cs="Times New Roman"/>
                <w:i/>
                <w:iCs/>
                <w:color w:val="333333"/>
                <w:sz w:val="14"/>
                <w:lang w:eastAsia="zh-CN" w:bidi="ar-SA"/>
              </w:rPr>
              <w:t>Bavli</w:t>
            </w:r>
            <w:proofErr w:type="spellEnd"/>
            <w:r w:rsidRPr="00094D49">
              <w:rPr>
                <w:rFonts w:ascii="Times New Roman" w:eastAsia="Times New Roman" w:hAnsi="Times New Roman" w:cs="Times New Roman"/>
                <w:color w:val="333333"/>
                <w:sz w:val="14"/>
                <w:szCs w:val="14"/>
                <w:lang w:eastAsia="zh-CN" w:bidi="ar-SA"/>
              </w:rPr>
              <w:t> </w:t>
            </w:r>
            <w:r w:rsidRPr="00094D49">
              <w:rPr>
                <w:rFonts w:ascii="Times New Roman" w:eastAsia="Times New Roman" w:hAnsi="Times New Roman" w:cs="Times New Roman"/>
                <w:i/>
                <w:iCs/>
                <w:color w:val="333333"/>
                <w:sz w:val="14"/>
                <w:lang w:eastAsia="zh-CN" w:bidi="ar-SA"/>
              </w:rPr>
              <w:t>‛</w:t>
            </w:r>
            <w:proofErr w:type="spellStart"/>
            <w:r w:rsidRPr="00094D49">
              <w:rPr>
                <w:rFonts w:ascii="Times New Roman" w:eastAsia="Times New Roman" w:hAnsi="Times New Roman" w:cs="Times New Roman"/>
                <w:i/>
                <w:iCs/>
                <w:color w:val="333333"/>
                <w:sz w:val="14"/>
                <w:lang w:eastAsia="zh-CN" w:bidi="ar-SA"/>
              </w:rPr>
              <w:t>Arakhin</w:t>
            </w:r>
            <w:proofErr w:type="spellEnd"/>
            <w:r w:rsidRPr="00094D49">
              <w:rPr>
                <w:rFonts w:ascii="Times New Roman" w:eastAsia="Times New Roman" w:hAnsi="Times New Roman" w:cs="Times New Roman"/>
                <w:color w:val="333333"/>
                <w:sz w:val="14"/>
                <w:szCs w:val="14"/>
                <w:lang w:eastAsia="zh-CN" w:bidi="ar-SA"/>
              </w:rPr>
              <w:t> 15b; </w:t>
            </w:r>
            <w:r w:rsidRPr="00094D49">
              <w:rPr>
                <w:rFonts w:ascii="Times New Roman" w:eastAsia="Times New Roman" w:hAnsi="Times New Roman" w:cs="Times New Roman"/>
                <w:i/>
                <w:iCs/>
                <w:color w:val="333333"/>
                <w:sz w:val="14"/>
                <w:lang w:eastAsia="zh-CN" w:bidi="ar-SA"/>
              </w:rPr>
              <w:t>Leviticus</w:t>
            </w:r>
            <w:r w:rsidRPr="00094D49">
              <w:rPr>
                <w:rFonts w:ascii="Times New Roman" w:eastAsia="Times New Roman" w:hAnsi="Times New Roman" w:cs="Times New Roman"/>
                <w:color w:val="333333"/>
                <w:sz w:val="14"/>
                <w:szCs w:val="14"/>
                <w:lang w:eastAsia="zh-CN" w:bidi="ar-SA"/>
              </w:rPr>
              <w:t> </w:t>
            </w:r>
            <w:r w:rsidRPr="00094D49">
              <w:rPr>
                <w:rFonts w:ascii="Times New Roman" w:eastAsia="Times New Roman" w:hAnsi="Times New Roman" w:cs="Times New Roman"/>
                <w:i/>
                <w:iCs/>
                <w:color w:val="333333"/>
                <w:sz w:val="14"/>
                <w:lang w:eastAsia="zh-CN" w:bidi="ar-SA"/>
              </w:rPr>
              <w:t>Rabbah</w:t>
            </w:r>
            <w:r w:rsidRPr="00094D49">
              <w:rPr>
                <w:rFonts w:ascii="Times New Roman" w:eastAsia="Times New Roman" w:hAnsi="Times New Roman" w:cs="Times New Roman"/>
                <w:color w:val="333333"/>
                <w:sz w:val="14"/>
                <w:szCs w:val="14"/>
                <w:lang w:eastAsia="zh-CN" w:bidi="ar-SA"/>
              </w:rPr>
              <w:t> 16.</w:t>
            </w:r>
          </w:p>
          <w:p w14:paraId="71525EE5"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41DFCA16" w14:textId="77777777" w:rsidR="005B227A" w:rsidRPr="005B227A" w:rsidRDefault="005B227A" w:rsidP="005B227A">
            <w:pPr>
              <w:bidi/>
              <w:spacing w:after="187" w:line="360" w:lineRule="auto"/>
              <w:rPr>
                <w:rFonts w:ascii="David" w:eastAsia="Times New Roman" w:hAnsi="David" w:cs="David"/>
                <w:color w:val="000000"/>
                <w:sz w:val="20"/>
                <w:szCs w:val="20"/>
                <w:rtl/>
              </w:rPr>
            </w:pPr>
            <w:r w:rsidRPr="005B227A">
              <w:rPr>
                <w:rFonts w:ascii="David" w:eastAsia="Times New Roman" w:hAnsi="David" w:cs="David" w:hint="cs"/>
                <w:color w:val="000000"/>
                <w:sz w:val="20"/>
                <w:szCs w:val="20"/>
                <w:rtl/>
              </w:rPr>
              <w:t>18.למשל בבלי, ערכין 15ב; ויקרא רבא 16.</w:t>
            </w:r>
          </w:p>
          <w:p w14:paraId="000F6B09" w14:textId="77777777" w:rsidR="00001006" w:rsidRDefault="00001006" w:rsidP="004E1C22">
            <w:pPr>
              <w:bidi/>
              <w:spacing w:line="276" w:lineRule="auto"/>
              <w:rPr>
                <w:rFonts w:asciiTheme="minorBidi" w:hAnsiTheme="minorBidi"/>
                <w:rtl/>
              </w:rPr>
            </w:pPr>
          </w:p>
        </w:tc>
      </w:tr>
      <w:tr w:rsidR="00001006" w14:paraId="567E7257" w14:textId="77777777" w:rsidTr="004E1C22">
        <w:tc>
          <w:tcPr>
            <w:tcW w:w="4675" w:type="dxa"/>
          </w:tcPr>
          <w:p w14:paraId="7D5E8D62"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94D49">
              <w:rPr>
                <w:rFonts w:ascii="Times New Roman" w:eastAsia="Times New Roman" w:hAnsi="Times New Roman" w:cs="Times New Roman"/>
                <w:color w:val="333333"/>
                <w:sz w:val="14"/>
                <w:szCs w:val="14"/>
                <w:lang w:eastAsia="zh-CN" w:bidi="ar-SA"/>
              </w:rPr>
              <w:t xml:space="preserve">See </w:t>
            </w:r>
            <w:bookmarkStart w:id="1" w:name="_Hlk97816964"/>
            <w:r w:rsidRPr="00094D49">
              <w:rPr>
                <w:rFonts w:ascii="Times New Roman" w:eastAsia="Times New Roman" w:hAnsi="Times New Roman" w:cs="Times New Roman"/>
                <w:color w:val="333333"/>
                <w:sz w:val="14"/>
                <w:szCs w:val="14"/>
                <w:lang w:eastAsia="zh-CN" w:bidi="ar-SA"/>
              </w:rPr>
              <w:t xml:space="preserve">R. </w:t>
            </w:r>
            <w:proofErr w:type="spellStart"/>
            <w:r w:rsidRPr="00094D49">
              <w:rPr>
                <w:rFonts w:ascii="Times New Roman" w:eastAsia="Times New Roman" w:hAnsi="Times New Roman" w:cs="Times New Roman"/>
                <w:color w:val="333333"/>
                <w:sz w:val="14"/>
                <w:szCs w:val="14"/>
                <w:lang w:eastAsia="zh-CN" w:bidi="ar-SA"/>
              </w:rPr>
              <w:t>Gane</w:t>
            </w:r>
            <w:proofErr w:type="spellEnd"/>
            <w:r w:rsidRPr="00094D49">
              <w:rPr>
                <w:rFonts w:ascii="Times New Roman" w:eastAsia="Times New Roman" w:hAnsi="Times New Roman" w:cs="Times New Roman"/>
                <w:color w:val="333333"/>
                <w:sz w:val="14"/>
                <w:szCs w:val="14"/>
                <w:lang w:eastAsia="zh-CN" w:bidi="ar-SA"/>
              </w:rPr>
              <w:t>, </w:t>
            </w:r>
            <w:r w:rsidRPr="00094D49">
              <w:rPr>
                <w:rFonts w:ascii="Times New Roman" w:eastAsia="Times New Roman" w:hAnsi="Times New Roman" w:cs="Times New Roman"/>
                <w:i/>
                <w:iCs/>
                <w:color w:val="333333"/>
                <w:sz w:val="14"/>
                <w:lang w:eastAsia="zh-CN" w:bidi="ar-SA"/>
              </w:rPr>
              <w:t>Cult and Character: Purification Offerings, Day of Atonement, and Theodicy</w:t>
            </w:r>
            <w:r w:rsidRPr="00094D49">
              <w:rPr>
                <w:rFonts w:ascii="Times New Roman" w:eastAsia="Times New Roman" w:hAnsi="Times New Roman" w:cs="Times New Roman"/>
                <w:color w:val="333333"/>
                <w:sz w:val="14"/>
                <w:szCs w:val="14"/>
                <w:lang w:eastAsia="zh-CN" w:bidi="ar-SA"/>
              </w:rPr>
              <w:t xml:space="preserve"> (Winona Lake: </w:t>
            </w:r>
            <w:proofErr w:type="spellStart"/>
            <w:r w:rsidRPr="00094D49">
              <w:rPr>
                <w:rFonts w:ascii="Times New Roman" w:eastAsia="Times New Roman" w:hAnsi="Times New Roman" w:cs="Times New Roman"/>
                <w:color w:val="333333"/>
                <w:sz w:val="14"/>
                <w:szCs w:val="14"/>
                <w:lang w:eastAsia="zh-CN" w:bidi="ar-SA"/>
              </w:rPr>
              <w:t>Eisenbrauns</w:t>
            </w:r>
            <w:proofErr w:type="spellEnd"/>
            <w:r w:rsidRPr="00094D49">
              <w:rPr>
                <w:rFonts w:ascii="Times New Roman" w:eastAsia="Times New Roman" w:hAnsi="Times New Roman" w:cs="Times New Roman"/>
                <w:color w:val="333333"/>
                <w:sz w:val="14"/>
                <w:szCs w:val="14"/>
                <w:lang w:eastAsia="zh-CN" w:bidi="ar-SA"/>
              </w:rPr>
              <w:t>, 2005), 112–24.</w:t>
            </w:r>
            <w:bookmarkEnd w:id="1"/>
          </w:p>
          <w:p w14:paraId="40176424" w14:textId="77777777" w:rsidR="00001006" w:rsidRPr="00134FD3" w:rsidRDefault="00001006"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1037DA32" w14:textId="26FD5690" w:rsidR="005B227A" w:rsidRPr="005B227A" w:rsidRDefault="005B227A" w:rsidP="005B227A">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19</w:t>
            </w:r>
            <w:r w:rsidRPr="005B227A">
              <w:rPr>
                <w:rFonts w:ascii="David" w:eastAsia="Times New Roman" w:hAnsi="David" w:cs="David" w:hint="cs"/>
                <w:color w:val="000000"/>
                <w:sz w:val="20"/>
                <w:szCs w:val="20"/>
                <w:rtl/>
              </w:rPr>
              <w:t>. ראו:</w:t>
            </w:r>
          </w:p>
          <w:p w14:paraId="49BA6716" w14:textId="77777777" w:rsidR="005B227A" w:rsidRPr="005B227A" w:rsidRDefault="005B227A" w:rsidP="005B227A">
            <w:pPr>
              <w:bidi/>
              <w:spacing w:after="187" w:line="360" w:lineRule="auto"/>
              <w:jc w:val="right"/>
              <w:rPr>
                <w:rFonts w:ascii="David" w:eastAsia="Times New Roman" w:hAnsi="David" w:cs="David"/>
                <w:color w:val="000000"/>
                <w:sz w:val="20"/>
                <w:szCs w:val="20"/>
                <w:rtl/>
              </w:rPr>
            </w:pPr>
            <w:r w:rsidRPr="005B227A">
              <w:rPr>
                <w:rFonts w:ascii="Times New Roman" w:eastAsia="Times New Roman" w:hAnsi="Times New Roman" w:cs="Times New Roman"/>
                <w:color w:val="333333"/>
                <w:sz w:val="20"/>
                <w:szCs w:val="20"/>
                <w:lang w:bidi="ar-SA"/>
              </w:rPr>
              <w:t xml:space="preserve">R. </w:t>
            </w:r>
            <w:proofErr w:type="spellStart"/>
            <w:r w:rsidRPr="005B227A">
              <w:rPr>
                <w:rFonts w:ascii="Times New Roman" w:eastAsia="Times New Roman" w:hAnsi="Times New Roman" w:cs="Times New Roman"/>
                <w:color w:val="333333"/>
                <w:sz w:val="20"/>
                <w:szCs w:val="20"/>
                <w:lang w:bidi="ar-SA"/>
              </w:rPr>
              <w:t>Gane</w:t>
            </w:r>
            <w:proofErr w:type="spellEnd"/>
            <w:r w:rsidRPr="005B227A">
              <w:rPr>
                <w:rFonts w:ascii="Times New Roman" w:eastAsia="Times New Roman" w:hAnsi="Times New Roman" w:cs="Times New Roman"/>
                <w:color w:val="333333"/>
                <w:sz w:val="20"/>
                <w:szCs w:val="20"/>
                <w:lang w:bidi="ar-SA"/>
              </w:rPr>
              <w:t>, </w:t>
            </w:r>
            <w:r w:rsidRPr="005B227A">
              <w:rPr>
                <w:rFonts w:ascii="Times New Roman" w:eastAsia="Times New Roman" w:hAnsi="Times New Roman" w:cs="Times New Roman"/>
                <w:i/>
                <w:iCs/>
                <w:color w:val="333333"/>
                <w:sz w:val="20"/>
                <w:szCs w:val="20"/>
                <w:lang w:bidi="ar-SA"/>
              </w:rPr>
              <w:t>Cult and Character: Purification Offerings, Day of Atonement, and Theodicy</w:t>
            </w:r>
            <w:r w:rsidRPr="005B227A">
              <w:rPr>
                <w:rFonts w:ascii="Times New Roman" w:eastAsia="Times New Roman" w:hAnsi="Times New Roman" w:cs="Times New Roman"/>
                <w:color w:val="333333"/>
                <w:sz w:val="20"/>
                <w:szCs w:val="20"/>
                <w:lang w:bidi="ar-SA"/>
              </w:rPr>
              <w:t xml:space="preserve"> (Winona Lake: </w:t>
            </w:r>
            <w:proofErr w:type="spellStart"/>
            <w:r w:rsidRPr="005B227A">
              <w:rPr>
                <w:rFonts w:ascii="Times New Roman" w:eastAsia="Times New Roman" w:hAnsi="Times New Roman" w:cs="Times New Roman"/>
                <w:color w:val="333333"/>
                <w:sz w:val="20"/>
                <w:szCs w:val="20"/>
                <w:lang w:bidi="ar-SA"/>
              </w:rPr>
              <w:t>Eisenbrauns</w:t>
            </w:r>
            <w:proofErr w:type="spellEnd"/>
            <w:r w:rsidRPr="005B227A">
              <w:rPr>
                <w:rFonts w:ascii="Times New Roman" w:eastAsia="Times New Roman" w:hAnsi="Times New Roman" w:cs="Times New Roman"/>
                <w:color w:val="333333"/>
                <w:sz w:val="20"/>
                <w:szCs w:val="20"/>
                <w:lang w:bidi="ar-SA"/>
              </w:rPr>
              <w:t>, 2005), 112–24.</w:t>
            </w:r>
          </w:p>
          <w:p w14:paraId="5C6980C8" w14:textId="77777777" w:rsidR="00001006" w:rsidRDefault="00001006" w:rsidP="004E1C22">
            <w:pPr>
              <w:bidi/>
              <w:spacing w:line="276" w:lineRule="auto"/>
              <w:rPr>
                <w:rFonts w:asciiTheme="minorBidi" w:hAnsiTheme="minorBidi"/>
                <w:rtl/>
              </w:rPr>
            </w:pPr>
          </w:p>
        </w:tc>
      </w:tr>
      <w:tr w:rsidR="00094D49" w14:paraId="7E78CDDA" w14:textId="77777777" w:rsidTr="004E1C22">
        <w:tc>
          <w:tcPr>
            <w:tcW w:w="4675" w:type="dxa"/>
          </w:tcPr>
          <w:p w14:paraId="2ED499EC"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bookmarkStart w:id="2" w:name="_Hlk97817053"/>
            <w:r w:rsidRPr="00094D49">
              <w:rPr>
                <w:rFonts w:ascii="Times New Roman" w:eastAsia="Times New Roman" w:hAnsi="Times New Roman" w:cs="Times New Roman"/>
                <w:color w:val="333333"/>
                <w:sz w:val="14"/>
                <w:szCs w:val="14"/>
                <w:lang w:eastAsia="zh-CN" w:bidi="ar-SA"/>
              </w:rPr>
              <w:lastRenderedPageBreak/>
              <w:t> </w:t>
            </w:r>
            <w:r w:rsidRPr="00094D49">
              <w:rPr>
                <w:rFonts w:ascii="Times New Roman" w:eastAsia="Times New Roman" w:hAnsi="Times New Roman" w:cs="Times New Roman"/>
                <w:i/>
                <w:iCs/>
                <w:color w:val="333333"/>
                <w:sz w:val="14"/>
                <w:lang w:eastAsia="zh-CN" w:bidi="ar-SA"/>
              </w:rPr>
              <w:t>The Religion of Israel </w:t>
            </w:r>
            <w:r w:rsidRPr="00094D49">
              <w:rPr>
                <w:rFonts w:ascii="Times New Roman" w:eastAsia="Times New Roman" w:hAnsi="Times New Roman" w:cs="Times New Roman"/>
                <w:color w:val="333333"/>
                <w:sz w:val="14"/>
                <w:szCs w:val="14"/>
                <w:lang w:eastAsia="zh-CN" w:bidi="ar-SA"/>
              </w:rPr>
              <w:t>(trans. M. Greenberg; Chicago: University of Chicago, 1960), 107.</w:t>
            </w:r>
          </w:p>
          <w:bookmarkEnd w:id="2"/>
          <w:p w14:paraId="3023824A"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5D4A179D" w14:textId="7747B354" w:rsidR="00094D49" w:rsidRDefault="005B227A" w:rsidP="004E1C22">
            <w:pPr>
              <w:bidi/>
              <w:spacing w:line="276" w:lineRule="auto"/>
              <w:rPr>
                <w:rFonts w:asciiTheme="minorBidi" w:hAnsiTheme="minorBidi"/>
                <w:rtl/>
              </w:rPr>
            </w:pPr>
            <w:r>
              <w:rPr>
                <w:rFonts w:ascii="David" w:eastAsia="Times New Roman" w:hAnsi="David" w:cs="David" w:hint="cs"/>
                <w:color w:val="000000"/>
                <w:sz w:val="20"/>
                <w:szCs w:val="20"/>
                <w:rtl/>
              </w:rPr>
              <w:t>20</w:t>
            </w:r>
            <w:r w:rsidRPr="005B227A">
              <w:rPr>
                <w:rFonts w:ascii="David" w:eastAsia="Times New Roman" w:hAnsi="David" w:cs="David" w:hint="cs"/>
                <w:color w:val="000000"/>
                <w:sz w:val="20"/>
                <w:szCs w:val="20"/>
                <w:rtl/>
              </w:rPr>
              <w:t xml:space="preserve">.ראו </w:t>
            </w:r>
            <w:proofErr w:type="spellStart"/>
            <w:r w:rsidRPr="005B227A">
              <w:rPr>
                <w:rFonts w:ascii="David" w:eastAsia="Times New Roman" w:hAnsi="David" w:cs="David" w:hint="cs"/>
                <w:color w:val="000000"/>
                <w:sz w:val="20"/>
                <w:szCs w:val="20"/>
                <w:rtl/>
              </w:rPr>
              <w:t>קויפמן</w:t>
            </w:r>
            <w:proofErr w:type="spellEnd"/>
            <w:r w:rsidRPr="005B227A">
              <w:rPr>
                <w:rFonts w:ascii="David" w:eastAsia="Times New Roman" w:hAnsi="David" w:cs="David" w:hint="cs"/>
                <w:color w:val="000000"/>
                <w:sz w:val="20"/>
                <w:szCs w:val="20"/>
                <w:rtl/>
              </w:rPr>
              <w:t>, יחזקאל, "תולדות האמונה הישראלית", ספר ב, מוסד ביאליק–דביר, תשכ"ט, עמ' 548–549.</w:t>
            </w:r>
          </w:p>
        </w:tc>
      </w:tr>
      <w:tr w:rsidR="00094D49" w14:paraId="0418273A" w14:textId="77777777" w:rsidTr="004E1C22">
        <w:tc>
          <w:tcPr>
            <w:tcW w:w="4675" w:type="dxa"/>
          </w:tcPr>
          <w:p w14:paraId="271D5185"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94D49">
              <w:rPr>
                <w:rFonts w:ascii="Times New Roman" w:eastAsia="Times New Roman" w:hAnsi="Times New Roman" w:cs="Times New Roman"/>
                <w:color w:val="333333"/>
                <w:sz w:val="14"/>
                <w:szCs w:val="14"/>
                <w:lang w:eastAsia="zh-CN" w:bidi="ar-SA"/>
              </w:rPr>
              <w:t>Such rituals contained transfer rites (</w:t>
            </w:r>
            <w:proofErr w:type="gramStart"/>
            <w:r w:rsidRPr="00094D49">
              <w:rPr>
                <w:rFonts w:ascii="Times New Roman" w:eastAsia="Times New Roman" w:hAnsi="Times New Roman" w:cs="Times New Roman"/>
                <w:color w:val="333333"/>
                <w:sz w:val="14"/>
                <w:szCs w:val="14"/>
                <w:lang w:eastAsia="zh-CN" w:bidi="ar-SA"/>
              </w:rPr>
              <w:t>e.g.</w:t>
            </w:r>
            <w:proofErr w:type="gramEnd"/>
            <w:r w:rsidRPr="00094D49">
              <w:rPr>
                <w:rFonts w:ascii="Times New Roman" w:eastAsia="Times New Roman" w:hAnsi="Times New Roman" w:cs="Times New Roman"/>
                <w:color w:val="333333"/>
                <w:sz w:val="14"/>
                <w:szCs w:val="14"/>
                <w:lang w:eastAsia="zh-CN" w:bidi="ar-SA"/>
              </w:rPr>
              <w:t xml:space="preserve"> scape-goats) as well as the appeasement of demonic entities. This point brings to mind the scape-goat rite to Azazel in Lev 16, which has long been suspected of being based on an apotropaic ritual, Yet, as pointed out by David Wright in his thorough survey of related ancient Near Eastern evidence, the Priestly text depicts Azazel in a wholly passive role</w:t>
            </w:r>
            <w:bookmarkStart w:id="3" w:name="_Hlk97817622"/>
            <w:r w:rsidRPr="00094D49">
              <w:rPr>
                <w:rFonts w:ascii="Times New Roman" w:eastAsia="Times New Roman" w:hAnsi="Times New Roman" w:cs="Times New Roman"/>
                <w:color w:val="333333"/>
                <w:sz w:val="14"/>
                <w:szCs w:val="14"/>
                <w:lang w:eastAsia="zh-CN" w:bidi="ar-SA"/>
              </w:rPr>
              <w:t>: “In contrast, Azazel does not act; he has no personality. The name refers more to a locale than to a supernatural figure” (</w:t>
            </w:r>
            <w:r w:rsidRPr="00094D49">
              <w:rPr>
                <w:rFonts w:ascii="Times New Roman" w:eastAsia="Times New Roman" w:hAnsi="Times New Roman" w:cs="Times New Roman"/>
                <w:i/>
                <w:iCs/>
                <w:color w:val="333333"/>
                <w:sz w:val="14"/>
                <w:lang w:eastAsia="zh-CN" w:bidi="ar-SA"/>
              </w:rPr>
              <w:t xml:space="preserve">The Disposal of Impurity: Elimination Rites in the Bible and in Hittite and Mesopotamian </w:t>
            </w:r>
            <w:proofErr w:type="gramStart"/>
            <w:r w:rsidRPr="00094D49">
              <w:rPr>
                <w:rFonts w:ascii="Times New Roman" w:eastAsia="Times New Roman" w:hAnsi="Times New Roman" w:cs="Times New Roman"/>
                <w:i/>
                <w:iCs/>
                <w:color w:val="333333"/>
                <w:sz w:val="14"/>
                <w:lang w:eastAsia="zh-CN" w:bidi="ar-SA"/>
              </w:rPr>
              <w:t>Literature</w:t>
            </w:r>
            <w:r w:rsidRPr="00094D49">
              <w:rPr>
                <w:rFonts w:ascii="Times New Roman" w:eastAsia="Times New Roman" w:hAnsi="Times New Roman" w:cs="Times New Roman"/>
                <w:color w:val="333333"/>
                <w:sz w:val="14"/>
                <w:szCs w:val="14"/>
                <w:lang w:eastAsia="zh-CN" w:bidi="ar-SA"/>
              </w:rPr>
              <w:t>[</w:t>
            </w:r>
            <w:proofErr w:type="gramEnd"/>
            <w:r w:rsidRPr="00094D49">
              <w:rPr>
                <w:rFonts w:ascii="Times New Roman" w:eastAsia="Times New Roman" w:hAnsi="Times New Roman" w:cs="Times New Roman"/>
                <w:color w:val="333333"/>
                <w:sz w:val="14"/>
                <w:szCs w:val="14"/>
                <w:lang w:eastAsia="zh-CN" w:bidi="ar-SA"/>
              </w:rPr>
              <w:t>Atlanta: Scholars Press, 1987] 69</w:t>
            </w:r>
            <w:bookmarkEnd w:id="3"/>
            <w:r w:rsidRPr="00094D49">
              <w:rPr>
                <w:rFonts w:ascii="Times New Roman" w:eastAsia="Times New Roman" w:hAnsi="Times New Roman" w:cs="Times New Roman"/>
                <w:color w:val="333333"/>
                <w:sz w:val="14"/>
                <w:szCs w:val="14"/>
                <w:lang w:eastAsia="zh-CN" w:bidi="ar-SA"/>
              </w:rPr>
              <w:t xml:space="preserve">. For further discussion, see </w:t>
            </w:r>
            <w:bookmarkStart w:id="4" w:name="_Hlk97817782"/>
            <w:r w:rsidRPr="00094D49">
              <w:rPr>
                <w:rFonts w:ascii="Times New Roman" w:eastAsia="Times New Roman" w:hAnsi="Times New Roman" w:cs="Times New Roman"/>
                <w:color w:val="333333"/>
                <w:sz w:val="14"/>
                <w:szCs w:val="14"/>
                <w:lang w:eastAsia="zh-CN" w:bidi="ar-SA"/>
              </w:rPr>
              <w:t>Milgrom, </w:t>
            </w:r>
            <w:r w:rsidRPr="00094D49">
              <w:rPr>
                <w:rFonts w:ascii="Times New Roman" w:eastAsia="Times New Roman" w:hAnsi="Times New Roman" w:cs="Times New Roman"/>
                <w:i/>
                <w:iCs/>
                <w:color w:val="333333"/>
                <w:sz w:val="14"/>
                <w:lang w:eastAsia="zh-CN" w:bidi="ar-SA"/>
              </w:rPr>
              <w:t>Leviticus 1–16, </w:t>
            </w:r>
            <w:r w:rsidRPr="00094D49">
              <w:rPr>
                <w:rFonts w:ascii="Times New Roman" w:eastAsia="Times New Roman" w:hAnsi="Times New Roman" w:cs="Times New Roman"/>
                <w:color w:val="333333"/>
                <w:sz w:val="14"/>
                <w:szCs w:val="14"/>
                <w:lang w:eastAsia="zh-CN" w:bidi="ar-SA"/>
              </w:rPr>
              <w:t>1071–9.</w:t>
            </w:r>
          </w:p>
          <w:bookmarkEnd w:id="4"/>
          <w:p w14:paraId="1280D775"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7CB08541" w14:textId="5841A797" w:rsidR="005B227A" w:rsidRPr="005B227A" w:rsidRDefault="0059459C" w:rsidP="005B227A">
            <w:pPr>
              <w:bidi/>
              <w:spacing w:after="187" w:line="360" w:lineRule="auto"/>
              <w:rPr>
                <w:rFonts w:ascii="David" w:eastAsia="Times New Roman" w:hAnsi="David" w:cs="David"/>
                <w:color w:val="000000"/>
                <w:sz w:val="20"/>
                <w:szCs w:val="20"/>
                <w:rtl/>
              </w:rPr>
            </w:pPr>
            <w:r>
              <w:rPr>
                <w:rFonts w:ascii="David" w:eastAsia="Times New Roman" w:hAnsi="David" w:cs="David" w:hint="cs"/>
                <w:color w:val="000000"/>
                <w:sz w:val="20"/>
                <w:szCs w:val="20"/>
                <w:rtl/>
              </w:rPr>
              <w:t>21</w:t>
            </w:r>
            <w:r w:rsidR="005B227A" w:rsidRPr="005B227A">
              <w:rPr>
                <w:rFonts w:ascii="David" w:eastAsia="Times New Roman" w:hAnsi="David" w:cs="David" w:hint="cs"/>
                <w:color w:val="000000"/>
                <w:sz w:val="20"/>
                <w:szCs w:val="20"/>
                <w:rtl/>
              </w:rPr>
              <w:t xml:space="preserve">.פולחנים מסוג זה כוללים טקסי העברה (למשל שעיר לעזאזל) כמו גם פיוס ישויות דמוניות. נקודה זו מזכירה את טקס השעיר לעזאזל בספר ויקרא 16, שזה זמן רב נחשב כמבוסס על פולחן להדיפת רוע. אולם, כפי שצוין בידי דוד </w:t>
            </w:r>
            <w:proofErr w:type="spellStart"/>
            <w:r w:rsidR="005B227A" w:rsidRPr="005B227A">
              <w:rPr>
                <w:rFonts w:ascii="David" w:eastAsia="Times New Roman" w:hAnsi="David" w:cs="David" w:hint="cs"/>
                <w:color w:val="000000"/>
                <w:sz w:val="20"/>
                <w:szCs w:val="20"/>
                <w:rtl/>
              </w:rPr>
              <w:t>רייט</w:t>
            </w:r>
            <w:proofErr w:type="spellEnd"/>
            <w:r w:rsidR="005B227A" w:rsidRPr="005B227A">
              <w:rPr>
                <w:rFonts w:ascii="David" w:eastAsia="Times New Roman" w:hAnsi="David" w:cs="David" w:hint="cs"/>
                <w:color w:val="000000"/>
                <w:sz w:val="20"/>
                <w:szCs w:val="20"/>
                <w:rtl/>
              </w:rPr>
              <w:t xml:space="preserve"> בסקירתו המקיפה של ראיות מן המזרח הקרוב העתיק הנוגעות לנושא, הטקסט הכוהני מתאר את עזאזל בתפקיד סביל לגמרי:</w:t>
            </w:r>
          </w:p>
          <w:p w14:paraId="1AF5029B" w14:textId="77777777" w:rsidR="005B227A" w:rsidRPr="005B227A" w:rsidRDefault="005B227A" w:rsidP="005B227A">
            <w:pPr>
              <w:bidi/>
              <w:spacing w:after="187" w:line="360" w:lineRule="auto"/>
              <w:jc w:val="right"/>
              <w:rPr>
                <w:rFonts w:ascii="David" w:eastAsia="Times New Roman" w:hAnsi="David" w:cs="David"/>
                <w:color w:val="000000"/>
                <w:sz w:val="20"/>
                <w:szCs w:val="20"/>
                <w:rtl/>
              </w:rPr>
            </w:pPr>
            <w:r w:rsidRPr="005B227A">
              <w:rPr>
                <w:rFonts w:ascii="David" w:eastAsia="Times New Roman" w:hAnsi="David" w:cs="David"/>
                <w:color w:val="333333"/>
                <w:sz w:val="20"/>
                <w:szCs w:val="20"/>
                <w:lang w:bidi="ar-SA"/>
              </w:rPr>
              <w:t xml:space="preserve"> “In contrast, Azazel does not act; he has no personality. The name refers more to a locale than to a supernatural figure” (</w:t>
            </w:r>
            <w:r w:rsidRPr="005B227A">
              <w:rPr>
                <w:rFonts w:ascii="David" w:eastAsia="Times New Roman" w:hAnsi="David" w:cs="David"/>
                <w:i/>
                <w:iCs/>
                <w:color w:val="333333"/>
                <w:sz w:val="20"/>
                <w:szCs w:val="20"/>
                <w:lang w:bidi="ar-SA"/>
              </w:rPr>
              <w:t xml:space="preserve">The Disposal of Impurity: Elimination Rites in the Bible and in Hittite and Mesopotamian </w:t>
            </w:r>
            <w:proofErr w:type="gramStart"/>
            <w:r w:rsidRPr="005B227A">
              <w:rPr>
                <w:rFonts w:ascii="David" w:eastAsia="Times New Roman" w:hAnsi="David" w:cs="David"/>
                <w:i/>
                <w:iCs/>
                <w:color w:val="333333"/>
                <w:sz w:val="20"/>
                <w:szCs w:val="20"/>
                <w:lang w:bidi="ar-SA"/>
              </w:rPr>
              <w:t>Literature</w:t>
            </w:r>
            <w:r w:rsidRPr="005B227A">
              <w:rPr>
                <w:rFonts w:ascii="David" w:eastAsia="Times New Roman" w:hAnsi="David" w:cs="David"/>
                <w:color w:val="333333"/>
                <w:sz w:val="20"/>
                <w:szCs w:val="20"/>
                <w:lang w:bidi="ar-SA"/>
              </w:rPr>
              <w:t>[</w:t>
            </w:r>
            <w:proofErr w:type="gramEnd"/>
            <w:r w:rsidRPr="005B227A">
              <w:rPr>
                <w:rFonts w:ascii="David" w:eastAsia="Times New Roman" w:hAnsi="David" w:cs="David"/>
                <w:color w:val="333333"/>
                <w:sz w:val="20"/>
                <w:szCs w:val="20"/>
                <w:lang w:bidi="ar-SA"/>
              </w:rPr>
              <w:t>Atlanta: Scholars Press, 1987] 69</w:t>
            </w:r>
          </w:p>
          <w:p w14:paraId="4471AEAE" w14:textId="77777777" w:rsidR="005B227A" w:rsidRPr="005B227A" w:rsidRDefault="005B227A" w:rsidP="005B227A">
            <w:pPr>
              <w:bidi/>
              <w:spacing w:after="187" w:line="360" w:lineRule="auto"/>
              <w:rPr>
                <w:rFonts w:ascii="David" w:eastAsia="Times New Roman" w:hAnsi="David" w:cs="David"/>
                <w:color w:val="000000"/>
                <w:sz w:val="20"/>
                <w:szCs w:val="20"/>
                <w:rtl/>
              </w:rPr>
            </w:pPr>
            <w:r w:rsidRPr="005B227A">
              <w:rPr>
                <w:rFonts w:ascii="David" w:eastAsia="Times New Roman" w:hAnsi="David" w:cs="David" w:hint="cs"/>
                <w:color w:val="000000"/>
                <w:sz w:val="20"/>
                <w:szCs w:val="20"/>
                <w:rtl/>
              </w:rPr>
              <w:t xml:space="preserve">לדיון נוסף, ראו:   </w:t>
            </w:r>
          </w:p>
          <w:p w14:paraId="58470FCB" w14:textId="77777777" w:rsidR="005B227A" w:rsidRPr="005B227A" w:rsidRDefault="005B227A" w:rsidP="005B227A">
            <w:pPr>
              <w:shd w:val="clear" w:color="auto" w:fill="FFFFFF"/>
              <w:spacing w:before="100" w:beforeAutospacing="1" w:line="480" w:lineRule="auto"/>
              <w:ind w:left="360"/>
              <w:jc w:val="both"/>
              <w:rPr>
                <w:rFonts w:ascii="David" w:eastAsia="Times New Roman" w:hAnsi="David" w:cs="David"/>
                <w:color w:val="333333"/>
                <w:sz w:val="20"/>
                <w:szCs w:val="20"/>
                <w:lang w:eastAsia="zh-CN" w:bidi="ar-SA"/>
              </w:rPr>
            </w:pPr>
            <w:r w:rsidRPr="005B227A">
              <w:rPr>
                <w:rFonts w:ascii="David" w:eastAsia="Times New Roman" w:hAnsi="David" w:cs="David"/>
                <w:color w:val="333333"/>
                <w:sz w:val="20"/>
                <w:szCs w:val="20"/>
                <w:lang w:eastAsia="zh-CN" w:bidi="ar-SA"/>
              </w:rPr>
              <w:t>Milgrom, </w:t>
            </w:r>
            <w:r w:rsidRPr="005B227A">
              <w:rPr>
                <w:rFonts w:ascii="David" w:eastAsia="Times New Roman" w:hAnsi="David" w:cs="David"/>
                <w:i/>
                <w:iCs/>
                <w:color w:val="333333"/>
                <w:sz w:val="20"/>
                <w:szCs w:val="20"/>
                <w:lang w:eastAsia="zh-CN" w:bidi="ar-SA"/>
              </w:rPr>
              <w:t>Leviticus 1–16, </w:t>
            </w:r>
            <w:r w:rsidRPr="005B227A">
              <w:rPr>
                <w:rFonts w:ascii="David" w:eastAsia="Times New Roman" w:hAnsi="David" w:cs="David"/>
                <w:color w:val="333333"/>
                <w:sz w:val="20"/>
                <w:szCs w:val="20"/>
                <w:lang w:eastAsia="zh-CN" w:bidi="ar-SA"/>
              </w:rPr>
              <w:t>1071–9.</w:t>
            </w:r>
          </w:p>
          <w:p w14:paraId="73D66CC8" w14:textId="77777777" w:rsidR="00094D49" w:rsidRPr="005B227A" w:rsidRDefault="00094D49" w:rsidP="004E1C22">
            <w:pPr>
              <w:bidi/>
              <w:spacing w:line="276" w:lineRule="auto"/>
              <w:rPr>
                <w:rFonts w:asciiTheme="minorBidi" w:hAnsiTheme="minorBidi"/>
                <w:rtl/>
              </w:rPr>
            </w:pPr>
          </w:p>
        </w:tc>
      </w:tr>
      <w:tr w:rsidR="00094D49" w14:paraId="460BBB13" w14:textId="77777777" w:rsidTr="004E1C22">
        <w:tc>
          <w:tcPr>
            <w:tcW w:w="4675" w:type="dxa"/>
          </w:tcPr>
          <w:p w14:paraId="462654B0"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094D49">
              <w:rPr>
                <w:rFonts w:ascii="Times New Roman" w:eastAsia="Times New Roman" w:hAnsi="Times New Roman" w:cs="Times New Roman"/>
                <w:color w:val="333333"/>
                <w:sz w:val="14"/>
                <w:szCs w:val="14"/>
                <w:lang w:eastAsia="zh-CN" w:bidi="ar-SA"/>
              </w:rPr>
              <w:t>1 Kings 19:12.</w:t>
            </w:r>
          </w:p>
          <w:p w14:paraId="4B4B88E2"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4377F3E7" w14:textId="77777777" w:rsidR="0059459C" w:rsidRPr="0059459C" w:rsidRDefault="0059459C" w:rsidP="0059459C">
            <w:pPr>
              <w:bidi/>
              <w:spacing w:after="187" w:line="360" w:lineRule="auto"/>
              <w:rPr>
                <w:rFonts w:ascii="David" w:eastAsia="Times New Roman" w:hAnsi="David" w:cs="David"/>
                <w:color w:val="000000"/>
                <w:sz w:val="20"/>
                <w:szCs w:val="20"/>
                <w:rtl/>
              </w:rPr>
            </w:pPr>
            <w:r w:rsidRPr="0059459C">
              <w:rPr>
                <w:rFonts w:ascii="David" w:eastAsia="Times New Roman" w:hAnsi="David" w:cs="David" w:hint="cs"/>
                <w:color w:val="000000"/>
                <w:sz w:val="20"/>
                <w:szCs w:val="20"/>
                <w:rtl/>
              </w:rPr>
              <w:t>22. מלכים א 12:19.</w:t>
            </w:r>
          </w:p>
          <w:p w14:paraId="2BCF2D5B" w14:textId="77777777" w:rsidR="00094D49" w:rsidRDefault="00094D49" w:rsidP="004E1C22">
            <w:pPr>
              <w:bidi/>
              <w:spacing w:line="276" w:lineRule="auto"/>
              <w:rPr>
                <w:rFonts w:asciiTheme="minorBidi" w:hAnsiTheme="minorBidi"/>
                <w:rtl/>
              </w:rPr>
            </w:pPr>
          </w:p>
        </w:tc>
      </w:tr>
      <w:tr w:rsidR="00094D49" w14:paraId="31714399" w14:textId="77777777" w:rsidTr="004E1C22">
        <w:tc>
          <w:tcPr>
            <w:tcW w:w="4675" w:type="dxa"/>
          </w:tcPr>
          <w:p w14:paraId="6283DE67" w14:textId="77777777" w:rsidR="00094D49" w:rsidRPr="00094D49" w:rsidRDefault="00094D49" w:rsidP="00094D49">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bookmarkStart w:id="5" w:name="_Hlk97817928"/>
            <w:r w:rsidRPr="00094D49">
              <w:rPr>
                <w:rFonts w:ascii="Times New Roman" w:eastAsia="Times New Roman" w:hAnsi="Times New Roman" w:cs="Times New Roman"/>
                <w:color w:val="333333"/>
                <w:sz w:val="14"/>
                <w:szCs w:val="14"/>
                <w:lang w:eastAsia="zh-CN" w:bidi="ar-SA"/>
              </w:rPr>
              <w:t xml:space="preserve">See R. </w:t>
            </w:r>
            <w:proofErr w:type="spellStart"/>
            <w:r w:rsidRPr="00094D49">
              <w:rPr>
                <w:rFonts w:ascii="Times New Roman" w:eastAsia="Times New Roman" w:hAnsi="Times New Roman" w:cs="Times New Roman"/>
                <w:color w:val="333333"/>
                <w:sz w:val="14"/>
                <w:szCs w:val="14"/>
                <w:lang w:eastAsia="zh-CN" w:bidi="ar-SA"/>
              </w:rPr>
              <w:t>Caplice</w:t>
            </w:r>
            <w:proofErr w:type="spellEnd"/>
            <w:r w:rsidRPr="00094D49">
              <w:rPr>
                <w:rFonts w:ascii="Times New Roman" w:eastAsia="Times New Roman" w:hAnsi="Times New Roman" w:cs="Times New Roman"/>
                <w:color w:val="333333"/>
                <w:sz w:val="14"/>
                <w:szCs w:val="14"/>
                <w:lang w:eastAsia="zh-CN" w:bidi="ar-SA"/>
              </w:rPr>
              <w:t>, “</w:t>
            </w:r>
            <w:proofErr w:type="spellStart"/>
            <w:r w:rsidRPr="00094D49">
              <w:rPr>
                <w:rFonts w:ascii="Times New Roman" w:eastAsia="Times New Roman" w:hAnsi="Times New Roman" w:cs="Times New Roman"/>
                <w:color w:val="333333"/>
                <w:sz w:val="14"/>
                <w:szCs w:val="14"/>
                <w:lang w:eastAsia="zh-CN" w:bidi="ar-SA"/>
              </w:rPr>
              <w:t>Namburbi</w:t>
            </w:r>
            <w:proofErr w:type="spellEnd"/>
            <w:r w:rsidRPr="00094D49">
              <w:rPr>
                <w:rFonts w:ascii="Times New Roman" w:eastAsia="Times New Roman" w:hAnsi="Times New Roman" w:cs="Times New Roman"/>
                <w:color w:val="333333"/>
                <w:sz w:val="14"/>
                <w:szCs w:val="14"/>
                <w:lang w:eastAsia="zh-CN" w:bidi="ar-SA"/>
              </w:rPr>
              <w:t xml:space="preserve"> Texts in the British Museum,” </w:t>
            </w:r>
            <w:proofErr w:type="spellStart"/>
            <w:r w:rsidRPr="00094D49">
              <w:rPr>
                <w:rFonts w:ascii="Times New Roman" w:eastAsia="Times New Roman" w:hAnsi="Times New Roman" w:cs="Times New Roman"/>
                <w:i/>
                <w:iCs/>
                <w:color w:val="333333"/>
                <w:sz w:val="14"/>
                <w:lang w:eastAsia="zh-CN" w:bidi="ar-SA"/>
              </w:rPr>
              <w:t>OrNS</w:t>
            </w:r>
            <w:proofErr w:type="spellEnd"/>
            <w:r w:rsidRPr="00094D49">
              <w:rPr>
                <w:rFonts w:ascii="Times New Roman" w:eastAsia="Times New Roman" w:hAnsi="Times New Roman" w:cs="Times New Roman"/>
                <w:color w:val="333333"/>
                <w:sz w:val="14"/>
                <w:szCs w:val="14"/>
                <w:lang w:eastAsia="zh-CN" w:bidi="ar-SA"/>
              </w:rPr>
              <w:t> 40 (1971), 144, l. 23’; idem, </w:t>
            </w:r>
            <w:r w:rsidRPr="00094D49">
              <w:rPr>
                <w:rFonts w:ascii="Times New Roman" w:eastAsia="Times New Roman" w:hAnsi="Times New Roman" w:cs="Times New Roman"/>
                <w:i/>
                <w:iCs/>
                <w:color w:val="333333"/>
                <w:sz w:val="14"/>
                <w:lang w:eastAsia="zh-CN" w:bidi="ar-SA"/>
              </w:rPr>
              <w:t xml:space="preserve">The Akkadian </w:t>
            </w:r>
            <w:proofErr w:type="spellStart"/>
            <w:r w:rsidRPr="00094D49">
              <w:rPr>
                <w:rFonts w:ascii="Times New Roman" w:eastAsia="Times New Roman" w:hAnsi="Times New Roman" w:cs="Times New Roman"/>
                <w:i/>
                <w:iCs/>
                <w:color w:val="333333"/>
                <w:sz w:val="14"/>
                <w:lang w:eastAsia="zh-CN" w:bidi="ar-SA"/>
              </w:rPr>
              <w:t>Namburbi</w:t>
            </w:r>
            <w:proofErr w:type="spellEnd"/>
            <w:r w:rsidRPr="00094D49">
              <w:rPr>
                <w:rFonts w:ascii="Times New Roman" w:eastAsia="Times New Roman" w:hAnsi="Times New Roman" w:cs="Times New Roman"/>
                <w:i/>
                <w:iCs/>
                <w:color w:val="333333"/>
                <w:sz w:val="14"/>
                <w:lang w:eastAsia="zh-CN" w:bidi="ar-SA"/>
              </w:rPr>
              <w:t xml:space="preserve"> Texts: An Introduction </w:t>
            </w:r>
            <w:r w:rsidRPr="00094D49">
              <w:rPr>
                <w:rFonts w:ascii="Times New Roman" w:eastAsia="Times New Roman" w:hAnsi="Times New Roman" w:cs="Times New Roman"/>
                <w:color w:val="333333"/>
                <w:sz w:val="14"/>
                <w:szCs w:val="14"/>
                <w:lang w:eastAsia="zh-CN" w:bidi="ar-SA"/>
              </w:rPr>
              <w:t xml:space="preserve">(SANE 1/1; Los Angeles: </w:t>
            </w:r>
            <w:proofErr w:type="spellStart"/>
            <w:r w:rsidRPr="00094D49">
              <w:rPr>
                <w:rFonts w:ascii="Times New Roman" w:eastAsia="Times New Roman" w:hAnsi="Times New Roman" w:cs="Times New Roman"/>
                <w:color w:val="333333"/>
                <w:sz w:val="14"/>
                <w:szCs w:val="14"/>
                <w:lang w:eastAsia="zh-CN" w:bidi="ar-SA"/>
              </w:rPr>
              <w:t>Undena</w:t>
            </w:r>
            <w:proofErr w:type="spellEnd"/>
            <w:r w:rsidRPr="00094D49">
              <w:rPr>
                <w:rFonts w:ascii="Times New Roman" w:eastAsia="Times New Roman" w:hAnsi="Times New Roman" w:cs="Times New Roman"/>
                <w:color w:val="333333"/>
                <w:sz w:val="14"/>
                <w:szCs w:val="14"/>
                <w:lang w:eastAsia="zh-CN" w:bidi="ar-SA"/>
              </w:rPr>
              <w:t>; 1974), 18. See also See S. Meier, “House Fungus: Mesopotamia and Israel (Lev 14: 33–53)</w:t>
            </w:r>
            <w:proofErr w:type="gramStart"/>
            <w:r w:rsidRPr="00094D49">
              <w:rPr>
                <w:rFonts w:ascii="Times New Roman" w:eastAsia="Times New Roman" w:hAnsi="Times New Roman" w:cs="Times New Roman"/>
                <w:color w:val="333333"/>
                <w:sz w:val="14"/>
                <w:szCs w:val="14"/>
                <w:lang w:eastAsia="zh-CN" w:bidi="ar-SA"/>
              </w:rPr>
              <w:t>,”</w:t>
            </w:r>
            <w:proofErr w:type="spellStart"/>
            <w:r w:rsidRPr="00094D49">
              <w:rPr>
                <w:rFonts w:ascii="Times New Roman" w:eastAsia="Times New Roman" w:hAnsi="Times New Roman" w:cs="Times New Roman"/>
                <w:i/>
                <w:iCs/>
                <w:color w:val="333333"/>
                <w:sz w:val="14"/>
                <w:lang w:eastAsia="zh-CN" w:bidi="ar-SA"/>
              </w:rPr>
              <w:t>RevBib</w:t>
            </w:r>
            <w:proofErr w:type="spellEnd"/>
            <w:proofErr w:type="gramEnd"/>
            <w:r w:rsidRPr="00094D49">
              <w:rPr>
                <w:rFonts w:ascii="Times New Roman" w:eastAsia="Times New Roman" w:hAnsi="Times New Roman" w:cs="Times New Roman"/>
                <w:i/>
                <w:iCs/>
                <w:color w:val="333333"/>
                <w:sz w:val="14"/>
                <w:lang w:eastAsia="zh-CN" w:bidi="ar-SA"/>
              </w:rPr>
              <w:t> </w:t>
            </w:r>
            <w:r w:rsidRPr="00094D49">
              <w:rPr>
                <w:rFonts w:ascii="Times New Roman" w:eastAsia="Times New Roman" w:hAnsi="Times New Roman" w:cs="Times New Roman"/>
                <w:color w:val="333333"/>
                <w:sz w:val="14"/>
                <w:szCs w:val="14"/>
                <w:lang w:eastAsia="zh-CN" w:bidi="ar-SA"/>
              </w:rPr>
              <w:t>96 (1989), 184–92.</w:t>
            </w:r>
          </w:p>
          <w:bookmarkEnd w:id="5"/>
          <w:p w14:paraId="2D96BD22"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4F7FAB42" w14:textId="77777777" w:rsidR="0059459C" w:rsidRPr="0059459C" w:rsidRDefault="0059459C" w:rsidP="0059459C">
            <w:pPr>
              <w:bidi/>
              <w:spacing w:after="187" w:line="360" w:lineRule="auto"/>
              <w:rPr>
                <w:rFonts w:ascii="David" w:eastAsia="Times New Roman" w:hAnsi="David" w:cs="David"/>
                <w:color w:val="000000"/>
                <w:sz w:val="20"/>
                <w:szCs w:val="20"/>
                <w:rtl/>
              </w:rPr>
            </w:pPr>
            <w:r w:rsidRPr="0059459C">
              <w:rPr>
                <w:rFonts w:ascii="David" w:eastAsia="Times New Roman" w:hAnsi="David" w:cs="David" w:hint="cs"/>
                <w:color w:val="000000"/>
                <w:sz w:val="20"/>
                <w:szCs w:val="20"/>
                <w:rtl/>
              </w:rPr>
              <w:t>23. ראו:</w:t>
            </w:r>
          </w:p>
          <w:p w14:paraId="6FD9E56E" w14:textId="77777777" w:rsidR="0059459C" w:rsidRPr="0059459C" w:rsidRDefault="0059459C" w:rsidP="0059459C">
            <w:pPr>
              <w:shd w:val="clear" w:color="auto" w:fill="FFFFFF"/>
              <w:spacing w:before="100" w:beforeAutospacing="1" w:line="480" w:lineRule="auto"/>
              <w:rPr>
                <w:rFonts w:ascii="David" w:eastAsia="Times New Roman" w:hAnsi="David" w:cs="David"/>
                <w:color w:val="333333"/>
                <w:sz w:val="20"/>
                <w:szCs w:val="20"/>
                <w:lang w:eastAsia="zh-CN" w:bidi="ar-SA"/>
              </w:rPr>
            </w:pPr>
            <w:r w:rsidRPr="0059459C">
              <w:rPr>
                <w:rFonts w:ascii="David" w:eastAsia="Times New Roman" w:hAnsi="David" w:cs="David"/>
                <w:color w:val="333333"/>
                <w:sz w:val="20"/>
                <w:szCs w:val="20"/>
                <w:lang w:eastAsia="zh-CN" w:bidi="ar-SA"/>
              </w:rPr>
              <w:t xml:space="preserve">See R. </w:t>
            </w:r>
            <w:proofErr w:type="spellStart"/>
            <w:r w:rsidRPr="0059459C">
              <w:rPr>
                <w:rFonts w:ascii="David" w:eastAsia="Times New Roman" w:hAnsi="David" w:cs="David"/>
                <w:color w:val="333333"/>
                <w:sz w:val="20"/>
                <w:szCs w:val="20"/>
                <w:lang w:eastAsia="zh-CN" w:bidi="ar-SA"/>
              </w:rPr>
              <w:t>Caplice</w:t>
            </w:r>
            <w:proofErr w:type="spellEnd"/>
            <w:r w:rsidRPr="0059459C">
              <w:rPr>
                <w:rFonts w:ascii="David" w:eastAsia="Times New Roman" w:hAnsi="David" w:cs="David"/>
                <w:color w:val="333333"/>
                <w:sz w:val="20"/>
                <w:szCs w:val="20"/>
                <w:lang w:eastAsia="zh-CN" w:bidi="ar-SA"/>
              </w:rPr>
              <w:t>, “</w:t>
            </w:r>
            <w:proofErr w:type="spellStart"/>
            <w:r w:rsidRPr="0059459C">
              <w:rPr>
                <w:rFonts w:ascii="David" w:eastAsia="Times New Roman" w:hAnsi="David" w:cs="David"/>
                <w:color w:val="333333"/>
                <w:sz w:val="20"/>
                <w:szCs w:val="20"/>
                <w:lang w:eastAsia="zh-CN" w:bidi="ar-SA"/>
              </w:rPr>
              <w:t>Namburbi</w:t>
            </w:r>
            <w:proofErr w:type="spellEnd"/>
            <w:r w:rsidRPr="0059459C">
              <w:rPr>
                <w:rFonts w:ascii="David" w:eastAsia="Times New Roman" w:hAnsi="David" w:cs="David"/>
                <w:color w:val="333333"/>
                <w:sz w:val="20"/>
                <w:szCs w:val="20"/>
                <w:lang w:eastAsia="zh-CN" w:bidi="ar-SA"/>
              </w:rPr>
              <w:t xml:space="preserve"> Texts in the British Museum,” </w:t>
            </w:r>
            <w:proofErr w:type="spellStart"/>
            <w:r w:rsidRPr="0059459C">
              <w:rPr>
                <w:rFonts w:ascii="David" w:eastAsia="Times New Roman" w:hAnsi="David" w:cs="David"/>
                <w:i/>
                <w:iCs/>
                <w:color w:val="333333"/>
                <w:sz w:val="20"/>
                <w:szCs w:val="20"/>
                <w:lang w:eastAsia="zh-CN" w:bidi="ar-SA"/>
              </w:rPr>
              <w:t>OrNS</w:t>
            </w:r>
            <w:proofErr w:type="spellEnd"/>
            <w:r w:rsidRPr="0059459C">
              <w:rPr>
                <w:rFonts w:ascii="David" w:eastAsia="Times New Roman" w:hAnsi="David" w:cs="David"/>
                <w:color w:val="333333"/>
                <w:sz w:val="20"/>
                <w:szCs w:val="20"/>
                <w:lang w:eastAsia="zh-CN" w:bidi="ar-SA"/>
              </w:rPr>
              <w:t> 40 (1971), 144, l. 23’; idem, </w:t>
            </w:r>
            <w:r w:rsidRPr="0059459C">
              <w:rPr>
                <w:rFonts w:ascii="David" w:eastAsia="Times New Roman" w:hAnsi="David" w:cs="David"/>
                <w:i/>
                <w:iCs/>
                <w:color w:val="333333"/>
                <w:sz w:val="20"/>
                <w:szCs w:val="20"/>
                <w:lang w:eastAsia="zh-CN" w:bidi="ar-SA"/>
              </w:rPr>
              <w:t xml:space="preserve">The Akkadian </w:t>
            </w:r>
            <w:proofErr w:type="spellStart"/>
            <w:r w:rsidRPr="0059459C">
              <w:rPr>
                <w:rFonts w:ascii="David" w:eastAsia="Times New Roman" w:hAnsi="David" w:cs="David"/>
                <w:i/>
                <w:iCs/>
                <w:color w:val="333333"/>
                <w:sz w:val="20"/>
                <w:szCs w:val="20"/>
                <w:lang w:eastAsia="zh-CN" w:bidi="ar-SA"/>
              </w:rPr>
              <w:t>Namburbi</w:t>
            </w:r>
            <w:proofErr w:type="spellEnd"/>
            <w:r w:rsidRPr="0059459C">
              <w:rPr>
                <w:rFonts w:ascii="David" w:eastAsia="Times New Roman" w:hAnsi="David" w:cs="David"/>
                <w:i/>
                <w:iCs/>
                <w:color w:val="333333"/>
                <w:sz w:val="20"/>
                <w:szCs w:val="20"/>
                <w:lang w:eastAsia="zh-CN" w:bidi="ar-SA"/>
              </w:rPr>
              <w:t xml:space="preserve"> Texts: An Introduction </w:t>
            </w:r>
            <w:r w:rsidRPr="0059459C">
              <w:rPr>
                <w:rFonts w:ascii="David" w:eastAsia="Times New Roman" w:hAnsi="David" w:cs="David"/>
                <w:color w:val="333333"/>
                <w:sz w:val="20"/>
                <w:szCs w:val="20"/>
                <w:lang w:eastAsia="zh-CN" w:bidi="ar-SA"/>
              </w:rPr>
              <w:t xml:space="preserve">(SANE 1/1; Los Angeles: </w:t>
            </w:r>
            <w:proofErr w:type="spellStart"/>
            <w:r w:rsidRPr="0059459C">
              <w:rPr>
                <w:rFonts w:ascii="David" w:eastAsia="Times New Roman" w:hAnsi="David" w:cs="David"/>
                <w:color w:val="333333"/>
                <w:sz w:val="20"/>
                <w:szCs w:val="20"/>
                <w:lang w:eastAsia="zh-CN" w:bidi="ar-SA"/>
              </w:rPr>
              <w:t>Undena</w:t>
            </w:r>
            <w:proofErr w:type="spellEnd"/>
            <w:r w:rsidRPr="0059459C">
              <w:rPr>
                <w:rFonts w:ascii="David" w:eastAsia="Times New Roman" w:hAnsi="David" w:cs="David"/>
                <w:color w:val="333333"/>
                <w:sz w:val="20"/>
                <w:szCs w:val="20"/>
                <w:lang w:eastAsia="zh-CN" w:bidi="ar-SA"/>
              </w:rPr>
              <w:t>; 1974), 18. See also See S. Meier, “House Fungus: Mesopotamia and Israel (Lev 14: 33–53)</w:t>
            </w:r>
            <w:proofErr w:type="gramStart"/>
            <w:r w:rsidRPr="0059459C">
              <w:rPr>
                <w:rFonts w:ascii="David" w:eastAsia="Times New Roman" w:hAnsi="David" w:cs="David"/>
                <w:color w:val="333333"/>
                <w:sz w:val="20"/>
                <w:szCs w:val="20"/>
                <w:lang w:eastAsia="zh-CN" w:bidi="ar-SA"/>
              </w:rPr>
              <w:t>,”</w:t>
            </w:r>
            <w:proofErr w:type="spellStart"/>
            <w:r w:rsidRPr="0059459C">
              <w:rPr>
                <w:rFonts w:ascii="David" w:eastAsia="Times New Roman" w:hAnsi="David" w:cs="David"/>
                <w:i/>
                <w:iCs/>
                <w:color w:val="333333"/>
                <w:sz w:val="20"/>
                <w:szCs w:val="20"/>
                <w:lang w:eastAsia="zh-CN" w:bidi="ar-SA"/>
              </w:rPr>
              <w:t>RevBib</w:t>
            </w:r>
            <w:proofErr w:type="spellEnd"/>
            <w:proofErr w:type="gramEnd"/>
            <w:r w:rsidRPr="0059459C">
              <w:rPr>
                <w:rFonts w:ascii="David" w:eastAsia="Times New Roman" w:hAnsi="David" w:cs="David"/>
                <w:i/>
                <w:iCs/>
                <w:color w:val="333333"/>
                <w:sz w:val="20"/>
                <w:szCs w:val="20"/>
                <w:lang w:eastAsia="zh-CN" w:bidi="ar-SA"/>
              </w:rPr>
              <w:t> </w:t>
            </w:r>
            <w:r w:rsidRPr="0059459C">
              <w:rPr>
                <w:rFonts w:ascii="David" w:eastAsia="Times New Roman" w:hAnsi="David" w:cs="David"/>
                <w:color w:val="333333"/>
                <w:sz w:val="20"/>
                <w:szCs w:val="20"/>
                <w:lang w:eastAsia="zh-CN" w:bidi="ar-SA"/>
              </w:rPr>
              <w:t>96 (1989), 184–92.</w:t>
            </w:r>
          </w:p>
          <w:p w14:paraId="0AE294C0" w14:textId="77777777" w:rsidR="00094D49" w:rsidRPr="0059459C" w:rsidRDefault="00094D49" w:rsidP="004E1C22">
            <w:pPr>
              <w:bidi/>
              <w:spacing w:line="276" w:lineRule="auto"/>
              <w:rPr>
                <w:rFonts w:asciiTheme="minorBidi" w:hAnsiTheme="minorBidi"/>
                <w:rtl/>
              </w:rPr>
            </w:pPr>
          </w:p>
        </w:tc>
      </w:tr>
      <w:tr w:rsidR="00094D49" w14:paraId="70BE123E" w14:textId="77777777" w:rsidTr="004E1C22">
        <w:tc>
          <w:tcPr>
            <w:tcW w:w="4675" w:type="dxa"/>
          </w:tcPr>
          <w:p w14:paraId="034F6979" w14:textId="77777777" w:rsidR="00E13596" w:rsidRPr="00E13596" w:rsidRDefault="00E13596" w:rsidP="00E1359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E13596">
              <w:rPr>
                <w:rFonts w:ascii="Times New Roman" w:eastAsia="Times New Roman" w:hAnsi="Times New Roman" w:cs="Times New Roman"/>
                <w:color w:val="333333"/>
                <w:sz w:val="14"/>
                <w:szCs w:val="14"/>
                <w:lang w:eastAsia="zh-CN" w:bidi="ar-SA"/>
              </w:rPr>
              <w:t>Milgrom’s translation: </w:t>
            </w:r>
            <w:r w:rsidRPr="00E13596">
              <w:rPr>
                <w:rFonts w:ascii="Times New Roman" w:eastAsia="Times New Roman" w:hAnsi="Times New Roman" w:cs="Times New Roman"/>
                <w:i/>
                <w:iCs/>
                <w:color w:val="333333"/>
                <w:sz w:val="14"/>
                <w:lang w:eastAsia="zh-CN" w:bidi="ar-SA"/>
              </w:rPr>
              <w:t>Leviticus 1–16, </w:t>
            </w:r>
            <w:r w:rsidRPr="00E13596">
              <w:rPr>
                <w:rFonts w:ascii="Times New Roman" w:eastAsia="Times New Roman" w:hAnsi="Times New Roman" w:cs="Times New Roman"/>
                <w:color w:val="333333"/>
                <w:sz w:val="14"/>
                <w:szCs w:val="14"/>
                <w:lang w:eastAsia="zh-CN" w:bidi="ar-SA"/>
              </w:rPr>
              <w:t>828–9.</w:t>
            </w:r>
          </w:p>
          <w:p w14:paraId="6B5DF080"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0DE04B86" w14:textId="7693337E" w:rsidR="00094D49" w:rsidRDefault="00094D49" w:rsidP="004E1C22">
            <w:pPr>
              <w:bidi/>
              <w:spacing w:line="276" w:lineRule="auto"/>
              <w:rPr>
                <w:rFonts w:asciiTheme="minorBidi" w:hAnsiTheme="minorBidi"/>
                <w:rtl/>
              </w:rPr>
            </w:pPr>
          </w:p>
        </w:tc>
      </w:tr>
      <w:tr w:rsidR="00094D49" w14:paraId="2D8872C0" w14:textId="77777777" w:rsidTr="004E1C22">
        <w:tc>
          <w:tcPr>
            <w:tcW w:w="4675" w:type="dxa"/>
          </w:tcPr>
          <w:p w14:paraId="38686E24" w14:textId="77777777" w:rsidR="00E13596" w:rsidRPr="00E13596" w:rsidRDefault="00E13596" w:rsidP="00E1359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r w:rsidRPr="00E13596">
              <w:rPr>
                <w:rFonts w:ascii="Times New Roman" w:eastAsia="Times New Roman" w:hAnsi="Times New Roman" w:cs="Times New Roman"/>
                <w:color w:val="333333"/>
                <w:sz w:val="14"/>
                <w:szCs w:val="14"/>
                <w:lang w:eastAsia="zh-CN" w:bidi="ar-SA"/>
              </w:rPr>
              <w:t>The Rabbis cited this law as evidence that the Torah shows concern for Israel’s material possessions (m. </w:t>
            </w:r>
            <w:proofErr w:type="spellStart"/>
            <w:r w:rsidRPr="00E13596">
              <w:rPr>
                <w:rFonts w:ascii="Times New Roman" w:eastAsia="Times New Roman" w:hAnsi="Times New Roman" w:cs="Times New Roman"/>
                <w:i/>
                <w:iCs/>
                <w:color w:val="333333"/>
                <w:sz w:val="14"/>
                <w:lang w:eastAsia="zh-CN" w:bidi="ar-SA"/>
              </w:rPr>
              <w:t>Negaim</w:t>
            </w:r>
            <w:proofErr w:type="spellEnd"/>
            <w:r w:rsidRPr="00E13596">
              <w:rPr>
                <w:rFonts w:ascii="Times New Roman" w:eastAsia="Times New Roman" w:hAnsi="Times New Roman" w:cs="Times New Roman"/>
                <w:i/>
                <w:iCs/>
                <w:color w:val="333333"/>
                <w:sz w:val="14"/>
                <w:lang w:eastAsia="zh-CN" w:bidi="ar-SA"/>
              </w:rPr>
              <w:t> </w:t>
            </w:r>
            <w:r w:rsidRPr="00E13596">
              <w:rPr>
                <w:rFonts w:ascii="Times New Roman" w:eastAsia="Times New Roman" w:hAnsi="Times New Roman" w:cs="Times New Roman"/>
                <w:color w:val="333333"/>
                <w:sz w:val="14"/>
                <w:szCs w:val="14"/>
                <w:lang w:eastAsia="zh-CN" w:bidi="ar-SA"/>
              </w:rPr>
              <w:t>12:5).</w:t>
            </w:r>
          </w:p>
          <w:p w14:paraId="0C5D5EF9"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10B9D4A" w14:textId="77777777" w:rsidR="0059459C" w:rsidRPr="0059459C" w:rsidRDefault="0059459C" w:rsidP="0059459C">
            <w:pPr>
              <w:bidi/>
              <w:spacing w:after="187" w:line="360" w:lineRule="auto"/>
              <w:rPr>
                <w:rFonts w:ascii="David" w:eastAsia="Times New Roman" w:hAnsi="David" w:cs="David"/>
                <w:color w:val="000000"/>
                <w:sz w:val="20"/>
                <w:szCs w:val="20"/>
                <w:rtl/>
              </w:rPr>
            </w:pPr>
            <w:r w:rsidRPr="0059459C">
              <w:rPr>
                <w:rFonts w:ascii="David" w:eastAsia="Times New Roman" w:hAnsi="David" w:cs="David"/>
                <w:color w:val="000000"/>
                <w:sz w:val="20"/>
                <w:szCs w:val="20"/>
              </w:rPr>
              <w:lastRenderedPageBreak/>
              <w:t>24</w:t>
            </w:r>
            <w:r w:rsidRPr="0059459C">
              <w:rPr>
                <w:rFonts w:ascii="David" w:eastAsia="Times New Roman" w:hAnsi="David" w:cs="David" w:hint="cs"/>
                <w:color w:val="000000"/>
                <w:sz w:val="20"/>
                <w:szCs w:val="20"/>
                <w:rtl/>
              </w:rPr>
              <w:t>. הרבנים ציינו חוק זה כראיה שהתורה דואגת לחפציהם החומריים של ישראל (מסכת נגעים 5:12).</w:t>
            </w:r>
          </w:p>
          <w:p w14:paraId="75112369" w14:textId="77777777" w:rsidR="00094D49" w:rsidRDefault="00094D49" w:rsidP="004E1C22">
            <w:pPr>
              <w:bidi/>
              <w:spacing w:line="276" w:lineRule="auto"/>
              <w:rPr>
                <w:rFonts w:asciiTheme="minorBidi" w:hAnsiTheme="minorBidi"/>
                <w:rtl/>
              </w:rPr>
            </w:pPr>
          </w:p>
        </w:tc>
      </w:tr>
      <w:tr w:rsidR="00094D49" w14:paraId="7C50DA83" w14:textId="77777777" w:rsidTr="004E1C22">
        <w:tc>
          <w:tcPr>
            <w:tcW w:w="4675" w:type="dxa"/>
          </w:tcPr>
          <w:p w14:paraId="21BCE503" w14:textId="77777777" w:rsidR="00E13596" w:rsidRPr="00E13596" w:rsidRDefault="00E13596" w:rsidP="00E13596">
            <w:pPr>
              <w:numPr>
                <w:ilvl w:val="0"/>
                <w:numId w:val="1"/>
              </w:numPr>
              <w:shd w:val="clear" w:color="auto" w:fill="FFFFFF"/>
              <w:spacing w:before="100" w:beforeAutospacing="1" w:line="480" w:lineRule="auto"/>
              <w:rPr>
                <w:rFonts w:ascii="Times New Roman" w:eastAsia="Times New Roman" w:hAnsi="Times New Roman" w:cs="Times New Roman"/>
                <w:color w:val="333333"/>
                <w:sz w:val="14"/>
                <w:szCs w:val="14"/>
                <w:lang w:eastAsia="zh-CN" w:bidi="ar-SA"/>
              </w:rPr>
            </w:pPr>
            <w:bookmarkStart w:id="6" w:name="_Hlk97823927"/>
            <w:r w:rsidRPr="00E13596">
              <w:rPr>
                <w:rFonts w:ascii="Times New Roman" w:eastAsia="Times New Roman" w:hAnsi="Times New Roman" w:cs="Times New Roman"/>
                <w:color w:val="333333"/>
                <w:sz w:val="14"/>
                <w:szCs w:val="14"/>
                <w:lang w:eastAsia="zh-CN" w:bidi="ar-SA"/>
              </w:rPr>
              <w:lastRenderedPageBreak/>
              <w:t> </w:t>
            </w:r>
            <w:r w:rsidRPr="00E13596">
              <w:rPr>
                <w:rFonts w:ascii="Times New Roman" w:eastAsia="Times New Roman" w:hAnsi="Times New Roman" w:cs="Times New Roman"/>
                <w:i/>
                <w:iCs/>
                <w:color w:val="333333"/>
                <w:sz w:val="14"/>
                <w:lang w:eastAsia="zh-CN" w:bidi="ar-SA"/>
              </w:rPr>
              <w:t>Leviticus 1–16, </w:t>
            </w:r>
            <w:r w:rsidRPr="00E13596">
              <w:rPr>
                <w:rFonts w:ascii="Times New Roman" w:eastAsia="Times New Roman" w:hAnsi="Times New Roman" w:cs="Times New Roman"/>
                <w:color w:val="333333"/>
                <w:sz w:val="14"/>
                <w:szCs w:val="14"/>
                <w:lang w:eastAsia="zh-CN" w:bidi="ar-SA"/>
              </w:rPr>
              <w:t>889.</w:t>
            </w:r>
          </w:p>
          <w:bookmarkEnd w:id="6"/>
          <w:p w14:paraId="6633EC9B" w14:textId="77777777" w:rsidR="00094D49" w:rsidRPr="00134FD3" w:rsidRDefault="00094D49" w:rsidP="00134FD3">
            <w:pPr>
              <w:shd w:val="clear" w:color="auto" w:fill="FFFFFF"/>
              <w:spacing w:before="187" w:after="94" w:line="281" w:lineRule="atLeast"/>
              <w:outlineLvl w:val="2"/>
              <w:rPr>
                <w:rFonts w:ascii="Times New Roman" w:eastAsia="Times New Roman" w:hAnsi="Times New Roman" w:cs="Times New Roman"/>
                <w:color w:val="000000"/>
                <w:sz w:val="20"/>
                <w:szCs w:val="20"/>
                <w:lang w:eastAsia="zh-CN" w:bidi="ar-SA"/>
              </w:rPr>
            </w:pPr>
          </w:p>
        </w:tc>
        <w:tc>
          <w:tcPr>
            <w:tcW w:w="4675" w:type="dxa"/>
          </w:tcPr>
          <w:p w14:paraId="3A90442B" w14:textId="77777777" w:rsidR="0059459C" w:rsidRPr="0059459C" w:rsidRDefault="0059459C" w:rsidP="0059459C">
            <w:pPr>
              <w:shd w:val="clear" w:color="auto" w:fill="FFFFFF"/>
              <w:spacing w:before="100" w:beforeAutospacing="1" w:line="480" w:lineRule="auto"/>
              <w:ind w:left="360"/>
              <w:jc w:val="right"/>
              <w:rPr>
                <w:rFonts w:ascii="David" w:eastAsia="Times New Roman" w:hAnsi="David" w:cs="David"/>
                <w:color w:val="333333"/>
                <w:sz w:val="20"/>
                <w:szCs w:val="20"/>
                <w:lang w:eastAsia="zh-CN" w:bidi="ar-SA"/>
              </w:rPr>
            </w:pPr>
            <w:r w:rsidRPr="0059459C">
              <w:rPr>
                <w:rFonts w:ascii="David" w:eastAsia="Times New Roman" w:hAnsi="David" w:cs="David"/>
                <w:color w:val="333333"/>
                <w:sz w:val="20"/>
                <w:szCs w:val="20"/>
                <w:lang w:eastAsia="zh-CN" w:bidi="ar-SA"/>
              </w:rPr>
              <w:t> </w:t>
            </w:r>
            <w:r w:rsidRPr="0059459C">
              <w:rPr>
                <w:rFonts w:ascii="David" w:eastAsia="Times New Roman" w:hAnsi="David" w:cs="David" w:hint="cs"/>
                <w:color w:val="333333"/>
                <w:sz w:val="20"/>
                <w:szCs w:val="20"/>
                <w:lang w:eastAsia="zh-CN"/>
              </w:rPr>
              <w:t>M</w:t>
            </w:r>
            <w:r w:rsidRPr="0059459C">
              <w:rPr>
                <w:rFonts w:ascii="David" w:eastAsia="Times New Roman" w:hAnsi="David" w:cs="David"/>
                <w:color w:val="333333"/>
                <w:sz w:val="20"/>
                <w:szCs w:val="20"/>
                <w:lang w:eastAsia="zh-CN"/>
              </w:rPr>
              <w:t xml:space="preserve">ilgrom, </w:t>
            </w:r>
            <w:r w:rsidRPr="0059459C">
              <w:rPr>
                <w:rFonts w:ascii="David" w:eastAsia="Times New Roman" w:hAnsi="David" w:cs="David"/>
                <w:i/>
                <w:iCs/>
                <w:color w:val="333333"/>
                <w:sz w:val="20"/>
                <w:szCs w:val="20"/>
                <w:lang w:eastAsia="zh-CN" w:bidi="ar-SA"/>
              </w:rPr>
              <w:t>Leviticus 1–16, </w:t>
            </w:r>
            <w:r w:rsidRPr="0059459C">
              <w:rPr>
                <w:rFonts w:ascii="David" w:eastAsia="Times New Roman" w:hAnsi="David" w:cs="David"/>
                <w:color w:val="333333"/>
                <w:sz w:val="20"/>
                <w:szCs w:val="20"/>
                <w:lang w:eastAsia="zh-CN" w:bidi="ar-SA"/>
              </w:rPr>
              <w:t>889</w:t>
            </w:r>
            <w:r w:rsidRPr="0059459C">
              <w:rPr>
                <w:rFonts w:ascii="David" w:eastAsia="Times New Roman" w:hAnsi="David" w:cs="David" w:hint="cs"/>
                <w:color w:val="333333"/>
                <w:sz w:val="20"/>
                <w:szCs w:val="20"/>
                <w:rtl/>
                <w:lang w:eastAsia="zh-CN"/>
              </w:rPr>
              <w:t>.</w:t>
            </w:r>
            <w:r w:rsidRPr="0059459C">
              <w:rPr>
                <w:rFonts w:ascii="David" w:eastAsia="Times New Roman" w:hAnsi="David" w:cs="David"/>
                <w:color w:val="333333"/>
                <w:sz w:val="20"/>
                <w:szCs w:val="20"/>
                <w:lang w:eastAsia="zh-CN" w:bidi="ar-SA"/>
              </w:rPr>
              <w:t xml:space="preserve"> .25</w:t>
            </w:r>
          </w:p>
          <w:p w14:paraId="7108DE9B" w14:textId="77777777" w:rsidR="00094D49" w:rsidRDefault="00094D49" w:rsidP="004E1C22">
            <w:pPr>
              <w:bidi/>
              <w:spacing w:line="276" w:lineRule="auto"/>
              <w:rPr>
                <w:rFonts w:asciiTheme="minorBidi" w:hAnsiTheme="minorBidi"/>
                <w:rtl/>
              </w:rPr>
            </w:pPr>
          </w:p>
        </w:tc>
      </w:tr>
    </w:tbl>
    <w:p w14:paraId="333655AB" w14:textId="74353320" w:rsidR="00057E0D" w:rsidRDefault="00057E0D" w:rsidP="00057E0D">
      <w:pPr>
        <w:spacing w:line="276" w:lineRule="auto"/>
        <w:rPr>
          <w:rFonts w:asciiTheme="minorBidi" w:hAnsiTheme="minorBidi"/>
        </w:rPr>
      </w:pPr>
    </w:p>
    <w:p w14:paraId="37F7360E" w14:textId="0BD5D56F" w:rsidR="00695229" w:rsidRDefault="00695229" w:rsidP="00057E0D">
      <w:pPr>
        <w:spacing w:line="276" w:lineRule="auto"/>
        <w:rPr>
          <w:rFonts w:asciiTheme="minorBidi" w:hAnsiTheme="minorBidi"/>
        </w:rPr>
      </w:pPr>
      <w:r>
        <w:rPr>
          <w:rFonts w:asciiTheme="minorBidi" w:hAnsiTheme="minorBidi"/>
        </w:rPr>
        <w:t>Original</w:t>
      </w:r>
    </w:p>
    <w:p w14:paraId="478BE39E" w14:textId="77777777" w:rsidR="00695229" w:rsidRPr="00695229" w:rsidRDefault="00695229" w:rsidP="00695229">
      <w:pPr>
        <w:shd w:val="clear" w:color="auto" w:fill="FFFFFF"/>
        <w:spacing w:before="131" w:after="131" w:line="393" w:lineRule="atLeast"/>
        <w:jc w:val="center"/>
        <w:outlineLvl w:val="1"/>
        <w:rPr>
          <w:rFonts w:ascii="Times New Roman" w:eastAsia="Times New Roman" w:hAnsi="Times New Roman" w:cs="Times New Roman"/>
          <w:color w:val="000000"/>
          <w:sz w:val="23"/>
          <w:szCs w:val="23"/>
          <w:lang w:eastAsia="zh-CN" w:bidi="ar-SA"/>
        </w:rPr>
      </w:pPr>
      <w:r w:rsidRPr="00695229">
        <w:rPr>
          <w:rFonts w:ascii="Times New Roman" w:eastAsia="Times New Roman" w:hAnsi="Times New Roman" w:cs="Times New Roman"/>
          <w:color w:val="000000"/>
          <w:sz w:val="23"/>
          <w:szCs w:val="23"/>
          <w:lang w:eastAsia="zh-CN" w:bidi="ar-SA"/>
        </w:rPr>
        <w:t>The Torah’s Treatment?</w:t>
      </w:r>
    </w:p>
    <w:p w14:paraId="5CA80368" w14:textId="77777777" w:rsidR="00695229" w:rsidRPr="00695229" w:rsidRDefault="00695229" w:rsidP="00695229">
      <w:pPr>
        <w:shd w:val="clear" w:color="auto" w:fill="FFFFFF"/>
        <w:spacing w:after="187" w:line="290" w:lineRule="atLeast"/>
        <w:rPr>
          <w:rFonts w:ascii="Times New Roman" w:eastAsia="Times New Roman" w:hAnsi="Times New Roman" w:cs="Times New Roman"/>
          <w:color w:val="000000"/>
          <w:sz w:val="16"/>
          <w:szCs w:val="16"/>
          <w:lang w:eastAsia="zh-CN" w:bidi="ar-SA"/>
        </w:rPr>
      </w:pPr>
      <w:r w:rsidRPr="00695229">
        <w:rPr>
          <w:rFonts w:ascii="Times New Roman" w:eastAsia="Times New Roman" w:hAnsi="Times New Roman" w:cs="Times New Roman"/>
          <w:color w:val="000000"/>
          <w:sz w:val="16"/>
          <w:szCs w:val="16"/>
          <w:lang w:eastAsia="zh-CN" w:bidi="ar-SA"/>
        </w:rPr>
        <w:t>The most significant parallels and differences become clear when we compare the overall structure of these two texts:</w:t>
      </w:r>
    </w:p>
    <w:tbl>
      <w:tblPr>
        <w:tblW w:w="0" w:type="auto"/>
        <w:tblLook w:val="04A0" w:firstRow="1" w:lastRow="0" w:firstColumn="1" w:lastColumn="0" w:noHBand="0" w:noVBand="1"/>
      </w:tblPr>
      <w:tblGrid>
        <w:gridCol w:w="1325"/>
        <w:gridCol w:w="1992"/>
        <w:gridCol w:w="3806"/>
      </w:tblGrid>
      <w:tr w:rsidR="00695229" w:rsidRPr="00695229" w14:paraId="443F75F6" w14:textId="77777777" w:rsidTr="00695229">
        <w:tc>
          <w:tcPr>
            <w:tcW w:w="1150" w:type="dxa"/>
            <w:tcMar>
              <w:top w:w="75" w:type="dxa"/>
              <w:left w:w="122" w:type="dxa"/>
              <w:bottom w:w="84" w:type="dxa"/>
              <w:right w:w="56" w:type="dxa"/>
            </w:tcMar>
            <w:hideMark/>
          </w:tcPr>
          <w:p w14:paraId="349792E9"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w:t>
            </w:r>
          </w:p>
        </w:tc>
        <w:tc>
          <w:tcPr>
            <w:tcW w:w="1992" w:type="dxa"/>
            <w:tcMar>
              <w:top w:w="75" w:type="dxa"/>
              <w:left w:w="122" w:type="dxa"/>
              <w:bottom w:w="84" w:type="dxa"/>
              <w:right w:w="56" w:type="dxa"/>
            </w:tcMar>
            <w:hideMark/>
          </w:tcPr>
          <w:p w14:paraId="35EBBE3A"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proofErr w:type="spellStart"/>
            <w:r w:rsidRPr="00695229">
              <w:rPr>
                <w:rFonts w:ascii="Times New Roman" w:eastAsia="Times New Roman" w:hAnsi="Times New Roman" w:cs="Times New Roman"/>
                <w:b/>
                <w:bCs/>
                <w:i/>
                <w:iCs/>
                <w:sz w:val="24"/>
                <w:szCs w:val="24"/>
                <w:lang w:eastAsia="zh-CN" w:bidi="ar-SA"/>
              </w:rPr>
              <w:t>saḫaršubbû</w:t>
            </w:r>
            <w:proofErr w:type="spellEnd"/>
            <w:r w:rsidRPr="00695229">
              <w:rPr>
                <w:rFonts w:ascii="Times New Roman" w:eastAsia="Times New Roman" w:hAnsi="Times New Roman" w:cs="Times New Roman"/>
                <w:b/>
                <w:bCs/>
                <w:i/>
                <w:iCs/>
                <w:sz w:val="24"/>
                <w:szCs w:val="24"/>
                <w:lang w:eastAsia="zh-CN" w:bidi="ar-SA"/>
              </w:rPr>
              <w:t xml:space="preserve"> - </w:t>
            </w:r>
            <w:proofErr w:type="spellStart"/>
            <w:r w:rsidRPr="00695229">
              <w:rPr>
                <w:rFonts w:ascii="Times New Roman" w:eastAsia="Times New Roman" w:hAnsi="Times New Roman" w:cs="Times New Roman"/>
                <w:b/>
                <w:bCs/>
                <w:sz w:val="24"/>
                <w:szCs w:val="24"/>
                <w:lang w:eastAsia="zh-CN" w:bidi="ar-SA"/>
              </w:rPr>
              <w:t>Emar</w:t>
            </w:r>
            <w:proofErr w:type="spellEnd"/>
            <w:r w:rsidRPr="00695229">
              <w:rPr>
                <w:rFonts w:ascii="Times New Roman" w:eastAsia="Times New Roman" w:hAnsi="Times New Roman" w:cs="Times New Roman"/>
                <w:b/>
                <w:bCs/>
                <w:sz w:val="24"/>
                <w:szCs w:val="24"/>
                <w:lang w:eastAsia="zh-CN" w:bidi="ar-SA"/>
              </w:rPr>
              <w:t xml:space="preserve"> tablet, </w:t>
            </w:r>
            <w:proofErr w:type="spellStart"/>
            <w:r w:rsidRPr="00695229">
              <w:rPr>
                <w:rFonts w:ascii="Times New Roman" w:eastAsia="Times New Roman" w:hAnsi="Times New Roman" w:cs="Times New Roman"/>
                <w:b/>
                <w:bCs/>
                <w:sz w:val="24"/>
                <w:szCs w:val="24"/>
                <w:lang w:eastAsia="zh-CN" w:bidi="ar-SA"/>
              </w:rPr>
              <w:t>ll</w:t>
            </w:r>
            <w:proofErr w:type="spellEnd"/>
            <w:r w:rsidRPr="00695229">
              <w:rPr>
                <w:rFonts w:ascii="Times New Roman" w:eastAsia="Times New Roman" w:hAnsi="Times New Roman" w:cs="Times New Roman"/>
                <w:b/>
                <w:bCs/>
                <w:sz w:val="24"/>
                <w:szCs w:val="24"/>
                <w:lang w:eastAsia="zh-CN" w:bidi="ar-SA"/>
              </w:rPr>
              <w:t> </w:t>
            </w:r>
            <w:r w:rsidRPr="00695229">
              <w:rPr>
                <w:rFonts w:ascii="Times New Roman" w:eastAsia="Times New Roman" w:hAnsi="Times New Roman" w:cs="Times New Roman"/>
                <w:sz w:val="24"/>
                <w:szCs w:val="24"/>
                <w:lang w:eastAsia="zh-CN" w:bidi="ar-SA"/>
              </w:rPr>
              <w:t>(examples)</w:t>
            </w:r>
          </w:p>
        </w:tc>
        <w:tc>
          <w:tcPr>
            <w:tcW w:w="3806" w:type="dxa"/>
            <w:tcMar>
              <w:top w:w="75" w:type="dxa"/>
              <w:left w:w="122" w:type="dxa"/>
              <w:bottom w:w="84" w:type="dxa"/>
              <w:right w:w="56" w:type="dxa"/>
            </w:tcMar>
            <w:hideMark/>
          </w:tcPr>
          <w:p w14:paraId="2FED78C9"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proofErr w:type="spellStart"/>
            <w:r w:rsidRPr="00695229">
              <w:rPr>
                <w:rFonts w:ascii="Times New Roman" w:eastAsia="Times New Roman" w:hAnsi="Times New Roman" w:cs="Times New Roman"/>
                <w:b/>
                <w:bCs/>
                <w:i/>
                <w:iCs/>
                <w:sz w:val="24"/>
                <w:szCs w:val="24"/>
                <w:lang w:eastAsia="zh-CN" w:bidi="ar-SA"/>
              </w:rPr>
              <w:t>ṣara‛at</w:t>
            </w:r>
            <w:proofErr w:type="spellEnd"/>
            <w:r w:rsidRPr="00695229">
              <w:rPr>
                <w:rFonts w:ascii="Times New Roman" w:eastAsia="Times New Roman" w:hAnsi="Times New Roman" w:cs="Times New Roman"/>
                <w:b/>
                <w:bCs/>
                <w:i/>
                <w:iCs/>
                <w:sz w:val="24"/>
                <w:szCs w:val="24"/>
                <w:lang w:eastAsia="zh-CN" w:bidi="ar-SA"/>
              </w:rPr>
              <w:t xml:space="preserve"> - </w:t>
            </w:r>
            <w:r w:rsidRPr="00695229">
              <w:rPr>
                <w:rFonts w:ascii="Times New Roman" w:eastAsia="Times New Roman" w:hAnsi="Times New Roman" w:cs="Times New Roman"/>
                <w:b/>
                <w:bCs/>
                <w:sz w:val="24"/>
                <w:szCs w:val="24"/>
                <w:lang w:eastAsia="zh-CN" w:bidi="ar-SA"/>
              </w:rPr>
              <w:t>Leviticus</w:t>
            </w:r>
            <w:r w:rsidRPr="00695229">
              <w:rPr>
                <w:rFonts w:ascii="Times New Roman" w:eastAsia="Times New Roman" w:hAnsi="Times New Roman" w:cs="Times New Roman"/>
                <w:sz w:val="24"/>
                <w:szCs w:val="24"/>
                <w:lang w:eastAsia="zh-CN" w:bidi="ar-SA"/>
              </w:rPr>
              <w:t> (examples)</w:t>
            </w:r>
          </w:p>
        </w:tc>
      </w:tr>
      <w:tr w:rsidR="00695229" w:rsidRPr="00695229" w14:paraId="497410D6" w14:textId="77777777" w:rsidTr="00695229">
        <w:tc>
          <w:tcPr>
            <w:tcW w:w="1150" w:type="dxa"/>
            <w:tcMar>
              <w:top w:w="75" w:type="dxa"/>
              <w:left w:w="122" w:type="dxa"/>
              <w:bottom w:w="84" w:type="dxa"/>
              <w:right w:w="56" w:type="dxa"/>
            </w:tcMar>
            <w:hideMark/>
          </w:tcPr>
          <w:p w14:paraId="519D2805"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b/>
                <w:bCs/>
                <w:sz w:val="24"/>
                <w:szCs w:val="24"/>
                <w:lang w:eastAsia="zh-CN" w:bidi="ar-SA"/>
              </w:rPr>
              <w:t>Diagnostic procedures</w:t>
            </w:r>
          </w:p>
        </w:tc>
        <w:tc>
          <w:tcPr>
            <w:tcW w:w="1992" w:type="dxa"/>
            <w:tcMar>
              <w:top w:w="75" w:type="dxa"/>
              <w:left w:w="122" w:type="dxa"/>
              <w:bottom w:w="84" w:type="dxa"/>
              <w:right w:w="56" w:type="dxa"/>
            </w:tcMar>
            <w:hideMark/>
          </w:tcPr>
          <w:p w14:paraId="151536DD"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“If a person has </w:t>
            </w:r>
            <w:proofErr w:type="spellStart"/>
            <w:r w:rsidRPr="00695229">
              <w:rPr>
                <w:rFonts w:ascii="Times New Roman" w:eastAsia="Times New Roman" w:hAnsi="Times New Roman" w:cs="Times New Roman"/>
                <w:i/>
                <w:iCs/>
                <w:sz w:val="24"/>
                <w:szCs w:val="24"/>
                <w:lang w:eastAsia="zh-CN" w:bidi="ar-SA"/>
              </w:rPr>
              <w:t>s.</w:t>
            </w:r>
            <w:r w:rsidRPr="00695229">
              <w:rPr>
                <w:rFonts w:ascii="Times New Roman" w:eastAsia="Times New Roman" w:hAnsi="Times New Roman" w:cs="Times New Roman"/>
                <w:sz w:val="24"/>
                <w:szCs w:val="24"/>
                <w:lang w:eastAsia="zh-CN" w:bidi="ar-SA"/>
              </w:rPr>
              <w:t>and</w:t>
            </w:r>
            <w:proofErr w:type="spellEnd"/>
            <w:r w:rsidRPr="00695229">
              <w:rPr>
                <w:rFonts w:ascii="Times New Roman" w:eastAsia="Times New Roman" w:hAnsi="Times New Roman" w:cs="Times New Roman"/>
                <w:sz w:val="24"/>
                <w:szCs w:val="24"/>
                <w:lang w:eastAsia="zh-CN" w:bidi="ar-SA"/>
              </w:rPr>
              <w:t xml:space="preserve"> there is white color on his body…” (53)</w:t>
            </w:r>
          </w:p>
        </w:tc>
        <w:tc>
          <w:tcPr>
            <w:tcW w:w="3806" w:type="dxa"/>
            <w:tcMar>
              <w:top w:w="75" w:type="dxa"/>
              <w:left w:w="122" w:type="dxa"/>
              <w:bottom w:w="84" w:type="dxa"/>
              <w:right w:w="56" w:type="dxa"/>
            </w:tcMar>
            <w:hideMark/>
          </w:tcPr>
          <w:p w14:paraId="69E6771A"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“And the priest shall see, and look, there is a white lesion in the skin, and it has turned the hair white…” (10)</w:t>
            </w:r>
          </w:p>
        </w:tc>
      </w:tr>
      <w:tr w:rsidR="00695229" w:rsidRPr="00695229" w14:paraId="52743D70" w14:textId="77777777" w:rsidTr="00695229">
        <w:tc>
          <w:tcPr>
            <w:tcW w:w="1150" w:type="dxa"/>
            <w:tcMar>
              <w:top w:w="75" w:type="dxa"/>
              <w:left w:w="122" w:type="dxa"/>
              <w:bottom w:w="84" w:type="dxa"/>
              <w:right w:w="56" w:type="dxa"/>
            </w:tcMar>
            <w:hideMark/>
          </w:tcPr>
          <w:p w14:paraId="04B6CD45"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w:t>
            </w:r>
          </w:p>
        </w:tc>
        <w:tc>
          <w:tcPr>
            <w:tcW w:w="1992" w:type="dxa"/>
            <w:tcMar>
              <w:top w:w="75" w:type="dxa"/>
              <w:left w:w="122" w:type="dxa"/>
              <w:bottom w:w="84" w:type="dxa"/>
              <w:right w:w="56" w:type="dxa"/>
            </w:tcMar>
            <w:hideMark/>
          </w:tcPr>
          <w:p w14:paraId="73ED7647"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w:t>
            </w:r>
            <w:proofErr w:type="gramStart"/>
            <w:r w:rsidRPr="00695229">
              <w:rPr>
                <w:rFonts w:ascii="Times New Roman" w:eastAsia="Times New Roman" w:hAnsi="Times New Roman" w:cs="Times New Roman"/>
                <w:sz w:val="24"/>
                <w:szCs w:val="24"/>
                <w:lang w:eastAsia="zh-CN" w:bidi="ar-SA"/>
              </w:rPr>
              <w:t>Likewise</w:t>
            </w:r>
            <w:proofErr w:type="gramEnd"/>
            <w:r w:rsidRPr="00695229">
              <w:rPr>
                <w:rFonts w:ascii="Times New Roman" w:eastAsia="Times New Roman" w:hAnsi="Times New Roman" w:cs="Times New Roman"/>
                <w:sz w:val="24"/>
                <w:szCs w:val="24"/>
                <w:lang w:eastAsia="zh-CN" w:bidi="ar-SA"/>
              </w:rPr>
              <w:t xml:space="preserve"> if the </w:t>
            </w:r>
            <w:r w:rsidRPr="00695229">
              <w:rPr>
                <w:rFonts w:ascii="Times New Roman" w:eastAsia="Times New Roman" w:hAnsi="Times New Roman" w:cs="Times New Roman"/>
                <w:i/>
                <w:iCs/>
                <w:sz w:val="24"/>
                <w:szCs w:val="24"/>
                <w:lang w:eastAsia="zh-CN" w:bidi="ar-SA"/>
              </w:rPr>
              <w:t>s. </w:t>
            </w:r>
            <w:r w:rsidRPr="00695229">
              <w:rPr>
                <w:rFonts w:ascii="Times New Roman" w:eastAsia="Times New Roman" w:hAnsi="Times New Roman" w:cs="Times New Roman"/>
                <w:sz w:val="24"/>
                <w:szCs w:val="24"/>
                <w:lang w:eastAsia="zh-CN" w:bidi="ar-SA"/>
              </w:rPr>
              <w:t>is yellow and red…” (55)</w:t>
            </w:r>
          </w:p>
        </w:tc>
        <w:tc>
          <w:tcPr>
            <w:tcW w:w="3806" w:type="dxa"/>
            <w:tcMar>
              <w:top w:w="75" w:type="dxa"/>
              <w:left w:w="122" w:type="dxa"/>
              <w:bottom w:w="84" w:type="dxa"/>
              <w:right w:w="56" w:type="dxa"/>
            </w:tcMar>
            <w:hideMark/>
          </w:tcPr>
          <w:p w14:paraId="77DF740E"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“And if the flesh on his skin has a burn by fire and the healthy part of the burn on his skin becomes bright, shiny reddish–white or white…” (25)</w:t>
            </w:r>
          </w:p>
        </w:tc>
      </w:tr>
      <w:tr w:rsidR="00695229" w:rsidRPr="00695229" w14:paraId="04B11D22" w14:textId="77777777" w:rsidTr="00695229">
        <w:tc>
          <w:tcPr>
            <w:tcW w:w="1150" w:type="dxa"/>
            <w:tcMar>
              <w:top w:w="75" w:type="dxa"/>
              <w:left w:w="122" w:type="dxa"/>
              <w:bottom w:w="84" w:type="dxa"/>
              <w:right w:w="56" w:type="dxa"/>
            </w:tcMar>
            <w:hideMark/>
          </w:tcPr>
          <w:p w14:paraId="5065D15F"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b/>
                <w:bCs/>
                <w:sz w:val="24"/>
                <w:szCs w:val="24"/>
                <w:lang w:eastAsia="zh-CN" w:bidi="ar-SA"/>
              </w:rPr>
              <w:t>Treatment of Illness</w:t>
            </w:r>
          </w:p>
        </w:tc>
        <w:tc>
          <w:tcPr>
            <w:tcW w:w="1992" w:type="dxa"/>
            <w:tcMar>
              <w:top w:w="75" w:type="dxa"/>
              <w:left w:w="122" w:type="dxa"/>
              <w:bottom w:w="84" w:type="dxa"/>
              <w:right w:w="56" w:type="dxa"/>
            </w:tcMar>
            <w:hideMark/>
          </w:tcPr>
          <w:p w14:paraId="6D1E01A0"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“…you should take </w:t>
            </w:r>
            <w:proofErr w:type="spellStart"/>
            <w:r w:rsidRPr="00695229">
              <w:rPr>
                <w:rFonts w:ascii="Times New Roman" w:eastAsia="Times New Roman" w:hAnsi="Times New Roman" w:cs="Times New Roman"/>
                <w:i/>
                <w:iCs/>
                <w:sz w:val="24"/>
                <w:szCs w:val="24"/>
                <w:lang w:eastAsia="zh-CN" w:bidi="ar-SA"/>
              </w:rPr>
              <w:t>ašāgu</w:t>
            </w:r>
            <w:proofErr w:type="spellEnd"/>
            <w:r w:rsidRPr="00695229">
              <w:rPr>
                <w:rFonts w:ascii="Times New Roman" w:eastAsia="Times New Roman" w:hAnsi="Times New Roman" w:cs="Times New Roman"/>
                <w:i/>
                <w:iCs/>
                <w:sz w:val="24"/>
                <w:szCs w:val="24"/>
                <w:lang w:eastAsia="zh-CN" w:bidi="ar-SA"/>
              </w:rPr>
              <w:t> </w:t>
            </w:r>
            <w:r w:rsidRPr="00695229">
              <w:rPr>
                <w:rFonts w:ascii="Times New Roman" w:eastAsia="Times New Roman" w:hAnsi="Times New Roman" w:cs="Times New Roman"/>
                <w:sz w:val="24"/>
                <w:szCs w:val="24"/>
                <w:lang w:eastAsia="zh-CN" w:bidi="ar-SA"/>
              </w:rPr>
              <w:t>plant, salt, barley, flour…and anoint him and he will get well” (53–54)</w:t>
            </w:r>
          </w:p>
        </w:tc>
        <w:tc>
          <w:tcPr>
            <w:tcW w:w="3806" w:type="dxa"/>
            <w:tcMar>
              <w:top w:w="75" w:type="dxa"/>
              <w:left w:w="122" w:type="dxa"/>
              <w:bottom w:w="84" w:type="dxa"/>
              <w:right w:w="56" w:type="dxa"/>
            </w:tcMar>
            <w:hideMark/>
          </w:tcPr>
          <w:p w14:paraId="33314858"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 -</w:t>
            </w:r>
          </w:p>
        </w:tc>
      </w:tr>
      <w:tr w:rsidR="00695229" w:rsidRPr="00695229" w14:paraId="24000FDA" w14:textId="77777777" w:rsidTr="00695229">
        <w:tc>
          <w:tcPr>
            <w:tcW w:w="1150" w:type="dxa"/>
            <w:tcMar>
              <w:top w:w="75" w:type="dxa"/>
              <w:left w:w="122" w:type="dxa"/>
              <w:bottom w:w="84" w:type="dxa"/>
              <w:right w:w="56" w:type="dxa"/>
            </w:tcMar>
            <w:hideMark/>
          </w:tcPr>
          <w:p w14:paraId="19B74791"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w:t>
            </w:r>
          </w:p>
        </w:tc>
        <w:tc>
          <w:tcPr>
            <w:tcW w:w="1992" w:type="dxa"/>
            <w:tcMar>
              <w:top w:w="75" w:type="dxa"/>
              <w:left w:w="122" w:type="dxa"/>
              <w:bottom w:w="84" w:type="dxa"/>
              <w:right w:w="56" w:type="dxa"/>
            </w:tcMar>
            <w:hideMark/>
          </w:tcPr>
          <w:p w14:paraId="27415194"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xml:space="preserve">“…with human semen you should </w:t>
            </w:r>
            <w:proofErr w:type="spellStart"/>
            <w:proofErr w:type="gramStart"/>
            <w:r w:rsidRPr="00695229">
              <w:rPr>
                <w:rFonts w:ascii="Times New Roman" w:eastAsia="Times New Roman" w:hAnsi="Times New Roman" w:cs="Times New Roman"/>
                <w:sz w:val="24"/>
                <w:szCs w:val="24"/>
                <w:lang w:eastAsia="zh-CN" w:bidi="ar-SA"/>
              </w:rPr>
              <w:t>anoin</w:t>
            </w:r>
            <w:proofErr w:type="spellEnd"/>
            <w:r w:rsidRPr="00695229">
              <w:rPr>
                <w:rFonts w:ascii="Times New Roman" w:eastAsia="Times New Roman" w:hAnsi="Times New Roman" w:cs="Times New Roman"/>
                <w:sz w:val="24"/>
                <w:szCs w:val="24"/>
                <w:lang w:eastAsia="zh-CN" w:bidi="ar-SA"/>
              </w:rPr>
              <w:t>[</w:t>
            </w:r>
            <w:proofErr w:type="gramEnd"/>
            <w:r w:rsidRPr="00695229">
              <w:rPr>
                <w:rFonts w:ascii="Times New Roman" w:eastAsia="Times New Roman" w:hAnsi="Times New Roman" w:cs="Times New Roman"/>
                <w:sz w:val="24"/>
                <w:szCs w:val="24"/>
                <w:lang w:eastAsia="zh-CN" w:bidi="ar-SA"/>
              </w:rPr>
              <w:t>t him] for seven days”(60)</w:t>
            </w:r>
          </w:p>
        </w:tc>
        <w:tc>
          <w:tcPr>
            <w:tcW w:w="3806" w:type="dxa"/>
            <w:tcMar>
              <w:top w:w="75" w:type="dxa"/>
              <w:left w:w="122" w:type="dxa"/>
              <w:bottom w:w="84" w:type="dxa"/>
              <w:right w:w="56" w:type="dxa"/>
            </w:tcMar>
            <w:hideMark/>
          </w:tcPr>
          <w:p w14:paraId="0FE374AF"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w:t>
            </w:r>
          </w:p>
        </w:tc>
      </w:tr>
      <w:tr w:rsidR="00695229" w:rsidRPr="00695229" w14:paraId="0150FF69" w14:textId="77777777" w:rsidTr="00695229">
        <w:tc>
          <w:tcPr>
            <w:tcW w:w="1150" w:type="dxa"/>
            <w:tcMar>
              <w:top w:w="75" w:type="dxa"/>
              <w:left w:w="122" w:type="dxa"/>
              <w:bottom w:w="84" w:type="dxa"/>
              <w:right w:w="56" w:type="dxa"/>
            </w:tcMar>
            <w:hideMark/>
          </w:tcPr>
          <w:p w14:paraId="316CF377"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b/>
                <w:bCs/>
                <w:sz w:val="24"/>
                <w:szCs w:val="24"/>
                <w:lang w:eastAsia="zh-CN" w:bidi="ar-SA"/>
              </w:rPr>
              <w:t>Ritual After Recovery</w:t>
            </w:r>
          </w:p>
        </w:tc>
        <w:tc>
          <w:tcPr>
            <w:tcW w:w="1992" w:type="dxa"/>
            <w:tcMar>
              <w:top w:w="75" w:type="dxa"/>
              <w:left w:w="122" w:type="dxa"/>
              <w:bottom w:w="84" w:type="dxa"/>
              <w:right w:w="56" w:type="dxa"/>
            </w:tcMar>
            <w:hideMark/>
          </w:tcPr>
          <w:p w14:paraId="3BC4EAD5"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t xml:space="preserve">“You shall burn one partridge and a crab before Shamash, [and] </w:t>
            </w:r>
            <w:r w:rsidRPr="00695229">
              <w:rPr>
                <w:rFonts w:ascii="Times New Roman" w:eastAsia="Times New Roman" w:hAnsi="Times New Roman" w:cs="Times New Roman"/>
                <w:sz w:val="24"/>
                <w:szCs w:val="24"/>
                <w:lang w:eastAsia="zh-CN" w:bidi="ar-SA"/>
              </w:rPr>
              <w:lastRenderedPageBreak/>
              <w:t>with (another) partridge you shall wipe his body and he will let (it) go.” (87–9)</w:t>
            </w:r>
          </w:p>
        </w:tc>
        <w:tc>
          <w:tcPr>
            <w:tcW w:w="3806" w:type="dxa"/>
            <w:tcMar>
              <w:top w:w="75" w:type="dxa"/>
              <w:left w:w="122" w:type="dxa"/>
              <w:bottom w:w="84" w:type="dxa"/>
              <w:right w:w="56" w:type="dxa"/>
            </w:tcMar>
            <w:hideMark/>
          </w:tcPr>
          <w:p w14:paraId="0C71B59D" w14:textId="77777777" w:rsidR="00695229" w:rsidRPr="00695229" w:rsidRDefault="00695229" w:rsidP="00695229">
            <w:pPr>
              <w:spacing w:after="187" w:line="290" w:lineRule="atLeast"/>
              <w:rPr>
                <w:rFonts w:ascii="Times New Roman" w:eastAsia="Times New Roman" w:hAnsi="Times New Roman" w:cs="Times New Roman"/>
                <w:sz w:val="24"/>
                <w:szCs w:val="24"/>
                <w:lang w:eastAsia="zh-CN" w:bidi="ar-SA"/>
              </w:rPr>
            </w:pPr>
            <w:r w:rsidRPr="00695229">
              <w:rPr>
                <w:rFonts w:ascii="Times New Roman" w:eastAsia="Times New Roman" w:hAnsi="Times New Roman" w:cs="Times New Roman"/>
                <w:sz w:val="24"/>
                <w:szCs w:val="24"/>
                <w:lang w:eastAsia="zh-CN" w:bidi="ar-SA"/>
              </w:rPr>
              <w:lastRenderedPageBreak/>
              <w:t xml:space="preserve">“The priest shall order two live clean birds, cedar wood, crimson stuff, and hyssop to be brought for him who is to be cleansed. The priest shall order </w:t>
            </w:r>
            <w:r w:rsidRPr="00695229">
              <w:rPr>
                <w:rFonts w:ascii="Times New Roman" w:eastAsia="Times New Roman" w:hAnsi="Times New Roman" w:cs="Times New Roman"/>
                <w:sz w:val="24"/>
                <w:szCs w:val="24"/>
                <w:lang w:eastAsia="zh-CN" w:bidi="ar-SA"/>
              </w:rPr>
              <w:lastRenderedPageBreak/>
              <w:t>one of the birds slaughtered over fresh water in an earthen vessel… and he shall set the live bird free in the open country.” (4–7)</w:t>
            </w:r>
          </w:p>
        </w:tc>
      </w:tr>
    </w:tbl>
    <w:p w14:paraId="2569C9E9" w14:textId="77F3EE2F" w:rsidR="00695229" w:rsidRPr="00695229" w:rsidRDefault="00695229" w:rsidP="00057E0D">
      <w:pPr>
        <w:spacing w:line="276" w:lineRule="auto"/>
        <w:rPr>
          <w:rFonts w:ascii="David" w:hAnsi="David" w:cs="David"/>
        </w:rPr>
      </w:pPr>
      <w:r w:rsidRPr="00695229">
        <w:rPr>
          <w:rFonts w:ascii="David" w:hAnsi="David" w:cs="David"/>
        </w:rPr>
        <w:lastRenderedPageBreak/>
        <w:t>Translation</w:t>
      </w:r>
    </w:p>
    <w:p w14:paraId="50BB5536" w14:textId="77777777" w:rsidR="00695229" w:rsidRPr="00695229" w:rsidRDefault="00695229" w:rsidP="00695229">
      <w:pPr>
        <w:shd w:val="clear" w:color="auto" w:fill="FFFFFF"/>
        <w:bidi/>
        <w:spacing w:before="131" w:after="131" w:line="393" w:lineRule="atLeast"/>
        <w:outlineLvl w:val="1"/>
        <w:rPr>
          <w:rFonts w:ascii="David" w:eastAsia="Calibri" w:hAnsi="David" w:cs="David"/>
          <w:sz w:val="24"/>
          <w:szCs w:val="24"/>
          <w:rtl/>
          <w:lang w:eastAsia="zh-CN"/>
        </w:rPr>
      </w:pPr>
      <w:r w:rsidRPr="00695229">
        <w:rPr>
          <w:rFonts w:ascii="David" w:eastAsia="Calibri" w:hAnsi="David" w:cs="David" w:hint="cs"/>
          <w:sz w:val="24"/>
          <w:szCs w:val="24"/>
          <w:rtl/>
          <w:lang w:eastAsia="zh-CN"/>
        </w:rPr>
        <w:t>הטיפול של התורה?</w:t>
      </w:r>
    </w:p>
    <w:p w14:paraId="76203CAD" w14:textId="032A2CA1" w:rsidR="00695229" w:rsidRPr="00695229" w:rsidRDefault="00695229" w:rsidP="00695229">
      <w:pPr>
        <w:shd w:val="clear" w:color="auto" w:fill="FFFFFF"/>
        <w:bidi/>
        <w:spacing w:before="131" w:after="131" w:line="393" w:lineRule="atLeast"/>
        <w:outlineLvl w:val="1"/>
        <w:rPr>
          <w:rFonts w:ascii="David" w:eastAsia="Calibri" w:hAnsi="David" w:cs="David"/>
          <w:sz w:val="24"/>
          <w:szCs w:val="24"/>
          <w:rtl/>
          <w:lang w:eastAsia="zh-CN"/>
        </w:rPr>
      </w:pPr>
      <w:r w:rsidRPr="00695229">
        <w:rPr>
          <w:rFonts w:ascii="David" w:eastAsia="Calibri" w:hAnsi="David" w:cs="David" w:hint="cs"/>
          <w:sz w:val="24"/>
          <w:szCs w:val="24"/>
          <w:rtl/>
          <w:lang w:eastAsia="zh-CN"/>
        </w:rPr>
        <w:t>המקבילות וההבדלים הבולטים ביותר מתבררים כאשר אנו משווים את המבנה הכולל של שני טקסטים אלה:</w:t>
      </w:r>
    </w:p>
    <w:p w14:paraId="4DC4A99D" w14:textId="77777777" w:rsidR="00695229" w:rsidRPr="00695229" w:rsidRDefault="00695229" w:rsidP="00695229">
      <w:pPr>
        <w:bidi/>
        <w:spacing w:after="187" w:line="290" w:lineRule="atLeast"/>
        <w:rPr>
          <w:rFonts w:ascii="David" w:eastAsia="Calibri" w:hAnsi="David" w:cs="David"/>
          <w:sz w:val="24"/>
          <w:szCs w:val="24"/>
          <w:rtl/>
          <w:lang w:eastAsia="zh-CN"/>
        </w:rPr>
      </w:pPr>
    </w:p>
    <w:p w14:paraId="0CABD41D" w14:textId="77777777" w:rsidR="00695229" w:rsidRPr="00695229" w:rsidRDefault="00695229" w:rsidP="00695229">
      <w:pPr>
        <w:bidi/>
        <w:spacing w:after="187" w:line="290" w:lineRule="atLeast"/>
        <w:rPr>
          <w:rFonts w:ascii="Times New Roman" w:eastAsia="Times New Roman" w:hAnsi="Times New Roman" w:cs="Times New Roman"/>
          <w:sz w:val="24"/>
          <w:szCs w:val="24"/>
          <w:rtl/>
        </w:rPr>
      </w:pPr>
      <w:bookmarkStart w:id="7" w:name="_Hlk98082534"/>
      <w:r w:rsidRPr="00695229">
        <w:rPr>
          <w:rFonts w:ascii="David" w:eastAsia="Calibri" w:hAnsi="David" w:cs="David" w:hint="cs"/>
          <w:sz w:val="24"/>
          <w:szCs w:val="24"/>
          <w:rtl/>
          <w:lang w:eastAsia="zh-CN"/>
        </w:rPr>
        <w:t xml:space="preserve">                 </w:t>
      </w:r>
    </w:p>
    <w:tbl>
      <w:tblPr>
        <w:tblStyle w:val="a7"/>
        <w:bidiVisual/>
        <w:tblW w:w="0" w:type="auto"/>
        <w:tblLook w:val="04A0" w:firstRow="1" w:lastRow="0" w:firstColumn="1" w:lastColumn="0" w:noHBand="0" w:noVBand="1"/>
      </w:tblPr>
      <w:tblGrid>
        <w:gridCol w:w="2765"/>
        <w:gridCol w:w="2765"/>
        <w:gridCol w:w="2766"/>
      </w:tblGrid>
      <w:tr w:rsidR="00695229" w:rsidRPr="00695229" w14:paraId="2C8DD2D5" w14:textId="77777777" w:rsidTr="00727DDF">
        <w:tc>
          <w:tcPr>
            <w:tcW w:w="2765" w:type="dxa"/>
          </w:tcPr>
          <w:p w14:paraId="36F51B7A" w14:textId="77777777" w:rsidR="00695229" w:rsidRPr="00695229" w:rsidRDefault="00695229" w:rsidP="00695229">
            <w:pPr>
              <w:bidi/>
              <w:spacing w:after="187" w:line="290" w:lineRule="atLeast"/>
              <w:rPr>
                <w:rFonts w:ascii="David" w:eastAsia="Times New Roman" w:hAnsi="David" w:cs="David"/>
                <w:sz w:val="24"/>
                <w:szCs w:val="24"/>
                <w:rtl/>
              </w:rPr>
            </w:pPr>
          </w:p>
        </w:tc>
        <w:tc>
          <w:tcPr>
            <w:tcW w:w="2765" w:type="dxa"/>
          </w:tcPr>
          <w:p w14:paraId="742BE0F9" w14:textId="77777777" w:rsidR="00695229" w:rsidRPr="00695229" w:rsidRDefault="00695229" w:rsidP="00695229">
            <w:pPr>
              <w:bidi/>
              <w:spacing w:after="187" w:line="290" w:lineRule="atLeast"/>
              <w:rPr>
                <w:rFonts w:ascii="David" w:eastAsia="Times New Roman" w:hAnsi="David" w:cs="David"/>
                <w:b/>
                <w:bCs/>
                <w:sz w:val="24"/>
                <w:szCs w:val="24"/>
                <w:rtl/>
              </w:rPr>
            </w:pPr>
            <w:r w:rsidRPr="00695229">
              <w:rPr>
                <w:rFonts w:ascii="David" w:eastAsia="Times New Roman" w:hAnsi="David" w:cs="David" w:hint="cs"/>
                <w:b/>
                <w:bCs/>
                <w:sz w:val="24"/>
                <w:szCs w:val="24"/>
                <w:rtl/>
              </w:rPr>
              <w:t xml:space="preserve">צרעת </w:t>
            </w:r>
            <w:r w:rsidRPr="00695229">
              <w:rPr>
                <w:rFonts w:ascii="David" w:eastAsia="Times New Roman" w:hAnsi="David" w:cs="David"/>
                <w:b/>
                <w:bCs/>
                <w:sz w:val="24"/>
                <w:szCs w:val="24"/>
                <w:rtl/>
              </w:rPr>
              <w:t>–</w:t>
            </w:r>
            <w:r w:rsidRPr="00695229">
              <w:rPr>
                <w:rFonts w:ascii="David" w:eastAsia="Times New Roman" w:hAnsi="David" w:cs="David" w:hint="cs"/>
                <w:b/>
                <w:bCs/>
                <w:sz w:val="24"/>
                <w:szCs w:val="24"/>
                <w:rtl/>
              </w:rPr>
              <w:t xml:space="preserve"> ויקרא (דוגמאות)</w:t>
            </w:r>
          </w:p>
        </w:tc>
        <w:tc>
          <w:tcPr>
            <w:tcW w:w="2766" w:type="dxa"/>
          </w:tcPr>
          <w:p w14:paraId="52629F80" w14:textId="77777777" w:rsidR="00695229" w:rsidRPr="00695229" w:rsidRDefault="00695229" w:rsidP="00695229">
            <w:pPr>
              <w:bidi/>
              <w:spacing w:after="187" w:line="290" w:lineRule="atLeast"/>
              <w:rPr>
                <w:rFonts w:ascii="David" w:eastAsia="Times New Roman" w:hAnsi="David" w:cs="David"/>
                <w:sz w:val="24"/>
                <w:szCs w:val="24"/>
                <w:rtl/>
              </w:rPr>
            </w:pPr>
            <w:proofErr w:type="spellStart"/>
            <w:r w:rsidRPr="00695229">
              <w:rPr>
                <w:rFonts w:ascii="Times New Roman" w:eastAsia="Times New Roman" w:hAnsi="Times New Roman" w:cs="Times New Roman"/>
                <w:b/>
                <w:bCs/>
                <w:i/>
                <w:iCs/>
                <w:sz w:val="24"/>
                <w:szCs w:val="24"/>
                <w:lang w:bidi="ar-SA"/>
              </w:rPr>
              <w:t>saḫaršubbû</w:t>
            </w:r>
            <w:proofErr w:type="spellEnd"/>
            <w:r w:rsidRPr="00695229">
              <w:rPr>
                <w:rFonts w:ascii="Times New Roman" w:eastAsia="Times New Roman" w:hAnsi="Times New Roman" w:cs="Times New Roman"/>
                <w:b/>
                <w:bCs/>
                <w:i/>
                <w:iCs/>
                <w:sz w:val="24"/>
                <w:szCs w:val="24"/>
                <w:lang w:bidi="ar-SA"/>
              </w:rPr>
              <w:t xml:space="preserve"> - </w:t>
            </w:r>
            <w:proofErr w:type="spellStart"/>
            <w:r w:rsidRPr="00695229">
              <w:rPr>
                <w:rFonts w:ascii="Times New Roman" w:eastAsia="Times New Roman" w:hAnsi="Times New Roman" w:cs="Times New Roman"/>
                <w:b/>
                <w:bCs/>
                <w:sz w:val="24"/>
                <w:szCs w:val="24"/>
                <w:lang w:bidi="ar-SA"/>
              </w:rPr>
              <w:t>Emar</w:t>
            </w:r>
            <w:proofErr w:type="spellEnd"/>
            <w:r w:rsidRPr="00695229">
              <w:rPr>
                <w:rFonts w:ascii="Times New Roman" w:eastAsia="Times New Roman" w:hAnsi="Times New Roman" w:cs="Times New Roman"/>
                <w:b/>
                <w:bCs/>
                <w:sz w:val="24"/>
                <w:szCs w:val="24"/>
                <w:lang w:bidi="ar-SA"/>
              </w:rPr>
              <w:t xml:space="preserve"> tablet, </w:t>
            </w:r>
            <w:proofErr w:type="spellStart"/>
            <w:r w:rsidRPr="00695229">
              <w:rPr>
                <w:rFonts w:ascii="Times New Roman" w:eastAsia="Times New Roman" w:hAnsi="Times New Roman" w:cs="Times New Roman"/>
                <w:b/>
                <w:bCs/>
                <w:sz w:val="24"/>
                <w:szCs w:val="24"/>
                <w:lang w:bidi="ar-SA"/>
              </w:rPr>
              <w:t>ll</w:t>
            </w:r>
            <w:proofErr w:type="spellEnd"/>
            <w:r w:rsidRPr="00695229">
              <w:rPr>
                <w:rFonts w:ascii="David" w:eastAsia="Times New Roman" w:hAnsi="David" w:cs="David" w:hint="cs"/>
                <w:sz w:val="24"/>
                <w:szCs w:val="24"/>
                <w:rtl/>
              </w:rPr>
              <w:t xml:space="preserve"> (דוגמאות)</w:t>
            </w:r>
          </w:p>
        </w:tc>
      </w:tr>
      <w:tr w:rsidR="00695229" w:rsidRPr="00695229" w14:paraId="621B729F" w14:textId="77777777" w:rsidTr="00727DDF">
        <w:tc>
          <w:tcPr>
            <w:tcW w:w="2765" w:type="dxa"/>
          </w:tcPr>
          <w:p w14:paraId="57DE0D58"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הליכים אבחנתיים</w:t>
            </w:r>
          </w:p>
        </w:tc>
        <w:tc>
          <w:tcPr>
            <w:tcW w:w="2765" w:type="dxa"/>
          </w:tcPr>
          <w:p w14:paraId="7CB2CC3F"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"וראה הכהן והנה שאת לבנה בעור והיא הפכה שער לבן...". (10:13)</w:t>
            </w:r>
          </w:p>
        </w:tc>
        <w:tc>
          <w:tcPr>
            <w:tcW w:w="2766" w:type="dxa"/>
          </w:tcPr>
          <w:p w14:paraId="72528093" w14:textId="77777777" w:rsidR="00695229" w:rsidRPr="00695229" w:rsidRDefault="00695229" w:rsidP="00695229">
            <w:pPr>
              <w:bidi/>
              <w:spacing w:after="187" w:line="290" w:lineRule="atLeast"/>
              <w:rPr>
                <w:rFonts w:ascii="David" w:eastAsia="Times New Roman" w:hAnsi="David" w:cs="David"/>
                <w:sz w:val="24"/>
                <w:szCs w:val="24"/>
              </w:rPr>
            </w:pPr>
            <w:r w:rsidRPr="00695229">
              <w:rPr>
                <w:rFonts w:ascii="David" w:eastAsia="Times New Roman" w:hAnsi="David" w:cs="David" w:hint="cs"/>
                <w:sz w:val="24"/>
                <w:szCs w:val="24"/>
                <w:rtl/>
              </w:rPr>
              <w:t xml:space="preserve">"אם לאדם יש </w:t>
            </w:r>
            <w:r w:rsidRPr="00695229">
              <w:rPr>
                <w:rFonts w:ascii="David" w:eastAsia="Times New Roman" w:hAnsi="David" w:cs="David"/>
                <w:sz w:val="24"/>
                <w:szCs w:val="24"/>
              </w:rPr>
              <w:t>s</w:t>
            </w:r>
            <w:r w:rsidRPr="00695229">
              <w:rPr>
                <w:rFonts w:ascii="David" w:eastAsia="Times New Roman" w:hAnsi="David" w:cs="David" w:hint="cs"/>
                <w:sz w:val="24"/>
                <w:szCs w:val="24"/>
                <w:rtl/>
              </w:rPr>
              <w:t xml:space="preserve"> ויש צבע לבן על גופו...". (53)</w:t>
            </w:r>
          </w:p>
        </w:tc>
      </w:tr>
      <w:tr w:rsidR="00695229" w:rsidRPr="00695229" w14:paraId="589E2220" w14:textId="77777777" w:rsidTr="00727DDF">
        <w:tc>
          <w:tcPr>
            <w:tcW w:w="2765" w:type="dxa"/>
          </w:tcPr>
          <w:p w14:paraId="52093B44" w14:textId="77777777" w:rsidR="00695229" w:rsidRPr="00695229" w:rsidRDefault="00695229" w:rsidP="00695229">
            <w:pPr>
              <w:bidi/>
              <w:spacing w:after="187" w:line="290" w:lineRule="atLeast"/>
              <w:rPr>
                <w:rFonts w:ascii="David" w:eastAsia="Times New Roman" w:hAnsi="David" w:cs="David"/>
                <w:sz w:val="24"/>
                <w:szCs w:val="24"/>
                <w:rtl/>
              </w:rPr>
            </w:pPr>
          </w:p>
        </w:tc>
        <w:tc>
          <w:tcPr>
            <w:tcW w:w="2765" w:type="dxa"/>
          </w:tcPr>
          <w:p w14:paraId="4733830F"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 xml:space="preserve">"או בשר יהיה בערו מכות אש </w:t>
            </w:r>
            <w:proofErr w:type="spellStart"/>
            <w:r w:rsidRPr="00695229">
              <w:rPr>
                <w:rFonts w:ascii="David" w:eastAsia="Times New Roman" w:hAnsi="David" w:cs="David" w:hint="cs"/>
                <w:sz w:val="24"/>
                <w:szCs w:val="24"/>
                <w:rtl/>
              </w:rPr>
              <w:t>והיתה</w:t>
            </w:r>
            <w:proofErr w:type="spellEnd"/>
            <w:r w:rsidRPr="00695229">
              <w:rPr>
                <w:rFonts w:ascii="David" w:eastAsia="Times New Roman" w:hAnsi="David" w:cs="David" w:hint="cs"/>
                <w:sz w:val="24"/>
                <w:szCs w:val="24"/>
                <w:rtl/>
              </w:rPr>
              <w:t xml:space="preserve"> מחות </w:t>
            </w:r>
            <w:proofErr w:type="spellStart"/>
            <w:r w:rsidRPr="00695229">
              <w:rPr>
                <w:rFonts w:ascii="David" w:eastAsia="Times New Roman" w:hAnsi="David" w:cs="David" w:hint="cs"/>
                <w:sz w:val="24"/>
                <w:szCs w:val="24"/>
                <w:rtl/>
              </w:rPr>
              <w:t>המכוה</w:t>
            </w:r>
            <w:proofErr w:type="spellEnd"/>
            <w:r w:rsidRPr="00695229">
              <w:rPr>
                <w:rFonts w:ascii="David" w:eastAsia="Times New Roman" w:hAnsi="David" w:cs="David" w:hint="cs"/>
                <w:sz w:val="24"/>
                <w:szCs w:val="24"/>
                <w:rtl/>
              </w:rPr>
              <w:t xml:space="preserve"> בהרת לבנה אדמדמת או לבנה...". (24:13)</w:t>
            </w:r>
          </w:p>
        </w:tc>
        <w:tc>
          <w:tcPr>
            <w:tcW w:w="2766" w:type="dxa"/>
          </w:tcPr>
          <w:p w14:paraId="1E37AABF"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"כמו כן אם ה-</w:t>
            </w:r>
            <w:r w:rsidRPr="00695229">
              <w:rPr>
                <w:rFonts w:ascii="David" w:eastAsia="Times New Roman" w:hAnsi="David" w:cs="David"/>
                <w:sz w:val="24"/>
                <w:szCs w:val="24"/>
              </w:rPr>
              <w:t>s</w:t>
            </w:r>
            <w:r w:rsidRPr="00695229">
              <w:rPr>
                <w:rFonts w:ascii="David" w:eastAsia="Times New Roman" w:hAnsi="David" w:cs="David" w:hint="cs"/>
                <w:sz w:val="24"/>
                <w:szCs w:val="24"/>
                <w:rtl/>
              </w:rPr>
              <w:t xml:space="preserve"> הוא צהוב </w:t>
            </w:r>
            <w:proofErr w:type="spellStart"/>
            <w:r w:rsidRPr="00695229">
              <w:rPr>
                <w:rFonts w:ascii="David" w:eastAsia="Times New Roman" w:hAnsi="David" w:cs="David" w:hint="cs"/>
                <w:sz w:val="24"/>
                <w:szCs w:val="24"/>
                <w:rtl/>
              </w:rPr>
              <w:t>ואדןם</w:t>
            </w:r>
            <w:proofErr w:type="spellEnd"/>
            <w:r w:rsidRPr="00695229">
              <w:rPr>
                <w:rFonts w:ascii="David" w:eastAsia="Times New Roman" w:hAnsi="David" w:cs="David" w:hint="cs"/>
                <w:sz w:val="24"/>
                <w:szCs w:val="24"/>
                <w:rtl/>
              </w:rPr>
              <w:t>...". (55)</w:t>
            </w:r>
          </w:p>
        </w:tc>
      </w:tr>
      <w:tr w:rsidR="00695229" w:rsidRPr="00695229" w14:paraId="6B1D2A6F" w14:textId="77777777" w:rsidTr="00727DDF">
        <w:tc>
          <w:tcPr>
            <w:tcW w:w="2765" w:type="dxa"/>
          </w:tcPr>
          <w:p w14:paraId="458FFD11"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טיפול במחלה</w:t>
            </w:r>
          </w:p>
        </w:tc>
        <w:tc>
          <w:tcPr>
            <w:tcW w:w="2765" w:type="dxa"/>
          </w:tcPr>
          <w:p w14:paraId="3FEC4E0B"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 ? -</w:t>
            </w:r>
          </w:p>
        </w:tc>
        <w:tc>
          <w:tcPr>
            <w:tcW w:w="2766" w:type="dxa"/>
          </w:tcPr>
          <w:p w14:paraId="677ABFCE"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 xml:space="preserve">"...עליך לקחת צמח </w:t>
            </w:r>
            <w:proofErr w:type="spellStart"/>
            <w:r w:rsidRPr="00695229">
              <w:rPr>
                <w:rFonts w:ascii="Times New Roman" w:eastAsia="Times New Roman" w:hAnsi="Times New Roman" w:cs="Times New Roman"/>
                <w:i/>
                <w:iCs/>
                <w:sz w:val="24"/>
                <w:szCs w:val="24"/>
                <w:lang w:bidi="ar-SA"/>
              </w:rPr>
              <w:t>ašāgu</w:t>
            </w:r>
            <w:proofErr w:type="spellEnd"/>
            <w:r w:rsidRPr="00695229">
              <w:rPr>
                <w:rFonts w:ascii="David" w:eastAsia="Times New Roman" w:hAnsi="David" w:cs="David"/>
                <w:sz w:val="24"/>
                <w:szCs w:val="24"/>
              </w:rPr>
              <w:t>'</w:t>
            </w:r>
            <w:r w:rsidRPr="00695229">
              <w:rPr>
                <w:rFonts w:ascii="David" w:eastAsia="Times New Roman" w:hAnsi="David" w:cs="David" w:hint="cs"/>
                <w:sz w:val="24"/>
                <w:szCs w:val="24"/>
                <w:rtl/>
              </w:rPr>
              <w:t>, מלח, שעורה, קמח...ולמשוח אותו והוא יתרפא". (53</w:t>
            </w:r>
            <w:r w:rsidRPr="00695229">
              <w:rPr>
                <w:rFonts w:ascii="David" w:eastAsia="Times New Roman" w:hAnsi="David" w:cs="David" w:hint="eastAsia"/>
                <w:sz w:val="24"/>
                <w:szCs w:val="24"/>
                <w:rtl/>
              </w:rPr>
              <w:t>–</w:t>
            </w:r>
            <w:r w:rsidRPr="00695229">
              <w:rPr>
                <w:rFonts w:ascii="David" w:eastAsia="Times New Roman" w:hAnsi="David" w:cs="David" w:hint="cs"/>
                <w:sz w:val="24"/>
                <w:szCs w:val="24"/>
                <w:rtl/>
              </w:rPr>
              <w:t>54)</w:t>
            </w:r>
          </w:p>
        </w:tc>
      </w:tr>
      <w:tr w:rsidR="00695229" w:rsidRPr="00695229" w14:paraId="5566A785" w14:textId="77777777" w:rsidTr="00727DDF">
        <w:tc>
          <w:tcPr>
            <w:tcW w:w="2765" w:type="dxa"/>
          </w:tcPr>
          <w:p w14:paraId="58F1D40B" w14:textId="77777777" w:rsidR="00695229" w:rsidRPr="00695229" w:rsidRDefault="00695229" w:rsidP="00695229">
            <w:pPr>
              <w:bidi/>
              <w:spacing w:after="187" w:line="290" w:lineRule="atLeast"/>
              <w:rPr>
                <w:rFonts w:ascii="David" w:eastAsia="Times New Roman" w:hAnsi="David" w:cs="David"/>
                <w:sz w:val="24"/>
                <w:szCs w:val="24"/>
                <w:rtl/>
              </w:rPr>
            </w:pPr>
          </w:p>
        </w:tc>
        <w:tc>
          <w:tcPr>
            <w:tcW w:w="2765" w:type="dxa"/>
          </w:tcPr>
          <w:p w14:paraId="50607D3E" w14:textId="77777777" w:rsidR="00695229" w:rsidRPr="00695229" w:rsidRDefault="00695229" w:rsidP="00695229">
            <w:pPr>
              <w:bidi/>
              <w:spacing w:after="187" w:line="290" w:lineRule="atLeast"/>
              <w:rPr>
                <w:rFonts w:ascii="David" w:eastAsia="Times New Roman" w:hAnsi="David" w:cs="David"/>
                <w:sz w:val="24"/>
                <w:szCs w:val="24"/>
                <w:rtl/>
              </w:rPr>
            </w:pPr>
          </w:p>
        </w:tc>
        <w:tc>
          <w:tcPr>
            <w:tcW w:w="2766" w:type="dxa"/>
          </w:tcPr>
          <w:p w14:paraId="20B185CC"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 xml:space="preserve">"...ועם זרע אדם עליך </w:t>
            </w:r>
            <w:proofErr w:type="spellStart"/>
            <w:r w:rsidRPr="00695229">
              <w:rPr>
                <w:rFonts w:ascii="David" w:eastAsia="Times New Roman" w:hAnsi="David" w:cs="David" w:hint="cs"/>
                <w:sz w:val="24"/>
                <w:szCs w:val="24"/>
                <w:rtl/>
              </w:rPr>
              <w:t>למשו</w:t>
            </w:r>
            <w:proofErr w:type="spellEnd"/>
            <w:r w:rsidRPr="00695229">
              <w:rPr>
                <w:rFonts w:ascii="David" w:eastAsia="Times New Roman" w:hAnsi="David" w:cs="David" w:hint="cs"/>
                <w:sz w:val="24"/>
                <w:szCs w:val="24"/>
                <w:rtl/>
              </w:rPr>
              <w:t>[ח אותו] למשך שבעה ימים". (60)</w:t>
            </w:r>
          </w:p>
        </w:tc>
      </w:tr>
      <w:tr w:rsidR="00695229" w:rsidRPr="00695229" w14:paraId="1E2696BB" w14:textId="77777777" w:rsidTr="00727DDF">
        <w:tc>
          <w:tcPr>
            <w:tcW w:w="2765" w:type="dxa"/>
          </w:tcPr>
          <w:p w14:paraId="5E356CEF"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טקס לאחר ריפוי</w:t>
            </w:r>
          </w:p>
        </w:tc>
        <w:tc>
          <w:tcPr>
            <w:tcW w:w="2765" w:type="dxa"/>
          </w:tcPr>
          <w:p w14:paraId="42A101F0"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 xml:space="preserve"> </w:t>
            </w:r>
            <w:proofErr w:type="spellStart"/>
            <w:r w:rsidRPr="00695229">
              <w:rPr>
                <w:rFonts w:ascii="David" w:eastAsia="Times New Roman" w:hAnsi="David" w:cs="David" w:hint="cs"/>
                <w:sz w:val="24"/>
                <w:szCs w:val="24"/>
                <w:rtl/>
              </w:rPr>
              <w:t>וצוה</w:t>
            </w:r>
            <w:proofErr w:type="spellEnd"/>
            <w:r w:rsidRPr="00695229">
              <w:rPr>
                <w:rFonts w:ascii="David" w:eastAsia="Times New Roman" w:hAnsi="David" w:cs="David" w:hint="cs"/>
                <w:sz w:val="24"/>
                <w:szCs w:val="24"/>
                <w:rtl/>
              </w:rPr>
              <w:t xml:space="preserve"> הכהן ולקח למטהר שתי צפרים חיות טהרות ועץ ארז ושני תולעת </w:t>
            </w:r>
            <w:proofErr w:type="spellStart"/>
            <w:r w:rsidRPr="00695229">
              <w:rPr>
                <w:rFonts w:ascii="David" w:eastAsia="Times New Roman" w:hAnsi="David" w:cs="David" w:hint="cs"/>
                <w:sz w:val="24"/>
                <w:szCs w:val="24"/>
                <w:rtl/>
              </w:rPr>
              <w:t>ואזב</w:t>
            </w:r>
            <w:proofErr w:type="spellEnd"/>
            <w:r w:rsidRPr="00695229">
              <w:rPr>
                <w:rFonts w:ascii="David" w:eastAsia="Times New Roman" w:hAnsi="David" w:cs="David" w:hint="cs"/>
                <w:sz w:val="24"/>
                <w:szCs w:val="24"/>
                <w:rtl/>
              </w:rPr>
              <w:t xml:space="preserve">. </w:t>
            </w:r>
            <w:proofErr w:type="spellStart"/>
            <w:r w:rsidRPr="00695229">
              <w:rPr>
                <w:rFonts w:ascii="David" w:eastAsia="Times New Roman" w:hAnsi="David" w:cs="David" w:hint="cs"/>
                <w:sz w:val="24"/>
                <w:szCs w:val="24"/>
                <w:rtl/>
              </w:rPr>
              <w:t>וצונ</w:t>
            </w:r>
            <w:proofErr w:type="spellEnd"/>
            <w:r w:rsidRPr="00695229">
              <w:rPr>
                <w:rFonts w:ascii="David" w:eastAsia="Times New Roman" w:hAnsi="David" w:cs="David" w:hint="cs"/>
                <w:sz w:val="24"/>
                <w:szCs w:val="24"/>
                <w:rtl/>
              </w:rPr>
              <w:t xml:space="preserve"> הכהן ושחט את </w:t>
            </w:r>
            <w:proofErr w:type="spellStart"/>
            <w:r w:rsidRPr="00695229">
              <w:rPr>
                <w:rFonts w:ascii="David" w:eastAsia="Times New Roman" w:hAnsi="David" w:cs="David" w:hint="cs"/>
                <w:sz w:val="24"/>
                <w:szCs w:val="24"/>
                <w:rtl/>
              </w:rPr>
              <w:t>הצפור</w:t>
            </w:r>
            <w:proofErr w:type="spellEnd"/>
            <w:r w:rsidRPr="00695229">
              <w:rPr>
                <w:rFonts w:ascii="David" w:eastAsia="Times New Roman" w:hAnsi="David" w:cs="David" w:hint="cs"/>
                <w:sz w:val="24"/>
                <w:szCs w:val="24"/>
                <w:rtl/>
              </w:rPr>
              <w:t xml:space="preserve"> האחת אל כלי חרש... ושלח את </w:t>
            </w:r>
            <w:proofErr w:type="spellStart"/>
            <w:r w:rsidRPr="00695229">
              <w:rPr>
                <w:rFonts w:ascii="David" w:eastAsia="Times New Roman" w:hAnsi="David" w:cs="David" w:hint="cs"/>
                <w:sz w:val="24"/>
                <w:szCs w:val="24"/>
                <w:rtl/>
              </w:rPr>
              <w:t>הצפור</w:t>
            </w:r>
            <w:proofErr w:type="spellEnd"/>
            <w:r w:rsidRPr="00695229">
              <w:rPr>
                <w:rFonts w:ascii="David" w:eastAsia="Times New Roman" w:hAnsi="David" w:cs="David" w:hint="cs"/>
                <w:sz w:val="24"/>
                <w:szCs w:val="24"/>
                <w:rtl/>
              </w:rPr>
              <w:t xml:space="preserve"> החיה על פני השדה". (4–7)</w:t>
            </w:r>
          </w:p>
        </w:tc>
        <w:tc>
          <w:tcPr>
            <w:tcW w:w="2766" w:type="dxa"/>
          </w:tcPr>
          <w:p w14:paraId="35D42A5B"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rtl/>
              </w:rPr>
              <w:t>"עליך לשרוף חוגלה אחת וסרטן בפני שמש, [ו] עם חוגלה [נוספת] עליך לנגב את גופו והוא ישחרר [אותו]". (87–9)</w:t>
            </w:r>
          </w:p>
          <w:p w14:paraId="2769BA8E" w14:textId="77777777" w:rsidR="00695229" w:rsidRPr="00695229" w:rsidRDefault="00695229" w:rsidP="00695229">
            <w:pPr>
              <w:bidi/>
              <w:spacing w:after="187" w:line="290" w:lineRule="atLeast"/>
              <w:rPr>
                <w:rFonts w:ascii="David" w:eastAsia="Times New Roman" w:hAnsi="David" w:cs="David"/>
                <w:sz w:val="24"/>
                <w:szCs w:val="24"/>
                <w:rtl/>
              </w:rPr>
            </w:pPr>
            <w:r w:rsidRPr="00695229">
              <w:rPr>
                <w:rFonts w:ascii="David" w:eastAsia="Times New Roman" w:hAnsi="David" w:cs="David" w:hint="cs"/>
                <w:sz w:val="24"/>
                <w:szCs w:val="24"/>
                <w:highlight w:val="yellow"/>
                <w:rtl/>
              </w:rPr>
              <w:t>(תרגום שלי)</w:t>
            </w:r>
          </w:p>
        </w:tc>
      </w:tr>
      <w:bookmarkEnd w:id="7"/>
    </w:tbl>
    <w:p w14:paraId="49713FCD" w14:textId="77777777" w:rsidR="00695229" w:rsidRPr="00695229" w:rsidRDefault="00695229" w:rsidP="00695229">
      <w:pPr>
        <w:bidi/>
        <w:spacing w:after="187" w:line="290" w:lineRule="atLeast"/>
        <w:rPr>
          <w:rFonts w:ascii="David" w:eastAsia="Times New Roman" w:hAnsi="David" w:cs="David"/>
          <w:sz w:val="24"/>
          <w:szCs w:val="24"/>
          <w:rtl/>
        </w:rPr>
      </w:pPr>
    </w:p>
    <w:p w14:paraId="640567F3" w14:textId="77777777" w:rsidR="00695229" w:rsidRPr="007205FA" w:rsidRDefault="00695229" w:rsidP="00695229">
      <w:pPr>
        <w:spacing w:line="276" w:lineRule="auto"/>
        <w:jc w:val="right"/>
        <w:rPr>
          <w:rFonts w:asciiTheme="minorBidi" w:hAnsiTheme="minorBidi"/>
        </w:rPr>
      </w:pPr>
    </w:p>
    <w:sectPr w:rsidR="00695229" w:rsidRPr="007205FA" w:rsidSect="00F32E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3B9E" w14:textId="77777777" w:rsidR="00A27E9F" w:rsidRDefault="00A27E9F" w:rsidP="00EF5DD9">
      <w:pPr>
        <w:spacing w:after="0" w:line="240" w:lineRule="auto"/>
      </w:pPr>
      <w:r>
        <w:separator/>
      </w:r>
    </w:p>
  </w:endnote>
  <w:endnote w:type="continuationSeparator" w:id="0">
    <w:p w14:paraId="1CA08178" w14:textId="77777777" w:rsidR="00A27E9F" w:rsidRDefault="00A27E9F" w:rsidP="00EF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6C5D" w14:textId="77777777" w:rsidR="00EF5DD9" w:rsidRPr="007205FA" w:rsidRDefault="007205FA"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EndPr/>
      <w:sdtContent>
        <w:r w:rsidR="00F32E4B" w:rsidRPr="007205FA">
          <w:rPr>
            <w:rFonts w:asciiTheme="minorBidi" w:hAnsiTheme="minorBidi"/>
          </w:rPr>
          <w:fldChar w:fldCharType="begin"/>
        </w:r>
        <w:r w:rsidR="00EF5DD9" w:rsidRPr="007205FA">
          <w:rPr>
            <w:rFonts w:asciiTheme="minorBidi" w:hAnsiTheme="minorBidi"/>
          </w:rPr>
          <w:instrText xml:space="preserve"> PAGE   \* MERGEFORMAT </w:instrText>
        </w:r>
        <w:r w:rsidR="00F32E4B" w:rsidRPr="007205FA">
          <w:rPr>
            <w:rFonts w:asciiTheme="minorBidi" w:hAnsiTheme="minorBidi"/>
          </w:rPr>
          <w:fldChar w:fldCharType="separate"/>
        </w:r>
        <w:r w:rsidR="00290DF8">
          <w:rPr>
            <w:rFonts w:asciiTheme="minorBidi" w:hAnsiTheme="minorBidi"/>
            <w:noProof/>
          </w:rPr>
          <w:t>1</w:t>
        </w:r>
        <w:r w:rsidR="00F32E4B" w:rsidRPr="007205FA">
          <w:rPr>
            <w:rFonts w:asciiTheme="minorBidi" w:hAnsiTheme="minorBidi"/>
            <w:noProof/>
          </w:rPr>
          <w:fldChar w:fldCharType="end"/>
        </w:r>
      </w:sdtContent>
    </w:sdt>
    <w:r w:rsidRPr="007205FA">
      <w:rPr>
        <w:rFonts w:asciiTheme="minorBidi" w:hAnsiTheme="minorBidi"/>
      </w:rPr>
      <w:tab/>
    </w:r>
  </w:p>
  <w:p w14:paraId="7C3C2983" w14:textId="77777777" w:rsidR="00EF5DD9" w:rsidRPr="007205FA" w:rsidRDefault="00EF5DD9" w:rsidP="007205FA">
    <w:pPr>
      <w:pStyle w:val="a5"/>
      <w:rPr>
        <w:rFonts w:asciiTheme="minorBidi" w:hAnsiTheme="min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5255" w14:textId="77777777" w:rsidR="00A27E9F" w:rsidRDefault="00A27E9F" w:rsidP="00EF5DD9">
      <w:pPr>
        <w:spacing w:after="0" w:line="240" w:lineRule="auto"/>
      </w:pPr>
      <w:r>
        <w:separator/>
      </w:r>
    </w:p>
  </w:footnote>
  <w:footnote w:type="continuationSeparator" w:id="0">
    <w:p w14:paraId="088DDDFB" w14:textId="77777777" w:rsidR="00A27E9F" w:rsidRDefault="00A27E9F" w:rsidP="00EF5DD9">
      <w:pPr>
        <w:spacing w:after="0" w:line="240" w:lineRule="auto"/>
      </w:pPr>
      <w:r>
        <w:continuationSeparator/>
      </w:r>
    </w:p>
  </w:footnote>
  <w:footnote w:id="1">
    <w:p w14:paraId="6568FC6C" w14:textId="77777777" w:rsidR="00A00195" w:rsidRDefault="00A00195" w:rsidP="00A00195">
      <w:pPr>
        <w:pStyle w:val="ab"/>
      </w:pPr>
      <w:r>
        <w:rPr>
          <w:rStyle w:val="ad"/>
        </w:rPr>
        <w:footnoteRef/>
      </w:r>
      <w:r>
        <w:rPr>
          <w:rtl/>
        </w:rPr>
        <w:t xml:space="preserve"> </w:t>
      </w:r>
    </w:p>
  </w:footnote>
  <w:footnote w:id="2">
    <w:p w14:paraId="50AA0AC3" w14:textId="77777777" w:rsidR="00A00195" w:rsidRDefault="00A00195" w:rsidP="00A00195">
      <w:pPr>
        <w:pStyle w:val="ab"/>
      </w:pPr>
      <w:r>
        <w:rPr>
          <w:rStyle w:val="ad"/>
        </w:rPr>
        <w:footnoteRef/>
      </w:r>
      <w:r>
        <w:rPr>
          <w:rtl/>
        </w:rPr>
        <w:t xml:space="preserve"> </w:t>
      </w:r>
    </w:p>
  </w:footnote>
  <w:footnote w:id="3">
    <w:p w14:paraId="1A30BF3C" w14:textId="77777777" w:rsidR="00A00195" w:rsidRDefault="00A00195" w:rsidP="00A00195">
      <w:pPr>
        <w:pStyle w:val="ab"/>
      </w:pPr>
      <w:r>
        <w:rPr>
          <w:rStyle w:val="ad"/>
        </w:rPr>
        <w:footnoteRef/>
      </w:r>
      <w:r>
        <w:rPr>
          <w:rtl/>
        </w:rPr>
        <w:t xml:space="preserve"> </w:t>
      </w:r>
    </w:p>
  </w:footnote>
  <w:footnote w:id="4">
    <w:p w14:paraId="45305B3B" w14:textId="77777777" w:rsidR="00A90A14" w:rsidRDefault="00A90A14" w:rsidP="00A90A14">
      <w:pPr>
        <w:pStyle w:val="ab"/>
        <w:rPr>
          <w:rtl/>
        </w:rPr>
      </w:pPr>
      <w:r>
        <w:rPr>
          <w:rStyle w:val="ad"/>
        </w:rPr>
        <w:footnoteRef/>
      </w:r>
      <w:r>
        <w:rPr>
          <w:rtl/>
        </w:rPr>
        <w:t xml:space="preserve"> </w:t>
      </w:r>
    </w:p>
  </w:footnote>
  <w:footnote w:id="5">
    <w:p w14:paraId="6B28B81A" w14:textId="77777777" w:rsidR="00A90A14" w:rsidRDefault="00A90A14" w:rsidP="00A90A14">
      <w:pPr>
        <w:pStyle w:val="ab"/>
      </w:pPr>
      <w:r>
        <w:rPr>
          <w:rStyle w:val="ad"/>
        </w:rPr>
        <w:footnoteRef/>
      </w:r>
      <w:r>
        <w:rPr>
          <w:rtl/>
        </w:rPr>
        <w:t xml:space="preserve"> </w:t>
      </w:r>
    </w:p>
  </w:footnote>
  <w:footnote w:id="6">
    <w:p w14:paraId="069529C7" w14:textId="77777777" w:rsidR="00A90A14" w:rsidRDefault="00A90A14" w:rsidP="00A90A14">
      <w:pPr>
        <w:pStyle w:val="ab"/>
      </w:pPr>
      <w:r>
        <w:rPr>
          <w:rStyle w:val="ad"/>
        </w:rPr>
        <w:footnoteRef/>
      </w:r>
      <w:r>
        <w:rPr>
          <w:rtl/>
        </w:rPr>
        <w:t xml:space="preserve"> </w:t>
      </w:r>
    </w:p>
  </w:footnote>
  <w:footnote w:id="7">
    <w:p w14:paraId="18169A3E" w14:textId="77777777" w:rsidR="003F7CF7" w:rsidRDefault="003F7CF7" w:rsidP="003F7CF7">
      <w:pPr>
        <w:pStyle w:val="ab"/>
      </w:pPr>
      <w:r>
        <w:rPr>
          <w:rStyle w:val="ad"/>
        </w:rPr>
        <w:footnoteRef/>
      </w:r>
      <w:r>
        <w:rPr>
          <w:rtl/>
        </w:rPr>
        <w:t xml:space="preserve"> </w:t>
      </w:r>
    </w:p>
  </w:footnote>
  <w:footnote w:id="8">
    <w:p w14:paraId="3627F1F3" w14:textId="77777777" w:rsidR="003F7CF7" w:rsidRDefault="003F7CF7" w:rsidP="003F7CF7">
      <w:pPr>
        <w:pStyle w:val="ab"/>
      </w:pPr>
      <w:r>
        <w:rPr>
          <w:rStyle w:val="ad"/>
        </w:rPr>
        <w:footnoteRef/>
      </w:r>
      <w:r>
        <w:rPr>
          <w:rtl/>
        </w:rPr>
        <w:t xml:space="preserve"> </w:t>
      </w:r>
    </w:p>
  </w:footnote>
  <w:footnote w:id="9">
    <w:p w14:paraId="54144128" w14:textId="77777777" w:rsidR="003F7CF7" w:rsidRDefault="003F7CF7" w:rsidP="003F7CF7">
      <w:pPr>
        <w:pStyle w:val="ab"/>
        <w:rPr>
          <w:rtl/>
        </w:rPr>
      </w:pPr>
      <w:r>
        <w:rPr>
          <w:rStyle w:val="ad"/>
        </w:rPr>
        <w:footnoteRef/>
      </w:r>
      <w:r>
        <w:rPr>
          <w:rtl/>
        </w:rPr>
        <w:t xml:space="preserve"> </w:t>
      </w:r>
    </w:p>
    <w:p w14:paraId="281477D8" w14:textId="77777777" w:rsidR="003F7CF7" w:rsidRDefault="003F7CF7" w:rsidP="003F7CF7">
      <w:pPr>
        <w:pStyle w:val="ab"/>
      </w:pPr>
    </w:p>
  </w:footnote>
  <w:footnote w:id="10">
    <w:p w14:paraId="068DA2BA" w14:textId="77777777" w:rsidR="00766498" w:rsidRDefault="00766498" w:rsidP="00766498">
      <w:pPr>
        <w:pStyle w:val="ab"/>
      </w:pPr>
      <w:r>
        <w:rPr>
          <w:rStyle w:val="ad"/>
        </w:rPr>
        <w:footnoteRef/>
      </w:r>
      <w:r>
        <w:rPr>
          <w:rtl/>
        </w:rPr>
        <w:t xml:space="preserve"> </w:t>
      </w:r>
    </w:p>
  </w:footnote>
  <w:footnote w:id="11">
    <w:p w14:paraId="004CD92B" w14:textId="77777777" w:rsidR="00766498" w:rsidRDefault="00766498" w:rsidP="00766498">
      <w:pPr>
        <w:pStyle w:val="ab"/>
      </w:pPr>
      <w:r>
        <w:rPr>
          <w:rStyle w:val="ad"/>
        </w:rPr>
        <w:footnoteRef/>
      </w:r>
      <w:r>
        <w:rPr>
          <w:rtl/>
        </w:rPr>
        <w:t xml:space="preserve"> </w:t>
      </w:r>
    </w:p>
  </w:footnote>
  <w:footnote w:id="12">
    <w:p w14:paraId="2167BE58" w14:textId="77777777" w:rsidR="00766498" w:rsidRDefault="00766498" w:rsidP="00766498">
      <w:pPr>
        <w:pStyle w:val="ab"/>
      </w:pPr>
      <w:r>
        <w:rPr>
          <w:rStyle w:val="ad"/>
        </w:rPr>
        <w:footnoteRef/>
      </w:r>
      <w:r>
        <w:rPr>
          <w:rtl/>
        </w:rPr>
        <w:t xml:space="preserve"> </w:t>
      </w:r>
    </w:p>
  </w:footnote>
  <w:footnote w:id="13">
    <w:p w14:paraId="23FDF7C2" w14:textId="77777777" w:rsidR="00766498" w:rsidRDefault="00766498" w:rsidP="00766498">
      <w:pPr>
        <w:pStyle w:val="ab"/>
      </w:pPr>
      <w:r>
        <w:rPr>
          <w:rStyle w:val="ad"/>
        </w:rPr>
        <w:footnoteRef/>
      </w:r>
      <w:r>
        <w:rPr>
          <w:rtl/>
        </w:rPr>
        <w:t xml:space="preserve"> </w:t>
      </w:r>
    </w:p>
  </w:footnote>
  <w:footnote w:id="14">
    <w:p w14:paraId="61169362" w14:textId="77777777" w:rsidR="00766498" w:rsidRDefault="00766498" w:rsidP="00766498">
      <w:pPr>
        <w:pStyle w:val="ab"/>
      </w:pPr>
      <w:r>
        <w:rPr>
          <w:rStyle w:val="ad"/>
        </w:rPr>
        <w:footnoteRef/>
      </w:r>
      <w:r>
        <w:rPr>
          <w:rtl/>
        </w:rPr>
        <w:t xml:space="preserve"> </w:t>
      </w:r>
    </w:p>
  </w:footnote>
  <w:footnote w:id="15">
    <w:p w14:paraId="3A210280" w14:textId="77777777" w:rsidR="00766498" w:rsidRDefault="00766498" w:rsidP="00766498">
      <w:pPr>
        <w:pStyle w:val="ab"/>
      </w:pPr>
      <w:r>
        <w:rPr>
          <w:rStyle w:val="ad"/>
        </w:rPr>
        <w:footnoteRef/>
      </w:r>
      <w:r>
        <w:rPr>
          <w:rtl/>
        </w:rPr>
        <w:t xml:space="preserve"> </w:t>
      </w:r>
    </w:p>
  </w:footnote>
  <w:footnote w:id="16">
    <w:p w14:paraId="6D2D8918" w14:textId="77777777" w:rsidR="0031082F" w:rsidRDefault="0031082F" w:rsidP="0031082F">
      <w:pPr>
        <w:pStyle w:val="ab"/>
      </w:pPr>
      <w:r>
        <w:rPr>
          <w:rStyle w:val="ad"/>
        </w:rPr>
        <w:footnoteRef/>
      </w:r>
      <w:r>
        <w:rPr>
          <w:rtl/>
        </w:rPr>
        <w:t xml:space="preserve"> </w:t>
      </w:r>
    </w:p>
  </w:footnote>
  <w:footnote w:id="17">
    <w:p w14:paraId="06F13F21" w14:textId="77777777" w:rsidR="0031082F" w:rsidRDefault="0031082F" w:rsidP="0031082F">
      <w:pPr>
        <w:pStyle w:val="ab"/>
      </w:pPr>
      <w:r>
        <w:rPr>
          <w:rStyle w:val="ad"/>
        </w:rPr>
        <w:footnoteRef/>
      </w:r>
      <w:r>
        <w:rPr>
          <w:rtl/>
        </w:rPr>
        <w:t xml:space="preserve"> </w:t>
      </w:r>
    </w:p>
  </w:footnote>
  <w:footnote w:id="18">
    <w:p w14:paraId="4A6A8157" w14:textId="77777777" w:rsidR="00CA1BBB" w:rsidRDefault="00CA1BBB" w:rsidP="00CA1BBB">
      <w:pPr>
        <w:pStyle w:val="ab"/>
      </w:pPr>
      <w:r>
        <w:rPr>
          <w:rStyle w:val="ad"/>
        </w:rPr>
        <w:footnoteRef/>
      </w:r>
      <w:r>
        <w:rPr>
          <w:rtl/>
        </w:rPr>
        <w:t xml:space="preserve"> </w:t>
      </w:r>
    </w:p>
  </w:footnote>
  <w:footnote w:id="19">
    <w:p w14:paraId="72F0D040" w14:textId="77777777" w:rsidR="00CA1BBB" w:rsidRDefault="00CA1BBB" w:rsidP="00CA1BBB">
      <w:pPr>
        <w:pStyle w:val="ab"/>
      </w:pPr>
      <w:r>
        <w:rPr>
          <w:rStyle w:val="ad"/>
        </w:rPr>
        <w:footnoteRef/>
      </w:r>
      <w:r>
        <w:rPr>
          <w:rtl/>
        </w:rPr>
        <w:t xml:space="preserve"> </w:t>
      </w:r>
    </w:p>
  </w:footnote>
  <w:footnote w:id="20">
    <w:p w14:paraId="38F88527" w14:textId="77777777" w:rsidR="00CA1BBB" w:rsidRDefault="00CA1BBB" w:rsidP="00CA1BBB">
      <w:pPr>
        <w:pStyle w:val="ab"/>
      </w:pPr>
      <w:r>
        <w:rPr>
          <w:rStyle w:val="ad"/>
        </w:rPr>
        <w:footnoteRef/>
      </w:r>
      <w:r>
        <w:rPr>
          <w:rtl/>
        </w:rPr>
        <w:t xml:space="preserve"> </w:t>
      </w:r>
    </w:p>
  </w:footnote>
  <w:footnote w:id="21">
    <w:p w14:paraId="55870697" w14:textId="77777777" w:rsidR="00CA1BBB" w:rsidRDefault="00CA1BBB" w:rsidP="00CA1BBB">
      <w:pPr>
        <w:pStyle w:val="ab"/>
        <w:rPr>
          <w:rtl/>
        </w:rPr>
      </w:pPr>
      <w:r>
        <w:rPr>
          <w:rStyle w:val="ad"/>
        </w:rPr>
        <w:footnoteRef/>
      </w:r>
      <w:r>
        <w:rPr>
          <w:rtl/>
        </w:rPr>
        <w:t xml:space="preserve"> </w:t>
      </w:r>
    </w:p>
  </w:footnote>
  <w:footnote w:id="22">
    <w:p w14:paraId="61591A85" w14:textId="77777777" w:rsidR="00CA1BBB" w:rsidRDefault="00CA1BBB" w:rsidP="00CA1BBB">
      <w:pPr>
        <w:pStyle w:val="ab"/>
      </w:pPr>
      <w:r>
        <w:rPr>
          <w:rStyle w:val="ad"/>
        </w:rPr>
        <w:footnoteRef/>
      </w:r>
      <w:r>
        <w:rPr>
          <w:rtl/>
        </w:rPr>
        <w:t xml:space="preserve"> </w:t>
      </w:r>
    </w:p>
  </w:footnote>
  <w:footnote w:id="23">
    <w:p w14:paraId="01215D8D" w14:textId="77777777" w:rsidR="00CA1BBB" w:rsidRDefault="00CA1BBB" w:rsidP="00CA1BBB">
      <w:pPr>
        <w:pStyle w:val="ab"/>
      </w:pPr>
      <w:r>
        <w:rPr>
          <w:rStyle w:val="ad"/>
        </w:rPr>
        <w:footnoteRef/>
      </w:r>
      <w:r>
        <w:rPr>
          <w:rtl/>
        </w:rPr>
        <w:t xml:space="preserve"> </w:t>
      </w:r>
    </w:p>
  </w:footnote>
  <w:footnote w:id="24">
    <w:p w14:paraId="32F89891" w14:textId="77777777" w:rsidR="00CA1BBB" w:rsidRDefault="00CA1BBB" w:rsidP="00CA1BBB">
      <w:pPr>
        <w:pStyle w:val="ab"/>
        <w:rPr>
          <w:rtl/>
        </w:rPr>
      </w:pPr>
      <w:r>
        <w:rPr>
          <w:rStyle w:val="ad"/>
        </w:rPr>
        <w:footnoteRef/>
      </w:r>
      <w:r>
        <w:rPr>
          <w:rtl/>
        </w:rPr>
        <w:t xml:space="preserve"> </w:t>
      </w:r>
    </w:p>
  </w:footnote>
  <w:footnote w:id="25">
    <w:p w14:paraId="3938697C" w14:textId="77777777" w:rsidR="006C0E13" w:rsidRDefault="006C0E13" w:rsidP="006C0E13">
      <w:pPr>
        <w:pStyle w:val="ab"/>
      </w:pPr>
      <w:r>
        <w:rPr>
          <w:rStyle w:val="ad"/>
        </w:rPr>
        <w:footnoteRef/>
      </w:r>
      <w:r>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5308" w14:textId="77777777" w:rsidR="00EF5DD9" w:rsidRDefault="00EF5DD9" w:rsidP="007205FA">
    <w:pPr>
      <w:pStyle w:val="a3"/>
      <w:pBdr>
        <w:bottom w:val="single" w:sz="4" w:space="1" w:color="auto"/>
      </w:pBdr>
    </w:pPr>
    <w:r>
      <w:rPr>
        <w:noProof/>
        <w:lang w:bidi="ar-SA"/>
      </w:rPr>
      <w:drawing>
        <wp:inline distT="0" distB="0" distL="0" distR="0" wp14:anchorId="766B48B8" wp14:editId="0CD1A9F7">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1EC1"/>
    <w:multiLevelType w:val="hybridMultilevel"/>
    <w:tmpl w:val="CE22A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91A30"/>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D2049A"/>
    <w:multiLevelType w:val="multilevel"/>
    <w:tmpl w:val="A12CA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55"/>
    <w:rsid w:val="00001006"/>
    <w:rsid w:val="00057E0D"/>
    <w:rsid w:val="00094D49"/>
    <w:rsid w:val="000F3D41"/>
    <w:rsid w:val="00134FD3"/>
    <w:rsid w:val="001765D1"/>
    <w:rsid w:val="001B2169"/>
    <w:rsid w:val="00232350"/>
    <w:rsid w:val="0025213D"/>
    <w:rsid w:val="00290DF8"/>
    <w:rsid w:val="0031082F"/>
    <w:rsid w:val="00346845"/>
    <w:rsid w:val="003F7CF7"/>
    <w:rsid w:val="0044670E"/>
    <w:rsid w:val="004671F9"/>
    <w:rsid w:val="004B25D5"/>
    <w:rsid w:val="004E1C22"/>
    <w:rsid w:val="0057543C"/>
    <w:rsid w:val="0059459C"/>
    <w:rsid w:val="005A0B96"/>
    <w:rsid w:val="005B227A"/>
    <w:rsid w:val="00612261"/>
    <w:rsid w:val="0065446E"/>
    <w:rsid w:val="00695229"/>
    <w:rsid w:val="006C0E13"/>
    <w:rsid w:val="006E412A"/>
    <w:rsid w:val="006F59E7"/>
    <w:rsid w:val="007205FA"/>
    <w:rsid w:val="00766498"/>
    <w:rsid w:val="007E2759"/>
    <w:rsid w:val="00851D0E"/>
    <w:rsid w:val="00914FF4"/>
    <w:rsid w:val="009E26F4"/>
    <w:rsid w:val="00A00195"/>
    <w:rsid w:val="00A23E3B"/>
    <w:rsid w:val="00A26488"/>
    <w:rsid w:val="00A27E9F"/>
    <w:rsid w:val="00A623A4"/>
    <w:rsid w:val="00A90A14"/>
    <w:rsid w:val="00AB0C46"/>
    <w:rsid w:val="00B236CA"/>
    <w:rsid w:val="00B57E6C"/>
    <w:rsid w:val="00C667A1"/>
    <w:rsid w:val="00CA1BBB"/>
    <w:rsid w:val="00CE34EA"/>
    <w:rsid w:val="00D33387"/>
    <w:rsid w:val="00D653E3"/>
    <w:rsid w:val="00DD4D55"/>
    <w:rsid w:val="00E13596"/>
    <w:rsid w:val="00E60E97"/>
    <w:rsid w:val="00EF5DD9"/>
    <w:rsid w:val="00F32E4B"/>
    <w:rsid w:val="00F51E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D618"/>
  <w15:docId w15:val="{9526E2BA-4882-4983-BCD9-D778D67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39"/>
    <w:rsid w:val="00A62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List Paragraph"/>
    <w:basedOn w:val="a"/>
    <w:uiPriority w:val="34"/>
    <w:qFormat/>
    <w:rsid w:val="00001006"/>
    <w:pPr>
      <w:ind w:left="720"/>
      <w:contextualSpacing/>
    </w:pPr>
  </w:style>
  <w:style w:type="paragraph" w:styleId="ab">
    <w:name w:val="footnote text"/>
    <w:basedOn w:val="a"/>
    <w:link w:val="ac"/>
    <w:uiPriority w:val="99"/>
    <w:semiHidden/>
    <w:unhideWhenUsed/>
    <w:rsid w:val="00A00195"/>
    <w:pPr>
      <w:bidi/>
      <w:spacing w:after="0" w:line="240" w:lineRule="auto"/>
    </w:pPr>
    <w:rPr>
      <w:sz w:val="20"/>
      <w:szCs w:val="20"/>
    </w:rPr>
  </w:style>
  <w:style w:type="character" w:customStyle="1" w:styleId="ac">
    <w:name w:val="טקסט הערת שוליים תו"/>
    <w:basedOn w:val="a0"/>
    <w:link w:val="ab"/>
    <w:uiPriority w:val="99"/>
    <w:semiHidden/>
    <w:rsid w:val="00A00195"/>
    <w:rPr>
      <w:sz w:val="20"/>
      <w:szCs w:val="20"/>
    </w:rPr>
  </w:style>
  <w:style w:type="character" w:styleId="ad">
    <w:name w:val="footnote reference"/>
    <w:basedOn w:val="a0"/>
    <w:uiPriority w:val="99"/>
    <w:semiHidden/>
    <w:unhideWhenUsed/>
    <w:rsid w:val="00A001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 w:id="95965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torah.com/sukkots-seventy-bul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hetorah.com/tzaraat-as-canc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hetorah.com/sukkots-seventy-bul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TheTorah Template (1).dotx</Template>
  <TotalTime>5</TotalTime>
  <Pages>19</Pages>
  <Words>7021</Words>
  <Characters>35107</Characters>
  <Application>Microsoft Office Word</Application>
  <DocSecurity>0</DocSecurity>
  <Lines>292</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Zehava</cp:lastModifiedBy>
  <cp:revision>5</cp:revision>
  <dcterms:created xsi:type="dcterms:W3CDTF">2022-03-13T15:57:00Z</dcterms:created>
  <dcterms:modified xsi:type="dcterms:W3CDTF">2022-03-14T19:09:00Z</dcterms:modified>
</cp:coreProperties>
</file>