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3A1B5" w14:textId="279A500B" w:rsidR="00821D11" w:rsidRPr="00FF4AD0" w:rsidRDefault="0089373F" w:rsidP="00840C4B">
      <w:pPr>
        <w:jc w:val="both"/>
        <w:rPr>
          <w:rFonts w:ascii="Times New Roman" w:hAnsi="Times New Roman" w:cs="Times New Roman"/>
          <w:b/>
          <w:bCs/>
          <w:i/>
          <w:iCs/>
          <w:sz w:val="24"/>
          <w:szCs w:val="24"/>
        </w:rPr>
      </w:pPr>
      <w:r w:rsidRPr="00FF4AD0">
        <w:rPr>
          <w:rFonts w:ascii="Times New Roman" w:hAnsi="Times New Roman" w:cs="Times New Roman"/>
          <w:b/>
          <w:bCs/>
          <w:i/>
          <w:iCs/>
          <w:sz w:val="24"/>
          <w:szCs w:val="24"/>
        </w:rPr>
        <w:t xml:space="preserve">This suit should never have been brought” – </w:t>
      </w:r>
      <w:r w:rsidR="00FF3C48" w:rsidRPr="00FF4AD0">
        <w:rPr>
          <w:rFonts w:ascii="Times New Roman" w:hAnsi="Times New Roman" w:cs="Times New Roman"/>
          <w:b/>
          <w:bCs/>
          <w:i/>
          <w:iCs/>
          <w:sz w:val="24"/>
          <w:szCs w:val="24"/>
        </w:rPr>
        <w:t>Frivolous</w:t>
      </w:r>
      <w:r w:rsidRPr="00FF4AD0">
        <w:rPr>
          <w:rFonts w:ascii="Times New Roman" w:hAnsi="Times New Roman" w:cs="Times New Roman"/>
          <w:b/>
          <w:bCs/>
          <w:i/>
          <w:iCs/>
          <w:sz w:val="24"/>
          <w:szCs w:val="24"/>
        </w:rPr>
        <w:t xml:space="preserve"> </w:t>
      </w:r>
      <w:r w:rsidR="00FF4AD0">
        <w:rPr>
          <w:rFonts w:ascii="Times New Roman" w:hAnsi="Times New Roman" w:cs="Times New Roman"/>
          <w:b/>
          <w:bCs/>
          <w:i/>
          <w:iCs/>
          <w:sz w:val="24"/>
          <w:szCs w:val="24"/>
        </w:rPr>
        <w:t>L</w:t>
      </w:r>
      <w:r w:rsidRPr="00FF4AD0">
        <w:rPr>
          <w:rFonts w:ascii="Times New Roman" w:hAnsi="Times New Roman" w:cs="Times New Roman"/>
          <w:b/>
          <w:bCs/>
          <w:i/>
          <w:iCs/>
          <w:sz w:val="24"/>
          <w:szCs w:val="24"/>
        </w:rPr>
        <w:t xml:space="preserve">itigation in Israel and the Attorney’s </w:t>
      </w:r>
      <w:r w:rsidR="007E5898" w:rsidRPr="00FF4AD0">
        <w:rPr>
          <w:rFonts w:ascii="Times New Roman" w:hAnsi="Times New Roman" w:cs="Times New Roman"/>
          <w:b/>
          <w:bCs/>
          <w:i/>
          <w:iCs/>
          <w:sz w:val="24"/>
          <w:szCs w:val="24"/>
        </w:rPr>
        <w:t>Role</w:t>
      </w:r>
    </w:p>
    <w:p w14:paraId="61468C1F" w14:textId="4C7A19E0" w:rsidR="0089373F" w:rsidRPr="00AB1915" w:rsidRDefault="00FB2D8A" w:rsidP="001748BA">
      <w:pPr>
        <w:ind w:left="720" w:right="720"/>
        <w:jc w:val="both"/>
        <w:rPr>
          <w:rFonts w:ascii="Times New Roman" w:hAnsi="Times New Roman" w:cs="Times New Roman"/>
        </w:rPr>
      </w:pPr>
      <w:r w:rsidRPr="00AB1915">
        <w:rPr>
          <w:rFonts w:ascii="Times New Roman" w:hAnsi="Times New Roman" w:cs="Times New Roman"/>
          <w:i/>
          <w:iCs/>
        </w:rPr>
        <w:t>This phenomenon of flooding the courts with motions regarding the smallest of issues</w:t>
      </w:r>
      <w:r w:rsidR="00FF4AD0">
        <w:rPr>
          <w:rFonts w:ascii="Times New Roman" w:hAnsi="Times New Roman" w:cs="Times New Roman"/>
          <w:i/>
          <w:iCs/>
        </w:rPr>
        <w:t xml:space="preserve"> - </w:t>
      </w:r>
      <w:r w:rsidRPr="00AB1915">
        <w:rPr>
          <w:rFonts w:ascii="Times New Roman" w:hAnsi="Times New Roman" w:cs="Times New Roman"/>
          <w:i/>
          <w:iCs/>
        </w:rPr>
        <w:t>motions, the sole purpose of which is to wear out the opposing side, is a sickness, and it is spreading like a malignant growth within the body of the legal system. In it</w:t>
      </w:r>
      <w:r w:rsidR="00AB1915">
        <w:rPr>
          <w:rFonts w:ascii="Times New Roman" w:hAnsi="Times New Roman" w:cs="Times New Roman"/>
          <w:i/>
          <w:iCs/>
        </w:rPr>
        <w:t>s</w:t>
      </w:r>
      <w:r w:rsidRPr="00AB1915">
        <w:rPr>
          <w:rFonts w:ascii="Times New Roman" w:hAnsi="Times New Roman" w:cs="Times New Roman"/>
          <w:i/>
          <w:iCs/>
        </w:rPr>
        <w:t xml:space="preserve"> current dimensions, </w:t>
      </w:r>
      <w:r w:rsidR="00FF4AD0">
        <w:rPr>
          <w:rFonts w:ascii="Times New Roman" w:hAnsi="Times New Roman" w:cs="Times New Roman"/>
          <w:i/>
          <w:iCs/>
        </w:rPr>
        <w:t>robs and wastes</w:t>
      </w:r>
      <w:r w:rsidRPr="00AB1915">
        <w:rPr>
          <w:rFonts w:ascii="Times New Roman" w:hAnsi="Times New Roman" w:cs="Times New Roman"/>
          <w:i/>
          <w:iCs/>
        </w:rPr>
        <w:t xml:space="preserve"> </w:t>
      </w:r>
      <w:r w:rsidR="00FF4AD0">
        <w:rPr>
          <w:rFonts w:ascii="Times New Roman" w:hAnsi="Times New Roman" w:cs="Times New Roman"/>
          <w:i/>
          <w:iCs/>
        </w:rPr>
        <w:t>th</w:t>
      </w:r>
      <w:r w:rsidRPr="00AB1915">
        <w:rPr>
          <w:rFonts w:ascii="Times New Roman" w:hAnsi="Times New Roman" w:cs="Times New Roman"/>
          <w:i/>
          <w:iCs/>
        </w:rPr>
        <w:t>e time of the courts’ judges</w:t>
      </w:r>
      <w:r w:rsidR="00FF4AD0">
        <w:rPr>
          <w:rFonts w:ascii="Times New Roman" w:hAnsi="Times New Roman" w:cs="Times New Roman"/>
          <w:i/>
          <w:iCs/>
        </w:rPr>
        <w:t>;</w:t>
      </w:r>
      <w:r w:rsidRPr="00AB1915">
        <w:rPr>
          <w:rFonts w:ascii="Times New Roman" w:hAnsi="Times New Roman" w:cs="Times New Roman"/>
          <w:i/>
          <w:iCs/>
        </w:rPr>
        <w:t xml:space="preserve"> </w:t>
      </w:r>
      <w:r w:rsidR="00FF4AD0">
        <w:rPr>
          <w:rFonts w:ascii="Times New Roman" w:hAnsi="Times New Roman" w:cs="Times New Roman"/>
          <w:i/>
          <w:iCs/>
        </w:rPr>
        <w:t xml:space="preserve">harasses </w:t>
      </w:r>
      <w:r w:rsidRPr="00AB1915">
        <w:rPr>
          <w:rFonts w:ascii="Times New Roman" w:hAnsi="Times New Roman" w:cs="Times New Roman"/>
          <w:i/>
          <w:iCs/>
        </w:rPr>
        <w:t xml:space="preserve">the opposing sides and </w:t>
      </w:r>
      <w:r w:rsidR="00FF4AD0">
        <w:rPr>
          <w:rFonts w:ascii="Times New Roman" w:hAnsi="Times New Roman" w:cs="Times New Roman"/>
          <w:i/>
          <w:iCs/>
        </w:rPr>
        <w:t xml:space="preserve">forces them </w:t>
      </w:r>
      <w:r w:rsidRPr="00AB1915">
        <w:rPr>
          <w:rFonts w:ascii="Times New Roman" w:hAnsi="Times New Roman" w:cs="Times New Roman"/>
          <w:i/>
          <w:iCs/>
        </w:rPr>
        <w:t>to incur unnecessary exp</w:t>
      </w:r>
      <w:r w:rsidR="00F621A4" w:rsidRPr="00AB1915">
        <w:rPr>
          <w:rFonts w:ascii="Times New Roman" w:hAnsi="Times New Roman" w:cs="Times New Roman"/>
          <w:i/>
          <w:iCs/>
        </w:rPr>
        <w:t>e</w:t>
      </w:r>
      <w:r w:rsidRPr="00AB1915">
        <w:rPr>
          <w:rFonts w:ascii="Times New Roman" w:hAnsi="Times New Roman" w:cs="Times New Roman"/>
          <w:i/>
          <w:iCs/>
        </w:rPr>
        <w:t>nses</w:t>
      </w:r>
      <w:r w:rsidR="00FF4AD0">
        <w:rPr>
          <w:rFonts w:ascii="Times New Roman" w:hAnsi="Times New Roman" w:cs="Times New Roman"/>
          <w:i/>
          <w:iCs/>
        </w:rPr>
        <w:t>;</w:t>
      </w:r>
      <w:r w:rsidR="00F621A4" w:rsidRPr="00AB1915">
        <w:rPr>
          <w:rFonts w:ascii="Times New Roman" w:hAnsi="Times New Roman" w:cs="Times New Roman"/>
          <w:i/>
          <w:iCs/>
        </w:rPr>
        <w:t xml:space="preserve"> it forces each party to </w:t>
      </w:r>
      <w:r w:rsidR="00FF4AD0">
        <w:rPr>
          <w:rFonts w:ascii="Times New Roman" w:hAnsi="Times New Roman" w:cs="Times New Roman"/>
          <w:i/>
          <w:iCs/>
        </w:rPr>
        <w:t xml:space="preserve">sharpen their knives against </w:t>
      </w:r>
      <w:r w:rsidR="00F621A4" w:rsidRPr="00AB1915">
        <w:rPr>
          <w:rFonts w:ascii="Times New Roman" w:hAnsi="Times New Roman" w:cs="Times New Roman"/>
          <w:i/>
          <w:iCs/>
        </w:rPr>
        <w:t>each other</w:t>
      </w:r>
      <w:r w:rsidR="00FF4AD0">
        <w:rPr>
          <w:rFonts w:ascii="Times New Roman" w:hAnsi="Times New Roman" w:cs="Times New Roman"/>
          <w:i/>
          <w:iCs/>
        </w:rPr>
        <w:t>;</w:t>
      </w:r>
      <w:r w:rsidR="00F621A4" w:rsidRPr="00AB1915">
        <w:rPr>
          <w:rFonts w:ascii="Times New Roman" w:hAnsi="Times New Roman" w:cs="Times New Roman"/>
          <w:i/>
          <w:iCs/>
        </w:rPr>
        <w:t xml:space="preserve"> and needlessly </w:t>
      </w:r>
      <w:r w:rsidR="00FF4AD0">
        <w:rPr>
          <w:rFonts w:ascii="Times New Roman" w:hAnsi="Times New Roman" w:cs="Times New Roman"/>
          <w:i/>
          <w:iCs/>
        </w:rPr>
        <w:t>increases</w:t>
      </w:r>
      <w:r w:rsidR="00F621A4" w:rsidRPr="00AB1915">
        <w:rPr>
          <w:rFonts w:ascii="Times New Roman" w:hAnsi="Times New Roman" w:cs="Times New Roman"/>
          <w:i/>
          <w:iCs/>
        </w:rPr>
        <w:t xml:space="preserve"> the disputes between them. And consequently, </w:t>
      </w:r>
      <w:r w:rsidR="007E5898" w:rsidRPr="00AB1915">
        <w:rPr>
          <w:rFonts w:ascii="Times New Roman" w:hAnsi="Times New Roman" w:cs="Times New Roman"/>
          <w:i/>
          <w:iCs/>
        </w:rPr>
        <w:t>t</w:t>
      </w:r>
      <w:r w:rsidR="00F621A4" w:rsidRPr="00AB1915">
        <w:rPr>
          <w:rFonts w:ascii="Times New Roman" w:hAnsi="Times New Roman" w:cs="Times New Roman"/>
          <w:i/>
          <w:iCs/>
        </w:rPr>
        <w:t xml:space="preserve">he court finds itself unnecessarily involved in matters that should not have been brought before it, and it cannot turn to its main work. This is a </w:t>
      </w:r>
      <w:r w:rsidR="007E5898" w:rsidRPr="00AB1915">
        <w:rPr>
          <w:rFonts w:ascii="Times New Roman" w:hAnsi="Times New Roman" w:cs="Times New Roman"/>
          <w:i/>
          <w:iCs/>
        </w:rPr>
        <w:t>spreading and malignant phenomenon, and it must be uprooted.</w:t>
      </w:r>
      <w:r w:rsidR="001748BA" w:rsidRPr="00AB1915">
        <w:rPr>
          <w:rStyle w:val="FootnoteReference"/>
          <w:rFonts w:ascii="Times New Roman" w:hAnsi="Times New Roman" w:cs="Times New Roman"/>
          <w:i/>
          <w:iCs/>
        </w:rPr>
        <w:footnoteReference w:id="1"/>
      </w:r>
    </w:p>
    <w:p w14:paraId="76500039" w14:textId="733CEBCA" w:rsidR="0089373F" w:rsidRPr="00AB1915" w:rsidRDefault="0089373F" w:rsidP="00840C4B">
      <w:pPr>
        <w:jc w:val="both"/>
        <w:rPr>
          <w:rFonts w:ascii="Times New Roman" w:hAnsi="Times New Roman" w:cs="Times New Roman"/>
          <w:b/>
          <w:bCs/>
        </w:rPr>
      </w:pPr>
      <w:r w:rsidRPr="00AB1915">
        <w:rPr>
          <w:rFonts w:ascii="Times New Roman" w:hAnsi="Times New Roman" w:cs="Times New Roman"/>
          <w:b/>
          <w:bCs/>
        </w:rPr>
        <w:t>Introduction</w:t>
      </w:r>
    </w:p>
    <w:p w14:paraId="5646997D" w14:textId="3914C92D" w:rsidR="0089373F" w:rsidRPr="00AB1915" w:rsidRDefault="001748BA" w:rsidP="00FF4AD0">
      <w:pPr>
        <w:jc w:val="both"/>
        <w:rPr>
          <w:rFonts w:ascii="Times New Roman" w:hAnsi="Times New Roman" w:cs="Times New Roman"/>
        </w:rPr>
      </w:pPr>
      <w:r w:rsidRPr="00AB1915">
        <w:rPr>
          <w:rFonts w:ascii="Times New Roman" w:hAnsi="Times New Roman" w:cs="Times New Roman"/>
        </w:rPr>
        <w:t xml:space="preserve">It was </w:t>
      </w:r>
      <w:r w:rsidR="00AB1915" w:rsidRPr="00AB1915">
        <w:rPr>
          <w:rFonts w:ascii="Times New Roman" w:hAnsi="Times New Roman" w:cs="Times New Roman"/>
        </w:rPr>
        <w:t>Judge Learned</w:t>
      </w:r>
      <w:r w:rsidR="0089373F" w:rsidRPr="00AB1915">
        <w:rPr>
          <w:rFonts w:ascii="Times New Roman" w:hAnsi="Times New Roman" w:cs="Times New Roman"/>
        </w:rPr>
        <w:t xml:space="preserve"> Hand </w:t>
      </w:r>
      <w:r w:rsidRPr="00AB1915">
        <w:rPr>
          <w:rFonts w:ascii="Times New Roman" w:hAnsi="Times New Roman" w:cs="Times New Roman"/>
        </w:rPr>
        <w:t xml:space="preserve">who </w:t>
      </w:r>
      <w:r w:rsidR="0089373F" w:rsidRPr="00AB1915">
        <w:rPr>
          <w:rFonts w:ascii="Times New Roman" w:hAnsi="Times New Roman" w:cs="Times New Roman"/>
        </w:rPr>
        <w:t>wrote</w:t>
      </w:r>
      <w:r w:rsidR="00FF4AD0">
        <w:rPr>
          <w:rFonts w:ascii="Times New Roman" w:hAnsi="Times New Roman" w:cs="Times New Roman"/>
        </w:rPr>
        <w:t>:</w:t>
      </w:r>
      <w:r w:rsidR="0089373F" w:rsidRPr="00AB1915">
        <w:rPr>
          <w:rFonts w:ascii="Times New Roman" w:hAnsi="Times New Roman" w:cs="Times New Roman"/>
        </w:rPr>
        <w:t xml:space="preserve"> </w:t>
      </w:r>
      <w:r w:rsidRPr="00AB1915">
        <w:rPr>
          <w:rFonts w:ascii="Times New Roman" w:hAnsi="Times New Roman" w:cs="Times New Roman"/>
        </w:rPr>
        <w:t>“I must say</w:t>
      </w:r>
      <w:r w:rsidR="00FF4AD0">
        <w:rPr>
          <w:rFonts w:ascii="Times New Roman" w:hAnsi="Times New Roman" w:cs="Times New Roman"/>
        </w:rPr>
        <w:t>,</w:t>
      </w:r>
      <w:r w:rsidRPr="00AB1915">
        <w:rPr>
          <w:rFonts w:ascii="Times New Roman" w:hAnsi="Times New Roman" w:cs="Times New Roman"/>
        </w:rPr>
        <w:t xml:space="preserve"> that as a litigant I should dread a lawsuit beyond almost anything short of sickness and </w:t>
      </w:r>
      <w:r w:rsidR="00AB1915" w:rsidRPr="00AB1915">
        <w:rPr>
          <w:rFonts w:ascii="Times New Roman" w:hAnsi="Times New Roman" w:cs="Times New Roman"/>
        </w:rPr>
        <w:t>death.</w:t>
      </w:r>
      <w:r w:rsidR="00AB1915">
        <w:rPr>
          <w:rFonts w:ascii="Times New Roman" w:hAnsi="Times New Roman" w:cs="Times New Roman"/>
        </w:rPr>
        <w:t>”</w:t>
      </w:r>
      <w:r w:rsidRPr="00AB1915">
        <w:rPr>
          <w:rStyle w:val="FootnoteReference"/>
          <w:rFonts w:ascii="Times New Roman" w:hAnsi="Times New Roman" w:cs="Times New Roman"/>
        </w:rPr>
        <w:footnoteReference w:id="2"/>
      </w:r>
      <w:r w:rsidR="0089373F" w:rsidRPr="00AB1915">
        <w:rPr>
          <w:rFonts w:ascii="Times New Roman" w:hAnsi="Times New Roman" w:cs="Times New Roman"/>
        </w:rPr>
        <w:t xml:space="preserve">   </w:t>
      </w:r>
      <w:r w:rsidR="00FF4AD0">
        <w:rPr>
          <w:rFonts w:ascii="Times New Roman" w:hAnsi="Times New Roman" w:cs="Times New Roman"/>
        </w:rPr>
        <w:t>A decision of</w:t>
      </w:r>
      <w:r w:rsidR="0089373F" w:rsidRPr="00AB1915">
        <w:rPr>
          <w:rFonts w:ascii="Times New Roman" w:hAnsi="Times New Roman" w:cs="Times New Roman"/>
        </w:rPr>
        <w:t xml:space="preserve"> whether “to litigate or not to litigate”</w:t>
      </w:r>
      <w:r w:rsidR="00FF4AD0">
        <w:rPr>
          <w:rFonts w:ascii="Times New Roman" w:hAnsi="Times New Roman" w:cs="Times New Roman"/>
        </w:rPr>
        <w:t xml:space="preserve"> is not a simple matter.</w:t>
      </w:r>
      <w:r w:rsidR="0089373F" w:rsidRPr="00AB1915">
        <w:rPr>
          <w:rFonts w:ascii="Times New Roman" w:hAnsi="Times New Roman" w:cs="Times New Roman"/>
        </w:rPr>
        <w:t xml:space="preserve">  It requires the weighing of legal, financial, social and personal considerations.</w:t>
      </w:r>
      <w:r w:rsidR="00F21C99" w:rsidRPr="00AB1915">
        <w:rPr>
          <w:rStyle w:val="FootnoteReference"/>
          <w:rFonts w:ascii="Times New Roman" w:hAnsi="Times New Roman" w:cs="Times New Roman"/>
        </w:rPr>
        <w:footnoteReference w:id="3"/>
      </w:r>
      <w:r w:rsidR="0089373F" w:rsidRPr="00AB1915">
        <w:rPr>
          <w:rFonts w:ascii="Times New Roman" w:hAnsi="Times New Roman" w:cs="Times New Roman"/>
        </w:rPr>
        <w:t xml:space="preserve"> </w:t>
      </w:r>
      <w:r w:rsidR="00FF4AD0">
        <w:rPr>
          <w:rFonts w:ascii="Times New Roman" w:hAnsi="Times New Roman" w:cs="Times New Roman"/>
        </w:rPr>
        <w:t>A</w:t>
      </w:r>
      <w:r w:rsidR="0089373F" w:rsidRPr="00AB1915">
        <w:rPr>
          <w:rFonts w:ascii="Times New Roman" w:hAnsi="Times New Roman" w:cs="Times New Roman"/>
        </w:rPr>
        <w:t xml:space="preserve"> wrong answer will have dramatic consequences for the parties to the dispute</w:t>
      </w:r>
      <w:r w:rsidR="00F21C99" w:rsidRPr="00AB1915">
        <w:rPr>
          <w:rStyle w:val="FootnoteReference"/>
          <w:rFonts w:ascii="Times New Roman" w:hAnsi="Times New Roman" w:cs="Times New Roman"/>
        </w:rPr>
        <w:footnoteReference w:id="4"/>
      </w:r>
      <w:r w:rsidR="0089373F" w:rsidRPr="00AB1915">
        <w:rPr>
          <w:rFonts w:ascii="Times New Roman" w:hAnsi="Times New Roman" w:cs="Times New Roman"/>
        </w:rPr>
        <w:t xml:space="preserve"> (</w:t>
      </w:r>
      <w:r w:rsidR="00AB1915">
        <w:rPr>
          <w:rFonts w:ascii="Times New Roman" w:hAnsi="Times New Roman" w:cs="Times New Roman"/>
        </w:rPr>
        <w:t xml:space="preserve">who waste </w:t>
      </w:r>
      <w:r w:rsidR="0089373F" w:rsidRPr="00AB1915">
        <w:rPr>
          <w:rFonts w:ascii="Times New Roman" w:hAnsi="Times New Roman" w:cs="Times New Roman"/>
        </w:rPr>
        <w:t xml:space="preserve">their time and energy and </w:t>
      </w:r>
      <w:r w:rsidR="00AB1915">
        <w:rPr>
          <w:rFonts w:ascii="Times New Roman" w:hAnsi="Times New Roman" w:cs="Times New Roman"/>
        </w:rPr>
        <w:t xml:space="preserve">bear </w:t>
      </w:r>
      <w:r w:rsidR="0089373F" w:rsidRPr="00AB1915">
        <w:rPr>
          <w:rFonts w:ascii="Times New Roman" w:hAnsi="Times New Roman" w:cs="Times New Roman"/>
        </w:rPr>
        <w:t>the financial and emotional costs of litigation), for the court (</w:t>
      </w:r>
      <w:r w:rsidR="00AB1915">
        <w:rPr>
          <w:rFonts w:ascii="Times New Roman" w:hAnsi="Times New Roman" w:cs="Times New Roman"/>
        </w:rPr>
        <w:t>because of the extra burden imposed on the legal system</w:t>
      </w:r>
      <w:r w:rsidR="0089373F" w:rsidRPr="00AB1915">
        <w:rPr>
          <w:rFonts w:ascii="Times New Roman" w:hAnsi="Times New Roman" w:cs="Times New Roman"/>
        </w:rPr>
        <w:t>)</w:t>
      </w:r>
      <w:r w:rsidR="00FF4AD0">
        <w:rPr>
          <w:rFonts w:ascii="Times New Roman" w:hAnsi="Times New Roman" w:cs="Times New Roman"/>
        </w:rPr>
        <w:t>,</w:t>
      </w:r>
      <w:r w:rsidR="00F21C99" w:rsidRPr="00AB1915">
        <w:rPr>
          <w:rStyle w:val="FootnoteReference"/>
          <w:rFonts w:ascii="Times New Roman" w:hAnsi="Times New Roman" w:cs="Times New Roman"/>
        </w:rPr>
        <w:footnoteReference w:id="5"/>
      </w:r>
      <w:r w:rsidR="0089373F" w:rsidRPr="00AB1915">
        <w:rPr>
          <w:rFonts w:ascii="Times New Roman" w:hAnsi="Times New Roman" w:cs="Times New Roman"/>
        </w:rPr>
        <w:t xml:space="preserve"> and </w:t>
      </w:r>
      <w:r w:rsidR="002202AD">
        <w:rPr>
          <w:rFonts w:ascii="Times New Roman" w:hAnsi="Times New Roman" w:cs="Times New Roman"/>
        </w:rPr>
        <w:t>for</w:t>
      </w:r>
      <w:r w:rsidR="0089373F" w:rsidRPr="00AB1915">
        <w:rPr>
          <w:rFonts w:ascii="Times New Roman" w:hAnsi="Times New Roman" w:cs="Times New Roman"/>
        </w:rPr>
        <w:t xml:space="preserve"> society in general (</w:t>
      </w:r>
      <w:r w:rsidR="00AB1915">
        <w:rPr>
          <w:rFonts w:ascii="Times New Roman" w:hAnsi="Times New Roman" w:cs="Times New Roman"/>
        </w:rPr>
        <w:t xml:space="preserve">which suffers the </w:t>
      </w:r>
      <w:r w:rsidR="00FF4AD0">
        <w:rPr>
          <w:rFonts w:ascii="Times New Roman" w:hAnsi="Times New Roman" w:cs="Times New Roman"/>
        </w:rPr>
        <w:t xml:space="preserve">various types of </w:t>
      </w:r>
      <w:r w:rsidR="00AB1915">
        <w:rPr>
          <w:rFonts w:ascii="Times New Roman" w:hAnsi="Times New Roman" w:cs="Times New Roman"/>
        </w:rPr>
        <w:t xml:space="preserve">harm done to </w:t>
      </w:r>
      <w:r w:rsidR="0089373F" w:rsidRPr="00AB1915">
        <w:rPr>
          <w:rFonts w:ascii="Times New Roman" w:hAnsi="Times New Roman" w:cs="Times New Roman"/>
        </w:rPr>
        <w:t>third parties</w:t>
      </w:r>
      <w:r w:rsidR="00FF4AD0">
        <w:rPr>
          <w:rFonts w:ascii="Times New Roman" w:hAnsi="Times New Roman" w:cs="Times New Roman"/>
        </w:rPr>
        <w:t xml:space="preserve"> </w:t>
      </w:r>
      <w:r w:rsidR="0089373F" w:rsidRPr="00AB1915">
        <w:rPr>
          <w:rFonts w:ascii="Times New Roman" w:hAnsi="Times New Roman" w:cs="Times New Roman"/>
        </w:rPr>
        <w:t xml:space="preserve">and the increased administrative costs </w:t>
      </w:r>
      <w:r w:rsidR="00FF4AD0">
        <w:rPr>
          <w:rFonts w:ascii="Times New Roman" w:hAnsi="Times New Roman" w:cs="Times New Roman"/>
        </w:rPr>
        <w:t xml:space="preserve">which </w:t>
      </w:r>
      <w:r w:rsidR="0089373F" w:rsidRPr="00AB1915">
        <w:rPr>
          <w:rFonts w:ascii="Times New Roman" w:hAnsi="Times New Roman" w:cs="Times New Roman"/>
        </w:rPr>
        <w:t>are borne by the taxpayers).</w:t>
      </w:r>
      <w:r w:rsidR="0089373F" w:rsidRPr="00AB1915">
        <w:rPr>
          <w:rStyle w:val="FootnoteReference"/>
          <w:rFonts w:ascii="Times New Roman" w:hAnsi="Times New Roman" w:cs="Times New Roman"/>
        </w:rPr>
        <w:footnoteReference w:id="6"/>
      </w:r>
      <w:r w:rsidR="0089373F" w:rsidRPr="00AB1915">
        <w:rPr>
          <w:rFonts w:ascii="Times New Roman" w:hAnsi="Times New Roman" w:cs="Times New Roman"/>
        </w:rPr>
        <w:t xml:space="preserve"> </w:t>
      </w:r>
    </w:p>
    <w:p w14:paraId="3FFD4489" w14:textId="6BED67F4" w:rsidR="00BB706A" w:rsidRPr="00AB1915" w:rsidRDefault="0089373F" w:rsidP="002202AD">
      <w:pPr>
        <w:jc w:val="both"/>
        <w:rPr>
          <w:rFonts w:ascii="Times New Roman" w:hAnsi="Times New Roman" w:cs="Times New Roman"/>
        </w:rPr>
      </w:pPr>
      <w:r w:rsidRPr="00AB1915">
        <w:rPr>
          <w:rFonts w:ascii="Times New Roman" w:hAnsi="Times New Roman" w:cs="Times New Roman"/>
        </w:rPr>
        <w:t xml:space="preserve">I </w:t>
      </w:r>
      <w:r w:rsidR="00FF4AD0">
        <w:rPr>
          <w:rFonts w:ascii="Times New Roman" w:hAnsi="Times New Roman" w:cs="Times New Roman"/>
        </w:rPr>
        <w:t xml:space="preserve">studied the legal issue in </w:t>
      </w:r>
      <w:r w:rsidRPr="00AB1915">
        <w:rPr>
          <w:rFonts w:ascii="Times New Roman" w:hAnsi="Times New Roman" w:cs="Times New Roman"/>
        </w:rPr>
        <w:t xml:space="preserve">2009, </w:t>
      </w:r>
      <w:r w:rsidR="00FF4AD0">
        <w:rPr>
          <w:rFonts w:ascii="Times New Roman" w:hAnsi="Times New Roman" w:cs="Times New Roman"/>
        </w:rPr>
        <w:t xml:space="preserve">for a paper I wrote </w:t>
      </w:r>
      <w:r w:rsidRPr="00AB1915">
        <w:rPr>
          <w:rFonts w:ascii="Times New Roman" w:hAnsi="Times New Roman" w:cs="Times New Roman"/>
        </w:rPr>
        <w:t>as part of my undergraduate degree in law</w:t>
      </w:r>
      <w:r w:rsidR="002202AD">
        <w:rPr>
          <w:rFonts w:ascii="Times New Roman" w:hAnsi="Times New Roman" w:cs="Times New Roman"/>
        </w:rPr>
        <w:t>; for this purpose,</w:t>
      </w:r>
      <w:r w:rsidR="00FF4AD0">
        <w:rPr>
          <w:rFonts w:ascii="Times New Roman" w:hAnsi="Times New Roman" w:cs="Times New Roman"/>
        </w:rPr>
        <w:t xml:space="preserve"> </w:t>
      </w:r>
      <w:r w:rsidRPr="00AB1915">
        <w:rPr>
          <w:rFonts w:ascii="Times New Roman" w:hAnsi="Times New Roman" w:cs="Times New Roman"/>
        </w:rPr>
        <w:t xml:space="preserve">I </w:t>
      </w:r>
      <w:r w:rsidR="002202AD">
        <w:rPr>
          <w:rFonts w:ascii="Times New Roman" w:hAnsi="Times New Roman" w:cs="Times New Roman"/>
        </w:rPr>
        <w:t xml:space="preserve">surveyed </w:t>
      </w:r>
      <w:r w:rsidRPr="00AB1915">
        <w:rPr>
          <w:rFonts w:ascii="Times New Roman" w:hAnsi="Times New Roman" w:cs="Times New Roman"/>
        </w:rPr>
        <w:t xml:space="preserve">Israeli cases in which the court expressed the opinion that </w:t>
      </w:r>
      <w:r w:rsidR="002202AD">
        <w:rPr>
          <w:rFonts w:ascii="Times New Roman" w:hAnsi="Times New Roman" w:cs="Times New Roman"/>
        </w:rPr>
        <w:t xml:space="preserve">a </w:t>
      </w:r>
      <w:r w:rsidRPr="00AB1915">
        <w:rPr>
          <w:rFonts w:ascii="Times New Roman" w:hAnsi="Times New Roman" w:cs="Times New Roman"/>
        </w:rPr>
        <w:t xml:space="preserve">civil lawsuit </w:t>
      </w:r>
      <w:r w:rsidR="002202AD">
        <w:rPr>
          <w:rFonts w:ascii="Times New Roman" w:hAnsi="Times New Roman" w:cs="Times New Roman"/>
        </w:rPr>
        <w:t xml:space="preserve">that had been </w:t>
      </w:r>
      <w:r w:rsidRPr="00AB1915">
        <w:rPr>
          <w:rFonts w:ascii="Times New Roman" w:hAnsi="Times New Roman" w:cs="Times New Roman"/>
        </w:rPr>
        <w:t xml:space="preserve">brought before it was </w:t>
      </w:r>
      <w:r w:rsidR="002202AD">
        <w:rPr>
          <w:rFonts w:ascii="Times New Roman" w:hAnsi="Times New Roman" w:cs="Times New Roman"/>
        </w:rPr>
        <w:t>frivolous</w:t>
      </w:r>
      <w:r w:rsidRPr="00AB1915">
        <w:rPr>
          <w:rFonts w:ascii="Times New Roman" w:hAnsi="Times New Roman" w:cs="Times New Roman"/>
        </w:rPr>
        <w:t>.</w:t>
      </w:r>
      <w:r w:rsidR="00681257" w:rsidRPr="00AB1915">
        <w:rPr>
          <w:rStyle w:val="FootnoteReference"/>
          <w:rFonts w:ascii="Times New Roman" w:hAnsi="Times New Roman" w:cs="Times New Roman"/>
        </w:rPr>
        <w:footnoteReference w:id="7"/>
      </w:r>
      <w:r w:rsidRPr="00AB1915">
        <w:rPr>
          <w:rFonts w:ascii="Times New Roman" w:hAnsi="Times New Roman" w:cs="Times New Roman"/>
        </w:rPr>
        <w:t xml:space="preserve"> For that paper, my starting point was that </w:t>
      </w:r>
      <w:r w:rsidR="001D4847" w:rsidRPr="00AB1915">
        <w:rPr>
          <w:rFonts w:ascii="Times New Roman" w:hAnsi="Times New Roman" w:cs="Times New Roman"/>
        </w:rPr>
        <w:t xml:space="preserve">when the court either directly or implicitly states that </w:t>
      </w:r>
      <w:r w:rsidR="002202AD">
        <w:rPr>
          <w:rFonts w:ascii="Times New Roman" w:hAnsi="Times New Roman" w:cs="Times New Roman"/>
        </w:rPr>
        <w:t>a</w:t>
      </w:r>
      <w:r w:rsidR="001D4847" w:rsidRPr="00AB1915">
        <w:rPr>
          <w:rFonts w:ascii="Times New Roman" w:hAnsi="Times New Roman" w:cs="Times New Roman"/>
        </w:rPr>
        <w:t xml:space="preserve"> lawsuit is unnecessary,</w:t>
      </w:r>
      <w:r w:rsidR="005C574A" w:rsidRPr="00AB1915">
        <w:rPr>
          <w:rFonts w:ascii="Times New Roman" w:hAnsi="Times New Roman" w:cs="Times New Roman"/>
        </w:rPr>
        <w:t xml:space="preserve"> the presumption is that the conduct of the litigation will </w:t>
      </w:r>
      <w:r w:rsidR="002202AD">
        <w:rPr>
          <w:rFonts w:ascii="Times New Roman" w:hAnsi="Times New Roman" w:cs="Times New Roman"/>
        </w:rPr>
        <w:t>be fruitless/</w:t>
      </w:r>
      <w:r w:rsidR="002202AD" w:rsidRPr="002202AD">
        <w:rPr>
          <w:rFonts w:ascii="Times New Roman" w:hAnsi="Times New Roman" w:cs="Times New Roman"/>
          <w:highlight w:val="yellow"/>
        </w:rPr>
        <w:t>inefficient</w:t>
      </w:r>
      <w:r w:rsidR="007F4CB3" w:rsidRPr="007F4CB3">
        <w:rPr>
          <w:rFonts w:ascii="Times New Roman" w:hAnsi="Times New Roman" w:cs="Times New Roman"/>
          <w:highlight w:val="yellow"/>
        </w:rPr>
        <w:t xml:space="preserve">/not be </w:t>
      </w:r>
      <w:commentRangeStart w:id="0"/>
      <w:r w:rsidR="007F4CB3" w:rsidRPr="007F4CB3">
        <w:rPr>
          <w:rFonts w:ascii="Times New Roman" w:hAnsi="Times New Roman" w:cs="Times New Roman"/>
          <w:highlight w:val="yellow"/>
        </w:rPr>
        <w:t>productive</w:t>
      </w:r>
      <w:commentRangeEnd w:id="0"/>
      <w:r w:rsidR="007F4CB3">
        <w:rPr>
          <w:rStyle w:val="CommentReference"/>
        </w:rPr>
        <w:commentReference w:id="0"/>
      </w:r>
      <w:r w:rsidR="005C574A" w:rsidRPr="00AB1915">
        <w:rPr>
          <w:rFonts w:ascii="Times New Roman" w:hAnsi="Times New Roman" w:cs="Times New Roman"/>
        </w:rPr>
        <w:t>. Of course, there may be a variety of other situations in which litigation can be deemed to be “</w:t>
      </w:r>
      <w:r w:rsidR="00FF3C48" w:rsidRPr="00AB1915">
        <w:rPr>
          <w:rFonts w:ascii="Times New Roman" w:hAnsi="Times New Roman" w:cs="Times New Roman"/>
        </w:rPr>
        <w:t>frivolous</w:t>
      </w:r>
      <w:r w:rsidR="005C574A" w:rsidRPr="00AB1915">
        <w:rPr>
          <w:rFonts w:ascii="Times New Roman" w:hAnsi="Times New Roman" w:cs="Times New Roman"/>
        </w:rPr>
        <w:t xml:space="preserve">”. Additionally, </w:t>
      </w:r>
      <w:r w:rsidR="002202AD">
        <w:rPr>
          <w:rFonts w:ascii="Times New Roman" w:hAnsi="Times New Roman" w:cs="Times New Roman"/>
        </w:rPr>
        <w:t xml:space="preserve">it may be that certain </w:t>
      </w:r>
      <w:r w:rsidR="005C574A" w:rsidRPr="00AB1915">
        <w:rPr>
          <w:rFonts w:ascii="Times New Roman" w:hAnsi="Times New Roman" w:cs="Times New Roman"/>
        </w:rPr>
        <w:t xml:space="preserve">litigation </w:t>
      </w:r>
      <w:r w:rsidR="002202AD">
        <w:rPr>
          <w:rFonts w:ascii="Times New Roman" w:hAnsi="Times New Roman" w:cs="Times New Roman"/>
        </w:rPr>
        <w:t xml:space="preserve">is non-frivolous </w:t>
      </w:r>
      <w:r w:rsidR="002202AD">
        <w:rPr>
          <w:rFonts w:ascii="Times New Roman" w:hAnsi="Times New Roman" w:cs="Times New Roman"/>
        </w:rPr>
        <w:lastRenderedPageBreak/>
        <w:t xml:space="preserve">from a social perspective, but frivolous </w:t>
      </w:r>
      <w:r w:rsidR="005C574A" w:rsidRPr="00AB1915">
        <w:rPr>
          <w:rFonts w:ascii="Times New Roman" w:hAnsi="Times New Roman" w:cs="Times New Roman"/>
        </w:rPr>
        <w:t xml:space="preserve">from the personal private perspective – and </w:t>
      </w:r>
      <w:r w:rsidR="005C574A" w:rsidRPr="00AB1915">
        <w:rPr>
          <w:rFonts w:ascii="Times New Roman" w:hAnsi="Times New Roman" w:cs="Times New Roman"/>
          <w:i/>
          <w:iCs/>
        </w:rPr>
        <w:t>vice versa</w:t>
      </w:r>
      <w:r w:rsidR="005C574A" w:rsidRPr="00AB1915">
        <w:rPr>
          <w:rFonts w:ascii="Times New Roman" w:hAnsi="Times New Roman" w:cs="Times New Roman"/>
        </w:rPr>
        <w:t>.</w:t>
      </w:r>
      <w:r w:rsidR="00681257" w:rsidRPr="00AB1915">
        <w:rPr>
          <w:rStyle w:val="FootnoteReference"/>
          <w:rFonts w:ascii="Times New Roman" w:hAnsi="Times New Roman" w:cs="Times New Roman"/>
        </w:rPr>
        <w:footnoteReference w:id="8"/>
      </w:r>
      <w:r w:rsidR="005C574A" w:rsidRPr="00AB1915">
        <w:rPr>
          <w:rFonts w:ascii="Times New Roman" w:hAnsi="Times New Roman" w:cs="Times New Roman"/>
        </w:rPr>
        <w:t xml:space="preserve"> F</w:t>
      </w:r>
      <w:r w:rsidR="00BB706A" w:rsidRPr="00AB1915">
        <w:rPr>
          <w:rFonts w:ascii="Times New Roman" w:hAnsi="Times New Roman" w:cs="Times New Roman"/>
        </w:rPr>
        <w:t>o</w:t>
      </w:r>
      <w:r w:rsidR="005C574A" w:rsidRPr="00AB1915">
        <w:rPr>
          <w:rFonts w:ascii="Times New Roman" w:hAnsi="Times New Roman" w:cs="Times New Roman"/>
        </w:rPr>
        <w:t xml:space="preserve">r the purpose of </w:t>
      </w:r>
      <w:r w:rsidR="00FB2D8A" w:rsidRPr="00AB1915">
        <w:rPr>
          <w:rFonts w:ascii="Times New Roman" w:hAnsi="Times New Roman" w:cs="Times New Roman"/>
        </w:rPr>
        <w:t>focusing</w:t>
      </w:r>
      <w:r w:rsidR="005C574A" w:rsidRPr="00AB1915">
        <w:rPr>
          <w:rFonts w:ascii="Times New Roman" w:hAnsi="Times New Roman" w:cs="Times New Roman"/>
        </w:rPr>
        <w:t xml:space="preserve"> and simplifying the discussion here, </w:t>
      </w:r>
      <w:r w:rsidR="00BB706A" w:rsidRPr="00AB1915">
        <w:rPr>
          <w:rFonts w:ascii="Times New Roman" w:hAnsi="Times New Roman" w:cs="Times New Roman"/>
        </w:rPr>
        <w:t xml:space="preserve">however, I have chosen the definition </w:t>
      </w:r>
      <w:r w:rsidR="002202AD" w:rsidRPr="002202AD">
        <w:rPr>
          <w:rFonts w:ascii="Times New Roman" w:hAnsi="Times New Roman" w:cs="Times New Roman"/>
          <w:highlight w:val="yellow"/>
        </w:rPr>
        <w:t>given above</w:t>
      </w:r>
      <w:r w:rsidR="002202AD">
        <w:rPr>
          <w:rFonts w:ascii="Times New Roman" w:hAnsi="Times New Roman" w:cs="Times New Roman"/>
        </w:rPr>
        <w:t xml:space="preserve"> for the frivolous lawsuit </w:t>
      </w:r>
      <w:proofErr w:type="gramStart"/>
      <w:r w:rsidR="00BB706A" w:rsidRPr="00AB1915">
        <w:rPr>
          <w:rFonts w:ascii="Times New Roman" w:hAnsi="Times New Roman" w:cs="Times New Roman"/>
        </w:rPr>
        <w:t>phenomenon</w:t>
      </w:r>
      <w:r w:rsidR="002202AD" w:rsidRPr="002202AD">
        <w:rPr>
          <w:rFonts w:ascii="Times New Roman" w:hAnsi="Times New Roman" w:cs="Times New Roman"/>
          <w:highlight w:val="yellow"/>
        </w:rPr>
        <w:t>?</w:t>
      </w:r>
      <w:r w:rsidR="00BB706A" w:rsidRPr="00AB1915">
        <w:rPr>
          <w:rFonts w:ascii="Times New Roman" w:hAnsi="Times New Roman" w:cs="Times New Roman"/>
        </w:rPr>
        <w:t>.</w:t>
      </w:r>
      <w:proofErr w:type="gramEnd"/>
    </w:p>
    <w:p w14:paraId="0B73BE56" w14:textId="66958867" w:rsidR="00BB706A" w:rsidRPr="00AB1915" w:rsidRDefault="00BB706A" w:rsidP="00840C4B">
      <w:pPr>
        <w:jc w:val="both"/>
        <w:rPr>
          <w:rFonts w:ascii="Times New Roman" w:hAnsi="Times New Roman" w:cs="Times New Roman"/>
        </w:rPr>
      </w:pPr>
      <w:r w:rsidRPr="00AB1915">
        <w:rPr>
          <w:rFonts w:ascii="Times New Roman" w:hAnsi="Times New Roman" w:cs="Times New Roman"/>
        </w:rPr>
        <w:t xml:space="preserve">My earlier study highlighted the Israeli academic literature </w:t>
      </w:r>
      <w:r w:rsidR="002202AD">
        <w:rPr>
          <w:rFonts w:ascii="Times New Roman" w:hAnsi="Times New Roman" w:cs="Times New Roman"/>
        </w:rPr>
        <w:t>concerning</w:t>
      </w:r>
      <w:r w:rsidRPr="00AB1915">
        <w:rPr>
          <w:rFonts w:ascii="Times New Roman" w:hAnsi="Times New Roman" w:cs="Times New Roman"/>
        </w:rPr>
        <w:t xml:space="preserve"> attorneys who represent plaintiffs and the </w:t>
      </w:r>
      <w:r w:rsidR="002202AD">
        <w:rPr>
          <w:rFonts w:ascii="Times New Roman" w:hAnsi="Times New Roman" w:cs="Times New Roman"/>
        </w:rPr>
        <w:t>role</w:t>
      </w:r>
      <w:r w:rsidRPr="00AB1915">
        <w:rPr>
          <w:rFonts w:ascii="Times New Roman" w:hAnsi="Times New Roman" w:cs="Times New Roman"/>
        </w:rPr>
        <w:t xml:space="preserve"> that these attorneys </w:t>
      </w:r>
      <w:r w:rsidR="002202AD">
        <w:rPr>
          <w:rFonts w:ascii="Times New Roman" w:hAnsi="Times New Roman" w:cs="Times New Roman"/>
        </w:rPr>
        <w:t xml:space="preserve">play </w:t>
      </w:r>
      <w:r w:rsidRPr="00AB1915">
        <w:rPr>
          <w:rFonts w:ascii="Times New Roman" w:hAnsi="Times New Roman" w:cs="Times New Roman"/>
        </w:rPr>
        <w:t xml:space="preserve">regarding the </w:t>
      </w:r>
      <w:r w:rsidR="00FF3C48" w:rsidRPr="00AB1915">
        <w:rPr>
          <w:rFonts w:ascii="Times New Roman" w:hAnsi="Times New Roman" w:cs="Times New Roman"/>
        </w:rPr>
        <w:t>frivolous</w:t>
      </w:r>
      <w:r w:rsidRPr="00AB1915">
        <w:rPr>
          <w:rFonts w:ascii="Times New Roman" w:hAnsi="Times New Roman" w:cs="Times New Roman"/>
        </w:rPr>
        <w:t xml:space="preserve"> litigation phenomeno</w:t>
      </w:r>
      <w:r w:rsidR="00E72FE8" w:rsidRPr="00AB1915">
        <w:rPr>
          <w:rFonts w:ascii="Times New Roman" w:hAnsi="Times New Roman" w:cs="Times New Roman"/>
        </w:rPr>
        <w:t>n</w:t>
      </w:r>
      <w:r w:rsidRPr="00AB1915">
        <w:rPr>
          <w:rFonts w:ascii="Times New Roman" w:hAnsi="Times New Roman" w:cs="Times New Roman"/>
        </w:rPr>
        <w:t>: do the lawyers contribute to the creation of the phenomenon, do they work to prevent it, or are they indifferent to the matter?</w:t>
      </w:r>
    </w:p>
    <w:p w14:paraId="32F7B1C1" w14:textId="26C19FB7" w:rsidR="00BB706A" w:rsidRPr="00AB1915" w:rsidRDefault="002202AD" w:rsidP="00840C4B">
      <w:pPr>
        <w:jc w:val="both"/>
        <w:rPr>
          <w:rFonts w:ascii="Times New Roman" w:hAnsi="Times New Roman" w:cs="Times New Roman"/>
        </w:rPr>
      </w:pPr>
      <w:r>
        <w:rPr>
          <w:rFonts w:ascii="Times New Roman" w:hAnsi="Times New Roman" w:cs="Times New Roman"/>
        </w:rPr>
        <w:t xml:space="preserve">The outline of a new theoretical model developed out of the </w:t>
      </w:r>
      <w:r w:rsidR="00BB706A" w:rsidRPr="00AB1915">
        <w:rPr>
          <w:rFonts w:ascii="Times New Roman" w:hAnsi="Times New Roman" w:cs="Times New Roman"/>
        </w:rPr>
        <w:t xml:space="preserve">attempt to create an incentive for lawyers to prevent the initiation of </w:t>
      </w:r>
      <w:r w:rsidR="00FF3C48" w:rsidRPr="00AB1915">
        <w:rPr>
          <w:rFonts w:ascii="Times New Roman" w:hAnsi="Times New Roman" w:cs="Times New Roman"/>
        </w:rPr>
        <w:t>frivolous</w:t>
      </w:r>
      <w:r w:rsidR="00BB706A" w:rsidRPr="00AB1915">
        <w:rPr>
          <w:rFonts w:ascii="Times New Roman" w:hAnsi="Times New Roman" w:cs="Times New Roman"/>
        </w:rPr>
        <w:t xml:space="preserve"> litigation and to themselves refrain from causing it. According to the proposed model, a lawyer may be held professionally responsible, in certain circumstances for the fact that a lawsuit is brought “which it would have been better not to have been brought”. The tort model includes the imposition of a duty to inform and warn a client regarding the matter, </w:t>
      </w:r>
      <w:r w:rsidR="009149F7">
        <w:rPr>
          <w:rFonts w:ascii="Times New Roman" w:hAnsi="Times New Roman" w:cs="Times New Roman"/>
        </w:rPr>
        <w:t xml:space="preserve">and a description of </w:t>
      </w:r>
      <w:r w:rsidR="00BB706A" w:rsidRPr="00AB1915">
        <w:rPr>
          <w:rFonts w:ascii="Times New Roman" w:hAnsi="Times New Roman" w:cs="Times New Roman"/>
        </w:rPr>
        <w:t xml:space="preserve">possible defenses and remedies (including the inability to charge attorney’s fees and compensation for additional damages caused to such clients as a result of the </w:t>
      </w:r>
      <w:r w:rsidR="00FF3C48" w:rsidRPr="00AB1915">
        <w:rPr>
          <w:rFonts w:ascii="Times New Roman" w:hAnsi="Times New Roman" w:cs="Times New Roman"/>
        </w:rPr>
        <w:t>frivolous</w:t>
      </w:r>
      <w:r w:rsidR="00BB706A" w:rsidRPr="00AB1915">
        <w:rPr>
          <w:rFonts w:ascii="Times New Roman" w:hAnsi="Times New Roman" w:cs="Times New Roman"/>
        </w:rPr>
        <w:t xml:space="preserve"> litigation</w:t>
      </w:r>
      <w:r w:rsidR="00431818" w:rsidRPr="00AB1915">
        <w:rPr>
          <w:rFonts w:ascii="Times New Roman" w:hAnsi="Times New Roman" w:cs="Times New Roman"/>
        </w:rPr>
        <w:t xml:space="preserve">; </w:t>
      </w:r>
      <w:r w:rsidR="009149F7">
        <w:rPr>
          <w:rFonts w:ascii="Times New Roman" w:hAnsi="Times New Roman" w:cs="Times New Roman"/>
        </w:rPr>
        <w:t>the imposition</w:t>
      </w:r>
      <w:r w:rsidR="00431818" w:rsidRPr="00AB1915">
        <w:rPr>
          <w:rFonts w:ascii="Times New Roman" w:hAnsi="Times New Roman" w:cs="Times New Roman"/>
        </w:rPr>
        <w:t xml:space="preserve"> punitive damages to be paid to the court and in exceptional cases</w:t>
      </w:r>
      <w:r w:rsidR="009149F7">
        <w:rPr>
          <w:rFonts w:ascii="Times New Roman" w:hAnsi="Times New Roman" w:cs="Times New Roman"/>
        </w:rPr>
        <w:t>;</w:t>
      </w:r>
      <w:r w:rsidR="00431818" w:rsidRPr="00AB1915">
        <w:rPr>
          <w:rFonts w:ascii="Times New Roman" w:hAnsi="Times New Roman" w:cs="Times New Roman"/>
        </w:rPr>
        <w:t xml:space="preserve"> </w:t>
      </w:r>
      <w:r w:rsidR="009149F7">
        <w:rPr>
          <w:rFonts w:ascii="Times New Roman" w:hAnsi="Times New Roman" w:cs="Times New Roman"/>
        </w:rPr>
        <w:t xml:space="preserve">the </w:t>
      </w:r>
      <w:r w:rsidR="00431818" w:rsidRPr="00AB1915">
        <w:rPr>
          <w:rFonts w:ascii="Times New Roman" w:hAnsi="Times New Roman" w:cs="Times New Roman"/>
        </w:rPr>
        <w:t xml:space="preserve">ordering </w:t>
      </w:r>
      <w:r w:rsidR="009149F7">
        <w:rPr>
          <w:rFonts w:ascii="Times New Roman" w:hAnsi="Times New Roman" w:cs="Times New Roman"/>
        </w:rPr>
        <w:t xml:space="preserve">of </w:t>
      </w:r>
      <w:r w:rsidR="00431818" w:rsidRPr="00AB1915">
        <w:rPr>
          <w:rFonts w:ascii="Times New Roman" w:hAnsi="Times New Roman" w:cs="Times New Roman"/>
        </w:rPr>
        <w:t xml:space="preserve">an attorney to pay compensation to the </w:t>
      </w:r>
      <w:r w:rsidR="009149F7">
        <w:rPr>
          <w:rFonts w:ascii="Times New Roman" w:hAnsi="Times New Roman" w:cs="Times New Roman"/>
        </w:rPr>
        <w:t>d</w:t>
      </w:r>
      <w:r w:rsidR="00431818" w:rsidRPr="00AB1915">
        <w:rPr>
          <w:rFonts w:ascii="Times New Roman" w:hAnsi="Times New Roman" w:cs="Times New Roman"/>
        </w:rPr>
        <w:t>efendant).</w:t>
      </w:r>
    </w:p>
    <w:p w14:paraId="2DC0A7BA" w14:textId="346FC90F" w:rsidR="007F11DE" w:rsidRPr="00AB1915" w:rsidRDefault="00431818" w:rsidP="00840C4B">
      <w:pPr>
        <w:jc w:val="both"/>
        <w:rPr>
          <w:rFonts w:ascii="Times New Roman" w:hAnsi="Times New Roman" w:cs="Times New Roman"/>
        </w:rPr>
      </w:pPr>
      <w:r w:rsidRPr="00AB1915">
        <w:rPr>
          <w:rFonts w:ascii="Times New Roman" w:hAnsi="Times New Roman" w:cs="Times New Roman"/>
        </w:rPr>
        <w:t>The original research included a lengthy discussion of the comparative law on the subject, including a detailed examination of legislatio</w:t>
      </w:r>
      <w:r w:rsidR="00E72FE8" w:rsidRPr="00AB1915">
        <w:rPr>
          <w:rFonts w:ascii="Times New Roman" w:hAnsi="Times New Roman" w:cs="Times New Roman"/>
        </w:rPr>
        <w:t>n</w:t>
      </w:r>
      <w:r w:rsidRPr="00AB1915">
        <w:rPr>
          <w:rFonts w:ascii="Times New Roman" w:hAnsi="Times New Roman" w:cs="Times New Roman"/>
        </w:rPr>
        <w:t xml:space="preserve">, case law and theoretical writings </w:t>
      </w:r>
      <w:r w:rsidR="009149F7">
        <w:rPr>
          <w:rFonts w:ascii="Times New Roman" w:hAnsi="Times New Roman" w:cs="Times New Roman"/>
        </w:rPr>
        <w:t>regarding</w:t>
      </w:r>
      <w:r w:rsidRPr="00AB1915">
        <w:rPr>
          <w:rFonts w:ascii="Times New Roman" w:hAnsi="Times New Roman" w:cs="Times New Roman"/>
        </w:rPr>
        <w:t xml:space="preserve"> adversarial </w:t>
      </w:r>
      <w:r w:rsidR="00E72FE8" w:rsidRPr="00AB1915">
        <w:rPr>
          <w:rFonts w:ascii="Times New Roman" w:hAnsi="Times New Roman" w:cs="Times New Roman"/>
        </w:rPr>
        <w:t>legal systems.</w:t>
      </w:r>
      <w:r w:rsidR="00FF3C48" w:rsidRPr="00AB1915">
        <w:rPr>
          <w:rFonts w:ascii="Times New Roman" w:hAnsi="Times New Roman" w:cs="Times New Roman"/>
        </w:rPr>
        <w:t xml:space="preserve"> The emphasis in the survey was on </w:t>
      </w:r>
      <w:r w:rsidR="009149F7">
        <w:rPr>
          <w:rFonts w:ascii="Times New Roman" w:hAnsi="Times New Roman" w:cs="Times New Roman"/>
        </w:rPr>
        <w:t>the</w:t>
      </w:r>
      <w:r w:rsidR="00FF3C48" w:rsidRPr="00AB1915">
        <w:rPr>
          <w:rFonts w:ascii="Times New Roman" w:hAnsi="Times New Roman" w:cs="Times New Roman"/>
        </w:rPr>
        <w:t xml:space="preserve"> focus on economic analysis of the case. The </w:t>
      </w:r>
      <w:r w:rsidR="009149F7">
        <w:rPr>
          <w:rFonts w:ascii="Times New Roman" w:hAnsi="Times New Roman" w:cs="Times New Roman"/>
        </w:rPr>
        <w:t xml:space="preserve">survey </w:t>
      </w:r>
      <w:r w:rsidR="00FF3C48" w:rsidRPr="00AB1915">
        <w:rPr>
          <w:rFonts w:ascii="Times New Roman" w:hAnsi="Times New Roman" w:cs="Times New Roman"/>
        </w:rPr>
        <w:t>of Israeli law indicated that the court does have inherent authority</w:t>
      </w:r>
      <w:r w:rsidR="009149F7">
        <w:rPr>
          <w:rFonts w:ascii="Times New Roman" w:hAnsi="Times New Roman" w:cs="Times New Roman"/>
        </w:rPr>
        <w:t xml:space="preserve"> – </w:t>
      </w:r>
      <w:r w:rsidR="009149F7" w:rsidRPr="009149F7">
        <w:rPr>
          <w:rFonts w:ascii="Times New Roman" w:hAnsi="Times New Roman" w:cs="Times New Roman"/>
          <w:highlight w:val="yellow"/>
        </w:rPr>
        <w:t>though</w:t>
      </w:r>
      <w:r w:rsidR="009149F7">
        <w:rPr>
          <w:rFonts w:ascii="Times New Roman" w:hAnsi="Times New Roman" w:cs="Times New Roman"/>
        </w:rPr>
        <w:t xml:space="preserve"> </w:t>
      </w:r>
      <w:r w:rsidR="00FF3C48" w:rsidRPr="00AB1915">
        <w:rPr>
          <w:rFonts w:ascii="Times New Roman" w:hAnsi="Times New Roman" w:cs="Times New Roman"/>
        </w:rPr>
        <w:t xml:space="preserve">not expressly established in the </w:t>
      </w:r>
      <w:r w:rsidR="007F11DE" w:rsidRPr="00AB1915">
        <w:rPr>
          <w:rFonts w:ascii="Times New Roman" w:hAnsi="Times New Roman" w:cs="Times New Roman"/>
        </w:rPr>
        <w:t>Basic Law on Liberty – to order an attorney to pay expenses</w:t>
      </w:r>
      <w:r w:rsidR="009149F7" w:rsidRPr="009149F7">
        <w:rPr>
          <w:rFonts w:ascii="Times New Roman" w:hAnsi="Times New Roman" w:cs="Times New Roman"/>
        </w:rPr>
        <w:t xml:space="preserve"> </w:t>
      </w:r>
      <w:r w:rsidR="009149F7" w:rsidRPr="00AB1915">
        <w:rPr>
          <w:rFonts w:ascii="Times New Roman" w:hAnsi="Times New Roman" w:cs="Times New Roman"/>
        </w:rPr>
        <w:t>personal</w:t>
      </w:r>
      <w:r w:rsidR="009149F7">
        <w:rPr>
          <w:rFonts w:ascii="Times New Roman" w:hAnsi="Times New Roman" w:cs="Times New Roman"/>
        </w:rPr>
        <w:t>ly</w:t>
      </w:r>
      <w:r w:rsidR="007F11DE" w:rsidRPr="00AB1915">
        <w:rPr>
          <w:rFonts w:ascii="Times New Roman" w:hAnsi="Times New Roman" w:cs="Times New Roman"/>
        </w:rPr>
        <w:t>.</w:t>
      </w:r>
      <w:r w:rsidR="00681257" w:rsidRPr="00AB1915">
        <w:rPr>
          <w:rStyle w:val="FootnoteReference"/>
          <w:rFonts w:ascii="Times New Roman" w:hAnsi="Times New Roman" w:cs="Times New Roman"/>
        </w:rPr>
        <w:footnoteReference w:id="9"/>
      </w:r>
      <w:r w:rsidR="007F11DE" w:rsidRPr="00AB1915">
        <w:rPr>
          <w:rFonts w:ascii="Times New Roman" w:hAnsi="Times New Roman" w:cs="Times New Roman"/>
        </w:rPr>
        <w:t xml:space="preserve"> However, this authority is exercised only in special and exceptional cases,</w:t>
      </w:r>
      <w:r w:rsidR="00C75DA4" w:rsidRPr="00AB1915">
        <w:rPr>
          <w:rStyle w:val="FootnoteReference"/>
          <w:rFonts w:ascii="Times New Roman" w:hAnsi="Times New Roman" w:cs="Times New Roman"/>
        </w:rPr>
        <w:footnoteReference w:id="10"/>
      </w:r>
      <w:r w:rsidR="007F11DE" w:rsidRPr="00AB1915">
        <w:rPr>
          <w:rFonts w:ascii="Times New Roman" w:hAnsi="Times New Roman" w:cs="Times New Roman"/>
        </w:rPr>
        <w:t xml:space="preserve"> and only after the attorney has been given the opportunity to explain </w:t>
      </w:r>
      <w:commentRangeStart w:id="1"/>
      <w:r w:rsidR="007F11DE" w:rsidRPr="00577E0B">
        <w:rPr>
          <w:rFonts w:ascii="Times New Roman" w:hAnsi="Times New Roman" w:cs="Times New Roman"/>
          <w:highlight w:val="yellow"/>
        </w:rPr>
        <w:t>his</w:t>
      </w:r>
      <w:commentRangeEnd w:id="1"/>
      <w:r w:rsidR="00577E0B">
        <w:rPr>
          <w:rStyle w:val="CommentReference"/>
        </w:rPr>
        <w:commentReference w:id="1"/>
      </w:r>
      <w:r w:rsidR="007F11DE" w:rsidRPr="00AB1915">
        <w:rPr>
          <w:rFonts w:ascii="Times New Roman" w:hAnsi="Times New Roman" w:cs="Times New Roman"/>
        </w:rPr>
        <w:t xml:space="preserve"> behavior. Additionally, an attorney has </w:t>
      </w:r>
      <w:r w:rsidR="00580AEC">
        <w:rPr>
          <w:rFonts w:ascii="Times New Roman" w:hAnsi="Times New Roman" w:cs="Times New Roman"/>
        </w:rPr>
        <w:t>the</w:t>
      </w:r>
      <w:r w:rsidR="007F11DE" w:rsidRPr="00AB1915">
        <w:rPr>
          <w:rFonts w:ascii="Times New Roman" w:hAnsi="Times New Roman" w:cs="Times New Roman"/>
        </w:rPr>
        <w:t xml:space="preserve"> right to appeal such an order</w:t>
      </w:r>
      <w:r w:rsidR="00577E0B">
        <w:rPr>
          <w:rFonts w:ascii="Times New Roman" w:hAnsi="Times New Roman" w:cs="Times New Roman"/>
        </w:rPr>
        <w:t>,</w:t>
      </w:r>
      <w:r w:rsidR="007F11DE" w:rsidRPr="00AB1915">
        <w:rPr>
          <w:rFonts w:ascii="Times New Roman" w:hAnsi="Times New Roman" w:cs="Times New Roman"/>
        </w:rPr>
        <w:t xml:space="preserve"> in the framework of an “ancillary proceeding.”</w:t>
      </w:r>
      <w:r w:rsidR="00C75DA4" w:rsidRPr="00AB1915">
        <w:rPr>
          <w:rStyle w:val="FootnoteReference"/>
          <w:rFonts w:ascii="Times New Roman" w:hAnsi="Times New Roman" w:cs="Times New Roman"/>
        </w:rPr>
        <w:footnoteReference w:id="11"/>
      </w:r>
    </w:p>
    <w:p w14:paraId="753DE3F0" w14:textId="5B1C2D07" w:rsidR="00431818" w:rsidRPr="00AB1915" w:rsidRDefault="007F11DE" w:rsidP="00840C4B">
      <w:pPr>
        <w:jc w:val="both"/>
        <w:rPr>
          <w:rFonts w:ascii="Times New Roman" w:hAnsi="Times New Roman" w:cs="Times New Roman"/>
        </w:rPr>
      </w:pPr>
      <w:r w:rsidRPr="00AB1915">
        <w:rPr>
          <w:rFonts w:ascii="Times New Roman" w:hAnsi="Times New Roman" w:cs="Times New Roman"/>
        </w:rPr>
        <w:t xml:space="preserve">As part of </w:t>
      </w:r>
      <w:r w:rsidR="00C51AA4">
        <w:rPr>
          <w:rFonts w:ascii="Times New Roman" w:hAnsi="Times New Roman" w:cs="Times New Roman"/>
        </w:rPr>
        <w:t>an</w:t>
      </w:r>
      <w:r w:rsidRPr="00AB1915">
        <w:rPr>
          <w:rFonts w:ascii="Times New Roman" w:hAnsi="Times New Roman" w:cs="Times New Roman"/>
        </w:rPr>
        <w:t xml:space="preserve"> attempt to </w:t>
      </w:r>
      <w:r w:rsidR="00C51AA4">
        <w:rPr>
          <w:rFonts w:ascii="Times New Roman" w:hAnsi="Times New Roman" w:cs="Times New Roman"/>
        </w:rPr>
        <w:t xml:space="preserve">study </w:t>
      </w:r>
      <w:r w:rsidR="00577E0B">
        <w:rPr>
          <w:rFonts w:ascii="Times New Roman" w:hAnsi="Times New Roman" w:cs="Times New Roman"/>
        </w:rPr>
        <w:t xml:space="preserve">the </w:t>
      </w:r>
      <w:r w:rsidR="006412DF" w:rsidRPr="00AB1915">
        <w:rPr>
          <w:rFonts w:ascii="Times New Roman" w:hAnsi="Times New Roman" w:cs="Times New Roman"/>
        </w:rPr>
        <w:t xml:space="preserve">possible </w:t>
      </w:r>
      <w:r w:rsidR="00577E0B">
        <w:rPr>
          <w:rFonts w:ascii="Times New Roman" w:hAnsi="Times New Roman" w:cs="Times New Roman"/>
        </w:rPr>
        <w:t xml:space="preserve">establishment of the </w:t>
      </w:r>
      <w:r w:rsidR="006412DF" w:rsidRPr="00AB1915">
        <w:rPr>
          <w:rFonts w:ascii="Times New Roman" w:hAnsi="Times New Roman" w:cs="Times New Roman"/>
        </w:rPr>
        <w:t>model within the Israeli legal system, I mapp</w:t>
      </w:r>
      <w:r w:rsidR="009149F7">
        <w:rPr>
          <w:rFonts w:ascii="Times New Roman" w:hAnsi="Times New Roman" w:cs="Times New Roman"/>
        </w:rPr>
        <w:t>ed</w:t>
      </w:r>
      <w:r w:rsidR="006412DF" w:rsidRPr="00AB1915">
        <w:rPr>
          <w:rFonts w:ascii="Times New Roman" w:hAnsi="Times New Roman" w:cs="Times New Roman"/>
        </w:rPr>
        <w:t xml:space="preserve"> all the Israeli case law dealing with the </w:t>
      </w:r>
      <w:r w:rsidR="00577E0B">
        <w:rPr>
          <w:rFonts w:ascii="Times New Roman" w:hAnsi="Times New Roman" w:cs="Times New Roman"/>
        </w:rPr>
        <w:t xml:space="preserve">matter of the imposition of court expenses on </w:t>
      </w:r>
      <w:r w:rsidR="00832456" w:rsidRPr="00AB1915">
        <w:rPr>
          <w:rFonts w:ascii="Times New Roman" w:hAnsi="Times New Roman" w:cs="Times New Roman"/>
        </w:rPr>
        <w:t>an attorney</w:t>
      </w:r>
      <w:r w:rsidR="009149F7">
        <w:rPr>
          <w:rFonts w:ascii="Times New Roman" w:hAnsi="Times New Roman" w:cs="Times New Roman"/>
        </w:rPr>
        <w:t xml:space="preserve">, </w:t>
      </w:r>
      <w:r w:rsidR="00C51AA4">
        <w:rPr>
          <w:rFonts w:ascii="Times New Roman" w:hAnsi="Times New Roman" w:cs="Times New Roman"/>
        </w:rPr>
        <w:t>on a personal level</w:t>
      </w:r>
      <w:r w:rsidR="00832456" w:rsidRPr="00AB1915">
        <w:rPr>
          <w:rFonts w:ascii="Times New Roman" w:hAnsi="Times New Roman" w:cs="Times New Roman"/>
        </w:rPr>
        <w:t xml:space="preserve">. A review of the digital legal databases </w:t>
      </w:r>
      <w:r w:rsidR="00C51AA4">
        <w:rPr>
          <w:rFonts w:ascii="Times New Roman" w:hAnsi="Times New Roman" w:cs="Times New Roman"/>
        </w:rPr>
        <w:t xml:space="preserve">identified </w:t>
      </w:r>
      <w:r w:rsidR="00832456" w:rsidRPr="00AB1915">
        <w:rPr>
          <w:rFonts w:ascii="Times New Roman" w:hAnsi="Times New Roman" w:cs="Times New Roman"/>
        </w:rPr>
        <w:t xml:space="preserve">318 decisions </w:t>
      </w:r>
      <w:r w:rsidR="00C51AA4">
        <w:rPr>
          <w:rFonts w:ascii="Times New Roman" w:hAnsi="Times New Roman" w:cs="Times New Roman"/>
        </w:rPr>
        <w:t xml:space="preserve">from </w:t>
      </w:r>
      <w:r w:rsidR="00832456" w:rsidRPr="00AB1915">
        <w:rPr>
          <w:rFonts w:ascii="Times New Roman" w:hAnsi="Times New Roman" w:cs="Times New Roman"/>
        </w:rPr>
        <w:t xml:space="preserve">criminal and civil proceedings </w:t>
      </w:r>
      <w:r w:rsidR="009149F7">
        <w:rPr>
          <w:rFonts w:ascii="Times New Roman" w:hAnsi="Times New Roman" w:cs="Times New Roman"/>
        </w:rPr>
        <w:t xml:space="preserve">in </w:t>
      </w:r>
      <w:r w:rsidR="00832456" w:rsidRPr="00AB1915">
        <w:rPr>
          <w:rFonts w:ascii="Times New Roman" w:hAnsi="Times New Roman" w:cs="Times New Roman"/>
        </w:rPr>
        <w:t xml:space="preserve">various judicial </w:t>
      </w:r>
      <w:r w:rsidR="009149F7">
        <w:rPr>
          <w:rFonts w:ascii="Times New Roman" w:hAnsi="Times New Roman" w:cs="Times New Roman"/>
        </w:rPr>
        <w:t>tribunals</w:t>
      </w:r>
      <w:r w:rsidR="00832456" w:rsidRPr="00AB1915">
        <w:rPr>
          <w:rFonts w:ascii="Times New Roman" w:hAnsi="Times New Roman" w:cs="Times New Roman"/>
        </w:rPr>
        <w:t>.</w:t>
      </w:r>
      <w:r w:rsidR="001748BA" w:rsidRPr="00AB1915">
        <w:rPr>
          <w:rStyle w:val="FootnoteReference"/>
          <w:rFonts w:ascii="Times New Roman" w:hAnsi="Times New Roman" w:cs="Times New Roman"/>
        </w:rPr>
        <w:footnoteReference w:id="12"/>
      </w:r>
      <w:r w:rsidR="00832456" w:rsidRPr="00AB1915">
        <w:rPr>
          <w:rFonts w:ascii="Times New Roman" w:hAnsi="Times New Roman" w:cs="Times New Roman"/>
        </w:rPr>
        <w:t xml:space="preserve"> </w:t>
      </w:r>
      <w:r w:rsidR="00C51AA4">
        <w:rPr>
          <w:rFonts w:ascii="Times New Roman" w:hAnsi="Times New Roman" w:cs="Times New Roman"/>
        </w:rPr>
        <w:t xml:space="preserve">An examination of </w:t>
      </w:r>
      <w:r w:rsidR="00832456" w:rsidRPr="00AB1915">
        <w:rPr>
          <w:rFonts w:ascii="Times New Roman" w:hAnsi="Times New Roman" w:cs="Times New Roman"/>
        </w:rPr>
        <w:t xml:space="preserve">the differences between a court’s willingness to order an attorney to pay legal expenses when the attorney represents a civil litigant, as opposed to the imposition of such an order in the case of an attorney defending a client in a criminal proceeding – as well as </w:t>
      </w:r>
      <w:r w:rsidR="00C51AA4">
        <w:rPr>
          <w:rFonts w:ascii="Times New Roman" w:hAnsi="Times New Roman" w:cs="Times New Roman"/>
        </w:rPr>
        <w:t xml:space="preserve">a study of </w:t>
      </w:r>
      <w:r w:rsidR="00832456" w:rsidRPr="00AB1915">
        <w:rPr>
          <w:rFonts w:ascii="Times New Roman" w:hAnsi="Times New Roman" w:cs="Times New Roman"/>
        </w:rPr>
        <w:t xml:space="preserve">the rationales and </w:t>
      </w:r>
      <w:r w:rsidR="009149F7">
        <w:rPr>
          <w:rFonts w:ascii="Times New Roman" w:hAnsi="Times New Roman" w:cs="Times New Roman"/>
        </w:rPr>
        <w:t>consequences</w:t>
      </w:r>
      <w:r w:rsidR="00832456" w:rsidRPr="00AB1915">
        <w:rPr>
          <w:rFonts w:ascii="Times New Roman" w:hAnsi="Times New Roman" w:cs="Times New Roman"/>
        </w:rPr>
        <w:t xml:space="preserve"> of these differences – could be fascinating. But that issue would need to be the subject of a separate study</w:t>
      </w:r>
      <w:r w:rsidR="0067557E" w:rsidRPr="00AB1915">
        <w:rPr>
          <w:rFonts w:ascii="Times New Roman" w:hAnsi="Times New Roman" w:cs="Times New Roman"/>
        </w:rPr>
        <w:t xml:space="preserve">. </w:t>
      </w:r>
      <w:r w:rsidR="00832456" w:rsidRPr="00AB1915">
        <w:rPr>
          <w:rFonts w:ascii="Times New Roman" w:hAnsi="Times New Roman" w:cs="Times New Roman"/>
        </w:rPr>
        <w:t>This paper will focus on identifying the general trends indicated by the</w:t>
      </w:r>
      <w:r w:rsidR="00C51AA4">
        <w:rPr>
          <w:rFonts w:ascii="Times New Roman" w:hAnsi="Times New Roman" w:cs="Times New Roman"/>
        </w:rPr>
        <w:t xml:space="preserve"> judicial decisions,</w:t>
      </w:r>
      <w:r w:rsidR="00832456" w:rsidRPr="00AB1915">
        <w:rPr>
          <w:rFonts w:ascii="Times New Roman" w:hAnsi="Times New Roman" w:cs="Times New Roman"/>
        </w:rPr>
        <w:t xml:space="preserve"> and </w:t>
      </w:r>
      <w:r w:rsidR="009149F7">
        <w:rPr>
          <w:rFonts w:ascii="Times New Roman" w:hAnsi="Times New Roman" w:cs="Times New Roman"/>
        </w:rPr>
        <w:t xml:space="preserve">on </w:t>
      </w:r>
      <w:r w:rsidR="00832456" w:rsidRPr="00AB1915">
        <w:rPr>
          <w:rFonts w:ascii="Times New Roman" w:hAnsi="Times New Roman" w:cs="Times New Roman"/>
        </w:rPr>
        <w:t>an analysis thereof.</w:t>
      </w:r>
    </w:p>
    <w:p w14:paraId="0AA8A0A4" w14:textId="16AEEDEE" w:rsidR="00832456" w:rsidRPr="00AB1915" w:rsidRDefault="00EE33C3" w:rsidP="00840C4B">
      <w:pPr>
        <w:jc w:val="both"/>
        <w:rPr>
          <w:rFonts w:ascii="Times New Roman" w:hAnsi="Times New Roman" w:cs="Times New Roman"/>
          <w:u w:val="single"/>
          <w:lang w:val="en-GB"/>
        </w:rPr>
      </w:pPr>
      <w:r w:rsidRPr="00AB1915">
        <w:rPr>
          <w:rFonts w:ascii="Times New Roman" w:hAnsi="Times New Roman" w:cs="Times New Roman"/>
          <w:u w:val="single"/>
          <w:lang w:val="en-GB"/>
        </w:rPr>
        <w:lastRenderedPageBreak/>
        <w:t>Between conservatism and forgiveness – a mapping of Israeli case</w:t>
      </w:r>
      <w:r w:rsidR="00C51AA4">
        <w:rPr>
          <w:rFonts w:ascii="Times New Roman" w:hAnsi="Times New Roman" w:cs="Times New Roman"/>
          <w:u w:val="single"/>
          <w:lang w:val="en-GB"/>
        </w:rPr>
        <w:t>-</w:t>
      </w:r>
      <w:r w:rsidRPr="00AB1915">
        <w:rPr>
          <w:rFonts w:ascii="Times New Roman" w:hAnsi="Times New Roman" w:cs="Times New Roman"/>
          <w:u w:val="single"/>
          <w:lang w:val="en-GB"/>
        </w:rPr>
        <w:t>law regarding awards of personal expenses against attorneys</w:t>
      </w:r>
    </w:p>
    <w:p w14:paraId="22403094" w14:textId="5DFD0266" w:rsidR="00EE33C3" w:rsidRPr="00AB1915" w:rsidRDefault="00EE33C3" w:rsidP="001748BA">
      <w:pPr>
        <w:ind w:left="720" w:right="720"/>
        <w:jc w:val="both"/>
        <w:rPr>
          <w:rFonts w:ascii="Times New Roman" w:hAnsi="Times New Roman" w:cs="Times New Roman"/>
          <w:i/>
          <w:iCs/>
          <w:lang w:val="en-GB"/>
        </w:rPr>
      </w:pPr>
      <w:r w:rsidRPr="00AB1915">
        <w:rPr>
          <w:rFonts w:ascii="Times New Roman" w:hAnsi="Times New Roman" w:cs="Times New Roman"/>
          <w:i/>
          <w:iCs/>
          <w:lang w:val="en-GB"/>
        </w:rPr>
        <w:t xml:space="preserve">The motion should not have been brought.  But </w:t>
      </w:r>
      <w:r w:rsidR="00DF302E">
        <w:rPr>
          <w:rFonts w:ascii="Times New Roman" w:hAnsi="Times New Roman" w:cs="Times New Roman"/>
          <w:i/>
          <w:iCs/>
          <w:lang w:val="en-GB"/>
        </w:rPr>
        <w:t>as</w:t>
      </w:r>
      <w:r w:rsidRPr="00AB1915">
        <w:rPr>
          <w:rFonts w:ascii="Times New Roman" w:hAnsi="Times New Roman" w:cs="Times New Roman"/>
          <w:i/>
          <w:iCs/>
          <w:lang w:val="en-GB"/>
        </w:rPr>
        <w:t xml:space="preserve"> it has been brought, it is absolutely and completely denied. Attorney Barel shall pay, personally (and not his client)</w:t>
      </w:r>
      <w:r w:rsidR="00DF302E">
        <w:rPr>
          <w:rFonts w:ascii="Times New Roman" w:hAnsi="Times New Roman" w:cs="Times New Roman"/>
          <w:i/>
          <w:iCs/>
          <w:lang w:val="en-GB"/>
        </w:rPr>
        <w:t>,</w:t>
      </w:r>
      <w:r w:rsidRPr="00AB1915">
        <w:rPr>
          <w:rFonts w:ascii="Times New Roman" w:hAnsi="Times New Roman" w:cs="Times New Roman"/>
          <w:i/>
          <w:iCs/>
          <w:lang w:val="en-GB"/>
        </w:rPr>
        <w:t xml:space="preserve"> </w:t>
      </w:r>
      <w:r w:rsidR="00C51AA4">
        <w:rPr>
          <w:rFonts w:ascii="Times New Roman" w:hAnsi="Times New Roman" w:cs="Times New Roman"/>
          <w:i/>
          <w:iCs/>
          <w:lang w:val="en-GB"/>
        </w:rPr>
        <w:t xml:space="preserve">the </w:t>
      </w:r>
      <w:r w:rsidR="00DF302E">
        <w:rPr>
          <w:rFonts w:ascii="Times New Roman" w:hAnsi="Times New Roman" w:cs="Times New Roman"/>
          <w:i/>
          <w:iCs/>
          <w:lang w:val="en-GB"/>
        </w:rPr>
        <w:t>legal</w:t>
      </w:r>
      <w:r w:rsidRPr="00AB1915">
        <w:rPr>
          <w:rFonts w:ascii="Times New Roman" w:hAnsi="Times New Roman" w:cs="Times New Roman"/>
          <w:i/>
          <w:iCs/>
          <w:lang w:val="en-GB"/>
        </w:rPr>
        <w:t xml:space="preserve"> expenses </w:t>
      </w:r>
      <w:r w:rsidR="00DF302E">
        <w:rPr>
          <w:rFonts w:ascii="Times New Roman" w:hAnsi="Times New Roman" w:cs="Times New Roman"/>
          <w:i/>
          <w:iCs/>
          <w:lang w:val="en-GB"/>
        </w:rPr>
        <w:t xml:space="preserve">for this motion </w:t>
      </w:r>
      <w:r w:rsidRPr="00AB1915">
        <w:rPr>
          <w:rFonts w:ascii="Times New Roman" w:hAnsi="Times New Roman" w:cs="Times New Roman"/>
          <w:i/>
          <w:iCs/>
          <w:lang w:val="en-GB"/>
        </w:rPr>
        <w:t xml:space="preserve">to the </w:t>
      </w:r>
      <w:r w:rsidR="00DF302E">
        <w:rPr>
          <w:rFonts w:ascii="Times New Roman" w:hAnsi="Times New Roman" w:cs="Times New Roman"/>
          <w:i/>
          <w:iCs/>
          <w:lang w:val="en-GB"/>
        </w:rPr>
        <w:t>S</w:t>
      </w:r>
      <w:r w:rsidRPr="00AB1915">
        <w:rPr>
          <w:rFonts w:ascii="Times New Roman" w:hAnsi="Times New Roman" w:cs="Times New Roman"/>
          <w:i/>
          <w:iCs/>
          <w:lang w:val="en-GB"/>
        </w:rPr>
        <w:t>tate, in a total amount of NIS 10,000.</w:t>
      </w:r>
      <w:r w:rsidR="001748BA" w:rsidRPr="00AB1915">
        <w:rPr>
          <w:rStyle w:val="FootnoteReference"/>
          <w:rFonts w:ascii="Times New Roman" w:hAnsi="Times New Roman" w:cs="Times New Roman"/>
          <w:i/>
          <w:iCs/>
          <w:lang w:val="en-GB"/>
        </w:rPr>
        <w:footnoteReference w:id="13"/>
      </w:r>
    </w:p>
    <w:p w14:paraId="12A1D8FB" w14:textId="695EDDA8" w:rsidR="0067557E" w:rsidRPr="00AB1915" w:rsidRDefault="0067557E" w:rsidP="00840C4B">
      <w:pPr>
        <w:jc w:val="both"/>
        <w:rPr>
          <w:rFonts w:ascii="Times New Roman" w:hAnsi="Times New Roman" w:cs="Times New Roman"/>
        </w:rPr>
      </w:pPr>
      <w:r w:rsidRPr="00AB1915">
        <w:rPr>
          <w:rFonts w:ascii="Times New Roman" w:hAnsi="Times New Roman" w:cs="Times New Roman"/>
          <w:lang w:val="en-GB"/>
        </w:rPr>
        <w:t xml:space="preserve">The </w:t>
      </w:r>
      <w:r w:rsidRPr="00AB1915">
        <w:rPr>
          <w:rFonts w:ascii="Times New Roman" w:hAnsi="Times New Roman" w:cs="Times New Roman"/>
          <w:i/>
          <w:iCs/>
          <w:lang w:val="en-GB"/>
        </w:rPr>
        <w:t>Diskin</w:t>
      </w:r>
      <w:r w:rsidRPr="00AB1915">
        <w:rPr>
          <w:rFonts w:ascii="Times New Roman" w:hAnsi="Times New Roman" w:cs="Times New Roman"/>
          <w:lang w:val="en-GB"/>
        </w:rPr>
        <w:t xml:space="preserve"> decision is one of a relatively small number of cases in which an Israeli court decided to </w:t>
      </w:r>
      <w:r w:rsidR="00C51AA4">
        <w:rPr>
          <w:rFonts w:ascii="Times New Roman" w:hAnsi="Times New Roman" w:cs="Times New Roman"/>
          <w:lang w:val="en-GB"/>
        </w:rPr>
        <w:t xml:space="preserve">order </w:t>
      </w:r>
      <w:r w:rsidRPr="00AB1915">
        <w:rPr>
          <w:rFonts w:ascii="Times New Roman" w:hAnsi="Times New Roman" w:cs="Times New Roman"/>
          <w:lang w:val="en-GB"/>
        </w:rPr>
        <w:t>an attorney representing a party in a proceeding before the court</w:t>
      </w:r>
      <w:r w:rsidR="0081449A">
        <w:rPr>
          <w:rFonts w:ascii="Times New Roman" w:hAnsi="Times New Roman" w:cs="Times New Roman"/>
          <w:lang w:val="en-GB"/>
        </w:rPr>
        <w:t xml:space="preserve"> to pay expenses</w:t>
      </w:r>
      <w:r w:rsidR="00840C4B" w:rsidRPr="00AB1915">
        <w:rPr>
          <w:rFonts w:ascii="Times New Roman" w:hAnsi="Times New Roman" w:cs="Times New Roman"/>
          <w:lang w:val="en-GB"/>
        </w:rPr>
        <w:t xml:space="preserve">. </w:t>
      </w:r>
      <w:r w:rsidRPr="00AB1915">
        <w:rPr>
          <w:rFonts w:ascii="Times New Roman" w:hAnsi="Times New Roman" w:cs="Times New Roman"/>
          <w:lang w:val="en-GB"/>
        </w:rPr>
        <w:t xml:space="preserve">Israeli courts rarely initiate a discussion of the issue </w:t>
      </w:r>
      <w:r w:rsidR="0081449A">
        <w:rPr>
          <w:rFonts w:ascii="Times New Roman" w:hAnsi="Times New Roman" w:cs="Times New Roman"/>
          <w:lang w:val="en-GB"/>
        </w:rPr>
        <w:t xml:space="preserve">ordering </w:t>
      </w:r>
      <w:r w:rsidRPr="00AB1915">
        <w:rPr>
          <w:rFonts w:ascii="Times New Roman" w:hAnsi="Times New Roman" w:cs="Times New Roman"/>
          <w:lang w:val="en-GB"/>
        </w:rPr>
        <w:t xml:space="preserve">an attorney appearing before it </w:t>
      </w:r>
      <w:r w:rsidR="0081449A">
        <w:rPr>
          <w:rFonts w:ascii="Times New Roman" w:hAnsi="Times New Roman" w:cs="Times New Roman"/>
          <w:lang w:val="en-GB"/>
        </w:rPr>
        <w:t xml:space="preserve">to pay expenses, </w:t>
      </w:r>
      <w:r w:rsidRPr="00AB1915">
        <w:rPr>
          <w:rFonts w:ascii="Times New Roman" w:hAnsi="Times New Roman" w:cs="Times New Roman"/>
          <w:lang w:val="en-GB"/>
        </w:rPr>
        <w:t xml:space="preserve">and this is indicated by the relatively </w:t>
      </w:r>
      <w:r w:rsidR="00580AEC">
        <w:rPr>
          <w:rFonts w:ascii="Times New Roman" w:hAnsi="Times New Roman" w:cs="Times New Roman"/>
          <w:lang w:val="en-GB"/>
        </w:rPr>
        <w:t xml:space="preserve">small </w:t>
      </w:r>
      <w:r w:rsidRPr="00AB1915">
        <w:rPr>
          <w:rFonts w:ascii="Times New Roman" w:hAnsi="Times New Roman" w:cs="Times New Roman"/>
          <w:lang w:val="en-GB"/>
        </w:rPr>
        <w:t xml:space="preserve">number of cases dealing with </w:t>
      </w:r>
      <w:r w:rsidR="00840C4B" w:rsidRPr="00AB1915">
        <w:rPr>
          <w:rFonts w:ascii="Times New Roman" w:hAnsi="Times New Roman" w:cs="Times New Roman"/>
        </w:rPr>
        <w:t xml:space="preserve">the matter among Israel’s considerable case law. </w:t>
      </w:r>
      <w:r w:rsidR="00EE33C3" w:rsidRPr="00AB1915">
        <w:rPr>
          <w:rFonts w:ascii="Times New Roman" w:hAnsi="Times New Roman" w:cs="Times New Roman"/>
        </w:rPr>
        <w:t xml:space="preserve">There are also very few cases of such </w:t>
      </w:r>
      <w:r w:rsidR="0081449A">
        <w:rPr>
          <w:rFonts w:ascii="Times New Roman" w:hAnsi="Times New Roman" w:cs="Times New Roman"/>
        </w:rPr>
        <w:t xml:space="preserve">payment of </w:t>
      </w:r>
      <w:r w:rsidR="00EE33C3" w:rsidRPr="00AB1915">
        <w:rPr>
          <w:rFonts w:ascii="Times New Roman" w:hAnsi="Times New Roman" w:cs="Times New Roman"/>
        </w:rPr>
        <w:t xml:space="preserve">expenses </w:t>
      </w:r>
      <w:r w:rsidR="0081449A">
        <w:rPr>
          <w:rFonts w:ascii="Times New Roman" w:hAnsi="Times New Roman" w:cs="Times New Roman"/>
        </w:rPr>
        <w:t>having been ordered</w:t>
      </w:r>
      <w:r w:rsidR="00962100">
        <w:rPr>
          <w:rFonts w:ascii="Times New Roman" w:hAnsi="Times New Roman" w:cs="Times New Roman"/>
        </w:rPr>
        <w:t>,</w:t>
      </w:r>
      <w:r w:rsidR="003A48F2" w:rsidRPr="00AB1915">
        <w:rPr>
          <w:rStyle w:val="FootnoteReference"/>
          <w:rFonts w:ascii="Times New Roman" w:hAnsi="Times New Roman" w:cs="Times New Roman"/>
        </w:rPr>
        <w:footnoteReference w:id="14"/>
      </w:r>
      <w:r w:rsidR="00EE33C3" w:rsidRPr="00AB1915">
        <w:rPr>
          <w:rFonts w:ascii="Times New Roman" w:hAnsi="Times New Roman" w:cs="Times New Roman"/>
        </w:rPr>
        <w:t xml:space="preserve"> even when the court has </w:t>
      </w:r>
      <w:r w:rsidR="00962100">
        <w:rPr>
          <w:rFonts w:ascii="Times New Roman" w:hAnsi="Times New Roman" w:cs="Times New Roman"/>
        </w:rPr>
        <w:t xml:space="preserve">actually </w:t>
      </w:r>
      <w:r w:rsidR="00EE33C3" w:rsidRPr="00AB1915">
        <w:rPr>
          <w:rFonts w:ascii="Times New Roman" w:hAnsi="Times New Roman" w:cs="Times New Roman"/>
        </w:rPr>
        <w:t xml:space="preserve">expressed the view that </w:t>
      </w:r>
      <w:r w:rsidR="00962100">
        <w:rPr>
          <w:rFonts w:ascii="Times New Roman" w:hAnsi="Times New Roman" w:cs="Times New Roman"/>
        </w:rPr>
        <w:t xml:space="preserve">such payment </w:t>
      </w:r>
      <w:r w:rsidR="0081449A">
        <w:rPr>
          <w:rFonts w:ascii="Times New Roman" w:hAnsi="Times New Roman" w:cs="Times New Roman"/>
        </w:rPr>
        <w:t>should be ordered</w:t>
      </w:r>
      <w:r w:rsidR="00EE33C3" w:rsidRPr="00AB1915">
        <w:rPr>
          <w:rFonts w:ascii="Times New Roman" w:hAnsi="Times New Roman" w:cs="Times New Roman"/>
        </w:rPr>
        <w:t>.</w:t>
      </w:r>
      <w:r w:rsidR="003A48F2" w:rsidRPr="00AB1915">
        <w:rPr>
          <w:rStyle w:val="FootnoteReference"/>
          <w:rFonts w:ascii="Times New Roman" w:hAnsi="Times New Roman" w:cs="Times New Roman"/>
        </w:rPr>
        <w:footnoteReference w:id="15"/>
      </w:r>
      <w:r w:rsidR="00EE33C3" w:rsidRPr="00AB1915">
        <w:rPr>
          <w:rFonts w:ascii="Times New Roman" w:hAnsi="Times New Roman" w:cs="Times New Roman"/>
        </w:rPr>
        <w:t xml:space="preserve"> </w:t>
      </w:r>
      <w:r w:rsidR="0081449A">
        <w:rPr>
          <w:rFonts w:ascii="Times New Roman" w:hAnsi="Times New Roman" w:cs="Times New Roman"/>
        </w:rPr>
        <w:t>Furthermore, a</w:t>
      </w:r>
      <w:r w:rsidR="00EE33C3" w:rsidRPr="00AB1915">
        <w:rPr>
          <w:rFonts w:ascii="Times New Roman" w:hAnsi="Times New Roman" w:cs="Times New Roman"/>
        </w:rPr>
        <w:t>n analysis of the decisions shows a growing willingness on the part of courts to cancel the order to pay expenses after the fact,</w:t>
      </w:r>
      <w:r w:rsidR="003A48F2" w:rsidRPr="00AB1915">
        <w:rPr>
          <w:rStyle w:val="FootnoteReference"/>
          <w:rFonts w:ascii="Times New Roman" w:hAnsi="Times New Roman" w:cs="Times New Roman"/>
        </w:rPr>
        <w:footnoteReference w:id="16"/>
      </w:r>
      <w:r w:rsidR="00EE33C3" w:rsidRPr="00AB1915">
        <w:rPr>
          <w:rFonts w:ascii="Times New Roman" w:hAnsi="Times New Roman" w:cs="Times New Roman"/>
        </w:rPr>
        <w:t xml:space="preserve"> when such an </w:t>
      </w:r>
      <w:r w:rsidR="00580AEC">
        <w:rPr>
          <w:rFonts w:ascii="Times New Roman" w:hAnsi="Times New Roman" w:cs="Times New Roman"/>
        </w:rPr>
        <w:t xml:space="preserve">order has been issued, and then appealed </w:t>
      </w:r>
      <w:r w:rsidR="00EE33C3" w:rsidRPr="00AB1915">
        <w:rPr>
          <w:rFonts w:ascii="Times New Roman" w:hAnsi="Times New Roman" w:cs="Times New Roman"/>
        </w:rPr>
        <w:t>by the attorney.</w:t>
      </w:r>
    </w:p>
    <w:p w14:paraId="76B6BC5F" w14:textId="0F51802A" w:rsidR="00230CC1" w:rsidRPr="00AB1915" w:rsidRDefault="00DA3981" w:rsidP="00840C4B">
      <w:pPr>
        <w:jc w:val="both"/>
        <w:rPr>
          <w:rFonts w:ascii="Times New Roman" w:hAnsi="Times New Roman" w:cs="Times New Roman"/>
        </w:rPr>
      </w:pPr>
      <w:r>
        <w:rPr>
          <w:rFonts w:ascii="Times New Roman" w:hAnsi="Times New Roman" w:cs="Times New Roman"/>
        </w:rPr>
        <w:t xml:space="preserve">Thus, the Israeli jurisprudence on this issue is developing; the courts’ </w:t>
      </w:r>
      <w:r w:rsidR="00580AEC">
        <w:rPr>
          <w:rFonts w:ascii="Times New Roman" w:hAnsi="Times New Roman" w:cs="Times New Roman"/>
        </w:rPr>
        <w:t xml:space="preserve">decisions </w:t>
      </w:r>
      <w:r w:rsidR="00230CC1" w:rsidRPr="00AB1915">
        <w:rPr>
          <w:rFonts w:ascii="Times New Roman" w:hAnsi="Times New Roman" w:cs="Times New Roman"/>
        </w:rPr>
        <w:t xml:space="preserve">have fluctuated between </w:t>
      </w:r>
      <w:r w:rsidR="00962100">
        <w:rPr>
          <w:rFonts w:ascii="Times New Roman" w:hAnsi="Times New Roman" w:cs="Times New Roman"/>
        </w:rPr>
        <w:t>an</w:t>
      </w:r>
      <w:r w:rsidR="00230CC1" w:rsidRPr="00AB1915">
        <w:rPr>
          <w:rFonts w:ascii="Times New Roman" w:hAnsi="Times New Roman" w:cs="Times New Roman"/>
        </w:rPr>
        <w:t xml:space="preserve"> absolute </w:t>
      </w:r>
      <w:r w:rsidR="00962100">
        <w:rPr>
          <w:rFonts w:ascii="Times New Roman" w:hAnsi="Times New Roman" w:cs="Times New Roman"/>
        </w:rPr>
        <w:t xml:space="preserve">determination </w:t>
      </w:r>
      <w:r w:rsidR="00230CC1" w:rsidRPr="00AB1915">
        <w:rPr>
          <w:rFonts w:ascii="Times New Roman" w:hAnsi="Times New Roman" w:cs="Times New Roman"/>
        </w:rPr>
        <w:t xml:space="preserve">that an attorney may not be </w:t>
      </w:r>
      <w:r w:rsidR="00962100">
        <w:rPr>
          <w:rFonts w:ascii="Times New Roman" w:hAnsi="Times New Roman" w:cs="Times New Roman"/>
        </w:rPr>
        <w:t xml:space="preserve">personally ordered to pay </w:t>
      </w:r>
      <w:r w:rsidR="00230CC1" w:rsidRPr="00AB1915">
        <w:rPr>
          <w:rFonts w:ascii="Times New Roman" w:hAnsi="Times New Roman" w:cs="Times New Roman"/>
        </w:rPr>
        <w:t xml:space="preserve">expenses </w:t>
      </w:r>
      <w:r w:rsidR="00962100">
        <w:rPr>
          <w:rFonts w:ascii="Times New Roman" w:hAnsi="Times New Roman" w:cs="Times New Roman"/>
        </w:rPr>
        <w:t xml:space="preserve">with respect to </w:t>
      </w:r>
      <w:r w:rsidR="00230CC1" w:rsidRPr="00AB1915">
        <w:rPr>
          <w:rFonts w:ascii="Times New Roman" w:hAnsi="Times New Roman" w:cs="Times New Roman"/>
        </w:rPr>
        <w:t>professional behavior in representation of one of the parties,</w:t>
      </w:r>
      <w:r w:rsidR="003A48F2" w:rsidRPr="00AB1915">
        <w:rPr>
          <w:rStyle w:val="FootnoteReference"/>
          <w:rFonts w:ascii="Times New Roman" w:hAnsi="Times New Roman" w:cs="Times New Roman"/>
        </w:rPr>
        <w:footnoteReference w:id="17"/>
      </w:r>
      <w:r w:rsidR="00230CC1" w:rsidRPr="00AB1915">
        <w:rPr>
          <w:rFonts w:ascii="Times New Roman" w:hAnsi="Times New Roman" w:cs="Times New Roman"/>
        </w:rPr>
        <w:t xml:space="preserve"> </w:t>
      </w:r>
      <w:r>
        <w:rPr>
          <w:rFonts w:ascii="Times New Roman" w:hAnsi="Times New Roman" w:cs="Times New Roman"/>
        </w:rPr>
        <w:t xml:space="preserve">on the one hand, and on the other – </w:t>
      </w:r>
      <w:r w:rsidR="00F437D2" w:rsidRPr="00AB1915">
        <w:rPr>
          <w:rFonts w:ascii="Times New Roman" w:hAnsi="Times New Roman" w:cs="Times New Roman"/>
        </w:rPr>
        <w:t>a partial willingness to order such payment in exceptional cases.</w:t>
      </w:r>
      <w:r w:rsidR="003A48F2" w:rsidRPr="00AB1915">
        <w:rPr>
          <w:rStyle w:val="FootnoteReference"/>
          <w:rFonts w:ascii="Times New Roman" w:hAnsi="Times New Roman" w:cs="Times New Roman"/>
        </w:rPr>
        <w:footnoteReference w:id="18"/>
      </w:r>
      <w:r w:rsidR="00F437D2" w:rsidRPr="00AB1915">
        <w:rPr>
          <w:rFonts w:ascii="Times New Roman" w:hAnsi="Times New Roman" w:cs="Times New Roman"/>
        </w:rPr>
        <w:t xml:space="preserve"> However, </w:t>
      </w:r>
      <w:r w:rsidR="00962100">
        <w:rPr>
          <w:rFonts w:ascii="Times New Roman" w:hAnsi="Times New Roman" w:cs="Times New Roman"/>
        </w:rPr>
        <w:t xml:space="preserve">the </w:t>
      </w:r>
      <w:r w:rsidR="00F437D2" w:rsidRPr="00AB1915">
        <w:rPr>
          <w:rFonts w:ascii="Times New Roman" w:hAnsi="Times New Roman" w:cs="Times New Roman"/>
        </w:rPr>
        <w:t xml:space="preserve">case law does not include a single </w:t>
      </w:r>
      <w:r w:rsidR="00EE33C3" w:rsidRPr="00AB1915">
        <w:rPr>
          <w:rFonts w:ascii="Times New Roman" w:hAnsi="Times New Roman" w:cs="Times New Roman"/>
        </w:rPr>
        <w:t xml:space="preserve">decision in which </w:t>
      </w:r>
      <w:r w:rsidR="00962100">
        <w:rPr>
          <w:rFonts w:ascii="Times New Roman" w:hAnsi="Times New Roman" w:cs="Times New Roman"/>
        </w:rPr>
        <w:t xml:space="preserve">a </w:t>
      </w:r>
      <w:r w:rsidR="00EE33C3" w:rsidRPr="00AB1915">
        <w:rPr>
          <w:rFonts w:ascii="Times New Roman" w:hAnsi="Times New Roman" w:cs="Times New Roman"/>
        </w:rPr>
        <w:t xml:space="preserve">court </w:t>
      </w:r>
      <w:r w:rsidR="00962100">
        <w:rPr>
          <w:rFonts w:ascii="Times New Roman" w:hAnsi="Times New Roman" w:cs="Times New Roman"/>
        </w:rPr>
        <w:t xml:space="preserve">ordered an attorney, personally, to pay </w:t>
      </w:r>
      <w:r w:rsidR="00EE33C3" w:rsidRPr="00AB1915">
        <w:rPr>
          <w:rFonts w:ascii="Times New Roman" w:hAnsi="Times New Roman" w:cs="Times New Roman"/>
        </w:rPr>
        <w:t xml:space="preserve">expenses </w:t>
      </w:r>
      <w:r w:rsidR="00962100">
        <w:rPr>
          <w:rFonts w:ascii="Times New Roman" w:hAnsi="Times New Roman" w:cs="Times New Roman"/>
        </w:rPr>
        <w:t xml:space="preserve">solely </w:t>
      </w:r>
      <w:r w:rsidR="00EE33C3" w:rsidRPr="00AB1915">
        <w:rPr>
          <w:rFonts w:ascii="Times New Roman" w:hAnsi="Times New Roman" w:cs="Times New Roman"/>
        </w:rPr>
        <w:t>because of the filing of a lawsuit.</w:t>
      </w:r>
    </w:p>
    <w:p w14:paraId="190BC03D" w14:textId="7B39B5C5" w:rsidR="005D257F" w:rsidRPr="00AB1915" w:rsidRDefault="005D257F" w:rsidP="00DA3981">
      <w:pPr>
        <w:jc w:val="both"/>
        <w:rPr>
          <w:rFonts w:ascii="Times New Roman" w:hAnsi="Times New Roman" w:cs="Times New Roman"/>
        </w:rPr>
      </w:pPr>
      <w:r w:rsidRPr="00AB1915">
        <w:rPr>
          <w:rFonts w:ascii="Times New Roman" w:hAnsi="Times New Roman" w:cs="Times New Roman"/>
        </w:rPr>
        <w:t>An analysis of th</w:t>
      </w:r>
      <w:r w:rsidR="000D5DCD">
        <w:rPr>
          <w:rFonts w:ascii="Times New Roman" w:hAnsi="Times New Roman" w:cs="Times New Roman"/>
        </w:rPr>
        <w:t>os</w:t>
      </w:r>
      <w:r w:rsidRPr="00AB1915">
        <w:rPr>
          <w:rFonts w:ascii="Times New Roman" w:hAnsi="Times New Roman" w:cs="Times New Roman"/>
        </w:rPr>
        <w:t xml:space="preserve">e cases in which personal liability </w:t>
      </w:r>
      <w:r w:rsidR="000D5DCD">
        <w:rPr>
          <w:rFonts w:ascii="Times New Roman" w:hAnsi="Times New Roman" w:cs="Times New Roman"/>
        </w:rPr>
        <w:t xml:space="preserve">actually </w:t>
      </w:r>
      <w:r w:rsidRPr="00AB1915">
        <w:rPr>
          <w:rFonts w:ascii="Times New Roman" w:hAnsi="Times New Roman" w:cs="Times New Roman"/>
        </w:rPr>
        <w:t xml:space="preserve">was imposed on a lawyer indicates that the courts tend to </w:t>
      </w:r>
      <w:r w:rsidR="00DA3981">
        <w:rPr>
          <w:rFonts w:ascii="Times New Roman" w:hAnsi="Times New Roman" w:cs="Times New Roman"/>
        </w:rPr>
        <w:t xml:space="preserve">impose the measure when </w:t>
      </w:r>
      <w:r w:rsidRPr="00AB1915">
        <w:rPr>
          <w:rFonts w:ascii="Times New Roman" w:hAnsi="Times New Roman" w:cs="Times New Roman"/>
        </w:rPr>
        <w:t xml:space="preserve">an attorney </w:t>
      </w:r>
      <w:r w:rsidR="00DA3981">
        <w:rPr>
          <w:rFonts w:ascii="Times New Roman" w:hAnsi="Times New Roman" w:cs="Times New Roman"/>
        </w:rPr>
        <w:t xml:space="preserve">does </w:t>
      </w:r>
      <w:r w:rsidRPr="00AB1915">
        <w:rPr>
          <w:rFonts w:ascii="Times New Roman" w:hAnsi="Times New Roman" w:cs="Times New Roman"/>
        </w:rPr>
        <w:t>not appear for a court date that had been set without requesting permission</w:t>
      </w:r>
      <w:r w:rsidR="00DA3981">
        <w:rPr>
          <w:rFonts w:ascii="Times New Roman" w:hAnsi="Times New Roman" w:cs="Times New Roman"/>
        </w:rPr>
        <w:t xml:space="preserve"> for such absence</w:t>
      </w:r>
      <w:r w:rsidRPr="00AB1915">
        <w:rPr>
          <w:rFonts w:ascii="Times New Roman" w:hAnsi="Times New Roman" w:cs="Times New Roman"/>
        </w:rPr>
        <w:t xml:space="preserve">, </w:t>
      </w:r>
      <w:r w:rsidR="00DA3981">
        <w:rPr>
          <w:rFonts w:ascii="Times New Roman" w:hAnsi="Times New Roman" w:cs="Times New Roman"/>
        </w:rPr>
        <w:t xml:space="preserve">or </w:t>
      </w:r>
      <w:r w:rsidRPr="00AB1915">
        <w:rPr>
          <w:rFonts w:ascii="Times New Roman" w:hAnsi="Times New Roman" w:cs="Times New Roman"/>
        </w:rPr>
        <w:t xml:space="preserve">by </w:t>
      </w:r>
      <w:r w:rsidR="00DA3981">
        <w:rPr>
          <w:rFonts w:ascii="Times New Roman" w:hAnsi="Times New Roman" w:cs="Times New Roman"/>
        </w:rPr>
        <w:t xml:space="preserve">at attorney’s </w:t>
      </w:r>
      <w:r w:rsidRPr="00AB1915">
        <w:rPr>
          <w:rFonts w:ascii="Times New Roman" w:hAnsi="Times New Roman" w:cs="Times New Roman"/>
        </w:rPr>
        <w:t xml:space="preserve">inappropriate </w:t>
      </w:r>
      <w:r w:rsidR="00DA3981">
        <w:rPr>
          <w:rFonts w:ascii="Times New Roman" w:hAnsi="Times New Roman" w:cs="Times New Roman"/>
        </w:rPr>
        <w:t xml:space="preserve">conduct </w:t>
      </w:r>
      <w:r w:rsidRPr="00AB1915">
        <w:rPr>
          <w:rFonts w:ascii="Times New Roman" w:hAnsi="Times New Roman" w:cs="Times New Roman"/>
        </w:rPr>
        <w:t xml:space="preserve">toward the court </w:t>
      </w:r>
      <w:r w:rsidR="00DA3981">
        <w:rPr>
          <w:rFonts w:ascii="Times New Roman" w:hAnsi="Times New Roman" w:cs="Times New Roman"/>
        </w:rPr>
        <w:t xml:space="preserve">or </w:t>
      </w:r>
      <w:r w:rsidRPr="00AB1915">
        <w:rPr>
          <w:rFonts w:ascii="Times New Roman" w:hAnsi="Times New Roman" w:cs="Times New Roman"/>
        </w:rPr>
        <w:t xml:space="preserve">its officers. </w:t>
      </w:r>
      <w:r w:rsidR="00F111A5">
        <w:rPr>
          <w:rFonts w:ascii="Times New Roman" w:hAnsi="Times New Roman" w:cs="Times New Roman"/>
        </w:rPr>
        <w:t xml:space="preserve">Personal liability may also be imposed when the attorney conducts a legal proceeding which </w:t>
      </w:r>
      <w:r w:rsidRPr="00AB1915">
        <w:rPr>
          <w:rFonts w:ascii="Times New Roman" w:hAnsi="Times New Roman" w:cs="Times New Roman"/>
        </w:rPr>
        <w:lastRenderedPageBreak/>
        <w:t xml:space="preserve">is clearly intended to serve the attorney’s interests exclusively, rather than </w:t>
      </w:r>
      <w:r w:rsidR="00F111A5">
        <w:rPr>
          <w:rFonts w:ascii="Times New Roman" w:hAnsi="Times New Roman" w:cs="Times New Roman"/>
        </w:rPr>
        <w:t>those</w:t>
      </w:r>
      <w:r w:rsidRPr="00AB1915">
        <w:rPr>
          <w:rFonts w:ascii="Times New Roman" w:hAnsi="Times New Roman" w:cs="Times New Roman"/>
        </w:rPr>
        <w:t xml:space="preserve"> of his client</w:t>
      </w:r>
      <w:commentRangeStart w:id="2"/>
      <w:r w:rsidRPr="00AB1915">
        <w:rPr>
          <w:rFonts w:ascii="Times New Roman" w:hAnsi="Times New Roman" w:cs="Times New Roman"/>
        </w:rPr>
        <w:t>.</w:t>
      </w:r>
      <w:r w:rsidR="003A48F2" w:rsidRPr="00AB1915">
        <w:rPr>
          <w:rStyle w:val="FootnoteReference"/>
          <w:rFonts w:ascii="Times New Roman" w:hAnsi="Times New Roman" w:cs="Times New Roman"/>
        </w:rPr>
        <w:footnoteReference w:id="19"/>
      </w:r>
      <w:commentRangeEnd w:id="2"/>
      <w:r w:rsidR="00CE4F90">
        <w:rPr>
          <w:rStyle w:val="CommentReference"/>
        </w:rPr>
        <w:commentReference w:id="2"/>
      </w:r>
      <w:r w:rsidRPr="00AB1915">
        <w:rPr>
          <w:rFonts w:ascii="Times New Roman" w:hAnsi="Times New Roman" w:cs="Times New Roman"/>
        </w:rPr>
        <w:t xml:space="preserve"> It is important to note that in these cases as well, the courts only order the payment of expenses when the </w:t>
      </w:r>
      <w:r w:rsidR="0001393F">
        <w:rPr>
          <w:rFonts w:ascii="Times New Roman" w:hAnsi="Times New Roman" w:cs="Times New Roman"/>
        </w:rPr>
        <w:t>circumstances</w:t>
      </w:r>
      <w:r w:rsidRPr="00AB1915">
        <w:rPr>
          <w:rFonts w:ascii="Times New Roman" w:hAnsi="Times New Roman" w:cs="Times New Roman"/>
        </w:rPr>
        <w:t xml:space="preserve"> </w:t>
      </w:r>
      <w:r w:rsidR="0001393F">
        <w:rPr>
          <w:rFonts w:ascii="Times New Roman" w:hAnsi="Times New Roman" w:cs="Times New Roman"/>
        </w:rPr>
        <w:t>are</w:t>
      </w:r>
      <w:r w:rsidR="00CE4F90">
        <w:rPr>
          <w:rFonts w:ascii="Times New Roman" w:hAnsi="Times New Roman" w:cs="Times New Roman"/>
        </w:rPr>
        <w:t xml:space="preserve"> </w:t>
      </w:r>
      <w:r w:rsidRPr="00AB1915">
        <w:rPr>
          <w:rFonts w:ascii="Times New Roman" w:hAnsi="Times New Roman" w:cs="Times New Roman"/>
        </w:rPr>
        <w:t>particularly severe</w:t>
      </w:r>
      <w:commentRangeStart w:id="3"/>
      <w:r w:rsidR="002C0246">
        <w:rPr>
          <w:rFonts w:ascii="Times New Roman" w:hAnsi="Times New Roman" w:cs="Times New Roman"/>
        </w:rPr>
        <w:t>.</w:t>
      </w:r>
      <w:r w:rsidR="003A48F2" w:rsidRPr="00AB1915">
        <w:rPr>
          <w:rStyle w:val="FootnoteReference"/>
          <w:rFonts w:ascii="Times New Roman" w:hAnsi="Times New Roman" w:cs="Times New Roman"/>
        </w:rPr>
        <w:footnoteReference w:id="20"/>
      </w:r>
      <w:commentRangeEnd w:id="3"/>
      <w:r w:rsidR="00C77EAA">
        <w:rPr>
          <w:rStyle w:val="CommentReference"/>
        </w:rPr>
        <w:commentReference w:id="3"/>
      </w:r>
      <w:r w:rsidRPr="00AB1915">
        <w:rPr>
          <w:rFonts w:ascii="Times New Roman" w:hAnsi="Times New Roman" w:cs="Times New Roman"/>
        </w:rPr>
        <w:t xml:space="preserve"> </w:t>
      </w:r>
      <w:r w:rsidR="00F111A5">
        <w:rPr>
          <w:rFonts w:ascii="Times New Roman" w:hAnsi="Times New Roman" w:cs="Times New Roman"/>
        </w:rPr>
        <w:t>E</w:t>
      </w:r>
      <w:r w:rsidRPr="00AB1915">
        <w:rPr>
          <w:rFonts w:ascii="Times New Roman" w:hAnsi="Times New Roman" w:cs="Times New Roman"/>
        </w:rPr>
        <w:t xml:space="preserve">ven then, the </w:t>
      </w:r>
      <w:r w:rsidR="00F111A5">
        <w:rPr>
          <w:rFonts w:ascii="Times New Roman" w:hAnsi="Times New Roman" w:cs="Times New Roman"/>
        </w:rPr>
        <w:t xml:space="preserve">various </w:t>
      </w:r>
      <w:r w:rsidRPr="00AB1915">
        <w:rPr>
          <w:rFonts w:ascii="Times New Roman" w:hAnsi="Times New Roman" w:cs="Times New Roman"/>
        </w:rPr>
        <w:t>courts’ final decisions reflect a certain inconsistency.</w:t>
      </w:r>
    </w:p>
    <w:p w14:paraId="242EF42C" w14:textId="548F1423" w:rsidR="00EE33C3" w:rsidRPr="00AB1915" w:rsidRDefault="005D257F" w:rsidP="00F111A5">
      <w:pPr>
        <w:jc w:val="both"/>
        <w:rPr>
          <w:rFonts w:ascii="Times New Roman" w:hAnsi="Times New Roman" w:cs="Times New Roman"/>
        </w:rPr>
      </w:pPr>
      <w:r w:rsidRPr="00AB1915">
        <w:rPr>
          <w:rFonts w:ascii="Times New Roman" w:hAnsi="Times New Roman" w:cs="Times New Roman"/>
        </w:rPr>
        <w:t xml:space="preserve">Courts </w:t>
      </w:r>
      <w:r w:rsidR="00F111A5">
        <w:rPr>
          <w:rFonts w:ascii="Times New Roman" w:hAnsi="Times New Roman" w:cs="Times New Roman"/>
        </w:rPr>
        <w:t>do not</w:t>
      </w:r>
      <w:r w:rsidRPr="00AB1915">
        <w:rPr>
          <w:rFonts w:ascii="Times New Roman" w:hAnsi="Times New Roman" w:cs="Times New Roman"/>
        </w:rPr>
        <w:t xml:space="preserve"> use the “personal liability for expenses” weapon in cases in which an attorney makes frivolous claims or seeks to obtain extensions or drag out court sessions.</w:t>
      </w:r>
      <w:r w:rsidR="00084451" w:rsidRPr="00AB1915">
        <w:rPr>
          <w:rStyle w:val="FootnoteReference"/>
          <w:rFonts w:ascii="Times New Roman" w:hAnsi="Times New Roman" w:cs="Times New Roman"/>
        </w:rPr>
        <w:footnoteReference w:id="21"/>
      </w:r>
      <w:r w:rsidRPr="00AB1915">
        <w:rPr>
          <w:rFonts w:ascii="Times New Roman" w:hAnsi="Times New Roman" w:cs="Times New Roman"/>
        </w:rPr>
        <w:t xml:space="preserve"> </w:t>
      </w:r>
      <w:r w:rsidR="00F111A5">
        <w:rPr>
          <w:rFonts w:ascii="Times New Roman" w:hAnsi="Times New Roman" w:cs="Times New Roman"/>
        </w:rPr>
        <w:t xml:space="preserve">Such acts will at most generate a verbal scolding. </w:t>
      </w:r>
      <w:r w:rsidR="0062722C" w:rsidRPr="00AB1915">
        <w:rPr>
          <w:rFonts w:ascii="Times New Roman" w:hAnsi="Times New Roman" w:cs="Times New Roman"/>
        </w:rPr>
        <w:t xml:space="preserve">Israeli courts will direct sharp remarks and anger toward attorneys who appear before them, when the </w:t>
      </w:r>
      <w:r w:rsidR="00F111A5">
        <w:rPr>
          <w:rFonts w:ascii="Times New Roman" w:hAnsi="Times New Roman" w:cs="Times New Roman"/>
        </w:rPr>
        <w:t>judge</w:t>
      </w:r>
      <w:r w:rsidR="0062722C" w:rsidRPr="00AB1915">
        <w:rPr>
          <w:rFonts w:ascii="Times New Roman" w:hAnsi="Times New Roman" w:cs="Times New Roman"/>
        </w:rPr>
        <w:t xml:space="preserve"> believes that the attorney’s professional and personal </w:t>
      </w:r>
      <w:r w:rsidR="001A3D2F" w:rsidRPr="00AB1915">
        <w:rPr>
          <w:rFonts w:ascii="Times New Roman" w:hAnsi="Times New Roman" w:cs="Times New Roman"/>
        </w:rPr>
        <w:t xml:space="preserve">conduct </w:t>
      </w:r>
      <w:r w:rsidR="0062722C" w:rsidRPr="00AB1915">
        <w:rPr>
          <w:rFonts w:ascii="Times New Roman" w:hAnsi="Times New Roman" w:cs="Times New Roman"/>
        </w:rPr>
        <w:t xml:space="preserve">justifies such. </w:t>
      </w:r>
      <w:r w:rsidR="001A3D2F" w:rsidRPr="00AB1915">
        <w:rPr>
          <w:rFonts w:ascii="Times New Roman" w:hAnsi="Times New Roman" w:cs="Times New Roman"/>
        </w:rPr>
        <w:t xml:space="preserve"> However, a scolding included in a court transcript or made in the presence of a client</w:t>
      </w:r>
      <w:r w:rsidR="00084451" w:rsidRPr="00AB1915">
        <w:rPr>
          <w:rStyle w:val="FootnoteReference"/>
          <w:rFonts w:ascii="Times New Roman" w:hAnsi="Times New Roman" w:cs="Times New Roman"/>
        </w:rPr>
        <w:footnoteReference w:id="22"/>
      </w:r>
      <w:r w:rsidR="001A3D2F" w:rsidRPr="00AB1915">
        <w:rPr>
          <w:rFonts w:ascii="Times New Roman" w:hAnsi="Times New Roman" w:cs="Times New Roman"/>
        </w:rPr>
        <w:t xml:space="preserve"> is not the same as an actual order to pay expenses, as </w:t>
      </w:r>
      <w:r w:rsidR="00F111A5">
        <w:rPr>
          <w:rFonts w:ascii="Times New Roman" w:hAnsi="Times New Roman" w:cs="Times New Roman"/>
        </w:rPr>
        <w:t xml:space="preserve">only the latter transforms the </w:t>
      </w:r>
      <w:r w:rsidR="001A3D2F" w:rsidRPr="00AB1915">
        <w:rPr>
          <w:rFonts w:ascii="Times New Roman" w:hAnsi="Times New Roman" w:cs="Times New Roman"/>
        </w:rPr>
        <w:t xml:space="preserve">attorney </w:t>
      </w:r>
      <w:r w:rsidR="00F111A5">
        <w:rPr>
          <w:rFonts w:ascii="Times New Roman" w:hAnsi="Times New Roman" w:cs="Times New Roman"/>
        </w:rPr>
        <w:t xml:space="preserve">into an </w:t>
      </w:r>
      <w:r w:rsidR="001A3D2F" w:rsidRPr="00AB1915">
        <w:rPr>
          <w:rFonts w:ascii="Times New Roman" w:hAnsi="Times New Roman" w:cs="Times New Roman"/>
        </w:rPr>
        <w:t>actual defendant.</w:t>
      </w:r>
    </w:p>
    <w:p w14:paraId="42BC4E32" w14:textId="34D1A7D4" w:rsidR="001A3D2F" w:rsidRPr="00AB1915" w:rsidRDefault="001A3D2F" w:rsidP="005D257F">
      <w:pPr>
        <w:jc w:val="both"/>
        <w:rPr>
          <w:rFonts w:ascii="Times New Roman" w:hAnsi="Times New Roman" w:cs="Times New Roman"/>
        </w:rPr>
      </w:pPr>
      <w:r w:rsidRPr="00AB1915">
        <w:rPr>
          <w:rFonts w:ascii="Times New Roman" w:hAnsi="Times New Roman" w:cs="Times New Roman"/>
        </w:rPr>
        <w:t xml:space="preserve">Even in the relatively few cases in which a court has chosen to order an attorney to pay expenses personally, the amounts involved </w:t>
      </w:r>
      <w:r w:rsidR="00A81D62">
        <w:rPr>
          <w:rFonts w:ascii="Times New Roman" w:hAnsi="Times New Roman" w:cs="Times New Roman"/>
        </w:rPr>
        <w:t xml:space="preserve">have </w:t>
      </w:r>
      <w:r w:rsidRPr="00AB1915">
        <w:rPr>
          <w:rFonts w:ascii="Times New Roman" w:hAnsi="Times New Roman" w:cs="Times New Roman"/>
        </w:rPr>
        <w:t>tend</w:t>
      </w:r>
      <w:r w:rsidR="00A81D62">
        <w:rPr>
          <w:rFonts w:ascii="Times New Roman" w:hAnsi="Times New Roman" w:cs="Times New Roman"/>
        </w:rPr>
        <w:t>ed</w:t>
      </w:r>
      <w:r w:rsidRPr="00AB1915">
        <w:rPr>
          <w:rFonts w:ascii="Times New Roman" w:hAnsi="Times New Roman" w:cs="Times New Roman"/>
        </w:rPr>
        <w:t xml:space="preserve"> to be low and </w:t>
      </w:r>
      <w:r w:rsidR="00A81D62">
        <w:rPr>
          <w:rFonts w:ascii="Times New Roman" w:hAnsi="Times New Roman" w:cs="Times New Roman"/>
        </w:rPr>
        <w:t xml:space="preserve">not reflective of </w:t>
      </w:r>
      <w:r w:rsidRPr="00AB1915">
        <w:rPr>
          <w:rFonts w:ascii="Times New Roman" w:hAnsi="Times New Roman" w:cs="Times New Roman"/>
        </w:rPr>
        <w:t xml:space="preserve">the full price of the attorney’s behavior. </w:t>
      </w:r>
      <w:r w:rsidR="004E3BCB" w:rsidRPr="00AB1915">
        <w:rPr>
          <w:rFonts w:ascii="Times New Roman" w:hAnsi="Times New Roman" w:cs="Times New Roman"/>
        </w:rPr>
        <w:t xml:space="preserve"> Thus, for example, courts </w:t>
      </w:r>
      <w:r w:rsidR="00A81D62">
        <w:rPr>
          <w:rFonts w:ascii="Times New Roman" w:hAnsi="Times New Roman" w:cs="Times New Roman"/>
        </w:rPr>
        <w:t>have</w:t>
      </w:r>
      <w:r w:rsidR="004E3BCB" w:rsidRPr="00AB1915">
        <w:rPr>
          <w:rFonts w:ascii="Times New Roman" w:hAnsi="Times New Roman" w:cs="Times New Roman"/>
        </w:rPr>
        <w:t xml:space="preserve"> </w:t>
      </w:r>
      <w:r w:rsidR="00A81D62">
        <w:rPr>
          <w:rFonts w:ascii="Times New Roman" w:hAnsi="Times New Roman" w:cs="Times New Roman"/>
        </w:rPr>
        <w:t xml:space="preserve">ordered payment of expenses </w:t>
      </w:r>
      <w:r w:rsidR="004E3BCB" w:rsidRPr="00AB1915">
        <w:rPr>
          <w:rFonts w:ascii="Times New Roman" w:hAnsi="Times New Roman" w:cs="Times New Roman"/>
        </w:rPr>
        <w:t xml:space="preserve">of </w:t>
      </w:r>
      <w:r w:rsidR="00A81D62">
        <w:rPr>
          <w:rFonts w:ascii="Times New Roman" w:hAnsi="Times New Roman" w:cs="Times New Roman"/>
        </w:rPr>
        <w:t xml:space="preserve">only </w:t>
      </w:r>
      <w:r w:rsidR="004E3BCB" w:rsidRPr="00AB1915">
        <w:rPr>
          <w:rFonts w:ascii="Times New Roman" w:hAnsi="Times New Roman" w:cs="Times New Roman"/>
        </w:rPr>
        <w:t>a few thousand shekels</w:t>
      </w:r>
      <w:commentRangeStart w:id="4"/>
      <w:r w:rsidR="00084451" w:rsidRPr="00AB1915">
        <w:rPr>
          <w:rStyle w:val="FootnoteReference"/>
          <w:rFonts w:ascii="Times New Roman" w:hAnsi="Times New Roman" w:cs="Times New Roman"/>
        </w:rPr>
        <w:footnoteReference w:id="23"/>
      </w:r>
      <w:commentRangeEnd w:id="4"/>
      <w:r w:rsidR="0040009B">
        <w:rPr>
          <w:rStyle w:val="CommentReference"/>
        </w:rPr>
        <w:commentReference w:id="4"/>
      </w:r>
      <w:r w:rsidR="004E3BCB" w:rsidRPr="00AB1915">
        <w:rPr>
          <w:rFonts w:ascii="Times New Roman" w:hAnsi="Times New Roman" w:cs="Times New Roman"/>
        </w:rPr>
        <w:t xml:space="preserve"> for a failure to appear for a scheduled court </w:t>
      </w:r>
      <w:r w:rsidR="00A81D62">
        <w:rPr>
          <w:rFonts w:ascii="Times New Roman" w:hAnsi="Times New Roman" w:cs="Times New Roman"/>
        </w:rPr>
        <w:t>date</w:t>
      </w:r>
      <w:r w:rsidR="004E3BCB" w:rsidRPr="00AB1915">
        <w:rPr>
          <w:rFonts w:ascii="Times New Roman" w:hAnsi="Times New Roman" w:cs="Times New Roman"/>
        </w:rPr>
        <w:t xml:space="preserve">, while the true costs </w:t>
      </w:r>
      <w:r w:rsidR="00A81D62">
        <w:rPr>
          <w:rFonts w:ascii="Times New Roman" w:hAnsi="Times New Roman" w:cs="Times New Roman"/>
        </w:rPr>
        <w:t xml:space="preserve">of such an absence </w:t>
      </w:r>
      <w:r w:rsidR="004E3BCB" w:rsidRPr="00AB1915">
        <w:rPr>
          <w:rFonts w:ascii="Times New Roman" w:hAnsi="Times New Roman" w:cs="Times New Roman"/>
        </w:rPr>
        <w:t>can actually amount to a much higher sum. A judge’s time is the overworked legal system’s most precious resource.</w:t>
      </w:r>
      <w:r w:rsidR="00084451" w:rsidRPr="00AB1915">
        <w:rPr>
          <w:rStyle w:val="FootnoteReference"/>
          <w:rFonts w:ascii="Times New Roman" w:hAnsi="Times New Roman" w:cs="Times New Roman"/>
        </w:rPr>
        <w:footnoteReference w:id="24"/>
      </w:r>
      <w:r w:rsidR="004E3BCB" w:rsidRPr="00AB1915">
        <w:rPr>
          <w:rFonts w:ascii="Times New Roman" w:hAnsi="Times New Roman" w:cs="Times New Roman"/>
        </w:rPr>
        <w:t xml:space="preserve"> The cancellation of a court date that has already been set</w:t>
      </w:r>
      <w:r w:rsidR="00A81D62">
        <w:rPr>
          <w:rFonts w:ascii="Times New Roman" w:hAnsi="Times New Roman" w:cs="Times New Roman"/>
        </w:rPr>
        <w:t>,</w:t>
      </w:r>
      <w:r w:rsidR="004E3BCB" w:rsidRPr="00AB1915">
        <w:rPr>
          <w:rFonts w:ascii="Times New Roman" w:hAnsi="Times New Roman" w:cs="Times New Roman"/>
        </w:rPr>
        <w:t xml:space="preserve"> and </w:t>
      </w:r>
      <w:r w:rsidR="00A81D62">
        <w:rPr>
          <w:rFonts w:ascii="Times New Roman" w:hAnsi="Times New Roman" w:cs="Times New Roman"/>
        </w:rPr>
        <w:t xml:space="preserve">its </w:t>
      </w:r>
      <w:r w:rsidR="00803D28" w:rsidRPr="00AB1915">
        <w:rPr>
          <w:rFonts w:ascii="Times New Roman" w:hAnsi="Times New Roman" w:cs="Times New Roman"/>
        </w:rPr>
        <w:t>postponement to a different time due to the failure of an attorney to appear lead</w:t>
      </w:r>
      <w:r w:rsidR="00A81D62">
        <w:rPr>
          <w:rFonts w:ascii="Times New Roman" w:hAnsi="Times New Roman" w:cs="Times New Roman"/>
        </w:rPr>
        <w:t>s not</w:t>
      </w:r>
      <w:r w:rsidR="00803D28" w:rsidRPr="00AB1915">
        <w:rPr>
          <w:rFonts w:ascii="Times New Roman" w:hAnsi="Times New Roman" w:cs="Times New Roman"/>
        </w:rPr>
        <w:t xml:space="preserve"> only to a waste of the </w:t>
      </w:r>
      <w:r w:rsidR="00084451" w:rsidRPr="00AB1915">
        <w:rPr>
          <w:rFonts w:ascii="Times New Roman" w:hAnsi="Times New Roman" w:cs="Times New Roman"/>
        </w:rPr>
        <w:t xml:space="preserve">court’s </w:t>
      </w:r>
      <w:r w:rsidR="00803D28" w:rsidRPr="00AB1915">
        <w:rPr>
          <w:rFonts w:ascii="Times New Roman" w:hAnsi="Times New Roman" w:cs="Times New Roman"/>
        </w:rPr>
        <w:t>time</w:t>
      </w:r>
      <w:r w:rsidR="00084451" w:rsidRPr="00AB1915">
        <w:rPr>
          <w:rStyle w:val="FootnoteReference"/>
          <w:rFonts w:ascii="Times New Roman" w:hAnsi="Times New Roman" w:cs="Times New Roman"/>
        </w:rPr>
        <w:footnoteReference w:id="25"/>
      </w:r>
      <w:r w:rsidR="00803D28" w:rsidRPr="00AB1915">
        <w:rPr>
          <w:rFonts w:ascii="Times New Roman" w:hAnsi="Times New Roman" w:cs="Times New Roman"/>
        </w:rPr>
        <w:t xml:space="preserve"> – it also adds to the administrative burden of the court secretariat.</w:t>
      </w:r>
      <w:r w:rsidR="00084451" w:rsidRPr="00AB1915">
        <w:rPr>
          <w:rStyle w:val="FootnoteReference"/>
          <w:rFonts w:ascii="Times New Roman" w:hAnsi="Times New Roman" w:cs="Times New Roman"/>
        </w:rPr>
        <w:footnoteReference w:id="26"/>
      </w:r>
      <w:r w:rsidR="00803D28" w:rsidRPr="00AB1915">
        <w:rPr>
          <w:rFonts w:ascii="Times New Roman" w:hAnsi="Times New Roman" w:cs="Times New Roman"/>
        </w:rPr>
        <w:t xml:space="preserve"> Moreover, the extended duration </w:t>
      </w:r>
      <w:r w:rsidR="00A81D62">
        <w:rPr>
          <w:rFonts w:ascii="Times New Roman" w:hAnsi="Times New Roman" w:cs="Times New Roman"/>
        </w:rPr>
        <w:t xml:space="preserve">of </w:t>
      </w:r>
      <w:r w:rsidR="00803D28" w:rsidRPr="00AB1915">
        <w:rPr>
          <w:rFonts w:ascii="Times New Roman" w:hAnsi="Times New Roman" w:cs="Times New Roman"/>
        </w:rPr>
        <w:t xml:space="preserve">the proceeding will come at the expense of many other cases which are waiting </w:t>
      </w:r>
      <w:r w:rsidR="00084451" w:rsidRPr="00AB1915">
        <w:rPr>
          <w:rFonts w:ascii="Times New Roman" w:hAnsi="Times New Roman" w:cs="Times New Roman"/>
        </w:rPr>
        <w:t xml:space="preserve">for </w:t>
      </w:r>
      <w:r w:rsidR="00803D28" w:rsidRPr="00AB1915">
        <w:rPr>
          <w:rFonts w:ascii="Times New Roman" w:hAnsi="Times New Roman" w:cs="Times New Roman"/>
        </w:rPr>
        <w:t>their turn</w:t>
      </w:r>
      <w:r w:rsidR="00084451" w:rsidRPr="00AB1915">
        <w:rPr>
          <w:rFonts w:ascii="Times New Roman" w:hAnsi="Times New Roman" w:cs="Times New Roman"/>
        </w:rPr>
        <w:t xml:space="preserve"> in court</w:t>
      </w:r>
      <w:r w:rsidR="00803D28" w:rsidRPr="00AB1915">
        <w:rPr>
          <w:rFonts w:ascii="Times New Roman" w:hAnsi="Times New Roman" w:cs="Times New Roman"/>
        </w:rPr>
        <w:t>.</w:t>
      </w:r>
      <w:r w:rsidR="00084451" w:rsidRPr="00AB1915">
        <w:rPr>
          <w:rStyle w:val="FootnoteReference"/>
          <w:rFonts w:ascii="Times New Roman" w:hAnsi="Times New Roman" w:cs="Times New Roman"/>
        </w:rPr>
        <w:footnoteReference w:id="27"/>
      </w:r>
      <w:r w:rsidR="00803D28" w:rsidRPr="00AB1915">
        <w:rPr>
          <w:rFonts w:ascii="Times New Roman" w:hAnsi="Times New Roman" w:cs="Times New Roman"/>
        </w:rPr>
        <w:t xml:space="preserve"> Thus, </w:t>
      </w:r>
      <w:r w:rsidR="00C977A7" w:rsidRPr="00AB1915">
        <w:rPr>
          <w:rFonts w:ascii="Times New Roman" w:hAnsi="Times New Roman" w:cs="Times New Roman"/>
        </w:rPr>
        <w:t xml:space="preserve">even if it seems that the imposition of expenses is purely an act of compensation (as opposed to a punitive </w:t>
      </w:r>
      <w:r w:rsidR="002C0246">
        <w:rPr>
          <w:rFonts w:ascii="Times New Roman" w:hAnsi="Times New Roman" w:cs="Times New Roman"/>
        </w:rPr>
        <w:t xml:space="preserve">measure </w:t>
      </w:r>
      <w:r w:rsidR="00C977A7" w:rsidRPr="00AB1915">
        <w:rPr>
          <w:rFonts w:ascii="Times New Roman" w:hAnsi="Times New Roman" w:cs="Times New Roman"/>
        </w:rPr>
        <w:t xml:space="preserve">or </w:t>
      </w:r>
      <w:r w:rsidR="002C0246">
        <w:rPr>
          <w:rFonts w:ascii="Times New Roman" w:hAnsi="Times New Roman" w:cs="Times New Roman"/>
        </w:rPr>
        <w:t xml:space="preserve">an act of </w:t>
      </w:r>
      <w:r w:rsidR="00C977A7" w:rsidRPr="00AB1915">
        <w:rPr>
          <w:rFonts w:ascii="Times New Roman" w:hAnsi="Times New Roman" w:cs="Times New Roman"/>
        </w:rPr>
        <w:t xml:space="preserve">deterrence), the </w:t>
      </w:r>
      <w:r w:rsidR="00C977A7" w:rsidRPr="00AB1915">
        <w:rPr>
          <w:rFonts w:ascii="Times New Roman" w:hAnsi="Times New Roman" w:cs="Times New Roman"/>
        </w:rPr>
        <w:lastRenderedPageBreak/>
        <w:t xml:space="preserve">compensation that is </w:t>
      </w:r>
      <w:r w:rsidR="002C0246">
        <w:rPr>
          <w:rFonts w:ascii="Times New Roman" w:hAnsi="Times New Roman" w:cs="Times New Roman"/>
        </w:rPr>
        <w:t xml:space="preserve">usually awarded does not come lose to reflecting </w:t>
      </w:r>
      <w:r w:rsidR="00C977A7" w:rsidRPr="00AB1915">
        <w:rPr>
          <w:rFonts w:ascii="Times New Roman" w:hAnsi="Times New Roman" w:cs="Times New Roman"/>
        </w:rPr>
        <w:t xml:space="preserve">the </w:t>
      </w:r>
      <w:r w:rsidR="002C0246">
        <w:rPr>
          <w:rFonts w:ascii="Times New Roman" w:hAnsi="Times New Roman" w:cs="Times New Roman"/>
        </w:rPr>
        <w:t xml:space="preserve">true </w:t>
      </w:r>
      <w:r w:rsidR="00C977A7" w:rsidRPr="00AB1915">
        <w:rPr>
          <w:rFonts w:ascii="Times New Roman" w:hAnsi="Times New Roman" w:cs="Times New Roman"/>
        </w:rPr>
        <w:t>costs of the negligent or harmful behavior.</w:t>
      </w:r>
    </w:p>
    <w:p w14:paraId="3E8DC1AD" w14:textId="62743707" w:rsidR="00C977A7" w:rsidRPr="00AB1915" w:rsidRDefault="00C977A7" w:rsidP="005D257F">
      <w:pPr>
        <w:jc w:val="both"/>
        <w:rPr>
          <w:rFonts w:ascii="Times New Roman" w:hAnsi="Times New Roman" w:cs="Times New Roman"/>
        </w:rPr>
      </w:pPr>
      <w:r w:rsidRPr="00AB1915">
        <w:rPr>
          <w:rFonts w:ascii="Times New Roman" w:hAnsi="Times New Roman" w:cs="Times New Roman"/>
        </w:rPr>
        <w:t xml:space="preserve">An additional interesting aspect of the decisions that have been issued is that many of them are decisions in appeals </w:t>
      </w:r>
      <w:r w:rsidR="002C0246">
        <w:rPr>
          <w:rFonts w:ascii="Times New Roman" w:hAnsi="Times New Roman" w:cs="Times New Roman"/>
        </w:rPr>
        <w:t>brought</w:t>
      </w:r>
      <w:r w:rsidRPr="00AB1915">
        <w:rPr>
          <w:rFonts w:ascii="Times New Roman" w:hAnsi="Times New Roman" w:cs="Times New Roman"/>
        </w:rPr>
        <w:t xml:space="preserve"> </w:t>
      </w:r>
      <w:r w:rsidR="002C0246">
        <w:rPr>
          <w:rFonts w:ascii="Times New Roman" w:hAnsi="Times New Roman" w:cs="Times New Roman"/>
        </w:rPr>
        <w:t xml:space="preserve">by </w:t>
      </w:r>
      <w:r w:rsidR="009A67E7">
        <w:rPr>
          <w:rFonts w:ascii="Times New Roman" w:hAnsi="Times New Roman" w:cs="Times New Roman"/>
        </w:rPr>
        <w:t xml:space="preserve">right, by </w:t>
      </w:r>
      <w:r w:rsidR="002C0246">
        <w:rPr>
          <w:rFonts w:ascii="Times New Roman" w:hAnsi="Times New Roman" w:cs="Times New Roman"/>
        </w:rPr>
        <w:t xml:space="preserve">attorneys </w:t>
      </w:r>
      <w:r w:rsidR="009A67E7">
        <w:rPr>
          <w:rFonts w:ascii="Times New Roman" w:hAnsi="Times New Roman" w:cs="Times New Roman"/>
        </w:rPr>
        <w:t xml:space="preserve">seeking to overturn </w:t>
      </w:r>
      <w:r w:rsidR="001253FC" w:rsidRPr="00AB1915">
        <w:rPr>
          <w:rFonts w:ascii="Times New Roman" w:hAnsi="Times New Roman" w:cs="Times New Roman"/>
        </w:rPr>
        <w:t>rulings ordering them to pay expenses personally. In most of the</w:t>
      </w:r>
      <w:r w:rsidR="002C0246">
        <w:rPr>
          <w:rFonts w:ascii="Times New Roman" w:hAnsi="Times New Roman" w:cs="Times New Roman"/>
        </w:rPr>
        <w:t>se</w:t>
      </w:r>
      <w:r w:rsidR="001253FC" w:rsidRPr="00AB1915">
        <w:rPr>
          <w:rFonts w:ascii="Times New Roman" w:hAnsi="Times New Roman" w:cs="Times New Roman"/>
        </w:rPr>
        <w:t>, the appeal relate</w:t>
      </w:r>
      <w:r w:rsidR="002C0246">
        <w:rPr>
          <w:rFonts w:ascii="Times New Roman" w:hAnsi="Times New Roman" w:cs="Times New Roman"/>
        </w:rPr>
        <w:t>s</w:t>
      </w:r>
      <w:r w:rsidR="001253FC" w:rsidRPr="00AB1915">
        <w:rPr>
          <w:rFonts w:ascii="Times New Roman" w:hAnsi="Times New Roman" w:cs="Times New Roman"/>
        </w:rPr>
        <w:t xml:space="preserve"> specifically to the order imposing personal liability</w:t>
      </w:r>
      <w:r w:rsidR="002C0246">
        <w:rPr>
          <w:rFonts w:ascii="Times New Roman" w:hAnsi="Times New Roman" w:cs="Times New Roman"/>
        </w:rPr>
        <w:t>;</w:t>
      </w:r>
      <w:r w:rsidR="001253FC" w:rsidRPr="00AB1915">
        <w:rPr>
          <w:rFonts w:ascii="Times New Roman" w:hAnsi="Times New Roman" w:cs="Times New Roman"/>
        </w:rPr>
        <w:t xml:space="preserve"> in a few cases</w:t>
      </w:r>
      <w:r w:rsidR="002C0246">
        <w:rPr>
          <w:rFonts w:ascii="Times New Roman" w:hAnsi="Times New Roman" w:cs="Times New Roman"/>
        </w:rPr>
        <w:t>,</w:t>
      </w:r>
      <w:r w:rsidR="001253FC" w:rsidRPr="00AB1915">
        <w:rPr>
          <w:rFonts w:ascii="Times New Roman" w:hAnsi="Times New Roman" w:cs="Times New Roman"/>
        </w:rPr>
        <w:t xml:space="preserve"> the appeal relates to the amount of the expenses that the attorney </w:t>
      </w:r>
      <w:r w:rsidR="002C0246">
        <w:rPr>
          <w:rFonts w:ascii="Times New Roman" w:hAnsi="Times New Roman" w:cs="Times New Roman"/>
        </w:rPr>
        <w:t xml:space="preserve">has been </w:t>
      </w:r>
      <w:r w:rsidR="001253FC" w:rsidRPr="00AB1915">
        <w:rPr>
          <w:rFonts w:ascii="Times New Roman" w:hAnsi="Times New Roman" w:cs="Times New Roman"/>
        </w:rPr>
        <w:t>ordered to pay.</w:t>
      </w:r>
      <w:r w:rsidR="00084451" w:rsidRPr="00AB1915">
        <w:rPr>
          <w:rStyle w:val="FootnoteReference"/>
          <w:rFonts w:ascii="Times New Roman" w:hAnsi="Times New Roman" w:cs="Times New Roman"/>
        </w:rPr>
        <w:footnoteReference w:id="28"/>
      </w:r>
    </w:p>
    <w:p w14:paraId="15D20DDF" w14:textId="31320760" w:rsidR="001253FC" w:rsidRPr="00AB1915" w:rsidRDefault="001253FC" w:rsidP="00B260D8">
      <w:pPr>
        <w:jc w:val="both"/>
        <w:rPr>
          <w:rFonts w:ascii="Times New Roman" w:hAnsi="Times New Roman" w:cs="Times New Roman"/>
        </w:rPr>
      </w:pPr>
      <w:r w:rsidRPr="00AB1915">
        <w:rPr>
          <w:rFonts w:ascii="Times New Roman" w:hAnsi="Times New Roman" w:cs="Times New Roman"/>
        </w:rPr>
        <w:t>In light of the court’s tendency to order only an underpayment of expenses</w:t>
      </w:r>
      <w:r w:rsidR="002C0246">
        <w:rPr>
          <w:rFonts w:ascii="Times New Roman" w:hAnsi="Times New Roman" w:cs="Times New Roman"/>
        </w:rPr>
        <w:t>,</w:t>
      </w:r>
      <w:r w:rsidRPr="00AB1915">
        <w:rPr>
          <w:rFonts w:ascii="Times New Roman" w:hAnsi="Times New Roman" w:cs="Times New Roman"/>
        </w:rPr>
        <w:t xml:space="preserve"> </w:t>
      </w:r>
      <w:r w:rsidR="002C0246">
        <w:rPr>
          <w:rFonts w:ascii="Times New Roman" w:hAnsi="Times New Roman" w:cs="Times New Roman"/>
        </w:rPr>
        <w:t xml:space="preserve">and in view of </w:t>
      </w:r>
      <w:r w:rsidR="00AB3BE4" w:rsidRPr="00AB1915">
        <w:rPr>
          <w:rFonts w:ascii="Times New Roman" w:hAnsi="Times New Roman" w:cs="Times New Roman"/>
        </w:rPr>
        <w:t xml:space="preserve">the </w:t>
      </w:r>
      <w:r w:rsidR="002C0246">
        <w:rPr>
          <w:rFonts w:ascii="Times New Roman" w:hAnsi="Times New Roman" w:cs="Times New Roman"/>
        </w:rPr>
        <w:t xml:space="preserve">substantial </w:t>
      </w:r>
      <w:r w:rsidR="00AB3BE4" w:rsidRPr="00AB1915">
        <w:rPr>
          <w:rFonts w:ascii="Times New Roman" w:hAnsi="Times New Roman" w:cs="Times New Roman"/>
        </w:rPr>
        <w:t>financial resources</w:t>
      </w:r>
      <w:r w:rsidRPr="00AB1915">
        <w:rPr>
          <w:rFonts w:ascii="Times New Roman" w:hAnsi="Times New Roman" w:cs="Times New Roman"/>
        </w:rPr>
        <w:t xml:space="preserve"> </w:t>
      </w:r>
      <w:r w:rsidR="00AB3BE4" w:rsidRPr="00AB1915">
        <w:rPr>
          <w:rFonts w:ascii="Times New Roman" w:hAnsi="Times New Roman" w:cs="Times New Roman"/>
        </w:rPr>
        <w:t xml:space="preserve">of the average attorney, the motive for filing these appeals is not </w:t>
      </w:r>
      <w:r w:rsidR="002C0246">
        <w:rPr>
          <w:rFonts w:ascii="Times New Roman" w:hAnsi="Times New Roman" w:cs="Times New Roman"/>
        </w:rPr>
        <w:t xml:space="preserve">likely to be </w:t>
      </w:r>
      <w:r w:rsidR="00AB3BE4" w:rsidRPr="00AB1915">
        <w:rPr>
          <w:rFonts w:ascii="Times New Roman" w:hAnsi="Times New Roman" w:cs="Times New Roman"/>
        </w:rPr>
        <w:t>a matter of economics. We can presume that the attorneys who bring these appeals are concerned with their reputations, and with their overall perception among the general public, the courts and the legal community.</w:t>
      </w:r>
      <w:r w:rsidR="00084451" w:rsidRPr="00AB1915">
        <w:rPr>
          <w:rStyle w:val="FootnoteReference"/>
          <w:rFonts w:ascii="Times New Roman" w:hAnsi="Times New Roman" w:cs="Times New Roman"/>
        </w:rPr>
        <w:footnoteReference w:id="29"/>
      </w:r>
      <w:r w:rsidR="00AB3BE4" w:rsidRPr="00AB1915">
        <w:rPr>
          <w:rFonts w:ascii="Times New Roman" w:hAnsi="Times New Roman" w:cs="Times New Roman"/>
        </w:rPr>
        <w:t xml:space="preserve"> </w:t>
      </w:r>
      <w:r w:rsidR="002C0246">
        <w:rPr>
          <w:rFonts w:ascii="Times New Roman" w:hAnsi="Times New Roman" w:cs="Times New Roman"/>
        </w:rPr>
        <w:t xml:space="preserve">A court </w:t>
      </w:r>
      <w:r w:rsidR="00AB3BE4" w:rsidRPr="00AB1915">
        <w:rPr>
          <w:rFonts w:ascii="Times New Roman" w:hAnsi="Times New Roman" w:cs="Times New Roman"/>
        </w:rPr>
        <w:t>order</w:t>
      </w:r>
      <w:r w:rsidR="002C0246">
        <w:rPr>
          <w:rFonts w:ascii="Times New Roman" w:hAnsi="Times New Roman" w:cs="Times New Roman"/>
        </w:rPr>
        <w:t xml:space="preserve"> directing an attorney </w:t>
      </w:r>
      <w:r w:rsidR="00AB3BE4" w:rsidRPr="00AB1915">
        <w:rPr>
          <w:rFonts w:ascii="Times New Roman" w:hAnsi="Times New Roman" w:cs="Times New Roman"/>
        </w:rPr>
        <w:t xml:space="preserve">to personally pay expenses </w:t>
      </w:r>
      <w:r w:rsidR="002C0246">
        <w:rPr>
          <w:rFonts w:ascii="Times New Roman" w:hAnsi="Times New Roman" w:cs="Times New Roman"/>
        </w:rPr>
        <w:t xml:space="preserve">will have </w:t>
      </w:r>
      <w:r w:rsidR="00AB3BE4" w:rsidRPr="00AB1915">
        <w:rPr>
          <w:rFonts w:ascii="Times New Roman" w:hAnsi="Times New Roman" w:cs="Times New Roman"/>
        </w:rPr>
        <w:t>has a long</w:t>
      </w:r>
      <w:r w:rsidR="00240FDF" w:rsidRPr="00AB1915">
        <w:rPr>
          <w:rFonts w:ascii="Times New Roman" w:hAnsi="Times New Roman" w:cs="Times New Roman"/>
        </w:rPr>
        <w:t>-</w:t>
      </w:r>
      <w:r w:rsidR="00AB3BE4" w:rsidRPr="00AB1915">
        <w:rPr>
          <w:rFonts w:ascii="Times New Roman" w:hAnsi="Times New Roman" w:cs="Times New Roman"/>
        </w:rPr>
        <w:t>term consequence</w:t>
      </w:r>
      <w:r w:rsidR="00B260D8" w:rsidRPr="00AB1915">
        <w:rPr>
          <w:rFonts w:ascii="Times New Roman" w:hAnsi="Times New Roman" w:cs="Times New Roman"/>
        </w:rPr>
        <w:t>: an attorney ordered to pay expenses incurs not only a direct, if small (in the area of a few thousand shekels), financial cost –</w:t>
      </w:r>
      <w:r w:rsidR="002C0246">
        <w:rPr>
          <w:rFonts w:ascii="Times New Roman" w:hAnsi="Times New Roman" w:cs="Times New Roman"/>
        </w:rPr>
        <w:t xml:space="preserve"> </w:t>
      </w:r>
      <w:r w:rsidR="00B260D8" w:rsidRPr="00AB1915">
        <w:rPr>
          <w:rFonts w:ascii="Times New Roman" w:hAnsi="Times New Roman" w:cs="Times New Roman"/>
        </w:rPr>
        <w:t xml:space="preserve">he </w:t>
      </w:r>
      <w:r w:rsidR="002C0246">
        <w:rPr>
          <w:rFonts w:ascii="Times New Roman" w:hAnsi="Times New Roman" w:cs="Times New Roman"/>
        </w:rPr>
        <w:t xml:space="preserve">will </w:t>
      </w:r>
      <w:r w:rsidR="00B260D8" w:rsidRPr="00AB1915">
        <w:rPr>
          <w:rFonts w:ascii="Times New Roman" w:hAnsi="Times New Roman" w:cs="Times New Roman"/>
        </w:rPr>
        <w:t xml:space="preserve">also </w:t>
      </w:r>
      <w:r w:rsidR="002C0246">
        <w:rPr>
          <w:rFonts w:ascii="Times New Roman" w:hAnsi="Times New Roman" w:cs="Times New Roman"/>
        </w:rPr>
        <w:t xml:space="preserve">bear </w:t>
      </w:r>
      <w:r w:rsidR="00B260D8" w:rsidRPr="00AB1915">
        <w:rPr>
          <w:rFonts w:ascii="Times New Roman" w:hAnsi="Times New Roman" w:cs="Times New Roman"/>
        </w:rPr>
        <w:t>heavier indirect financial costs (in the form of clients leaving and cases being taken from him</w:t>
      </w:r>
      <w:r w:rsidR="009A67E7">
        <w:rPr>
          <w:rFonts w:ascii="Times New Roman" w:hAnsi="Times New Roman" w:cs="Times New Roman"/>
        </w:rPr>
        <w:t>)</w:t>
      </w:r>
      <w:r w:rsidR="002C0246">
        <w:rPr>
          <w:rFonts w:ascii="Times New Roman" w:hAnsi="Times New Roman" w:cs="Times New Roman"/>
        </w:rPr>
        <w:t>.</w:t>
      </w:r>
      <w:r w:rsidR="00B260D8" w:rsidRPr="00AB1915">
        <w:rPr>
          <w:rFonts w:ascii="Times New Roman" w:hAnsi="Times New Roman" w:cs="Times New Roman"/>
        </w:rPr>
        <w:t xml:space="preserve"> </w:t>
      </w:r>
      <w:r w:rsidR="002C0246">
        <w:rPr>
          <w:rFonts w:ascii="Times New Roman" w:hAnsi="Times New Roman" w:cs="Times New Roman"/>
        </w:rPr>
        <w:t xml:space="preserve">Lawyers facing such orders may also lose </w:t>
      </w:r>
      <w:r w:rsidR="00B260D8" w:rsidRPr="00AB1915">
        <w:rPr>
          <w:rFonts w:ascii="Times New Roman" w:hAnsi="Times New Roman" w:cs="Times New Roman"/>
        </w:rPr>
        <w:t xml:space="preserve">the ability to bring in new clients and </w:t>
      </w:r>
      <w:r w:rsidR="002C0246">
        <w:rPr>
          <w:rFonts w:ascii="Times New Roman" w:hAnsi="Times New Roman" w:cs="Times New Roman"/>
        </w:rPr>
        <w:t xml:space="preserve">face </w:t>
      </w:r>
      <w:r w:rsidR="00B260D8" w:rsidRPr="00AB1915">
        <w:rPr>
          <w:rFonts w:ascii="Times New Roman" w:hAnsi="Times New Roman" w:cs="Times New Roman"/>
        </w:rPr>
        <w:t xml:space="preserve">possible exposure to civil lawsuits and complaints to the bar associations ethics’ board, </w:t>
      </w:r>
      <w:r w:rsidR="002C0246">
        <w:rPr>
          <w:rFonts w:ascii="Times New Roman" w:hAnsi="Times New Roman" w:cs="Times New Roman"/>
        </w:rPr>
        <w:t xml:space="preserve">both </w:t>
      </w:r>
      <w:r w:rsidR="00B260D8" w:rsidRPr="00AB1915">
        <w:rPr>
          <w:rFonts w:ascii="Times New Roman" w:hAnsi="Times New Roman" w:cs="Times New Roman"/>
        </w:rPr>
        <w:t>from clients and third parties. Other than one “serial” appellant, who has used the appellate courts frequently over the years,</w:t>
      </w:r>
      <w:r w:rsidR="00084451" w:rsidRPr="00AB1915">
        <w:rPr>
          <w:rStyle w:val="FootnoteReference"/>
          <w:rFonts w:ascii="Times New Roman" w:hAnsi="Times New Roman" w:cs="Times New Roman"/>
        </w:rPr>
        <w:footnoteReference w:id="30"/>
      </w:r>
      <w:r w:rsidR="00B260D8" w:rsidRPr="00AB1915">
        <w:rPr>
          <w:rFonts w:ascii="Times New Roman" w:hAnsi="Times New Roman" w:cs="Times New Roman"/>
        </w:rPr>
        <w:t xml:space="preserve"> it appears that most of the attorneys making these appeals do not do so because of any particular attraction to the appeal process. </w:t>
      </w:r>
      <w:r w:rsidR="00250B38">
        <w:rPr>
          <w:rFonts w:ascii="Times New Roman" w:hAnsi="Times New Roman" w:cs="Times New Roman"/>
        </w:rPr>
        <w:t>Additionally</w:t>
      </w:r>
      <w:r w:rsidR="00B260D8" w:rsidRPr="00AB1915">
        <w:rPr>
          <w:rFonts w:ascii="Times New Roman" w:hAnsi="Times New Roman" w:cs="Times New Roman"/>
        </w:rPr>
        <w:t>, the court</w:t>
      </w:r>
      <w:r w:rsidR="0063007A">
        <w:rPr>
          <w:rFonts w:ascii="Times New Roman" w:hAnsi="Times New Roman" w:cs="Times New Roman"/>
        </w:rPr>
        <w:t>s’</w:t>
      </w:r>
      <w:r w:rsidR="00B260D8" w:rsidRPr="00AB1915">
        <w:rPr>
          <w:rFonts w:ascii="Times New Roman" w:hAnsi="Times New Roman" w:cs="Times New Roman"/>
        </w:rPr>
        <w:t xml:space="preserve"> increased willingness to </w:t>
      </w:r>
      <w:r w:rsidR="0063007A">
        <w:rPr>
          <w:rFonts w:ascii="Times New Roman" w:hAnsi="Times New Roman" w:cs="Times New Roman"/>
        </w:rPr>
        <w:t>grant</w:t>
      </w:r>
      <w:r w:rsidR="00B260D8" w:rsidRPr="00AB1915">
        <w:rPr>
          <w:rFonts w:ascii="Times New Roman" w:hAnsi="Times New Roman" w:cs="Times New Roman"/>
        </w:rPr>
        <w:t xml:space="preserve"> most of these appeals </w:t>
      </w:r>
      <w:r w:rsidR="00B260D8" w:rsidRPr="00250B38">
        <w:rPr>
          <w:rFonts w:ascii="Times New Roman" w:hAnsi="Times New Roman" w:cs="Times New Roman"/>
        </w:rPr>
        <w:t xml:space="preserve">and to cancel the </w:t>
      </w:r>
      <w:r w:rsidR="00250B38" w:rsidRPr="00250B38">
        <w:rPr>
          <w:rFonts w:ascii="Times New Roman" w:hAnsi="Times New Roman" w:cs="Times New Roman"/>
        </w:rPr>
        <w:t xml:space="preserve">original </w:t>
      </w:r>
      <w:r w:rsidR="00B260D8" w:rsidRPr="00250B38">
        <w:rPr>
          <w:rFonts w:ascii="Times New Roman" w:hAnsi="Times New Roman" w:cs="Times New Roman"/>
        </w:rPr>
        <w:t>order</w:t>
      </w:r>
      <w:r w:rsidR="00250B38" w:rsidRPr="00250B38">
        <w:rPr>
          <w:rFonts w:ascii="Times New Roman" w:hAnsi="Times New Roman" w:cs="Times New Roman"/>
        </w:rPr>
        <w:t>s</w:t>
      </w:r>
      <w:r w:rsidR="00B260D8" w:rsidRPr="00250B38">
        <w:rPr>
          <w:rFonts w:ascii="Times New Roman" w:hAnsi="Times New Roman" w:cs="Times New Roman"/>
        </w:rPr>
        <w:t xml:space="preserve"> to pay</w:t>
      </w:r>
      <w:r w:rsidR="00B260D8" w:rsidRPr="0063007A">
        <w:rPr>
          <w:rFonts w:ascii="Times New Roman" w:hAnsi="Times New Roman" w:cs="Times New Roman"/>
          <w:i/>
          <w:iCs/>
        </w:rPr>
        <w:t xml:space="preserve"> </w:t>
      </w:r>
      <w:r w:rsidR="00B260D8" w:rsidRPr="00AB1915">
        <w:rPr>
          <w:rFonts w:ascii="Times New Roman" w:hAnsi="Times New Roman" w:cs="Times New Roman"/>
        </w:rPr>
        <w:t>indicate</w:t>
      </w:r>
      <w:r w:rsidR="0063007A">
        <w:rPr>
          <w:rFonts w:ascii="Times New Roman" w:hAnsi="Times New Roman" w:cs="Times New Roman"/>
        </w:rPr>
        <w:t>s,</w:t>
      </w:r>
      <w:r w:rsidR="00B260D8" w:rsidRPr="00AB1915">
        <w:rPr>
          <w:rFonts w:ascii="Times New Roman" w:hAnsi="Times New Roman" w:cs="Times New Roman"/>
        </w:rPr>
        <w:t xml:space="preserve"> </w:t>
      </w:r>
      <w:r w:rsidR="0063007A">
        <w:rPr>
          <w:rFonts w:ascii="Times New Roman" w:hAnsi="Times New Roman" w:cs="Times New Roman"/>
        </w:rPr>
        <w:t xml:space="preserve">perhaps, </w:t>
      </w:r>
      <w:r w:rsidR="00B260D8" w:rsidRPr="00AB1915">
        <w:rPr>
          <w:rFonts w:ascii="Times New Roman" w:hAnsi="Times New Roman" w:cs="Times New Roman"/>
        </w:rPr>
        <w:t>that</w:t>
      </w:r>
      <w:r w:rsidR="0063007A">
        <w:rPr>
          <w:rFonts w:ascii="Times New Roman" w:hAnsi="Times New Roman" w:cs="Times New Roman"/>
        </w:rPr>
        <w:t xml:space="preserve"> these appeals</w:t>
      </w:r>
      <w:r w:rsidR="00B260D8" w:rsidRPr="00AB1915">
        <w:rPr>
          <w:rFonts w:ascii="Times New Roman" w:hAnsi="Times New Roman" w:cs="Times New Roman"/>
        </w:rPr>
        <w:t xml:space="preserve"> </w:t>
      </w:r>
      <w:r w:rsidR="00B25569" w:rsidRPr="00AB1915">
        <w:rPr>
          <w:rFonts w:ascii="Times New Roman" w:hAnsi="Times New Roman" w:cs="Times New Roman"/>
        </w:rPr>
        <w:t xml:space="preserve">are </w:t>
      </w:r>
      <w:r w:rsidR="0063007A">
        <w:rPr>
          <w:rFonts w:ascii="Times New Roman" w:hAnsi="Times New Roman" w:cs="Times New Roman"/>
        </w:rPr>
        <w:t xml:space="preserve">based on </w:t>
      </w:r>
      <w:r w:rsidR="00B25569" w:rsidRPr="00AB1915">
        <w:rPr>
          <w:rFonts w:ascii="Times New Roman" w:hAnsi="Times New Roman" w:cs="Times New Roman"/>
        </w:rPr>
        <w:t>legitimate grounds for appeal, of the kind that attorneys</w:t>
      </w:r>
      <w:r w:rsidR="00250B38">
        <w:rPr>
          <w:rFonts w:ascii="Times New Roman" w:hAnsi="Times New Roman" w:cs="Times New Roman"/>
        </w:rPr>
        <w:t xml:space="preserve"> are generally</w:t>
      </w:r>
      <w:r w:rsidR="00B25569" w:rsidRPr="00AB1915">
        <w:rPr>
          <w:rFonts w:ascii="Times New Roman" w:hAnsi="Times New Roman" w:cs="Times New Roman"/>
        </w:rPr>
        <w:t xml:space="preserve"> able to identify easily.</w:t>
      </w:r>
    </w:p>
    <w:p w14:paraId="1FAC582D" w14:textId="3B864947" w:rsidR="00B25569" w:rsidRPr="00AB1915" w:rsidRDefault="00B25569" w:rsidP="00B260D8">
      <w:pPr>
        <w:jc w:val="both"/>
        <w:rPr>
          <w:rFonts w:ascii="Times New Roman" w:hAnsi="Times New Roman" w:cs="Times New Roman"/>
          <w:b/>
          <w:bCs/>
          <w:u w:val="single"/>
        </w:rPr>
      </w:pPr>
      <w:r w:rsidRPr="00AB1915">
        <w:rPr>
          <w:rFonts w:ascii="Times New Roman" w:hAnsi="Times New Roman" w:cs="Times New Roman"/>
          <w:b/>
          <w:bCs/>
          <w:u w:val="single"/>
        </w:rPr>
        <w:t xml:space="preserve">The </w:t>
      </w:r>
      <w:r w:rsidR="007A0640" w:rsidRPr="00AB1915">
        <w:rPr>
          <w:rFonts w:ascii="Times New Roman" w:hAnsi="Times New Roman" w:cs="Times New Roman"/>
          <w:b/>
          <w:bCs/>
          <w:u w:val="single"/>
        </w:rPr>
        <w:t>place</w:t>
      </w:r>
      <w:r w:rsidRPr="00AB1915">
        <w:rPr>
          <w:rFonts w:ascii="Times New Roman" w:hAnsi="Times New Roman" w:cs="Times New Roman"/>
          <w:b/>
          <w:bCs/>
          <w:u w:val="single"/>
        </w:rPr>
        <w:t xml:space="preserve"> of th</w:t>
      </w:r>
      <w:r w:rsidR="00250B38">
        <w:rPr>
          <w:rFonts w:ascii="Times New Roman" w:hAnsi="Times New Roman" w:cs="Times New Roman"/>
          <w:b/>
          <w:bCs/>
          <w:u w:val="single"/>
        </w:rPr>
        <w:t>is</w:t>
      </w:r>
      <w:r w:rsidRPr="00AB1915">
        <w:rPr>
          <w:rFonts w:ascii="Times New Roman" w:hAnsi="Times New Roman" w:cs="Times New Roman"/>
          <w:b/>
          <w:bCs/>
          <w:u w:val="single"/>
        </w:rPr>
        <w:t xml:space="preserve"> research with</w:t>
      </w:r>
      <w:r w:rsidR="003A4AD1">
        <w:rPr>
          <w:rFonts w:ascii="Times New Roman" w:hAnsi="Times New Roman" w:cs="Times New Roman"/>
          <w:b/>
          <w:bCs/>
          <w:u w:val="single"/>
        </w:rPr>
        <w:t>in</w:t>
      </w:r>
      <w:r w:rsidRPr="00AB1915">
        <w:rPr>
          <w:rFonts w:ascii="Times New Roman" w:hAnsi="Times New Roman" w:cs="Times New Roman"/>
          <w:b/>
          <w:bCs/>
          <w:u w:val="single"/>
        </w:rPr>
        <w:t xml:space="preserve"> Israeli academic literature </w:t>
      </w:r>
    </w:p>
    <w:p w14:paraId="17A7EB81" w14:textId="4F7E953A" w:rsidR="00AB3BE4" w:rsidRPr="00AB1915" w:rsidRDefault="00E307A2" w:rsidP="001253FC">
      <w:pPr>
        <w:jc w:val="both"/>
        <w:rPr>
          <w:rFonts w:ascii="Times New Roman" w:hAnsi="Times New Roman" w:cs="Times New Roman"/>
        </w:rPr>
      </w:pPr>
      <w:r w:rsidRPr="00AB1915">
        <w:rPr>
          <w:rFonts w:ascii="Times New Roman" w:hAnsi="Times New Roman" w:cs="Times New Roman"/>
        </w:rPr>
        <w:t>As of the time of the writing of this paper, and in contrast to the extensive empirical research characterizing the American literature on this issue,</w:t>
      </w:r>
      <w:r w:rsidR="00084451" w:rsidRPr="00AB1915">
        <w:rPr>
          <w:rStyle w:val="FootnoteReference"/>
          <w:rFonts w:ascii="Times New Roman" w:hAnsi="Times New Roman" w:cs="Times New Roman"/>
        </w:rPr>
        <w:footnoteReference w:id="31"/>
      </w:r>
      <w:r w:rsidRPr="00AB1915">
        <w:rPr>
          <w:rFonts w:ascii="Times New Roman" w:hAnsi="Times New Roman" w:cs="Times New Roman"/>
        </w:rPr>
        <w:t xml:space="preserve"> no </w:t>
      </w:r>
      <w:r w:rsidR="00250B38">
        <w:rPr>
          <w:rFonts w:ascii="Times New Roman" w:hAnsi="Times New Roman" w:cs="Times New Roman"/>
        </w:rPr>
        <w:t>comparable</w:t>
      </w:r>
      <w:r w:rsidRPr="00AB1915">
        <w:rPr>
          <w:rFonts w:ascii="Times New Roman" w:hAnsi="Times New Roman" w:cs="Times New Roman"/>
        </w:rPr>
        <w:t xml:space="preserve"> study has been </w:t>
      </w:r>
      <w:r w:rsidR="00250B38">
        <w:rPr>
          <w:rFonts w:ascii="Times New Roman" w:hAnsi="Times New Roman" w:cs="Times New Roman"/>
        </w:rPr>
        <w:t xml:space="preserve">conducted </w:t>
      </w:r>
      <w:r w:rsidRPr="00AB1915">
        <w:rPr>
          <w:rFonts w:ascii="Times New Roman" w:hAnsi="Times New Roman" w:cs="Times New Roman"/>
        </w:rPr>
        <w:t xml:space="preserve">in Israel regarding the frequency </w:t>
      </w:r>
      <w:r w:rsidR="00250B38">
        <w:rPr>
          <w:rFonts w:ascii="Times New Roman" w:hAnsi="Times New Roman" w:cs="Times New Roman"/>
        </w:rPr>
        <w:t>and</w:t>
      </w:r>
      <w:r w:rsidRPr="00AB1915">
        <w:rPr>
          <w:rFonts w:ascii="Times New Roman" w:hAnsi="Times New Roman" w:cs="Times New Roman"/>
        </w:rPr>
        <w:t xml:space="preserve"> costs of frivolous litigation, however </w:t>
      </w:r>
      <w:r w:rsidR="00250B38">
        <w:rPr>
          <w:rFonts w:ascii="Times New Roman" w:hAnsi="Times New Roman" w:cs="Times New Roman"/>
        </w:rPr>
        <w:t xml:space="preserve">that term </w:t>
      </w:r>
      <w:r w:rsidRPr="00AB1915">
        <w:rPr>
          <w:rFonts w:ascii="Times New Roman" w:hAnsi="Times New Roman" w:cs="Times New Roman"/>
        </w:rPr>
        <w:t>is defined. Nevertheless, while the scope of the phenomenon is at this point unclear, a review of a sampl</w:t>
      </w:r>
      <w:r w:rsidR="00250B38">
        <w:rPr>
          <w:rFonts w:ascii="Times New Roman" w:hAnsi="Times New Roman" w:cs="Times New Roman"/>
        </w:rPr>
        <w:t>ing</w:t>
      </w:r>
      <w:r w:rsidRPr="00AB1915">
        <w:rPr>
          <w:rFonts w:ascii="Times New Roman" w:hAnsi="Times New Roman" w:cs="Times New Roman"/>
        </w:rPr>
        <w:t xml:space="preserve"> of </w:t>
      </w:r>
      <w:r w:rsidR="00250B38">
        <w:rPr>
          <w:rFonts w:ascii="Times New Roman" w:hAnsi="Times New Roman" w:cs="Times New Roman"/>
        </w:rPr>
        <w:t xml:space="preserve">the case law from </w:t>
      </w:r>
      <w:r w:rsidRPr="00AB1915">
        <w:rPr>
          <w:rFonts w:ascii="Times New Roman" w:hAnsi="Times New Roman" w:cs="Times New Roman"/>
        </w:rPr>
        <w:t xml:space="preserve">the various levels of Israeli courts shows that it is a recognizable and continuing </w:t>
      </w:r>
      <w:r w:rsidR="009F016C" w:rsidRPr="00AB1915">
        <w:rPr>
          <w:rFonts w:ascii="Times New Roman" w:hAnsi="Times New Roman" w:cs="Times New Roman"/>
        </w:rPr>
        <w:t>development, at least as reflected in the remarks of Israeli judges.</w:t>
      </w:r>
      <w:r w:rsidR="00084451" w:rsidRPr="00AB1915">
        <w:rPr>
          <w:rStyle w:val="FootnoteReference"/>
          <w:rFonts w:ascii="Times New Roman" w:hAnsi="Times New Roman" w:cs="Times New Roman"/>
        </w:rPr>
        <w:footnoteReference w:id="32"/>
      </w:r>
    </w:p>
    <w:p w14:paraId="340BEF53" w14:textId="18DC4298" w:rsidR="00A915F8" w:rsidRPr="00AB1915" w:rsidRDefault="009F016C" w:rsidP="001253FC">
      <w:pPr>
        <w:jc w:val="both"/>
        <w:rPr>
          <w:rFonts w:ascii="Times New Roman" w:hAnsi="Times New Roman" w:cs="Times New Roman"/>
        </w:rPr>
      </w:pPr>
      <w:r w:rsidRPr="00AB1915">
        <w:rPr>
          <w:rFonts w:ascii="Times New Roman" w:hAnsi="Times New Roman" w:cs="Times New Roman"/>
        </w:rPr>
        <w:t>The survey of the case law</w:t>
      </w:r>
      <w:r w:rsidR="007A0640" w:rsidRPr="00AB1915">
        <w:rPr>
          <w:rFonts w:ascii="Times New Roman" w:hAnsi="Times New Roman" w:cs="Times New Roman"/>
        </w:rPr>
        <w:t xml:space="preserve"> described above</w:t>
      </w:r>
      <w:r w:rsidRPr="00AB1915">
        <w:rPr>
          <w:rFonts w:ascii="Times New Roman" w:hAnsi="Times New Roman" w:cs="Times New Roman"/>
        </w:rPr>
        <w:t xml:space="preserve"> constitutes </w:t>
      </w:r>
      <w:r w:rsidR="00250B38">
        <w:rPr>
          <w:rFonts w:ascii="Times New Roman" w:hAnsi="Times New Roman" w:cs="Times New Roman"/>
        </w:rPr>
        <w:t>an unprecedented</w:t>
      </w:r>
      <w:r w:rsidRPr="00AB1915">
        <w:rPr>
          <w:rFonts w:ascii="Times New Roman" w:hAnsi="Times New Roman" w:cs="Times New Roman"/>
        </w:rPr>
        <w:t xml:space="preserve"> attempt, within Israeli academic literature, to </w:t>
      </w:r>
      <w:r w:rsidR="009D1E09">
        <w:rPr>
          <w:rFonts w:ascii="Times New Roman" w:hAnsi="Times New Roman" w:cs="Times New Roman"/>
        </w:rPr>
        <w:t>evaluate</w:t>
      </w:r>
      <w:r w:rsidRPr="00AB1915">
        <w:rPr>
          <w:rFonts w:ascii="Times New Roman" w:hAnsi="Times New Roman" w:cs="Times New Roman"/>
        </w:rPr>
        <w:t xml:space="preserve"> the position taken by the Israeli courts </w:t>
      </w:r>
      <w:r w:rsidR="009D1E09">
        <w:rPr>
          <w:rFonts w:ascii="Times New Roman" w:hAnsi="Times New Roman" w:cs="Times New Roman"/>
        </w:rPr>
        <w:t>regarding</w:t>
      </w:r>
      <w:r w:rsidRPr="00AB1915">
        <w:rPr>
          <w:rFonts w:ascii="Times New Roman" w:hAnsi="Times New Roman" w:cs="Times New Roman"/>
        </w:rPr>
        <w:t xml:space="preserve"> </w:t>
      </w:r>
      <w:r w:rsidR="009D1E09">
        <w:rPr>
          <w:rFonts w:ascii="Times New Roman" w:hAnsi="Times New Roman" w:cs="Times New Roman"/>
        </w:rPr>
        <w:t xml:space="preserve">lawsuits </w:t>
      </w:r>
      <w:r w:rsidRPr="00AB1915">
        <w:rPr>
          <w:rFonts w:ascii="Times New Roman" w:hAnsi="Times New Roman" w:cs="Times New Roman"/>
        </w:rPr>
        <w:t xml:space="preserve">that the </w:t>
      </w:r>
      <w:r w:rsidR="009D1E09">
        <w:rPr>
          <w:rFonts w:ascii="Times New Roman" w:hAnsi="Times New Roman" w:cs="Times New Roman"/>
        </w:rPr>
        <w:t xml:space="preserve">relevant </w:t>
      </w:r>
      <w:r w:rsidRPr="00AB1915">
        <w:rPr>
          <w:rFonts w:ascii="Times New Roman" w:hAnsi="Times New Roman" w:cs="Times New Roman"/>
        </w:rPr>
        <w:t xml:space="preserve">judges </w:t>
      </w:r>
      <w:r w:rsidR="009D1E09">
        <w:rPr>
          <w:rFonts w:ascii="Times New Roman" w:hAnsi="Times New Roman" w:cs="Times New Roman"/>
        </w:rPr>
        <w:t xml:space="preserve">do not </w:t>
      </w:r>
      <w:r w:rsidRPr="00AB1915">
        <w:rPr>
          <w:rFonts w:ascii="Times New Roman" w:hAnsi="Times New Roman" w:cs="Times New Roman"/>
        </w:rPr>
        <w:t xml:space="preserve">believe should </w:t>
      </w:r>
      <w:r w:rsidR="009D1E09">
        <w:rPr>
          <w:rFonts w:ascii="Times New Roman" w:hAnsi="Times New Roman" w:cs="Times New Roman"/>
        </w:rPr>
        <w:t xml:space="preserve">ever </w:t>
      </w:r>
      <w:r w:rsidRPr="00AB1915">
        <w:rPr>
          <w:rFonts w:ascii="Times New Roman" w:hAnsi="Times New Roman" w:cs="Times New Roman"/>
        </w:rPr>
        <w:t xml:space="preserve">have been </w:t>
      </w:r>
      <w:r w:rsidR="009D1E09">
        <w:rPr>
          <w:rFonts w:ascii="Times New Roman" w:hAnsi="Times New Roman" w:cs="Times New Roman"/>
        </w:rPr>
        <w:t>filed</w:t>
      </w:r>
      <w:r w:rsidRPr="00AB1915">
        <w:rPr>
          <w:rFonts w:ascii="Times New Roman" w:hAnsi="Times New Roman" w:cs="Times New Roman"/>
        </w:rPr>
        <w:t xml:space="preserve">. Because of the need to have legal representation in </w:t>
      </w:r>
      <w:r w:rsidR="009D1E09">
        <w:rPr>
          <w:rFonts w:ascii="Times New Roman" w:hAnsi="Times New Roman" w:cs="Times New Roman"/>
        </w:rPr>
        <w:t xml:space="preserve">the </w:t>
      </w:r>
      <w:r w:rsidRPr="00AB1915">
        <w:rPr>
          <w:rFonts w:ascii="Times New Roman" w:hAnsi="Times New Roman" w:cs="Times New Roman"/>
        </w:rPr>
        <w:t>legal proceedings</w:t>
      </w:r>
      <w:r w:rsidR="009D1E09">
        <w:rPr>
          <w:rFonts w:ascii="Times New Roman" w:hAnsi="Times New Roman" w:cs="Times New Roman"/>
        </w:rPr>
        <w:t>,</w:t>
      </w:r>
      <w:r w:rsidRPr="00AB1915">
        <w:rPr>
          <w:rFonts w:ascii="Times New Roman" w:hAnsi="Times New Roman" w:cs="Times New Roman"/>
        </w:rPr>
        <w:t xml:space="preserve"> and because of the role that the attorney plays in making the decision of whether and how to </w:t>
      </w:r>
      <w:r w:rsidR="009D1E09">
        <w:rPr>
          <w:rFonts w:ascii="Times New Roman" w:hAnsi="Times New Roman" w:cs="Times New Roman"/>
        </w:rPr>
        <w:t>conduct</w:t>
      </w:r>
      <w:r w:rsidRPr="00AB1915">
        <w:rPr>
          <w:rFonts w:ascii="Times New Roman" w:hAnsi="Times New Roman" w:cs="Times New Roman"/>
        </w:rPr>
        <w:t xml:space="preserve"> a proceeding, </w:t>
      </w:r>
      <w:r w:rsidR="009D1E09">
        <w:rPr>
          <w:rFonts w:ascii="Times New Roman" w:hAnsi="Times New Roman" w:cs="Times New Roman"/>
        </w:rPr>
        <w:t>the key focus is on</w:t>
      </w:r>
      <w:r w:rsidRPr="00AB1915">
        <w:rPr>
          <w:rFonts w:ascii="Times New Roman" w:hAnsi="Times New Roman" w:cs="Times New Roman"/>
        </w:rPr>
        <w:t xml:space="preserve"> those cases in which courts have discussed the matter of making </w:t>
      </w:r>
      <w:r w:rsidRPr="00AB1915">
        <w:rPr>
          <w:rFonts w:ascii="Times New Roman" w:hAnsi="Times New Roman" w:cs="Times New Roman"/>
        </w:rPr>
        <w:lastRenderedPageBreak/>
        <w:t>the litigants’ attorneys personally responsible for the payment of court expenses.  The intersection of two parameters – frivolous litigation and the imposition of court expenses on attorneys, personally</w:t>
      </w:r>
      <w:r w:rsidR="00A915F8" w:rsidRPr="00AB1915">
        <w:rPr>
          <w:rFonts w:ascii="Times New Roman" w:hAnsi="Times New Roman" w:cs="Times New Roman"/>
        </w:rPr>
        <w:t xml:space="preserve"> – leads to the following conclusion: while Israeli courts </w:t>
      </w:r>
      <w:r w:rsidR="009D1E09">
        <w:rPr>
          <w:rFonts w:ascii="Times New Roman" w:hAnsi="Times New Roman" w:cs="Times New Roman"/>
        </w:rPr>
        <w:t xml:space="preserve">have </w:t>
      </w:r>
      <w:r w:rsidR="00A915F8" w:rsidRPr="00AB1915">
        <w:rPr>
          <w:rFonts w:ascii="Times New Roman" w:hAnsi="Times New Roman" w:cs="Times New Roman"/>
        </w:rPr>
        <w:t>never impose</w:t>
      </w:r>
      <w:r w:rsidR="009D1E09">
        <w:rPr>
          <w:rFonts w:ascii="Times New Roman" w:hAnsi="Times New Roman" w:cs="Times New Roman"/>
        </w:rPr>
        <w:t>d</w:t>
      </w:r>
      <w:r w:rsidR="00A915F8" w:rsidRPr="00AB1915">
        <w:rPr>
          <w:rFonts w:ascii="Times New Roman" w:hAnsi="Times New Roman" w:cs="Times New Roman"/>
        </w:rPr>
        <w:t xml:space="preserve"> </w:t>
      </w:r>
      <w:r w:rsidR="009D1E09">
        <w:rPr>
          <w:rFonts w:ascii="Times New Roman" w:hAnsi="Times New Roman" w:cs="Times New Roman"/>
        </w:rPr>
        <w:t xml:space="preserve">personal liability </w:t>
      </w:r>
      <w:r w:rsidR="00A915F8" w:rsidRPr="00AB1915">
        <w:rPr>
          <w:rFonts w:ascii="Times New Roman" w:hAnsi="Times New Roman" w:cs="Times New Roman"/>
        </w:rPr>
        <w:t xml:space="preserve">on attorneys </w:t>
      </w:r>
      <w:r w:rsidR="009D1E09">
        <w:rPr>
          <w:rFonts w:ascii="Times New Roman" w:hAnsi="Times New Roman" w:cs="Times New Roman"/>
        </w:rPr>
        <w:t xml:space="preserve">for court expenses in a </w:t>
      </w:r>
      <w:r w:rsidR="00A915F8" w:rsidRPr="00AB1915">
        <w:rPr>
          <w:rFonts w:ascii="Times New Roman" w:hAnsi="Times New Roman" w:cs="Times New Roman"/>
        </w:rPr>
        <w:t xml:space="preserve">“frivolous lawsuit”, the Israeli </w:t>
      </w:r>
      <w:r w:rsidR="009D1E09">
        <w:rPr>
          <w:rFonts w:ascii="Times New Roman" w:hAnsi="Times New Roman" w:cs="Times New Roman"/>
        </w:rPr>
        <w:t xml:space="preserve">courts do not have a consistent position concerning </w:t>
      </w:r>
      <w:r w:rsidR="00A915F8" w:rsidRPr="00AB1915">
        <w:rPr>
          <w:rFonts w:ascii="Times New Roman" w:hAnsi="Times New Roman" w:cs="Times New Roman"/>
        </w:rPr>
        <w:t xml:space="preserve">the question </w:t>
      </w:r>
      <w:r w:rsidR="009D1E09">
        <w:rPr>
          <w:rFonts w:ascii="Times New Roman" w:hAnsi="Times New Roman" w:cs="Times New Roman"/>
        </w:rPr>
        <w:t xml:space="preserve">they have the </w:t>
      </w:r>
      <w:r w:rsidR="00A915F8" w:rsidRPr="00AB1915">
        <w:rPr>
          <w:rFonts w:ascii="Times New Roman" w:hAnsi="Times New Roman" w:cs="Times New Roman"/>
        </w:rPr>
        <w:t>inherent authority</w:t>
      </w:r>
      <w:r w:rsidR="009D1E09">
        <w:rPr>
          <w:rFonts w:ascii="Times New Roman" w:hAnsi="Times New Roman" w:cs="Times New Roman"/>
        </w:rPr>
        <w:t xml:space="preserve"> to impose such liability</w:t>
      </w:r>
      <w:r w:rsidR="00A915F8" w:rsidRPr="00AB1915">
        <w:rPr>
          <w:rFonts w:ascii="Times New Roman" w:hAnsi="Times New Roman" w:cs="Times New Roman"/>
        </w:rPr>
        <w:t>.</w:t>
      </w:r>
    </w:p>
    <w:p w14:paraId="60204EB7" w14:textId="55C0F7E9" w:rsidR="009F016C" w:rsidRPr="00AB1915" w:rsidRDefault="00A915F8" w:rsidP="00580AEC">
      <w:pPr>
        <w:jc w:val="both"/>
        <w:rPr>
          <w:rFonts w:ascii="Times New Roman" w:hAnsi="Times New Roman" w:cs="Times New Roman"/>
          <w:lang w:val="en-GB"/>
        </w:rPr>
      </w:pPr>
      <w:r w:rsidRPr="00AB1915">
        <w:rPr>
          <w:rFonts w:ascii="Times New Roman" w:hAnsi="Times New Roman" w:cs="Times New Roman"/>
        </w:rPr>
        <w:t xml:space="preserve">This leads to the </w:t>
      </w:r>
      <w:r w:rsidR="00580AEC">
        <w:rPr>
          <w:rFonts w:ascii="Times New Roman" w:hAnsi="Times New Roman" w:cs="Times New Roman"/>
        </w:rPr>
        <w:t>point that more</w:t>
      </w:r>
      <w:r w:rsidRPr="00AB1915">
        <w:rPr>
          <w:rFonts w:ascii="Times New Roman" w:hAnsi="Times New Roman" w:cs="Times New Roman"/>
        </w:rPr>
        <w:t xml:space="preserve"> academic </w:t>
      </w:r>
      <w:r w:rsidR="00580AEC">
        <w:rPr>
          <w:rFonts w:ascii="Times New Roman" w:hAnsi="Times New Roman" w:cs="Times New Roman"/>
        </w:rPr>
        <w:t xml:space="preserve">analysis of the issue is needed </w:t>
      </w:r>
      <w:r w:rsidRPr="00AB1915">
        <w:rPr>
          <w:rFonts w:ascii="Times New Roman" w:hAnsi="Times New Roman" w:cs="Times New Roman"/>
        </w:rPr>
        <w:t xml:space="preserve">in Israel. What is particularly needed is empirical study, of the kind that will help the Israeli legal system formulate a sophisticated position regarding the matter. </w:t>
      </w:r>
      <w:r w:rsidR="00580AEC">
        <w:rPr>
          <w:rFonts w:ascii="Times New Roman" w:hAnsi="Times New Roman" w:cs="Times New Roman"/>
        </w:rPr>
        <w:t>Research</w:t>
      </w:r>
      <w:r w:rsidRPr="00AB1915">
        <w:rPr>
          <w:rFonts w:ascii="Times New Roman" w:hAnsi="Times New Roman" w:cs="Times New Roman"/>
        </w:rPr>
        <w:t xml:space="preserve"> </w:t>
      </w:r>
      <w:r w:rsidR="004957B9" w:rsidRPr="00AB1915">
        <w:rPr>
          <w:rFonts w:ascii="Times New Roman" w:hAnsi="Times New Roman" w:cs="Times New Roman"/>
        </w:rPr>
        <w:t xml:space="preserve">of this sort can </w:t>
      </w:r>
      <w:r w:rsidR="00580AEC">
        <w:rPr>
          <w:rFonts w:ascii="Times New Roman" w:hAnsi="Times New Roman" w:cs="Times New Roman"/>
        </w:rPr>
        <w:t>supplement the</w:t>
      </w:r>
      <w:r w:rsidR="004957B9" w:rsidRPr="00AB1915">
        <w:rPr>
          <w:rFonts w:ascii="Times New Roman" w:hAnsi="Times New Roman" w:cs="Times New Roman"/>
        </w:rPr>
        <w:t xml:space="preserve"> discussion of the issues of attorneys’ professional liability and professional negligence</w:t>
      </w:r>
      <w:r w:rsidR="009D1E09">
        <w:rPr>
          <w:rFonts w:ascii="Times New Roman" w:hAnsi="Times New Roman" w:cs="Times New Roman"/>
        </w:rPr>
        <w:t xml:space="preserve"> – </w:t>
      </w:r>
      <w:r w:rsidR="004957B9" w:rsidRPr="00AB1915">
        <w:rPr>
          <w:rFonts w:ascii="Times New Roman" w:hAnsi="Times New Roman" w:cs="Times New Roman"/>
        </w:rPr>
        <w:t>issue</w:t>
      </w:r>
      <w:r w:rsidR="009D1E09">
        <w:rPr>
          <w:rFonts w:ascii="Times New Roman" w:hAnsi="Times New Roman" w:cs="Times New Roman"/>
        </w:rPr>
        <w:t>s</w:t>
      </w:r>
      <w:r w:rsidR="004957B9" w:rsidRPr="00AB1915">
        <w:rPr>
          <w:rFonts w:ascii="Times New Roman" w:hAnsi="Times New Roman" w:cs="Times New Roman"/>
        </w:rPr>
        <w:t xml:space="preserve"> </w:t>
      </w:r>
      <w:r w:rsidR="009D1E09">
        <w:rPr>
          <w:rFonts w:ascii="Times New Roman" w:hAnsi="Times New Roman" w:cs="Times New Roman"/>
        </w:rPr>
        <w:t xml:space="preserve">that have </w:t>
      </w:r>
      <w:r w:rsidR="004957B9" w:rsidRPr="00AB1915">
        <w:rPr>
          <w:rFonts w:ascii="Times New Roman" w:hAnsi="Times New Roman" w:cs="Times New Roman"/>
        </w:rPr>
        <w:t xml:space="preserve">been surveyed and analyzed extensively in Israeli academic writing. Thus, for example, it will be interesting to study how the trend toward </w:t>
      </w:r>
      <w:r w:rsidR="004957B9" w:rsidRPr="00AB1915">
        <w:rPr>
          <w:rFonts w:ascii="Times New Roman" w:hAnsi="Times New Roman" w:cs="Times New Roman"/>
          <w:lang w:val="en-GB"/>
        </w:rPr>
        <w:t xml:space="preserve">less imposition of liability on an attorney, described in the previous section, intersects with the academic </w:t>
      </w:r>
      <w:r w:rsidR="009D1E09">
        <w:rPr>
          <w:rFonts w:ascii="Times New Roman" w:hAnsi="Times New Roman" w:cs="Times New Roman"/>
          <w:lang w:val="en-GB"/>
        </w:rPr>
        <w:t>literature</w:t>
      </w:r>
      <w:r w:rsidR="004957B9" w:rsidRPr="00AB1915">
        <w:rPr>
          <w:rFonts w:ascii="Times New Roman" w:hAnsi="Times New Roman" w:cs="Times New Roman"/>
          <w:lang w:val="en-GB"/>
        </w:rPr>
        <w:t xml:space="preserve"> that argues that Israeli courts are less likely to </w:t>
      </w:r>
      <w:r w:rsidR="009D1E09">
        <w:rPr>
          <w:rFonts w:ascii="Times New Roman" w:hAnsi="Times New Roman" w:cs="Times New Roman"/>
          <w:lang w:val="en-GB"/>
        </w:rPr>
        <w:t xml:space="preserve">impose liability </w:t>
      </w:r>
      <w:r w:rsidR="004957B9" w:rsidRPr="00AB1915">
        <w:rPr>
          <w:rFonts w:ascii="Times New Roman" w:hAnsi="Times New Roman" w:cs="Times New Roman"/>
          <w:lang w:val="en-GB"/>
        </w:rPr>
        <w:t xml:space="preserve">on attorneys in suits for professional </w:t>
      </w:r>
      <w:r w:rsidR="009D1E09">
        <w:rPr>
          <w:rFonts w:ascii="Times New Roman" w:hAnsi="Times New Roman" w:cs="Times New Roman"/>
          <w:lang w:val="en-GB"/>
        </w:rPr>
        <w:t>negligence</w:t>
      </w:r>
      <w:r w:rsidR="004957B9" w:rsidRPr="00AB1915">
        <w:rPr>
          <w:rFonts w:ascii="Times New Roman" w:hAnsi="Times New Roman" w:cs="Times New Roman"/>
          <w:lang w:val="en-GB"/>
        </w:rPr>
        <w:t xml:space="preserve">, and </w:t>
      </w:r>
      <w:r w:rsidR="009D1E09">
        <w:rPr>
          <w:rFonts w:ascii="Times New Roman" w:hAnsi="Times New Roman" w:cs="Times New Roman"/>
          <w:lang w:val="en-GB"/>
        </w:rPr>
        <w:t xml:space="preserve">that </w:t>
      </w:r>
      <w:r w:rsidR="004957B9" w:rsidRPr="00AB1915">
        <w:rPr>
          <w:rFonts w:ascii="Times New Roman" w:hAnsi="Times New Roman" w:cs="Times New Roman"/>
          <w:lang w:val="en-GB"/>
        </w:rPr>
        <w:t xml:space="preserve">by doing so </w:t>
      </w:r>
      <w:r w:rsidR="009D1E09">
        <w:rPr>
          <w:rFonts w:ascii="Times New Roman" w:hAnsi="Times New Roman" w:cs="Times New Roman"/>
          <w:lang w:val="en-GB"/>
        </w:rPr>
        <w:t xml:space="preserve">they </w:t>
      </w:r>
      <w:r w:rsidR="004957B9" w:rsidRPr="00AB1915">
        <w:rPr>
          <w:rFonts w:ascii="Times New Roman" w:hAnsi="Times New Roman" w:cs="Times New Roman"/>
          <w:lang w:val="en-GB"/>
        </w:rPr>
        <w:t xml:space="preserve">create </w:t>
      </w:r>
      <w:r w:rsidR="004957B9" w:rsidRPr="00AB1915">
        <w:rPr>
          <w:rFonts w:ascii="Times New Roman" w:hAnsi="Times New Roman" w:cs="Times New Roman"/>
          <w:i/>
          <w:iCs/>
          <w:lang w:val="en-GB"/>
        </w:rPr>
        <w:t>de facto</w:t>
      </w:r>
      <w:r w:rsidR="004957B9" w:rsidRPr="00AB1915">
        <w:rPr>
          <w:rFonts w:ascii="Times New Roman" w:hAnsi="Times New Roman" w:cs="Times New Roman"/>
          <w:lang w:val="en-GB"/>
        </w:rPr>
        <w:t xml:space="preserve"> immunity for those lawyers.</w:t>
      </w:r>
      <w:r w:rsidR="00084451" w:rsidRPr="00AB1915">
        <w:rPr>
          <w:rStyle w:val="FootnoteReference"/>
          <w:rFonts w:ascii="Times New Roman" w:hAnsi="Times New Roman" w:cs="Times New Roman"/>
          <w:lang w:val="en-GB"/>
        </w:rPr>
        <w:footnoteReference w:id="33"/>
      </w:r>
      <w:r w:rsidR="004957B9" w:rsidRPr="00AB1915">
        <w:rPr>
          <w:rFonts w:ascii="Times New Roman" w:hAnsi="Times New Roman" w:cs="Times New Roman"/>
          <w:lang w:val="en-GB"/>
        </w:rPr>
        <w:t xml:space="preserve"> It will be fascinating to study </w:t>
      </w:r>
      <w:r w:rsidR="009D1E09">
        <w:rPr>
          <w:rFonts w:ascii="Times New Roman" w:hAnsi="Times New Roman" w:cs="Times New Roman"/>
          <w:lang w:val="en-GB"/>
        </w:rPr>
        <w:t xml:space="preserve">how the </w:t>
      </w:r>
      <w:r w:rsidR="004957B9" w:rsidRPr="00AB1915">
        <w:rPr>
          <w:rFonts w:ascii="Times New Roman" w:hAnsi="Times New Roman" w:cs="Times New Roman"/>
          <w:lang w:val="en-GB"/>
        </w:rPr>
        <w:t xml:space="preserve">case law </w:t>
      </w:r>
      <w:r w:rsidR="009D1E09">
        <w:rPr>
          <w:rFonts w:ascii="Times New Roman" w:hAnsi="Times New Roman" w:cs="Times New Roman"/>
          <w:lang w:val="en-GB"/>
        </w:rPr>
        <w:t xml:space="preserve">developments in the fields of </w:t>
      </w:r>
      <w:r w:rsidR="004957B9" w:rsidRPr="00AB1915">
        <w:rPr>
          <w:rFonts w:ascii="Times New Roman" w:hAnsi="Times New Roman" w:cs="Times New Roman"/>
          <w:lang w:val="en-GB"/>
        </w:rPr>
        <w:t xml:space="preserve">contracts law, torts and professional ethics in the coming years will impact on the Israeli courts’ position on this </w:t>
      </w:r>
      <w:r w:rsidR="009D1E09">
        <w:rPr>
          <w:rFonts w:ascii="Times New Roman" w:hAnsi="Times New Roman" w:cs="Times New Roman"/>
          <w:lang w:val="en-GB"/>
        </w:rPr>
        <w:t xml:space="preserve">particular </w:t>
      </w:r>
      <w:r w:rsidR="004957B9" w:rsidRPr="00AB1915">
        <w:rPr>
          <w:rFonts w:ascii="Times New Roman" w:hAnsi="Times New Roman" w:cs="Times New Roman"/>
          <w:lang w:val="en-GB"/>
        </w:rPr>
        <w:t>important matter.</w:t>
      </w:r>
    </w:p>
    <w:p w14:paraId="1097608B" w14:textId="77777777" w:rsidR="004957B9" w:rsidRPr="00AB1915" w:rsidRDefault="004957B9" w:rsidP="001253FC">
      <w:pPr>
        <w:jc w:val="both"/>
        <w:rPr>
          <w:rFonts w:ascii="Times New Roman" w:hAnsi="Times New Roman" w:cs="Times New Roman"/>
          <w:lang w:val="en-GB"/>
        </w:rPr>
      </w:pPr>
    </w:p>
    <w:sectPr w:rsidR="004957B9" w:rsidRPr="00AB1915" w:rsidSect="00AB1915">
      <w:footerReference w:type="defaul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nina P Goldstein" w:date="2020-12-22T08:22:00Z" w:initials="PPG">
    <w:p w14:paraId="69E6F9ED" w14:textId="77777777" w:rsidR="00CE4F90" w:rsidRDefault="00CE4F90">
      <w:pPr>
        <w:pStyle w:val="CommentText"/>
      </w:pPr>
      <w:r>
        <w:rPr>
          <w:rStyle w:val="CommentReference"/>
        </w:rPr>
        <w:annotationRef/>
      </w:r>
      <w:r>
        <w:t>Here, the word frivolous obviously doesn’t work, so I’m suggesting some alternatives</w:t>
      </w:r>
    </w:p>
    <w:p w14:paraId="0DB9F15B" w14:textId="5CC41859" w:rsidR="00CE4F90" w:rsidRDefault="00CE4F90">
      <w:pPr>
        <w:pStyle w:val="CommentText"/>
      </w:pPr>
    </w:p>
  </w:comment>
  <w:comment w:id="1" w:author="Penina P Goldstein" w:date="2020-12-21T17:41:00Z" w:initials="PPG">
    <w:p w14:paraId="52BA2E44" w14:textId="5E0C5DFB" w:rsidR="00CE4F90" w:rsidRDefault="00CE4F90">
      <w:pPr>
        <w:pStyle w:val="CommentText"/>
      </w:pPr>
      <w:r>
        <w:rPr>
          <w:rStyle w:val="CommentReference"/>
        </w:rPr>
        <w:annotationRef/>
      </w:r>
      <w:r>
        <w:t xml:space="preserve">I assume this is ok? (As opposed to his/her, which of course adds to the word count).  I can never decide whether I prefer his/her to either his or her. (Though unlike a lot of people, I lean toward preferring his/her) </w:t>
      </w:r>
    </w:p>
  </w:comment>
  <w:comment w:id="2" w:author="Penina P Goldstein" w:date="2020-12-22T09:30:00Z" w:initials="PPG">
    <w:p w14:paraId="6FFF4D6F" w14:textId="4C7660A4" w:rsidR="00CE4F90" w:rsidRDefault="00CE4F90">
      <w:pPr>
        <w:pStyle w:val="CommentText"/>
      </w:pPr>
      <w:r>
        <w:rPr>
          <w:rStyle w:val="CommentReference"/>
        </w:rPr>
        <w:annotationRef/>
      </w:r>
      <w:r>
        <w:t>Why does the second case cited in the footnote have two case numbers?</w:t>
      </w:r>
    </w:p>
  </w:comment>
  <w:comment w:id="3" w:author="Penina P Goldstein" w:date="2020-12-22T10:59:00Z" w:initials="PPG">
    <w:p w14:paraId="1FD132A1" w14:textId="4768E6E1" w:rsidR="00C77EAA" w:rsidRPr="00C77EAA" w:rsidRDefault="00C77EAA">
      <w:pPr>
        <w:pStyle w:val="CommentText"/>
        <w:rPr>
          <w:rFonts w:hint="cs"/>
          <w:rtl/>
          <w:lang w:val="en-GB"/>
        </w:rPr>
      </w:pPr>
      <w:r>
        <w:rPr>
          <w:rStyle w:val="CommentReference"/>
        </w:rPr>
        <w:annotationRef/>
      </w:r>
      <w:r>
        <w:t xml:space="preserve">Guessing that </w:t>
      </w:r>
      <w:proofErr w:type="spellStart"/>
      <w:r>
        <w:rPr>
          <w:rFonts w:hint="cs"/>
          <w:rtl/>
        </w:rPr>
        <w:t>בבש</w:t>
      </w:r>
      <w:proofErr w:type="spellEnd"/>
      <w:r>
        <w:rPr>
          <w:rFonts w:hint="cs"/>
          <w:rtl/>
        </w:rPr>
        <w:t xml:space="preserve"> </w:t>
      </w:r>
      <w:r>
        <w:t xml:space="preserve">in the footnote is </w:t>
      </w:r>
      <w:r>
        <w:rPr>
          <w:rFonts w:hint="cs"/>
          <w:rtl/>
        </w:rPr>
        <w:t>בקשה</w:t>
      </w:r>
    </w:p>
  </w:comment>
  <w:comment w:id="4" w:author="Penina P Goldstein" w:date="2020-12-22T09:41:00Z" w:initials="PPG">
    <w:p w14:paraId="7DB54F0D" w14:textId="0BE5C40F" w:rsidR="0040009B" w:rsidRPr="0040009B" w:rsidRDefault="0040009B">
      <w:pPr>
        <w:pStyle w:val="CommentText"/>
        <w:rPr>
          <w:rtl/>
          <w:lang w:val="en-GB"/>
        </w:rPr>
      </w:pPr>
      <w:r>
        <w:rPr>
          <w:rStyle w:val="CommentReference"/>
        </w:rPr>
        <w:annotationRef/>
      </w:r>
      <w:r>
        <w:t xml:space="preserve">Regarding the footnote – I couldn’t figure out what </w:t>
      </w:r>
      <w:proofErr w:type="spellStart"/>
      <w:r>
        <w:rPr>
          <w:rFonts w:hint="cs"/>
          <w:rtl/>
        </w:rPr>
        <w:t>בש</w:t>
      </w:r>
      <w:proofErr w:type="spellEnd"/>
      <w:r>
        <w:t xml:space="preserve"> stands for as a citation, so I’m guessing its Motion, maybe? (</w:t>
      </w:r>
      <w:proofErr w:type="spellStart"/>
      <w:r>
        <w:t>ie</w:t>
      </w:r>
      <w:proofErr w:type="spellEnd"/>
      <w:r>
        <w:t xml:space="preserve">, short for </w:t>
      </w:r>
      <w:r>
        <w:rPr>
          <w:rFonts w:hint="cs"/>
          <w:rtl/>
        </w:rPr>
        <w:t>בקשה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B9F15B" w15:done="0"/>
  <w15:commentEx w15:paraId="52BA2E44" w15:done="0"/>
  <w15:commentEx w15:paraId="6FFF4D6F" w15:done="0"/>
  <w15:commentEx w15:paraId="1FD132A1" w15:done="0"/>
  <w15:commentEx w15:paraId="7DB54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2B63" w16cex:dateUtc="2020-12-22T06:22:00Z"/>
  <w16cex:commentExtensible w16cex:durableId="238B5CCA" w16cex:dateUtc="2020-12-21T15:41:00Z"/>
  <w16cex:commentExtensible w16cex:durableId="238C3B4F" w16cex:dateUtc="2020-12-22T07:30:00Z"/>
  <w16cex:commentExtensible w16cex:durableId="238C502E" w16cex:dateUtc="2020-12-22T08:59:00Z"/>
  <w16cex:commentExtensible w16cex:durableId="238C3DD2" w16cex:dateUtc="2020-12-22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9F15B" w16cid:durableId="238C2B63"/>
  <w16cid:commentId w16cid:paraId="52BA2E44" w16cid:durableId="238B5CCA"/>
  <w16cid:commentId w16cid:paraId="6FFF4D6F" w16cid:durableId="238C3B4F"/>
  <w16cid:commentId w16cid:paraId="1FD132A1" w16cid:durableId="238C502E"/>
  <w16cid:commentId w16cid:paraId="7DB54F0D" w16cid:durableId="238C3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9D4B9" w14:textId="77777777" w:rsidR="00CE4F90" w:rsidRDefault="00CE4F90" w:rsidP="0089373F">
      <w:pPr>
        <w:spacing w:after="0" w:line="240" w:lineRule="auto"/>
      </w:pPr>
      <w:r>
        <w:separator/>
      </w:r>
    </w:p>
  </w:endnote>
  <w:endnote w:type="continuationSeparator" w:id="0">
    <w:p w14:paraId="09A25909" w14:textId="77777777" w:rsidR="00CE4F90" w:rsidRDefault="00CE4F90" w:rsidP="0089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402794"/>
      <w:docPartObj>
        <w:docPartGallery w:val="Page Numbers (Bottom of Page)"/>
        <w:docPartUnique/>
      </w:docPartObj>
    </w:sdtPr>
    <w:sdtEndPr>
      <w:rPr>
        <w:rFonts w:asciiTheme="majorBidi" w:hAnsiTheme="majorBidi" w:cstheme="majorBidi"/>
        <w:noProof/>
      </w:rPr>
    </w:sdtEndPr>
    <w:sdtContent>
      <w:p w14:paraId="1A3EC974" w14:textId="5C228B90" w:rsidR="00CE4F90" w:rsidRPr="00AB1915" w:rsidRDefault="00CE4F90">
        <w:pPr>
          <w:pStyle w:val="Footer"/>
          <w:jc w:val="center"/>
          <w:rPr>
            <w:rFonts w:asciiTheme="majorBidi" w:hAnsiTheme="majorBidi" w:cstheme="majorBidi"/>
          </w:rPr>
        </w:pPr>
        <w:r w:rsidRPr="00AB1915">
          <w:rPr>
            <w:rFonts w:asciiTheme="majorBidi" w:hAnsiTheme="majorBidi" w:cstheme="majorBidi"/>
          </w:rPr>
          <w:fldChar w:fldCharType="begin"/>
        </w:r>
        <w:r w:rsidRPr="00AB1915">
          <w:rPr>
            <w:rFonts w:asciiTheme="majorBidi" w:hAnsiTheme="majorBidi" w:cstheme="majorBidi"/>
          </w:rPr>
          <w:instrText xml:space="preserve"> PAGE   \* MERGEFORMAT </w:instrText>
        </w:r>
        <w:r w:rsidRPr="00AB1915">
          <w:rPr>
            <w:rFonts w:asciiTheme="majorBidi" w:hAnsiTheme="majorBidi" w:cstheme="majorBidi"/>
          </w:rPr>
          <w:fldChar w:fldCharType="separate"/>
        </w:r>
        <w:r w:rsidRPr="00AB1915">
          <w:rPr>
            <w:rFonts w:asciiTheme="majorBidi" w:hAnsiTheme="majorBidi" w:cstheme="majorBidi"/>
            <w:noProof/>
          </w:rPr>
          <w:t>2</w:t>
        </w:r>
        <w:r w:rsidRPr="00AB1915">
          <w:rPr>
            <w:rFonts w:asciiTheme="majorBidi" w:hAnsiTheme="majorBidi" w:cstheme="majorBidi"/>
            <w:noProof/>
          </w:rPr>
          <w:fldChar w:fldCharType="end"/>
        </w:r>
      </w:p>
    </w:sdtContent>
  </w:sdt>
  <w:p w14:paraId="349C736F" w14:textId="77777777" w:rsidR="00CE4F90" w:rsidRDefault="00CE4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DB4F" w14:textId="77777777" w:rsidR="00CE4F90" w:rsidRDefault="00CE4F90" w:rsidP="0089373F">
      <w:pPr>
        <w:spacing w:after="0" w:line="240" w:lineRule="auto"/>
      </w:pPr>
      <w:r>
        <w:separator/>
      </w:r>
    </w:p>
  </w:footnote>
  <w:footnote w:type="continuationSeparator" w:id="0">
    <w:p w14:paraId="142CB2B3" w14:textId="77777777" w:rsidR="00CE4F90" w:rsidRDefault="00CE4F90" w:rsidP="0089373F">
      <w:pPr>
        <w:spacing w:after="0" w:line="240" w:lineRule="auto"/>
      </w:pPr>
      <w:r>
        <w:continuationSeparator/>
      </w:r>
    </w:p>
  </w:footnote>
  <w:footnote w:id="1">
    <w:p w14:paraId="235DDC38" w14:textId="2187466B" w:rsidR="00CE4F90" w:rsidRPr="00AB1915" w:rsidRDefault="00CE4F90" w:rsidP="00AB1915">
      <w:pPr>
        <w:pStyle w:val="FootnoteText"/>
        <w:jc w:val="both"/>
        <w:rPr>
          <w:rFonts w:ascii="Times New Roman" w:hAnsi="Times New Roman" w:cs="Times New Roman"/>
          <w:i/>
          <w:iCs/>
        </w:rPr>
      </w:pPr>
      <w:r w:rsidRPr="00AB1915">
        <w:rPr>
          <w:rStyle w:val="FootnoteReference"/>
          <w:rFonts w:ascii="Times New Roman" w:hAnsi="Times New Roman" w:cs="Times New Roman"/>
        </w:rPr>
        <w:footnoteRef/>
      </w:r>
      <w:r w:rsidRPr="00AB1915">
        <w:rPr>
          <w:rFonts w:ascii="Times New Roman" w:hAnsi="Times New Roman" w:cs="Times New Roman"/>
        </w:rPr>
        <w:t xml:space="preserve"> Family </w:t>
      </w:r>
      <w:r>
        <w:rPr>
          <w:rFonts w:ascii="Times New Roman" w:hAnsi="Times New Roman" w:cs="Times New Roman"/>
        </w:rPr>
        <w:t>C</w:t>
      </w:r>
      <w:r w:rsidRPr="00AB1915">
        <w:rPr>
          <w:rFonts w:ascii="Times New Roman" w:hAnsi="Times New Roman" w:cs="Times New Roman"/>
        </w:rPr>
        <w:t xml:space="preserve">ase 046960/06 </w:t>
      </w:r>
      <w:r w:rsidRPr="00AB1915">
        <w:rPr>
          <w:rFonts w:ascii="Times New Roman" w:hAnsi="Times New Roman" w:cs="Times New Roman"/>
          <w:i/>
          <w:iCs/>
        </w:rPr>
        <w:t xml:space="preserve">M.H. v. B.H. </w:t>
      </w:r>
      <w:r w:rsidRPr="00AB1915">
        <w:rPr>
          <w:rFonts w:ascii="Times New Roman" w:hAnsi="Times New Roman" w:cs="Times New Roman"/>
        </w:rPr>
        <w:t>(unpublished, 2007), per Judge E. Ben Ari (Ettinger), at para 7 (emphases in the original).</w:t>
      </w:r>
    </w:p>
  </w:footnote>
  <w:footnote w:id="2">
    <w:p w14:paraId="4E5E0AC2" w14:textId="0899EF31" w:rsidR="00CE4F90" w:rsidRPr="00AB1915" w:rsidRDefault="00CE4F90" w:rsidP="00AB1915">
      <w:pPr>
        <w:pStyle w:val="FootnoteText"/>
        <w:jc w:val="both"/>
        <w:rPr>
          <w:rFonts w:ascii="Times New Roman" w:hAnsi="Times New Roman" w:cs="Times New Roman"/>
          <w:highlight w:val="yellow"/>
          <w:rtl/>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rtl/>
        </w:rPr>
        <w:t xml:space="preserve">  </w:t>
      </w:r>
      <w:r w:rsidRPr="00AB1915">
        <w:rPr>
          <w:rFonts w:ascii="Times New Roman" w:hAnsi="Times New Roman" w:cs="Times New Roman"/>
        </w:rPr>
        <w:t xml:space="preserve">Judge Learned Hand, The Deficiencies of </w:t>
      </w:r>
      <w:r>
        <w:rPr>
          <w:rFonts w:ascii="Times New Roman" w:hAnsi="Times New Roman" w:cs="Times New Roman"/>
        </w:rPr>
        <w:t>Trials</w:t>
      </w:r>
      <w:r w:rsidRPr="00AB1915">
        <w:rPr>
          <w:rFonts w:ascii="Times New Roman" w:hAnsi="Times New Roman" w:cs="Times New Roman"/>
        </w:rPr>
        <w:t xml:space="preserve"> to Reach the Heart of the Matter, </w:t>
      </w:r>
      <w:r w:rsidRPr="00AB1915">
        <w:rPr>
          <w:rFonts w:ascii="Times New Roman" w:hAnsi="Times New Roman" w:cs="Times New Roman"/>
          <w:i/>
          <w:iCs/>
        </w:rPr>
        <w:t xml:space="preserve">in </w:t>
      </w:r>
      <w:r w:rsidRPr="00AB1915">
        <w:rPr>
          <w:rFonts w:ascii="Times New Roman" w:hAnsi="Times New Roman" w:cs="Times New Roman"/>
        </w:rPr>
        <w:t xml:space="preserve">3 Lectures </w:t>
      </w:r>
      <w:r>
        <w:rPr>
          <w:rFonts w:ascii="Times New Roman" w:hAnsi="Times New Roman" w:cs="Times New Roman"/>
        </w:rPr>
        <w:t>on</w:t>
      </w:r>
      <w:r w:rsidRPr="00AB1915">
        <w:rPr>
          <w:rFonts w:ascii="Times New Roman" w:hAnsi="Times New Roman" w:cs="Times New Roman"/>
        </w:rPr>
        <w:t xml:space="preserve"> Legal Topics, Association of the Bar of the City of New York 89, 105 (1926)</w:t>
      </w:r>
      <w:r>
        <w:rPr>
          <w:rFonts w:ascii="Times New Roman" w:hAnsi="Times New Roman" w:cs="Times New Roman"/>
        </w:rPr>
        <w:t>;</w:t>
      </w:r>
      <w:r w:rsidRPr="00AB1915">
        <w:rPr>
          <w:rFonts w:ascii="Times New Roman" w:hAnsi="Times New Roman" w:cs="Times New Roman"/>
        </w:rPr>
        <w:t xml:space="preserve"> Fred R. Shapiro, The Oxford Dictionary of American Legal Quotations 304 (1993)</w:t>
      </w:r>
      <w:r w:rsidRPr="00AB1915">
        <w:rPr>
          <w:rFonts w:ascii="Times New Roman" w:hAnsi="Times New Roman" w:cs="Times New Roman"/>
          <w:rtl/>
        </w:rPr>
        <w:t xml:space="preserve"> </w:t>
      </w:r>
    </w:p>
  </w:footnote>
  <w:footnote w:id="3">
    <w:p w14:paraId="21BFF5DA" w14:textId="71DD12E9"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David </w:t>
      </w:r>
      <w:proofErr w:type="spellStart"/>
      <w:r w:rsidRPr="00AB1915">
        <w:rPr>
          <w:rFonts w:ascii="Times New Roman" w:hAnsi="Times New Roman" w:cs="Times New Roman"/>
        </w:rPr>
        <w:t>Luban</w:t>
      </w:r>
      <w:proofErr w:type="spellEnd"/>
      <w:r w:rsidRPr="00AB1915">
        <w:rPr>
          <w:rFonts w:ascii="Times New Roman" w:hAnsi="Times New Roman" w:cs="Times New Roman"/>
        </w:rPr>
        <w:t xml:space="preserve">, </w:t>
      </w:r>
      <w:r w:rsidRPr="00AB1915">
        <w:rPr>
          <w:rFonts w:ascii="Times New Roman" w:hAnsi="Times New Roman" w:cs="Times New Roman"/>
          <w:i/>
          <w:iCs/>
        </w:rPr>
        <w:t>The Lost Lawyer: Failed Ideals of the Legal Profession</w:t>
      </w:r>
      <w:r w:rsidRPr="00AB1915">
        <w:rPr>
          <w:rFonts w:ascii="Times New Roman" w:hAnsi="Times New Roman" w:cs="Times New Roman"/>
        </w:rPr>
        <w:t>, 105 Ethics 947-949 (1995)</w:t>
      </w:r>
      <w:r>
        <w:rPr>
          <w:rFonts w:ascii="Times New Roman" w:hAnsi="Times New Roman" w:cs="Times New Roman"/>
        </w:rPr>
        <w:t>;</w:t>
      </w:r>
      <w:r w:rsidRPr="00AB1915">
        <w:rPr>
          <w:rFonts w:ascii="Times New Roman" w:hAnsi="Times New Roman" w:cs="Times New Roman"/>
        </w:rPr>
        <w:t xml:space="preserve"> David </w:t>
      </w:r>
      <w:proofErr w:type="spellStart"/>
      <w:r w:rsidRPr="00AB1915">
        <w:rPr>
          <w:rFonts w:ascii="Times New Roman" w:hAnsi="Times New Roman" w:cs="Times New Roman"/>
        </w:rPr>
        <w:t>Luban</w:t>
      </w:r>
      <w:proofErr w:type="spellEnd"/>
      <w:r w:rsidRPr="00AB1915">
        <w:rPr>
          <w:rFonts w:ascii="Times New Roman" w:hAnsi="Times New Roman" w:cs="Times New Roman"/>
        </w:rPr>
        <w:t xml:space="preserve">, </w:t>
      </w:r>
      <w:r w:rsidRPr="00AB1915">
        <w:rPr>
          <w:rFonts w:ascii="Times New Roman" w:hAnsi="Times New Roman" w:cs="Times New Roman"/>
          <w:i/>
          <w:iCs/>
        </w:rPr>
        <w:t>Settlements and the Erosion of the Public Realm</w:t>
      </w:r>
      <w:r w:rsidRPr="00AB1915">
        <w:rPr>
          <w:rFonts w:ascii="Times New Roman" w:hAnsi="Times New Roman" w:cs="Times New Roman"/>
        </w:rPr>
        <w:t>, 83 Geo. L. J. 2619, 2621 (1995)</w:t>
      </w:r>
    </w:p>
  </w:footnote>
  <w:footnote w:id="4">
    <w:p w14:paraId="219A0E65" w14:textId="21936401"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David M. </w:t>
      </w:r>
      <w:proofErr w:type="spellStart"/>
      <w:r w:rsidRPr="00AB1915">
        <w:rPr>
          <w:rFonts w:ascii="Times New Roman" w:hAnsi="Times New Roman" w:cs="Times New Roman"/>
        </w:rPr>
        <w:t>Trubek</w:t>
      </w:r>
      <w:proofErr w:type="spellEnd"/>
      <w:r w:rsidRPr="00AB1915">
        <w:rPr>
          <w:rFonts w:ascii="Times New Roman" w:hAnsi="Times New Roman" w:cs="Times New Roman"/>
        </w:rPr>
        <w:t xml:space="preserve"> &amp; Austin </w:t>
      </w:r>
      <w:proofErr w:type="spellStart"/>
      <w:r w:rsidRPr="00AB1915">
        <w:rPr>
          <w:rFonts w:ascii="Times New Roman" w:hAnsi="Times New Roman" w:cs="Times New Roman"/>
        </w:rPr>
        <w:t>Sarat</w:t>
      </w:r>
      <w:proofErr w:type="spellEnd"/>
      <w:r w:rsidRPr="00AB1915">
        <w:rPr>
          <w:rFonts w:ascii="Times New Roman" w:hAnsi="Times New Roman" w:cs="Times New Roman"/>
        </w:rPr>
        <w:t xml:space="preserve">, </w:t>
      </w:r>
      <w:r w:rsidRPr="00AB1915">
        <w:rPr>
          <w:rFonts w:ascii="Times New Roman" w:hAnsi="Times New Roman" w:cs="Times New Roman"/>
          <w:i/>
          <w:iCs/>
        </w:rPr>
        <w:t>The Costs of Ordinary Litigation</w:t>
      </w:r>
      <w:r w:rsidRPr="00AB1915">
        <w:rPr>
          <w:rFonts w:ascii="Times New Roman" w:hAnsi="Times New Roman" w:cs="Times New Roman"/>
        </w:rPr>
        <w:t xml:space="preserve">, 31 UCLA L. Rev. 72, 75 (1983); Jennifer f. </w:t>
      </w:r>
      <w:proofErr w:type="spellStart"/>
      <w:r w:rsidRPr="00AB1915">
        <w:rPr>
          <w:rFonts w:ascii="Times New Roman" w:hAnsi="Times New Roman" w:cs="Times New Roman"/>
        </w:rPr>
        <w:t>Reinganum</w:t>
      </w:r>
      <w:proofErr w:type="spellEnd"/>
      <w:r w:rsidRPr="00AB1915">
        <w:rPr>
          <w:rFonts w:ascii="Times New Roman" w:hAnsi="Times New Roman" w:cs="Times New Roman"/>
        </w:rPr>
        <w:t xml:space="preserve"> &amp; Louis L. Wilde, </w:t>
      </w:r>
      <w:r w:rsidRPr="00AB1915">
        <w:rPr>
          <w:rFonts w:ascii="Times New Roman" w:hAnsi="Times New Roman" w:cs="Times New Roman"/>
          <w:i/>
          <w:iCs/>
        </w:rPr>
        <w:t>Settlement, Litigation, and the allocation of litigation costs</w:t>
      </w:r>
      <w:r w:rsidRPr="00AB1915">
        <w:rPr>
          <w:rFonts w:ascii="Times New Roman" w:hAnsi="Times New Roman" w:cs="Times New Roman"/>
        </w:rPr>
        <w:t xml:space="preserve">, 17 Rand Journal of Economics 557, 558 (1986); Russel </w:t>
      </w:r>
      <w:proofErr w:type="spellStart"/>
      <w:r w:rsidRPr="00AB1915">
        <w:rPr>
          <w:rFonts w:ascii="Times New Roman" w:hAnsi="Times New Roman" w:cs="Times New Roman"/>
        </w:rPr>
        <w:t>Korobkin</w:t>
      </w:r>
      <w:proofErr w:type="spellEnd"/>
      <w:r w:rsidRPr="00AB1915">
        <w:rPr>
          <w:rFonts w:ascii="Times New Roman" w:hAnsi="Times New Roman" w:cs="Times New Roman"/>
        </w:rPr>
        <w:t xml:space="preserve"> &amp; Chris Guthrie, </w:t>
      </w:r>
      <w:r w:rsidRPr="00AB1915">
        <w:rPr>
          <w:rFonts w:ascii="Times New Roman" w:hAnsi="Times New Roman" w:cs="Times New Roman"/>
          <w:i/>
          <w:iCs/>
        </w:rPr>
        <w:t>Psychology, Economics and Settlement: A New Look at the Role of the Lawyer</w:t>
      </w:r>
      <w:r w:rsidRPr="00AB1915">
        <w:rPr>
          <w:rFonts w:ascii="Times New Roman" w:hAnsi="Times New Roman" w:cs="Times New Roman"/>
        </w:rPr>
        <w:t>, 76 Texas L. Rev. 77 (1997); Steven Shavell, Foundations of  Economic Analysis of Law, 4 (Cambridge, 2004)</w:t>
      </w:r>
      <w:r w:rsidRPr="00AB1915">
        <w:rPr>
          <w:rFonts w:ascii="Times New Roman" w:hAnsi="Times New Roman" w:cs="Times New Roman"/>
          <w:rtl/>
        </w:rPr>
        <w:t>,</w:t>
      </w:r>
      <w:r w:rsidRPr="00AB1915">
        <w:rPr>
          <w:rFonts w:ascii="Times New Roman" w:hAnsi="Times New Roman" w:cs="Times New Roman"/>
        </w:rPr>
        <w:t xml:space="preserve"> 389-390; Marc Galanter, </w:t>
      </w:r>
      <w:r w:rsidRPr="00AB1915">
        <w:rPr>
          <w:rFonts w:ascii="Times New Roman" w:hAnsi="Times New Roman" w:cs="Times New Roman"/>
          <w:i/>
          <w:iCs/>
        </w:rPr>
        <w:t>The Day After the Litigation Explosion</w:t>
      </w:r>
      <w:r w:rsidRPr="00AB1915">
        <w:rPr>
          <w:rFonts w:ascii="Times New Roman" w:hAnsi="Times New Roman" w:cs="Times New Roman"/>
        </w:rPr>
        <w:t xml:space="preserve">, 46 MD. L. Rev. 3, 9 (1986); DH </w:t>
      </w:r>
      <w:proofErr w:type="spellStart"/>
      <w:r w:rsidRPr="00AB1915">
        <w:rPr>
          <w:rFonts w:ascii="Times New Roman" w:hAnsi="Times New Roman" w:cs="Times New Roman"/>
        </w:rPr>
        <w:t>Naftulin</w:t>
      </w:r>
      <w:proofErr w:type="spellEnd"/>
      <w:r w:rsidRPr="00AB1915">
        <w:rPr>
          <w:rFonts w:ascii="Times New Roman" w:hAnsi="Times New Roman" w:cs="Times New Roman"/>
        </w:rPr>
        <w:t xml:space="preserve">, </w:t>
      </w:r>
      <w:r w:rsidRPr="00AB1915">
        <w:rPr>
          <w:rFonts w:ascii="Times New Roman" w:hAnsi="Times New Roman" w:cs="Times New Roman"/>
          <w:i/>
          <w:iCs/>
        </w:rPr>
        <w:t xml:space="preserve">The Psychological Effects of Litigation on the Industrially Injured Patient: A </w:t>
      </w:r>
      <w:r>
        <w:rPr>
          <w:rFonts w:ascii="Times New Roman" w:hAnsi="Times New Roman" w:cs="Times New Roman"/>
          <w:i/>
          <w:iCs/>
        </w:rPr>
        <w:t>R</w:t>
      </w:r>
      <w:r w:rsidRPr="00AB1915">
        <w:rPr>
          <w:rFonts w:ascii="Times New Roman" w:hAnsi="Times New Roman" w:cs="Times New Roman"/>
          <w:i/>
          <w:iCs/>
        </w:rPr>
        <w:t xml:space="preserve">esearch Plea, </w:t>
      </w:r>
      <w:r w:rsidRPr="00AB1915">
        <w:rPr>
          <w:rFonts w:ascii="Times New Roman" w:hAnsi="Times New Roman" w:cs="Times New Roman"/>
        </w:rPr>
        <w:t xml:space="preserve">39(4) IMS </w:t>
      </w:r>
      <w:proofErr w:type="spellStart"/>
      <w:r w:rsidRPr="00AB1915">
        <w:rPr>
          <w:rFonts w:ascii="Times New Roman" w:hAnsi="Times New Roman" w:cs="Times New Roman"/>
        </w:rPr>
        <w:t>lnd</w:t>
      </w:r>
      <w:proofErr w:type="spellEnd"/>
      <w:r w:rsidRPr="00AB1915">
        <w:rPr>
          <w:rFonts w:ascii="Times New Roman" w:hAnsi="Times New Roman" w:cs="Times New Roman"/>
        </w:rPr>
        <w:t xml:space="preserve">. Med. Surg. 26 (1970); Randall L. Kiser, Martin A. Asher and Blakeley B. McShane, </w:t>
      </w:r>
      <w:proofErr w:type="gramStart"/>
      <w:r w:rsidRPr="00AB1915">
        <w:rPr>
          <w:rFonts w:ascii="Times New Roman" w:hAnsi="Times New Roman" w:cs="Times New Roman"/>
          <w:i/>
          <w:iCs/>
        </w:rPr>
        <w:t>Let</w:t>
      </w:r>
      <w:proofErr w:type="gramEnd"/>
      <w:r w:rsidRPr="00AB1915">
        <w:rPr>
          <w:rFonts w:ascii="Times New Roman" w:hAnsi="Times New Roman" w:cs="Times New Roman"/>
          <w:i/>
          <w:iCs/>
        </w:rPr>
        <w:t>`s Not Make a Deal: An Empirical Study of Decision Making in Unsuccessful Settlement Negotiations</w:t>
      </w:r>
      <w:r w:rsidRPr="00AB1915">
        <w:rPr>
          <w:rFonts w:ascii="Times New Roman" w:hAnsi="Times New Roman" w:cs="Times New Roman"/>
        </w:rPr>
        <w:t xml:space="preserve">, 5 Journal of Empirical Legal Studies 551, 552 (2008)   </w:t>
      </w:r>
    </w:p>
  </w:footnote>
  <w:footnote w:id="5">
    <w:p w14:paraId="15A80DA3" w14:textId="2860FEE3"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Robert W. </w:t>
      </w:r>
      <w:proofErr w:type="spellStart"/>
      <w:r w:rsidRPr="00AB1915">
        <w:rPr>
          <w:rFonts w:ascii="Times New Roman" w:hAnsi="Times New Roman" w:cs="Times New Roman"/>
        </w:rPr>
        <w:t>Kastenmeier</w:t>
      </w:r>
      <w:proofErr w:type="spellEnd"/>
      <w:r w:rsidRPr="00AB1915">
        <w:rPr>
          <w:rFonts w:ascii="Times New Roman" w:hAnsi="Times New Roman" w:cs="Times New Roman"/>
        </w:rPr>
        <w:t xml:space="preserve"> &amp; Michael J. Remington, </w:t>
      </w:r>
      <w:r w:rsidRPr="00AB1915">
        <w:rPr>
          <w:rFonts w:ascii="Times New Roman" w:hAnsi="Times New Roman" w:cs="Times New Roman"/>
          <w:i/>
          <w:iCs/>
        </w:rPr>
        <w:t xml:space="preserve">Court Reform and Access to Justice: A legislation Perspective, </w:t>
      </w:r>
      <w:r w:rsidRPr="00AB1915">
        <w:rPr>
          <w:rFonts w:ascii="Times New Roman" w:hAnsi="Times New Roman" w:cs="Times New Roman"/>
        </w:rPr>
        <w:t xml:space="preserve">16 HARV. J. ON LEGIS. 301, 303 (1979); David </w:t>
      </w:r>
      <w:proofErr w:type="spellStart"/>
      <w:r w:rsidRPr="00AB1915">
        <w:rPr>
          <w:rFonts w:ascii="Times New Roman" w:hAnsi="Times New Roman" w:cs="Times New Roman"/>
        </w:rPr>
        <w:t>Luban</w:t>
      </w:r>
      <w:proofErr w:type="spellEnd"/>
      <w:r w:rsidRPr="00AB1915">
        <w:rPr>
          <w:rFonts w:ascii="Times New Roman" w:hAnsi="Times New Roman" w:cs="Times New Roman"/>
        </w:rPr>
        <w:t xml:space="preserve">, </w:t>
      </w:r>
      <w:r w:rsidRPr="00AB1915">
        <w:rPr>
          <w:rFonts w:ascii="Times New Roman" w:hAnsi="Times New Roman" w:cs="Times New Roman"/>
          <w:i/>
          <w:iCs/>
        </w:rPr>
        <w:t>Settlement and the Erosion of the Public Realm,</w:t>
      </w:r>
      <w:r w:rsidRPr="00AB1915">
        <w:rPr>
          <w:rFonts w:ascii="Times New Roman" w:hAnsi="Times New Roman" w:cs="Times New Roman"/>
        </w:rPr>
        <w:t xml:space="preserve"> 83 Geo. L. J. 2619, 2621 (1995)</w:t>
      </w:r>
    </w:p>
  </w:footnote>
  <w:footnote w:id="6">
    <w:p w14:paraId="2EC226F8" w14:textId="4BFCBD4E"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Shavell, </w:t>
      </w:r>
      <w:r>
        <w:rPr>
          <w:rFonts w:ascii="Times New Roman" w:hAnsi="Times New Roman" w:cs="Times New Roman"/>
          <w:i/>
          <w:iCs/>
        </w:rPr>
        <w:t>supra</w:t>
      </w:r>
      <w:r w:rsidRPr="00AB1915">
        <w:rPr>
          <w:rFonts w:ascii="Times New Roman" w:hAnsi="Times New Roman" w:cs="Times New Roman"/>
        </w:rPr>
        <w:t xml:space="preserve">, </w:t>
      </w:r>
      <w:r>
        <w:rPr>
          <w:rFonts w:ascii="Times New Roman" w:hAnsi="Times New Roman" w:cs="Times New Roman"/>
        </w:rPr>
        <w:t xml:space="preserve">at </w:t>
      </w:r>
      <w:r w:rsidRPr="00AB1915">
        <w:rPr>
          <w:rFonts w:ascii="Times New Roman" w:hAnsi="Times New Roman" w:cs="Times New Roman"/>
        </w:rPr>
        <w:t>411</w:t>
      </w:r>
      <w:r>
        <w:rPr>
          <w:rFonts w:ascii="Times New Roman" w:hAnsi="Times New Roman" w:cs="Times New Roman"/>
        </w:rPr>
        <w:t>.</w:t>
      </w:r>
    </w:p>
  </w:footnote>
  <w:footnote w:id="7">
    <w:p w14:paraId="0B2707E3" w14:textId="1257AD1E"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6257/98 </w:t>
      </w:r>
      <w:proofErr w:type="spellStart"/>
      <w:r w:rsidRPr="00AB1915">
        <w:rPr>
          <w:rFonts w:ascii="Times New Roman" w:hAnsi="Times New Roman" w:cs="Times New Roman"/>
          <w:i/>
          <w:iCs/>
        </w:rPr>
        <w:t>Biton</w:t>
      </w:r>
      <w:proofErr w:type="spellEnd"/>
      <w:r w:rsidRPr="00AB1915">
        <w:rPr>
          <w:rFonts w:ascii="Times New Roman" w:hAnsi="Times New Roman" w:cs="Times New Roman"/>
          <w:i/>
          <w:iCs/>
        </w:rPr>
        <w:t xml:space="preserve"> v. Sultan </w:t>
      </w:r>
      <w:r w:rsidRPr="00AB1915">
        <w:rPr>
          <w:rFonts w:ascii="Times New Roman" w:hAnsi="Times New Roman" w:cs="Times New Roman"/>
        </w:rPr>
        <w:t xml:space="preserve">(unpublished, 2002); CA 53255/03 </w:t>
      </w:r>
      <w:r w:rsidRPr="00AB1915">
        <w:rPr>
          <w:rFonts w:ascii="Times New Roman" w:hAnsi="Times New Roman" w:cs="Times New Roman"/>
          <w:i/>
          <w:iCs/>
        </w:rPr>
        <w:t>Mediterranean Se</w:t>
      </w:r>
      <w:r>
        <w:rPr>
          <w:rFonts w:ascii="Times New Roman" w:hAnsi="Times New Roman" w:cs="Times New Roman"/>
          <w:i/>
          <w:iCs/>
        </w:rPr>
        <w:t>a</w:t>
      </w:r>
      <w:r w:rsidRPr="00AB1915">
        <w:rPr>
          <w:rFonts w:ascii="Times New Roman" w:hAnsi="Times New Roman" w:cs="Times New Roman"/>
          <w:i/>
          <w:iCs/>
        </w:rPr>
        <w:t xml:space="preserve"> Car Agency Ltd. v. Moto Media Ltd. et. al. </w:t>
      </w:r>
      <w:r w:rsidRPr="00AB1915">
        <w:rPr>
          <w:rFonts w:ascii="Times New Roman" w:hAnsi="Times New Roman" w:cs="Times New Roman"/>
        </w:rPr>
        <w:t>(unpublished, 2005).</w:t>
      </w:r>
    </w:p>
  </w:footnote>
  <w:footnote w:id="8">
    <w:p w14:paraId="35188920" w14:textId="3F29D14F"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Shavell, </w:t>
      </w:r>
      <w:r>
        <w:rPr>
          <w:rFonts w:ascii="Times New Roman" w:hAnsi="Times New Roman" w:cs="Times New Roman"/>
          <w:i/>
          <w:iCs/>
        </w:rPr>
        <w:t>supra</w:t>
      </w:r>
      <w:r w:rsidRPr="00AB1915">
        <w:rPr>
          <w:rFonts w:ascii="Times New Roman" w:hAnsi="Times New Roman" w:cs="Times New Roman"/>
        </w:rPr>
        <w:t xml:space="preserve">, </w:t>
      </w:r>
      <w:r>
        <w:rPr>
          <w:rFonts w:ascii="Times New Roman" w:hAnsi="Times New Roman" w:cs="Times New Roman"/>
        </w:rPr>
        <w:t xml:space="preserve">at </w:t>
      </w:r>
      <w:r w:rsidRPr="00AB1915">
        <w:rPr>
          <w:rFonts w:ascii="Times New Roman" w:hAnsi="Times New Roman" w:cs="Times New Roman"/>
        </w:rPr>
        <w:t>411.</w:t>
      </w:r>
    </w:p>
  </w:footnote>
  <w:footnote w:id="9">
    <w:p w14:paraId="110182B1" w14:textId="5C1BD05E"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Pr>
          <w:rFonts w:ascii="Times New Roman" w:hAnsi="Times New Roman" w:cs="Times New Roman"/>
        </w:rPr>
        <w:t>Y</w:t>
      </w:r>
      <w:r w:rsidRPr="00AB1915">
        <w:rPr>
          <w:rFonts w:ascii="Times New Roman" w:hAnsi="Times New Roman" w:cs="Times New Roman"/>
        </w:rPr>
        <w:t xml:space="preserve">. </w:t>
      </w:r>
      <w:proofErr w:type="spellStart"/>
      <w:r>
        <w:rPr>
          <w:rFonts w:ascii="Times New Roman" w:hAnsi="Times New Roman" w:cs="Times New Roman"/>
        </w:rPr>
        <w:t>Z</w:t>
      </w:r>
      <w:r w:rsidRPr="00AB1915">
        <w:rPr>
          <w:rFonts w:ascii="Times New Roman" w:hAnsi="Times New Roman" w:cs="Times New Roman"/>
        </w:rPr>
        <w:t>u</w:t>
      </w:r>
      <w:r>
        <w:rPr>
          <w:rFonts w:ascii="Times New Roman" w:hAnsi="Times New Roman" w:cs="Times New Roman"/>
        </w:rPr>
        <w:t>s</w:t>
      </w:r>
      <w:r w:rsidRPr="00AB1915">
        <w:rPr>
          <w:rFonts w:ascii="Times New Roman" w:hAnsi="Times New Roman" w:cs="Times New Roman"/>
        </w:rPr>
        <w:t>sman</w:t>
      </w:r>
      <w:proofErr w:type="spellEnd"/>
      <w:r w:rsidRPr="00AB1915">
        <w:rPr>
          <w:rFonts w:ascii="Times New Roman" w:hAnsi="Times New Roman" w:cs="Times New Roman"/>
        </w:rPr>
        <w:t xml:space="preserve">, </w:t>
      </w:r>
      <w:r w:rsidRPr="00AB1915">
        <w:rPr>
          <w:rFonts w:ascii="Times New Roman" w:hAnsi="Times New Roman" w:cs="Times New Roman"/>
          <w:i/>
          <w:iCs/>
        </w:rPr>
        <w:t xml:space="preserve">Civil Procedure </w:t>
      </w:r>
      <w:r w:rsidRPr="00AB1915">
        <w:rPr>
          <w:rFonts w:ascii="Times New Roman" w:hAnsi="Times New Roman" w:cs="Times New Roman"/>
        </w:rPr>
        <w:t>(7</w:t>
      </w:r>
      <w:r w:rsidRPr="00AB1915">
        <w:rPr>
          <w:rFonts w:ascii="Times New Roman" w:hAnsi="Times New Roman" w:cs="Times New Roman"/>
          <w:vertAlign w:val="superscript"/>
        </w:rPr>
        <w:t>th</w:t>
      </w:r>
      <w:r w:rsidRPr="00AB1915">
        <w:rPr>
          <w:rFonts w:ascii="Times New Roman" w:hAnsi="Times New Roman" w:cs="Times New Roman"/>
        </w:rPr>
        <w:t xml:space="preserve"> </w:t>
      </w:r>
      <w:r>
        <w:rPr>
          <w:rFonts w:ascii="Times New Roman" w:hAnsi="Times New Roman" w:cs="Times New Roman"/>
        </w:rPr>
        <w:t>e</w:t>
      </w:r>
      <w:r w:rsidRPr="00AB1915">
        <w:rPr>
          <w:rFonts w:ascii="Times New Roman" w:hAnsi="Times New Roman" w:cs="Times New Roman"/>
        </w:rPr>
        <w:t xml:space="preserve">d. 1995), 538-539; CA 4845, 4846/95 </w:t>
      </w:r>
      <w:r w:rsidRPr="00AB1915">
        <w:rPr>
          <w:rFonts w:ascii="Times New Roman" w:hAnsi="Times New Roman" w:cs="Times New Roman"/>
          <w:i/>
          <w:iCs/>
        </w:rPr>
        <w:t xml:space="preserve">Nir v. State of Israel </w:t>
      </w:r>
      <w:r w:rsidRPr="00AB1915">
        <w:rPr>
          <w:rFonts w:ascii="Times New Roman" w:hAnsi="Times New Roman" w:cs="Times New Roman"/>
        </w:rPr>
        <w:t xml:space="preserve">IsrSC 49(2) 639, at 645-646; CA 6185/00, </w:t>
      </w:r>
      <w:r w:rsidRPr="00AB1915">
        <w:rPr>
          <w:rFonts w:ascii="Times New Roman" w:hAnsi="Times New Roman" w:cs="Times New Roman"/>
          <w:i/>
          <w:iCs/>
        </w:rPr>
        <w:t xml:space="preserve">Attorney Hana v. State of Israel </w:t>
      </w:r>
      <w:r w:rsidRPr="00AB1915">
        <w:rPr>
          <w:rFonts w:ascii="Times New Roman" w:hAnsi="Times New Roman" w:cs="Times New Roman"/>
        </w:rPr>
        <w:t>IsrSC 56(1) 366, at 378.</w:t>
      </w:r>
    </w:p>
  </w:footnote>
  <w:footnote w:id="10">
    <w:p w14:paraId="76D57085" w14:textId="411A531E" w:rsidR="00CE4F90" w:rsidRPr="00AB1915" w:rsidRDefault="00CE4F90" w:rsidP="00AB1915">
      <w:pPr>
        <w:pStyle w:val="FootnoteText"/>
        <w:jc w:val="both"/>
        <w:rPr>
          <w:rFonts w:ascii="Times New Roman" w:hAnsi="Times New Roman" w:cs="Times New Roman"/>
          <w:i/>
          <w:iCs/>
          <w:rtl/>
        </w:rPr>
      </w:pPr>
      <w:r w:rsidRPr="00AB1915">
        <w:rPr>
          <w:rStyle w:val="FootnoteReference"/>
          <w:rFonts w:ascii="Times New Roman" w:hAnsi="Times New Roman" w:cs="Times New Roman"/>
        </w:rPr>
        <w:footnoteRef/>
      </w:r>
      <w:r w:rsidRPr="00AB1915">
        <w:rPr>
          <w:rFonts w:ascii="Times New Roman" w:hAnsi="Times New Roman" w:cs="Times New Roman"/>
        </w:rPr>
        <w:t xml:space="preserve"> Motion 183/52 </w:t>
      </w:r>
      <w:r w:rsidRPr="00AB1915">
        <w:rPr>
          <w:rFonts w:ascii="Times New Roman" w:hAnsi="Times New Roman" w:cs="Times New Roman"/>
          <w:i/>
          <w:iCs/>
        </w:rPr>
        <w:t xml:space="preserve">Shatzupak v. Tel Aviv-Jaffa City Council </w:t>
      </w:r>
      <w:r w:rsidRPr="00AB1915">
        <w:rPr>
          <w:rFonts w:ascii="Times New Roman" w:hAnsi="Times New Roman" w:cs="Times New Roman"/>
        </w:rPr>
        <w:t xml:space="preserve">IsrSC 7 603, at 605-606; Motion 373/60 </w:t>
      </w:r>
      <w:r w:rsidRPr="00AB1915">
        <w:rPr>
          <w:rFonts w:ascii="Times New Roman" w:hAnsi="Times New Roman" w:cs="Times New Roman"/>
          <w:i/>
          <w:iCs/>
        </w:rPr>
        <w:t xml:space="preserve">Trachtenberg v. </w:t>
      </w:r>
      <w:proofErr w:type="spellStart"/>
      <w:r w:rsidRPr="00AB1915">
        <w:rPr>
          <w:rFonts w:ascii="Times New Roman" w:hAnsi="Times New Roman" w:cs="Times New Roman"/>
          <w:i/>
          <w:iCs/>
        </w:rPr>
        <w:t>Honigman</w:t>
      </w:r>
      <w:proofErr w:type="spellEnd"/>
      <w:r w:rsidRPr="00AB1915">
        <w:rPr>
          <w:rFonts w:ascii="Times New Roman" w:hAnsi="Times New Roman" w:cs="Times New Roman"/>
          <w:i/>
          <w:iCs/>
        </w:rPr>
        <w:t xml:space="preserve"> </w:t>
      </w:r>
      <w:r w:rsidRPr="00AB1915">
        <w:rPr>
          <w:rFonts w:ascii="Times New Roman" w:hAnsi="Times New Roman" w:cs="Times New Roman"/>
        </w:rPr>
        <w:t xml:space="preserve">IsrSC 14 1973, at 1974; CA 415/70 </w:t>
      </w:r>
      <w:r w:rsidRPr="00AB1915">
        <w:rPr>
          <w:rFonts w:ascii="Times New Roman" w:hAnsi="Times New Roman" w:cs="Times New Roman"/>
          <w:i/>
          <w:iCs/>
        </w:rPr>
        <w:t xml:space="preserve">Eliahu v. Condominium Representation for “Beit </w:t>
      </w:r>
      <w:proofErr w:type="spellStart"/>
      <w:r w:rsidRPr="00AB1915">
        <w:rPr>
          <w:rFonts w:ascii="Times New Roman" w:hAnsi="Times New Roman" w:cs="Times New Roman"/>
          <w:i/>
          <w:iCs/>
        </w:rPr>
        <w:t>Hama’a</w:t>
      </w:r>
      <w:proofErr w:type="spellEnd"/>
      <w:r w:rsidRPr="00AB1915">
        <w:rPr>
          <w:rFonts w:ascii="Times New Roman" w:hAnsi="Times New Roman" w:cs="Times New Roman"/>
          <w:i/>
          <w:iCs/>
        </w:rPr>
        <w:t xml:space="preserve"> lot”</w:t>
      </w:r>
      <w:r w:rsidRPr="00AB1915">
        <w:rPr>
          <w:rFonts w:ascii="Times New Roman" w:hAnsi="Times New Roman" w:cs="Times New Roman"/>
        </w:rPr>
        <w:t xml:space="preserve"> IsrSC 25(2) 139, at 140; CA 357/64 </w:t>
      </w:r>
      <w:r w:rsidRPr="00AB1915">
        <w:rPr>
          <w:rFonts w:ascii="Times New Roman" w:hAnsi="Times New Roman" w:cs="Times New Roman"/>
          <w:i/>
          <w:iCs/>
        </w:rPr>
        <w:t xml:space="preserve">Rakvitz v. Assessment Officer, </w:t>
      </w:r>
      <w:r w:rsidRPr="00AB1915">
        <w:rPr>
          <w:rFonts w:ascii="Times New Roman" w:hAnsi="Times New Roman" w:cs="Times New Roman"/>
        </w:rPr>
        <w:t>Gush Dan</w:t>
      </w:r>
      <w:r w:rsidRPr="00AB1915">
        <w:rPr>
          <w:rFonts w:ascii="Times New Roman" w:hAnsi="Times New Roman" w:cs="Times New Roman"/>
          <w:i/>
          <w:iCs/>
        </w:rPr>
        <w:t xml:space="preserve"> </w:t>
      </w:r>
      <w:r w:rsidRPr="00AB1915">
        <w:rPr>
          <w:rFonts w:ascii="Times New Roman" w:hAnsi="Times New Roman" w:cs="Times New Roman"/>
        </w:rPr>
        <w:t xml:space="preserve">IsrSC 18(4) 729, at 741-742; CA 2664/90 </w:t>
      </w:r>
      <w:r w:rsidRPr="00AB1915">
        <w:rPr>
          <w:rFonts w:ascii="Times New Roman" w:hAnsi="Times New Roman" w:cs="Times New Roman"/>
          <w:i/>
          <w:iCs/>
        </w:rPr>
        <w:t xml:space="preserve">Perlov v. </w:t>
      </w:r>
      <w:proofErr w:type="spellStart"/>
      <w:r w:rsidRPr="00AB1915">
        <w:rPr>
          <w:rFonts w:ascii="Times New Roman" w:hAnsi="Times New Roman" w:cs="Times New Roman"/>
          <w:i/>
          <w:iCs/>
        </w:rPr>
        <w:t>Nasimi</w:t>
      </w:r>
      <w:proofErr w:type="spellEnd"/>
      <w:r w:rsidRPr="00AB1915">
        <w:rPr>
          <w:rFonts w:ascii="Times New Roman" w:hAnsi="Times New Roman" w:cs="Times New Roman"/>
        </w:rPr>
        <w:t>, IsrSC 48(1) 787 at 799.</w:t>
      </w:r>
    </w:p>
  </w:footnote>
  <w:footnote w:id="11">
    <w:p w14:paraId="3408961B" w14:textId="2CD0455F"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2240/90 </w:t>
      </w:r>
      <w:proofErr w:type="spellStart"/>
      <w:r w:rsidRPr="00AB1915">
        <w:rPr>
          <w:rFonts w:ascii="Times New Roman" w:hAnsi="Times New Roman" w:cs="Times New Roman"/>
          <w:i/>
          <w:iCs/>
        </w:rPr>
        <w:t>Atar</w:t>
      </w:r>
      <w:proofErr w:type="spellEnd"/>
      <w:r w:rsidRPr="00AB1915">
        <w:rPr>
          <w:rFonts w:ascii="Times New Roman" w:hAnsi="Times New Roman" w:cs="Times New Roman"/>
          <w:i/>
          <w:iCs/>
        </w:rPr>
        <w:t xml:space="preserve"> v. Meltzer </w:t>
      </w:r>
      <w:r w:rsidRPr="00AB1915">
        <w:rPr>
          <w:rFonts w:ascii="Times New Roman" w:hAnsi="Times New Roman" w:cs="Times New Roman"/>
        </w:rPr>
        <w:t xml:space="preserve">IsrSC 46(4); Misc. </w:t>
      </w:r>
      <w:r>
        <w:rPr>
          <w:rFonts w:ascii="Times New Roman" w:hAnsi="Times New Roman" w:cs="Times New Roman"/>
        </w:rPr>
        <w:t xml:space="preserve">Civ. Petitions </w:t>
      </w:r>
      <w:r w:rsidRPr="00AB1915">
        <w:rPr>
          <w:rFonts w:ascii="Times New Roman" w:hAnsi="Times New Roman" w:cs="Times New Roman"/>
        </w:rPr>
        <w:t xml:space="preserve">2369/06 </w:t>
      </w:r>
      <w:r w:rsidRPr="00AB1915">
        <w:rPr>
          <w:rFonts w:ascii="Times New Roman" w:hAnsi="Times New Roman" w:cs="Times New Roman"/>
          <w:i/>
          <w:iCs/>
        </w:rPr>
        <w:t xml:space="preserve">Cohen v. Israel Discount Bank Ltd.; </w:t>
      </w:r>
      <w:r w:rsidRPr="00AB1915">
        <w:rPr>
          <w:rFonts w:ascii="Times New Roman" w:hAnsi="Times New Roman" w:cs="Times New Roman"/>
        </w:rPr>
        <w:t>S. Levin,</w:t>
      </w:r>
      <w:r w:rsidRPr="00AB1915">
        <w:rPr>
          <w:rFonts w:ascii="Times New Roman" w:hAnsi="Times New Roman" w:cs="Times New Roman"/>
          <w:i/>
          <w:iCs/>
        </w:rPr>
        <w:t xml:space="preserve"> Civil Procedure: Introduction to Basic Principles </w:t>
      </w:r>
      <w:r w:rsidRPr="00AB1915">
        <w:rPr>
          <w:rFonts w:ascii="Times New Roman" w:hAnsi="Times New Roman" w:cs="Times New Roman"/>
        </w:rPr>
        <w:t>(1999</w:t>
      </w:r>
      <w:r w:rsidRPr="00AB1915">
        <w:rPr>
          <w:rFonts w:ascii="Times New Roman" w:hAnsi="Times New Roman" w:cs="Times New Roman"/>
          <w:i/>
          <w:iCs/>
        </w:rPr>
        <w:t xml:space="preserve">, </w:t>
      </w:r>
      <w:r w:rsidRPr="00AB1915">
        <w:rPr>
          <w:rFonts w:ascii="Times New Roman" w:hAnsi="Times New Roman" w:cs="Times New Roman"/>
        </w:rPr>
        <w:t xml:space="preserve">at pp. 58-60); E. Goren, </w:t>
      </w:r>
      <w:r w:rsidRPr="00AB1915">
        <w:rPr>
          <w:rFonts w:ascii="Times New Roman" w:hAnsi="Times New Roman" w:cs="Times New Roman"/>
          <w:i/>
          <w:iCs/>
        </w:rPr>
        <w:t>Issues in Civil Procedure</w:t>
      </w:r>
      <w:r w:rsidRPr="00AB1915">
        <w:rPr>
          <w:rFonts w:ascii="Times New Roman" w:hAnsi="Times New Roman" w:cs="Times New Roman"/>
        </w:rPr>
        <w:t xml:space="preserve"> (2005), at p. 582. Compare, HCJ 188/96 </w:t>
      </w:r>
      <w:proofErr w:type="spellStart"/>
      <w:r w:rsidRPr="00AB1915">
        <w:rPr>
          <w:rFonts w:ascii="Times New Roman" w:hAnsi="Times New Roman" w:cs="Times New Roman"/>
          <w:i/>
          <w:iCs/>
        </w:rPr>
        <w:t>Chirinsky</w:t>
      </w:r>
      <w:proofErr w:type="spellEnd"/>
      <w:r w:rsidRPr="00AB1915">
        <w:rPr>
          <w:rFonts w:ascii="Times New Roman" w:hAnsi="Times New Roman" w:cs="Times New Roman"/>
          <w:i/>
          <w:iCs/>
        </w:rPr>
        <w:t xml:space="preserve"> v. Deputy Chief Judge, </w:t>
      </w:r>
      <w:proofErr w:type="spellStart"/>
      <w:r w:rsidRPr="00AB1915">
        <w:rPr>
          <w:rFonts w:ascii="Times New Roman" w:hAnsi="Times New Roman" w:cs="Times New Roman"/>
          <w:i/>
          <w:iCs/>
        </w:rPr>
        <w:t>Hadera</w:t>
      </w:r>
      <w:proofErr w:type="spellEnd"/>
      <w:r w:rsidRPr="00AB1915">
        <w:rPr>
          <w:rFonts w:ascii="Times New Roman" w:hAnsi="Times New Roman" w:cs="Times New Roman"/>
          <w:i/>
          <w:iCs/>
        </w:rPr>
        <w:t xml:space="preserve"> Magistrates Court</w:t>
      </w:r>
      <w:r w:rsidRPr="00AB1915">
        <w:rPr>
          <w:rFonts w:ascii="Times New Roman" w:hAnsi="Times New Roman" w:cs="Times New Roman"/>
        </w:rPr>
        <w:t xml:space="preserve"> IsrSC 52(3), at 721.</w:t>
      </w:r>
    </w:p>
  </w:footnote>
  <w:footnote w:id="12">
    <w:p w14:paraId="193851DA" w14:textId="32152AC7"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As these appear in the following legal databases: </w:t>
      </w:r>
      <w:proofErr w:type="spellStart"/>
      <w:r w:rsidRPr="00AB1915">
        <w:rPr>
          <w:rFonts w:ascii="Times New Roman" w:hAnsi="Times New Roman" w:cs="Times New Roman"/>
          <w:i/>
          <w:iCs/>
        </w:rPr>
        <w:t>Nevo</w:t>
      </w:r>
      <w:proofErr w:type="spellEnd"/>
      <w:r w:rsidRPr="00AB1915">
        <w:rPr>
          <w:rFonts w:ascii="Times New Roman" w:hAnsi="Times New Roman" w:cs="Times New Roman"/>
        </w:rPr>
        <w:t xml:space="preserve">, </w:t>
      </w:r>
      <w:proofErr w:type="spellStart"/>
      <w:r w:rsidRPr="00AB1915">
        <w:rPr>
          <w:rFonts w:ascii="Times New Roman" w:hAnsi="Times New Roman" w:cs="Times New Roman"/>
          <w:i/>
          <w:iCs/>
        </w:rPr>
        <w:t>Takdinet</w:t>
      </w:r>
      <w:proofErr w:type="spellEnd"/>
      <w:r w:rsidRPr="00AB1915">
        <w:rPr>
          <w:rFonts w:ascii="Times New Roman" w:hAnsi="Times New Roman" w:cs="Times New Roman"/>
        </w:rPr>
        <w:t xml:space="preserve">, </w:t>
      </w:r>
      <w:proofErr w:type="spellStart"/>
      <w:r w:rsidRPr="00AB1915">
        <w:rPr>
          <w:rFonts w:ascii="Times New Roman" w:hAnsi="Times New Roman" w:cs="Times New Roman"/>
          <w:i/>
          <w:iCs/>
        </w:rPr>
        <w:t>Dinim</w:t>
      </w:r>
      <w:proofErr w:type="spellEnd"/>
      <w:r w:rsidRPr="00AB1915">
        <w:rPr>
          <w:rFonts w:ascii="Times New Roman" w:hAnsi="Times New Roman" w:cs="Times New Roman"/>
        </w:rPr>
        <w:t xml:space="preserve">, </w:t>
      </w:r>
      <w:r w:rsidRPr="00AB1915">
        <w:rPr>
          <w:rFonts w:ascii="Times New Roman" w:hAnsi="Times New Roman" w:cs="Times New Roman"/>
          <w:i/>
          <w:iCs/>
        </w:rPr>
        <w:t>Pad-or</w:t>
      </w:r>
    </w:p>
  </w:footnote>
  <w:footnote w:id="13">
    <w:p w14:paraId="17E17E9D" w14:textId="5D404037"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Pr>
          <w:rFonts w:ascii="Times New Roman" w:hAnsi="Times New Roman" w:cs="Times New Roman"/>
        </w:rPr>
        <w:t>The equivalent of a</w:t>
      </w:r>
      <w:r w:rsidRPr="00AB1915">
        <w:rPr>
          <w:rFonts w:ascii="Times New Roman" w:hAnsi="Times New Roman" w:cs="Times New Roman"/>
        </w:rPr>
        <w:t>pproximately US</w:t>
      </w:r>
      <w:r>
        <w:rPr>
          <w:rFonts w:ascii="Times New Roman" w:hAnsi="Times New Roman" w:cs="Times New Roman"/>
        </w:rPr>
        <w:t xml:space="preserve"> $</w:t>
      </w:r>
      <w:r w:rsidRPr="00AB1915">
        <w:rPr>
          <w:rFonts w:ascii="Times New Roman" w:hAnsi="Times New Roman" w:cs="Times New Roman"/>
        </w:rPr>
        <w:t xml:space="preserve">2,500; Misc. Civ. Petitions 4279/05 </w:t>
      </w:r>
      <w:r w:rsidRPr="00AB1915">
        <w:rPr>
          <w:rFonts w:ascii="Times New Roman" w:hAnsi="Times New Roman" w:cs="Times New Roman"/>
          <w:i/>
          <w:iCs/>
        </w:rPr>
        <w:t xml:space="preserve">Diskin Chisin v. Estate of the late Alexander </w:t>
      </w:r>
      <w:proofErr w:type="spellStart"/>
      <w:r w:rsidRPr="00AB1915">
        <w:rPr>
          <w:rFonts w:ascii="Times New Roman" w:hAnsi="Times New Roman" w:cs="Times New Roman"/>
          <w:i/>
          <w:iCs/>
        </w:rPr>
        <w:t>Rachlin</w:t>
      </w:r>
      <w:proofErr w:type="spellEnd"/>
      <w:r w:rsidRPr="00AB1915">
        <w:rPr>
          <w:rFonts w:ascii="Times New Roman" w:hAnsi="Times New Roman" w:cs="Times New Roman"/>
          <w:i/>
          <w:iCs/>
        </w:rPr>
        <w:t xml:space="preserve"> </w:t>
      </w:r>
      <w:r w:rsidRPr="00AB1915">
        <w:rPr>
          <w:rFonts w:ascii="Times New Roman" w:hAnsi="Times New Roman" w:cs="Times New Roman"/>
        </w:rPr>
        <w:t>(2006).</w:t>
      </w:r>
    </w:p>
  </w:footnote>
  <w:footnote w:id="14">
    <w:p w14:paraId="366EF892" w14:textId="15FE487C"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Criminal Case (Tel Aviv) 40320/01 </w:t>
      </w:r>
      <w:r w:rsidRPr="00AB1915">
        <w:rPr>
          <w:rFonts w:ascii="Times New Roman" w:hAnsi="Times New Roman" w:cs="Times New Roman"/>
          <w:i/>
          <w:iCs/>
        </w:rPr>
        <w:t>Tel Aviv District Criminal Prosecutor’s Office v. Hadad</w:t>
      </w:r>
      <w:r w:rsidRPr="00AB1915">
        <w:rPr>
          <w:rFonts w:ascii="Times New Roman" w:hAnsi="Times New Roman" w:cs="Times New Roman"/>
        </w:rPr>
        <w:t xml:space="preserve"> (unpublished, 2002): “I would certainly never have thought of ordering the public defender to pay costs! There is no basis (legal or ethical) and there is no hint of such in the verdict”; and see also, </w:t>
      </w:r>
      <w:r w:rsidRPr="00AB1915">
        <w:rPr>
          <w:rFonts w:ascii="Times New Roman" w:hAnsi="Times New Roman" w:cs="Times New Roman"/>
          <w:i/>
          <w:iCs/>
        </w:rPr>
        <w:t xml:space="preserve">Hana, </w:t>
      </w:r>
      <w:r>
        <w:rPr>
          <w:rFonts w:ascii="Times New Roman" w:hAnsi="Times New Roman" w:cs="Times New Roman"/>
          <w:i/>
          <w:iCs/>
        </w:rPr>
        <w:t>supra</w:t>
      </w:r>
      <w:r w:rsidRPr="00AB1915">
        <w:rPr>
          <w:rFonts w:ascii="Times New Roman" w:hAnsi="Times New Roman" w:cs="Times New Roman"/>
        </w:rPr>
        <w:t xml:space="preserve">; </w:t>
      </w:r>
      <w:r>
        <w:rPr>
          <w:rFonts w:ascii="Times New Roman" w:hAnsi="Times New Roman" w:cs="Times New Roman"/>
          <w:i/>
          <w:iCs/>
        </w:rPr>
        <w:t>N</w:t>
      </w:r>
      <w:r w:rsidRPr="00AB1915">
        <w:rPr>
          <w:rFonts w:ascii="Times New Roman" w:hAnsi="Times New Roman" w:cs="Times New Roman"/>
          <w:i/>
          <w:iCs/>
        </w:rPr>
        <w:t xml:space="preserve">ir, </w:t>
      </w:r>
      <w:r>
        <w:rPr>
          <w:rFonts w:ascii="Times New Roman" w:hAnsi="Times New Roman" w:cs="Times New Roman"/>
          <w:i/>
          <w:iCs/>
        </w:rPr>
        <w:t>supra</w:t>
      </w:r>
      <w:r w:rsidRPr="00AB1915">
        <w:rPr>
          <w:rFonts w:ascii="Times New Roman" w:hAnsi="Times New Roman" w:cs="Times New Roman"/>
          <w:i/>
          <w:iCs/>
        </w:rPr>
        <w:t>.</w:t>
      </w:r>
      <w:r w:rsidRPr="00AB1915">
        <w:rPr>
          <w:rFonts w:ascii="Times New Roman" w:hAnsi="Times New Roman" w:cs="Times New Roman"/>
        </w:rPr>
        <w:t xml:space="preserve"> And compare, Supreme Rabbinical Council Decision 1-13-002793529, </w:t>
      </w:r>
      <w:r w:rsidRPr="00AB1915">
        <w:rPr>
          <w:rFonts w:ascii="Times New Roman" w:hAnsi="Times New Roman" w:cs="Times New Roman"/>
          <w:i/>
          <w:iCs/>
        </w:rPr>
        <w:t>Greif v. Greif</w:t>
      </w:r>
      <w:r w:rsidRPr="00AB1915">
        <w:rPr>
          <w:rFonts w:ascii="Times New Roman" w:hAnsi="Times New Roman" w:cs="Times New Roman"/>
        </w:rPr>
        <w:t xml:space="preserve"> (2005).</w:t>
      </w:r>
    </w:p>
  </w:footnote>
  <w:footnote w:id="15">
    <w:p w14:paraId="1B000FAF" w14:textId="4F6961D6"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LCA 589/88 </w:t>
      </w:r>
      <w:r w:rsidRPr="00AB1915">
        <w:rPr>
          <w:rFonts w:ascii="Times New Roman" w:hAnsi="Times New Roman" w:cs="Times New Roman"/>
          <w:i/>
          <w:iCs/>
        </w:rPr>
        <w:t xml:space="preserve">Sar v. </w:t>
      </w:r>
      <w:proofErr w:type="spellStart"/>
      <w:r w:rsidRPr="00AB1915">
        <w:rPr>
          <w:rFonts w:ascii="Times New Roman" w:hAnsi="Times New Roman" w:cs="Times New Roman"/>
          <w:i/>
          <w:iCs/>
        </w:rPr>
        <w:t>Kuba</w:t>
      </w:r>
      <w:proofErr w:type="spellEnd"/>
      <w:r w:rsidRPr="00AB1915">
        <w:rPr>
          <w:rFonts w:ascii="Times New Roman" w:hAnsi="Times New Roman" w:cs="Times New Roman"/>
        </w:rPr>
        <w:t xml:space="preserve"> [1989] IsrSC 42(4) 395; Crim. Case (Jerusalem) 2077/06 </w:t>
      </w:r>
      <w:r w:rsidRPr="00AB1915">
        <w:rPr>
          <w:rFonts w:ascii="Times New Roman" w:hAnsi="Times New Roman" w:cs="Times New Roman"/>
          <w:i/>
          <w:iCs/>
        </w:rPr>
        <w:t xml:space="preserve">State of Israel v. Arish </w:t>
      </w:r>
      <w:r w:rsidRPr="00AB1915">
        <w:rPr>
          <w:rFonts w:ascii="Times New Roman" w:hAnsi="Times New Roman" w:cs="Times New Roman"/>
        </w:rPr>
        <w:t xml:space="preserve">(unpublished 2008); Bankruptcy Case (Tel Aviv) 1561/02 </w:t>
      </w:r>
      <w:r w:rsidRPr="00AB1915">
        <w:rPr>
          <w:rFonts w:ascii="Times New Roman" w:hAnsi="Times New Roman" w:cs="Times New Roman"/>
          <w:i/>
          <w:iCs/>
        </w:rPr>
        <w:t xml:space="preserve">Levi </w:t>
      </w:r>
      <w:proofErr w:type="spellStart"/>
      <w:r w:rsidRPr="00AB1915">
        <w:rPr>
          <w:rFonts w:ascii="Times New Roman" w:hAnsi="Times New Roman" w:cs="Times New Roman"/>
          <w:i/>
          <w:iCs/>
        </w:rPr>
        <w:t>Ramot</w:t>
      </w:r>
      <w:proofErr w:type="spellEnd"/>
      <w:r w:rsidRPr="00AB1915">
        <w:rPr>
          <w:rFonts w:ascii="Times New Roman" w:hAnsi="Times New Roman" w:cs="Times New Roman"/>
          <w:i/>
          <w:iCs/>
        </w:rPr>
        <w:t xml:space="preserve"> Dirt and Road Work and Development Ltd. v. ZP Society </w:t>
      </w:r>
      <w:r w:rsidRPr="00AB1915">
        <w:rPr>
          <w:rFonts w:ascii="Times New Roman" w:hAnsi="Times New Roman" w:cs="Times New Roman"/>
        </w:rPr>
        <w:t>(unpublished 2003).</w:t>
      </w:r>
    </w:p>
  </w:footnote>
  <w:footnote w:id="16">
    <w:p w14:paraId="6B96A74B" w14:textId="2A15297A" w:rsidR="00CE4F90" w:rsidRPr="00AB1915" w:rsidRDefault="00CE4F90" w:rsidP="00AB1915">
      <w:pPr>
        <w:pStyle w:val="FootnoteText"/>
        <w:jc w:val="both"/>
        <w:rPr>
          <w:rFonts w:ascii="Times New Roman" w:hAnsi="Times New Roman" w:cs="Times New Roman"/>
          <w:i/>
          <w:iCs/>
          <w:rtl/>
        </w:rPr>
      </w:pPr>
      <w:r w:rsidRPr="00AB1915">
        <w:rPr>
          <w:rStyle w:val="FootnoteReference"/>
          <w:rFonts w:ascii="Times New Roman" w:hAnsi="Times New Roman" w:cs="Times New Roman"/>
        </w:rPr>
        <w:footnoteRef/>
      </w:r>
      <w:r w:rsidRPr="00AB1915">
        <w:rPr>
          <w:rFonts w:ascii="Times New Roman" w:hAnsi="Times New Roman" w:cs="Times New Roman"/>
        </w:rPr>
        <w:t xml:space="preserve"> This is what happened, for example, in CA (Haifa) 1542/05 </w:t>
      </w:r>
      <w:proofErr w:type="spellStart"/>
      <w:r w:rsidRPr="00AB1915">
        <w:rPr>
          <w:rFonts w:ascii="Times New Roman" w:hAnsi="Times New Roman" w:cs="Times New Roman"/>
          <w:i/>
          <w:iCs/>
        </w:rPr>
        <w:t>Papu</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Clal</w:t>
      </w:r>
      <w:proofErr w:type="spellEnd"/>
      <w:r w:rsidRPr="00AB1915">
        <w:rPr>
          <w:rFonts w:ascii="Times New Roman" w:hAnsi="Times New Roman" w:cs="Times New Roman"/>
          <w:i/>
          <w:iCs/>
        </w:rPr>
        <w:t xml:space="preserve"> Insurance Company, Ltd.</w:t>
      </w:r>
      <w:r w:rsidRPr="00AB1915">
        <w:rPr>
          <w:rFonts w:ascii="Times New Roman" w:hAnsi="Times New Roman" w:cs="Times New Roman"/>
        </w:rPr>
        <w:t xml:space="preserve"> (unpublished, 2006). In that case, the lower court had ordered the court to pay expenses in the amount of NIS 3000 plus VAT. The ground was an intentional misdirection by the prosecutor, who was </w:t>
      </w:r>
      <w:r w:rsidRPr="0001393F">
        <w:rPr>
          <w:rFonts w:ascii="Times New Roman" w:hAnsi="Times New Roman" w:cs="Times New Roman"/>
          <w:highlight w:val="yellow"/>
        </w:rPr>
        <w:t>abusing his position</w:t>
      </w:r>
      <w:r w:rsidRPr="00AB1915">
        <w:rPr>
          <w:rFonts w:ascii="Times New Roman" w:hAnsi="Times New Roman" w:cs="Times New Roman"/>
        </w:rPr>
        <w:t xml:space="preserve"> as an officer of the court. However, the appeals court chose to grant the appeal and cancel</w:t>
      </w:r>
      <w:r>
        <w:rPr>
          <w:rFonts w:ascii="Times New Roman" w:hAnsi="Times New Roman" w:cs="Times New Roman"/>
        </w:rPr>
        <w:t>led</w:t>
      </w:r>
      <w:r w:rsidRPr="00AB1915">
        <w:rPr>
          <w:rFonts w:ascii="Times New Roman" w:hAnsi="Times New Roman" w:cs="Times New Roman"/>
        </w:rPr>
        <w:t xml:space="preserve"> the order to pay expenses, noting that the such an order is given </w:t>
      </w:r>
      <w:r>
        <w:rPr>
          <w:rFonts w:ascii="Times New Roman" w:hAnsi="Times New Roman" w:cs="Times New Roman"/>
        </w:rPr>
        <w:t xml:space="preserve">only </w:t>
      </w:r>
      <w:r w:rsidRPr="00AB1915">
        <w:rPr>
          <w:rFonts w:ascii="Times New Roman" w:hAnsi="Times New Roman" w:cs="Times New Roman"/>
        </w:rPr>
        <w:t>as an exceptional and harsh measure</w:t>
      </w:r>
      <w:r>
        <w:rPr>
          <w:rFonts w:ascii="Times New Roman" w:hAnsi="Times New Roman" w:cs="Times New Roman"/>
        </w:rPr>
        <w:t>,</w:t>
      </w:r>
      <w:r w:rsidRPr="00AB1915">
        <w:rPr>
          <w:rFonts w:ascii="Times New Roman" w:hAnsi="Times New Roman" w:cs="Times New Roman"/>
        </w:rPr>
        <w:t xml:space="preserve"> and must be </w:t>
      </w:r>
      <w:r>
        <w:rPr>
          <w:rFonts w:ascii="Times New Roman" w:hAnsi="Times New Roman" w:cs="Times New Roman"/>
        </w:rPr>
        <w:t xml:space="preserve">issued </w:t>
      </w:r>
      <w:r w:rsidRPr="00AB1915">
        <w:rPr>
          <w:rFonts w:ascii="Times New Roman" w:hAnsi="Times New Roman" w:cs="Times New Roman"/>
        </w:rPr>
        <w:t xml:space="preserve">only when </w:t>
      </w:r>
      <w:r>
        <w:rPr>
          <w:rFonts w:ascii="Times New Roman" w:hAnsi="Times New Roman" w:cs="Times New Roman"/>
        </w:rPr>
        <w:t xml:space="preserve">the court has </w:t>
      </w:r>
      <w:r w:rsidRPr="00AB1915">
        <w:rPr>
          <w:rFonts w:ascii="Times New Roman" w:hAnsi="Times New Roman" w:cs="Times New Roman"/>
        </w:rPr>
        <w:t>no doubt</w:t>
      </w:r>
      <w:r>
        <w:rPr>
          <w:rFonts w:ascii="Times New Roman" w:hAnsi="Times New Roman" w:cs="Times New Roman"/>
        </w:rPr>
        <w:t>s</w:t>
      </w:r>
      <w:r w:rsidRPr="00AB1915">
        <w:rPr>
          <w:rFonts w:ascii="Times New Roman" w:hAnsi="Times New Roman" w:cs="Times New Roman"/>
        </w:rPr>
        <w:t xml:space="preserve">; and see also Motion for Leave to Appeal (Tel Aviv) 1813/04 </w:t>
      </w:r>
      <w:proofErr w:type="spellStart"/>
      <w:r w:rsidRPr="00AB1915">
        <w:rPr>
          <w:rFonts w:ascii="Times New Roman" w:hAnsi="Times New Roman" w:cs="Times New Roman"/>
          <w:i/>
          <w:iCs/>
        </w:rPr>
        <w:t>Hadar</w:t>
      </w:r>
      <w:proofErr w:type="spellEnd"/>
      <w:r w:rsidRPr="00AB1915">
        <w:rPr>
          <w:rFonts w:ascii="Times New Roman" w:hAnsi="Times New Roman" w:cs="Times New Roman"/>
          <w:i/>
          <w:iCs/>
        </w:rPr>
        <w:t xml:space="preserve"> Insurance Co. Ltd. v. </w:t>
      </w:r>
      <w:proofErr w:type="spellStart"/>
      <w:r w:rsidRPr="00AB1915">
        <w:rPr>
          <w:rFonts w:ascii="Times New Roman" w:hAnsi="Times New Roman" w:cs="Times New Roman"/>
          <w:i/>
          <w:iCs/>
        </w:rPr>
        <w:t>Shuldman</w:t>
      </w:r>
      <w:proofErr w:type="spellEnd"/>
      <w:r w:rsidRPr="00AB1915">
        <w:rPr>
          <w:rFonts w:ascii="Times New Roman" w:hAnsi="Times New Roman" w:cs="Times New Roman"/>
          <w:i/>
          <w:iCs/>
        </w:rPr>
        <w:t xml:space="preserve"> </w:t>
      </w:r>
      <w:r w:rsidRPr="00AB1915">
        <w:rPr>
          <w:rFonts w:ascii="Times New Roman" w:hAnsi="Times New Roman" w:cs="Times New Roman"/>
        </w:rPr>
        <w:t xml:space="preserve">(unpublished, 2004): </w:t>
      </w:r>
      <w:r>
        <w:rPr>
          <w:rFonts w:ascii="Times New Roman" w:hAnsi="Times New Roman" w:cs="Times New Roman"/>
        </w:rPr>
        <w:t xml:space="preserve">there, </w:t>
      </w:r>
      <w:r w:rsidRPr="00AB1915">
        <w:rPr>
          <w:rFonts w:ascii="Times New Roman" w:hAnsi="Times New Roman" w:cs="Times New Roman"/>
        </w:rPr>
        <w:t xml:space="preserve">the lower court judge expressed her distaste for the attorney’s behavior  with strong language and ordered him to personally pay NIS 3,000 (“I find it difficult to imagine an act that would </w:t>
      </w:r>
      <w:r w:rsidRPr="0001393F">
        <w:rPr>
          <w:rFonts w:ascii="Times New Roman" w:hAnsi="Times New Roman" w:cs="Times New Roman"/>
          <w:highlight w:val="yellow"/>
        </w:rPr>
        <w:t>turn a court decision into a fraud</w:t>
      </w:r>
      <w:r w:rsidRPr="00AB1915">
        <w:rPr>
          <w:rFonts w:ascii="Times New Roman" w:hAnsi="Times New Roman" w:cs="Times New Roman"/>
        </w:rPr>
        <w:t xml:space="preserve"> more than the act committed by the defendant’s counsel.”) Nevertheless, the appellate court held that since the attorney was not given an opportunity to argue on his own behalf and because the respondent’s counsel agreed to cancel the order of expenses, the appeal was granted. </w:t>
      </w:r>
    </w:p>
  </w:footnote>
  <w:footnote w:id="17">
    <w:p w14:paraId="1E4C0B24" w14:textId="665416E1"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642/61 </w:t>
      </w:r>
      <w:proofErr w:type="spellStart"/>
      <w:r w:rsidRPr="00AB1915">
        <w:rPr>
          <w:rFonts w:ascii="Times New Roman" w:hAnsi="Times New Roman" w:cs="Times New Roman"/>
          <w:i/>
          <w:iCs/>
        </w:rPr>
        <w:t>Tefer</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Marleh</w:t>
      </w:r>
      <w:proofErr w:type="spellEnd"/>
      <w:r w:rsidRPr="00AB1915">
        <w:rPr>
          <w:rFonts w:ascii="Times New Roman" w:hAnsi="Times New Roman" w:cs="Times New Roman"/>
          <w:i/>
          <w:iCs/>
        </w:rPr>
        <w:t xml:space="preserve"> </w:t>
      </w:r>
      <w:r w:rsidRPr="00AB1915">
        <w:rPr>
          <w:rFonts w:ascii="Times New Roman" w:hAnsi="Times New Roman" w:cs="Times New Roman"/>
        </w:rPr>
        <w:t>IsrSC [1962] IsrSC 16 1000, at 1007-1008.</w:t>
      </w:r>
    </w:p>
  </w:footnote>
  <w:footnote w:id="18">
    <w:p w14:paraId="4B566403" w14:textId="50685A15"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Hana</w:t>
      </w:r>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at 380; </w:t>
      </w:r>
      <w:r w:rsidRPr="00AB1915">
        <w:rPr>
          <w:rFonts w:ascii="Times New Roman" w:hAnsi="Times New Roman" w:cs="Times New Roman"/>
          <w:i/>
          <w:iCs/>
        </w:rPr>
        <w:t>Nir, supra</w:t>
      </w:r>
      <w:r w:rsidRPr="00AB1915">
        <w:rPr>
          <w:rFonts w:ascii="Times New Roman" w:hAnsi="Times New Roman" w:cs="Times New Roman"/>
        </w:rPr>
        <w:t xml:space="preserve">; </w:t>
      </w:r>
      <w:r w:rsidRPr="00AB1915">
        <w:rPr>
          <w:rFonts w:ascii="Times New Roman" w:hAnsi="Times New Roman" w:cs="Times New Roman"/>
          <w:i/>
          <w:iCs/>
        </w:rPr>
        <w:t xml:space="preserve">Shatzupak, supra </w:t>
      </w:r>
      <w:r w:rsidRPr="00AB1915">
        <w:rPr>
          <w:rFonts w:ascii="Times New Roman" w:hAnsi="Times New Roman" w:cs="Times New Roman"/>
        </w:rPr>
        <w:t xml:space="preserve">at 605-606; </w:t>
      </w:r>
      <w:r w:rsidRPr="00AB1915">
        <w:rPr>
          <w:rFonts w:ascii="Times New Roman" w:hAnsi="Times New Roman" w:cs="Times New Roman"/>
          <w:i/>
          <w:iCs/>
        </w:rPr>
        <w:t>Trachtenberg, supra</w:t>
      </w:r>
      <w:r w:rsidRPr="00AB1915">
        <w:rPr>
          <w:rFonts w:ascii="Times New Roman" w:hAnsi="Times New Roman" w:cs="Times New Roman"/>
        </w:rPr>
        <w:t xml:space="preserve"> at 1974; </w:t>
      </w:r>
      <w:r w:rsidRPr="00AB1915">
        <w:rPr>
          <w:rFonts w:ascii="Times New Roman" w:hAnsi="Times New Roman" w:cs="Times New Roman"/>
          <w:i/>
          <w:iCs/>
        </w:rPr>
        <w:t>Eliahu, supra</w:t>
      </w:r>
      <w:r w:rsidRPr="00AB1915">
        <w:rPr>
          <w:rFonts w:ascii="Times New Roman" w:hAnsi="Times New Roman" w:cs="Times New Roman"/>
        </w:rPr>
        <w:t xml:space="preserve"> at 140; </w:t>
      </w:r>
      <w:r w:rsidRPr="00AB1915">
        <w:rPr>
          <w:rFonts w:ascii="Times New Roman" w:hAnsi="Times New Roman" w:cs="Times New Roman"/>
          <w:i/>
          <w:iCs/>
        </w:rPr>
        <w:t xml:space="preserve">Rakvitz, supra </w:t>
      </w:r>
      <w:r w:rsidRPr="00AB1915">
        <w:rPr>
          <w:rFonts w:ascii="Times New Roman" w:hAnsi="Times New Roman" w:cs="Times New Roman"/>
        </w:rPr>
        <w:t>at 741-742.</w:t>
      </w:r>
    </w:p>
  </w:footnote>
  <w:footnote w:id="19">
    <w:p w14:paraId="14ABDFAE" w14:textId="414B2791"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Diskin</w:t>
      </w:r>
      <w:r w:rsidRPr="00AB1915">
        <w:rPr>
          <w:rFonts w:ascii="Times New Roman" w:hAnsi="Times New Roman" w:cs="Times New Roman"/>
        </w:rPr>
        <w:t xml:space="preserve"> </w:t>
      </w:r>
      <w:r w:rsidRPr="00AB1915">
        <w:rPr>
          <w:rFonts w:ascii="Times New Roman" w:hAnsi="Times New Roman" w:cs="Times New Roman"/>
          <w:i/>
          <w:iCs/>
        </w:rPr>
        <w:t>Chisin</w:t>
      </w:r>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and compare Misc. Civ. Petitions 2764/06 Motion for Leave to Appeal 1081/05 </w:t>
      </w:r>
      <w:r w:rsidRPr="00AB1915">
        <w:rPr>
          <w:rFonts w:ascii="Times New Roman" w:hAnsi="Times New Roman" w:cs="Times New Roman"/>
          <w:i/>
          <w:iCs/>
        </w:rPr>
        <w:t xml:space="preserve">Anonymous v. Anonymous </w:t>
      </w:r>
      <w:r w:rsidRPr="00AB1915">
        <w:rPr>
          <w:rFonts w:ascii="Times New Roman" w:hAnsi="Times New Roman" w:cs="Times New Roman"/>
        </w:rPr>
        <w:t>(unpublished, 2006).</w:t>
      </w:r>
    </w:p>
  </w:footnote>
  <w:footnote w:id="20">
    <w:p w14:paraId="0A006EB5" w14:textId="5F1ECFCF" w:rsidR="00CE4F90" w:rsidRPr="00AB1915" w:rsidRDefault="00CE4F90" w:rsidP="00AB1915">
      <w:pPr>
        <w:pStyle w:val="FootnoteText"/>
        <w:jc w:val="both"/>
        <w:rPr>
          <w:rFonts w:ascii="Times New Roman" w:hAnsi="Times New Roman" w:cs="Times New Roman"/>
          <w:rtl/>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5075/02 </w:t>
      </w:r>
      <w:r w:rsidRPr="00AB1915">
        <w:rPr>
          <w:rFonts w:ascii="Times New Roman" w:hAnsi="Times New Roman" w:cs="Times New Roman"/>
          <w:i/>
          <w:iCs/>
        </w:rPr>
        <w:t xml:space="preserve">Bardugo v. State of Israel </w:t>
      </w:r>
      <w:r w:rsidRPr="00AB1915">
        <w:rPr>
          <w:rFonts w:ascii="Times New Roman" w:hAnsi="Times New Roman" w:cs="Times New Roman"/>
        </w:rPr>
        <w:t xml:space="preserve">[2004] IsrSC 58(2) 860; </w:t>
      </w:r>
      <w:r w:rsidR="00C77EAA">
        <w:rPr>
          <w:rFonts w:ascii="Times New Roman" w:hAnsi="Times New Roman" w:cs="Times New Roman"/>
        </w:rPr>
        <w:t>Motion</w:t>
      </w:r>
      <w:r w:rsidRPr="00AB1915">
        <w:rPr>
          <w:rFonts w:ascii="Times New Roman" w:hAnsi="Times New Roman" w:cs="Times New Roman"/>
        </w:rPr>
        <w:t xml:space="preserve"> (Nazareth) 001825/00 </w:t>
      </w:r>
      <w:r w:rsidRPr="00AB1915">
        <w:rPr>
          <w:rFonts w:ascii="Times New Roman" w:hAnsi="Times New Roman" w:cs="Times New Roman"/>
          <w:i/>
          <w:iCs/>
        </w:rPr>
        <w:t>Feldman v. State of Israel</w:t>
      </w:r>
      <w:r w:rsidRPr="00AB1915">
        <w:rPr>
          <w:rFonts w:ascii="Times New Roman" w:hAnsi="Times New Roman" w:cs="Times New Roman"/>
        </w:rPr>
        <w:t>.</w:t>
      </w:r>
    </w:p>
  </w:footnote>
  <w:footnote w:id="21">
    <w:p w14:paraId="19066312" w14:textId="09D5B351"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rPr>
        <w:t>CrimC</w:t>
      </w:r>
      <w:proofErr w:type="spellEnd"/>
      <w:r w:rsidRPr="00AB1915">
        <w:rPr>
          <w:rFonts w:ascii="Times New Roman" w:hAnsi="Times New Roman" w:cs="Times New Roman"/>
        </w:rPr>
        <w:t xml:space="preserve"> (Jerusalem) 2077/06 </w:t>
      </w:r>
      <w:r w:rsidRPr="00AB1915">
        <w:rPr>
          <w:rFonts w:ascii="Times New Roman" w:hAnsi="Times New Roman" w:cs="Times New Roman"/>
          <w:i/>
          <w:iCs/>
        </w:rPr>
        <w:t>State of Israel v. Arish</w:t>
      </w:r>
      <w:r w:rsidRPr="00AB1915">
        <w:rPr>
          <w:rFonts w:ascii="Times New Roman" w:hAnsi="Times New Roman" w:cs="Times New Roman"/>
        </w:rPr>
        <w:t xml:space="preserve"> (unpublished, 2008); HCJ 4182/98 </w:t>
      </w:r>
      <w:proofErr w:type="spellStart"/>
      <w:r w:rsidRPr="00AB1915">
        <w:rPr>
          <w:rFonts w:ascii="Times New Roman" w:hAnsi="Times New Roman" w:cs="Times New Roman"/>
          <w:i/>
          <w:iCs/>
        </w:rPr>
        <w:t>Getuoni</w:t>
      </w:r>
      <w:proofErr w:type="spellEnd"/>
      <w:r w:rsidRPr="00AB1915">
        <w:rPr>
          <w:rFonts w:ascii="Times New Roman" w:hAnsi="Times New Roman" w:cs="Times New Roman"/>
          <w:i/>
          <w:iCs/>
        </w:rPr>
        <w:t xml:space="preserve"> v. Minister of the Interior </w:t>
      </w:r>
      <w:r w:rsidRPr="00AB1915">
        <w:rPr>
          <w:rFonts w:ascii="Times New Roman" w:hAnsi="Times New Roman" w:cs="Times New Roman"/>
        </w:rPr>
        <w:t xml:space="preserve">(unpublished, 1998); </w:t>
      </w:r>
      <w:r w:rsidRPr="00AB1915">
        <w:rPr>
          <w:rFonts w:ascii="Times New Roman" w:hAnsi="Times New Roman" w:cs="Times New Roman"/>
          <w:i/>
          <w:iCs/>
        </w:rPr>
        <w:t>Hadad</w:t>
      </w:r>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Felony Case (Jerusalem) 856/05 </w:t>
      </w:r>
      <w:r w:rsidRPr="00AB1915">
        <w:rPr>
          <w:rFonts w:ascii="Times New Roman" w:hAnsi="Times New Roman" w:cs="Times New Roman"/>
          <w:i/>
          <w:iCs/>
        </w:rPr>
        <w:t xml:space="preserve">State of Israel v. </w:t>
      </w:r>
      <w:proofErr w:type="spellStart"/>
      <w:r w:rsidRPr="00AB1915">
        <w:rPr>
          <w:rFonts w:ascii="Times New Roman" w:hAnsi="Times New Roman" w:cs="Times New Roman"/>
          <w:i/>
          <w:iCs/>
        </w:rPr>
        <w:t>Gabai</w:t>
      </w:r>
      <w:proofErr w:type="spellEnd"/>
      <w:r w:rsidRPr="00AB1915">
        <w:rPr>
          <w:rFonts w:ascii="Times New Roman" w:hAnsi="Times New Roman" w:cs="Times New Roman"/>
        </w:rPr>
        <w:t xml:space="preserve"> (unpublished, 2006): </w:t>
      </w:r>
      <w:r>
        <w:rPr>
          <w:rFonts w:ascii="Times New Roman" w:hAnsi="Times New Roman" w:cs="Times New Roman"/>
        </w:rPr>
        <w:t xml:space="preserve">although </w:t>
      </w:r>
      <w:r w:rsidRPr="00AB1915">
        <w:rPr>
          <w:rFonts w:ascii="Times New Roman" w:hAnsi="Times New Roman" w:cs="Times New Roman"/>
        </w:rPr>
        <w:t xml:space="preserve">the court describes the “inappropriate, disrespectful and improper behavior” of the attorneys and </w:t>
      </w:r>
      <w:r>
        <w:rPr>
          <w:rFonts w:ascii="Times New Roman" w:hAnsi="Times New Roman" w:cs="Times New Roman"/>
        </w:rPr>
        <w:t>found</w:t>
      </w:r>
      <w:r w:rsidRPr="00AB1915">
        <w:rPr>
          <w:rFonts w:ascii="Times New Roman" w:hAnsi="Times New Roman" w:cs="Times New Roman"/>
        </w:rPr>
        <w:t xml:space="preserve"> that they ignored their duties as attorneys to help the court to do justice, the court issued </w:t>
      </w:r>
      <w:r w:rsidR="0040009B" w:rsidRPr="00AB1915">
        <w:rPr>
          <w:rFonts w:ascii="Times New Roman" w:hAnsi="Times New Roman" w:cs="Times New Roman"/>
        </w:rPr>
        <w:t xml:space="preserve">only </w:t>
      </w:r>
      <w:r w:rsidRPr="00AB1915">
        <w:rPr>
          <w:rFonts w:ascii="Times New Roman" w:hAnsi="Times New Roman" w:cs="Times New Roman"/>
        </w:rPr>
        <w:t>a warning.</w:t>
      </w:r>
    </w:p>
  </w:footnote>
  <w:footnote w:id="22">
    <w:p w14:paraId="7F89EF66" w14:textId="6725C9B2"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Hana</w:t>
      </w:r>
      <w:r w:rsidRPr="00AB1915">
        <w:rPr>
          <w:rFonts w:ascii="Times New Roman" w:hAnsi="Times New Roman" w:cs="Times New Roman"/>
        </w:rPr>
        <w:t xml:space="preserve">, </w:t>
      </w:r>
      <w:r w:rsidRPr="00AB1915">
        <w:rPr>
          <w:rFonts w:ascii="Times New Roman" w:hAnsi="Times New Roman" w:cs="Times New Roman"/>
          <w:i/>
          <w:iCs/>
        </w:rPr>
        <w:t xml:space="preserve">supra; </w:t>
      </w:r>
      <w:r w:rsidRPr="00AB1915">
        <w:rPr>
          <w:rFonts w:ascii="Times New Roman" w:hAnsi="Times New Roman" w:cs="Times New Roman"/>
        </w:rPr>
        <w:t xml:space="preserve">and see also Civil Case (Haifa) 1081/95 </w:t>
      </w:r>
      <w:proofErr w:type="spellStart"/>
      <w:r w:rsidRPr="00AB1915">
        <w:rPr>
          <w:rFonts w:ascii="Times New Roman" w:hAnsi="Times New Roman" w:cs="Times New Roman"/>
          <w:i/>
          <w:iCs/>
        </w:rPr>
        <w:t>Libia</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Carmiel</w:t>
      </w:r>
      <w:proofErr w:type="spellEnd"/>
      <w:r w:rsidRPr="00AB1915">
        <w:rPr>
          <w:rFonts w:ascii="Times New Roman" w:hAnsi="Times New Roman" w:cs="Times New Roman"/>
          <w:i/>
          <w:iCs/>
        </w:rPr>
        <w:t xml:space="preserve"> Religious Council</w:t>
      </w:r>
      <w:r w:rsidRPr="00AB1915">
        <w:rPr>
          <w:rFonts w:ascii="Times New Roman" w:hAnsi="Times New Roman" w:cs="Times New Roman"/>
        </w:rPr>
        <w:t xml:space="preserve"> (unpublished, 2000).</w:t>
      </w:r>
    </w:p>
  </w:footnote>
  <w:footnote w:id="23">
    <w:p w14:paraId="5036821E" w14:textId="1E6E183D"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Thus, for example, Judge Ziskind of the Jerusalem Magistrates Court ordered an attorney to pay expenses in the amount of NIS 1,500 to the </w:t>
      </w:r>
      <w:r w:rsidR="0040009B">
        <w:rPr>
          <w:rFonts w:ascii="Times New Roman" w:hAnsi="Times New Roman" w:cs="Times New Roman"/>
        </w:rPr>
        <w:t>S</w:t>
      </w:r>
      <w:r w:rsidRPr="00AB1915">
        <w:rPr>
          <w:rFonts w:ascii="Times New Roman" w:hAnsi="Times New Roman" w:cs="Times New Roman"/>
        </w:rPr>
        <w:t xml:space="preserve">tate for failing to appear </w:t>
      </w:r>
      <w:r>
        <w:rPr>
          <w:rFonts w:ascii="Times New Roman" w:hAnsi="Times New Roman" w:cs="Times New Roman"/>
        </w:rPr>
        <w:t>at a court date</w:t>
      </w:r>
      <w:r w:rsidRPr="00AB1915">
        <w:rPr>
          <w:rFonts w:ascii="Times New Roman" w:hAnsi="Times New Roman" w:cs="Times New Roman"/>
        </w:rPr>
        <w:t xml:space="preserve">, but this amount was eventually cancelled in CA 9579/06 </w:t>
      </w:r>
      <w:r w:rsidRPr="00AB1915">
        <w:rPr>
          <w:rFonts w:ascii="Times New Roman" w:hAnsi="Times New Roman" w:cs="Times New Roman"/>
          <w:i/>
          <w:iCs/>
        </w:rPr>
        <w:t xml:space="preserve">Sinai v. Court Administration </w:t>
      </w:r>
      <w:r w:rsidRPr="00AB1915">
        <w:rPr>
          <w:rFonts w:ascii="Times New Roman" w:hAnsi="Times New Roman" w:cs="Times New Roman"/>
        </w:rPr>
        <w:t xml:space="preserve">(unpublished, 2007). (See and compare: </w:t>
      </w:r>
      <w:r>
        <w:rPr>
          <w:rFonts w:ascii="Times New Roman" w:hAnsi="Times New Roman" w:cs="Times New Roman"/>
        </w:rPr>
        <w:t>CrimA</w:t>
      </w:r>
      <w:r w:rsidRPr="00AB1915">
        <w:rPr>
          <w:rFonts w:ascii="Times New Roman" w:hAnsi="Times New Roman" w:cs="Times New Roman"/>
        </w:rPr>
        <w:t xml:space="preserve"> 1731/92 </w:t>
      </w:r>
      <w:r w:rsidRPr="00AB1915">
        <w:rPr>
          <w:rFonts w:ascii="Times New Roman" w:hAnsi="Times New Roman" w:cs="Times New Roman"/>
          <w:i/>
          <w:iCs/>
        </w:rPr>
        <w:t>Ben Reuven Weiner v. State of Israel</w:t>
      </w:r>
      <w:r w:rsidRPr="00AB1915">
        <w:rPr>
          <w:rFonts w:ascii="Times New Roman" w:hAnsi="Times New Roman" w:cs="Times New Roman"/>
        </w:rPr>
        <w:t>, IsrSC 46(3) 265)</w:t>
      </w:r>
      <w:r w:rsidR="0040009B">
        <w:rPr>
          <w:rFonts w:ascii="Times New Roman" w:hAnsi="Times New Roman" w:cs="Times New Roman"/>
        </w:rPr>
        <w:t>.</w:t>
      </w:r>
      <w:r w:rsidRPr="00AB1915">
        <w:rPr>
          <w:rFonts w:ascii="Times New Roman" w:hAnsi="Times New Roman" w:cs="Times New Roman"/>
        </w:rPr>
        <w:t xml:space="preserve"> The Nazareth District Court also expressed its concern </w:t>
      </w:r>
      <w:r>
        <w:rPr>
          <w:rFonts w:ascii="Times New Roman" w:hAnsi="Times New Roman" w:cs="Times New Roman"/>
        </w:rPr>
        <w:t>regarding</w:t>
      </w:r>
      <w:r w:rsidRPr="00AB1915">
        <w:rPr>
          <w:rFonts w:ascii="Times New Roman" w:hAnsi="Times New Roman" w:cs="Times New Roman"/>
        </w:rPr>
        <w:t xml:space="preserve"> “low level attorneys” who fail to appear for court sessions, but it cancelled the personal lability for expenses in the amount of NIS 5,000 for an attorney who failed to appear in court “going beyond the letter of the law” –</w:t>
      </w:r>
      <w:r w:rsidR="0040009B">
        <w:rPr>
          <w:rFonts w:ascii="Times New Roman" w:hAnsi="Times New Roman" w:cs="Times New Roman"/>
        </w:rPr>
        <w:t xml:space="preserve"> Motion (Nazareth)</w:t>
      </w:r>
      <w:r w:rsidRPr="00AB1915">
        <w:rPr>
          <w:rFonts w:ascii="Times New Roman" w:hAnsi="Times New Roman" w:cs="Times New Roman"/>
        </w:rPr>
        <w:t xml:space="preserve"> 3289/07 </w:t>
      </w:r>
      <w:r w:rsidRPr="00AB1915">
        <w:rPr>
          <w:rFonts w:ascii="Times New Roman" w:hAnsi="Times New Roman" w:cs="Times New Roman"/>
          <w:i/>
          <w:iCs/>
        </w:rPr>
        <w:t xml:space="preserve">Salam v. State of Israel </w:t>
      </w:r>
      <w:r w:rsidRPr="00AB1915">
        <w:rPr>
          <w:rFonts w:ascii="Times New Roman" w:hAnsi="Times New Roman" w:cs="Times New Roman"/>
        </w:rPr>
        <w:t xml:space="preserve">(unpublished, 2007); and see also Motion for Leave to Appeal (Jerusalem) 3181/07 </w:t>
      </w:r>
      <w:proofErr w:type="spellStart"/>
      <w:r w:rsidRPr="00AB1915">
        <w:rPr>
          <w:rFonts w:ascii="Times New Roman" w:hAnsi="Times New Roman" w:cs="Times New Roman"/>
          <w:i/>
          <w:iCs/>
        </w:rPr>
        <w:t>Ya’akov</w:t>
      </w:r>
      <w:proofErr w:type="spellEnd"/>
      <w:r w:rsidRPr="00AB1915">
        <w:rPr>
          <w:rFonts w:ascii="Times New Roman" w:hAnsi="Times New Roman" w:cs="Times New Roman"/>
          <w:i/>
          <w:iCs/>
        </w:rPr>
        <w:t xml:space="preserve"> v. Mizrahi</w:t>
      </w:r>
      <w:r>
        <w:rPr>
          <w:rFonts w:ascii="Times New Roman" w:hAnsi="Times New Roman" w:cs="Times New Roman"/>
          <w:i/>
          <w:iCs/>
        </w:rPr>
        <w:t xml:space="preserve"> </w:t>
      </w:r>
      <w:r w:rsidRPr="00AB1915">
        <w:rPr>
          <w:rFonts w:ascii="Times New Roman" w:hAnsi="Times New Roman" w:cs="Times New Roman"/>
        </w:rPr>
        <w:t>(unpublished, 2007). In that case, an attorney submitted a very relevant document – a document that touched on the core issue of the dispute – but did so only on the day of the court hearing. Consequently, the hearing was postponed by the court, in order to allow the other parties to relate to the document; the court’s and the parties’ ti</w:t>
      </w:r>
      <w:r w:rsidR="0040009B">
        <w:rPr>
          <w:rFonts w:ascii="Times New Roman" w:hAnsi="Times New Roman" w:cs="Times New Roman"/>
        </w:rPr>
        <w:t>m</w:t>
      </w:r>
      <w:r w:rsidRPr="00AB1915">
        <w:rPr>
          <w:rFonts w:ascii="Times New Roman" w:hAnsi="Times New Roman" w:cs="Times New Roman"/>
        </w:rPr>
        <w:t>e was wasted. The court ordered the movant and/or his counsel to pay expenses in the amount of NIS 10,000</w:t>
      </w:r>
      <w:r w:rsidR="0040009B">
        <w:rPr>
          <w:rFonts w:ascii="Times New Roman" w:hAnsi="Times New Roman" w:cs="Times New Roman"/>
        </w:rPr>
        <w:t>.</w:t>
      </w:r>
      <w:r w:rsidRPr="00AB1915">
        <w:rPr>
          <w:rFonts w:ascii="Times New Roman" w:hAnsi="Times New Roman" w:cs="Times New Roman"/>
        </w:rPr>
        <w:t xml:space="preserve"> </w:t>
      </w:r>
      <w:r w:rsidR="0040009B">
        <w:rPr>
          <w:rFonts w:ascii="Times New Roman" w:hAnsi="Times New Roman" w:cs="Times New Roman"/>
        </w:rPr>
        <w:t>A</w:t>
      </w:r>
      <w:r w:rsidRPr="00AB1915">
        <w:rPr>
          <w:rFonts w:ascii="Times New Roman" w:hAnsi="Times New Roman" w:cs="Times New Roman"/>
        </w:rPr>
        <w:t xml:space="preserve">nd compare to </w:t>
      </w:r>
      <w:r w:rsidRPr="00AB1915">
        <w:rPr>
          <w:rFonts w:ascii="Times New Roman" w:hAnsi="Times New Roman" w:cs="Times New Roman"/>
          <w:i/>
          <w:iCs/>
        </w:rPr>
        <w:t>Bardugo</w:t>
      </w:r>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where the court ordered the defense counsel to personally pay expenses to the State in the amount of NIS 45,000. However, it should be noted that Attorney Bardugo did not appear at two court sessions and the court </w:t>
      </w:r>
      <w:r w:rsidR="0040009B">
        <w:rPr>
          <w:rFonts w:ascii="Times New Roman" w:hAnsi="Times New Roman" w:cs="Times New Roman"/>
        </w:rPr>
        <w:t>reacted strongly</w:t>
      </w:r>
      <w:r w:rsidRPr="00AB1915">
        <w:rPr>
          <w:rFonts w:ascii="Times New Roman" w:hAnsi="Times New Roman" w:cs="Times New Roman"/>
        </w:rPr>
        <w:t xml:space="preserve"> </w:t>
      </w:r>
      <w:r w:rsidR="0040009B">
        <w:rPr>
          <w:rFonts w:ascii="Times New Roman" w:hAnsi="Times New Roman" w:cs="Times New Roman"/>
        </w:rPr>
        <w:t xml:space="preserve">to </w:t>
      </w:r>
      <w:r w:rsidRPr="00AB1915">
        <w:rPr>
          <w:rFonts w:ascii="Times New Roman" w:hAnsi="Times New Roman" w:cs="Times New Roman"/>
        </w:rPr>
        <w:t xml:space="preserve">his conduct on the day of the hearing at which he was ordered to pay expenses; in </w:t>
      </w:r>
      <w:r w:rsidR="0040009B">
        <w:rPr>
          <w:rFonts w:ascii="Times New Roman" w:hAnsi="Times New Roman" w:cs="Times New Roman"/>
        </w:rPr>
        <w:t>Motion</w:t>
      </w:r>
      <w:r w:rsidRPr="00AB1915">
        <w:rPr>
          <w:rFonts w:ascii="Times New Roman" w:hAnsi="Times New Roman" w:cs="Times New Roman"/>
        </w:rPr>
        <w:t xml:space="preserve"> (Nazareth) 3404/02 </w:t>
      </w:r>
      <w:r w:rsidRPr="00AB1915">
        <w:rPr>
          <w:rFonts w:ascii="Times New Roman" w:hAnsi="Times New Roman" w:cs="Times New Roman"/>
          <w:i/>
          <w:iCs/>
        </w:rPr>
        <w:t>Abu Ri v. State of Israel</w:t>
      </w:r>
      <w:r w:rsidRPr="00AB1915">
        <w:rPr>
          <w:rFonts w:ascii="Times New Roman" w:hAnsi="Times New Roman" w:cs="Times New Roman"/>
        </w:rPr>
        <w:t xml:space="preserve"> (unpublished, 2003), an attorney who failed to appear for a court session and instead sent a replacement, was ordered to pay expenses in the amount of NIS 7,500.</w:t>
      </w:r>
    </w:p>
  </w:footnote>
  <w:footnote w:id="24">
    <w:p w14:paraId="0EA8E83A" w14:textId="76ABEF56"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CrimA (Tel Aviv) 70016/05 </w:t>
      </w:r>
      <w:r w:rsidRPr="00AB1915">
        <w:rPr>
          <w:rFonts w:ascii="Times New Roman" w:hAnsi="Times New Roman" w:cs="Times New Roman"/>
          <w:i/>
          <w:iCs/>
        </w:rPr>
        <w:t>Radislav v. Tel Aviv District Criminal Prosecutor’s Office</w:t>
      </w:r>
      <w:r w:rsidRPr="00AB1915">
        <w:rPr>
          <w:rFonts w:ascii="Times New Roman" w:hAnsi="Times New Roman" w:cs="Times New Roman"/>
        </w:rPr>
        <w:t>, para 11 (unpublished, 2005).</w:t>
      </w:r>
    </w:p>
  </w:footnote>
  <w:footnote w:id="25">
    <w:p w14:paraId="4FFF916F" w14:textId="52DF68D9"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(Beersheba) 1192/08 </w:t>
      </w:r>
      <w:r w:rsidRPr="00AB1915">
        <w:rPr>
          <w:rFonts w:ascii="Times New Roman" w:hAnsi="Times New Roman" w:cs="Times New Roman"/>
          <w:i/>
          <w:iCs/>
        </w:rPr>
        <w:t>Moshe v. Elbaz</w:t>
      </w:r>
      <w:r w:rsidRPr="00AB1915">
        <w:rPr>
          <w:rFonts w:ascii="Times New Roman" w:hAnsi="Times New Roman" w:cs="Times New Roman"/>
        </w:rPr>
        <w:t>,</w:t>
      </w:r>
      <w:r>
        <w:rPr>
          <w:rFonts w:ascii="Times New Roman" w:hAnsi="Times New Roman" w:cs="Times New Roman"/>
        </w:rPr>
        <w:t xml:space="preserve"> </w:t>
      </w:r>
      <w:r w:rsidRPr="00AB1915">
        <w:rPr>
          <w:rFonts w:ascii="Times New Roman" w:hAnsi="Times New Roman" w:cs="Times New Roman"/>
        </w:rPr>
        <w:t>para 4 (unpublished, 2007).</w:t>
      </w:r>
    </w:p>
  </w:footnote>
  <w:footnote w:id="26">
    <w:p w14:paraId="1C9A36EB" w14:textId="3BE2B179"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LCA 8327/05 </w:t>
      </w:r>
      <w:r w:rsidRPr="00AB1915">
        <w:rPr>
          <w:rFonts w:ascii="Times New Roman" w:hAnsi="Times New Roman" w:cs="Times New Roman"/>
          <w:i/>
          <w:iCs/>
        </w:rPr>
        <w:t>Tzadik v. Pnimi</w:t>
      </w:r>
      <w:r w:rsidRPr="00AB1915">
        <w:rPr>
          <w:rFonts w:ascii="Times New Roman" w:hAnsi="Times New Roman" w:cs="Times New Roman"/>
        </w:rPr>
        <w:t xml:space="preserve"> (unpublished, 2005).</w:t>
      </w:r>
    </w:p>
  </w:footnote>
  <w:footnote w:id="27">
    <w:p w14:paraId="0170A837" w14:textId="38FD91A8"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653/80 </w:t>
      </w:r>
      <w:r w:rsidRPr="00AB1915">
        <w:rPr>
          <w:rFonts w:ascii="Times New Roman" w:hAnsi="Times New Roman" w:cs="Times New Roman"/>
          <w:i/>
          <w:iCs/>
        </w:rPr>
        <w:t xml:space="preserve">Barnea Creations Ltd, et. al. v. Danit Development Co. Ltd. </w:t>
      </w:r>
      <w:r w:rsidRPr="00AB1915">
        <w:rPr>
          <w:rFonts w:ascii="Times New Roman" w:hAnsi="Times New Roman" w:cs="Times New Roman"/>
        </w:rPr>
        <w:t>IsrSC 37(1) 802, at 804; LCA 5281/06 Champion</w:t>
      </w:r>
      <w:r w:rsidRPr="00AB1915">
        <w:rPr>
          <w:rFonts w:ascii="Times New Roman" w:hAnsi="Times New Roman" w:cs="Times New Roman"/>
          <w:i/>
          <w:iCs/>
        </w:rPr>
        <w:t xml:space="preserve"> Motors (Israel) Ltd. v. Oz </w:t>
      </w:r>
      <w:r w:rsidRPr="00AB1915">
        <w:rPr>
          <w:rFonts w:ascii="Times New Roman" w:hAnsi="Times New Roman" w:cs="Times New Roman"/>
        </w:rPr>
        <w:t>(unpublished, 2005).</w:t>
      </w:r>
    </w:p>
  </w:footnote>
  <w:footnote w:id="28">
    <w:p w14:paraId="0E65242C" w14:textId="68715D5F"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Bardugo, supra</w:t>
      </w:r>
      <w:r w:rsidRPr="00AB1915">
        <w:rPr>
          <w:rFonts w:ascii="Times New Roman" w:hAnsi="Times New Roman" w:cs="Times New Roman"/>
        </w:rPr>
        <w:t>.</w:t>
      </w:r>
    </w:p>
  </w:footnote>
  <w:footnote w:id="29">
    <w:p w14:paraId="77EA9EC3" w14:textId="32E6F51D"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Hana</w:t>
      </w:r>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at 382; </w:t>
      </w:r>
      <w:r w:rsidRPr="00AB1915">
        <w:rPr>
          <w:rFonts w:ascii="Times New Roman" w:hAnsi="Times New Roman" w:cs="Times New Roman"/>
          <w:i/>
          <w:iCs/>
        </w:rPr>
        <w:t xml:space="preserve">Perlov, supra, </w:t>
      </w:r>
      <w:r w:rsidRPr="00AB1915">
        <w:rPr>
          <w:rFonts w:ascii="Times New Roman" w:hAnsi="Times New Roman" w:cs="Times New Roman"/>
        </w:rPr>
        <w:t>at 799.</w:t>
      </w:r>
    </w:p>
  </w:footnote>
  <w:footnote w:id="30">
    <w:p w14:paraId="5503EFC4" w14:textId="4DCCE5DE"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Nir</w:t>
      </w:r>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CA (Beersheba) 36/92 </w:t>
      </w:r>
      <w:r w:rsidRPr="00AB1915">
        <w:rPr>
          <w:rFonts w:ascii="Times New Roman" w:hAnsi="Times New Roman" w:cs="Times New Roman"/>
          <w:i/>
          <w:iCs/>
        </w:rPr>
        <w:t>Nir v. State of Israel</w:t>
      </w:r>
      <w:r w:rsidRPr="00AB1915">
        <w:rPr>
          <w:rFonts w:ascii="Times New Roman" w:hAnsi="Times New Roman" w:cs="Times New Roman"/>
        </w:rPr>
        <w:t xml:space="preserve">, 5754? (1) 313; Bar Association Appeal 4743/02 </w:t>
      </w:r>
      <w:r w:rsidRPr="00AB1915">
        <w:rPr>
          <w:rFonts w:ascii="Times New Roman" w:hAnsi="Times New Roman" w:cs="Times New Roman"/>
          <w:i/>
          <w:iCs/>
        </w:rPr>
        <w:t xml:space="preserve">Nir v. Israel Bar Association Tel Aviv-Jaffa District Council </w:t>
      </w:r>
      <w:r w:rsidRPr="00AB1915">
        <w:rPr>
          <w:rFonts w:ascii="Times New Roman" w:hAnsi="Times New Roman" w:cs="Times New Roman"/>
        </w:rPr>
        <w:t>(unpublished, 2005).</w:t>
      </w:r>
    </w:p>
  </w:footnote>
  <w:footnote w:id="31">
    <w:p w14:paraId="697579F8" w14:textId="3C0BC76E"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rtl/>
        </w:rPr>
        <w:t xml:space="preserve"> </w:t>
      </w:r>
      <w:r w:rsidRPr="00AB1915">
        <w:rPr>
          <w:rFonts w:ascii="Times New Roman" w:hAnsi="Times New Roman" w:cs="Times New Roman"/>
        </w:rPr>
        <w:t xml:space="preserve">Randall L. Kiser, Martin A. Asher and Blakeley B. McShane, </w:t>
      </w:r>
      <w:r w:rsidRPr="00AB1915">
        <w:rPr>
          <w:rFonts w:ascii="Times New Roman" w:hAnsi="Times New Roman" w:cs="Times New Roman"/>
          <w:i/>
          <w:iCs/>
        </w:rPr>
        <w:t>Let`s Not Make a Deal: An Empirical Study of Decision Making in Unsuccessful Settlement Negotiations</w:t>
      </w:r>
      <w:r w:rsidRPr="00AB1915">
        <w:rPr>
          <w:rFonts w:ascii="Times New Roman" w:hAnsi="Times New Roman" w:cs="Times New Roman"/>
        </w:rPr>
        <w:t>, 5 Journal of Empirical Legal Studies 551, 552 (2008)</w:t>
      </w:r>
      <w:r w:rsidRPr="00AB1915">
        <w:rPr>
          <w:rFonts w:ascii="Times New Roman" w:hAnsi="Times New Roman" w:cs="Times New Roman"/>
          <w:rtl/>
        </w:rPr>
        <w:t xml:space="preserve">; </w:t>
      </w:r>
      <w:r w:rsidRPr="00AB1915">
        <w:rPr>
          <w:rFonts w:ascii="Times New Roman" w:hAnsi="Times New Roman" w:cs="Times New Roman"/>
        </w:rPr>
        <w:t xml:space="preserve">Samuel Gross &amp; Kent </w:t>
      </w:r>
      <w:r w:rsidRPr="003152F7">
        <w:rPr>
          <w:rFonts w:ascii="Times New Roman" w:hAnsi="Times New Roman" w:cs="Times New Roman"/>
        </w:rPr>
        <w:t>Syverud</w:t>
      </w:r>
      <w:r w:rsidRPr="00AB1915">
        <w:rPr>
          <w:rFonts w:ascii="Times New Roman" w:hAnsi="Times New Roman" w:cs="Times New Roman"/>
        </w:rPr>
        <w:t xml:space="preserve">, </w:t>
      </w:r>
      <w:r w:rsidRPr="00AB1915">
        <w:rPr>
          <w:rFonts w:ascii="Times New Roman" w:hAnsi="Times New Roman" w:cs="Times New Roman"/>
          <w:i/>
          <w:iCs/>
        </w:rPr>
        <w:t xml:space="preserve">Getting to No: A study of settlement Negotiation and the Selection of Cases for Trail, </w:t>
      </w:r>
      <w:r w:rsidRPr="00AB1915">
        <w:rPr>
          <w:rFonts w:ascii="Times New Roman" w:hAnsi="Times New Roman" w:cs="Times New Roman"/>
        </w:rPr>
        <w:t>90 Mi</w:t>
      </w:r>
      <w:r>
        <w:rPr>
          <w:rFonts w:ascii="Times New Roman" w:hAnsi="Times New Roman" w:cs="Times New Roman"/>
        </w:rPr>
        <w:t>c</w:t>
      </w:r>
      <w:r w:rsidRPr="00AB1915">
        <w:rPr>
          <w:rFonts w:ascii="Times New Roman" w:hAnsi="Times New Roman" w:cs="Times New Roman"/>
        </w:rPr>
        <w:t xml:space="preserve">higan L. Rev. 319 (1991); Samuel Gross &amp; Kent </w:t>
      </w:r>
      <w:r w:rsidRPr="003152F7">
        <w:rPr>
          <w:rFonts w:ascii="Times New Roman" w:hAnsi="Times New Roman" w:cs="Times New Roman"/>
        </w:rPr>
        <w:t>Syverud</w:t>
      </w:r>
      <w:r w:rsidRPr="00AB1915">
        <w:rPr>
          <w:rFonts w:ascii="Times New Roman" w:hAnsi="Times New Roman" w:cs="Times New Roman"/>
        </w:rPr>
        <w:t xml:space="preserve">, </w:t>
      </w:r>
      <w:r w:rsidRPr="00AB1915">
        <w:rPr>
          <w:rFonts w:ascii="Times New Roman" w:hAnsi="Times New Roman" w:cs="Times New Roman"/>
          <w:i/>
          <w:iCs/>
        </w:rPr>
        <w:t xml:space="preserve">Don`t Try: Civil Jury Verdicts in a System Geared to Settlement, </w:t>
      </w:r>
      <w:r w:rsidRPr="00AB1915">
        <w:rPr>
          <w:rFonts w:ascii="Times New Roman" w:hAnsi="Times New Roman" w:cs="Times New Roman"/>
        </w:rPr>
        <w:t xml:space="preserve">44 U.C.L.A. L. Rev. 51 (1996); Jeffery </w:t>
      </w:r>
      <w:proofErr w:type="spellStart"/>
      <w:r w:rsidRPr="00AB1915">
        <w:rPr>
          <w:rFonts w:ascii="Times New Roman" w:hAnsi="Times New Roman" w:cs="Times New Roman"/>
        </w:rPr>
        <w:t>Rachlinski</w:t>
      </w:r>
      <w:proofErr w:type="spellEnd"/>
      <w:r w:rsidRPr="00AB1915">
        <w:rPr>
          <w:rFonts w:ascii="Times New Roman" w:hAnsi="Times New Roman" w:cs="Times New Roman"/>
        </w:rPr>
        <w:t xml:space="preserve">, </w:t>
      </w:r>
      <w:r w:rsidRPr="00AB1915">
        <w:rPr>
          <w:rFonts w:ascii="Times New Roman" w:hAnsi="Times New Roman" w:cs="Times New Roman"/>
          <w:i/>
          <w:iCs/>
        </w:rPr>
        <w:t xml:space="preserve">Gain, Losses and the Psychology of litigation </w:t>
      </w:r>
      <w:r w:rsidRPr="00AB1915">
        <w:rPr>
          <w:rFonts w:ascii="Times New Roman" w:hAnsi="Times New Roman" w:cs="Times New Roman"/>
        </w:rPr>
        <w:t>70 S. Cal. L. Rev. 113 (1996)</w:t>
      </w:r>
      <w:r w:rsidRPr="00AB1915">
        <w:rPr>
          <w:rFonts w:ascii="Times New Roman" w:hAnsi="Times New Roman" w:cs="Times New Roman"/>
          <w:rtl/>
        </w:rPr>
        <w:t>;</w:t>
      </w:r>
      <w:r w:rsidRPr="00AB1915">
        <w:rPr>
          <w:rFonts w:ascii="Times New Roman" w:hAnsi="Times New Roman" w:cs="Times New Roman"/>
        </w:rPr>
        <w:t xml:space="preserve"> </w:t>
      </w:r>
      <w:r w:rsidRPr="00AB1915">
        <w:rPr>
          <w:rFonts w:ascii="Times New Roman" w:hAnsi="Times New Roman" w:cs="Times New Roman"/>
          <w:rtl/>
        </w:rPr>
        <w:t xml:space="preserve"> </w:t>
      </w:r>
      <w:r w:rsidRPr="00AB1915">
        <w:rPr>
          <w:rFonts w:ascii="Times New Roman" w:hAnsi="Times New Roman" w:cs="Times New Roman"/>
        </w:rPr>
        <w:t xml:space="preserve">George Lowenstein, </w:t>
      </w:r>
      <w:r w:rsidRPr="00AB1915">
        <w:rPr>
          <w:rFonts w:ascii="Times New Roman" w:hAnsi="Times New Roman" w:cs="Times New Roman"/>
          <w:i/>
          <w:iCs/>
        </w:rPr>
        <w:t>Self</w:t>
      </w:r>
      <w:r>
        <w:rPr>
          <w:rFonts w:ascii="Times New Roman" w:hAnsi="Times New Roman" w:cs="Times New Roman"/>
          <w:i/>
          <w:iCs/>
        </w:rPr>
        <w:t>-</w:t>
      </w:r>
      <w:r w:rsidRPr="00AB1915">
        <w:rPr>
          <w:rFonts w:ascii="Times New Roman" w:hAnsi="Times New Roman" w:cs="Times New Roman"/>
          <w:i/>
          <w:iCs/>
        </w:rPr>
        <w:t>Serving Assessments of Fairness and Pretr</w:t>
      </w:r>
      <w:r>
        <w:rPr>
          <w:rFonts w:ascii="Times New Roman" w:hAnsi="Times New Roman" w:cs="Times New Roman"/>
          <w:i/>
          <w:iCs/>
        </w:rPr>
        <w:t>ia</w:t>
      </w:r>
      <w:r w:rsidRPr="00AB1915">
        <w:rPr>
          <w:rFonts w:ascii="Times New Roman" w:hAnsi="Times New Roman" w:cs="Times New Roman"/>
          <w:i/>
          <w:iCs/>
        </w:rPr>
        <w:t>l Bargaining</w:t>
      </w:r>
      <w:r w:rsidRPr="00AB1915">
        <w:rPr>
          <w:rFonts w:ascii="Times New Roman" w:hAnsi="Times New Roman" w:cs="Times New Roman"/>
        </w:rPr>
        <w:t>, 22 J. Legal Stud. 135, 135</w:t>
      </w:r>
      <w:r w:rsidRPr="00AB1915">
        <w:rPr>
          <w:rFonts w:ascii="Times New Roman" w:hAnsi="Times New Roman" w:cs="Times New Roman"/>
          <w:i/>
          <w:iCs/>
        </w:rPr>
        <w:t xml:space="preserve"> </w:t>
      </w:r>
      <w:r w:rsidRPr="00AB1915">
        <w:rPr>
          <w:rFonts w:ascii="Times New Roman" w:hAnsi="Times New Roman" w:cs="Times New Roman"/>
        </w:rPr>
        <w:t xml:space="preserve">(1993); Marc Galanter &amp; Mia Cahill, </w:t>
      </w:r>
      <w:r w:rsidRPr="00AB1915">
        <w:rPr>
          <w:rFonts w:ascii="Times New Roman" w:hAnsi="Times New Roman" w:cs="Times New Roman"/>
          <w:i/>
          <w:iCs/>
        </w:rPr>
        <w:t>`Most Cases Settle`: Judicial Promotion and Regulation of Settlements</w:t>
      </w:r>
      <w:r w:rsidRPr="00AB1915">
        <w:rPr>
          <w:rFonts w:ascii="Times New Roman" w:hAnsi="Times New Roman" w:cs="Times New Roman"/>
        </w:rPr>
        <w:t>, 46 Stanford L. Rev 1339 (1994)</w:t>
      </w:r>
    </w:p>
  </w:footnote>
  <w:footnote w:id="32">
    <w:p w14:paraId="1788B264" w14:textId="74E77B11"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M.H. v. B.H., supra</w:t>
      </w:r>
      <w:r w:rsidRPr="00AB1915">
        <w:rPr>
          <w:rFonts w:ascii="Times New Roman" w:hAnsi="Times New Roman" w:cs="Times New Roman"/>
        </w:rPr>
        <w:t>.</w:t>
      </w:r>
    </w:p>
  </w:footnote>
  <w:footnote w:id="33">
    <w:p w14:paraId="0489CBBE" w14:textId="3B232A02" w:rsidR="00CE4F90" w:rsidRPr="00AB1915" w:rsidRDefault="00CE4F90"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Asaf Yaakov, “Negligence </w:t>
      </w:r>
      <w:r>
        <w:rPr>
          <w:rFonts w:ascii="Times New Roman" w:hAnsi="Times New Roman" w:cs="Times New Roman"/>
        </w:rPr>
        <w:t>i</w:t>
      </w:r>
      <w:r w:rsidRPr="00AB1915">
        <w:rPr>
          <w:rFonts w:ascii="Times New Roman" w:hAnsi="Times New Roman" w:cs="Times New Roman"/>
        </w:rPr>
        <w:t xml:space="preserve">n the Courthouse: On the Professional Liability of Attorneys in the Framework of a Court Session” </w:t>
      </w:r>
      <w:proofErr w:type="spellStart"/>
      <w:r w:rsidRPr="00AB1915">
        <w:rPr>
          <w:rFonts w:ascii="Times New Roman" w:hAnsi="Times New Roman" w:cs="Times New Roman"/>
          <w:i/>
          <w:iCs/>
        </w:rPr>
        <w:t>Iyunei</w:t>
      </w:r>
      <w:proofErr w:type="spellEnd"/>
      <w:r w:rsidRPr="00AB1915">
        <w:rPr>
          <w:rFonts w:ascii="Times New Roman" w:hAnsi="Times New Roman" w:cs="Times New Roman"/>
          <w:i/>
          <w:iCs/>
        </w:rPr>
        <w:t xml:space="preserve"> </w:t>
      </w:r>
      <w:proofErr w:type="spellStart"/>
      <w:r w:rsidRPr="00AB1915">
        <w:rPr>
          <w:rFonts w:ascii="Times New Roman" w:hAnsi="Times New Roman" w:cs="Times New Roman"/>
          <w:i/>
          <w:iCs/>
        </w:rPr>
        <w:t>Mishpat</w:t>
      </w:r>
      <w:proofErr w:type="spellEnd"/>
      <w:r w:rsidRPr="00AB1915">
        <w:rPr>
          <w:rFonts w:ascii="Times New Roman" w:hAnsi="Times New Roman" w:cs="Times New Roman"/>
        </w:rPr>
        <w:t xml:space="preserve"> 26(1) 5 (2002).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ina P Goldstein">
    <w15:presenceInfo w15:providerId="None" w15:userId="Penina P Gold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3F"/>
    <w:rsid w:val="0001393F"/>
    <w:rsid w:val="00037754"/>
    <w:rsid w:val="00061831"/>
    <w:rsid w:val="00084451"/>
    <w:rsid w:val="000D5DCD"/>
    <w:rsid w:val="001253FC"/>
    <w:rsid w:val="001748BA"/>
    <w:rsid w:val="001A3D2F"/>
    <w:rsid w:val="001D4847"/>
    <w:rsid w:val="002202AD"/>
    <w:rsid w:val="00230CC1"/>
    <w:rsid w:val="00240FDF"/>
    <w:rsid w:val="00250B38"/>
    <w:rsid w:val="0028575F"/>
    <w:rsid w:val="002C0246"/>
    <w:rsid w:val="003152F7"/>
    <w:rsid w:val="003948B8"/>
    <w:rsid w:val="003A48F2"/>
    <w:rsid w:val="003A4AD1"/>
    <w:rsid w:val="0040009B"/>
    <w:rsid w:val="00431818"/>
    <w:rsid w:val="004957B9"/>
    <w:rsid w:val="004E328C"/>
    <w:rsid w:val="004E3BCB"/>
    <w:rsid w:val="004F1C07"/>
    <w:rsid w:val="0051271C"/>
    <w:rsid w:val="0057246E"/>
    <w:rsid w:val="00577E0B"/>
    <w:rsid w:val="00580AEC"/>
    <w:rsid w:val="005C574A"/>
    <w:rsid w:val="005D257F"/>
    <w:rsid w:val="0062722C"/>
    <w:rsid w:val="0063007A"/>
    <w:rsid w:val="006412DF"/>
    <w:rsid w:val="0067557E"/>
    <w:rsid w:val="00681257"/>
    <w:rsid w:val="006B0D11"/>
    <w:rsid w:val="006C3CFD"/>
    <w:rsid w:val="007A0640"/>
    <w:rsid w:val="007E5898"/>
    <w:rsid w:val="007F11DE"/>
    <w:rsid w:val="007F4CB3"/>
    <w:rsid w:val="00803D28"/>
    <w:rsid w:val="0081449A"/>
    <w:rsid w:val="00821D11"/>
    <w:rsid w:val="00832456"/>
    <w:rsid w:val="00840C4B"/>
    <w:rsid w:val="008748F0"/>
    <w:rsid w:val="0089373F"/>
    <w:rsid w:val="008C5AE6"/>
    <w:rsid w:val="009049D6"/>
    <w:rsid w:val="009149F7"/>
    <w:rsid w:val="00927913"/>
    <w:rsid w:val="00950184"/>
    <w:rsid w:val="00962100"/>
    <w:rsid w:val="009A67E7"/>
    <w:rsid w:val="009D1E09"/>
    <w:rsid w:val="009F016C"/>
    <w:rsid w:val="00A04EB9"/>
    <w:rsid w:val="00A81D62"/>
    <w:rsid w:val="00A915F8"/>
    <w:rsid w:val="00AA0A7C"/>
    <w:rsid w:val="00AB1915"/>
    <w:rsid w:val="00AB3BE4"/>
    <w:rsid w:val="00AC0603"/>
    <w:rsid w:val="00B25569"/>
    <w:rsid w:val="00B260D8"/>
    <w:rsid w:val="00B30BD6"/>
    <w:rsid w:val="00BB706A"/>
    <w:rsid w:val="00BD6395"/>
    <w:rsid w:val="00C51AA4"/>
    <w:rsid w:val="00C75DA4"/>
    <w:rsid w:val="00C77EAA"/>
    <w:rsid w:val="00C977A7"/>
    <w:rsid w:val="00CA1445"/>
    <w:rsid w:val="00CE4F90"/>
    <w:rsid w:val="00CF74C2"/>
    <w:rsid w:val="00D1065F"/>
    <w:rsid w:val="00D23EC7"/>
    <w:rsid w:val="00D24696"/>
    <w:rsid w:val="00D40660"/>
    <w:rsid w:val="00D46B4F"/>
    <w:rsid w:val="00DA3981"/>
    <w:rsid w:val="00DF302E"/>
    <w:rsid w:val="00E307A2"/>
    <w:rsid w:val="00E53D75"/>
    <w:rsid w:val="00E72FE8"/>
    <w:rsid w:val="00EE33C3"/>
    <w:rsid w:val="00F077BD"/>
    <w:rsid w:val="00F111A5"/>
    <w:rsid w:val="00F21C99"/>
    <w:rsid w:val="00F437D2"/>
    <w:rsid w:val="00F52DE7"/>
    <w:rsid w:val="00F621A4"/>
    <w:rsid w:val="00FB2D8A"/>
    <w:rsid w:val="00FB55A8"/>
    <w:rsid w:val="00FB5BA8"/>
    <w:rsid w:val="00FF3C48"/>
    <w:rsid w:val="00FF4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4A9A4"/>
  <w15:chartTrackingRefBased/>
  <w15:docId w15:val="{76381881-2B0B-479C-858D-A84B7255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3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73F"/>
    <w:rPr>
      <w:sz w:val="20"/>
      <w:szCs w:val="20"/>
    </w:rPr>
  </w:style>
  <w:style w:type="character" w:styleId="FootnoteReference">
    <w:name w:val="footnote reference"/>
    <w:basedOn w:val="DefaultParagraphFont"/>
    <w:semiHidden/>
    <w:unhideWhenUsed/>
    <w:rsid w:val="0089373F"/>
    <w:rPr>
      <w:vertAlign w:val="superscript"/>
    </w:rPr>
  </w:style>
  <w:style w:type="paragraph" w:styleId="Header">
    <w:name w:val="header"/>
    <w:basedOn w:val="Normal"/>
    <w:link w:val="HeaderChar"/>
    <w:uiPriority w:val="99"/>
    <w:unhideWhenUsed/>
    <w:rsid w:val="00AB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915"/>
  </w:style>
  <w:style w:type="paragraph" w:styleId="Footer">
    <w:name w:val="footer"/>
    <w:basedOn w:val="Normal"/>
    <w:link w:val="FooterChar"/>
    <w:uiPriority w:val="99"/>
    <w:unhideWhenUsed/>
    <w:rsid w:val="00AB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915"/>
  </w:style>
  <w:style w:type="character" w:styleId="Emphasis">
    <w:name w:val="Emphasis"/>
    <w:basedOn w:val="DefaultParagraphFont"/>
    <w:uiPriority w:val="20"/>
    <w:qFormat/>
    <w:rsid w:val="003152F7"/>
    <w:rPr>
      <w:i/>
      <w:iCs/>
    </w:rPr>
  </w:style>
  <w:style w:type="character" w:styleId="CommentReference">
    <w:name w:val="annotation reference"/>
    <w:basedOn w:val="DefaultParagraphFont"/>
    <w:uiPriority w:val="99"/>
    <w:semiHidden/>
    <w:unhideWhenUsed/>
    <w:rsid w:val="00577E0B"/>
    <w:rPr>
      <w:sz w:val="16"/>
      <w:szCs w:val="16"/>
    </w:rPr>
  </w:style>
  <w:style w:type="paragraph" w:styleId="CommentText">
    <w:name w:val="annotation text"/>
    <w:basedOn w:val="Normal"/>
    <w:link w:val="CommentTextChar"/>
    <w:uiPriority w:val="99"/>
    <w:semiHidden/>
    <w:unhideWhenUsed/>
    <w:rsid w:val="00577E0B"/>
    <w:pPr>
      <w:spacing w:line="240" w:lineRule="auto"/>
    </w:pPr>
    <w:rPr>
      <w:sz w:val="20"/>
      <w:szCs w:val="20"/>
    </w:rPr>
  </w:style>
  <w:style w:type="character" w:customStyle="1" w:styleId="CommentTextChar">
    <w:name w:val="Comment Text Char"/>
    <w:basedOn w:val="DefaultParagraphFont"/>
    <w:link w:val="CommentText"/>
    <w:uiPriority w:val="99"/>
    <w:semiHidden/>
    <w:rsid w:val="00577E0B"/>
    <w:rPr>
      <w:sz w:val="20"/>
      <w:szCs w:val="20"/>
    </w:rPr>
  </w:style>
  <w:style w:type="paragraph" w:styleId="CommentSubject">
    <w:name w:val="annotation subject"/>
    <w:basedOn w:val="CommentText"/>
    <w:next w:val="CommentText"/>
    <w:link w:val="CommentSubjectChar"/>
    <w:uiPriority w:val="99"/>
    <w:semiHidden/>
    <w:unhideWhenUsed/>
    <w:rsid w:val="00577E0B"/>
    <w:rPr>
      <w:b/>
      <w:bCs/>
    </w:rPr>
  </w:style>
  <w:style w:type="character" w:customStyle="1" w:styleId="CommentSubjectChar">
    <w:name w:val="Comment Subject Char"/>
    <w:basedOn w:val="CommentTextChar"/>
    <w:link w:val="CommentSubject"/>
    <w:uiPriority w:val="99"/>
    <w:semiHidden/>
    <w:rsid w:val="00577E0B"/>
    <w:rPr>
      <w:b/>
      <w:bCs/>
      <w:sz w:val="20"/>
      <w:szCs w:val="20"/>
    </w:rPr>
  </w:style>
  <w:style w:type="paragraph" w:styleId="BalloonText">
    <w:name w:val="Balloon Text"/>
    <w:basedOn w:val="Normal"/>
    <w:link w:val="BalloonTextChar"/>
    <w:uiPriority w:val="99"/>
    <w:semiHidden/>
    <w:unhideWhenUsed/>
    <w:rsid w:val="0057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0158-94A4-4475-A67E-E0D36F19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6</Pages>
  <Words>2333</Words>
  <Characters>11951</Characters>
  <Application>Microsoft Office Word</Application>
  <DocSecurity>0</DocSecurity>
  <Lines>147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Penina P Goldstein</dc:creator>
  <cp:keywords/>
  <dc:description/>
  <cp:lastModifiedBy>Penina P Goldstein</cp:lastModifiedBy>
  <cp:revision>16</cp:revision>
  <dcterms:created xsi:type="dcterms:W3CDTF">2020-12-17T21:31:00Z</dcterms:created>
  <dcterms:modified xsi:type="dcterms:W3CDTF">2020-12-22T09:01:00Z</dcterms:modified>
</cp:coreProperties>
</file>