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F6" w:rsidRDefault="008460F6" w:rsidP="008A37AF">
      <w:pPr>
        <w:spacing w:after="120" w:line="240" w:lineRule="auto"/>
        <w:jc w:val="center"/>
        <w:bidi w:val="1"/>
      </w:pPr>
      <w:r>
        <w:rPr>
          <w:lang w:bidi="he"/>
          <w:b w:val="0"/>
          <w:bCs w:val="0"/>
          <w:i w:val="0"/>
          <w:iCs w:val="0"/>
          <w:u w:val="none"/>
          <w:vertAlign w:val="baseline"/>
          <w:rtl w:val="1"/>
        </w:rPr>
        <w:t xml:space="preserve">לוח זמנים לטיפול בבקשות לרישום פטנטים (השלב הלאומי) בישראל (2016)</w:t>
      </w:r>
    </w:p>
    <w:tbl>
      <w:tblPr>
        <w:tblStyle w:val="TableGrid"/>
        <w:tblW w:w="13750" w:type="dxa"/>
        <w:tblInd w:w="-459" w:type="dxa"/>
        <w:tblLook w:val="04A0" w:firstRow="1" w:lastRow="0" w:firstColumn="1" w:lastColumn="0" w:noHBand="0" w:noVBand="1"/>
        <w:bidiVisual/>
      </w:tblPr>
      <w:tblGrid>
        <w:gridCol w:w="3261"/>
        <w:gridCol w:w="3260"/>
        <w:gridCol w:w="7229"/>
      </w:tblGrid>
      <w:tr w:rsidR="008460F6" w:rsidRPr="008460F6" w:rsidTr="00BA21F5">
        <w:tc>
          <w:tcPr>
            <w:tcW w:w="3261" w:type="dxa"/>
          </w:tcPr>
          <w:p w:rsidR="008460F6" w:rsidRPr="008460F6" w:rsidRDefault="008460F6" w:rsidP="00BA21F5">
            <w:pPr>
              <w:pStyle w:val="ListParagraph"/>
              <w:ind w:left="317"/>
              <w:rPr>
                <w:b/>
                <w:bCs/>
              </w:rPr>
              <w:bidi w:val="1"/>
            </w:pPr>
            <w:r>
              <w:rPr>
                <w:lang w:bidi="he"/>
                <w:b w:val="1"/>
                <w:bCs w:val="1"/>
                <w:i w:val="0"/>
                <w:iCs w:val="0"/>
                <w:u w:val="none"/>
                <w:vertAlign w:val="baseline"/>
                <w:rtl w:val="1"/>
              </w:rPr>
              <w:t xml:space="preserve">פעולות המבקש</w:t>
            </w:r>
          </w:p>
        </w:tc>
        <w:tc>
          <w:tcPr>
            <w:tcW w:w="3260" w:type="dxa"/>
          </w:tcPr>
          <w:p w:rsidR="008460F6" w:rsidRPr="008460F6" w:rsidRDefault="008460F6" w:rsidP="00BA21F5">
            <w:pPr>
              <w:ind w:left="92"/>
              <w:jc w:val="center"/>
              <w:rPr>
                <w:b/>
                <w:bCs/>
              </w:rPr>
              <w:bidi w:val="1"/>
            </w:pPr>
            <w:r>
              <w:rPr>
                <w:lang w:bidi="he"/>
                <w:b w:val="1"/>
                <w:bCs w:val="1"/>
                <w:i w:val="0"/>
                <w:iCs w:val="0"/>
                <w:u w:val="none"/>
                <w:vertAlign w:val="baseline"/>
                <w:rtl w:val="1"/>
              </w:rPr>
              <w:t xml:space="preserve">לוח זמנים* (</w:t>
            </w:r>
            <w:r>
              <w:rPr>
                <w:lang w:bidi="he"/>
                <w:b w:val="1"/>
                <w:bCs w:val="1"/>
                <w:i w:val="0"/>
                <w:iCs w:val="0"/>
                <w:u w:val="single"/>
                <w:vertAlign w:val="baseline"/>
                <w:rtl w:val="1"/>
              </w:rPr>
              <w:t xml:space="preserve">בהנחה שאין זירוז או השעיה)</w:t>
            </w:r>
          </w:p>
        </w:tc>
        <w:tc>
          <w:tcPr>
            <w:tcW w:w="7229" w:type="dxa"/>
          </w:tcPr>
          <w:p w:rsidR="008460F6" w:rsidRPr="008460F6" w:rsidRDefault="008460F6" w:rsidP="00BA21F5">
            <w:pPr>
              <w:ind w:left="317"/>
              <w:rPr>
                <w:b/>
                <w:bCs/>
              </w:rPr>
              <w:bidi w:val="1"/>
            </w:pPr>
            <w:r>
              <w:rPr>
                <w:lang w:bidi="he"/>
                <w:b w:val="1"/>
                <w:bCs w:val="1"/>
                <w:i w:val="0"/>
                <w:iCs w:val="0"/>
                <w:u w:val="none"/>
                <w:vertAlign w:val="baseline"/>
                <w:rtl w:val="1"/>
              </w:rPr>
              <w:t xml:space="preserve">רשות הפטנטים / פעולות משרד / אבני דרך</w:t>
            </w:r>
          </w:p>
        </w:tc>
      </w:tr>
      <w:tr w:rsidR="008460F6" w:rsidRPr="008460F6" w:rsidTr="00BA21F5">
        <w:tc>
          <w:tcPr>
            <w:tcW w:w="3261" w:type="dxa"/>
          </w:tcPr>
          <w:p w:rsidR="008460F6" w:rsidRPr="008460F6" w:rsidRDefault="008460F6" w:rsidP="00BA21F5">
            <w:pPr>
              <w:pStyle w:val="ListParagraph"/>
              <w:numPr>
                <w:ilvl w:val="0"/>
                <w:numId w:val="1"/>
              </w:numPr>
              <w:ind w:left="317"/>
              <w:bidi w:val="1"/>
            </w:pPr>
            <w:r>
              <w:rPr>
                <w:lang w:bidi="he"/>
                <w:b w:val="0"/>
                <w:bCs w:val="0"/>
                <w:i w:val="0"/>
                <w:iCs w:val="0"/>
                <w:u w:val="none"/>
                <w:vertAlign w:val="baseline"/>
                <w:rtl w:val="1"/>
              </w:rPr>
              <w:t xml:space="preserve">המבקש מגיש את הבקשה</w:t>
            </w:r>
          </w:p>
        </w:tc>
        <w:tc>
          <w:tcPr>
            <w:tcW w:w="3260" w:type="dxa"/>
          </w:tcPr>
          <w:p w:rsidR="008460F6" w:rsidRPr="008460F6" w:rsidRDefault="008460F6" w:rsidP="00BA21F5">
            <w:pPr>
              <w:ind w:left="92"/>
              <w:jc w:val="center"/>
            </w:pPr>
          </w:p>
        </w:tc>
        <w:tc>
          <w:tcPr>
            <w:tcW w:w="7229" w:type="dxa"/>
          </w:tcPr>
          <w:p w:rsidR="008460F6" w:rsidRPr="008460F6" w:rsidRDefault="008460F6" w:rsidP="00BA21F5">
            <w:pPr>
              <w:ind w:left="317"/>
            </w:pPr>
          </w:p>
        </w:tc>
      </w:tr>
      <w:tr w:rsidR="008460F6" w:rsidRPr="008460F6" w:rsidTr="00BA21F5">
        <w:tc>
          <w:tcPr>
            <w:tcW w:w="3261" w:type="dxa"/>
            <w:vMerge w:val="restart"/>
          </w:tcPr>
          <w:p w:rsidR="008460F6" w:rsidRPr="008460F6" w:rsidRDefault="008460F6" w:rsidP="00BA21F5">
            <w:pPr>
              <w:ind w:left="317"/>
            </w:pPr>
          </w:p>
        </w:tc>
        <w:tc>
          <w:tcPr>
            <w:tcW w:w="3260" w:type="dxa"/>
          </w:tcPr>
          <w:p w:rsidR="008460F6" w:rsidRPr="008460F6" w:rsidRDefault="008460F6" w:rsidP="00BA21F5">
            <w:pPr>
              <w:ind w:left="92"/>
              <w:bidi w:val="1"/>
            </w:pPr>
            <w:r>
              <w:rPr>
                <w:lang w:bidi="he"/>
                <w:b w:val="0"/>
                <w:bCs w:val="0"/>
                <w:i w:val="0"/>
                <w:iCs w:val="0"/>
                <w:u w:val="none"/>
                <w:vertAlign w:val="baseline"/>
                <w:rtl w:val="1"/>
              </w:rPr>
              <w:t xml:space="preserve">1-2 שבועות אחרי הגשת הבקשה</w:t>
            </w:r>
          </w:p>
        </w:tc>
        <w:tc>
          <w:tcPr>
            <w:tcW w:w="7229" w:type="dxa"/>
          </w:tcPr>
          <w:p w:rsidR="008460F6" w:rsidRPr="008460F6" w:rsidRDefault="008460F6" w:rsidP="00BA21F5">
            <w:pPr>
              <w:pStyle w:val="ListParagraph"/>
              <w:numPr>
                <w:ilvl w:val="0"/>
                <w:numId w:val="1"/>
              </w:numPr>
              <w:ind w:left="317"/>
              <w:bidi w:val="1"/>
            </w:pPr>
            <w:r>
              <w:rPr>
                <w:lang w:bidi="he"/>
                <w:b w:val="0"/>
                <w:bCs w:val="0"/>
                <w:i w:val="0"/>
                <w:iCs w:val="0"/>
                <w:u w:val="none"/>
                <w:vertAlign w:val="baseline"/>
                <w:rtl w:val="1"/>
              </w:rPr>
              <w:t xml:space="preserve">רשות הפטנטים מנפיקה קבלה בגין הגשת הבקשה</w:t>
            </w:r>
          </w:p>
        </w:tc>
      </w:tr>
      <w:tr w:rsidR="008460F6" w:rsidRPr="008460F6" w:rsidTr="00BA21F5">
        <w:tc>
          <w:tcPr>
            <w:tcW w:w="3261" w:type="dxa"/>
            <w:vMerge/>
          </w:tcPr>
          <w:p w:rsidR="008460F6" w:rsidRPr="008460F6" w:rsidRDefault="008460F6" w:rsidP="00BA21F5">
            <w:pPr>
              <w:ind w:left="317"/>
            </w:pPr>
          </w:p>
        </w:tc>
        <w:tc>
          <w:tcPr>
            <w:tcW w:w="3260" w:type="dxa"/>
            <w:vMerge w:val="restart"/>
            <w:vAlign w:val="center"/>
          </w:tcPr>
          <w:p w:rsidR="008460F6" w:rsidRPr="008460F6" w:rsidRDefault="008460F6" w:rsidP="00BA21F5">
            <w:pPr>
              <w:ind w:left="92"/>
              <w:bidi w:val="1"/>
            </w:pPr>
            <w:r>
              <w:rPr>
                <w:lang w:bidi="he"/>
                <w:b w:val="0"/>
                <w:bCs w:val="0"/>
                <w:i w:val="0"/>
                <w:iCs w:val="0"/>
                <w:u w:val="none"/>
                <w:vertAlign w:val="baseline"/>
                <w:rtl w:val="1"/>
              </w:rPr>
              <w:t xml:space="preserve">1-2 שבועות אחרי הגשת הבקשה</w:t>
            </w:r>
          </w:p>
        </w:tc>
        <w:tc>
          <w:tcPr>
            <w:tcW w:w="7229" w:type="dxa"/>
          </w:tcPr>
          <w:p w:rsidR="008460F6" w:rsidRPr="008460F6" w:rsidRDefault="008460F6" w:rsidP="00BA21F5">
            <w:pPr>
              <w:pStyle w:val="ListParagraph"/>
              <w:numPr>
                <w:ilvl w:val="0"/>
                <w:numId w:val="1"/>
              </w:numPr>
              <w:ind w:left="317"/>
              <w:bidi w:val="1"/>
            </w:pPr>
            <w:r>
              <w:rPr>
                <w:lang w:bidi="he"/>
                <w:b w:val="0"/>
                <w:bCs w:val="0"/>
                <w:i w:val="0"/>
                <w:iCs w:val="0"/>
                <w:u w:val="none"/>
                <w:vertAlign w:val="baseline"/>
                <w:rtl w:val="1"/>
              </w:rPr>
              <w:t xml:space="preserve">רשות הפטנטים מוודאת שהדרישות הפורמליות התקיימו (</w:t>
            </w:r>
            <w:r>
              <w:rPr>
                <w:lang w:bidi="he"/>
                <w:b w:val="0"/>
                <w:bCs w:val="0"/>
                <w:i w:val="1"/>
                <w:iCs w:val="1"/>
                <w:u w:val="none"/>
                <w:vertAlign w:val="baseline"/>
                <w:rtl w:val="1"/>
              </w:rPr>
              <w:t xml:space="preserve">ובבקשות לבדיקה מזורזת כגון בזירוז בנסיבות מיוחדת, בקשה בהליך </w:t>
            </w:r>
            <w:r>
              <w:rPr>
                <w:b w:val="0"/>
                <w:bCs w:val="0"/>
                <w:i w:val="1"/>
                <w:iCs w:val="1"/>
                <w:u w:val="none"/>
                <w:vertAlign w:val="baseline"/>
                <w:rtl w:val="0"/>
              </w:rPr>
              <w:t xml:space="preserve">PPH</w:t>
            </w:r>
            <w:r>
              <w:rPr>
                <w:lang w:bidi="he"/>
                <w:b w:val="0"/>
                <w:bCs w:val="0"/>
                <w:i w:val="1"/>
                <w:iCs w:val="1"/>
                <w:u w:val="none"/>
                <w:vertAlign w:val="baseline"/>
                <w:rtl w:val="1"/>
              </w:rPr>
              <w:t xml:space="preserve">, אמצאה 'ירוקה' - שאינן נידונות בלוח זמנים זה).</w:t>
            </w:r>
          </w:p>
        </w:tc>
      </w:tr>
      <w:tr w:rsidR="008460F6" w:rsidRPr="008460F6" w:rsidTr="00BA21F5">
        <w:tc>
          <w:tcPr>
            <w:tcW w:w="3261" w:type="dxa"/>
            <w:vMerge/>
          </w:tcPr>
          <w:p w:rsidR="008460F6" w:rsidRPr="008460F6" w:rsidRDefault="008460F6" w:rsidP="00BA21F5">
            <w:pPr>
              <w:ind w:left="317"/>
            </w:pPr>
          </w:p>
        </w:tc>
        <w:tc>
          <w:tcPr>
            <w:tcW w:w="3260" w:type="dxa"/>
            <w:vMerge/>
          </w:tcPr>
          <w:p w:rsidR="008460F6" w:rsidRPr="008460F6" w:rsidRDefault="008460F6" w:rsidP="00BA21F5">
            <w:pPr>
              <w:ind w:left="92"/>
            </w:pPr>
          </w:p>
        </w:tc>
        <w:tc>
          <w:tcPr>
            <w:tcW w:w="7229" w:type="dxa"/>
          </w:tcPr>
          <w:p w:rsidR="008460F6" w:rsidRPr="008460F6" w:rsidRDefault="008460F6" w:rsidP="00BA21F5">
            <w:pPr>
              <w:pStyle w:val="ListParagraph"/>
              <w:numPr>
                <w:ilvl w:val="0"/>
                <w:numId w:val="1"/>
              </w:numPr>
              <w:ind w:left="317"/>
              <w:bidi w:val="1"/>
            </w:pPr>
            <w:r>
              <w:rPr>
                <w:lang w:bidi="he"/>
                <w:b w:val="0"/>
                <w:bCs w:val="0"/>
                <w:i w:val="0"/>
                <w:iCs w:val="0"/>
                <w:u w:val="none"/>
                <w:vertAlign w:val="baseline"/>
                <w:rtl w:val="1"/>
              </w:rPr>
              <w:t xml:space="preserve">במידה וכל הדרישות התקיימו, הבקשה מועברת לבודק, ואם לא כן, הוא מוציא מכתב פגמים בדרישות הפורמליות</w:t>
            </w:r>
          </w:p>
        </w:tc>
      </w:tr>
      <w:tr w:rsidR="008460F6" w:rsidRPr="008460F6" w:rsidTr="00BA21F5">
        <w:tc>
          <w:tcPr>
            <w:tcW w:w="3261" w:type="dxa"/>
          </w:tcPr>
          <w:p w:rsidR="008460F6" w:rsidRPr="008460F6" w:rsidRDefault="008460F6" w:rsidP="00BA21F5">
            <w:pPr>
              <w:pStyle w:val="ListParagraph"/>
              <w:numPr>
                <w:ilvl w:val="0"/>
                <w:numId w:val="1"/>
              </w:numPr>
              <w:ind w:left="317"/>
              <w:bidi w:val="1"/>
            </w:pPr>
            <w:r>
              <w:rPr>
                <w:lang w:bidi="he"/>
                <w:b w:val="0"/>
                <w:bCs w:val="0"/>
                <w:i w:val="0"/>
                <w:iCs w:val="0"/>
                <w:u w:val="none"/>
                <w:vertAlign w:val="baseline"/>
                <w:rtl w:val="1"/>
              </w:rPr>
              <w:t xml:space="preserve">המבקש מגיב למכתב הפגמים בבקשות הפורמליות</w:t>
            </w:r>
          </w:p>
        </w:tc>
        <w:tc>
          <w:tcPr>
            <w:tcW w:w="3260" w:type="dxa"/>
          </w:tcPr>
          <w:p w:rsidR="008460F6" w:rsidRPr="008460F6" w:rsidRDefault="008460F6" w:rsidP="00BA21F5">
            <w:pPr>
              <w:ind w:left="92"/>
              <w:bidi w:val="1"/>
            </w:pPr>
            <w:r>
              <w:rPr>
                <w:lang w:bidi="he"/>
                <w:b w:val="0"/>
                <w:bCs w:val="0"/>
                <w:i w:val="0"/>
                <w:iCs w:val="0"/>
                <w:u w:val="none"/>
                <w:vertAlign w:val="baseline"/>
                <w:rtl w:val="1"/>
              </w:rPr>
              <w:t xml:space="preserve">תוך 3 חודשים מהוצאת מכתב הפגמים בבקשות הפורמליות</w:t>
            </w:r>
          </w:p>
        </w:tc>
        <w:tc>
          <w:tcPr>
            <w:tcW w:w="7229" w:type="dxa"/>
          </w:tcPr>
          <w:p w:rsidR="008460F6" w:rsidRPr="008460F6" w:rsidRDefault="008460F6" w:rsidP="00BA21F5">
            <w:pPr>
              <w:ind w:left="317"/>
            </w:pPr>
          </w:p>
        </w:tc>
      </w:tr>
      <w:tr w:rsidR="004D221B" w:rsidRPr="008460F6" w:rsidTr="00BA21F5">
        <w:tc>
          <w:tcPr>
            <w:tcW w:w="3261" w:type="dxa"/>
          </w:tcPr>
          <w:p w:rsidR="004D221B" w:rsidRPr="008460F6" w:rsidRDefault="004D221B" w:rsidP="00BA21F5">
            <w:pPr>
              <w:ind w:left="317"/>
              <w:jc w:val="center"/>
            </w:pPr>
          </w:p>
        </w:tc>
        <w:tc>
          <w:tcPr>
            <w:tcW w:w="3260" w:type="dxa"/>
          </w:tcPr>
          <w:p w:rsidR="004D221B" w:rsidRPr="008460F6" w:rsidRDefault="004D221B" w:rsidP="00BA21F5">
            <w:pPr>
              <w:ind w:left="92"/>
            </w:pPr>
          </w:p>
        </w:tc>
        <w:tc>
          <w:tcPr>
            <w:tcW w:w="7229" w:type="dxa"/>
          </w:tcPr>
          <w:p w:rsidR="004D221B" w:rsidRPr="008460F6" w:rsidRDefault="004D221B" w:rsidP="00BA21F5">
            <w:pPr>
              <w:pStyle w:val="ListParagraph"/>
              <w:numPr>
                <w:ilvl w:val="0"/>
                <w:numId w:val="1"/>
              </w:numPr>
              <w:ind w:left="317"/>
              <w:bidi w:val="1"/>
            </w:pPr>
            <w:r>
              <w:rPr>
                <w:lang w:bidi="he"/>
                <w:b w:val="0"/>
                <w:bCs w:val="0"/>
                <w:i w:val="0"/>
                <w:iCs w:val="0"/>
                <w:u w:val="none"/>
                <w:vertAlign w:val="baseline"/>
                <w:rtl w:val="1"/>
              </w:rPr>
              <w:t xml:space="preserve">רשות הפטנטים חוזרת על צעד 4</w:t>
            </w:r>
          </w:p>
        </w:tc>
      </w:tr>
      <w:tr w:rsidR="00AF252A" w:rsidRPr="008460F6" w:rsidTr="00BA21F5">
        <w:tc>
          <w:tcPr>
            <w:tcW w:w="3261" w:type="dxa"/>
          </w:tcPr>
          <w:p w:rsidR="00AF252A" w:rsidRPr="008460F6" w:rsidRDefault="00AF252A" w:rsidP="00BA21F5">
            <w:pPr>
              <w:ind w:left="317"/>
              <w:jc w:val="center"/>
            </w:pPr>
          </w:p>
        </w:tc>
        <w:tc>
          <w:tcPr>
            <w:tcW w:w="3260" w:type="dxa"/>
          </w:tcPr>
          <w:p w:rsidR="00AF252A" w:rsidRPr="00AF252A" w:rsidRDefault="00AF252A" w:rsidP="00BA21F5">
            <w:pPr>
              <w:ind w:left="92"/>
              <w:bidi w:val="1"/>
            </w:pPr>
            <w:r>
              <w:rPr>
                <w:lang w:bidi="he"/>
                <w:b w:val="0"/>
                <w:bCs w:val="0"/>
                <w:i w:val="0"/>
                <w:iCs w:val="0"/>
                <w:u w:val="none"/>
                <w:vertAlign w:val="baseline"/>
                <w:rtl w:val="1"/>
              </w:rPr>
              <w:t xml:space="preserve">לפי המוקדם מבין 18 חודשים ממועד ההגשה הבינלאומית או 45 יום ממועד הכניסה לשלב הלאומי.</w:t>
            </w:r>
          </w:p>
        </w:tc>
        <w:tc>
          <w:tcPr>
            <w:tcW w:w="7229" w:type="dxa"/>
          </w:tcPr>
          <w:p w:rsidR="00AF252A" w:rsidRPr="008460F6" w:rsidRDefault="00AF252A" w:rsidP="00BA21F5">
            <w:pPr>
              <w:pStyle w:val="ListParagraph"/>
              <w:numPr>
                <w:ilvl w:val="0"/>
                <w:numId w:val="1"/>
              </w:numPr>
              <w:ind w:left="317"/>
              <w:bidi w:val="1"/>
            </w:pPr>
            <w:r>
              <w:rPr>
                <w:lang w:bidi="he"/>
                <w:b w:val="0"/>
                <w:bCs w:val="0"/>
                <w:i w:val="0"/>
                <w:iCs w:val="0"/>
                <w:u w:val="none"/>
                <w:vertAlign w:val="baseline"/>
                <w:rtl w:val="1"/>
              </w:rPr>
              <w:t xml:space="preserve">פרסום הבקשה והתיק. </w:t>
            </w:r>
            <w:r>
              <w:rPr>
                <w:lang w:bidi="he"/>
                <w:b w:val="0"/>
                <w:bCs w:val="0"/>
                <w:i w:val="0"/>
                <w:iCs w:val="0"/>
                <w:u w:val="none"/>
                <w:vertAlign w:val="baseline"/>
                <w:rtl w:val="1"/>
              </w:rPr>
              <w:t xml:space="preserve">צדדים שלישיים רשאים להשתמש במידע זה כדי להוסיף ידע קודם רלוונטי לתיק</w:t>
            </w:r>
          </w:p>
        </w:tc>
      </w:tr>
      <w:tr w:rsidR="004D221B" w:rsidRPr="008460F6" w:rsidTr="00BA21F5">
        <w:tc>
          <w:tcPr>
            <w:tcW w:w="3261" w:type="dxa"/>
          </w:tcPr>
          <w:p w:rsidR="004D221B" w:rsidRPr="008460F6" w:rsidRDefault="004D221B" w:rsidP="00BA21F5">
            <w:pPr>
              <w:ind w:left="317"/>
              <w:jc w:val="center"/>
            </w:pPr>
          </w:p>
        </w:tc>
        <w:tc>
          <w:tcPr>
            <w:tcW w:w="3260" w:type="dxa"/>
          </w:tcPr>
          <w:p w:rsidR="004D221B" w:rsidRPr="008460F6" w:rsidRDefault="004D221B" w:rsidP="00BA21F5">
            <w:pPr>
              <w:ind w:left="92"/>
              <w:bidi w:val="1"/>
            </w:pPr>
            <w:r>
              <w:rPr>
                <w:lang w:bidi="he"/>
                <w:b w:val="0"/>
                <w:bCs w:val="0"/>
                <w:i w:val="0"/>
                <w:iCs w:val="0"/>
                <w:u w:val="none"/>
                <w:vertAlign w:val="baseline"/>
                <w:rtl w:val="1"/>
              </w:rPr>
              <w:t xml:space="preserve">לרוב תוך 6-18 חודשים ממועד ההגשה, תלוי בתחום</w:t>
            </w:r>
          </w:p>
        </w:tc>
        <w:tc>
          <w:tcPr>
            <w:tcW w:w="7229" w:type="dxa"/>
          </w:tcPr>
          <w:p w:rsidR="004D221B" w:rsidRPr="008460F6" w:rsidRDefault="004D221B" w:rsidP="00BA21F5">
            <w:pPr>
              <w:pStyle w:val="ListParagraph"/>
              <w:numPr>
                <w:ilvl w:val="0"/>
                <w:numId w:val="1"/>
              </w:numPr>
              <w:ind w:left="317"/>
              <w:bidi w:val="1"/>
            </w:pPr>
            <w:r>
              <w:rPr>
                <w:lang w:bidi="he"/>
                <w:b w:val="0"/>
                <w:bCs w:val="0"/>
                <w:i w:val="0"/>
                <w:iCs w:val="0"/>
                <w:u w:val="none"/>
                <w:vertAlign w:val="baseline"/>
                <w:rtl w:val="1"/>
              </w:rPr>
              <w:t xml:space="preserve">רשות הפטנטים מנפיקה מכתב טרום בדיקה (</w:t>
            </w:r>
            <w:r>
              <w:rPr>
                <w:b w:val="0"/>
                <w:bCs w:val="0"/>
                <w:i w:val="0"/>
                <w:iCs w:val="0"/>
                <w:u w:val="none"/>
                <w:vertAlign w:val="baseline"/>
                <w:rtl w:val="0"/>
              </w:rPr>
              <w:t xml:space="preserve">S-18</w:t>
            </w:r>
            <w:r>
              <w:rPr>
                <w:lang w:bidi="he"/>
                <w:b w:val="0"/>
                <w:bCs w:val="0"/>
                <w:i w:val="0"/>
                <w:iCs w:val="0"/>
                <w:u w:val="none"/>
                <w:vertAlign w:val="baseline"/>
                <w:rtl w:val="1"/>
              </w:rPr>
              <w:t xml:space="preserve">). </w:t>
            </w:r>
            <w:r>
              <w:rPr>
                <w:lang w:bidi="he"/>
                <w:b w:val="0"/>
                <w:bCs w:val="0"/>
                <w:i w:val="0"/>
                <w:iCs w:val="0"/>
                <w:u w:val="none"/>
                <w:vertAlign w:val="baseline"/>
                <w:rtl w:val="1"/>
              </w:rPr>
              <w:t xml:space="preserve">זה מצביע על תחילת החובה המתמשכת לגילוי ידע קודם כל עוד הפטנט תלוי ועומד. </w:t>
            </w:r>
          </w:p>
        </w:tc>
      </w:tr>
      <w:tr w:rsidR="004D221B" w:rsidRPr="008460F6" w:rsidTr="00BA21F5">
        <w:tc>
          <w:tcPr>
            <w:tcW w:w="3261" w:type="dxa"/>
          </w:tcPr>
          <w:p w:rsidR="004D221B" w:rsidRPr="008460F6" w:rsidRDefault="004D221B" w:rsidP="00BA21F5">
            <w:pPr>
              <w:pStyle w:val="ListParagraph"/>
              <w:numPr>
                <w:ilvl w:val="0"/>
                <w:numId w:val="1"/>
              </w:numPr>
              <w:ind w:left="317"/>
              <w:bidi w:val="1"/>
            </w:pPr>
            <w:r>
              <w:rPr>
                <w:lang w:bidi="he"/>
                <w:b w:val="0"/>
                <w:bCs w:val="0"/>
                <w:i w:val="0"/>
                <w:iCs w:val="0"/>
                <w:u w:val="none"/>
                <w:vertAlign w:val="baseline"/>
                <w:rtl w:val="1"/>
              </w:rPr>
              <w:t xml:space="preserve">המבקש מגיב למכתב טרום הבדיקה</w:t>
            </w:r>
          </w:p>
        </w:tc>
        <w:tc>
          <w:tcPr>
            <w:tcW w:w="3260" w:type="dxa"/>
          </w:tcPr>
          <w:p w:rsidR="004D221B" w:rsidRPr="008460F6" w:rsidRDefault="004D221B" w:rsidP="00BA21F5">
            <w:pPr>
              <w:ind w:left="92"/>
              <w:bidi w:val="1"/>
            </w:pPr>
            <w:r>
              <w:rPr>
                <w:lang w:bidi="he"/>
                <w:b w:val="0"/>
                <w:bCs w:val="0"/>
                <w:i w:val="0"/>
                <w:iCs w:val="0"/>
                <w:u w:val="none"/>
                <w:vertAlign w:val="baseline"/>
                <w:rtl w:val="1"/>
              </w:rPr>
              <w:t xml:space="preserve">תוך 4 חודשים ממועד ההנפקה; יש אפשרות להארכה בעד 6 חודשים, והתשלום עבור ההארכה יכול להיות משולם בפיגורים</w:t>
            </w:r>
          </w:p>
        </w:tc>
        <w:tc>
          <w:tcPr>
            <w:tcW w:w="7229" w:type="dxa"/>
          </w:tcPr>
          <w:p w:rsidR="004D221B" w:rsidRPr="008460F6" w:rsidRDefault="004D221B" w:rsidP="00BA21F5">
            <w:pPr>
              <w:pStyle w:val="ListParagraph"/>
              <w:ind w:left="317"/>
            </w:pPr>
          </w:p>
        </w:tc>
      </w:tr>
      <w:tr w:rsidR="00BA21F5" w:rsidRPr="008460F6" w:rsidTr="00F62228">
        <w:tc>
          <w:tcPr>
            <w:tcW w:w="13750" w:type="dxa"/>
            <w:gridSpan w:val="3"/>
          </w:tcPr>
          <w:p w:rsidR="00BA21F5" w:rsidRPr="00BA21F5" w:rsidRDefault="00BA21F5" w:rsidP="00D96974">
            <w:pPr>
              <w:spacing w:before="60" w:after="60"/>
              <w:ind w:left="318"/>
              <w:rPr>
                <w:i/>
                <w:iCs/>
              </w:rPr>
              <w:bidi w:val="1"/>
            </w:pPr>
            <w:r>
              <w:rPr>
                <w:lang w:bidi="he"/>
                <w:b w:val="0"/>
                <w:bCs w:val="0"/>
                <w:i w:val="1"/>
                <w:iCs w:val="1"/>
                <w:u w:val="none"/>
                <w:vertAlign w:val="baseline"/>
                <w:rtl w:val="1"/>
              </w:rPr>
              <w:t xml:space="preserve">במידה ולא מתקבלת תגובה 5 חודשים מחלוף מועד התגובה המקורי, רשות הפטנטים מנפיקה </w:t>
            </w:r>
            <w:r>
              <w:rPr>
                <w:lang w:bidi="he"/>
                <w:b w:val="0"/>
                <w:bCs w:val="0"/>
                <w:i w:val="1"/>
                <w:iCs w:val="1"/>
                <w:u w:val="single"/>
                <w:vertAlign w:val="baseline"/>
                <w:rtl w:val="1"/>
              </w:rPr>
              <w:t xml:space="preserve">הודעה בת 30 יום טרום הסירוב</w:t>
            </w:r>
            <w:r>
              <w:rPr>
                <w:lang w:bidi="he"/>
                <w:b w:val="0"/>
                <w:bCs w:val="0"/>
                <w:i w:val="1"/>
                <w:iCs w:val="1"/>
                <w:u w:val="none"/>
                <w:vertAlign w:val="baseline"/>
                <w:rtl w:val="1"/>
              </w:rPr>
              <w:t xml:space="preserve"> לבקשה, ובתקופה זו המבקש רשאי לתקן כל מחסור ולשלם את דמי ההארכה הדרושים.</w:t>
            </w:r>
          </w:p>
          <w:p w:rsidR="00BA21F5" w:rsidRPr="00BA21F5" w:rsidRDefault="00BA21F5" w:rsidP="00D96974">
            <w:pPr>
              <w:spacing w:before="60" w:after="60"/>
              <w:ind w:left="318"/>
              <w:rPr>
                <w:i/>
                <w:iCs/>
              </w:rPr>
              <w:bidi w:val="1"/>
            </w:pPr>
            <w:r>
              <w:rPr>
                <w:lang w:bidi="he"/>
                <w:b w:val="0"/>
                <w:bCs w:val="0"/>
                <w:i w:val="1"/>
                <w:iCs w:val="1"/>
                <w:u w:val="none"/>
                <w:vertAlign w:val="baseline"/>
                <w:rtl w:val="1"/>
              </w:rPr>
              <w:t xml:space="preserve">דרישה זו חלה על כל הפעולות, כולל מכתב הפגמים בדרישות פורמליות [#4,5], המכתב טרום בדיקה [#8,9] ופעולות המשרד [#12].</w:t>
            </w:r>
          </w:p>
          <w:p w:rsidR="00BA21F5" w:rsidRDefault="00BA21F5" w:rsidP="00D96974">
            <w:pPr>
              <w:spacing w:before="60" w:after="60"/>
              <w:ind w:left="318"/>
              <w:bidi w:val="1"/>
            </w:pPr>
            <w:r>
              <w:rPr>
                <w:lang w:bidi="he"/>
                <w:b w:val="0"/>
                <w:bCs w:val="0"/>
                <w:i w:val="1"/>
                <w:iCs w:val="1"/>
                <w:u w:val="none"/>
                <w:vertAlign w:val="baseline"/>
                <w:rtl w:val="1"/>
              </w:rPr>
              <w:t xml:space="preserve">אי תגובה הולמת להודעה טרום סירוב תביא להוצאת הודעה על סירוב לבקשה.</w:t>
            </w:r>
            <w:r>
              <w:rPr>
                <w:lang w:bidi="he"/>
                <w:b w:val="0"/>
                <w:bCs w:val="0"/>
                <w:i w:val="0"/>
                <w:iCs w:val="0"/>
                <w:u w:val="none"/>
                <w:vertAlign w:val="baseline"/>
                <w:rtl w:val="1"/>
              </w:rPr>
              <w:t xml:space="preserve"> </w:t>
            </w:r>
          </w:p>
        </w:tc>
      </w:tr>
      <w:tr w:rsidR="00C92C8C" w:rsidRPr="008460F6" w:rsidTr="00BA21F5">
        <w:tc>
          <w:tcPr>
            <w:tcW w:w="3261" w:type="dxa"/>
          </w:tcPr>
          <w:p w:rsidR="00C92C8C" w:rsidRPr="008460F6" w:rsidRDefault="00C92C8C" w:rsidP="00BA21F5">
            <w:pPr>
              <w:ind w:left="317"/>
              <w:jc w:val="center"/>
            </w:pPr>
          </w:p>
        </w:tc>
        <w:tc>
          <w:tcPr>
            <w:tcW w:w="3260" w:type="dxa"/>
          </w:tcPr>
          <w:p w:rsidR="00C92C8C" w:rsidRPr="008460F6" w:rsidRDefault="00C92C8C" w:rsidP="00BA21F5">
            <w:pPr>
              <w:ind w:left="92"/>
              <w:jc w:val="center"/>
            </w:pPr>
          </w:p>
        </w:tc>
        <w:tc>
          <w:tcPr>
            <w:tcW w:w="7229" w:type="dxa"/>
          </w:tcPr>
          <w:p w:rsidR="00C92C8C" w:rsidRDefault="00C92C8C" w:rsidP="00BA21F5">
            <w:pPr>
              <w:pStyle w:val="ListParagraph"/>
              <w:numPr>
                <w:ilvl w:val="0"/>
                <w:numId w:val="1"/>
              </w:numPr>
              <w:ind w:left="317"/>
              <w:bidi w:val="1"/>
            </w:pPr>
            <w:r>
              <w:rPr>
                <w:lang w:bidi="he"/>
                <w:b w:val="0"/>
                <w:bCs w:val="0"/>
                <w:i w:val="0"/>
                <w:iCs w:val="0"/>
                <w:u w:val="none"/>
                <w:vertAlign w:val="baseline"/>
                <w:rtl w:val="1"/>
              </w:rPr>
              <w:t xml:space="preserve">רשות הפטנטים בוחנת את הטיעונים בעד כל בקשה לפי סעיף 17(ג) (בדיקה 'מותאמת'), במידה והוגשו, או כל בקשה אחרת להשעיית הבדיקה.</w:t>
            </w:r>
          </w:p>
        </w:tc>
      </w:tr>
      <w:tr w:rsidR="004D221B" w:rsidRPr="008460F6" w:rsidTr="00BA21F5">
        <w:tc>
          <w:tcPr>
            <w:tcW w:w="3261" w:type="dxa"/>
          </w:tcPr>
          <w:p w:rsidR="004D221B" w:rsidRPr="008460F6" w:rsidRDefault="004D221B" w:rsidP="00BA21F5">
            <w:pPr>
              <w:ind w:left="317"/>
              <w:jc w:val="center"/>
            </w:pPr>
          </w:p>
        </w:tc>
        <w:tc>
          <w:tcPr>
            <w:tcW w:w="3260" w:type="dxa"/>
          </w:tcPr>
          <w:p w:rsidR="004D221B" w:rsidRPr="008460F6" w:rsidRDefault="004047AD" w:rsidP="00BA21F5">
            <w:pPr>
              <w:ind w:left="92"/>
              <w:bidi w:val="1"/>
            </w:pPr>
            <w:r>
              <w:rPr>
                <w:lang w:bidi="he"/>
                <w:b w:val="0"/>
                <w:bCs w:val="0"/>
                <w:i w:val="0"/>
                <w:iCs w:val="0"/>
                <w:u w:val="none"/>
                <w:vertAlign w:val="baseline"/>
                <w:rtl w:val="1"/>
              </w:rPr>
              <w:t xml:space="preserve">12-18 חודשים אחרי תגובת המבקש לפי #8</w:t>
            </w:r>
          </w:p>
        </w:tc>
        <w:tc>
          <w:tcPr>
            <w:tcW w:w="7229" w:type="dxa"/>
          </w:tcPr>
          <w:p w:rsidR="004D221B" w:rsidRPr="008460F6" w:rsidRDefault="00C92C8C" w:rsidP="00BA21F5">
            <w:pPr>
              <w:pStyle w:val="ListParagraph"/>
              <w:numPr>
                <w:ilvl w:val="0"/>
                <w:numId w:val="1"/>
              </w:numPr>
              <w:ind w:left="317"/>
              <w:bidi w:val="1"/>
            </w:pPr>
            <w:r>
              <w:rPr>
                <w:lang w:bidi="he"/>
                <w:b w:val="0"/>
                <w:bCs w:val="0"/>
                <w:i w:val="0"/>
                <w:iCs w:val="0"/>
                <w:u w:val="none"/>
                <w:vertAlign w:val="baseline"/>
                <w:rtl w:val="1"/>
              </w:rPr>
              <w:t xml:space="preserve">אם אין בקשות מיוחדות לפי #9, התיק מחכה לבדיקה לפי התור.</w:t>
            </w:r>
          </w:p>
        </w:tc>
      </w:tr>
      <w:tr w:rsidR="004047AD" w:rsidRPr="008460F6" w:rsidTr="00BA21F5">
        <w:tc>
          <w:tcPr>
            <w:tcW w:w="3261" w:type="dxa"/>
          </w:tcPr>
          <w:p w:rsidR="004047AD" w:rsidRDefault="004047AD" w:rsidP="00BA21F5">
            <w:pPr>
              <w:ind w:left="317"/>
            </w:pPr>
          </w:p>
        </w:tc>
        <w:tc>
          <w:tcPr>
            <w:tcW w:w="3260" w:type="dxa"/>
          </w:tcPr>
          <w:p w:rsidR="004047AD" w:rsidRDefault="004047AD" w:rsidP="00BA21F5">
            <w:pPr>
              <w:ind w:left="92"/>
              <w:jc w:val="center"/>
            </w:pPr>
          </w:p>
        </w:tc>
        <w:tc>
          <w:tcPr>
            <w:tcW w:w="7229" w:type="dxa"/>
          </w:tcPr>
          <w:p w:rsidR="004047AD" w:rsidRPr="00A4642C" w:rsidRDefault="004047AD" w:rsidP="00BA21F5">
            <w:pPr>
              <w:pStyle w:val="ListParagraph"/>
              <w:numPr>
                <w:ilvl w:val="0"/>
                <w:numId w:val="1"/>
              </w:numPr>
              <w:ind w:left="317"/>
              <w:rPr>
                <w:b/>
                <w:bCs/>
              </w:rPr>
              <w:bidi w:val="1"/>
            </w:pPr>
            <w:r>
              <w:rPr>
                <w:lang w:bidi="he"/>
                <w:b w:val="1"/>
                <w:bCs w:val="1"/>
                <w:i w:val="0"/>
                <w:iCs w:val="0"/>
                <w:u w:val="none"/>
                <w:vertAlign w:val="baseline"/>
                <w:rtl w:val="1"/>
              </w:rPr>
              <w:t xml:space="preserve">בדיקה מהותית: </w:t>
            </w:r>
            <w:r>
              <w:rPr>
                <w:lang w:bidi="he"/>
                <w:b w:val="0"/>
                <w:bCs w:val="0"/>
                <w:i w:val="0"/>
                <w:iCs w:val="0"/>
                <w:u w:val="none"/>
                <w:vertAlign w:val="baseline"/>
                <w:rtl w:val="1"/>
              </w:rPr>
              <w:t xml:space="preserve">הבקשה נבדקת בהיבטים של אחידות האמצאה, זכאות לפטנט, חידוש, התקדמות המצאתית, שימושיות, גילוי מספק, והיבטים פורמליים. </w:t>
            </w:r>
            <w:r>
              <w:rPr>
                <w:lang w:bidi="he"/>
                <w:b w:val="0"/>
                <w:bCs w:val="0"/>
                <w:i w:val="0"/>
                <w:iCs w:val="0"/>
                <w:u w:val="none"/>
                <w:vertAlign w:val="baseline"/>
                <w:rtl w:val="1"/>
              </w:rPr>
              <w:t xml:space="preserve">הנפקת דוח בדיקה (פעולה משרדית) או הודעה על אפשרות קיבול (</w:t>
            </w:r>
            <w:r>
              <w:rPr>
                <w:b w:val="0"/>
                <w:bCs w:val="0"/>
                <w:i w:val="0"/>
                <w:iCs w:val="0"/>
                <w:u w:val="none"/>
                <w:vertAlign w:val="baseline"/>
                <w:rtl w:val="0"/>
              </w:rPr>
              <w:t xml:space="preserve">PK13) [#14</w:t>
            </w:r>
            <w:r>
              <w:rPr>
                <w:lang w:bidi="he"/>
                <w:b w:val="0"/>
                <w:bCs w:val="0"/>
                <w:i w:val="0"/>
                <w:iCs w:val="0"/>
                <w:u w:val="none"/>
                <w:vertAlign w:val="baseline"/>
                <w:rtl w:val="1"/>
              </w:rPr>
              <w:t xml:space="preserve">].</w:t>
            </w:r>
          </w:p>
        </w:tc>
      </w:tr>
    </w:tbl>
    <w:p w:rsidR="00BA21F5" w:rsidRDefault="00BA21F5">
      <w:pPr>
        <w:bidi w:val="1"/>
      </w:pPr>
      <w:r>
        <w:rPr>
          <w:b w:val="0"/>
          <w:bCs w:val="0"/>
          <w:i w:val="0"/>
          <w:iCs w:val="0"/>
          <w:u w:val="none"/>
          <w:vertAlign w:val="baseline"/>
          <w:rtl w:val="0"/>
        </w:rPr>
        <w:br w:type="page"/>
      </w:r>
    </w:p>
    <w:tbl>
      <w:tblPr>
        <w:tblStyle w:val="TableGrid"/>
        <w:tblW w:w="13750" w:type="dxa"/>
        <w:tblInd w:w="-459" w:type="dxa"/>
        <w:tblLook w:val="04A0" w:firstRow="1" w:lastRow="0" w:firstColumn="1" w:lastColumn="0" w:noHBand="0" w:noVBand="1"/>
        <w:bidiVisual/>
      </w:tblPr>
      <w:tblGrid>
        <w:gridCol w:w="3261"/>
        <w:gridCol w:w="3260"/>
        <w:gridCol w:w="7229"/>
      </w:tblGrid>
      <w:tr w:rsidR="00BA21F5" w:rsidRPr="008460F6" w:rsidTr="00BA21F5">
        <w:tc>
          <w:tcPr>
            <w:tcW w:w="3261" w:type="dxa"/>
          </w:tcPr>
          <w:p w:rsidR="00BA21F5" w:rsidRPr="008460F6" w:rsidRDefault="00BA21F5" w:rsidP="00FE786C">
            <w:pPr>
              <w:pStyle w:val="ListParagraph"/>
              <w:ind w:left="317"/>
              <w:rPr>
                <w:b/>
                <w:bCs/>
              </w:rPr>
              <w:bidi w:val="1"/>
            </w:pPr>
            <w:r>
              <w:rPr>
                <w:lang w:bidi="he"/>
                <w:b w:val="1"/>
                <w:bCs w:val="1"/>
                <w:i w:val="0"/>
                <w:iCs w:val="0"/>
                <w:u w:val="none"/>
                <w:vertAlign w:val="baseline"/>
                <w:rtl w:val="1"/>
              </w:rPr>
              <w:t xml:space="preserve">פעולות המבקש</w:t>
            </w:r>
          </w:p>
        </w:tc>
        <w:tc>
          <w:tcPr>
            <w:tcW w:w="3260" w:type="dxa"/>
          </w:tcPr>
          <w:p w:rsidR="00BA21F5" w:rsidRPr="008460F6" w:rsidRDefault="00BA21F5" w:rsidP="00FE786C">
            <w:pPr>
              <w:ind w:left="92"/>
              <w:jc w:val="center"/>
              <w:rPr>
                <w:b/>
                <w:bCs/>
              </w:rPr>
              <w:bidi w:val="1"/>
            </w:pPr>
            <w:r>
              <w:rPr>
                <w:lang w:bidi="he"/>
                <w:b w:val="1"/>
                <w:bCs w:val="1"/>
                <w:i w:val="0"/>
                <w:iCs w:val="0"/>
                <w:u w:val="none"/>
                <w:vertAlign w:val="baseline"/>
                <w:rtl w:val="1"/>
              </w:rPr>
              <w:t xml:space="preserve">לוח זמנים* (</w:t>
            </w:r>
            <w:r>
              <w:rPr>
                <w:lang w:bidi="he"/>
                <w:b w:val="1"/>
                <w:bCs w:val="1"/>
                <w:i w:val="0"/>
                <w:iCs w:val="0"/>
                <w:u w:val="single"/>
                <w:vertAlign w:val="baseline"/>
                <w:rtl w:val="1"/>
              </w:rPr>
              <w:t xml:space="preserve">בהנחה שאין זירוז או השעיה)</w:t>
            </w:r>
          </w:p>
        </w:tc>
        <w:tc>
          <w:tcPr>
            <w:tcW w:w="7229" w:type="dxa"/>
          </w:tcPr>
          <w:p w:rsidR="00BA21F5" w:rsidRPr="008460F6" w:rsidRDefault="00BA21F5" w:rsidP="00FE786C">
            <w:pPr>
              <w:ind w:left="317"/>
              <w:rPr>
                <w:b/>
                <w:bCs/>
              </w:rPr>
              <w:bidi w:val="1"/>
            </w:pPr>
            <w:r>
              <w:rPr>
                <w:lang w:bidi="he"/>
                <w:b w:val="1"/>
                <w:bCs w:val="1"/>
                <w:i w:val="0"/>
                <w:iCs w:val="0"/>
                <w:u w:val="none"/>
                <w:vertAlign w:val="baseline"/>
                <w:rtl w:val="1"/>
              </w:rPr>
              <w:t xml:space="preserve">רשות הפטנטים / פעולות משרד / אבני דרך</w:t>
            </w:r>
          </w:p>
        </w:tc>
      </w:tr>
      <w:tr w:rsidR="004D221B" w:rsidRPr="008460F6" w:rsidTr="00BA21F5">
        <w:tc>
          <w:tcPr>
            <w:tcW w:w="3261" w:type="dxa"/>
          </w:tcPr>
          <w:p w:rsidR="004D221B" w:rsidRPr="008460F6" w:rsidRDefault="004047AD" w:rsidP="00BA21F5">
            <w:pPr>
              <w:pStyle w:val="ListParagraph"/>
              <w:numPr>
                <w:ilvl w:val="0"/>
                <w:numId w:val="1"/>
              </w:numPr>
              <w:ind w:left="317"/>
              <w:bidi w:val="1"/>
            </w:pPr>
            <w:r>
              <w:rPr>
                <w:lang w:bidi="he"/>
                <w:b w:val="0"/>
                <w:bCs w:val="0"/>
                <w:i w:val="0"/>
                <w:iCs w:val="0"/>
                <w:u w:val="none"/>
                <w:vertAlign w:val="baseline"/>
                <w:rtl w:val="1"/>
              </w:rPr>
              <w:t xml:space="preserve">אם מונפקת פעולת משרד, המבקש מגיב </w:t>
            </w:r>
          </w:p>
        </w:tc>
        <w:tc>
          <w:tcPr>
            <w:tcW w:w="3260" w:type="dxa"/>
          </w:tcPr>
          <w:p w:rsidR="004D221B" w:rsidRPr="008460F6" w:rsidRDefault="004047AD" w:rsidP="00BA21F5">
            <w:pPr>
              <w:ind w:left="92"/>
              <w:bidi w:val="1"/>
            </w:pPr>
            <w:r>
              <w:rPr>
                <w:lang w:bidi="he"/>
                <w:b w:val="0"/>
                <w:bCs w:val="0"/>
                <w:i w:val="0"/>
                <w:iCs w:val="0"/>
                <w:u w:val="none"/>
                <w:vertAlign w:val="baseline"/>
                <w:rtl w:val="1"/>
              </w:rPr>
              <w:t xml:space="preserve">תוך 4 חודשים ממועד ההנפקה; יש אפשרות להארכה בעד 6 חודשים בהינתן שסך כל ההארכות לתגובה לפעולות משרד לא יעלה על 15 חודשים; והתשלום עבור ההארכות יכול להיות משולם בפיגורים</w:t>
            </w:r>
          </w:p>
        </w:tc>
        <w:tc>
          <w:tcPr>
            <w:tcW w:w="7229" w:type="dxa"/>
          </w:tcPr>
          <w:p w:rsidR="004D221B" w:rsidRPr="008460F6" w:rsidRDefault="004047AD" w:rsidP="00BA21F5">
            <w:pPr>
              <w:pStyle w:val="ListParagraph"/>
              <w:numPr>
                <w:ilvl w:val="0"/>
                <w:numId w:val="1"/>
              </w:numPr>
              <w:ind w:left="317"/>
              <w:bidi w:val="1"/>
            </w:pPr>
            <w:r>
              <w:rPr>
                <w:lang w:bidi="he"/>
                <w:b w:val="0"/>
                <w:bCs w:val="0"/>
                <w:i w:val="0"/>
                <w:iCs w:val="0"/>
                <w:u w:val="none"/>
                <w:vertAlign w:val="baseline"/>
                <w:rtl w:val="1"/>
              </w:rPr>
              <w:t xml:space="preserve">במידה וכל הדרישות קוימו, תונפק הודעה על אפשרות קיבול  (</w:t>
            </w:r>
            <w:r>
              <w:rPr>
                <w:b w:val="0"/>
                <w:bCs w:val="0"/>
                <w:i w:val="0"/>
                <w:iCs w:val="0"/>
                <w:u w:val="none"/>
                <w:vertAlign w:val="baseline"/>
                <w:rtl w:val="0"/>
              </w:rPr>
              <w:t xml:space="preserve">PK13) [#14</w:t>
            </w:r>
            <w:r>
              <w:rPr>
                <w:lang w:bidi="he"/>
                <w:b w:val="0"/>
                <w:bCs w:val="0"/>
                <w:i w:val="0"/>
                <w:iCs w:val="0"/>
                <w:u w:val="none"/>
                <w:vertAlign w:val="baseline"/>
                <w:rtl w:val="1"/>
              </w:rPr>
              <w:t xml:space="preserve">], אלמלא כן, חזור על צד 11 בנוגע לכל העניינים הנותרים.</w:t>
            </w:r>
          </w:p>
        </w:tc>
      </w:tr>
      <w:tr w:rsidR="004D221B" w:rsidRPr="008460F6" w:rsidTr="00BA21F5">
        <w:tc>
          <w:tcPr>
            <w:tcW w:w="3261" w:type="dxa"/>
          </w:tcPr>
          <w:p w:rsidR="004D221B" w:rsidRPr="008460F6" w:rsidRDefault="004D221B" w:rsidP="00BA21F5">
            <w:pPr>
              <w:ind w:left="317"/>
              <w:jc w:val="center"/>
            </w:pPr>
          </w:p>
        </w:tc>
        <w:tc>
          <w:tcPr>
            <w:tcW w:w="3260" w:type="dxa"/>
          </w:tcPr>
          <w:p w:rsidR="004D221B" w:rsidRPr="008460F6" w:rsidRDefault="004D221B" w:rsidP="00BA21F5">
            <w:pPr>
              <w:ind w:left="92"/>
            </w:pPr>
          </w:p>
        </w:tc>
        <w:tc>
          <w:tcPr>
            <w:tcW w:w="7229" w:type="dxa"/>
          </w:tcPr>
          <w:p w:rsidR="006800AA" w:rsidRPr="008460F6" w:rsidRDefault="006800AA" w:rsidP="00BA21F5">
            <w:pPr>
              <w:pStyle w:val="ListParagraph"/>
              <w:numPr>
                <w:ilvl w:val="0"/>
                <w:numId w:val="1"/>
              </w:numPr>
              <w:ind w:left="317"/>
              <w:bidi w:val="1"/>
            </w:pPr>
            <w:r>
              <w:rPr>
                <w:lang w:bidi="he"/>
                <w:b w:val="0"/>
                <w:bCs w:val="0"/>
                <w:i w:val="0"/>
                <w:iCs w:val="0"/>
                <w:u w:val="none"/>
                <w:vertAlign w:val="baseline"/>
                <w:rtl w:val="1"/>
              </w:rPr>
              <w:t xml:space="preserve">הנפקת ההודעה על אפשרות קיבול (</w:t>
            </w:r>
            <w:r>
              <w:rPr>
                <w:b w:val="0"/>
                <w:bCs w:val="0"/>
                <w:i w:val="0"/>
                <w:iCs w:val="0"/>
                <w:u w:val="none"/>
                <w:vertAlign w:val="baseline"/>
                <w:rtl w:val="0"/>
              </w:rPr>
              <w:t xml:space="preserve">PK13</w:t>
            </w:r>
            <w:r>
              <w:rPr>
                <w:lang w:bidi="he"/>
                <w:b w:val="0"/>
                <w:bCs w:val="0"/>
                <w:i w:val="0"/>
                <w:iCs w:val="0"/>
                <w:u w:val="none"/>
                <w:vertAlign w:val="baseline"/>
                <w:rtl w:val="1"/>
              </w:rPr>
              <w:t xml:space="preserve">), הזמנת המבקש לשלם את דמי ההנפקה תוך 3 חודשים, ללא אפשרות להארכה.</w:t>
            </w:r>
          </w:p>
        </w:tc>
      </w:tr>
      <w:tr w:rsidR="004D221B" w:rsidRPr="008460F6" w:rsidTr="00BA21F5">
        <w:tc>
          <w:tcPr>
            <w:tcW w:w="3261" w:type="dxa"/>
          </w:tcPr>
          <w:p w:rsidR="004D221B" w:rsidRPr="008460F6" w:rsidRDefault="006800AA" w:rsidP="00BA21F5">
            <w:pPr>
              <w:pStyle w:val="ListParagraph"/>
              <w:numPr>
                <w:ilvl w:val="0"/>
                <w:numId w:val="1"/>
              </w:numPr>
              <w:ind w:left="317"/>
              <w:bidi w:val="1"/>
            </w:pPr>
            <w:r>
              <w:rPr>
                <w:lang w:bidi="he"/>
                <w:b w:val="0"/>
                <w:bCs w:val="0"/>
                <w:i w:val="0"/>
                <w:iCs w:val="0"/>
                <w:u w:val="none"/>
                <w:vertAlign w:val="baseline"/>
                <w:rtl w:val="1"/>
              </w:rPr>
              <w:t xml:space="preserve">המבקש משלם את דמי ההנפקה, מגיש את כל הבקשות המחלקתיות* שטרם הוגשו, ומעביר עדכון סופי* אודות ידע קודם.</w:t>
            </w:r>
          </w:p>
        </w:tc>
        <w:tc>
          <w:tcPr>
            <w:tcW w:w="3260" w:type="dxa"/>
            <w:vAlign w:val="center"/>
          </w:tcPr>
          <w:p w:rsidR="004D221B" w:rsidRDefault="006800AA" w:rsidP="00BA21F5">
            <w:pPr>
              <w:ind w:left="92"/>
              <w:bidi w:val="1"/>
            </w:pPr>
            <w:r>
              <w:rPr>
                <w:lang w:bidi="he"/>
                <w:b w:val="0"/>
                <w:bCs w:val="0"/>
                <w:i w:val="0"/>
                <w:iCs w:val="0"/>
                <w:u w:val="none"/>
                <w:vertAlign w:val="baseline"/>
                <w:rtl w:val="1"/>
              </w:rPr>
              <w:t xml:space="preserve">תוך 3 חודשים מלבד מהוצאת ההודעה על אפשרות קיבול</w:t>
            </w:r>
          </w:p>
        </w:tc>
        <w:tc>
          <w:tcPr>
            <w:tcW w:w="7229" w:type="dxa"/>
          </w:tcPr>
          <w:p w:rsidR="004D221B" w:rsidRPr="008460F6" w:rsidRDefault="004D221B" w:rsidP="00BA21F5">
            <w:pPr>
              <w:pStyle w:val="ListParagraph"/>
              <w:ind w:left="317"/>
            </w:pPr>
          </w:p>
        </w:tc>
      </w:tr>
      <w:tr w:rsidR="004D221B" w:rsidRPr="008460F6" w:rsidTr="00BA21F5">
        <w:tc>
          <w:tcPr>
            <w:tcW w:w="3261" w:type="dxa"/>
          </w:tcPr>
          <w:p w:rsidR="004D221B" w:rsidRPr="008460F6" w:rsidRDefault="004D221B" w:rsidP="00BA21F5">
            <w:pPr>
              <w:pStyle w:val="ListParagraph"/>
              <w:ind w:left="317"/>
            </w:pPr>
          </w:p>
        </w:tc>
        <w:tc>
          <w:tcPr>
            <w:tcW w:w="3260" w:type="dxa"/>
            <w:vAlign w:val="center"/>
          </w:tcPr>
          <w:p w:rsidR="004D221B" w:rsidRDefault="004D221B" w:rsidP="00BA21F5">
            <w:pPr>
              <w:ind w:left="92"/>
            </w:pPr>
          </w:p>
        </w:tc>
        <w:tc>
          <w:tcPr>
            <w:tcW w:w="7229" w:type="dxa"/>
          </w:tcPr>
          <w:p w:rsidR="004D221B" w:rsidRPr="008460F6" w:rsidRDefault="006800AA" w:rsidP="00BA21F5">
            <w:pPr>
              <w:pStyle w:val="ListParagraph"/>
              <w:numPr>
                <w:ilvl w:val="0"/>
                <w:numId w:val="1"/>
              </w:numPr>
              <w:ind w:left="317"/>
              <w:bidi w:val="1"/>
            </w:pPr>
            <w:r>
              <w:rPr>
                <w:lang w:bidi="he"/>
                <w:b w:val="0"/>
                <w:bCs w:val="0"/>
                <w:i w:val="0"/>
                <w:iCs w:val="0"/>
                <w:u w:val="none"/>
                <w:vertAlign w:val="baseline"/>
                <w:rtl w:val="1"/>
              </w:rPr>
              <w:t xml:space="preserve">הנפקת הכוונה לפרסם לקבלת התנגדויות, לרוב בסוף החודש בו שולמו דמי ההנפקה או בסוף החודש הבא אחריו.</w:t>
            </w:r>
          </w:p>
        </w:tc>
      </w:tr>
      <w:tr w:rsidR="008460F6" w:rsidRPr="008460F6" w:rsidTr="00BA21F5">
        <w:tc>
          <w:tcPr>
            <w:tcW w:w="3261" w:type="dxa"/>
          </w:tcPr>
          <w:p w:rsidR="008460F6" w:rsidRPr="008460F6" w:rsidRDefault="008460F6" w:rsidP="00BA21F5">
            <w:pPr>
              <w:pStyle w:val="ListParagraph"/>
              <w:ind w:left="317"/>
            </w:pPr>
          </w:p>
        </w:tc>
        <w:tc>
          <w:tcPr>
            <w:tcW w:w="3260" w:type="dxa"/>
            <w:vAlign w:val="center"/>
          </w:tcPr>
          <w:p w:rsidR="008460F6" w:rsidRPr="008460F6" w:rsidRDefault="008460F6" w:rsidP="00BA21F5">
            <w:pPr>
              <w:ind w:left="92"/>
            </w:pPr>
          </w:p>
        </w:tc>
        <w:tc>
          <w:tcPr>
            <w:tcW w:w="7229" w:type="dxa"/>
          </w:tcPr>
          <w:p w:rsidR="008460F6" w:rsidRPr="008460F6" w:rsidRDefault="007815DA" w:rsidP="00BA21F5">
            <w:pPr>
              <w:pStyle w:val="ListParagraph"/>
              <w:numPr>
                <w:ilvl w:val="0"/>
                <w:numId w:val="1"/>
              </w:numPr>
              <w:ind w:left="317"/>
              <w:bidi w:val="1"/>
            </w:pPr>
            <w:r>
              <w:rPr>
                <w:lang w:bidi="he"/>
                <w:b w:val="0"/>
                <w:bCs w:val="0"/>
                <w:i w:val="0"/>
                <w:iCs w:val="0"/>
                <w:u w:val="none"/>
                <w:vertAlign w:val="baseline"/>
                <w:rtl w:val="1"/>
              </w:rPr>
              <w:t xml:space="preserve">פרסום הקיבול, המאפשר הגשת התנגדויות של צדדים שלישיים.</w:t>
            </w:r>
          </w:p>
        </w:tc>
      </w:tr>
      <w:tr w:rsidR="007815DA" w:rsidRPr="008460F6" w:rsidTr="00BA21F5">
        <w:tc>
          <w:tcPr>
            <w:tcW w:w="3261" w:type="dxa"/>
          </w:tcPr>
          <w:p w:rsidR="007815DA" w:rsidRPr="008460F6" w:rsidRDefault="007815DA" w:rsidP="00BA21F5">
            <w:pPr>
              <w:ind w:left="317"/>
            </w:pPr>
          </w:p>
        </w:tc>
        <w:tc>
          <w:tcPr>
            <w:tcW w:w="3260" w:type="dxa"/>
            <w:vAlign w:val="center"/>
          </w:tcPr>
          <w:p w:rsidR="007815DA" w:rsidRPr="008460F6" w:rsidRDefault="007815DA" w:rsidP="00BA21F5">
            <w:pPr>
              <w:ind w:left="92"/>
            </w:pPr>
          </w:p>
        </w:tc>
        <w:tc>
          <w:tcPr>
            <w:tcW w:w="7229" w:type="dxa"/>
          </w:tcPr>
          <w:p w:rsidR="007815DA" w:rsidRPr="008460F6" w:rsidRDefault="007815DA" w:rsidP="00BA21F5">
            <w:pPr>
              <w:pStyle w:val="ListParagraph"/>
              <w:numPr>
                <w:ilvl w:val="0"/>
                <w:numId w:val="1"/>
              </w:numPr>
              <w:ind w:left="317"/>
              <w:bidi w:val="1"/>
            </w:pPr>
            <w:r>
              <w:rPr>
                <w:lang w:bidi="he"/>
                <w:b w:val="0"/>
                <w:bCs w:val="0"/>
                <w:i w:val="0"/>
                <w:iCs w:val="0"/>
                <w:u w:val="none"/>
                <w:vertAlign w:val="baseline"/>
                <w:rtl w:val="1"/>
              </w:rPr>
              <w:t xml:space="preserve">במידה ולא הוגשה כל התנגדות, הפטנט מתקבל. </w:t>
            </w:r>
          </w:p>
        </w:tc>
      </w:tr>
      <w:tr w:rsidR="007815DA" w:rsidRPr="008460F6" w:rsidTr="00BA21F5">
        <w:tc>
          <w:tcPr>
            <w:tcW w:w="3261" w:type="dxa"/>
          </w:tcPr>
          <w:p w:rsidR="007815DA" w:rsidRPr="008460F6" w:rsidRDefault="007815DA" w:rsidP="00BA21F5">
            <w:pPr>
              <w:ind w:left="317"/>
            </w:pPr>
          </w:p>
        </w:tc>
        <w:tc>
          <w:tcPr>
            <w:tcW w:w="3260" w:type="dxa"/>
            <w:vAlign w:val="center"/>
          </w:tcPr>
          <w:p w:rsidR="007815DA" w:rsidRPr="008460F6" w:rsidRDefault="007815DA" w:rsidP="00BA21F5">
            <w:pPr>
              <w:ind w:left="92"/>
              <w:bidi w:val="1"/>
            </w:pPr>
            <w:r>
              <w:rPr>
                <w:lang w:bidi="he"/>
                <w:b w:val="0"/>
                <w:bCs w:val="0"/>
                <w:i w:val="0"/>
                <w:iCs w:val="0"/>
                <w:u w:val="none"/>
                <w:vertAlign w:val="baseline"/>
                <w:rtl w:val="1"/>
              </w:rPr>
              <w:t xml:space="preserve">לרוב, תוך חודש אחד מסוף תקופת ההתנגדות.</w:t>
            </w:r>
          </w:p>
        </w:tc>
        <w:tc>
          <w:tcPr>
            <w:tcW w:w="7229" w:type="dxa"/>
          </w:tcPr>
          <w:p w:rsidR="007815DA" w:rsidRPr="008460F6" w:rsidRDefault="007815DA" w:rsidP="00BA21F5">
            <w:pPr>
              <w:pStyle w:val="ListParagraph"/>
              <w:numPr>
                <w:ilvl w:val="0"/>
                <w:numId w:val="1"/>
              </w:numPr>
              <w:ind w:left="317"/>
              <w:bidi w:val="1"/>
            </w:pPr>
            <w:r>
              <w:rPr>
                <w:lang w:bidi="he"/>
                <w:b w:val="0"/>
                <w:bCs w:val="0"/>
                <w:i w:val="0"/>
                <w:iCs w:val="0"/>
                <w:u w:val="none"/>
                <w:vertAlign w:val="baseline"/>
                <w:rtl w:val="1"/>
              </w:rPr>
              <w:t xml:space="preserve">הנפקת תעודת רישום</w:t>
            </w:r>
          </w:p>
        </w:tc>
      </w:tr>
      <w:tr w:rsidR="007815DA" w:rsidRPr="008460F6" w:rsidTr="00BA21F5">
        <w:tc>
          <w:tcPr>
            <w:tcW w:w="3261" w:type="dxa"/>
          </w:tcPr>
          <w:p w:rsidR="007815DA" w:rsidRPr="008460F6" w:rsidRDefault="007815DA" w:rsidP="00591EFC">
            <w:pPr>
              <w:pStyle w:val="ListParagraph"/>
              <w:numPr>
                <w:ilvl w:val="0"/>
                <w:numId w:val="1"/>
              </w:numPr>
              <w:ind w:left="317"/>
              <w:bidi w:val="1"/>
            </w:pPr>
            <w:r>
              <w:rPr>
                <w:lang w:bidi="he"/>
                <w:b w:val="0"/>
                <w:bCs w:val="0"/>
                <w:i w:val="0"/>
                <w:iCs w:val="0"/>
                <w:u w:val="none"/>
                <w:vertAlign w:val="baseline"/>
                <w:rtl w:val="1"/>
              </w:rPr>
              <w:t xml:space="preserve">תשלום על 1-6 שנים / אחרי חידוש המענק, ובנוסף כל תשלום דמי חידוש בין לבין, אם בכלל, (בסוף השנה השישית, העשירית, הארבע עשרה, והשמונה עשרה ממועד הבקשה (מועד ההגשה הבינלאומית))</w:t>
            </w:r>
          </w:p>
        </w:tc>
        <w:tc>
          <w:tcPr>
            <w:tcW w:w="3260" w:type="dxa"/>
            <w:vAlign w:val="center"/>
          </w:tcPr>
          <w:p w:rsidR="007815DA" w:rsidRPr="008460F6" w:rsidRDefault="007815DA" w:rsidP="00BA21F5">
            <w:pPr>
              <w:ind w:left="92"/>
              <w:bidi w:val="1"/>
            </w:pPr>
            <w:r>
              <w:rPr>
                <w:lang w:bidi="he"/>
                <w:b w:val="0"/>
                <w:bCs w:val="0"/>
                <w:i w:val="0"/>
                <w:iCs w:val="0"/>
                <w:u w:val="none"/>
                <w:vertAlign w:val="baseline"/>
                <w:rtl w:val="1"/>
              </w:rPr>
              <w:t xml:space="preserve">תוך 3 חודשים ממתן המענק; עם אפשרות להארכה בעד 6 חודשים עם תשלום דמי הארכה</w:t>
            </w:r>
          </w:p>
        </w:tc>
        <w:tc>
          <w:tcPr>
            <w:tcW w:w="7229" w:type="dxa"/>
          </w:tcPr>
          <w:p w:rsidR="007815DA" w:rsidRDefault="007815DA" w:rsidP="00BA21F5">
            <w:pPr>
              <w:pStyle w:val="ListParagraph"/>
              <w:ind w:left="317"/>
            </w:pPr>
          </w:p>
        </w:tc>
      </w:tr>
      <w:tr w:rsidR="007815DA" w:rsidRPr="008460F6" w:rsidTr="00BA21F5">
        <w:tc>
          <w:tcPr>
            <w:tcW w:w="3261" w:type="dxa"/>
          </w:tcPr>
          <w:p w:rsidR="007815DA" w:rsidRDefault="007815DA" w:rsidP="00BA21F5">
            <w:pPr>
              <w:ind w:left="317"/>
            </w:pPr>
          </w:p>
        </w:tc>
        <w:tc>
          <w:tcPr>
            <w:tcW w:w="3260" w:type="dxa"/>
            <w:vAlign w:val="center"/>
          </w:tcPr>
          <w:p w:rsidR="007815DA" w:rsidRDefault="007815DA" w:rsidP="00BA21F5">
            <w:pPr>
              <w:ind w:left="92"/>
              <w:jc w:val="center"/>
            </w:pPr>
          </w:p>
        </w:tc>
        <w:tc>
          <w:tcPr>
            <w:tcW w:w="7229" w:type="dxa"/>
          </w:tcPr>
          <w:p w:rsidR="007815DA" w:rsidRDefault="007815DA" w:rsidP="00BA21F5">
            <w:pPr>
              <w:pStyle w:val="ListParagraph"/>
              <w:numPr>
                <w:ilvl w:val="0"/>
                <w:numId w:val="1"/>
              </w:numPr>
              <w:ind w:left="317"/>
              <w:bidi w:val="1"/>
            </w:pPr>
            <w:r>
              <w:rPr>
                <w:lang w:bidi="he"/>
                <w:b w:val="0"/>
                <w:bCs w:val="0"/>
                <w:i w:val="0"/>
                <w:iCs w:val="0"/>
                <w:u w:val="none"/>
                <w:vertAlign w:val="baseline"/>
                <w:rtl w:val="1"/>
              </w:rPr>
              <w:t xml:space="preserve">פג תוקף עם אי תשלום דמי החידוש הדרושים או 20 שנה אחרי מועד הבקשה.</w:t>
            </w:r>
          </w:p>
        </w:tc>
      </w:tr>
    </w:tbl>
    <w:p w:rsidR="008460F6" w:rsidRDefault="008460F6" w:rsidP="008460F6"/>
    <w:p w:rsidR="006800AA" w:rsidRPr="001E02FF" w:rsidRDefault="006800AA" w:rsidP="001E02FF">
      <w:pPr>
        <w:bidi w:val="1"/>
      </w:pPr>
      <w:r>
        <w:rPr>
          <w:lang w:bidi="he"/>
          <w:b w:val="0"/>
          <w:bCs w:val="0"/>
          <w:i w:val="0"/>
          <w:iCs w:val="0"/>
          <w:u w:val="none"/>
          <w:vertAlign w:val="baseline"/>
          <w:rtl w:val="1"/>
        </w:rPr>
        <w:t xml:space="preserve">*הגשת הבקשות המחלקתיות ועדכון ידע קודם צריכים להיות על בסיס מתמשך לאורך תהליך הבדיקה, והם תקפים בכל עת לפני ההתרה (פרסום להתנגדויות), למרות שלרוב לא מומלץ להסתמך על תקופת זמן זו, שיכולה להיות בלתי צפויה.</w:t>
      </w:r>
    </w:p>
    <w:sectPr w:rsidR="006800AA" w:rsidRPr="001E02FF" w:rsidSect="00BA21F5">
      <w:headerReference w:type="default" r:id="rId8"/>
      <w:footerReference w:type="default" r:id="rId9"/>
      <w:pgSz w:w="15840" w:h="12240" w:orient="landscape"/>
      <w:pgMar w:top="709" w:right="851" w:bottom="567" w:left="1440"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7F" w:rsidRDefault="0044667F" w:rsidP="00C601BE">
      <w:pPr>
        <w:spacing w:after="0" w:line="240" w:lineRule="auto"/>
      </w:pPr>
      <w:r>
        <w:separator/>
      </w:r>
    </w:p>
  </w:endnote>
  <w:endnote w:type="continuationSeparator" w:id="0">
    <w:p w:rsidR="0044667F" w:rsidRDefault="0044667F" w:rsidP="00C6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95594"/>
      <w:docPartObj>
        <w:docPartGallery w:val="Page Numbers (Bottom of Page)"/>
        <w:docPartUnique/>
      </w:docPartObj>
    </w:sdtPr>
    <w:sdtEndPr/>
    <w:sdtContent>
      <w:sdt>
        <w:sdtPr>
          <w:id w:val="-1669238322"/>
          <w:docPartObj>
            <w:docPartGallery w:val="Page Numbers (Top of Page)"/>
            <w:docPartUnique/>
          </w:docPartObj>
        </w:sdtPr>
        <w:sdtEndPr/>
        <w:sdtContent>
          <w:p w:rsidR="00BA21F5" w:rsidRDefault="00BA21F5" w:rsidP="00BA21F5">
            <w:pPr>
              <w:pStyle w:val="Footer"/>
              <w:spacing w:before="120"/>
              <w:jc w:val="center"/>
              <w:bidi w:val="1"/>
            </w:pPr>
            <w:r>
              <w:rPr>
                <w:lang w:bidi="he"/>
                <w:b w:val="0"/>
                <w:bCs w:val="0"/>
                <w:i w:val="0"/>
                <w:iCs w:val="0"/>
                <w:u w:val="none"/>
                <w:vertAlign w:val="baseline"/>
                <w:rtl w:val="1"/>
              </w:rPr>
              <w:t xml:space="preserve">עמוד </w:t>
            </w:r>
            <w:r>
              <w:rPr>
                <w:sz w:val="24"/>
                <w:szCs w:val="24"/>
                <w:lang w:bidi="he"/>
                <w:b w:val="0"/>
                <w:bCs w:val="0"/>
                <w:i w:val="0"/>
                <w:iCs w:val="0"/>
                <w:u w:val="none"/>
                <w:vertAlign w:val="baseline"/>
                <w:rtl w:val="1"/>
              </w:rPr>
              <w:fldChar w:fldCharType="begin"/>
            </w:r>
            <w:r>
              <w:rPr>
                <w:lang w:bidi="he"/>
                <w:b w:val="0"/>
                <w:bCs w:val="0"/>
                <w:i w:val="0"/>
                <w:iCs w:val="0"/>
                <w:u w:val="none"/>
                <w:vertAlign w:val="baseline"/>
                <w:rtl w:val="1"/>
              </w:rPr>
              <w:instrText xml:space="preserve"> PAGE </w:instrText>
            </w:r>
            <w:r>
              <w:rPr>
                <w:sz w:val="24"/>
                <w:szCs w:val="24"/>
                <w:lang w:bidi="he"/>
                <w:b w:val="0"/>
                <w:bCs w:val="0"/>
                <w:i w:val="0"/>
                <w:iCs w:val="0"/>
                <w:u w:val="none"/>
                <w:vertAlign w:val="baseline"/>
                <w:rtl w:val="1"/>
              </w:rPr>
              <w:fldChar w:fldCharType="separate"/>
            </w:r>
            <w:r>
              <w:rPr>
                <w:noProof/>
                <w:lang w:bidi="he"/>
                <w:b w:val="1"/>
                <w:bCs w:val="1"/>
                <w:i w:val="0"/>
                <w:iCs w:val="0"/>
                <w:u w:val="none"/>
                <w:vertAlign w:val="baseline"/>
                <w:rtl w:val="1"/>
              </w:rPr>
              <w:t xml:space="preserve">1</w:t>
            </w:r>
            <w:r>
              <w:rPr>
                <w:sz w:val="24"/>
                <w:szCs w:val="24"/>
                <w:lang w:bidi="he"/>
                <w:b w:val="0"/>
                <w:bCs w:val="0"/>
                <w:i w:val="0"/>
                <w:iCs w:val="0"/>
                <w:u w:val="none"/>
                <w:vertAlign w:val="baseline"/>
                <w:rtl w:val="1"/>
              </w:rPr>
              <w:fldChar w:fldCharType="end"/>
            </w:r>
            <w:r>
              <w:rPr>
                <w:lang w:bidi="he"/>
                <w:b w:val="0"/>
                <w:bCs w:val="0"/>
                <w:i w:val="0"/>
                <w:iCs w:val="0"/>
                <w:u w:val="none"/>
                <w:vertAlign w:val="baseline"/>
                <w:rtl w:val="1"/>
              </w:rPr>
              <w:t xml:space="preserve"> מתוך </w:t>
            </w:r>
            <w:r>
              <w:rPr>
                <w:sz w:val="24"/>
                <w:szCs w:val="24"/>
                <w:lang w:bidi="he"/>
                <w:b w:val="0"/>
                <w:bCs w:val="0"/>
                <w:i w:val="0"/>
                <w:iCs w:val="0"/>
                <w:u w:val="none"/>
                <w:vertAlign w:val="baseline"/>
                <w:rtl w:val="1"/>
              </w:rPr>
              <w:fldChar w:fldCharType="begin"/>
            </w:r>
            <w:r>
              <w:rPr>
                <w:lang w:bidi="he"/>
                <w:b w:val="0"/>
                <w:bCs w:val="0"/>
                <w:i w:val="0"/>
                <w:iCs w:val="0"/>
                <w:u w:val="none"/>
                <w:vertAlign w:val="baseline"/>
                <w:rtl w:val="1"/>
              </w:rPr>
              <w:instrText xml:space="preserve"> NUMPAGES  </w:instrText>
            </w:r>
            <w:r>
              <w:rPr>
                <w:sz w:val="24"/>
                <w:szCs w:val="24"/>
                <w:lang w:bidi="he"/>
                <w:b w:val="0"/>
                <w:bCs w:val="0"/>
                <w:i w:val="0"/>
                <w:iCs w:val="0"/>
                <w:u w:val="none"/>
                <w:vertAlign w:val="baseline"/>
                <w:rtl w:val="1"/>
              </w:rPr>
              <w:fldChar w:fldCharType="separate"/>
            </w:r>
            <w:r>
              <w:rPr>
                <w:noProof/>
                <w:lang w:bidi="he"/>
                <w:b w:val="1"/>
                <w:bCs w:val="1"/>
                <w:i w:val="0"/>
                <w:iCs w:val="0"/>
                <w:u w:val="none"/>
                <w:vertAlign w:val="baseline"/>
                <w:rtl w:val="1"/>
              </w:rPr>
              <w:t xml:space="preserve">2</w:t>
            </w:r>
            <w:r>
              <w:rPr>
                <w:sz w:val="24"/>
                <w:szCs w:val="24"/>
                <w:b w:val="0"/>
                <w:bCs w:val="0"/>
                <w:i w:val="0"/>
                <w:iCs w:val="0"/>
                <w:u w:val="none"/>
                <w:vertAlign w:val="baseline"/>
                <w:rtl w:val="0"/>
              </w:rPr>
              <w:fldChar w:fldCharType="end"/>
            </w:r>
          </w:p>
        </w:sdtContent>
      </w:sdt>
    </w:sdtContent>
  </w:sdt>
  <w:p w:rsidR="00BA21F5" w:rsidRDefault="00BA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7F" w:rsidRDefault="0044667F" w:rsidP="00C601BE">
      <w:pPr>
        <w:spacing w:after="0" w:line="240" w:lineRule="auto"/>
      </w:pPr>
      <w:r>
        <w:separator/>
      </w:r>
    </w:p>
  </w:footnote>
  <w:footnote w:type="continuationSeparator" w:id="0">
    <w:p w:rsidR="0044667F" w:rsidRDefault="0044667F" w:rsidP="00C60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BE" w:rsidRDefault="00D96974">
    <w:pPr>
      <w:pStyle w:val="Header"/>
      <w:bidi w:val="1"/>
    </w:pPr>
    <w:r>
      <w:rPr>
        <w:noProof/>
        <w:b w:val="0"/>
        <w:bCs w:val="0"/>
        <w:i w:val="0"/>
        <w:iCs w:val="0"/>
        <w:u w:val="none"/>
        <w:vertAlign w:val="baseline"/>
        <w:rtl w:val="0"/>
      </w:rPr>
      <w:drawing>
        <wp:anchor distT="0" distB="0" distL="114300" distR="114300" simplePos="0" relativeHeight="251658240" behindDoc="0" locked="0" layoutInCell="1" allowOverlap="1">
          <wp:simplePos x="0" y="0"/>
          <wp:positionH relativeFrom="column">
            <wp:posOffset>-371475</wp:posOffset>
          </wp:positionH>
          <wp:positionV relativeFrom="paragraph">
            <wp:posOffset>-306705</wp:posOffset>
          </wp:positionV>
          <wp:extent cx="2047875" cy="351790"/>
          <wp:effectExtent l="0" t="0" r="9525" b="0"/>
          <wp:wrapSquare wrapText="bothSides"/>
          <wp:docPr id="1" name="Picture 1" descr="JMB DAVIS BEN-DAVID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B DAVIS BEN-DAVID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351790"/>
                  </a:xfrm>
                  <a:prstGeom prst="rect">
                    <a:avLst/>
                  </a:prstGeom>
                  <a:noFill/>
                  <a:ln>
                    <a:noFill/>
                  </a:ln>
                </pic:spPr>
              </pic:pic>
            </a:graphicData>
          </a:graphic>
        </wp:anchor>
      </w:drawing>
    </w:r>
  </w:p>
  <w:p w:rsidR="00C601BE" w:rsidRDefault="00C60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1904"/>
    <w:multiLevelType w:val="hybridMultilevel"/>
    <w:tmpl w:val="E7D8CE64"/>
    <w:lvl w:ilvl="0" w:tplc="0DA60ED8">
      <w:start w:val="1"/>
      <w:numFmt w:val="decimal"/>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8EC75CC"/>
    <w:multiLevelType w:val="hybridMultilevel"/>
    <w:tmpl w:val="8338926A"/>
    <w:lvl w:ilvl="0" w:tplc="454E4B1A">
      <w:start w:val="18"/>
      <w:numFmt w:val="decimal"/>
      <w:lvlText w:val="%1"/>
      <w:lvlJc w:val="left"/>
      <w:pPr>
        <w:ind w:left="108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F6"/>
    <w:rsid w:val="000A5F40"/>
    <w:rsid w:val="001537E3"/>
    <w:rsid w:val="001D1915"/>
    <w:rsid w:val="001E02FF"/>
    <w:rsid w:val="002061D0"/>
    <w:rsid w:val="00231830"/>
    <w:rsid w:val="00246FDE"/>
    <w:rsid w:val="002550F9"/>
    <w:rsid w:val="002F1C3B"/>
    <w:rsid w:val="004047AD"/>
    <w:rsid w:val="0044667F"/>
    <w:rsid w:val="004D221B"/>
    <w:rsid w:val="00591EFC"/>
    <w:rsid w:val="005E52BB"/>
    <w:rsid w:val="00607F3E"/>
    <w:rsid w:val="00613E09"/>
    <w:rsid w:val="006800AA"/>
    <w:rsid w:val="006F4636"/>
    <w:rsid w:val="006F7707"/>
    <w:rsid w:val="007815DA"/>
    <w:rsid w:val="007A588C"/>
    <w:rsid w:val="008460F6"/>
    <w:rsid w:val="008A37AF"/>
    <w:rsid w:val="009331C0"/>
    <w:rsid w:val="0095258E"/>
    <w:rsid w:val="00A4642C"/>
    <w:rsid w:val="00AD435C"/>
    <w:rsid w:val="00AF252A"/>
    <w:rsid w:val="00BA21F5"/>
    <w:rsid w:val="00C006FC"/>
    <w:rsid w:val="00C23DFF"/>
    <w:rsid w:val="00C262B7"/>
    <w:rsid w:val="00C57344"/>
    <w:rsid w:val="00C601BE"/>
    <w:rsid w:val="00C92C8C"/>
    <w:rsid w:val="00D360F4"/>
    <w:rsid w:val="00D96974"/>
    <w:rsid w:val="00E41009"/>
    <w:rsid w:val="00EB32C2"/>
    <w:rsid w:val="00FC4B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F6"/>
    <w:pPr>
      <w:ind w:left="720"/>
      <w:contextualSpacing/>
    </w:pPr>
  </w:style>
  <w:style w:type="table" w:styleId="TableGrid">
    <w:name w:val="Table Grid"/>
    <w:basedOn w:val="TableNormal"/>
    <w:uiPriority w:val="59"/>
    <w:rsid w:val="0084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15"/>
    <w:rPr>
      <w:rFonts w:ascii="Tahoma" w:hAnsi="Tahoma" w:cs="Tahoma"/>
      <w:sz w:val="16"/>
      <w:szCs w:val="16"/>
    </w:rPr>
  </w:style>
  <w:style w:type="paragraph" w:styleId="Header">
    <w:name w:val="header"/>
    <w:basedOn w:val="Normal"/>
    <w:link w:val="HeaderChar"/>
    <w:uiPriority w:val="99"/>
    <w:unhideWhenUsed/>
    <w:rsid w:val="00C60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01BE"/>
  </w:style>
  <w:style w:type="paragraph" w:styleId="Footer">
    <w:name w:val="footer"/>
    <w:basedOn w:val="Normal"/>
    <w:link w:val="FooterChar"/>
    <w:uiPriority w:val="99"/>
    <w:unhideWhenUsed/>
    <w:rsid w:val="00C60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0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F6"/>
    <w:pPr>
      <w:ind w:left="720"/>
      <w:contextualSpacing/>
    </w:pPr>
  </w:style>
  <w:style w:type="table" w:styleId="TableGrid">
    <w:name w:val="Table Grid"/>
    <w:basedOn w:val="TableNormal"/>
    <w:uiPriority w:val="59"/>
    <w:rsid w:val="0084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15"/>
    <w:rPr>
      <w:rFonts w:ascii="Tahoma" w:hAnsi="Tahoma" w:cs="Tahoma"/>
      <w:sz w:val="16"/>
      <w:szCs w:val="16"/>
    </w:rPr>
  </w:style>
  <w:style w:type="paragraph" w:styleId="Header">
    <w:name w:val="header"/>
    <w:basedOn w:val="Normal"/>
    <w:link w:val="HeaderChar"/>
    <w:uiPriority w:val="99"/>
    <w:unhideWhenUsed/>
    <w:rsid w:val="00C60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01BE"/>
  </w:style>
  <w:style w:type="paragraph" w:styleId="Footer">
    <w:name w:val="footer"/>
    <w:basedOn w:val="Normal"/>
    <w:link w:val="FooterChar"/>
    <w:uiPriority w:val="99"/>
    <w:unhideWhenUsed/>
    <w:rsid w:val="00C60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Israel Designs Timeline</vt:lpstr>
    </vt:vector>
  </TitlesOfParts>
  <Manager>ירמיהו מ. בן-דוד ושות' בע"מ</Manager>
  <Company>Dyson Technology Limited</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Designs Timeline</dc:title>
  <dc:subject>414/901</dc:subject>
  <dc:creator>G324047-V1</dc:creator>
  <cp:keywords>H:\COMMITDOCS\414\00901\Israel Designs Timeline-V001.DOC.doc Dyson Technology Limited DYSON LIMITED - GENERAL MATTERS 414/901 Israel Designs Timeline 324047-V1 G324047-V1</cp:keywords>
  <dc:description>JMB_x000d_
Dyson Technology Limited_x000d_
Israel Designs Timeline</dc:description>
  <cp:lastModifiedBy>Irving Wiesen</cp:lastModifiedBy>
  <cp:revision>2</cp:revision>
  <cp:lastPrinted>2016-06-27T07:53:00Z</cp:lastPrinted>
  <dcterms:created xsi:type="dcterms:W3CDTF">2017-01-01T10:38:00Z</dcterms:created>
  <dcterms:modified xsi:type="dcterms:W3CDTF">2017-01-01T10:38:00Z</dcterms:modified>
  <cp:category>3-DESIGNS</cp:category>
</cp:coreProperties>
</file>