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E640C" w14:textId="54F7BE6F" w:rsidR="0090260C" w:rsidRDefault="0090260C" w:rsidP="0090260C">
      <w:r w:rsidRPr="00053FDD">
        <w:rPr>
          <w:highlight w:val="yellow"/>
        </w:rPr>
        <w:t xml:space="preserve">Proportional liability in our school? </w:t>
      </w:r>
      <w:r w:rsidR="008940D6">
        <w:rPr>
          <w:highlight w:val="yellow"/>
        </w:rPr>
        <w:t xml:space="preserve">Graduating </w:t>
      </w:r>
      <w:r w:rsidRPr="00053FDD">
        <w:rPr>
          <w:highlight w:val="yellow"/>
        </w:rPr>
        <w:t xml:space="preserve">in our </w:t>
      </w:r>
      <w:commentRangeStart w:id="0"/>
      <w:r w:rsidRPr="00053FDD">
        <w:rPr>
          <w:highlight w:val="yellow"/>
        </w:rPr>
        <w:t>school</w:t>
      </w:r>
      <w:commentRangeEnd w:id="0"/>
      <w:r w:rsidR="008940D6">
        <w:rPr>
          <w:rStyle w:val="CommentReference"/>
        </w:rPr>
        <w:commentReference w:id="0"/>
      </w:r>
      <w:r w:rsidRPr="00053FDD">
        <w:rPr>
          <w:highlight w:val="yellow"/>
        </w:rPr>
        <w:t>?</w:t>
      </w:r>
    </w:p>
    <w:p w14:paraId="675660A1" w14:textId="52C1E205" w:rsidR="00D25180" w:rsidRDefault="00D25180">
      <w:r>
        <w:t>Abstract</w:t>
      </w:r>
    </w:p>
    <w:p w14:paraId="68444CF5" w14:textId="535E5FB3" w:rsidR="00D53A98" w:rsidRDefault="0090260C" w:rsidP="004C06A2">
      <w:r>
        <w:t>The</w:t>
      </w:r>
      <w:r w:rsidR="00D25180">
        <w:t xml:space="preserve"> </w:t>
      </w:r>
      <w:commentRangeStart w:id="1"/>
      <w:proofErr w:type="spellStart"/>
      <w:r w:rsidR="00D25180" w:rsidRPr="00053FDD">
        <w:rPr>
          <w:b/>
          <w:bCs/>
          <w:i/>
          <w:iCs/>
        </w:rPr>
        <w:t>Malul</w:t>
      </w:r>
      <w:commentRangeEnd w:id="1"/>
      <w:proofErr w:type="spellEnd"/>
      <w:r w:rsidR="000D77EB">
        <w:rPr>
          <w:rStyle w:val="CommentReference"/>
        </w:rPr>
        <w:commentReference w:id="1"/>
      </w:r>
      <w:r w:rsidR="00D25180">
        <w:t xml:space="preserve"> case and its various </w:t>
      </w:r>
      <w:commentRangeStart w:id="2"/>
      <w:r w:rsidR="008940D6">
        <w:t>incarnations</w:t>
      </w:r>
      <w:commentRangeEnd w:id="2"/>
      <w:r w:rsidR="008940D6">
        <w:rPr>
          <w:rStyle w:val="CommentReference"/>
        </w:rPr>
        <w:commentReference w:id="2"/>
      </w:r>
      <w:r>
        <w:t xml:space="preserve"> </w:t>
      </w:r>
      <w:r w:rsidR="00D53A98">
        <w:t>exposed a d</w:t>
      </w:r>
      <w:r w:rsidR="00B266B5">
        <w:t>ebate</w:t>
      </w:r>
      <w:r w:rsidR="00D53A98">
        <w:t xml:space="preserve"> over</w:t>
      </w:r>
      <w:r w:rsidR="00E41FF2">
        <w:t xml:space="preserve"> </w:t>
      </w:r>
      <w:r w:rsidR="00D25180">
        <w:t xml:space="preserve">whether </w:t>
      </w:r>
      <w:r w:rsidR="00054A22">
        <w:t xml:space="preserve">courts can deviate </w:t>
      </w:r>
      <w:r w:rsidR="00D25180">
        <w:t xml:space="preserve">from the </w:t>
      </w:r>
      <w:r w:rsidR="00C54E48">
        <w:t>general</w:t>
      </w:r>
      <w:r w:rsidR="00E41FF2">
        <w:t xml:space="preserve"> preponderance of the evidence</w:t>
      </w:r>
      <w:r w:rsidR="009A1445">
        <w:t xml:space="preserve"> </w:t>
      </w:r>
      <w:commentRangeStart w:id="3"/>
      <w:r w:rsidR="009A1445">
        <w:t>standard</w:t>
      </w:r>
      <w:commentRangeEnd w:id="3"/>
      <w:r w:rsidR="00B266B5">
        <w:rPr>
          <w:rStyle w:val="CommentReference"/>
        </w:rPr>
        <w:commentReference w:id="3"/>
      </w:r>
      <w:r w:rsidR="00D25180">
        <w:t xml:space="preserve">. </w:t>
      </w:r>
      <w:r w:rsidR="00E41FF2">
        <w:t>Undoubtedly,</w:t>
      </w:r>
      <w:r w:rsidR="00F66BC8">
        <w:t xml:space="preserve"> the </w:t>
      </w:r>
      <w:proofErr w:type="spellStart"/>
      <w:r w:rsidR="00BF29D1" w:rsidRPr="000D77EB">
        <w:rPr>
          <w:b/>
          <w:bCs/>
          <w:i/>
          <w:iCs/>
        </w:rPr>
        <w:t>Malul</w:t>
      </w:r>
      <w:proofErr w:type="spellEnd"/>
      <w:r w:rsidR="00BF29D1" w:rsidRPr="000D77EB">
        <w:rPr>
          <w:b/>
          <w:bCs/>
          <w:i/>
          <w:iCs/>
        </w:rPr>
        <w:t xml:space="preserve"> </w:t>
      </w:r>
      <w:r w:rsidR="00396D6E" w:rsidRPr="000D77EB">
        <w:rPr>
          <w:b/>
          <w:bCs/>
          <w:i/>
          <w:iCs/>
        </w:rPr>
        <w:t>II</w:t>
      </w:r>
      <w:r w:rsidR="00396D6E">
        <w:t xml:space="preserve"> </w:t>
      </w:r>
      <w:r w:rsidR="00E41FF2">
        <w:t xml:space="preserve">case </w:t>
      </w:r>
      <w:r w:rsidR="00587D77">
        <w:t>o</w:t>
      </w:r>
      <w:r w:rsidR="00BF29D1">
        <w:t xml:space="preserve">verrode </w:t>
      </w:r>
      <w:proofErr w:type="spellStart"/>
      <w:r w:rsidR="00BF29D1" w:rsidRPr="000D77EB">
        <w:rPr>
          <w:b/>
          <w:bCs/>
          <w:i/>
          <w:iCs/>
        </w:rPr>
        <w:t>Malul</w:t>
      </w:r>
      <w:proofErr w:type="spellEnd"/>
      <w:r w:rsidR="00396D6E" w:rsidRPr="000D77EB">
        <w:rPr>
          <w:b/>
          <w:bCs/>
          <w:i/>
          <w:iCs/>
        </w:rPr>
        <w:t xml:space="preserve"> I</w:t>
      </w:r>
      <w:r w:rsidR="004C06A2">
        <w:t xml:space="preserve">, and if </w:t>
      </w:r>
      <w:proofErr w:type="spellStart"/>
      <w:r w:rsidR="004C06A2" w:rsidRPr="000D77EB">
        <w:rPr>
          <w:b/>
          <w:bCs/>
          <w:i/>
          <w:iCs/>
        </w:rPr>
        <w:t>Malul</w:t>
      </w:r>
      <w:proofErr w:type="spellEnd"/>
      <w:r w:rsidR="004C06A2" w:rsidRPr="000D77EB">
        <w:rPr>
          <w:b/>
          <w:bCs/>
          <w:i/>
          <w:iCs/>
        </w:rPr>
        <w:t xml:space="preserve"> I</w:t>
      </w:r>
      <w:r w:rsidR="004C06A2">
        <w:t xml:space="preserve"> allowed for deviation, then </w:t>
      </w:r>
      <w:proofErr w:type="spellStart"/>
      <w:r w:rsidR="004C06A2" w:rsidRPr="000D77EB">
        <w:rPr>
          <w:b/>
          <w:bCs/>
          <w:i/>
          <w:iCs/>
        </w:rPr>
        <w:t>Malul</w:t>
      </w:r>
      <w:proofErr w:type="spellEnd"/>
      <w:r w:rsidR="004C06A2" w:rsidRPr="000D77EB">
        <w:rPr>
          <w:b/>
          <w:bCs/>
          <w:i/>
          <w:iCs/>
        </w:rPr>
        <w:t xml:space="preserve"> II</w:t>
      </w:r>
      <w:r w:rsidR="004C06A2">
        <w:t xml:space="preserve"> denied any </w:t>
      </w:r>
      <w:r w:rsidR="005C5D56" w:rsidRPr="005C5D56">
        <w:t>possibility of dev</w:t>
      </w:r>
      <w:bookmarkStart w:id="4" w:name="_GoBack"/>
      <w:bookmarkEnd w:id="4"/>
      <w:r w:rsidR="005C5D56" w:rsidRPr="005C5D56">
        <w:t xml:space="preserve">iation, except in cases where the </w:t>
      </w:r>
      <w:r w:rsidR="008940D6">
        <w:t xml:space="preserve">test of </w:t>
      </w:r>
      <w:r w:rsidR="00587D77">
        <w:t>recurring distortion</w:t>
      </w:r>
      <w:r w:rsidR="005C5D56" w:rsidRPr="005C5D56">
        <w:t xml:space="preserve"> </w:t>
      </w:r>
      <w:r w:rsidR="008940D6">
        <w:t>can be met.</w:t>
      </w:r>
      <w:r w:rsidR="005C5D56">
        <w:t xml:space="preserve"> </w:t>
      </w:r>
    </w:p>
    <w:p w14:paraId="4D7550D5" w14:textId="63B2D2A1" w:rsidR="004C06A2" w:rsidRDefault="005C5D56" w:rsidP="0079326F">
      <w:r w:rsidRPr="005C5D56">
        <w:t xml:space="preserve">A review of the </w:t>
      </w:r>
      <w:r w:rsidR="004C06A2">
        <w:t>rulings</w:t>
      </w:r>
      <w:r w:rsidRPr="005C5D56">
        <w:t xml:space="preserve"> in the lower courts shows </w:t>
      </w:r>
      <w:r>
        <w:t>great confusion regarding</w:t>
      </w:r>
      <w:r w:rsidRPr="005C5D56">
        <w:t xml:space="preserve"> the understanding of the </w:t>
      </w:r>
      <w:r w:rsidR="00302E85">
        <w:t xml:space="preserve">ruling </w:t>
      </w:r>
      <w:r w:rsidR="00E41FF2">
        <w:t>i</w:t>
      </w:r>
      <w:r w:rsidR="00302E85">
        <w:t xml:space="preserve">n </w:t>
      </w:r>
      <w:proofErr w:type="spellStart"/>
      <w:r w:rsidR="00302E85" w:rsidRPr="000D77EB">
        <w:rPr>
          <w:b/>
          <w:bCs/>
          <w:i/>
          <w:iCs/>
        </w:rPr>
        <w:t>Malul</w:t>
      </w:r>
      <w:proofErr w:type="spellEnd"/>
      <w:r w:rsidRPr="000D77EB">
        <w:rPr>
          <w:b/>
          <w:bCs/>
          <w:i/>
          <w:iCs/>
        </w:rPr>
        <w:t xml:space="preserve"> </w:t>
      </w:r>
      <w:r w:rsidR="00396D6E" w:rsidRPr="000D77EB">
        <w:rPr>
          <w:b/>
          <w:bCs/>
          <w:i/>
          <w:iCs/>
        </w:rPr>
        <w:t>II</w:t>
      </w:r>
      <w:r w:rsidR="00396D6E">
        <w:t xml:space="preserve">, </w:t>
      </w:r>
      <w:r w:rsidRPr="005C5D56">
        <w:t xml:space="preserve">even more so </w:t>
      </w:r>
      <w:r w:rsidR="00E41FF2">
        <w:t>regarding</w:t>
      </w:r>
      <w:r w:rsidRPr="005C5D56">
        <w:t xml:space="preserve"> the relationship between </w:t>
      </w:r>
      <w:r w:rsidR="00D32F18">
        <w:t>this case</w:t>
      </w:r>
      <w:r w:rsidRPr="005C5D56">
        <w:t xml:space="preserve"> and the </w:t>
      </w:r>
      <w:r w:rsidR="00587D77">
        <w:t xml:space="preserve">ruling </w:t>
      </w:r>
      <w:r w:rsidR="00562A09">
        <w:t xml:space="preserve">in the </w:t>
      </w:r>
      <w:commentRangeStart w:id="5"/>
      <w:proofErr w:type="spellStart"/>
      <w:r w:rsidR="00587D77" w:rsidRPr="00053FDD">
        <w:rPr>
          <w:b/>
          <w:bCs/>
          <w:i/>
          <w:iCs/>
        </w:rPr>
        <w:t>Fatach</w:t>
      </w:r>
      <w:commentRangeEnd w:id="5"/>
      <w:proofErr w:type="spellEnd"/>
      <w:r w:rsidR="00562A09" w:rsidRPr="00053FDD">
        <w:rPr>
          <w:rStyle w:val="CommentReference"/>
          <w:i/>
          <w:iCs/>
        </w:rPr>
        <w:commentReference w:id="5"/>
      </w:r>
      <w:r w:rsidR="00675202">
        <w:rPr>
          <w:b/>
          <w:bCs/>
        </w:rPr>
        <w:t xml:space="preserve"> </w:t>
      </w:r>
      <w:r w:rsidR="00675202" w:rsidRPr="00053FDD">
        <w:t>case</w:t>
      </w:r>
      <w:r w:rsidRPr="005C5D56">
        <w:t xml:space="preserve">. </w:t>
      </w:r>
      <w:r w:rsidR="008A3C91">
        <w:t>Examining</w:t>
      </w:r>
      <w:r w:rsidR="00D32F18">
        <w:t xml:space="preserve"> </w:t>
      </w:r>
      <w:r w:rsidR="009A1445">
        <w:t xml:space="preserve">the </w:t>
      </w:r>
      <w:r w:rsidR="00293477">
        <w:t>approach of</w:t>
      </w:r>
      <w:r w:rsidR="00CB14DB">
        <w:t xml:space="preserve"> </w:t>
      </w:r>
      <w:r w:rsidR="00E41FF2">
        <w:t>court rulings</w:t>
      </w:r>
      <w:r w:rsidRPr="005C5D56">
        <w:t xml:space="preserve">, </w:t>
      </w:r>
      <w:proofErr w:type="spellStart"/>
      <w:r w:rsidR="008A3C91">
        <w:t>inidicates</w:t>
      </w:r>
      <w:proofErr w:type="spellEnd"/>
      <w:r w:rsidRPr="005C5D56">
        <w:t xml:space="preserve"> that the recognition of </w:t>
      </w:r>
      <w:r w:rsidR="00D32F18">
        <w:t xml:space="preserve">proportional liability </w:t>
      </w:r>
      <w:r w:rsidRPr="005C5D56">
        <w:t xml:space="preserve">is not consistent with </w:t>
      </w:r>
      <w:r w:rsidR="004C06A2">
        <w:t>the rational</w:t>
      </w:r>
      <w:r w:rsidR="008940D6">
        <w:t>e</w:t>
      </w:r>
      <w:r w:rsidR="004C06A2">
        <w:t xml:space="preserve"> of </w:t>
      </w:r>
      <w:proofErr w:type="spellStart"/>
      <w:r w:rsidR="004C06A2" w:rsidRPr="000D77EB">
        <w:rPr>
          <w:b/>
          <w:bCs/>
          <w:i/>
          <w:iCs/>
        </w:rPr>
        <w:t>Malul</w:t>
      </w:r>
      <w:proofErr w:type="spellEnd"/>
      <w:r w:rsidR="004C06A2" w:rsidRPr="000D77EB">
        <w:rPr>
          <w:b/>
          <w:bCs/>
          <w:i/>
          <w:iCs/>
        </w:rPr>
        <w:t xml:space="preserve"> II</w:t>
      </w:r>
      <w:r w:rsidR="004C06A2">
        <w:t xml:space="preserve">, and at times not even consistent with </w:t>
      </w:r>
      <w:proofErr w:type="spellStart"/>
      <w:r w:rsidR="00E33771" w:rsidRPr="000D77EB">
        <w:rPr>
          <w:b/>
          <w:bCs/>
          <w:i/>
          <w:iCs/>
        </w:rPr>
        <w:t>Malul</w:t>
      </w:r>
      <w:proofErr w:type="spellEnd"/>
      <w:r w:rsidR="00E33771" w:rsidRPr="000D77EB">
        <w:rPr>
          <w:b/>
          <w:bCs/>
          <w:i/>
          <w:iCs/>
        </w:rPr>
        <w:t xml:space="preserve"> II</w:t>
      </w:r>
      <w:r w:rsidR="00E33771">
        <w:rPr>
          <w:i/>
          <w:iCs/>
        </w:rPr>
        <w:t>’s</w:t>
      </w:r>
      <w:r w:rsidRPr="005C5D56">
        <w:t xml:space="preserve"> minority opinion</w:t>
      </w:r>
      <w:r w:rsidR="00CB14DB">
        <w:t>,</w:t>
      </w:r>
      <w:r w:rsidRPr="005C5D56">
        <w:t xml:space="preserve"> which supports the</w:t>
      </w:r>
      <w:r w:rsidR="00D402A6">
        <w:t xml:space="preserve"> possibility of recognizing a</w:t>
      </w:r>
      <w:r w:rsidRPr="005C5D56">
        <w:t xml:space="preserve"> </w:t>
      </w:r>
      <w:r w:rsidR="00E33771">
        <w:t>“</w:t>
      </w:r>
      <w:r w:rsidR="00D402A6">
        <w:t>single event</w:t>
      </w:r>
      <w:r w:rsidR="00E33771">
        <w:t xml:space="preserve">” in order to </w:t>
      </w:r>
      <w:r w:rsidR="008A3C91">
        <w:t>apply</w:t>
      </w:r>
      <w:r w:rsidR="004C06A2">
        <w:t xml:space="preserve"> the </w:t>
      </w:r>
      <w:r w:rsidR="008A3C91">
        <w:t>proportional liability</w:t>
      </w:r>
      <w:r w:rsidR="008A3C91">
        <w:t xml:space="preserve"> </w:t>
      </w:r>
      <w:r w:rsidR="004C06A2">
        <w:t>standard</w:t>
      </w:r>
      <w:r w:rsidRPr="005C5D56">
        <w:t>.</w:t>
      </w:r>
      <w:r w:rsidR="00805F71">
        <w:t xml:space="preserve"> </w:t>
      </w:r>
      <w:r w:rsidR="00805F71" w:rsidRPr="00805F71">
        <w:t xml:space="preserve">Therefore, there is no </w:t>
      </w:r>
      <w:r w:rsidR="00805F71">
        <w:t xml:space="preserve">consistency </w:t>
      </w:r>
      <w:r w:rsidR="00805F71" w:rsidRPr="00805F71">
        <w:t>in the outcome</w:t>
      </w:r>
      <w:r w:rsidR="00805F71">
        <w:t>s</w:t>
      </w:r>
      <w:r w:rsidR="00805F71" w:rsidRPr="00805F71">
        <w:t xml:space="preserve"> </w:t>
      </w:r>
      <w:r w:rsidR="0079326F">
        <w:t>n</w:t>
      </w:r>
      <w:r w:rsidR="00805F71" w:rsidRPr="00805F71">
        <w:t xml:space="preserve">or the normative </w:t>
      </w:r>
      <w:r w:rsidR="008A3C91">
        <w:t>rationales</w:t>
      </w:r>
      <w:r w:rsidR="00805F71" w:rsidRPr="00805F71">
        <w:t xml:space="preserve"> for deviating from the </w:t>
      </w:r>
      <w:r w:rsidR="00805F71">
        <w:t>preponderance of the evidence standard</w:t>
      </w:r>
      <w:r w:rsidR="00805F71" w:rsidRPr="00805F71">
        <w:t>.</w:t>
      </w:r>
    </w:p>
    <w:p w14:paraId="241C7495" w14:textId="44C53C9E" w:rsidR="0072006C" w:rsidRDefault="008D021C">
      <w:r>
        <w:t xml:space="preserve">In retrospect, affirming </w:t>
      </w:r>
      <w:r w:rsidR="00DD1AB6">
        <w:t xml:space="preserve">the </w:t>
      </w:r>
      <w:proofErr w:type="spellStart"/>
      <w:r w:rsidR="008C603B" w:rsidRPr="00053FDD">
        <w:rPr>
          <w:b/>
          <w:bCs/>
          <w:i/>
          <w:iCs/>
        </w:rPr>
        <w:t>Fatach</w:t>
      </w:r>
      <w:proofErr w:type="spellEnd"/>
      <w:r w:rsidR="008C603B" w:rsidRPr="008C603B">
        <w:t xml:space="preserve"> </w:t>
      </w:r>
      <w:r w:rsidR="00A35FED">
        <w:t>precedent</w:t>
      </w:r>
      <w:r w:rsidR="00A35FED">
        <w:t xml:space="preserve"> </w:t>
      </w:r>
      <w:r>
        <w:t>in the f</w:t>
      </w:r>
      <w:r w:rsidR="00A35FED">
        <w:t>o</w:t>
      </w:r>
      <w:r>
        <w:t>unda</w:t>
      </w:r>
      <w:r w:rsidR="002D0F74">
        <w:t>tional</w:t>
      </w:r>
      <w:r>
        <w:t xml:space="preserve"> </w:t>
      </w:r>
      <w:proofErr w:type="spellStart"/>
      <w:r w:rsidR="008C603B" w:rsidRPr="00053FDD">
        <w:rPr>
          <w:b/>
          <w:bCs/>
          <w:i/>
          <w:iCs/>
        </w:rPr>
        <w:t>Malul</w:t>
      </w:r>
      <w:proofErr w:type="spellEnd"/>
      <w:r w:rsidR="008C603B" w:rsidRPr="00053FDD">
        <w:rPr>
          <w:b/>
          <w:bCs/>
          <w:i/>
          <w:iCs/>
        </w:rPr>
        <w:t xml:space="preserve"> II</w:t>
      </w:r>
      <w:r>
        <w:t xml:space="preserve"> ruling</w:t>
      </w:r>
      <w:r w:rsidR="00DD1AB6">
        <w:t xml:space="preserve"> can be </w:t>
      </w:r>
      <w:r w:rsidR="007E0E9A">
        <w:t>viewed</w:t>
      </w:r>
      <w:r w:rsidR="00DD1AB6">
        <w:t xml:space="preserve"> </w:t>
      </w:r>
      <w:r w:rsidR="008C603B" w:rsidRPr="008C603B">
        <w:t>as</w:t>
      </w:r>
      <w:r w:rsidR="00DD1AB6">
        <w:t xml:space="preserve"> a case of</w:t>
      </w:r>
      <w:r w:rsidR="002F3659">
        <w:t xml:space="preserve"> adhering to the adage </w:t>
      </w:r>
      <w:r w:rsidR="002F3659" w:rsidRPr="00053FDD">
        <w:t>that</w:t>
      </w:r>
      <w:r w:rsidR="008C603B" w:rsidRPr="00053FDD">
        <w:t xml:space="preserve"> </w:t>
      </w:r>
      <w:r w:rsidR="009F5A83" w:rsidRPr="00053FDD">
        <w:rPr>
          <w:b/>
          <w:bCs/>
        </w:rPr>
        <w:t>“it’s not worth the king’s trouble</w:t>
      </w:r>
      <w:r w:rsidR="00DD1AB6" w:rsidRPr="00053FDD">
        <w:rPr>
          <w:rStyle w:val="CommentReference"/>
          <w:b/>
          <w:bCs/>
        </w:rPr>
        <w:commentReference w:id="6"/>
      </w:r>
      <w:r w:rsidR="008C603B" w:rsidRPr="00053FDD">
        <w:rPr>
          <w:b/>
          <w:bCs/>
        </w:rPr>
        <w:t>"</w:t>
      </w:r>
      <w:r w:rsidR="008A3C91" w:rsidRPr="000D77EB">
        <w:t>;</w:t>
      </w:r>
      <w:r w:rsidR="008A3C91" w:rsidRPr="00053FDD">
        <w:rPr>
          <w:b/>
          <w:bCs/>
        </w:rPr>
        <w:t xml:space="preserve"> </w:t>
      </w:r>
      <w:r w:rsidR="008A3C91" w:rsidRPr="00053FDD">
        <w:t>that is,</w:t>
      </w:r>
      <w:r w:rsidR="001B4DBE" w:rsidRPr="00053FDD">
        <w:rPr>
          <w:b/>
          <w:bCs/>
        </w:rPr>
        <w:t xml:space="preserve"> </w:t>
      </w:r>
      <w:r w:rsidR="009F5A83">
        <w:t>any</w:t>
      </w:r>
      <w:r w:rsidR="007B0131">
        <w:t xml:space="preserve"> expected benefit </w:t>
      </w:r>
      <w:r w:rsidR="009F5A83">
        <w:t xml:space="preserve">is not worthwhile in light of </w:t>
      </w:r>
      <w:r w:rsidR="007B0131">
        <w:t>the costs</w:t>
      </w:r>
      <w:r w:rsidR="008A3C91">
        <w:t>.</w:t>
      </w:r>
      <w:r w:rsidR="00EA7786">
        <w:t xml:space="preserve"> </w:t>
      </w:r>
      <w:r w:rsidR="008A3C91">
        <w:t>Given that</w:t>
      </w:r>
      <w:r w:rsidR="00DD1AB6" w:rsidRPr="00DD1AB6">
        <w:t xml:space="preserve"> the </w:t>
      </w:r>
      <w:proofErr w:type="spellStart"/>
      <w:r w:rsidR="002D0F74" w:rsidRPr="000D77EB">
        <w:rPr>
          <w:b/>
          <w:bCs/>
          <w:i/>
          <w:iCs/>
        </w:rPr>
        <w:t>Malul</w:t>
      </w:r>
      <w:proofErr w:type="spellEnd"/>
      <w:r w:rsidR="008A3C91" w:rsidRPr="000D77EB">
        <w:rPr>
          <w:b/>
          <w:bCs/>
          <w:i/>
          <w:iCs/>
        </w:rPr>
        <w:t xml:space="preserve"> I</w:t>
      </w:r>
      <w:r w:rsidR="002D0F74" w:rsidRPr="00DD1AB6">
        <w:t xml:space="preserve"> </w:t>
      </w:r>
      <w:r w:rsidR="00DD1AB6" w:rsidRPr="00DD1AB6">
        <w:t xml:space="preserve">ruling </w:t>
      </w:r>
      <w:r w:rsidR="008A3C91">
        <w:t xml:space="preserve">made it clear </w:t>
      </w:r>
      <w:r w:rsidR="00445C15">
        <w:t>that</w:t>
      </w:r>
      <w:r w:rsidR="00445C15" w:rsidRPr="00445C15">
        <w:t xml:space="preserve"> </w:t>
      </w:r>
      <w:proofErr w:type="spellStart"/>
      <w:r w:rsidR="00445C15" w:rsidRPr="00053FDD">
        <w:rPr>
          <w:i/>
          <w:iCs/>
        </w:rPr>
        <w:t>Fatach</w:t>
      </w:r>
      <w:proofErr w:type="spellEnd"/>
      <w:r w:rsidR="00445C15" w:rsidRPr="00445C15">
        <w:t xml:space="preserve"> </w:t>
      </w:r>
      <w:r w:rsidR="001B4DBE">
        <w:t>could not</w:t>
      </w:r>
      <w:r w:rsidR="00445C15" w:rsidRPr="00445C15">
        <w:t xml:space="preserve"> </w:t>
      </w:r>
      <w:r w:rsidR="00445C15">
        <w:t>stand</w:t>
      </w:r>
      <w:r w:rsidR="00EA7786">
        <w:t>,</w:t>
      </w:r>
      <w:r w:rsidR="00445C15">
        <w:t xml:space="preserve"> </w:t>
      </w:r>
      <w:proofErr w:type="spellStart"/>
      <w:r w:rsidR="00445C15" w:rsidRPr="000D77EB">
        <w:rPr>
          <w:b/>
          <w:bCs/>
          <w:i/>
          <w:iCs/>
        </w:rPr>
        <w:t>Malul</w:t>
      </w:r>
      <w:proofErr w:type="spellEnd"/>
      <w:r w:rsidR="00445C15" w:rsidRPr="000D77EB">
        <w:rPr>
          <w:b/>
          <w:bCs/>
          <w:i/>
          <w:iCs/>
        </w:rPr>
        <w:t xml:space="preserve"> II</w:t>
      </w:r>
      <w:r w:rsidR="00445C15">
        <w:t xml:space="preserve"> provides a comprehensive </w:t>
      </w:r>
      <w:r w:rsidR="007B0131">
        <w:t xml:space="preserve">solution </w:t>
      </w:r>
      <w:r w:rsidR="00445C15">
        <w:t>to the</w:t>
      </w:r>
      <w:r w:rsidR="00445C15" w:rsidRPr="00445C15">
        <w:t xml:space="preserve"> question of </w:t>
      </w:r>
      <w:r w:rsidR="00445C15">
        <w:t>proportional</w:t>
      </w:r>
      <w:r w:rsidR="00445C15" w:rsidRPr="00445C15">
        <w:t xml:space="preserve"> liability</w:t>
      </w:r>
      <w:r w:rsidR="00AC741A">
        <w:t xml:space="preserve"> by</w:t>
      </w:r>
      <w:r w:rsidR="00445C15">
        <w:t xml:space="preserve"> setting </w:t>
      </w:r>
      <w:r w:rsidR="00445C15" w:rsidRPr="00445C15">
        <w:t>limits for it</w:t>
      </w:r>
      <w:r w:rsidR="00445C15">
        <w:t xml:space="preserve"> </w:t>
      </w:r>
      <w:r w:rsidR="008A3C91">
        <w:t xml:space="preserve">by </w:t>
      </w:r>
      <w:r w:rsidR="00EA7786">
        <w:t xml:space="preserve">applying </w:t>
      </w:r>
      <w:r w:rsidR="00445C15" w:rsidRPr="00445C15">
        <w:t xml:space="preserve">the recurring </w:t>
      </w:r>
      <w:r w:rsidR="00445C15">
        <w:t>distortion test</w:t>
      </w:r>
      <w:r w:rsidR="00445C15" w:rsidRPr="00445C15">
        <w:t xml:space="preserve"> to all cases of </w:t>
      </w:r>
      <w:r w:rsidR="00445C15">
        <w:t>proportional</w:t>
      </w:r>
      <w:r w:rsidR="00445C15" w:rsidRPr="00445C15">
        <w:t xml:space="preserve"> liability.</w:t>
      </w:r>
      <w:r w:rsidR="00445C15">
        <w:t xml:space="preserve"> </w:t>
      </w:r>
      <w:r w:rsidR="007B0131">
        <w:t>As t</w:t>
      </w:r>
      <w:r w:rsidR="00445C15" w:rsidRPr="00445C15">
        <w:t xml:space="preserve">here </w:t>
      </w:r>
      <w:r w:rsidR="00E00483">
        <w:t>is</w:t>
      </w:r>
      <w:r w:rsidR="007B0131">
        <w:t xml:space="preserve"> </w:t>
      </w:r>
      <w:r w:rsidR="00445C15" w:rsidRPr="00445C15">
        <w:t xml:space="preserve">no longer </w:t>
      </w:r>
      <w:r w:rsidR="00445C15">
        <w:t>any</w:t>
      </w:r>
      <w:r w:rsidR="00445C15" w:rsidRPr="00445C15">
        <w:t xml:space="preserve"> </w:t>
      </w:r>
      <w:r w:rsidR="007B0131">
        <w:t>dispute</w:t>
      </w:r>
      <w:r w:rsidR="007B0131" w:rsidRPr="00445C15">
        <w:t xml:space="preserve"> </w:t>
      </w:r>
      <w:r w:rsidR="00445C15" w:rsidRPr="00445C15">
        <w:t xml:space="preserve">that </w:t>
      </w:r>
      <w:r w:rsidR="00D402A6">
        <w:t xml:space="preserve">the </w:t>
      </w:r>
      <w:r w:rsidR="00445C15" w:rsidRPr="00445C15">
        <w:t xml:space="preserve">compensation </w:t>
      </w:r>
      <w:r w:rsidR="00E00483">
        <w:t>awarded in</w:t>
      </w:r>
      <w:r w:rsidR="00E00483" w:rsidRPr="00445C15">
        <w:t xml:space="preserve"> </w:t>
      </w:r>
      <w:proofErr w:type="spellStart"/>
      <w:r w:rsidR="00E00483" w:rsidRPr="000D77EB">
        <w:rPr>
          <w:b/>
          <w:bCs/>
          <w:i/>
          <w:iCs/>
        </w:rPr>
        <w:t>Fatach</w:t>
      </w:r>
      <w:proofErr w:type="spellEnd"/>
      <w:r w:rsidR="00E00483" w:rsidRPr="00445C15">
        <w:t xml:space="preserve"> </w:t>
      </w:r>
      <w:r w:rsidR="00445C15" w:rsidRPr="00445C15">
        <w:t xml:space="preserve">for the loss of </w:t>
      </w:r>
      <w:r w:rsidR="00E00483">
        <w:t>chance</w:t>
      </w:r>
      <w:r w:rsidR="00170329" w:rsidRPr="00E00483">
        <w:t xml:space="preserve"> </w:t>
      </w:r>
      <w:r w:rsidR="00445C15" w:rsidRPr="00E00483">
        <w:t xml:space="preserve">of </w:t>
      </w:r>
      <w:r w:rsidR="00170329" w:rsidRPr="00053FDD">
        <w:t xml:space="preserve">physical </w:t>
      </w:r>
      <w:r w:rsidR="00445C15" w:rsidRPr="00E00483">
        <w:t xml:space="preserve">recovery </w:t>
      </w:r>
      <w:r w:rsidR="00D402A6">
        <w:t>was</w:t>
      </w:r>
      <w:r w:rsidR="0072006C">
        <w:t xml:space="preserve"> </w:t>
      </w:r>
      <w:r w:rsidR="00445C15" w:rsidRPr="00445C15">
        <w:t>proportional compensation</w:t>
      </w:r>
      <w:r w:rsidR="00170329">
        <w:t>, and as the</w:t>
      </w:r>
      <w:r w:rsidR="00445C15" w:rsidRPr="00445C15">
        <w:t xml:space="preserve"> question of </w:t>
      </w:r>
      <w:r w:rsidR="0072006C">
        <w:t>proportional</w:t>
      </w:r>
      <w:r w:rsidR="00445C15" w:rsidRPr="00445C15">
        <w:t xml:space="preserve"> compensation </w:t>
      </w:r>
      <w:r w:rsidR="00170329">
        <w:t xml:space="preserve">was </w:t>
      </w:r>
      <w:r w:rsidR="00445C15" w:rsidRPr="00445C15">
        <w:t xml:space="preserve">comprehensively resolved in </w:t>
      </w:r>
      <w:r w:rsidR="00170329">
        <w:t xml:space="preserve">the </w:t>
      </w:r>
      <w:proofErr w:type="spellStart"/>
      <w:r w:rsidR="0072006C" w:rsidRPr="000D77EB">
        <w:rPr>
          <w:b/>
          <w:bCs/>
          <w:i/>
          <w:iCs/>
        </w:rPr>
        <w:t>Malul</w:t>
      </w:r>
      <w:proofErr w:type="spellEnd"/>
      <w:r w:rsidR="0072006C" w:rsidRPr="000D77EB">
        <w:rPr>
          <w:b/>
          <w:bCs/>
          <w:i/>
          <w:iCs/>
        </w:rPr>
        <w:t xml:space="preserve"> II</w:t>
      </w:r>
      <w:r w:rsidR="00170329">
        <w:rPr>
          <w:i/>
          <w:iCs/>
        </w:rPr>
        <w:t xml:space="preserve"> </w:t>
      </w:r>
      <w:r w:rsidR="00170329" w:rsidRPr="00053FDD">
        <w:t>ruling</w:t>
      </w:r>
      <w:r w:rsidR="003B181C">
        <w:rPr>
          <w:i/>
          <w:iCs/>
        </w:rPr>
        <w:t xml:space="preserve">, </w:t>
      </w:r>
      <w:r w:rsidR="003B181C">
        <w:t>the inevitable conclusion</w:t>
      </w:r>
      <w:r w:rsidR="00445C15" w:rsidRPr="00445C15">
        <w:t xml:space="preserve"> </w:t>
      </w:r>
      <w:r w:rsidR="003B181C">
        <w:t xml:space="preserve">is </w:t>
      </w:r>
      <w:r w:rsidR="00445C15" w:rsidRPr="00445C15">
        <w:t xml:space="preserve">that compensation for </w:t>
      </w:r>
      <w:r w:rsidR="00445C15" w:rsidRPr="00E00483">
        <w:t xml:space="preserve">loss of chance of </w:t>
      </w:r>
      <w:r w:rsidR="003B181C" w:rsidRPr="00053FDD">
        <w:t xml:space="preserve">physical </w:t>
      </w:r>
      <w:r w:rsidR="00445C15" w:rsidRPr="00E00483">
        <w:t>recovery</w:t>
      </w:r>
      <w:r w:rsidR="00445C15" w:rsidRPr="00445C15">
        <w:t xml:space="preserve"> </w:t>
      </w:r>
      <w:r w:rsidR="006B4D0C">
        <w:t xml:space="preserve">shall be </w:t>
      </w:r>
      <w:r w:rsidR="00E00483">
        <w:t>awarded</w:t>
      </w:r>
      <w:r w:rsidR="006B4D0C">
        <w:t xml:space="preserve"> only when the conditions of the test of repeated distortion </w:t>
      </w:r>
      <w:r w:rsidR="00AC741A">
        <w:t>are met</w:t>
      </w:r>
      <w:r w:rsidR="006B4D0C">
        <w:t>, according to the</w:t>
      </w:r>
      <w:r w:rsidR="00445C15" w:rsidRPr="00445C15">
        <w:t xml:space="preserve"> asymmetrical nature of the </w:t>
      </w:r>
      <w:r w:rsidR="0072006C">
        <w:t>proportional</w:t>
      </w:r>
      <w:r w:rsidR="00445C15" w:rsidRPr="00445C15">
        <w:t xml:space="preserve"> compensation</w:t>
      </w:r>
      <w:r w:rsidR="00DF6982">
        <w:t>,</w:t>
      </w:r>
      <w:r w:rsidR="00445C15" w:rsidRPr="00445C15">
        <w:t xml:space="preserve"> as </w:t>
      </w:r>
      <w:r w:rsidR="00DF6982">
        <w:t>was determined again</w:t>
      </w:r>
      <w:r w:rsidR="00445C15" w:rsidRPr="00445C15">
        <w:t xml:space="preserve"> in the </w:t>
      </w:r>
      <w:commentRangeStart w:id="7"/>
      <w:r w:rsidR="00445C15" w:rsidRPr="00053FDD">
        <w:rPr>
          <w:b/>
          <w:bCs/>
          <w:i/>
          <w:iCs/>
          <w:highlight w:val="yellow"/>
        </w:rPr>
        <w:t>L</w:t>
      </w:r>
      <w:commentRangeEnd w:id="7"/>
      <w:r w:rsidR="00EA7786">
        <w:rPr>
          <w:rStyle w:val="CommentReference"/>
        </w:rPr>
        <w:commentReference w:id="7"/>
      </w:r>
      <w:r w:rsidR="0072006C" w:rsidRPr="00053FDD">
        <w:rPr>
          <w:b/>
          <w:bCs/>
          <w:i/>
          <w:iCs/>
          <w:highlight w:val="yellow"/>
        </w:rPr>
        <w:t>.</w:t>
      </w:r>
      <w:r w:rsidR="00445C15" w:rsidRPr="00053FDD">
        <w:rPr>
          <w:b/>
          <w:bCs/>
          <w:i/>
          <w:iCs/>
          <w:highlight w:val="yellow"/>
        </w:rPr>
        <w:t>D</w:t>
      </w:r>
      <w:r w:rsidR="0072006C" w:rsidRPr="00053FDD">
        <w:rPr>
          <w:b/>
          <w:bCs/>
          <w:i/>
          <w:iCs/>
          <w:highlight w:val="yellow"/>
        </w:rPr>
        <w:t>.</w:t>
      </w:r>
      <w:r w:rsidR="00445C15" w:rsidRPr="00053FDD">
        <w:rPr>
          <w:b/>
          <w:bCs/>
          <w:highlight w:val="yellow"/>
        </w:rPr>
        <w:t xml:space="preserve"> case</w:t>
      </w:r>
      <w:r w:rsidR="00445C15" w:rsidRPr="00445C15">
        <w:t>.</w:t>
      </w:r>
      <w:r w:rsidRPr="000D2188">
        <w:rPr>
          <w:rFonts w:ascii="David" w:hAnsi="David" w:cs="David"/>
          <w:sz w:val="24"/>
          <w:szCs w:val="24"/>
          <w:rtl/>
        </w:rPr>
        <w:t xml:space="preserve"> </w:t>
      </w:r>
    </w:p>
    <w:p w14:paraId="74D82931" w14:textId="676CC091" w:rsidR="00A95F7F" w:rsidRPr="000D2188" w:rsidRDefault="00552F2C" w:rsidP="00053FDD">
      <w:pPr>
        <w:rPr>
          <w:rFonts w:ascii="David" w:hAnsi="David" w:cs="David"/>
          <w:sz w:val="24"/>
          <w:szCs w:val="24"/>
          <w:rtl/>
        </w:rPr>
      </w:pPr>
      <w:r>
        <w:t>Arguably</w:t>
      </w:r>
      <w:r w:rsidR="0072006C" w:rsidRPr="0072006C">
        <w:t xml:space="preserve">, this general doctrine should not be limited to medical </w:t>
      </w:r>
      <w:r w:rsidR="00DF6982">
        <w:t>cases</w:t>
      </w:r>
      <w:r w:rsidR="0072006C">
        <w:t xml:space="preserve">, </w:t>
      </w:r>
      <w:r w:rsidR="0072006C" w:rsidRPr="0072006C">
        <w:t xml:space="preserve">because the logic of the </w:t>
      </w:r>
      <w:r w:rsidR="00DF6982">
        <w:t>recurring distortion test</w:t>
      </w:r>
      <w:r w:rsidR="0072006C" w:rsidRPr="0072006C">
        <w:t xml:space="preserve"> does not </w:t>
      </w:r>
      <w:r w:rsidR="00AC741A">
        <w:t>apply solely to the</w:t>
      </w:r>
      <w:r w:rsidRPr="0072006C">
        <w:t xml:space="preserve"> </w:t>
      </w:r>
      <w:r w:rsidR="0072006C" w:rsidRPr="0072006C">
        <w:t>medical context. Indeed, the fact that</w:t>
      </w:r>
      <w:r w:rsidR="008A3C91">
        <w:t xml:space="preserve"> the</w:t>
      </w:r>
      <w:r w:rsidR="0072006C" w:rsidRPr="0072006C">
        <w:t xml:space="preserve"> </w:t>
      </w:r>
      <w:proofErr w:type="spellStart"/>
      <w:r w:rsidR="0072006C" w:rsidRPr="00053FDD">
        <w:rPr>
          <w:b/>
          <w:bCs/>
          <w:i/>
          <w:iCs/>
        </w:rPr>
        <w:t>Fata</w:t>
      </w:r>
      <w:r w:rsidR="00DF6982" w:rsidRPr="00053FDD">
        <w:rPr>
          <w:b/>
          <w:bCs/>
          <w:i/>
          <w:iCs/>
        </w:rPr>
        <w:t>c</w:t>
      </w:r>
      <w:r w:rsidR="0072006C" w:rsidRPr="00053FDD">
        <w:rPr>
          <w:b/>
          <w:bCs/>
          <w:i/>
          <w:iCs/>
        </w:rPr>
        <w:t>h</w:t>
      </w:r>
      <w:proofErr w:type="spellEnd"/>
      <w:r w:rsidR="0072006C" w:rsidRPr="00053FDD">
        <w:rPr>
          <w:b/>
          <w:bCs/>
        </w:rPr>
        <w:t xml:space="preserve"> </w:t>
      </w:r>
      <w:r w:rsidR="00DF6982">
        <w:t>ruling</w:t>
      </w:r>
      <w:r w:rsidR="0072006C" w:rsidRPr="0072006C">
        <w:t xml:space="preserve"> </w:t>
      </w:r>
      <w:r>
        <w:t>orders</w:t>
      </w:r>
      <w:r w:rsidR="0072006C" w:rsidRPr="0072006C">
        <w:t xml:space="preserve"> </w:t>
      </w:r>
      <w:r w:rsidR="00AC741A">
        <w:t>“</w:t>
      </w:r>
      <w:r w:rsidR="0072006C" w:rsidRPr="0072006C">
        <w:t>ordinary</w:t>
      </w:r>
      <w:r w:rsidR="00AC741A">
        <w:t>”</w:t>
      </w:r>
      <w:r w:rsidR="0072006C" w:rsidRPr="0072006C">
        <w:t xml:space="preserve"> proportional compensation also explains the tendency of some</w:t>
      </w:r>
      <w:r w:rsidR="00227B56">
        <w:t xml:space="preserve"> </w:t>
      </w:r>
      <w:r w:rsidR="00227B56" w:rsidRPr="00E00483">
        <w:t>appel</w:t>
      </w:r>
      <w:r w:rsidR="00AC741A" w:rsidRPr="00E00483">
        <w:t>late</w:t>
      </w:r>
      <w:r w:rsidR="0072006C" w:rsidRPr="00E00483">
        <w:t xml:space="preserve"> </w:t>
      </w:r>
      <w:r w:rsidR="00805F71" w:rsidRPr="00E00483">
        <w:t>judges</w:t>
      </w:r>
      <w:r w:rsidR="00805F71">
        <w:t xml:space="preserve"> </w:t>
      </w:r>
      <w:r w:rsidR="0072006C" w:rsidRPr="0072006C">
        <w:t xml:space="preserve">to extend </w:t>
      </w:r>
      <w:r w:rsidR="0072006C" w:rsidRPr="00E00483">
        <w:t xml:space="preserve">the </w:t>
      </w:r>
      <w:r w:rsidR="00DF6982" w:rsidRPr="00E00483">
        <w:t>“</w:t>
      </w:r>
      <w:r w:rsidR="0072006C" w:rsidRPr="00E00483">
        <w:t>loss of chance</w:t>
      </w:r>
      <w:r w:rsidR="00AC741A">
        <w:t xml:space="preserve"> of recovery</w:t>
      </w:r>
      <w:r w:rsidR="00DF6982" w:rsidRPr="00E00483">
        <w:t>”</w:t>
      </w:r>
      <w:r w:rsidR="0072006C" w:rsidRPr="00E00483">
        <w:t xml:space="preserve"> to</w:t>
      </w:r>
      <w:r w:rsidR="0072006C" w:rsidRPr="0072006C">
        <w:t xml:space="preserve"> other areas of life </w:t>
      </w:r>
      <w:r w:rsidR="00DF6982">
        <w:t>outside the</w:t>
      </w:r>
      <w:r w:rsidR="0072006C" w:rsidRPr="0072006C">
        <w:t xml:space="preserve"> medical </w:t>
      </w:r>
      <w:r w:rsidR="00805F71">
        <w:t>sphere</w:t>
      </w:r>
      <w:r w:rsidR="00D402A6">
        <w:t>,</w:t>
      </w:r>
      <w:r w:rsidR="0072006C" w:rsidRPr="0072006C">
        <w:t xml:space="preserve"> such as recognizing a </w:t>
      </w:r>
      <w:r w:rsidR="00D402A6">
        <w:t>case</w:t>
      </w:r>
      <w:r w:rsidR="0072006C" w:rsidRPr="0072006C">
        <w:t xml:space="preserve"> </w:t>
      </w:r>
      <w:r w:rsidR="00D402A6">
        <w:t xml:space="preserve">brought </w:t>
      </w:r>
      <w:r w:rsidR="0072006C" w:rsidRPr="0072006C">
        <w:t xml:space="preserve">against a lawyer for harming the chances of success in legal proceedings. However, even a claim filed for loss of chance of success in a </w:t>
      </w:r>
      <w:r w:rsidR="00D402A6">
        <w:t xml:space="preserve">legal </w:t>
      </w:r>
      <w:r w:rsidR="0072006C" w:rsidRPr="0072006C">
        <w:t xml:space="preserve">trial </w:t>
      </w:r>
      <w:r w:rsidR="00DF6982">
        <w:t>must be</w:t>
      </w:r>
      <w:r w:rsidR="0072006C" w:rsidRPr="0072006C">
        <w:t xml:space="preserve"> subject to the test of </w:t>
      </w:r>
      <w:r w:rsidR="00DF6982">
        <w:t>recurring distortion</w:t>
      </w:r>
      <w:r w:rsidR="00805F71">
        <w:t xml:space="preserve"> </w:t>
      </w:r>
      <w:r w:rsidR="00AC741A">
        <w:t xml:space="preserve">to avoid </w:t>
      </w:r>
      <w:r w:rsidR="00DF6982">
        <w:t>the risk of an inaccurate application of the law</w:t>
      </w:r>
      <w:r w:rsidR="0072006C" w:rsidRPr="0072006C">
        <w:t>.</w:t>
      </w:r>
    </w:p>
    <w:p w14:paraId="738E2FF3" w14:textId="77777777" w:rsidR="00A95F7F" w:rsidRDefault="00A95F7F" w:rsidP="00302E85"/>
    <w:sectPr w:rsidR="00A9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840358A" w14:textId="77777777" w:rsidR="008940D6" w:rsidRDefault="008940D6" w:rsidP="008940D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Style w:val="CommentReference"/>
        </w:rPr>
        <w:annotationRef/>
      </w:r>
      <w:r>
        <w:t xml:space="preserve">This reflects an accurate translation of the Hebrew, </w:t>
      </w:r>
      <w:r>
        <w:rPr>
          <w:rFonts w:ascii="David" w:hAnsi="David" w:cs="David" w:hint="cs"/>
          <w:sz w:val="24"/>
          <w:szCs w:val="24"/>
          <w:rtl/>
        </w:rPr>
        <w:t>אחריות יחסית בבית ספרנו? העולה כיתה בבית ספרנו?</w:t>
      </w:r>
    </w:p>
    <w:p w14:paraId="0350E0A7" w14:textId="77777777" w:rsidR="008940D6" w:rsidRDefault="008940D6">
      <w:pPr>
        <w:pStyle w:val="CommentText"/>
      </w:pPr>
      <w:r>
        <w:t>for which there is no equivalent English expression.</w:t>
      </w:r>
    </w:p>
    <w:p w14:paraId="00B5F575" w14:textId="77777777" w:rsidR="008940D6" w:rsidRDefault="008940D6">
      <w:pPr>
        <w:pStyle w:val="CommentText"/>
      </w:pPr>
    </w:p>
    <w:p w14:paraId="3F51877C" w14:textId="542B54A2" w:rsidR="008940D6" w:rsidRDefault="008940D6">
      <w:pPr>
        <w:pStyle w:val="CommentText"/>
      </w:pPr>
      <w:r>
        <w:t>One alternative could be: Proportional liability in our field</w:t>
      </w:r>
      <w:r w:rsidR="00B266B5">
        <w:t xml:space="preserve"> (or courts)</w:t>
      </w:r>
      <w:r>
        <w:t xml:space="preserve">? Moving to a higher </w:t>
      </w:r>
      <w:r w:rsidR="00B266B5">
        <w:t xml:space="preserve">(wider) </w:t>
      </w:r>
      <w:r w:rsidR="007A00BC">
        <w:t>p</w:t>
      </w:r>
      <w:r>
        <w:t>laying field?</w:t>
      </w:r>
    </w:p>
  </w:comment>
  <w:comment w:id="1" w:author="Author" w:initials="A">
    <w:p w14:paraId="470D5481" w14:textId="0418CFF5" w:rsidR="000D77EB" w:rsidRDefault="000D77EB">
      <w:pPr>
        <w:pStyle w:val="CommentText"/>
      </w:pPr>
      <w:r>
        <w:rPr>
          <w:rStyle w:val="CommentReference"/>
        </w:rPr>
        <w:annotationRef/>
      </w:r>
      <w:r>
        <w:t>The bold font used in the Hebrew has been retained, but it is sufficient in English just to italicize names of cases.</w:t>
      </w:r>
    </w:p>
  </w:comment>
  <w:comment w:id="2" w:author="Author" w:initials="A">
    <w:p w14:paraId="3D0D02E0" w14:textId="79A424E8" w:rsidR="008940D6" w:rsidRDefault="008940D6">
      <w:pPr>
        <w:pStyle w:val="CommentText"/>
      </w:pPr>
      <w:r>
        <w:rPr>
          <w:rStyle w:val="CommentReference"/>
        </w:rPr>
        <w:annotationRef/>
      </w:r>
      <w:r>
        <w:t>Would you prefer appeals here?</w:t>
      </w:r>
    </w:p>
  </w:comment>
  <w:comment w:id="3" w:author="Author" w:initials="A">
    <w:p w14:paraId="674416A8" w14:textId="1D684F62" w:rsidR="00B266B5" w:rsidRDefault="00B266B5">
      <w:pPr>
        <w:pStyle w:val="CommentText"/>
      </w:pPr>
      <w:r>
        <w:rPr>
          <w:rStyle w:val="CommentReference"/>
        </w:rPr>
        <w:annotationRef/>
      </w:r>
      <w:r>
        <w:t>Consider adding in when determining liability</w:t>
      </w:r>
      <w:r w:rsidR="008A3C91">
        <w:t>, or even liability for medical negligence,</w:t>
      </w:r>
      <w:r>
        <w:t xml:space="preserve"> for clarity.</w:t>
      </w:r>
    </w:p>
  </w:comment>
  <w:comment w:id="5" w:author="Author" w:initials="A">
    <w:p w14:paraId="5A30F0B8" w14:textId="7DCC3599" w:rsidR="00562A09" w:rsidRDefault="00562A09">
      <w:pPr>
        <w:pStyle w:val="CommentText"/>
      </w:pPr>
      <w:r>
        <w:rPr>
          <w:rStyle w:val="CommentReference"/>
        </w:rPr>
        <w:annotationRef/>
      </w:r>
      <w:proofErr w:type="spellStart"/>
      <w:r>
        <w:t>Histadrut</w:t>
      </w:r>
      <w:proofErr w:type="spellEnd"/>
      <w:r>
        <w:t xml:space="preserve"> Health Maintenance Organization v. </w:t>
      </w:r>
      <w:proofErr w:type="spellStart"/>
      <w:r>
        <w:t>Fatach</w:t>
      </w:r>
      <w:proofErr w:type="spellEnd"/>
    </w:p>
  </w:comment>
  <w:comment w:id="6" w:author="Author" w:initials="A">
    <w:p w14:paraId="67518A09" w14:textId="6E912E74" w:rsidR="00DD1AB6" w:rsidRDefault="00DD1AB6">
      <w:pPr>
        <w:pStyle w:val="CommentText"/>
      </w:pPr>
      <w:r>
        <w:rPr>
          <w:rStyle w:val="CommentReference"/>
        </w:rPr>
        <w:annotationRef/>
      </w:r>
      <w:hyperlink r:id="rId1" w:history="1">
        <w:r w:rsidRPr="0028564F">
          <w:rPr>
            <w:rStyle w:val="Hyperlink"/>
          </w:rPr>
          <w:t>https://scholarship.law.vanderbilt.edu/cgi/viewcontent.cgi?article=4563&amp;context=vlr</w:t>
        </w:r>
      </w:hyperlink>
    </w:p>
    <w:p w14:paraId="5F642A8D" w14:textId="0F666C33" w:rsidR="00DD1AB6" w:rsidRDefault="00DD1AB6">
      <w:pPr>
        <w:pStyle w:val="CommentText"/>
      </w:pPr>
    </w:p>
  </w:comment>
  <w:comment w:id="7" w:author="Author" w:initials="A">
    <w:p w14:paraId="35F4EA5E" w14:textId="54F1795E" w:rsidR="00EA7786" w:rsidRDefault="00EA7786">
      <w:pPr>
        <w:pStyle w:val="CommentText"/>
      </w:pPr>
      <w:r>
        <w:rPr>
          <w:rStyle w:val="CommentReference"/>
        </w:rPr>
        <w:annotationRef/>
      </w:r>
      <w:r>
        <w:t>Can you provide a full name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F51877C" w15:done="0"/>
  <w15:commentEx w15:paraId="470D5481" w15:done="0"/>
  <w15:commentEx w15:paraId="3D0D02E0" w15:done="0"/>
  <w15:commentEx w15:paraId="674416A8" w15:done="0"/>
  <w15:commentEx w15:paraId="5A30F0B8" w15:done="0"/>
  <w15:commentEx w15:paraId="5F642A8D" w15:done="0"/>
  <w15:commentEx w15:paraId="35F4EA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AB13" w16cex:dateUtc="2022-05-26T04:30:00Z"/>
  <w16cex:commentExtensible w16cex:durableId="2639BF42" w16cex:dateUtc="2022-05-26T05:56:00Z"/>
  <w16cex:commentExtensible w16cex:durableId="2639B98D" w16cex:dateUtc="2022-05-26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51877C" w16cid:durableId="263DA5E7"/>
  <w16cid:commentId w16cid:paraId="470D5481" w16cid:durableId="263DD176"/>
  <w16cid:commentId w16cid:paraId="3D0D02E0" w16cid:durableId="263DA67C"/>
  <w16cid:commentId w16cid:paraId="674416A8" w16cid:durableId="263DCD46"/>
  <w16cid:commentId w16cid:paraId="5A30F0B8" w16cid:durableId="2639AB13"/>
  <w16cid:commentId w16cid:paraId="35F4EA5E" w16cid:durableId="263DC5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6B392" w14:textId="77777777" w:rsidR="00C96CDC" w:rsidRDefault="00C96CDC" w:rsidP="00F00910">
      <w:pPr>
        <w:spacing w:after="0" w:line="240" w:lineRule="auto"/>
      </w:pPr>
      <w:r>
        <w:separator/>
      </w:r>
    </w:p>
  </w:endnote>
  <w:endnote w:type="continuationSeparator" w:id="0">
    <w:p w14:paraId="52D607B8" w14:textId="77777777" w:rsidR="00C96CDC" w:rsidRDefault="00C96CDC" w:rsidP="00F0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CAA0F" w14:textId="77777777" w:rsidR="00C96CDC" w:rsidRDefault="00C96CDC" w:rsidP="00F00910">
      <w:pPr>
        <w:spacing w:after="0" w:line="240" w:lineRule="auto"/>
      </w:pPr>
      <w:r>
        <w:separator/>
      </w:r>
    </w:p>
  </w:footnote>
  <w:footnote w:type="continuationSeparator" w:id="0">
    <w:p w14:paraId="74DF098B" w14:textId="77777777" w:rsidR="00C96CDC" w:rsidRDefault="00C96CDC" w:rsidP="00F00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80"/>
    <w:rsid w:val="00053FDD"/>
    <w:rsid w:val="00054A22"/>
    <w:rsid w:val="00067C6A"/>
    <w:rsid w:val="000D77EB"/>
    <w:rsid w:val="000F2C4D"/>
    <w:rsid w:val="00170329"/>
    <w:rsid w:val="001B4DBE"/>
    <w:rsid w:val="00227B56"/>
    <w:rsid w:val="00293477"/>
    <w:rsid w:val="002D0F74"/>
    <w:rsid w:val="002F3659"/>
    <w:rsid w:val="00302E85"/>
    <w:rsid w:val="00396D6E"/>
    <w:rsid w:val="00396DEB"/>
    <w:rsid w:val="003B181C"/>
    <w:rsid w:val="00440F1C"/>
    <w:rsid w:val="00445C15"/>
    <w:rsid w:val="00447A47"/>
    <w:rsid w:val="004C06A2"/>
    <w:rsid w:val="005352B1"/>
    <w:rsid w:val="00552F2C"/>
    <w:rsid w:val="00562A09"/>
    <w:rsid w:val="00587D77"/>
    <w:rsid w:val="005C5D56"/>
    <w:rsid w:val="00675202"/>
    <w:rsid w:val="006B4D0C"/>
    <w:rsid w:val="0072006C"/>
    <w:rsid w:val="0079326F"/>
    <w:rsid w:val="007A00BC"/>
    <w:rsid w:val="007B0131"/>
    <w:rsid w:val="007E0E9A"/>
    <w:rsid w:val="00805F71"/>
    <w:rsid w:val="008940D6"/>
    <w:rsid w:val="008A3C91"/>
    <w:rsid w:val="008C603B"/>
    <w:rsid w:val="008D021C"/>
    <w:rsid w:val="008E422F"/>
    <w:rsid w:val="0090260C"/>
    <w:rsid w:val="00936B78"/>
    <w:rsid w:val="009A1445"/>
    <w:rsid w:val="009F5A83"/>
    <w:rsid w:val="00A35FED"/>
    <w:rsid w:val="00A95F7F"/>
    <w:rsid w:val="00AC741A"/>
    <w:rsid w:val="00B266B5"/>
    <w:rsid w:val="00BC2979"/>
    <w:rsid w:val="00BF29D1"/>
    <w:rsid w:val="00C537D7"/>
    <w:rsid w:val="00C54E48"/>
    <w:rsid w:val="00C96CDC"/>
    <w:rsid w:val="00CB14DB"/>
    <w:rsid w:val="00D25180"/>
    <w:rsid w:val="00D32F18"/>
    <w:rsid w:val="00D402A6"/>
    <w:rsid w:val="00D53A98"/>
    <w:rsid w:val="00DD1AB6"/>
    <w:rsid w:val="00DF6982"/>
    <w:rsid w:val="00E00483"/>
    <w:rsid w:val="00E33771"/>
    <w:rsid w:val="00E41FF2"/>
    <w:rsid w:val="00EA7786"/>
    <w:rsid w:val="00F00910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9B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1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2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95F7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A95F7F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5F7F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0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910"/>
  </w:style>
  <w:style w:type="paragraph" w:styleId="Footer">
    <w:name w:val="footer"/>
    <w:basedOn w:val="Normal"/>
    <w:link w:val="FooterChar"/>
    <w:uiPriority w:val="99"/>
    <w:unhideWhenUsed/>
    <w:rsid w:val="00F00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scholarship.law.vanderbilt.edu/cgi/viewcontent.cgi?article=4563&amp;context=vlr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2421</Characters>
  <Application>Microsoft Office Word</Application>
  <DocSecurity>0</DocSecurity>
  <Lines>40</Lines>
  <Paragraphs>12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2022-05-29T08:01:00Z</dcterms:created>
  <dcterms:modified xsi:type="dcterms:W3CDTF">2022-05-29T08:03:00Z</dcterms:modified>
</cp:coreProperties>
</file>