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9EFFC5" w:rsidR="00CF554D" w:rsidRPr="00082CF3" w:rsidRDefault="00641E8F" w:rsidP="00082CF3">
      <w:pPr>
        <w:widowControl w:val="0"/>
        <w:pBdr>
          <w:top w:val="nil"/>
          <w:left w:val="nil"/>
          <w:bottom w:val="nil"/>
          <w:right w:val="nil"/>
          <w:between w:val="nil"/>
        </w:pBdr>
        <w:spacing w:line="360" w:lineRule="auto"/>
        <w:rPr>
          <w:b/>
          <w:bCs/>
          <w:color w:val="000000"/>
          <w:sz w:val="24"/>
          <w:szCs w:val="24"/>
        </w:rPr>
      </w:pPr>
      <w:r w:rsidRPr="00082CF3">
        <w:rPr>
          <w:b/>
          <w:bCs/>
          <w:color w:val="000000"/>
          <w:sz w:val="24"/>
          <w:szCs w:val="24"/>
        </w:rPr>
        <w:t>Fatah</w:t>
      </w:r>
      <w:r w:rsidR="00815B3F" w:rsidRPr="00082CF3">
        <w:rPr>
          <w:b/>
          <w:bCs/>
          <w:color w:val="000000"/>
          <w:sz w:val="24"/>
          <w:szCs w:val="24"/>
          <w:lang w:val="en-US"/>
        </w:rPr>
        <w:t>’</w:t>
      </w:r>
      <w:r w:rsidRPr="00082CF3">
        <w:rPr>
          <w:b/>
          <w:bCs/>
          <w:color w:val="000000"/>
          <w:sz w:val="24"/>
          <w:szCs w:val="24"/>
        </w:rPr>
        <w:t xml:space="preserve">s Policy Against the Challenge Posed by Hamas to the Organization and the Palestinian </w:t>
      </w:r>
      <w:commentRangeStart w:id="0"/>
      <w:r w:rsidRPr="00082CF3">
        <w:rPr>
          <w:b/>
          <w:bCs/>
          <w:color w:val="000000"/>
          <w:sz w:val="24"/>
          <w:szCs w:val="24"/>
        </w:rPr>
        <w:t>Authority</w:t>
      </w:r>
      <w:commentRangeEnd w:id="0"/>
      <w:r w:rsidR="002F7E51">
        <w:rPr>
          <w:rStyle w:val="CommentReference"/>
        </w:rPr>
        <w:commentReference w:id="0"/>
      </w:r>
    </w:p>
    <w:p w14:paraId="7594CD95" w14:textId="77777777" w:rsidR="004238FE" w:rsidRPr="00082CF3" w:rsidRDefault="004238FE" w:rsidP="00082CF3">
      <w:pPr>
        <w:widowControl w:val="0"/>
        <w:pBdr>
          <w:top w:val="nil"/>
          <w:left w:val="nil"/>
          <w:bottom w:val="nil"/>
          <w:right w:val="nil"/>
          <w:between w:val="nil"/>
        </w:pBdr>
        <w:spacing w:line="360" w:lineRule="auto"/>
        <w:rPr>
          <w:b/>
          <w:bCs/>
          <w:color w:val="000000"/>
          <w:sz w:val="24"/>
          <w:szCs w:val="24"/>
        </w:rPr>
      </w:pPr>
    </w:p>
    <w:p w14:paraId="00000002" w14:textId="689FBA72" w:rsidR="00CF554D" w:rsidRPr="00082CF3" w:rsidRDefault="00641E8F" w:rsidP="00082CF3">
      <w:pPr>
        <w:widowControl w:val="0"/>
        <w:pBdr>
          <w:top w:val="nil"/>
          <w:left w:val="nil"/>
          <w:bottom w:val="nil"/>
          <w:right w:val="nil"/>
          <w:between w:val="nil"/>
        </w:pBdr>
        <w:spacing w:line="360" w:lineRule="auto"/>
        <w:rPr>
          <w:b/>
          <w:bCs/>
          <w:color w:val="000000"/>
          <w:sz w:val="24"/>
          <w:szCs w:val="24"/>
        </w:rPr>
      </w:pPr>
      <w:r w:rsidRPr="00082CF3">
        <w:rPr>
          <w:b/>
          <w:bCs/>
          <w:color w:val="000000"/>
          <w:sz w:val="24"/>
          <w:szCs w:val="24"/>
        </w:rPr>
        <w:t>The First Intifada Era</w:t>
      </w:r>
    </w:p>
    <w:p w14:paraId="52C0A837" w14:textId="77777777" w:rsidR="004238FE" w:rsidRPr="00082CF3" w:rsidRDefault="004238FE" w:rsidP="00082CF3">
      <w:pPr>
        <w:widowControl w:val="0"/>
        <w:pBdr>
          <w:top w:val="nil"/>
          <w:left w:val="nil"/>
          <w:bottom w:val="nil"/>
          <w:right w:val="nil"/>
          <w:between w:val="nil"/>
        </w:pBdr>
        <w:spacing w:line="360" w:lineRule="auto"/>
        <w:rPr>
          <w:b/>
          <w:bCs/>
          <w:color w:val="000000"/>
          <w:sz w:val="24"/>
          <w:szCs w:val="24"/>
        </w:rPr>
      </w:pPr>
    </w:p>
    <w:p w14:paraId="3D51329D" w14:textId="22C6CD13" w:rsidR="004238FE" w:rsidRDefault="004238FE" w:rsidP="00260951">
      <w:pPr>
        <w:spacing w:line="360" w:lineRule="auto"/>
        <w:jc w:val="both"/>
        <w:rPr>
          <w:sz w:val="24"/>
          <w:szCs w:val="24"/>
        </w:rPr>
      </w:pPr>
      <w:r w:rsidRPr="00082CF3">
        <w:rPr>
          <w:sz w:val="24"/>
          <w:szCs w:val="24"/>
        </w:rPr>
        <w:t xml:space="preserve">Until the outbreak of the </w:t>
      </w:r>
      <w:r w:rsidR="00123033" w:rsidRPr="00082CF3">
        <w:rPr>
          <w:sz w:val="24"/>
          <w:szCs w:val="24"/>
          <w:lang w:val="en-US"/>
        </w:rPr>
        <w:t>F</w:t>
      </w:r>
      <w:proofErr w:type="spellStart"/>
      <w:r w:rsidRPr="00082CF3">
        <w:rPr>
          <w:sz w:val="24"/>
          <w:szCs w:val="24"/>
        </w:rPr>
        <w:t>irst</w:t>
      </w:r>
      <w:proofErr w:type="spellEnd"/>
      <w:r w:rsidRPr="00082CF3">
        <w:rPr>
          <w:sz w:val="24"/>
          <w:szCs w:val="24"/>
        </w:rPr>
        <w:t xml:space="preserve"> </w:t>
      </w:r>
      <w:r w:rsidR="00123033" w:rsidRPr="00082CF3">
        <w:rPr>
          <w:sz w:val="24"/>
          <w:szCs w:val="24"/>
          <w:lang w:val="en-US"/>
        </w:rPr>
        <w:t>I</w:t>
      </w:r>
      <w:proofErr w:type="spellStart"/>
      <w:r w:rsidRPr="00082CF3">
        <w:rPr>
          <w:sz w:val="24"/>
          <w:szCs w:val="24"/>
        </w:rPr>
        <w:t>ntifada</w:t>
      </w:r>
      <w:proofErr w:type="spellEnd"/>
      <w:r w:rsidRPr="00082CF3">
        <w:rPr>
          <w:sz w:val="24"/>
          <w:szCs w:val="24"/>
        </w:rPr>
        <w:t xml:space="preserve"> in December 1987, the alternative </w:t>
      </w:r>
      <w:commentRangeStart w:id="1"/>
      <w:r w:rsidRPr="00082CF3">
        <w:rPr>
          <w:sz w:val="24"/>
          <w:szCs w:val="24"/>
        </w:rPr>
        <w:t>represented</w:t>
      </w:r>
      <w:commentRangeEnd w:id="1"/>
      <w:r w:rsidR="002F7E51">
        <w:rPr>
          <w:rStyle w:val="CommentReference"/>
        </w:rPr>
        <w:commentReference w:id="1"/>
      </w:r>
      <w:r w:rsidRPr="00082CF3">
        <w:rPr>
          <w:sz w:val="24"/>
          <w:szCs w:val="24"/>
        </w:rPr>
        <w:t xml:space="preserve"> by the Muslim Brothers did not pose a significant threat to the </w:t>
      </w:r>
      <w:r w:rsidR="00123033" w:rsidRPr="00082CF3">
        <w:rPr>
          <w:sz w:val="24"/>
          <w:szCs w:val="24"/>
        </w:rPr>
        <w:t>PLO</w:t>
      </w:r>
      <w:r w:rsidR="00123033" w:rsidRPr="00082CF3">
        <w:rPr>
          <w:sz w:val="24"/>
          <w:szCs w:val="24"/>
          <w:lang w:val="en-US"/>
        </w:rPr>
        <w:t>’s</w:t>
      </w:r>
      <w:r w:rsidR="00123033" w:rsidRPr="00082CF3">
        <w:rPr>
          <w:sz w:val="24"/>
          <w:szCs w:val="24"/>
        </w:rPr>
        <w:t xml:space="preserve"> </w:t>
      </w:r>
      <w:r w:rsidRPr="00082CF3">
        <w:rPr>
          <w:sz w:val="24"/>
          <w:szCs w:val="24"/>
        </w:rPr>
        <w:t xml:space="preserve">hegemony in the Palestinian street. The organizations established during the 1970s under </w:t>
      </w:r>
      <w:r w:rsidR="00123033" w:rsidRPr="00082CF3">
        <w:rPr>
          <w:sz w:val="24"/>
          <w:szCs w:val="24"/>
        </w:rPr>
        <w:t>Sheikh Ahmed Yassin</w:t>
      </w:r>
      <w:r w:rsidR="00123033" w:rsidRPr="00082CF3">
        <w:rPr>
          <w:sz w:val="24"/>
          <w:szCs w:val="24"/>
          <w:lang w:val="en-US"/>
        </w:rPr>
        <w:t>’s</w:t>
      </w:r>
      <w:r w:rsidRPr="00082CF3">
        <w:rPr>
          <w:sz w:val="24"/>
          <w:szCs w:val="24"/>
        </w:rPr>
        <w:t xml:space="preserve"> leadership, with Al-</w:t>
      </w:r>
      <w:proofErr w:type="spellStart"/>
      <w:r w:rsidRPr="00082CF3">
        <w:rPr>
          <w:sz w:val="24"/>
          <w:szCs w:val="24"/>
        </w:rPr>
        <w:t>Jami'a</w:t>
      </w:r>
      <w:proofErr w:type="spellEnd"/>
      <w:r w:rsidRPr="00082CF3">
        <w:rPr>
          <w:sz w:val="24"/>
          <w:szCs w:val="24"/>
        </w:rPr>
        <w:t xml:space="preserve"> Al-</w:t>
      </w:r>
      <w:proofErr w:type="spellStart"/>
      <w:r w:rsidRPr="00082CF3">
        <w:rPr>
          <w:sz w:val="24"/>
          <w:szCs w:val="24"/>
        </w:rPr>
        <w:t>Islamiyya</w:t>
      </w:r>
      <w:proofErr w:type="spellEnd"/>
      <w:r w:rsidRPr="00082CF3">
        <w:rPr>
          <w:sz w:val="24"/>
          <w:szCs w:val="24"/>
        </w:rPr>
        <w:t xml:space="preserve"> (Islamic Association) and al-</w:t>
      </w:r>
      <w:proofErr w:type="spellStart"/>
      <w:r w:rsidRPr="00082CF3">
        <w:rPr>
          <w:sz w:val="24"/>
          <w:szCs w:val="24"/>
        </w:rPr>
        <w:t>Mujma</w:t>
      </w:r>
      <w:proofErr w:type="spellEnd"/>
      <w:r w:rsidRPr="00082CF3">
        <w:rPr>
          <w:sz w:val="24"/>
          <w:szCs w:val="24"/>
        </w:rPr>
        <w:t>' al-</w:t>
      </w:r>
      <w:proofErr w:type="spellStart"/>
      <w:r w:rsidRPr="00082CF3">
        <w:rPr>
          <w:sz w:val="24"/>
          <w:szCs w:val="24"/>
        </w:rPr>
        <w:t>Islami</w:t>
      </w:r>
      <w:proofErr w:type="spellEnd"/>
      <w:r w:rsidRPr="00082CF3">
        <w:rPr>
          <w:sz w:val="24"/>
          <w:szCs w:val="24"/>
        </w:rPr>
        <w:t xml:space="preserve"> (Islamic </w:t>
      </w:r>
      <w:proofErr w:type="spellStart"/>
      <w:r w:rsidRPr="00082CF3">
        <w:rPr>
          <w:sz w:val="24"/>
          <w:szCs w:val="24"/>
        </w:rPr>
        <w:t>Center</w:t>
      </w:r>
      <w:proofErr w:type="spellEnd"/>
      <w:r w:rsidRPr="00082CF3">
        <w:rPr>
          <w:sz w:val="24"/>
          <w:szCs w:val="24"/>
        </w:rPr>
        <w:t xml:space="preserve">) at the forefront, focused </w:t>
      </w:r>
      <w:r w:rsidR="001D3E1F" w:rsidRPr="00082CF3">
        <w:rPr>
          <w:sz w:val="24"/>
          <w:szCs w:val="24"/>
          <w:lang w:val="en-US"/>
        </w:rPr>
        <w:t xml:space="preserve">more </w:t>
      </w:r>
      <w:r w:rsidRPr="00082CF3">
        <w:rPr>
          <w:sz w:val="24"/>
          <w:szCs w:val="24"/>
        </w:rPr>
        <w:t xml:space="preserve">on religious and social activities (da'wah) than </w:t>
      </w:r>
      <w:r w:rsidR="00123033" w:rsidRPr="00082CF3">
        <w:rPr>
          <w:sz w:val="24"/>
          <w:szCs w:val="24"/>
          <w:lang w:val="en-US"/>
        </w:rPr>
        <w:t xml:space="preserve">on </w:t>
      </w:r>
      <w:r w:rsidRPr="00082CF3">
        <w:rPr>
          <w:sz w:val="24"/>
          <w:szCs w:val="24"/>
        </w:rPr>
        <w:t>political issues</w:t>
      </w:r>
      <w:r w:rsidR="001D3E1F" w:rsidRPr="00082CF3">
        <w:rPr>
          <w:sz w:val="24"/>
          <w:szCs w:val="24"/>
          <w:lang w:val="en-US"/>
        </w:rPr>
        <w:t>. The PLO</w:t>
      </w:r>
      <w:r w:rsidR="00F04452" w:rsidRPr="00082CF3">
        <w:rPr>
          <w:sz w:val="24"/>
          <w:szCs w:val="24"/>
          <w:lang w:val="en-US"/>
        </w:rPr>
        <w:t xml:space="preserve"> and its dominant wing, Fatah</w:t>
      </w:r>
      <w:r w:rsidR="001D3E1F" w:rsidRPr="00082CF3">
        <w:rPr>
          <w:sz w:val="24"/>
          <w:szCs w:val="24"/>
          <w:lang w:val="en-US"/>
        </w:rPr>
        <w:t xml:space="preserve">, which set the political tone, </w:t>
      </w:r>
      <w:r w:rsidRPr="00082CF3">
        <w:rPr>
          <w:sz w:val="24"/>
          <w:szCs w:val="24"/>
        </w:rPr>
        <w:t xml:space="preserve">criticized the Islamic movement </w:t>
      </w:r>
      <w:r w:rsidR="001D3E1F" w:rsidRPr="00082CF3">
        <w:rPr>
          <w:sz w:val="24"/>
          <w:szCs w:val="24"/>
          <w:lang w:val="en-US"/>
        </w:rPr>
        <w:t>for</w:t>
      </w:r>
      <w:r w:rsidR="00123033" w:rsidRPr="00082CF3">
        <w:rPr>
          <w:sz w:val="24"/>
          <w:szCs w:val="24"/>
          <w:lang w:val="en-US"/>
        </w:rPr>
        <w:t xml:space="preserve"> not doing</w:t>
      </w:r>
      <w:r w:rsidRPr="00082CF3">
        <w:rPr>
          <w:sz w:val="24"/>
          <w:szCs w:val="24"/>
        </w:rPr>
        <w:t xml:space="preserve"> enough to </w:t>
      </w:r>
      <w:r w:rsidR="001D3E1F" w:rsidRPr="00082CF3">
        <w:rPr>
          <w:sz w:val="24"/>
          <w:szCs w:val="24"/>
          <w:lang w:val="en-US"/>
        </w:rPr>
        <w:t>promote</w:t>
      </w:r>
      <w:r w:rsidRPr="00082CF3">
        <w:rPr>
          <w:sz w:val="24"/>
          <w:szCs w:val="24"/>
        </w:rPr>
        <w:t xml:space="preserve"> the Palestinian national vision.</w:t>
      </w:r>
      <w:r w:rsidRPr="00082CF3">
        <w:rPr>
          <w:rStyle w:val="FootnoteReference"/>
          <w:sz w:val="24"/>
          <w:szCs w:val="24"/>
        </w:rPr>
        <w:footnoteReference w:id="1"/>
      </w:r>
      <w:r w:rsidRPr="00082CF3">
        <w:rPr>
          <w:sz w:val="24"/>
          <w:szCs w:val="24"/>
        </w:rPr>
        <w:t xml:space="preserve"> Thus, </w:t>
      </w:r>
      <w:r w:rsidR="00123033" w:rsidRPr="00082CF3">
        <w:rPr>
          <w:sz w:val="24"/>
          <w:szCs w:val="24"/>
          <w:lang w:val="en-US"/>
        </w:rPr>
        <w:t xml:space="preserve">the sword of </w:t>
      </w:r>
      <w:r w:rsidRPr="00082CF3">
        <w:rPr>
          <w:sz w:val="24"/>
          <w:szCs w:val="24"/>
        </w:rPr>
        <w:t>the armed struggle against Israel in the years leading up to the outbreak of the intifada was wielded by other organizations, such as the Palestinian Islamic Jihad (PIJ).</w:t>
      </w:r>
      <w:r w:rsidRPr="00082CF3">
        <w:rPr>
          <w:rStyle w:val="FootnoteReference"/>
          <w:sz w:val="24"/>
          <w:szCs w:val="24"/>
          <w:rtl/>
        </w:rPr>
        <w:footnoteReference w:id="2"/>
      </w:r>
    </w:p>
    <w:p w14:paraId="390758F3" w14:textId="77777777" w:rsidR="002F7E51" w:rsidRPr="00082CF3" w:rsidRDefault="002F7E51" w:rsidP="00260951">
      <w:pPr>
        <w:spacing w:line="360" w:lineRule="auto"/>
        <w:jc w:val="both"/>
        <w:rPr>
          <w:sz w:val="24"/>
          <w:szCs w:val="24"/>
        </w:rPr>
      </w:pPr>
    </w:p>
    <w:p w14:paraId="6F0F8D92" w14:textId="2536FAEE" w:rsidR="004238FE" w:rsidRDefault="004238FE" w:rsidP="00260951">
      <w:pPr>
        <w:spacing w:line="360" w:lineRule="auto"/>
        <w:jc w:val="both"/>
        <w:rPr>
          <w:sz w:val="24"/>
          <w:szCs w:val="24"/>
        </w:rPr>
      </w:pPr>
      <w:r w:rsidRPr="00082CF3">
        <w:rPr>
          <w:sz w:val="24"/>
          <w:szCs w:val="24"/>
        </w:rPr>
        <w:t xml:space="preserve">With the onset of the </w:t>
      </w:r>
      <w:r w:rsidR="002F7E51">
        <w:rPr>
          <w:sz w:val="24"/>
          <w:szCs w:val="24"/>
          <w:lang w:val="en-US"/>
        </w:rPr>
        <w:t>I</w:t>
      </w:r>
      <w:proofErr w:type="spellStart"/>
      <w:r w:rsidRPr="00082CF3">
        <w:rPr>
          <w:sz w:val="24"/>
          <w:szCs w:val="24"/>
        </w:rPr>
        <w:t>ntifada</w:t>
      </w:r>
      <w:proofErr w:type="spellEnd"/>
      <w:r w:rsidRPr="00082CF3">
        <w:rPr>
          <w:sz w:val="24"/>
          <w:szCs w:val="24"/>
        </w:rPr>
        <w:t>, Sheikh Yassin</w:t>
      </w:r>
      <w:r w:rsidR="00C82730">
        <w:rPr>
          <w:sz w:val="24"/>
          <w:szCs w:val="24"/>
          <w:lang w:val="en-US"/>
        </w:rPr>
        <w:t>,</w:t>
      </w:r>
      <w:r w:rsidRPr="00082CF3">
        <w:rPr>
          <w:sz w:val="24"/>
          <w:szCs w:val="24"/>
        </w:rPr>
        <w:t xml:space="preserve"> </w:t>
      </w:r>
      <w:r w:rsidR="00C82730" w:rsidRPr="00082CF3">
        <w:rPr>
          <w:sz w:val="24"/>
          <w:szCs w:val="24"/>
        </w:rPr>
        <w:t xml:space="preserve">recognizing </w:t>
      </w:r>
      <w:r w:rsidR="00C82730">
        <w:rPr>
          <w:sz w:val="24"/>
          <w:szCs w:val="24"/>
          <w:lang w:val="en-US"/>
        </w:rPr>
        <w:t>the</w:t>
      </w:r>
      <w:r w:rsidR="00C82730" w:rsidRPr="00082CF3">
        <w:rPr>
          <w:sz w:val="24"/>
          <w:szCs w:val="24"/>
          <w:lang w:val="en-US"/>
        </w:rPr>
        <w:t xml:space="preserve"> emerging</w:t>
      </w:r>
      <w:r w:rsidR="00C82730" w:rsidRPr="00082CF3">
        <w:rPr>
          <w:sz w:val="24"/>
          <w:szCs w:val="24"/>
        </w:rPr>
        <w:t xml:space="preserve"> new reality, </w:t>
      </w:r>
      <w:r w:rsidRPr="00082CF3">
        <w:rPr>
          <w:sz w:val="24"/>
          <w:szCs w:val="24"/>
        </w:rPr>
        <w:t xml:space="preserve">decided to institutionalize this organizational </w:t>
      </w:r>
      <w:commentRangeStart w:id="3"/>
      <w:r w:rsidRPr="00082CF3">
        <w:rPr>
          <w:sz w:val="24"/>
          <w:szCs w:val="24"/>
        </w:rPr>
        <w:t>activity</w:t>
      </w:r>
      <w:commentRangeEnd w:id="3"/>
      <w:r w:rsidR="00C85462" w:rsidRPr="00082CF3">
        <w:rPr>
          <w:rStyle w:val="CommentReference"/>
          <w:sz w:val="24"/>
          <w:szCs w:val="24"/>
        </w:rPr>
        <w:commentReference w:id="3"/>
      </w:r>
      <w:r w:rsidRPr="00082CF3">
        <w:rPr>
          <w:sz w:val="24"/>
          <w:szCs w:val="24"/>
        </w:rPr>
        <w:t xml:space="preserve"> as a political and military force, </w:t>
      </w:r>
      <w:r w:rsidR="001D3E1F" w:rsidRPr="00082CF3">
        <w:rPr>
          <w:sz w:val="24"/>
          <w:szCs w:val="24"/>
          <w:lang w:val="en-US"/>
        </w:rPr>
        <w:t>named</w:t>
      </w:r>
      <w:r w:rsidRPr="00082CF3">
        <w:rPr>
          <w:sz w:val="24"/>
          <w:szCs w:val="24"/>
        </w:rPr>
        <w:t xml:space="preserve"> Hamas (an acronym for Harakat al-</w:t>
      </w:r>
      <w:proofErr w:type="spellStart"/>
      <w:r w:rsidRPr="00082CF3">
        <w:rPr>
          <w:sz w:val="24"/>
          <w:szCs w:val="24"/>
        </w:rPr>
        <w:t>Moqawmah</w:t>
      </w:r>
      <w:proofErr w:type="spellEnd"/>
      <w:r w:rsidRPr="00082CF3">
        <w:rPr>
          <w:sz w:val="24"/>
          <w:szCs w:val="24"/>
        </w:rPr>
        <w:t xml:space="preserve"> al-</w:t>
      </w:r>
      <w:proofErr w:type="spellStart"/>
      <w:r w:rsidRPr="00082CF3">
        <w:rPr>
          <w:sz w:val="24"/>
          <w:szCs w:val="24"/>
        </w:rPr>
        <w:t>Islamiah</w:t>
      </w:r>
      <w:proofErr w:type="spellEnd"/>
      <w:r w:rsidRPr="00082CF3">
        <w:rPr>
          <w:sz w:val="24"/>
          <w:szCs w:val="24"/>
        </w:rPr>
        <w:t xml:space="preserve">, meaning the Islamic Resistance Movement). In essence, this movement competed with the operations of the United National Leadership (UNL), which </w:t>
      </w:r>
      <w:r w:rsidR="001D3E1F" w:rsidRPr="00082CF3">
        <w:rPr>
          <w:sz w:val="24"/>
          <w:szCs w:val="24"/>
          <w:lang w:val="en-US"/>
        </w:rPr>
        <w:t>unified</w:t>
      </w:r>
      <w:r w:rsidRPr="00082CF3">
        <w:rPr>
          <w:sz w:val="24"/>
          <w:szCs w:val="24"/>
        </w:rPr>
        <w:t xml:space="preserve"> several Palestinian organizations under the </w:t>
      </w:r>
      <w:r w:rsidR="003A62D6" w:rsidRPr="00082CF3">
        <w:rPr>
          <w:sz w:val="24"/>
          <w:szCs w:val="24"/>
        </w:rPr>
        <w:t xml:space="preserve">PLO </w:t>
      </w:r>
      <w:proofErr w:type="gramStart"/>
      <w:r w:rsidRPr="00082CF3">
        <w:rPr>
          <w:sz w:val="24"/>
          <w:szCs w:val="24"/>
        </w:rPr>
        <w:t>authority</w:t>
      </w:r>
      <w:r w:rsidR="003A62D6" w:rsidRPr="00082CF3">
        <w:rPr>
          <w:sz w:val="24"/>
          <w:szCs w:val="24"/>
          <w:lang w:val="en-US"/>
        </w:rPr>
        <w:t>’s</w:t>
      </w:r>
      <w:proofErr w:type="gramEnd"/>
      <w:r w:rsidR="003A62D6" w:rsidRPr="00082CF3">
        <w:rPr>
          <w:sz w:val="24"/>
          <w:szCs w:val="24"/>
          <w:lang w:val="en-US"/>
        </w:rPr>
        <w:t xml:space="preserve"> in order to dictate the course of</w:t>
      </w:r>
      <w:r w:rsidRPr="00082CF3">
        <w:rPr>
          <w:sz w:val="24"/>
          <w:szCs w:val="24"/>
        </w:rPr>
        <w:t xml:space="preserve"> uprising</w:t>
      </w:r>
      <w:r w:rsidR="00C85462" w:rsidRPr="00082CF3">
        <w:rPr>
          <w:sz w:val="24"/>
          <w:szCs w:val="24"/>
          <w:lang w:val="en-US"/>
        </w:rPr>
        <w:t>s and other acts of resistance.</w:t>
      </w:r>
      <w:r w:rsidRPr="00082CF3">
        <w:rPr>
          <w:sz w:val="24"/>
          <w:szCs w:val="24"/>
        </w:rPr>
        <w:t xml:space="preserve"> Hamas operated </w:t>
      </w:r>
      <w:r w:rsidR="003A62D6" w:rsidRPr="00082CF3">
        <w:rPr>
          <w:sz w:val="24"/>
          <w:szCs w:val="24"/>
          <w:lang w:val="en-US"/>
        </w:rPr>
        <w:t xml:space="preserve">in </w:t>
      </w:r>
      <w:r w:rsidRPr="00082CF3">
        <w:rPr>
          <w:sz w:val="24"/>
          <w:szCs w:val="24"/>
        </w:rPr>
        <w:t>parallel to</w:t>
      </w:r>
      <w:r w:rsidR="00C85462" w:rsidRPr="00082CF3">
        <w:rPr>
          <w:sz w:val="24"/>
          <w:szCs w:val="24"/>
          <w:lang w:val="en-US"/>
        </w:rPr>
        <w:t xml:space="preserve"> the </w:t>
      </w:r>
      <w:commentRangeStart w:id="4"/>
      <w:r w:rsidR="00C85462" w:rsidRPr="00082CF3">
        <w:rPr>
          <w:sz w:val="24"/>
          <w:szCs w:val="24"/>
          <w:lang w:val="en-US"/>
        </w:rPr>
        <w:t>UNL</w:t>
      </w:r>
      <w:commentRangeEnd w:id="4"/>
      <w:r w:rsidR="00C85462" w:rsidRPr="00082CF3">
        <w:rPr>
          <w:rStyle w:val="CommentReference"/>
          <w:sz w:val="24"/>
          <w:szCs w:val="24"/>
        </w:rPr>
        <w:commentReference w:id="4"/>
      </w:r>
      <w:r w:rsidR="00C85462" w:rsidRPr="00082CF3">
        <w:rPr>
          <w:sz w:val="24"/>
          <w:szCs w:val="24"/>
          <w:lang w:val="en-US"/>
        </w:rPr>
        <w:t>,</w:t>
      </w:r>
      <w:r w:rsidRPr="00082CF3">
        <w:rPr>
          <w:sz w:val="24"/>
          <w:szCs w:val="24"/>
        </w:rPr>
        <w:t xml:space="preserve"> employing similar methods, encouraging protest</w:t>
      </w:r>
      <w:r w:rsidR="003A62D6" w:rsidRPr="00082CF3">
        <w:rPr>
          <w:sz w:val="24"/>
          <w:szCs w:val="24"/>
          <w:lang w:val="en-US"/>
        </w:rPr>
        <w:t>s</w:t>
      </w:r>
      <w:r w:rsidRPr="00082CF3">
        <w:rPr>
          <w:sz w:val="24"/>
          <w:szCs w:val="24"/>
        </w:rPr>
        <w:t xml:space="preserve">, and disseminating </w:t>
      </w:r>
      <w:commentRangeStart w:id="5"/>
      <w:r w:rsidR="000C1821" w:rsidRPr="00082CF3">
        <w:rPr>
          <w:sz w:val="24"/>
          <w:szCs w:val="24"/>
          <w:lang w:val="en-US"/>
        </w:rPr>
        <w:t>inspir</w:t>
      </w:r>
      <w:r w:rsidR="00C82730">
        <w:rPr>
          <w:sz w:val="24"/>
          <w:szCs w:val="24"/>
          <w:lang w:val="en-US"/>
        </w:rPr>
        <w:t>ational</w:t>
      </w:r>
      <w:commentRangeEnd w:id="5"/>
      <w:r w:rsidR="00C82730">
        <w:rPr>
          <w:rStyle w:val="CommentReference"/>
        </w:rPr>
        <w:commentReference w:id="5"/>
      </w:r>
      <w:r w:rsidRPr="00082CF3">
        <w:rPr>
          <w:sz w:val="24"/>
          <w:szCs w:val="24"/>
        </w:rPr>
        <w:t xml:space="preserve"> propaganda through leaflets, sometimes incorporating </w:t>
      </w:r>
      <w:commentRangeStart w:id="6"/>
      <w:r w:rsidRPr="00082CF3">
        <w:rPr>
          <w:sz w:val="24"/>
          <w:szCs w:val="24"/>
        </w:rPr>
        <w:t>rival</w:t>
      </w:r>
      <w:commentRangeEnd w:id="6"/>
      <w:r w:rsidR="000C1821" w:rsidRPr="00082CF3">
        <w:rPr>
          <w:rStyle w:val="CommentReference"/>
          <w:sz w:val="24"/>
          <w:szCs w:val="24"/>
        </w:rPr>
        <w:commentReference w:id="6"/>
      </w:r>
      <w:r w:rsidRPr="00082CF3">
        <w:rPr>
          <w:sz w:val="24"/>
          <w:szCs w:val="24"/>
        </w:rPr>
        <w:t xml:space="preserve"> and provocative messages against UNL</w:t>
      </w:r>
      <w:r w:rsidR="003A62D6" w:rsidRPr="00082CF3">
        <w:rPr>
          <w:sz w:val="24"/>
          <w:szCs w:val="24"/>
          <w:lang w:val="en-US"/>
        </w:rPr>
        <w:t xml:space="preserve"> policies</w:t>
      </w:r>
      <w:r w:rsidRPr="00082CF3">
        <w:rPr>
          <w:sz w:val="24"/>
          <w:szCs w:val="24"/>
        </w:rPr>
        <w:t>.</w:t>
      </w:r>
      <w:r w:rsidRPr="00082CF3">
        <w:rPr>
          <w:rStyle w:val="FootnoteReference"/>
          <w:sz w:val="24"/>
          <w:szCs w:val="24"/>
        </w:rPr>
        <w:footnoteReference w:id="3"/>
      </w:r>
    </w:p>
    <w:p w14:paraId="0099EB60" w14:textId="77777777" w:rsidR="00C82730" w:rsidRPr="00082CF3" w:rsidRDefault="00C82730" w:rsidP="00260951">
      <w:pPr>
        <w:spacing w:line="360" w:lineRule="auto"/>
        <w:jc w:val="both"/>
        <w:rPr>
          <w:sz w:val="24"/>
          <w:szCs w:val="24"/>
        </w:rPr>
      </w:pPr>
    </w:p>
    <w:p w14:paraId="42B70064" w14:textId="5509FBD5" w:rsidR="004238FE" w:rsidRPr="007735FB" w:rsidRDefault="004238FE" w:rsidP="00260951">
      <w:pPr>
        <w:spacing w:line="360" w:lineRule="auto"/>
        <w:jc w:val="both"/>
        <w:rPr>
          <w:sz w:val="24"/>
          <w:szCs w:val="24"/>
        </w:rPr>
      </w:pPr>
      <w:r w:rsidRPr="00082CF3">
        <w:rPr>
          <w:sz w:val="24"/>
          <w:szCs w:val="24"/>
        </w:rPr>
        <w:lastRenderedPageBreak/>
        <w:t xml:space="preserve">In the first year of the </w:t>
      </w:r>
      <w:r w:rsidR="00C82730">
        <w:rPr>
          <w:sz w:val="24"/>
          <w:szCs w:val="24"/>
          <w:lang w:val="en-US"/>
        </w:rPr>
        <w:t>I</w:t>
      </w:r>
      <w:proofErr w:type="spellStart"/>
      <w:r w:rsidRPr="00082CF3">
        <w:rPr>
          <w:sz w:val="24"/>
          <w:szCs w:val="24"/>
        </w:rPr>
        <w:t>ntifada</w:t>
      </w:r>
      <w:proofErr w:type="spellEnd"/>
      <w:r w:rsidRPr="00082CF3">
        <w:rPr>
          <w:sz w:val="24"/>
          <w:szCs w:val="24"/>
        </w:rPr>
        <w:t>, the conflict between the PLO and Ham</w:t>
      </w:r>
      <w:r w:rsidR="000C1821" w:rsidRPr="00082CF3">
        <w:rPr>
          <w:sz w:val="24"/>
          <w:szCs w:val="24"/>
          <w:lang w:val="en-US"/>
        </w:rPr>
        <w:t>a</w:t>
      </w:r>
      <w:r w:rsidRPr="00082CF3">
        <w:rPr>
          <w:sz w:val="24"/>
          <w:szCs w:val="24"/>
        </w:rPr>
        <w:t xml:space="preserve">s was </w:t>
      </w:r>
      <w:r w:rsidR="003A62D6" w:rsidRPr="00082CF3">
        <w:rPr>
          <w:sz w:val="24"/>
          <w:szCs w:val="24"/>
          <w:lang w:val="en-US"/>
        </w:rPr>
        <w:t>mainly</w:t>
      </w:r>
      <w:r w:rsidRPr="00082CF3">
        <w:rPr>
          <w:sz w:val="24"/>
          <w:szCs w:val="24"/>
        </w:rPr>
        <w:t xml:space="preserve"> </w:t>
      </w:r>
      <w:r w:rsidR="003A62D6" w:rsidRPr="00082CF3">
        <w:rPr>
          <w:sz w:val="24"/>
          <w:szCs w:val="24"/>
        </w:rPr>
        <w:t xml:space="preserve">ideological and </w:t>
      </w:r>
      <w:r w:rsidRPr="00082CF3">
        <w:rPr>
          <w:sz w:val="24"/>
          <w:szCs w:val="24"/>
        </w:rPr>
        <w:t xml:space="preserve">declarative, with each side emphasizing its own </w:t>
      </w:r>
      <w:r w:rsidR="000C1821" w:rsidRPr="00082CF3">
        <w:rPr>
          <w:sz w:val="24"/>
          <w:szCs w:val="24"/>
          <w:lang w:val="en-US"/>
        </w:rPr>
        <w:t>role</w:t>
      </w:r>
      <w:r w:rsidRPr="00082CF3">
        <w:rPr>
          <w:sz w:val="24"/>
          <w:szCs w:val="24"/>
        </w:rPr>
        <w:t xml:space="preserve"> and worldview in </w:t>
      </w:r>
      <w:r w:rsidR="000C1821" w:rsidRPr="00082CF3">
        <w:rPr>
          <w:sz w:val="24"/>
          <w:szCs w:val="24"/>
          <w:lang w:val="en-US"/>
        </w:rPr>
        <w:t>their</w:t>
      </w:r>
      <w:r w:rsidR="003A62D6" w:rsidRPr="00082CF3">
        <w:rPr>
          <w:sz w:val="24"/>
          <w:szCs w:val="24"/>
          <w:lang w:val="en-US"/>
        </w:rPr>
        <w:t xml:space="preserve"> efforts</w:t>
      </w:r>
      <w:r w:rsidRPr="00082CF3">
        <w:rPr>
          <w:sz w:val="24"/>
          <w:szCs w:val="24"/>
        </w:rPr>
        <w:t xml:space="preserve"> to gain Palestinian society</w:t>
      </w:r>
      <w:r w:rsidR="003A62D6" w:rsidRPr="00082CF3">
        <w:rPr>
          <w:sz w:val="24"/>
          <w:szCs w:val="24"/>
          <w:lang w:val="en-US"/>
        </w:rPr>
        <w:t>’s support</w:t>
      </w:r>
      <w:r w:rsidRPr="00082CF3">
        <w:rPr>
          <w:sz w:val="24"/>
          <w:szCs w:val="24"/>
        </w:rPr>
        <w:t xml:space="preserve">. However, throughout this year, there were also a number of symbolic acts or intentional physical harm </w:t>
      </w:r>
      <w:r w:rsidR="00C82730">
        <w:rPr>
          <w:sz w:val="24"/>
          <w:szCs w:val="24"/>
          <w:lang w:val="en-US"/>
        </w:rPr>
        <w:t>directed against Hamas members</w:t>
      </w:r>
      <w:r w:rsidRPr="00082CF3">
        <w:rPr>
          <w:sz w:val="24"/>
          <w:szCs w:val="24"/>
        </w:rPr>
        <w:t xml:space="preserve"> by the PLO. For example, during a demonstration in June 1988 in </w:t>
      </w:r>
      <w:proofErr w:type="spellStart"/>
      <w:r w:rsidRPr="00082CF3">
        <w:rPr>
          <w:sz w:val="24"/>
          <w:szCs w:val="24"/>
        </w:rPr>
        <w:t>Jabalia</w:t>
      </w:r>
      <w:proofErr w:type="spellEnd"/>
      <w:r w:rsidRPr="00082CF3">
        <w:rPr>
          <w:sz w:val="24"/>
          <w:szCs w:val="24"/>
        </w:rPr>
        <w:t xml:space="preserve"> (the Gaza Strip), </w:t>
      </w:r>
      <w:proofErr w:type="gramStart"/>
      <w:r w:rsidR="000C1821" w:rsidRPr="00082CF3">
        <w:rPr>
          <w:sz w:val="24"/>
          <w:szCs w:val="24"/>
        </w:rPr>
        <w:t>Hamas</w:t>
      </w:r>
      <w:proofErr w:type="gramEnd"/>
      <w:r w:rsidR="000C1821" w:rsidRPr="00082CF3">
        <w:rPr>
          <w:sz w:val="24"/>
          <w:szCs w:val="24"/>
        </w:rPr>
        <w:t xml:space="preserve"> </w:t>
      </w:r>
      <w:r w:rsidRPr="00082CF3">
        <w:rPr>
          <w:sz w:val="24"/>
          <w:szCs w:val="24"/>
        </w:rPr>
        <w:t xml:space="preserve">supporters burned pictures of Arafat. </w:t>
      </w:r>
      <w:r w:rsidR="00AE682C" w:rsidRPr="00082CF3">
        <w:rPr>
          <w:sz w:val="24"/>
          <w:szCs w:val="24"/>
          <w:lang w:val="en-US"/>
        </w:rPr>
        <w:t xml:space="preserve">On another occasion, </w:t>
      </w:r>
      <w:r w:rsidR="00864477" w:rsidRPr="00082CF3">
        <w:rPr>
          <w:sz w:val="24"/>
          <w:szCs w:val="24"/>
        </w:rPr>
        <w:t xml:space="preserve">Hamas planned </w:t>
      </w:r>
      <w:r w:rsidRPr="00082CF3">
        <w:rPr>
          <w:sz w:val="24"/>
          <w:szCs w:val="24"/>
        </w:rPr>
        <w:t>a violent procession to ambush PLO members upon their release from prison</w:t>
      </w:r>
      <w:r w:rsidR="00AE682C" w:rsidRPr="00082CF3">
        <w:rPr>
          <w:sz w:val="24"/>
          <w:szCs w:val="24"/>
          <w:lang w:val="en-US"/>
        </w:rPr>
        <w:t>,</w:t>
      </w:r>
      <w:r w:rsidRPr="00082CF3">
        <w:rPr>
          <w:sz w:val="24"/>
          <w:szCs w:val="24"/>
        </w:rPr>
        <w:t xml:space="preserve"> </w:t>
      </w:r>
      <w:r w:rsidR="00C82730">
        <w:rPr>
          <w:sz w:val="24"/>
          <w:szCs w:val="24"/>
          <w:lang w:val="en-US"/>
        </w:rPr>
        <w:t xml:space="preserve">but </w:t>
      </w:r>
      <w:r w:rsidR="00864477" w:rsidRPr="00082CF3">
        <w:rPr>
          <w:sz w:val="24"/>
          <w:szCs w:val="24"/>
          <w:lang w:val="en-US"/>
        </w:rPr>
        <w:t>it was called off</w:t>
      </w:r>
      <w:r w:rsidRPr="00082CF3">
        <w:rPr>
          <w:sz w:val="24"/>
          <w:szCs w:val="24"/>
        </w:rPr>
        <w:t xml:space="preserve"> at the last moment. </w:t>
      </w:r>
      <w:r w:rsidR="00AE682C" w:rsidRPr="00082CF3">
        <w:rPr>
          <w:sz w:val="24"/>
          <w:szCs w:val="24"/>
          <w:lang w:val="en-US"/>
        </w:rPr>
        <w:t>Despite these ongoing tensions and conflicts,</w:t>
      </w:r>
      <w:r w:rsidRPr="00082CF3">
        <w:rPr>
          <w:sz w:val="24"/>
          <w:szCs w:val="24"/>
        </w:rPr>
        <w:t xml:space="preserve"> a full-</w:t>
      </w:r>
      <w:r w:rsidR="00864477" w:rsidRPr="00082CF3">
        <w:rPr>
          <w:sz w:val="24"/>
          <w:szCs w:val="24"/>
          <w:lang w:val="en-US"/>
        </w:rPr>
        <w:t>blown</w:t>
      </w:r>
      <w:r w:rsidRPr="00082CF3">
        <w:rPr>
          <w:sz w:val="24"/>
          <w:szCs w:val="24"/>
        </w:rPr>
        <w:t xml:space="preserve"> confrontation did not erupt at this time. The PLO </w:t>
      </w:r>
      <w:r w:rsidR="00864477" w:rsidRPr="00082CF3">
        <w:rPr>
          <w:sz w:val="24"/>
          <w:szCs w:val="24"/>
          <w:lang w:val="en-US"/>
        </w:rPr>
        <w:t xml:space="preserve">recognized </w:t>
      </w:r>
      <w:r w:rsidRPr="00082CF3">
        <w:rPr>
          <w:sz w:val="24"/>
          <w:szCs w:val="24"/>
        </w:rPr>
        <w:t xml:space="preserve">that it was </w:t>
      </w:r>
      <w:r w:rsidR="00AE682C" w:rsidRPr="00082CF3">
        <w:rPr>
          <w:sz w:val="24"/>
          <w:szCs w:val="24"/>
          <w:lang w:val="en-US"/>
        </w:rPr>
        <w:t>facing</w:t>
      </w:r>
      <w:r w:rsidRPr="00082CF3">
        <w:rPr>
          <w:sz w:val="24"/>
          <w:szCs w:val="24"/>
        </w:rPr>
        <w:t xml:space="preserve"> a rising force, which</w:t>
      </w:r>
      <w:r w:rsidR="00864477" w:rsidRPr="00082CF3">
        <w:rPr>
          <w:sz w:val="24"/>
          <w:szCs w:val="24"/>
          <w:lang w:val="en-US"/>
        </w:rPr>
        <w:t>, in their view, received support</w:t>
      </w:r>
      <w:r w:rsidRPr="00082CF3">
        <w:rPr>
          <w:sz w:val="24"/>
          <w:szCs w:val="24"/>
        </w:rPr>
        <w:t xml:space="preserve"> even </w:t>
      </w:r>
      <w:r w:rsidR="00864477" w:rsidRPr="00082CF3">
        <w:rPr>
          <w:sz w:val="24"/>
          <w:szCs w:val="24"/>
          <w:lang w:val="en-US"/>
        </w:rPr>
        <w:t>from</w:t>
      </w:r>
      <w:r w:rsidRPr="00082CF3">
        <w:rPr>
          <w:sz w:val="24"/>
          <w:szCs w:val="24"/>
        </w:rPr>
        <w:t xml:space="preserve"> external </w:t>
      </w:r>
      <w:r w:rsidR="00864477" w:rsidRPr="00082CF3">
        <w:rPr>
          <w:sz w:val="24"/>
          <w:szCs w:val="24"/>
          <w:lang w:val="en-US"/>
        </w:rPr>
        <w:t>agents</w:t>
      </w:r>
      <w:r w:rsidRPr="00082CF3">
        <w:rPr>
          <w:sz w:val="24"/>
          <w:szCs w:val="24"/>
        </w:rPr>
        <w:t>. According to the PLO, Israel turned a blind eye to Hamas</w:t>
      </w:r>
      <w:r w:rsidR="004A0FA5">
        <w:rPr>
          <w:sz w:val="24"/>
          <w:szCs w:val="24"/>
          <w:lang w:val="en-US"/>
        </w:rPr>
        <w:t>’</w:t>
      </w:r>
      <w:r w:rsidR="00C774B7" w:rsidRPr="00082CF3">
        <w:rPr>
          <w:sz w:val="24"/>
          <w:szCs w:val="24"/>
          <w:lang w:val="en-US"/>
        </w:rPr>
        <w:t>s</w:t>
      </w:r>
      <w:r w:rsidRPr="00082CF3">
        <w:rPr>
          <w:sz w:val="24"/>
          <w:szCs w:val="24"/>
        </w:rPr>
        <w:t xml:space="preserve"> activities in order to allow it to strengthen</w:t>
      </w:r>
      <w:r w:rsidR="00C774B7" w:rsidRPr="00082CF3">
        <w:rPr>
          <w:sz w:val="24"/>
          <w:szCs w:val="24"/>
          <w:lang w:val="en-US"/>
        </w:rPr>
        <w:t xml:space="preserve"> to the point that the </w:t>
      </w:r>
      <w:r w:rsidR="00C774B7" w:rsidRPr="00082CF3">
        <w:rPr>
          <w:sz w:val="24"/>
          <w:szCs w:val="24"/>
        </w:rPr>
        <w:t>Palestinian streets</w:t>
      </w:r>
      <w:r w:rsidR="00C774B7" w:rsidRPr="00082CF3" w:rsidDel="00C774B7">
        <w:rPr>
          <w:sz w:val="24"/>
          <w:szCs w:val="24"/>
        </w:rPr>
        <w:t xml:space="preserve"> </w:t>
      </w:r>
      <w:r w:rsidR="00C774B7" w:rsidRPr="00082CF3">
        <w:rPr>
          <w:sz w:val="24"/>
          <w:szCs w:val="24"/>
          <w:lang w:val="en-US"/>
        </w:rPr>
        <w:t>would be awash in a</w:t>
      </w:r>
      <w:r w:rsidRPr="00082CF3">
        <w:rPr>
          <w:sz w:val="24"/>
          <w:szCs w:val="24"/>
        </w:rPr>
        <w:t xml:space="preserve"> fratricidal war</w:t>
      </w:r>
      <w:r w:rsidR="00F04452" w:rsidRPr="00082CF3">
        <w:rPr>
          <w:sz w:val="24"/>
          <w:szCs w:val="24"/>
          <w:lang w:val="en-US"/>
        </w:rPr>
        <w:t>.</w:t>
      </w:r>
      <w:r w:rsidRPr="00082CF3">
        <w:rPr>
          <w:sz w:val="24"/>
          <w:szCs w:val="24"/>
        </w:rPr>
        <w:t xml:space="preserve"> The PLO </w:t>
      </w:r>
      <w:r w:rsidR="008A25DE" w:rsidRPr="00082CF3">
        <w:rPr>
          <w:sz w:val="24"/>
          <w:szCs w:val="24"/>
          <w:lang w:val="en-US"/>
        </w:rPr>
        <w:t>also gathered</w:t>
      </w:r>
      <w:r w:rsidR="00F04452" w:rsidRPr="00082CF3">
        <w:rPr>
          <w:sz w:val="24"/>
          <w:szCs w:val="24"/>
          <w:lang w:val="en-US"/>
        </w:rPr>
        <w:t xml:space="preserve"> </w:t>
      </w:r>
      <w:r w:rsidRPr="00082CF3">
        <w:rPr>
          <w:sz w:val="24"/>
          <w:szCs w:val="24"/>
        </w:rPr>
        <w:t xml:space="preserve">evidence that even </w:t>
      </w:r>
      <w:commentRangeStart w:id="8"/>
      <w:r w:rsidRPr="00082CF3">
        <w:rPr>
          <w:sz w:val="24"/>
          <w:szCs w:val="24"/>
        </w:rPr>
        <w:t>Jordan</w:t>
      </w:r>
      <w:commentRangeEnd w:id="8"/>
      <w:r w:rsidR="00C82730">
        <w:rPr>
          <w:rStyle w:val="CommentReference"/>
        </w:rPr>
        <w:commentReference w:id="8"/>
      </w:r>
      <w:r w:rsidRPr="00082CF3">
        <w:rPr>
          <w:sz w:val="24"/>
          <w:szCs w:val="24"/>
        </w:rPr>
        <w:t xml:space="preserve">, under </w:t>
      </w:r>
      <w:r w:rsidR="008A25DE" w:rsidRPr="00082CF3">
        <w:rPr>
          <w:sz w:val="24"/>
          <w:szCs w:val="24"/>
        </w:rPr>
        <w:t>King Hussein</w:t>
      </w:r>
      <w:r w:rsidR="008A25DE" w:rsidRPr="00082CF3">
        <w:rPr>
          <w:sz w:val="24"/>
          <w:szCs w:val="24"/>
          <w:lang w:val="en-US"/>
        </w:rPr>
        <w:t>’s</w:t>
      </w:r>
      <w:r w:rsidRPr="00082CF3">
        <w:rPr>
          <w:sz w:val="24"/>
          <w:szCs w:val="24"/>
        </w:rPr>
        <w:t xml:space="preserve"> leadership</w:t>
      </w:r>
      <w:r w:rsidR="00F04452" w:rsidRPr="00082CF3">
        <w:rPr>
          <w:sz w:val="24"/>
          <w:szCs w:val="24"/>
          <w:lang w:val="en-US"/>
        </w:rPr>
        <w:t>,</w:t>
      </w:r>
      <w:r w:rsidRPr="00082CF3">
        <w:rPr>
          <w:sz w:val="24"/>
          <w:szCs w:val="24"/>
        </w:rPr>
        <w:t xml:space="preserve"> </w:t>
      </w:r>
      <w:r w:rsidR="008A25DE" w:rsidRPr="00082CF3">
        <w:rPr>
          <w:sz w:val="24"/>
          <w:szCs w:val="24"/>
          <w:lang w:val="en-US"/>
        </w:rPr>
        <w:t>supported and stood by</w:t>
      </w:r>
      <w:r w:rsidRPr="00082CF3">
        <w:rPr>
          <w:sz w:val="24"/>
          <w:szCs w:val="24"/>
        </w:rPr>
        <w:t xml:space="preserve"> Hamas.</w:t>
      </w:r>
      <w:r w:rsidRPr="00082CF3">
        <w:rPr>
          <w:rStyle w:val="FootnoteReference"/>
          <w:sz w:val="24"/>
          <w:szCs w:val="24"/>
          <w:rtl/>
        </w:rPr>
        <w:footnoteReference w:id="4"/>
      </w:r>
    </w:p>
    <w:p w14:paraId="524F9814" w14:textId="77777777" w:rsidR="007735FB" w:rsidRPr="00082CF3" w:rsidRDefault="007735FB" w:rsidP="00260951">
      <w:pPr>
        <w:spacing w:line="360" w:lineRule="auto"/>
        <w:jc w:val="both"/>
        <w:rPr>
          <w:sz w:val="24"/>
          <w:szCs w:val="24"/>
          <w:rtl/>
        </w:rPr>
      </w:pPr>
    </w:p>
    <w:p w14:paraId="249F5FBB" w14:textId="57CE290D" w:rsidR="008A25DE" w:rsidRDefault="004238FE" w:rsidP="00815B3F">
      <w:pPr>
        <w:spacing w:line="360" w:lineRule="auto"/>
        <w:jc w:val="both"/>
        <w:rPr>
          <w:sz w:val="24"/>
          <w:szCs w:val="24"/>
        </w:rPr>
      </w:pPr>
      <w:r w:rsidRPr="00082CF3">
        <w:rPr>
          <w:sz w:val="24"/>
          <w:szCs w:val="24"/>
        </w:rPr>
        <w:t xml:space="preserve">In light of </w:t>
      </w:r>
      <w:r w:rsidR="008A25DE" w:rsidRPr="00082CF3">
        <w:rPr>
          <w:sz w:val="24"/>
          <w:szCs w:val="24"/>
          <w:lang w:val="en-US"/>
        </w:rPr>
        <w:t>these circumstances,</w:t>
      </w:r>
      <w:r w:rsidRPr="00082CF3">
        <w:rPr>
          <w:sz w:val="24"/>
          <w:szCs w:val="24"/>
        </w:rPr>
        <w:t xml:space="preserve"> the PLO began </w:t>
      </w:r>
      <w:r w:rsidR="008A25DE" w:rsidRPr="00082CF3">
        <w:rPr>
          <w:sz w:val="24"/>
          <w:szCs w:val="24"/>
          <w:lang w:val="en-US"/>
        </w:rPr>
        <w:t>to take steps</w:t>
      </w:r>
      <w:r w:rsidRPr="00082CF3">
        <w:rPr>
          <w:sz w:val="24"/>
          <w:szCs w:val="24"/>
        </w:rPr>
        <w:t xml:space="preserve"> to mitigate the perceived </w:t>
      </w:r>
      <w:r w:rsidR="00C774B7" w:rsidRPr="00082CF3">
        <w:rPr>
          <w:sz w:val="24"/>
          <w:szCs w:val="24"/>
        </w:rPr>
        <w:t xml:space="preserve">threat </w:t>
      </w:r>
      <w:r w:rsidRPr="00082CF3">
        <w:rPr>
          <w:sz w:val="24"/>
          <w:szCs w:val="24"/>
        </w:rPr>
        <w:t xml:space="preserve">from Hamas. </w:t>
      </w:r>
      <w:r w:rsidR="00C774B7" w:rsidRPr="00082CF3">
        <w:rPr>
          <w:sz w:val="24"/>
          <w:szCs w:val="24"/>
          <w:lang w:val="en-US"/>
        </w:rPr>
        <w:t xml:space="preserve">Its activities encompassed three central </w:t>
      </w:r>
      <w:r w:rsidR="00F04452" w:rsidRPr="00082CF3">
        <w:rPr>
          <w:sz w:val="24"/>
          <w:szCs w:val="24"/>
          <w:lang w:val="en-US"/>
        </w:rPr>
        <w:t>strategies</w:t>
      </w:r>
      <w:commentRangeStart w:id="10"/>
      <w:commentRangeEnd w:id="10"/>
      <w:r w:rsidR="00DB2AC5" w:rsidRPr="00082CF3">
        <w:rPr>
          <w:rStyle w:val="CommentReference"/>
        </w:rPr>
        <w:commentReference w:id="10"/>
      </w:r>
      <w:r w:rsidR="00C774B7" w:rsidRPr="00082CF3">
        <w:rPr>
          <w:sz w:val="24"/>
          <w:szCs w:val="24"/>
          <w:lang w:val="en-US"/>
        </w:rPr>
        <w:t xml:space="preserve">. </w:t>
      </w:r>
      <w:r w:rsidRPr="00082CF3">
        <w:rPr>
          <w:sz w:val="24"/>
          <w:szCs w:val="24"/>
        </w:rPr>
        <w:t xml:space="preserve">The first </w:t>
      </w:r>
      <w:r w:rsidR="00F04452" w:rsidRPr="00082CF3">
        <w:rPr>
          <w:sz w:val="24"/>
          <w:szCs w:val="24"/>
          <w:lang w:val="en-US"/>
        </w:rPr>
        <w:t>involved the PLO trying</w:t>
      </w:r>
      <w:r w:rsidRPr="00082CF3">
        <w:rPr>
          <w:sz w:val="24"/>
          <w:szCs w:val="24"/>
        </w:rPr>
        <w:t xml:space="preserve"> </w:t>
      </w:r>
      <w:r w:rsidR="009E3073" w:rsidRPr="00082CF3">
        <w:rPr>
          <w:sz w:val="24"/>
          <w:szCs w:val="24"/>
          <w:lang w:val="en-US"/>
        </w:rPr>
        <w:t>to exert</w:t>
      </w:r>
      <w:r w:rsidRPr="00082CF3">
        <w:rPr>
          <w:sz w:val="24"/>
          <w:szCs w:val="24"/>
        </w:rPr>
        <w:t xml:space="preserve"> influence through external </w:t>
      </w:r>
      <w:r w:rsidR="00F04452" w:rsidRPr="00082CF3">
        <w:rPr>
          <w:sz w:val="24"/>
          <w:szCs w:val="24"/>
          <w:lang w:val="en-US"/>
        </w:rPr>
        <w:t>agents</w:t>
      </w:r>
      <w:r w:rsidRPr="00082CF3">
        <w:rPr>
          <w:sz w:val="24"/>
          <w:szCs w:val="24"/>
        </w:rPr>
        <w:t>, primarily the Muslim Brotherhood, the parent movement of Hamas.</w:t>
      </w:r>
      <w:r w:rsidRPr="00082CF3">
        <w:rPr>
          <w:rStyle w:val="FootnoteReference"/>
          <w:sz w:val="24"/>
          <w:szCs w:val="24"/>
        </w:rPr>
        <w:footnoteReference w:id="5"/>
      </w:r>
      <w:r w:rsidRPr="00082CF3">
        <w:rPr>
          <w:sz w:val="24"/>
          <w:szCs w:val="24"/>
        </w:rPr>
        <w:t xml:space="preserve"> Sheikh Yassin and his associates were in contact with the movement</w:t>
      </w:r>
      <w:r w:rsidR="004A0FA5">
        <w:rPr>
          <w:sz w:val="24"/>
          <w:szCs w:val="24"/>
          <w:lang w:val="en-US"/>
        </w:rPr>
        <w:t>’</w:t>
      </w:r>
      <w:r w:rsidRPr="00082CF3">
        <w:rPr>
          <w:sz w:val="24"/>
          <w:szCs w:val="24"/>
        </w:rPr>
        <w:t xml:space="preserve">s leaders </w:t>
      </w:r>
      <w:r w:rsidR="008A25DE" w:rsidRPr="00082CF3">
        <w:rPr>
          <w:sz w:val="24"/>
          <w:szCs w:val="24"/>
          <w:lang w:val="en-US"/>
        </w:rPr>
        <w:t>overseas</w:t>
      </w:r>
      <w:r w:rsidRPr="00082CF3">
        <w:rPr>
          <w:sz w:val="24"/>
          <w:szCs w:val="24"/>
        </w:rPr>
        <w:t xml:space="preserve"> to seek their blessing and </w:t>
      </w:r>
      <w:r w:rsidR="008A25DE" w:rsidRPr="00082CF3">
        <w:rPr>
          <w:sz w:val="24"/>
          <w:szCs w:val="24"/>
          <w:lang w:val="en-US"/>
        </w:rPr>
        <w:t>guidance</w:t>
      </w:r>
      <w:r w:rsidRPr="00082CF3">
        <w:rPr>
          <w:sz w:val="24"/>
          <w:szCs w:val="24"/>
        </w:rPr>
        <w:t xml:space="preserve"> for the </w:t>
      </w:r>
      <w:r w:rsidR="008A25DE" w:rsidRPr="00082CF3">
        <w:rPr>
          <w:sz w:val="24"/>
          <w:szCs w:val="24"/>
          <w:lang w:val="en-US"/>
        </w:rPr>
        <w:t>burgeoning</w:t>
      </w:r>
      <w:r w:rsidRPr="00082CF3">
        <w:rPr>
          <w:sz w:val="24"/>
          <w:szCs w:val="24"/>
        </w:rPr>
        <w:t xml:space="preserve"> activities of the </w:t>
      </w:r>
      <w:r w:rsidR="009E3073" w:rsidRPr="00082CF3">
        <w:rPr>
          <w:sz w:val="24"/>
          <w:szCs w:val="24"/>
          <w:lang w:val="en-US"/>
        </w:rPr>
        <w:t xml:space="preserve">Hamas </w:t>
      </w:r>
      <w:r w:rsidRPr="00082CF3">
        <w:rPr>
          <w:sz w:val="24"/>
          <w:szCs w:val="24"/>
        </w:rPr>
        <w:t xml:space="preserve">movement. </w:t>
      </w:r>
      <w:r w:rsidR="009E3073" w:rsidRPr="00082CF3">
        <w:rPr>
          <w:sz w:val="24"/>
          <w:szCs w:val="24"/>
          <w:lang w:val="en-US"/>
        </w:rPr>
        <w:t>In response,</w:t>
      </w:r>
      <w:r w:rsidRPr="00082CF3">
        <w:rPr>
          <w:sz w:val="24"/>
          <w:szCs w:val="24"/>
        </w:rPr>
        <w:t xml:space="preserve"> Arafat</w:t>
      </w:r>
      <w:r w:rsidR="004A0FA5">
        <w:rPr>
          <w:sz w:val="24"/>
          <w:szCs w:val="24"/>
          <w:lang w:val="en-US"/>
        </w:rPr>
        <w:t>’</w:t>
      </w:r>
      <w:r w:rsidRPr="00082CF3">
        <w:rPr>
          <w:sz w:val="24"/>
          <w:szCs w:val="24"/>
        </w:rPr>
        <w:t xml:space="preserve">s associates reached out to religious and political leaders of the Muslim Brotherhood in Jordan, seeking their </w:t>
      </w:r>
      <w:r w:rsidR="008A25DE" w:rsidRPr="00082CF3">
        <w:rPr>
          <w:sz w:val="24"/>
          <w:szCs w:val="24"/>
          <w:lang w:val="en-US"/>
        </w:rPr>
        <w:t>help in moderating</w:t>
      </w:r>
      <w:r w:rsidRPr="00082CF3">
        <w:rPr>
          <w:sz w:val="24"/>
          <w:szCs w:val="24"/>
        </w:rPr>
        <w:t xml:space="preserve"> </w:t>
      </w:r>
      <w:proofErr w:type="gramStart"/>
      <w:r w:rsidRPr="00082CF3">
        <w:rPr>
          <w:sz w:val="24"/>
          <w:szCs w:val="24"/>
        </w:rPr>
        <w:t>Hamas</w:t>
      </w:r>
      <w:proofErr w:type="gramEnd"/>
      <w:r w:rsidRPr="00082CF3">
        <w:rPr>
          <w:sz w:val="24"/>
          <w:szCs w:val="24"/>
        </w:rPr>
        <w:t xml:space="preserve"> activities, but their efforts were </w:t>
      </w:r>
      <w:r w:rsidR="008A25DE" w:rsidRPr="00082CF3">
        <w:rPr>
          <w:sz w:val="24"/>
          <w:szCs w:val="24"/>
          <w:lang w:val="en-US"/>
        </w:rPr>
        <w:t>fruitless</w:t>
      </w:r>
      <w:r w:rsidRPr="00082CF3">
        <w:rPr>
          <w:sz w:val="24"/>
          <w:szCs w:val="24"/>
        </w:rPr>
        <w:t xml:space="preserve">. </w:t>
      </w:r>
    </w:p>
    <w:p w14:paraId="1C0E2D43" w14:textId="77777777" w:rsidR="00E62DED" w:rsidRPr="00082CF3" w:rsidRDefault="00E62DED" w:rsidP="00815B3F">
      <w:pPr>
        <w:spacing w:line="360" w:lineRule="auto"/>
        <w:jc w:val="both"/>
        <w:rPr>
          <w:sz w:val="24"/>
          <w:szCs w:val="24"/>
        </w:rPr>
      </w:pPr>
    </w:p>
    <w:p w14:paraId="0196DAF7" w14:textId="7C0CE399" w:rsidR="004238FE" w:rsidRPr="00082CF3" w:rsidRDefault="004238FE" w:rsidP="00555731">
      <w:pPr>
        <w:spacing w:line="360" w:lineRule="auto"/>
        <w:jc w:val="both"/>
        <w:rPr>
          <w:sz w:val="24"/>
          <w:szCs w:val="24"/>
          <w:rtl/>
        </w:rPr>
      </w:pPr>
      <w:r w:rsidRPr="00082CF3">
        <w:rPr>
          <w:sz w:val="24"/>
          <w:szCs w:val="24"/>
        </w:rPr>
        <w:t>Similar appeals to the leaders of the Muslim Brotherhood in Egypt, however,</w:t>
      </w:r>
      <w:r w:rsidR="008A25DE" w:rsidRPr="00082CF3">
        <w:rPr>
          <w:sz w:val="24"/>
          <w:szCs w:val="24"/>
          <w:lang w:val="en-US"/>
        </w:rPr>
        <w:t xml:space="preserve"> were met with</w:t>
      </w:r>
      <w:r w:rsidRPr="00082CF3">
        <w:rPr>
          <w:sz w:val="24"/>
          <w:szCs w:val="24"/>
        </w:rPr>
        <w:t xml:space="preserve"> a positive response, and the latter even took practical steps</w:t>
      </w:r>
      <w:r w:rsidR="008A25DE" w:rsidRPr="00082CF3">
        <w:rPr>
          <w:sz w:val="24"/>
          <w:szCs w:val="24"/>
          <w:lang w:val="en-US"/>
        </w:rPr>
        <w:t>. These included</w:t>
      </w:r>
      <w:r w:rsidRPr="00082CF3">
        <w:rPr>
          <w:sz w:val="24"/>
          <w:szCs w:val="24"/>
        </w:rPr>
        <w:t xml:space="preserve"> recognizing the PLO as the legitimate representative of the Palestinian struggle and mobilizing funds and volunteers for </w:t>
      </w:r>
      <w:r w:rsidR="00555731" w:rsidRPr="00082CF3">
        <w:rPr>
          <w:sz w:val="24"/>
          <w:szCs w:val="24"/>
          <w:lang w:val="en-US"/>
        </w:rPr>
        <w:t>the organization</w:t>
      </w:r>
      <w:r w:rsidRPr="00082CF3">
        <w:rPr>
          <w:sz w:val="24"/>
          <w:szCs w:val="24"/>
        </w:rPr>
        <w:t>. The Hamas leadership had to</w:t>
      </w:r>
      <w:r w:rsidR="00260951" w:rsidRPr="00082CF3">
        <w:rPr>
          <w:sz w:val="24"/>
          <w:szCs w:val="24"/>
          <w:lang w:val="en-US"/>
        </w:rPr>
        <w:t xml:space="preserve"> </w:t>
      </w:r>
      <w:r w:rsidR="00260951" w:rsidRPr="00082CF3">
        <w:rPr>
          <w:sz w:val="24"/>
          <w:szCs w:val="24"/>
          <w:lang w:val="en-US"/>
        </w:rPr>
        <w:lastRenderedPageBreak/>
        <w:t>consider</w:t>
      </w:r>
      <w:r w:rsidRPr="00082CF3">
        <w:rPr>
          <w:sz w:val="24"/>
          <w:szCs w:val="24"/>
        </w:rPr>
        <w:t xml:space="preserve"> this policy of the Muslim Brotherhood leadership in Egypt</w:t>
      </w:r>
      <w:r w:rsidR="00260951" w:rsidRPr="00082CF3">
        <w:rPr>
          <w:sz w:val="24"/>
          <w:szCs w:val="24"/>
          <w:lang w:val="en-US"/>
        </w:rPr>
        <w:t>, which</w:t>
      </w:r>
      <w:r w:rsidRPr="00082CF3">
        <w:rPr>
          <w:sz w:val="24"/>
          <w:szCs w:val="24"/>
        </w:rPr>
        <w:t xml:space="preserve"> slightly diminished the intensity of the confrontations with the PLO. It is worth noting that Arafat</w:t>
      </w:r>
      <w:r w:rsidR="004A0FA5">
        <w:rPr>
          <w:sz w:val="24"/>
          <w:szCs w:val="24"/>
          <w:lang w:val="en-US"/>
        </w:rPr>
        <w:t>’</w:t>
      </w:r>
      <w:r w:rsidRPr="00082CF3">
        <w:rPr>
          <w:sz w:val="24"/>
          <w:szCs w:val="24"/>
        </w:rPr>
        <w:t xml:space="preserve">s attempt to </w:t>
      </w:r>
      <w:r w:rsidR="004A0FA5">
        <w:rPr>
          <w:sz w:val="24"/>
          <w:szCs w:val="24"/>
          <w:lang w:val="en-US"/>
        </w:rPr>
        <w:t>“</w:t>
      </w:r>
      <w:r w:rsidRPr="00082CF3">
        <w:rPr>
          <w:sz w:val="24"/>
          <w:szCs w:val="24"/>
        </w:rPr>
        <w:t>chase</w:t>
      </w:r>
      <w:r w:rsidR="00260951" w:rsidRPr="00082CF3">
        <w:rPr>
          <w:sz w:val="24"/>
          <w:szCs w:val="24"/>
          <w:lang w:val="en-US"/>
        </w:rPr>
        <w:t>”</w:t>
      </w:r>
      <w:r w:rsidRPr="00082CF3">
        <w:rPr>
          <w:sz w:val="24"/>
          <w:szCs w:val="24"/>
        </w:rPr>
        <w:t xml:space="preserve"> after Hamas raised concerns among his leftist allies, </w:t>
      </w:r>
      <w:r w:rsidR="00260951" w:rsidRPr="00082CF3">
        <w:rPr>
          <w:sz w:val="24"/>
          <w:szCs w:val="24"/>
          <w:lang w:val="en-US"/>
        </w:rPr>
        <w:t>including</w:t>
      </w:r>
      <w:r w:rsidRPr="00082CF3">
        <w:rPr>
          <w:sz w:val="24"/>
          <w:szCs w:val="24"/>
        </w:rPr>
        <w:t xml:space="preserve"> the communists, who expected Arafat to lead the resistance against Hamas and feared that he might abandon their alliance in </w:t>
      </w:r>
      <w:proofErr w:type="spellStart"/>
      <w:r w:rsidRPr="00082CF3">
        <w:rPr>
          <w:sz w:val="24"/>
          <w:szCs w:val="24"/>
        </w:rPr>
        <w:t>favor</w:t>
      </w:r>
      <w:proofErr w:type="spellEnd"/>
      <w:r w:rsidRPr="00082CF3">
        <w:rPr>
          <w:sz w:val="24"/>
          <w:szCs w:val="24"/>
        </w:rPr>
        <w:t xml:space="preserve"> of cooperation with Hamas.</w:t>
      </w:r>
      <w:r w:rsidRPr="00082CF3">
        <w:rPr>
          <w:rStyle w:val="FootnoteReference"/>
          <w:sz w:val="24"/>
          <w:szCs w:val="24"/>
          <w:rtl/>
        </w:rPr>
        <w:footnoteReference w:id="6"/>
      </w:r>
    </w:p>
    <w:p w14:paraId="25FB38B4" w14:textId="77777777" w:rsidR="004238FE" w:rsidRPr="00082CF3" w:rsidRDefault="004238FE" w:rsidP="00082CF3">
      <w:pPr>
        <w:widowControl w:val="0"/>
        <w:pBdr>
          <w:top w:val="nil"/>
          <w:left w:val="nil"/>
          <w:bottom w:val="nil"/>
          <w:right w:val="nil"/>
          <w:between w:val="nil"/>
        </w:pBdr>
        <w:spacing w:line="360" w:lineRule="auto"/>
        <w:rPr>
          <w:color w:val="000000"/>
          <w:sz w:val="24"/>
          <w:szCs w:val="24"/>
        </w:rPr>
      </w:pPr>
    </w:p>
    <w:p w14:paraId="2D5C032A" w14:textId="0E88DE37" w:rsidR="0018044F" w:rsidRPr="007735FB" w:rsidRDefault="00641E8F" w:rsidP="00260951">
      <w:pPr>
        <w:widowControl w:val="0"/>
        <w:pBdr>
          <w:top w:val="nil"/>
          <w:left w:val="nil"/>
          <w:bottom w:val="nil"/>
          <w:right w:val="nil"/>
          <w:between w:val="nil"/>
        </w:pBdr>
        <w:spacing w:line="360" w:lineRule="auto"/>
        <w:rPr>
          <w:color w:val="000000"/>
          <w:sz w:val="24"/>
          <w:szCs w:val="24"/>
        </w:rPr>
      </w:pPr>
      <w:bookmarkStart w:id="11" w:name="_Hlk141220294"/>
      <w:bookmarkStart w:id="12" w:name="_Hlk141340420"/>
      <w:r w:rsidRPr="00082CF3">
        <w:rPr>
          <w:color w:val="000000"/>
          <w:sz w:val="24"/>
          <w:szCs w:val="24"/>
        </w:rPr>
        <w:t xml:space="preserve">The second </w:t>
      </w:r>
      <w:r w:rsidR="00F04452" w:rsidRPr="00082CF3">
        <w:rPr>
          <w:color w:val="000000"/>
          <w:sz w:val="24"/>
          <w:szCs w:val="24"/>
          <w:lang w:val="en-US"/>
        </w:rPr>
        <w:t>strategy involved</w:t>
      </w:r>
      <w:r w:rsidR="00815B3F" w:rsidRPr="00082CF3">
        <w:rPr>
          <w:color w:val="000000"/>
          <w:sz w:val="24"/>
          <w:szCs w:val="24"/>
          <w:lang w:val="en-US"/>
        </w:rPr>
        <w:t xml:space="preserve"> efforts to make</w:t>
      </w:r>
      <w:r w:rsidRPr="00082CF3">
        <w:rPr>
          <w:color w:val="000000"/>
          <w:sz w:val="24"/>
          <w:szCs w:val="24"/>
        </w:rPr>
        <w:t xml:space="preserve"> direct contact with Hamas. For </w:t>
      </w:r>
      <w:r w:rsidR="00555731" w:rsidRPr="00082CF3">
        <w:rPr>
          <w:color w:val="000000"/>
          <w:sz w:val="24"/>
          <w:szCs w:val="24"/>
          <w:lang w:val="en-US"/>
        </w:rPr>
        <w:t xml:space="preserve">example, </w:t>
      </w:r>
      <w:r w:rsidRPr="00082CF3">
        <w:rPr>
          <w:color w:val="000000"/>
          <w:sz w:val="24"/>
          <w:szCs w:val="24"/>
        </w:rPr>
        <w:t xml:space="preserve">upon his release from an Israeli prison in 1988, </w:t>
      </w:r>
      <w:r w:rsidR="00555731" w:rsidRPr="00082CF3">
        <w:rPr>
          <w:color w:val="000000"/>
          <w:sz w:val="24"/>
          <w:szCs w:val="24"/>
          <w:lang w:val="en-US"/>
        </w:rPr>
        <w:t xml:space="preserve">Faisal Husseini, a Fatah leader, entered into discussions </w:t>
      </w:r>
      <w:r w:rsidRPr="00082CF3">
        <w:rPr>
          <w:color w:val="000000"/>
          <w:sz w:val="24"/>
          <w:szCs w:val="24"/>
        </w:rPr>
        <w:t xml:space="preserve">with Islamic entities in Jerusalem to </w:t>
      </w:r>
      <w:r w:rsidR="00555731" w:rsidRPr="00082CF3">
        <w:rPr>
          <w:color w:val="000000"/>
          <w:sz w:val="24"/>
          <w:szCs w:val="24"/>
          <w:lang w:val="en-US"/>
        </w:rPr>
        <w:t xml:space="preserve">formulate </w:t>
      </w:r>
      <w:r w:rsidRPr="00082CF3">
        <w:rPr>
          <w:color w:val="000000"/>
          <w:sz w:val="24"/>
          <w:szCs w:val="24"/>
        </w:rPr>
        <w:t>a cooperation plan.</w:t>
      </w:r>
      <w:r w:rsidR="008B533E" w:rsidRPr="00082CF3">
        <w:rPr>
          <w:rStyle w:val="FootnoteReference"/>
          <w:color w:val="000000"/>
          <w:sz w:val="24"/>
          <w:szCs w:val="24"/>
        </w:rPr>
        <w:footnoteReference w:id="7"/>
      </w:r>
      <w:r w:rsidRPr="00082CF3">
        <w:rPr>
          <w:color w:val="000000"/>
          <w:sz w:val="24"/>
          <w:szCs w:val="24"/>
        </w:rPr>
        <w:t xml:space="preserve"> From the summer of 1988, political </w:t>
      </w:r>
      <w:r w:rsidR="00667A43" w:rsidRPr="00082CF3">
        <w:rPr>
          <w:color w:val="000000"/>
          <w:sz w:val="24"/>
          <w:szCs w:val="24"/>
          <w:lang w:val="en-US"/>
        </w:rPr>
        <w:t>discussions</w:t>
      </w:r>
      <w:commentRangeStart w:id="13"/>
      <w:commentRangeEnd w:id="13"/>
      <w:r w:rsidR="00667A43" w:rsidRPr="00082CF3">
        <w:rPr>
          <w:rStyle w:val="CommentReference"/>
        </w:rPr>
        <w:commentReference w:id="13"/>
      </w:r>
      <w:r w:rsidRPr="00082CF3">
        <w:rPr>
          <w:color w:val="000000"/>
          <w:sz w:val="24"/>
          <w:szCs w:val="24"/>
        </w:rPr>
        <w:t xml:space="preserve"> began </w:t>
      </w:r>
      <w:r w:rsidR="0018044F" w:rsidRPr="00082CF3">
        <w:rPr>
          <w:color w:val="000000"/>
          <w:sz w:val="24"/>
          <w:szCs w:val="24"/>
          <w:lang w:val="en-US"/>
        </w:rPr>
        <w:t>t</w:t>
      </w:r>
      <w:r w:rsidR="00555731" w:rsidRPr="00082CF3">
        <w:rPr>
          <w:color w:val="000000"/>
          <w:sz w:val="24"/>
          <w:szCs w:val="24"/>
          <w:lang w:val="en-US"/>
        </w:rPr>
        <w:t>ak</w:t>
      </w:r>
      <w:r w:rsidR="0018044F" w:rsidRPr="00082CF3">
        <w:rPr>
          <w:color w:val="000000"/>
          <w:sz w:val="24"/>
          <w:szCs w:val="24"/>
          <w:lang w:val="en-US"/>
        </w:rPr>
        <w:t>ing</w:t>
      </w:r>
      <w:r w:rsidR="00555731" w:rsidRPr="00082CF3">
        <w:rPr>
          <w:color w:val="000000"/>
          <w:sz w:val="24"/>
          <w:szCs w:val="24"/>
          <w:lang w:val="en-US"/>
        </w:rPr>
        <w:t xml:space="preserve"> shape</w:t>
      </w:r>
      <w:r w:rsidRPr="00082CF3">
        <w:rPr>
          <w:color w:val="000000"/>
          <w:sz w:val="24"/>
          <w:szCs w:val="24"/>
        </w:rPr>
        <w:t xml:space="preserve"> between the Palestinians and Israel. These contacts were revealed when a plan </w:t>
      </w:r>
      <w:r w:rsidR="0018044F" w:rsidRPr="00082CF3">
        <w:rPr>
          <w:color w:val="000000"/>
          <w:sz w:val="24"/>
          <w:szCs w:val="24"/>
          <w:lang w:val="en-US"/>
        </w:rPr>
        <w:t>of</w:t>
      </w:r>
      <w:r w:rsidRPr="00082CF3">
        <w:rPr>
          <w:color w:val="000000"/>
          <w:sz w:val="24"/>
          <w:szCs w:val="24"/>
        </w:rPr>
        <w:t xml:space="preserve"> Faisal </w:t>
      </w:r>
      <w:proofErr w:type="gramStart"/>
      <w:r w:rsidRPr="00082CF3">
        <w:rPr>
          <w:color w:val="000000"/>
          <w:sz w:val="24"/>
          <w:szCs w:val="24"/>
        </w:rPr>
        <w:t xml:space="preserve">Husseini </w:t>
      </w:r>
      <w:r w:rsidR="0018044F" w:rsidRPr="00082CF3">
        <w:rPr>
          <w:color w:val="000000"/>
          <w:sz w:val="24"/>
          <w:szCs w:val="24"/>
          <w:lang w:val="en-US"/>
        </w:rPr>
        <w:t xml:space="preserve"> for</w:t>
      </w:r>
      <w:proofErr w:type="gramEnd"/>
      <w:r w:rsidR="0018044F" w:rsidRPr="00082CF3">
        <w:rPr>
          <w:color w:val="000000"/>
          <w:sz w:val="24"/>
          <w:szCs w:val="24"/>
          <w:lang w:val="en-US"/>
        </w:rPr>
        <w:t xml:space="preserve"> establishing a </w:t>
      </w:r>
      <w:r w:rsidRPr="00082CF3">
        <w:rPr>
          <w:color w:val="000000"/>
          <w:sz w:val="24"/>
          <w:szCs w:val="24"/>
        </w:rPr>
        <w:t>Palestinian state in the territories of Judea, Samaria, and the Gaza Strip</w:t>
      </w:r>
      <w:r w:rsidR="00E62DED">
        <w:rPr>
          <w:color w:val="000000"/>
          <w:sz w:val="24"/>
          <w:szCs w:val="24"/>
          <w:lang w:val="en-US"/>
        </w:rPr>
        <w:t>,</w:t>
      </w:r>
      <w:r w:rsidRPr="00082CF3">
        <w:rPr>
          <w:color w:val="000000"/>
          <w:sz w:val="24"/>
          <w:szCs w:val="24"/>
        </w:rPr>
        <w:t xml:space="preserve"> with an exiled government</w:t>
      </w:r>
      <w:r w:rsidR="00E62DED">
        <w:rPr>
          <w:color w:val="000000"/>
          <w:sz w:val="24"/>
          <w:szCs w:val="24"/>
          <w:lang w:val="en-US"/>
        </w:rPr>
        <w:t>,</w:t>
      </w:r>
      <w:r w:rsidR="0018044F" w:rsidRPr="00082CF3">
        <w:rPr>
          <w:color w:val="000000"/>
          <w:sz w:val="24"/>
          <w:szCs w:val="24"/>
          <w:lang w:val="en-US"/>
        </w:rPr>
        <w:t xml:space="preserve"> became known</w:t>
      </w:r>
      <w:r w:rsidRPr="00082CF3">
        <w:rPr>
          <w:color w:val="000000"/>
          <w:sz w:val="24"/>
          <w:szCs w:val="24"/>
        </w:rPr>
        <w:t xml:space="preserve">. </w:t>
      </w:r>
    </w:p>
    <w:p w14:paraId="4250932B" w14:textId="77777777" w:rsidR="008177A0" w:rsidRPr="00082CF3" w:rsidRDefault="008177A0" w:rsidP="008177A0">
      <w:pPr>
        <w:widowControl w:val="0"/>
        <w:pBdr>
          <w:top w:val="nil"/>
          <w:left w:val="nil"/>
          <w:bottom w:val="nil"/>
          <w:right w:val="nil"/>
          <w:between w:val="nil"/>
        </w:pBdr>
        <w:spacing w:line="360" w:lineRule="auto"/>
        <w:rPr>
          <w:color w:val="000000"/>
          <w:sz w:val="24"/>
          <w:szCs w:val="24"/>
        </w:rPr>
      </w:pPr>
    </w:p>
    <w:p w14:paraId="00000003" w14:textId="3CB9B86F" w:rsidR="00CF554D" w:rsidRPr="00082CF3" w:rsidRDefault="00641E8F" w:rsidP="00260951">
      <w:pPr>
        <w:widowControl w:val="0"/>
        <w:pBdr>
          <w:top w:val="nil"/>
          <w:left w:val="nil"/>
          <w:bottom w:val="nil"/>
          <w:right w:val="nil"/>
          <w:between w:val="nil"/>
        </w:pBdr>
        <w:spacing w:line="360" w:lineRule="auto"/>
        <w:rPr>
          <w:color w:val="000000"/>
          <w:sz w:val="24"/>
          <w:szCs w:val="24"/>
        </w:rPr>
      </w:pPr>
      <w:r w:rsidRPr="00082CF3">
        <w:rPr>
          <w:color w:val="000000"/>
          <w:sz w:val="24"/>
          <w:szCs w:val="24"/>
        </w:rPr>
        <w:t>In May 1989, the Israeli government presented a plan for an agreement under which elections would be held among the Palestinian population</w:t>
      </w:r>
      <w:r w:rsidR="00D30FD2" w:rsidRPr="00082CF3">
        <w:rPr>
          <w:color w:val="000000"/>
          <w:sz w:val="24"/>
          <w:szCs w:val="24"/>
          <w:lang w:val="en-US"/>
        </w:rPr>
        <w:t>. Its</w:t>
      </w:r>
      <w:r w:rsidRPr="00082CF3">
        <w:rPr>
          <w:color w:val="000000"/>
          <w:sz w:val="24"/>
          <w:szCs w:val="24"/>
        </w:rPr>
        <w:t xml:space="preserve"> results would determine a mutually agreed</w:t>
      </w:r>
      <w:r w:rsidR="0018044F" w:rsidRPr="00082CF3">
        <w:rPr>
          <w:color w:val="000000"/>
          <w:sz w:val="24"/>
          <w:szCs w:val="24"/>
          <w:lang w:val="en-US"/>
        </w:rPr>
        <w:t xml:space="preserve"> upon</w:t>
      </w:r>
      <w:r w:rsidRPr="00082CF3">
        <w:rPr>
          <w:color w:val="000000"/>
          <w:sz w:val="24"/>
          <w:szCs w:val="24"/>
        </w:rPr>
        <w:t xml:space="preserve"> leadership with which Israel </w:t>
      </w:r>
      <w:r w:rsidR="00D30FD2" w:rsidRPr="00082CF3">
        <w:rPr>
          <w:color w:val="000000"/>
          <w:sz w:val="24"/>
          <w:szCs w:val="24"/>
          <w:lang w:val="en-US"/>
        </w:rPr>
        <w:t>could enter into negotiations about</w:t>
      </w:r>
      <w:r w:rsidRPr="00082CF3">
        <w:rPr>
          <w:color w:val="000000"/>
          <w:sz w:val="24"/>
          <w:szCs w:val="24"/>
        </w:rPr>
        <w:t xml:space="preserve"> a</w:t>
      </w:r>
      <w:r w:rsidR="00D30FD2" w:rsidRPr="00082CF3">
        <w:rPr>
          <w:color w:val="000000"/>
          <w:sz w:val="24"/>
          <w:szCs w:val="24"/>
          <w:lang w:val="en-US"/>
        </w:rPr>
        <w:t xml:space="preserve"> settlement</w:t>
      </w:r>
      <w:r w:rsidRPr="00082CF3">
        <w:rPr>
          <w:color w:val="000000"/>
          <w:sz w:val="24"/>
          <w:szCs w:val="24"/>
        </w:rPr>
        <w:t xml:space="preserve">. </w:t>
      </w:r>
      <w:r w:rsidR="00D30FD2" w:rsidRPr="00082CF3">
        <w:rPr>
          <w:color w:val="000000"/>
          <w:sz w:val="24"/>
          <w:szCs w:val="24"/>
          <w:lang w:val="en-US"/>
        </w:rPr>
        <w:t>Not surprisingly</w:t>
      </w:r>
      <w:r w:rsidRPr="00082CF3">
        <w:rPr>
          <w:color w:val="000000"/>
          <w:sz w:val="24"/>
          <w:szCs w:val="24"/>
        </w:rPr>
        <w:t xml:space="preserve">, Hamas, which envisions the establishment of an Islamic state in all </w:t>
      </w:r>
      <w:r w:rsidR="00D30FD2" w:rsidRPr="00082CF3">
        <w:rPr>
          <w:color w:val="000000"/>
          <w:sz w:val="24"/>
          <w:szCs w:val="24"/>
          <w:lang w:val="en-US"/>
        </w:rPr>
        <w:t xml:space="preserve">the </w:t>
      </w:r>
      <w:r w:rsidRPr="00082CF3">
        <w:rPr>
          <w:color w:val="000000"/>
          <w:sz w:val="24"/>
          <w:szCs w:val="24"/>
        </w:rPr>
        <w:t xml:space="preserve">Palestinian territories, vehemently opposed these </w:t>
      </w:r>
      <w:r w:rsidR="00D30FD2" w:rsidRPr="00082CF3">
        <w:rPr>
          <w:color w:val="000000"/>
          <w:sz w:val="24"/>
          <w:szCs w:val="24"/>
          <w:lang w:val="en-US"/>
        </w:rPr>
        <w:t>moves</w:t>
      </w:r>
      <w:r w:rsidRPr="00082CF3">
        <w:rPr>
          <w:color w:val="000000"/>
          <w:sz w:val="24"/>
          <w:szCs w:val="24"/>
        </w:rPr>
        <w:t xml:space="preserve">. Arafat </w:t>
      </w:r>
      <w:r w:rsidR="00D30FD2" w:rsidRPr="00082CF3">
        <w:rPr>
          <w:color w:val="000000"/>
          <w:sz w:val="24"/>
          <w:szCs w:val="24"/>
          <w:lang w:val="en-US"/>
        </w:rPr>
        <w:t>recognized</w:t>
      </w:r>
      <w:r w:rsidRPr="00082CF3">
        <w:rPr>
          <w:color w:val="000000"/>
          <w:sz w:val="24"/>
          <w:szCs w:val="24"/>
        </w:rPr>
        <w:t xml:space="preserve"> that he had to include Hamas in any agreed-upon plan, </w:t>
      </w:r>
      <w:r w:rsidR="00D30FD2" w:rsidRPr="00082CF3">
        <w:rPr>
          <w:color w:val="000000"/>
          <w:sz w:val="24"/>
          <w:szCs w:val="24"/>
          <w:lang w:val="en-US"/>
        </w:rPr>
        <w:t>understanding that its exclusion would pose a formidable</w:t>
      </w:r>
      <w:r w:rsidR="00EA3B48" w:rsidRPr="00082CF3">
        <w:rPr>
          <w:color w:val="000000"/>
          <w:sz w:val="24"/>
          <w:szCs w:val="24"/>
          <w:lang w:val="en-US"/>
        </w:rPr>
        <w:t xml:space="preserve"> obstacle</w:t>
      </w:r>
      <w:r w:rsidRPr="00082CF3">
        <w:rPr>
          <w:color w:val="000000"/>
          <w:sz w:val="24"/>
          <w:szCs w:val="24"/>
        </w:rPr>
        <w:t xml:space="preserve"> to any progress achieved. However, he was </w:t>
      </w:r>
      <w:r w:rsidR="00EA3B48" w:rsidRPr="00082CF3">
        <w:rPr>
          <w:color w:val="000000"/>
          <w:sz w:val="24"/>
          <w:szCs w:val="24"/>
          <w:lang w:val="en-US"/>
        </w:rPr>
        <w:t>disinclined to allow</w:t>
      </w:r>
      <w:r w:rsidRPr="00082CF3">
        <w:rPr>
          <w:color w:val="000000"/>
          <w:sz w:val="24"/>
          <w:szCs w:val="24"/>
        </w:rPr>
        <w:t xml:space="preserve"> Hamas to participate in the elections</w:t>
      </w:r>
      <w:r w:rsidR="00EA3B48" w:rsidRPr="00082CF3">
        <w:rPr>
          <w:color w:val="000000"/>
          <w:sz w:val="24"/>
          <w:szCs w:val="24"/>
          <w:lang w:val="en-US"/>
        </w:rPr>
        <w:t>, fearing their potential victory</w:t>
      </w:r>
      <w:r w:rsidRPr="00082CF3">
        <w:rPr>
          <w:color w:val="000000"/>
          <w:sz w:val="24"/>
          <w:szCs w:val="24"/>
        </w:rPr>
        <w:t>.</w:t>
      </w:r>
      <w:r w:rsidR="008B533E" w:rsidRPr="00082CF3">
        <w:rPr>
          <w:rStyle w:val="FootnoteReference"/>
          <w:color w:val="000000"/>
          <w:sz w:val="24"/>
          <w:szCs w:val="24"/>
        </w:rPr>
        <w:footnoteReference w:id="8"/>
      </w:r>
    </w:p>
    <w:p w14:paraId="3FE99F26" w14:textId="77777777" w:rsidR="00D30FD2" w:rsidRPr="00082CF3" w:rsidRDefault="00D30FD2" w:rsidP="00082CF3">
      <w:pPr>
        <w:widowControl w:val="0"/>
        <w:pBdr>
          <w:top w:val="nil"/>
          <w:left w:val="nil"/>
          <w:bottom w:val="nil"/>
          <w:right w:val="nil"/>
          <w:between w:val="nil"/>
        </w:pBdr>
        <w:spacing w:line="360" w:lineRule="auto"/>
        <w:rPr>
          <w:color w:val="000000"/>
          <w:sz w:val="24"/>
          <w:szCs w:val="24"/>
        </w:rPr>
      </w:pPr>
    </w:p>
    <w:p w14:paraId="00000005" w14:textId="5D900442" w:rsidR="00CF554D" w:rsidRPr="00082CF3" w:rsidRDefault="00641E8F" w:rsidP="00260951">
      <w:pPr>
        <w:widowControl w:val="0"/>
        <w:pBdr>
          <w:top w:val="nil"/>
          <w:left w:val="nil"/>
          <w:bottom w:val="nil"/>
          <w:right w:val="nil"/>
          <w:between w:val="nil"/>
        </w:pBdr>
        <w:spacing w:line="360" w:lineRule="auto"/>
        <w:rPr>
          <w:color w:val="000000"/>
          <w:sz w:val="24"/>
          <w:szCs w:val="24"/>
        </w:rPr>
      </w:pPr>
      <w:bookmarkStart w:id="14" w:name="_Hlk141220976"/>
      <w:bookmarkEnd w:id="11"/>
      <w:r w:rsidRPr="00082CF3">
        <w:rPr>
          <w:color w:val="000000"/>
          <w:sz w:val="24"/>
          <w:szCs w:val="24"/>
        </w:rPr>
        <w:t xml:space="preserve">Therefore, Arafat sought to </w:t>
      </w:r>
      <w:commentRangeStart w:id="15"/>
      <w:r w:rsidR="00607D8B" w:rsidRPr="00082CF3">
        <w:rPr>
          <w:color w:val="000000"/>
          <w:sz w:val="24"/>
          <w:szCs w:val="24"/>
          <w:lang w:val="en-US"/>
        </w:rPr>
        <w:t>incorporate</w:t>
      </w:r>
      <w:commentRangeEnd w:id="15"/>
      <w:r w:rsidR="00607D8B" w:rsidRPr="00082CF3">
        <w:rPr>
          <w:rStyle w:val="CommentReference"/>
        </w:rPr>
        <w:commentReference w:id="15"/>
      </w:r>
      <w:r w:rsidRPr="00082CF3">
        <w:rPr>
          <w:color w:val="000000"/>
          <w:sz w:val="24"/>
          <w:szCs w:val="24"/>
        </w:rPr>
        <w:t xml:space="preserve"> Hamas under Fatah</w:t>
      </w:r>
      <w:r w:rsidR="00EA3B48" w:rsidRPr="00082CF3">
        <w:rPr>
          <w:color w:val="000000"/>
          <w:sz w:val="24"/>
          <w:szCs w:val="24"/>
          <w:lang w:val="en-US"/>
        </w:rPr>
        <w:t>’</w:t>
      </w:r>
      <w:r w:rsidRPr="00082CF3">
        <w:rPr>
          <w:color w:val="000000"/>
          <w:sz w:val="24"/>
          <w:szCs w:val="24"/>
        </w:rPr>
        <w:t xml:space="preserve">s </w:t>
      </w:r>
      <w:r w:rsidR="00EA3B48" w:rsidRPr="00082CF3">
        <w:rPr>
          <w:color w:val="000000"/>
          <w:sz w:val="24"/>
          <w:szCs w:val="24"/>
          <w:lang w:val="en-US"/>
        </w:rPr>
        <w:t>umbrella</w:t>
      </w:r>
      <w:r w:rsidRPr="00082CF3">
        <w:rPr>
          <w:color w:val="000000"/>
          <w:sz w:val="24"/>
          <w:szCs w:val="24"/>
        </w:rPr>
        <w:t xml:space="preserve">, or at least under the </w:t>
      </w:r>
      <w:proofErr w:type="spellStart"/>
      <w:r w:rsidRPr="00082CF3">
        <w:rPr>
          <w:color w:val="000000"/>
          <w:sz w:val="24"/>
          <w:szCs w:val="24"/>
        </w:rPr>
        <w:t>uni</w:t>
      </w:r>
      <w:r w:rsidR="00EA3B48" w:rsidRPr="00082CF3">
        <w:rPr>
          <w:color w:val="000000"/>
          <w:sz w:val="24"/>
          <w:szCs w:val="24"/>
          <w:lang w:val="en-US"/>
        </w:rPr>
        <w:t>fied</w:t>
      </w:r>
      <w:proofErr w:type="spellEnd"/>
      <w:r w:rsidRPr="00082CF3">
        <w:rPr>
          <w:color w:val="000000"/>
          <w:sz w:val="24"/>
          <w:szCs w:val="24"/>
        </w:rPr>
        <w:t xml:space="preserve"> leadership of the Intifada. In this context, Fatah and Hamas officials met several times around 1991, but all </w:t>
      </w:r>
      <w:r w:rsidR="00EA3B48" w:rsidRPr="00082CF3">
        <w:rPr>
          <w:color w:val="000000"/>
          <w:sz w:val="24"/>
          <w:szCs w:val="24"/>
          <w:lang w:val="en-US"/>
        </w:rPr>
        <w:t>their discussions</w:t>
      </w:r>
      <w:r w:rsidRPr="00082CF3">
        <w:rPr>
          <w:color w:val="000000"/>
          <w:sz w:val="24"/>
          <w:szCs w:val="24"/>
        </w:rPr>
        <w:t xml:space="preserve"> ended </w:t>
      </w:r>
      <w:r w:rsidR="00EA3B48" w:rsidRPr="00082CF3">
        <w:rPr>
          <w:color w:val="000000"/>
          <w:sz w:val="24"/>
          <w:szCs w:val="24"/>
          <w:lang w:val="en-US"/>
        </w:rPr>
        <w:t>without success</w:t>
      </w:r>
      <w:commentRangeStart w:id="16"/>
      <w:commentRangeEnd w:id="16"/>
      <w:r w:rsidR="000F0188" w:rsidRPr="00082CF3">
        <w:rPr>
          <w:rStyle w:val="CommentReference"/>
        </w:rPr>
        <w:commentReference w:id="16"/>
      </w:r>
      <w:r w:rsidRPr="00082CF3">
        <w:rPr>
          <w:color w:val="000000"/>
          <w:sz w:val="24"/>
          <w:szCs w:val="24"/>
        </w:rPr>
        <w:t>. Arafat</w:t>
      </w:r>
      <w:r w:rsidR="00EA3B48" w:rsidRPr="00082CF3">
        <w:rPr>
          <w:color w:val="000000"/>
          <w:sz w:val="24"/>
          <w:szCs w:val="24"/>
          <w:lang w:val="en-US"/>
        </w:rPr>
        <w:t xml:space="preserve">, </w:t>
      </w:r>
      <w:r w:rsidR="00EA3B48" w:rsidRPr="00082CF3">
        <w:rPr>
          <w:color w:val="000000"/>
          <w:sz w:val="24"/>
          <w:szCs w:val="24"/>
          <w:lang w:val="en-US"/>
        </w:rPr>
        <w:lastRenderedPageBreak/>
        <w:t>seeing</w:t>
      </w:r>
      <w:r w:rsidR="00E62DED">
        <w:rPr>
          <w:color w:val="000000"/>
          <w:sz w:val="24"/>
          <w:szCs w:val="24"/>
          <w:lang w:val="en-US"/>
        </w:rPr>
        <w:t xml:space="preserve"> </w:t>
      </w:r>
      <w:r w:rsidRPr="00082CF3">
        <w:rPr>
          <w:color w:val="000000"/>
          <w:sz w:val="24"/>
          <w:szCs w:val="24"/>
        </w:rPr>
        <w:t>Hamas</w:t>
      </w:r>
      <w:r w:rsidR="00EA3B48" w:rsidRPr="00082CF3">
        <w:rPr>
          <w:color w:val="000000"/>
          <w:sz w:val="24"/>
          <w:szCs w:val="24"/>
          <w:lang w:val="en-US"/>
        </w:rPr>
        <w:t>’s growing</w:t>
      </w:r>
      <w:r w:rsidRPr="00082CF3">
        <w:rPr>
          <w:color w:val="000000"/>
          <w:sz w:val="24"/>
          <w:szCs w:val="24"/>
        </w:rPr>
        <w:t xml:space="preserve"> public support, sought recognition for himself and Fatah as the </w:t>
      </w:r>
      <w:r w:rsidR="000F0188" w:rsidRPr="00082CF3">
        <w:rPr>
          <w:color w:val="000000"/>
          <w:sz w:val="24"/>
          <w:szCs w:val="24"/>
          <w:lang w:val="en-US"/>
        </w:rPr>
        <w:t>legitimate</w:t>
      </w:r>
      <w:r w:rsidRPr="00082CF3">
        <w:rPr>
          <w:color w:val="000000"/>
          <w:sz w:val="24"/>
          <w:szCs w:val="24"/>
        </w:rPr>
        <w:t xml:space="preserve"> representatives of the Palestinian people. This process culminated in Arafat</w:t>
      </w:r>
      <w:r w:rsidR="004A0FA5">
        <w:rPr>
          <w:color w:val="000000"/>
          <w:sz w:val="24"/>
          <w:szCs w:val="24"/>
          <w:lang w:val="en-US"/>
        </w:rPr>
        <w:t>’</w:t>
      </w:r>
      <w:r w:rsidRPr="00082CF3">
        <w:rPr>
          <w:color w:val="000000"/>
          <w:sz w:val="24"/>
          <w:szCs w:val="24"/>
        </w:rPr>
        <w:t>s agree</w:t>
      </w:r>
      <w:r w:rsidR="00B4183C">
        <w:rPr>
          <w:color w:val="000000"/>
          <w:sz w:val="24"/>
          <w:szCs w:val="24"/>
          <w:lang w:val="en-US"/>
        </w:rPr>
        <w:t>ing to</w:t>
      </w:r>
      <w:r w:rsidRPr="00082CF3">
        <w:rPr>
          <w:color w:val="000000"/>
          <w:sz w:val="24"/>
          <w:szCs w:val="24"/>
        </w:rPr>
        <w:t xml:space="preserve"> join the Jordanian delegation at the Madrid Conference in October 1991, </w:t>
      </w:r>
      <w:r w:rsidR="000F0188" w:rsidRPr="00082CF3">
        <w:rPr>
          <w:color w:val="000000"/>
          <w:sz w:val="24"/>
          <w:szCs w:val="24"/>
          <w:lang w:val="en-US"/>
        </w:rPr>
        <w:t>effectively eliminating</w:t>
      </w:r>
      <w:r w:rsidRPr="00082CF3">
        <w:rPr>
          <w:color w:val="000000"/>
          <w:sz w:val="24"/>
          <w:szCs w:val="24"/>
        </w:rPr>
        <w:t xml:space="preserve"> any possibility of reaching agreements with Hamas</w:t>
      </w:r>
      <w:bookmarkEnd w:id="14"/>
      <w:r w:rsidRPr="00082CF3">
        <w:rPr>
          <w:color w:val="000000"/>
          <w:sz w:val="24"/>
          <w:szCs w:val="24"/>
        </w:rPr>
        <w:t>.</w:t>
      </w:r>
      <w:r w:rsidR="008B533E" w:rsidRPr="00082CF3">
        <w:rPr>
          <w:rStyle w:val="FootnoteReference"/>
          <w:color w:val="000000"/>
          <w:sz w:val="24"/>
          <w:szCs w:val="24"/>
        </w:rPr>
        <w:footnoteReference w:id="9"/>
      </w:r>
    </w:p>
    <w:p w14:paraId="37BBB318" w14:textId="77777777" w:rsidR="00EA3B48" w:rsidRPr="00082CF3" w:rsidRDefault="00EA3B48" w:rsidP="00082CF3">
      <w:pPr>
        <w:widowControl w:val="0"/>
        <w:pBdr>
          <w:top w:val="nil"/>
          <w:left w:val="nil"/>
          <w:bottom w:val="nil"/>
          <w:right w:val="nil"/>
          <w:between w:val="nil"/>
        </w:pBdr>
        <w:spacing w:line="360" w:lineRule="auto"/>
        <w:rPr>
          <w:color w:val="000000"/>
          <w:sz w:val="24"/>
          <w:szCs w:val="24"/>
        </w:rPr>
      </w:pPr>
    </w:p>
    <w:p w14:paraId="00000007" w14:textId="49C14FDC" w:rsidR="00CF554D" w:rsidRPr="00082CF3" w:rsidRDefault="00B95755" w:rsidP="00082CF3">
      <w:pPr>
        <w:widowControl w:val="0"/>
        <w:pBdr>
          <w:top w:val="nil"/>
          <w:left w:val="nil"/>
          <w:bottom w:val="nil"/>
          <w:right w:val="nil"/>
          <w:between w:val="nil"/>
        </w:pBdr>
        <w:spacing w:line="360" w:lineRule="auto"/>
        <w:rPr>
          <w:color w:val="000000"/>
          <w:sz w:val="24"/>
          <w:szCs w:val="24"/>
        </w:rPr>
      </w:pPr>
      <w:bookmarkStart w:id="17" w:name="_Hlk141343755"/>
      <w:r w:rsidRPr="00082CF3">
        <w:rPr>
          <w:color w:val="000000"/>
          <w:sz w:val="24"/>
          <w:szCs w:val="24"/>
          <w:lang w:val="en-US"/>
        </w:rPr>
        <w:t>Fatah’s third strategy involved</w:t>
      </w:r>
      <w:r w:rsidRPr="00082CF3">
        <w:rPr>
          <w:color w:val="000000"/>
          <w:sz w:val="24"/>
          <w:szCs w:val="24"/>
        </w:rPr>
        <w:t xml:space="preserve"> public opposition to Hamas and its activities. For example, Fatah</w:t>
      </w:r>
      <w:r w:rsidR="00B4183C">
        <w:rPr>
          <w:color w:val="000000"/>
          <w:sz w:val="24"/>
          <w:szCs w:val="24"/>
          <w:lang w:val="en-US"/>
        </w:rPr>
        <w:t>’</w:t>
      </w:r>
      <w:r w:rsidRPr="00082CF3">
        <w:rPr>
          <w:color w:val="000000"/>
          <w:sz w:val="24"/>
          <w:szCs w:val="24"/>
        </w:rPr>
        <w:t>s unified national command</w:t>
      </w:r>
      <w:r w:rsidRPr="00082CF3">
        <w:rPr>
          <w:color w:val="000000"/>
          <w:sz w:val="24"/>
          <w:szCs w:val="24"/>
          <w:lang w:val="en-US"/>
        </w:rPr>
        <w:t>’s</w:t>
      </w:r>
      <w:r w:rsidRPr="00082CF3">
        <w:rPr>
          <w:color w:val="000000"/>
          <w:sz w:val="24"/>
          <w:szCs w:val="24"/>
        </w:rPr>
        <w:t xml:space="preserve"> Proclamation No. 25 in September 1988 specifically addresses Hamas. A</w:t>
      </w:r>
      <w:r w:rsidRPr="00082CF3">
        <w:rPr>
          <w:color w:val="000000"/>
          <w:sz w:val="24"/>
          <w:szCs w:val="24"/>
          <w:lang w:val="en-US"/>
        </w:rPr>
        <w:t>mid Hama</w:t>
      </w:r>
      <w:r w:rsidR="008177A0" w:rsidRPr="007735FB">
        <w:rPr>
          <w:color w:val="000000"/>
          <w:sz w:val="24"/>
          <w:szCs w:val="24"/>
          <w:lang w:val="en-US"/>
        </w:rPr>
        <w:t>’</w:t>
      </w:r>
      <w:r w:rsidRPr="00082CF3">
        <w:rPr>
          <w:color w:val="000000"/>
          <w:sz w:val="24"/>
          <w:szCs w:val="24"/>
          <w:lang w:val="en-US"/>
        </w:rPr>
        <w:t>s call</w:t>
      </w:r>
      <w:r w:rsidRPr="00082CF3">
        <w:rPr>
          <w:color w:val="000000"/>
          <w:sz w:val="24"/>
          <w:szCs w:val="24"/>
        </w:rPr>
        <w:t xml:space="preserve"> for a general strike on August 21, not coordinated with </w:t>
      </w:r>
      <w:r w:rsidRPr="00082CF3">
        <w:rPr>
          <w:color w:val="000000"/>
          <w:sz w:val="24"/>
          <w:szCs w:val="24"/>
          <w:lang w:val="en-US"/>
        </w:rPr>
        <w:t>Fatah’s</w:t>
      </w:r>
      <w:r w:rsidRPr="00082CF3">
        <w:rPr>
          <w:color w:val="000000"/>
          <w:sz w:val="24"/>
          <w:szCs w:val="24"/>
        </w:rPr>
        <w:t xml:space="preserve"> command,</w:t>
      </w:r>
      <w:r w:rsidRPr="00082CF3">
        <w:rPr>
          <w:rStyle w:val="FootnoteReference"/>
          <w:color w:val="000000"/>
          <w:sz w:val="24"/>
          <w:szCs w:val="24"/>
        </w:rPr>
        <w:footnoteReference w:id="10"/>
      </w:r>
      <w:r w:rsidRPr="00082CF3">
        <w:rPr>
          <w:color w:val="000000"/>
          <w:sz w:val="24"/>
          <w:szCs w:val="24"/>
        </w:rPr>
        <w:t xml:space="preserve"> Hamas </w:t>
      </w:r>
      <w:r w:rsidRPr="00082CF3">
        <w:rPr>
          <w:color w:val="000000"/>
          <w:sz w:val="24"/>
          <w:szCs w:val="24"/>
          <w:lang w:val="en-US"/>
        </w:rPr>
        <w:t>was depicted</w:t>
      </w:r>
      <w:r w:rsidRPr="00082CF3">
        <w:rPr>
          <w:color w:val="000000"/>
          <w:sz w:val="24"/>
          <w:szCs w:val="24"/>
        </w:rPr>
        <w:t xml:space="preserve"> as trying to impose its will and </w:t>
      </w:r>
      <w:r w:rsidRPr="00082CF3">
        <w:rPr>
          <w:color w:val="000000"/>
          <w:sz w:val="24"/>
          <w:szCs w:val="24"/>
          <w:lang w:val="en-US"/>
        </w:rPr>
        <w:t>agenda</w:t>
      </w:r>
      <w:r w:rsidRPr="00082CF3">
        <w:rPr>
          <w:color w:val="000000"/>
          <w:sz w:val="24"/>
          <w:szCs w:val="24"/>
        </w:rPr>
        <w:t xml:space="preserve"> on the Palestinian public, thereby </w:t>
      </w:r>
      <w:r w:rsidRPr="00082CF3">
        <w:rPr>
          <w:color w:val="000000"/>
          <w:sz w:val="24"/>
          <w:szCs w:val="24"/>
          <w:lang w:val="en-US"/>
        </w:rPr>
        <w:t>inciting</w:t>
      </w:r>
      <w:r w:rsidRPr="00082CF3">
        <w:rPr>
          <w:color w:val="000000"/>
          <w:sz w:val="24"/>
          <w:szCs w:val="24"/>
        </w:rPr>
        <w:t xml:space="preserve"> controversy and division in the struggle</w:t>
      </w:r>
      <w:r w:rsidRPr="00082CF3">
        <w:rPr>
          <w:color w:val="000000"/>
          <w:sz w:val="24"/>
          <w:szCs w:val="24"/>
          <w:lang w:val="en-US"/>
        </w:rPr>
        <w:t>, which would ultimately serve</w:t>
      </w:r>
      <w:r w:rsidRPr="00082CF3">
        <w:rPr>
          <w:color w:val="000000"/>
          <w:sz w:val="24"/>
          <w:szCs w:val="24"/>
        </w:rPr>
        <w:t xml:space="preserve"> Israeli interests. </w:t>
      </w:r>
      <w:r w:rsidRPr="00082CF3">
        <w:rPr>
          <w:color w:val="000000"/>
          <w:sz w:val="24"/>
          <w:szCs w:val="24"/>
          <w:lang w:val="en-US"/>
        </w:rPr>
        <w:t>However, Fatah’s</w:t>
      </w:r>
      <w:r w:rsidRPr="00082CF3">
        <w:rPr>
          <w:color w:val="000000"/>
          <w:sz w:val="24"/>
          <w:szCs w:val="24"/>
        </w:rPr>
        <w:t xml:space="preserve"> proclamation le</w:t>
      </w:r>
      <w:r w:rsidR="00B4183C">
        <w:rPr>
          <w:color w:val="000000"/>
          <w:sz w:val="24"/>
          <w:szCs w:val="24"/>
          <w:lang w:val="en-US"/>
        </w:rPr>
        <w:t>ft</w:t>
      </w:r>
      <w:r w:rsidRPr="00082CF3">
        <w:rPr>
          <w:color w:val="000000"/>
          <w:sz w:val="24"/>
          <w:szCs w:val="24"/>
        </w:rPr>
        <w:t xml:space="preserve"> the door open for Hamas to join the general effort and </w:t>
      </w:r>
      <w:r w:rsidRPr="00082CF3">
        <w:rPr>
          <w:color w:val="000000"/>
          <w:sz w:val="24"/>
          <w:szCs w:val="24"/>
          <w:lang w:val="en-US"/>
        </w:rPr>
        <w:t xml:space="preserve">lauded </w:t>
      </w:r>
      <w:proofErr w:type="spellStart"/>
      <w:r w:rsidRPr="00082CF3">
        <w:rPr>
          <w:color w:val="000000"/>
          <w:sz w:val="24"/>
          <w:szCs w:val="24"/>
          <w:lang w:val="en-US"/>
        </w:rPr>
        <w:t>i</w:t>
      </w:r>
      <w:proofErr w:type="spellEnd"/>
      <w:r w:rsidRPr="00082CF3">
        <w:rPr>
          <w:color w:val="000000"/>
          <w:sz w:val="24"/>
          <w:szCs w:val="24"/>
        </w:rPr>
        <w:t>mams in mosques who encourage</w:t>
      </w:r>
      <w:r w:rsidRPr="00082CF3">
        <w:rPr>
          <w:color w:val="000000"/>
          <w:sz w:val="24"/>
          <w:szCs w:val="24"/>
          <w:lang w:val="en-US"/>
        </w:rPr>
        <w:t>d</w:t>
      </w:r>
      <w:r w:rsidRPr="00082CF3">
        <w:rPr>
          <w:color w:val="000000"/>
          <w:sz w:val="24"/>
          <w:szCs w:val="24"/>
        </w:rPr>
        <w:t xml:space="preserve"> the public to </w:t>
      </w:r>
      <w:r w:rsidRPr="00082CF3">
        <w:rPr>
          <w:color w:val="000000"/>
          <w:sz w:val="24"/>
          <w:szCs w:val="24"/>
          <w:lang w:val="en-US"/>
        </w:rPr>
        <w:t>participate</w:t>
      </w:r>
      <w:r w:rsidRPr="00082CF3">
        <w:rPr>
          <w:color w:val="000000"/>
          <w:sz w:val="24"/>
          <w:szCs w:val="24"/>
        </w:rPr>
        <w:t xml:space="preserve"> in Intifada activities, attesting to Fatah</w:t>
      </w:r>
      <w:r w:rsidRPr="00082CF3">
        <w:rPr>
          <w:color w:val="000000"/>
          <w:sz w:val="24"/>
          <w:szCs w:val="24"/>
          <w:lang w:val="en-US"/>
        </w:rPr>
        <w:t>’s nuanced</w:t>
      </w:r>
      <w:r w:rsidRPr="00082CF3">
        <w:rPr>
          <w:color w:val="000000"/>
          <w:sz w:val="24"/>
          <w:szCs w:val="24"/>
        </w:rPr>
        <w:t xml:space="preserve"> approach to Hamas while isolating it from the Islamic aspect of the struggle.</w:t>
      </w:r>
      <w:r w:rsidRPr="00082CF3">
        <w:rPr>
          <w:rStyle w:val="FootnoteReference"/>
          <w:color w:val="000000"/>
          <w:sz w:val="24"/>
          <w:szCs w:val="24"/>
        </w:rPr>
        <w:footnoteReference w:id="11"/>
      </w:r>
      <w:r w:rsidRPr="00082CF3">
        <w:rPr>
          <w:color w:val="000000"/>
          <w:sz w:val="24"/>
          <w:szCs w:val="24"/>
        </w:rPr>
        <w:t xml:space="preserve"> A</w:t>
      </w:r>
      <w:r w:rsidRPr="00082CF3">
        <w:rPr>
          <w:color w:val="000000"/>
          <w:sz w:val="24"/>
          <w:szCs w:val="24"/>
          <w:lang w:val="en-US"/>
        </w:rPr>
        <w:t>dditionally</w:t>
      </w:r>
      <w:r w:rsidRPr="00082CF3">
        <w:rPr>
          <w:color w:val="000000"/>
          <w:sz w:val="24"/>
          <w:szCs w:val="24"/>
        </w:rPr>
        <w:t>, in a proclamation published in November 1988, following</w:t>
      </w:r>
      <w:r w:rsidR="009F320E" w:rsidRPr="00082CF3">
        <w:rPr>
          <w:color w:val="000000"/>
          <w:sz w:val="24"/>
          <w:szCs w:val="24"/>
          <w:lang w:val="en-US"/>
        </w:rPr>
        <w:t xml:space="preserve"> </w:t>
      </w:r>
      <w:r w:rsidRPr="00082CF3">
        <w:rPr>
          <w:color w:val="000000"/>
          <w:sz w:val="24"/>
          <w:szCs w:val="24"/>
        </w:rPr>
        <w:t xml:space="preserve">Fatah's declaration of the establishment of a Palestinian state, </w:t>
      </w:r>
      <w:r w:rsidRPr="00082CF3">
        <w:rPr>
          <w:color w:val="000000"/>
          <w:sz w:val="24"/>
          <w:szCs w:val="24"/>
          <w:lang w:val="en-US"/>
        </w:rPr>
        <w:t>Fatah criticized Hamas and urged “</w:t>
      </w:r>
      <w:r w:rsidRPr="00082CF3">
        <w:rPr>
          <w:color w:val="000000"/>
          <w:sz w:val="24"/>
          <w:szCs w:val="24"/>
        </w:rPr>
        <w:t>fundamentalist elements</w:t>
      </w:r>
      <w:r w:rsidRPr="00082CF3">
        <w:rPr>
          <w:color w:val="000000"/>
          <w:sz w:val="24"/>
          <w:szCs w:val="24"/>
          <w:lang w:val="en-US"/>
        </w:rPr>
        <w:t>”</w:t>
      </w:r>
      <w:r w:rsidRPr="00082CF3">
        <w:rPr>
          <w:color w:val="000000"/>
          <w:sz w:val="24"/>
          <w:szCs w:val="24"/>
        </w:rPr>
        <w:t xml:space="preserve"> to unite forces and </w:t>
      </w:r>
      <w:r w:rsidRPr="00082CF3">
        <w:rPr>
          <w:color w:val="000000"/>
          <w:sz w:val="24"/>
          <w:szCs w:val="24"/>
          <w:lang w:val="en-US"/>
        </w:rPr>
        <w:t>cease</w:t>
      </w:r>
      <w:r w:rsidRPr="00082CF3">
        <w:rPr>
          <w:color w:val="000000"/>
          <w:sz w:val="24"/>
          <w:szCs w:val="24"/>
        </w:rPr>
        <w:t xml:space="preserve"> acting for their personal interests,</w:t>
      </w:r>
      <w:r w:rsidRPr="00082CF3">
        <w:rPr>
          <w:color w:val="000000"/>
          <w:sz w:val="24"/>
          <w:szCs w:val="24"/>
          <w:lang w:val="en-US"/>
        </w:rPr>
        <w:t xml:space="preserve"> and instead</w:t>
      </w:r>
      <w:r w:rsidRPr="00082CF3">
        <w:rPr>
          <w:color w:val="000000"/>
          <w:sz w:val="24"/>
          <w:szCs w:val="24"/>
        </w:rPr>
        <w:t xml:space="preserve"> join the national effort led by Fatah</w:t>
      </w:r>
      <w:r w:rsidR="00641E8F" w:rsidRPr="00082CF3">
        <w:rPr>
          <w:color w:val="000000"/>
          <w:sz w:val="24"/>
          <w:szCs w:val="24"/>
        </w:rPr>
        <w:t>.</w:t>
      </w:r>
      <w:bookmarkEnd w:id="17"/>
      <w:r w:rsidR="00003C60" w:rsidRPr="00082CF3">
        <w:rPr>
          <w:rStyle w:val="FootnoteReference"/>
          <w:color w:val="000000"/>
          <w:sz w:val="24"/>
          <w:szCs w:val="24"/>
        </w:rPr>
        <w:footnoteReference w:id="12"/>
      </w:r>
    </w:p>
    <w:p w14:paraId="00000008"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0E52E94F" w14:textId="23F96A19" w:rsidR="00B65789" w:rsidRPr="00082CF3" w:rsidRDefault="00B65789" w:rsidP="00B65789">
      <w:pPr>
        <w:widowControl w:val="0"/>
        <w:pBdr>
          <w:top w:val="nil"/>
          <w:left w:val="nil"/>
          <w:bottom w:val="nil"/>
          <w:right w:val="nil"/>
          <w:between w:val="nil"/>
        </w:pBdr>
        <w:spacing w:line="360" w:lineRule="auto"/>
        <w:rPr>
          <w:color w:val="000000"/>
          <w:sz w:val="24"/>
          <w:szCs w:val="24"/>
          <w:lang w:val="en-US"/>
        </w:rPr>
      </w:pPr>
      <w:bookmarkStart w:id="18" w:name="_Hlk141348036"/>
      <w:r w:rsidRPr="00082CF3">
        <w:rPr>
          <w:color w:val="000000"/>
          <w:sz w:val="24"/>
          <w:szCs w:val="24"/>
        </w:rPr>
        <w:t>A</w:t>
      </w:r>
      <w:proofErr w:type="spellStart"/>
      <w:r w:rsidRPr="00082CF3">
        <w:rPr>
          <w:color w:val="000000"/>
          <w:sz w:val="24"/>
          <w:szCs w:val="24"/>
          <w:lang w:val="en-US"/>
        </w:rPr>
        <w:t>t</w:t>
      </w:r>
      <w:proofErr w:type="spellEnd"/>
      <w:r w:rsidRPr="00082CF3">
        <w:rPr>
          <w:color w:val="000000"/>
          <w:sz w:val="24"/>
          <w:szCs w:val="24"/>
          <w:lang w:val="en-US"/>
        </w:rPr>
        <w:t xml:space="preserve"> that juncture, however, Fatah lacked both any</w:t>
      </w:r>
      <w:r w:rsidRPr="00082CF3">
        <w:rPr>
          <w:color w:val="000000"/>
          <w:sz w:val="24"/>
          <w:szCs w:val="24"/>
        </w:rPr>
        <w:t xml:space="preserve"> governmental authority and the </w:t>
      </w:r>
      <w:r w:rsidRPr="00082CF3">
        <w:rPr>
          <w:color w:val="000000"/>
          <w:sz w:val="24"/>
          <w:szCs w:val="24"/>
          <w:lang w:val="en-US"/>
        </w:rPr>
        <w:t xml:space="preserve">means </w:t>
      </w:r>
      <w:r w:rsidRPr="00082CF3">
        <w:rPr>
          <w:color w:val="000000"/>
          <w:sz w:val="24"/>
          <w:szCs w:val="24"/>
        </w:rPr>
        <w:t>ability to impose</w:t>
      </w:r>
      <w:r w:rsidRPr="00082CF3">
        <w:rPr>
          <w:color w:val="000000"/>
        </w:rPr>
        <w:t xml:space="preserve"> its power on </w:t>
      </w:r>
      <w:r w:rsidRPr="00082CF3">
        <w:rPr>
          <w:color w:val="000000"/>
          <w:sz w:val="24"/>
          <w:szCs w:val="24"/>
        </w:rPr>
        <w:t>Hamas</w:t>
      </w:r>
      <w:r w:rsidRPr="00082CF3">
        <w:rPr>
          <w:color w:val="000000"/>
          <w:sz w:val="24"/>
          <w:szCs w:val="24"/>
          <w:lang w:val="en-US"/>
        </w:rPr>
        <w:t xml:space="preserve">. Thus, Fatah had a clear deficiency </w:t>
      </w:r>
      <w:r w:rsidRPr="00082CF3">
        <w:rPr>
          <w:color w:val="000000"/>
          <w:sz w:val="24"/>
          <w:szCs w:val="24"/>
        </w:rPr>
        <w:t>in its ability to restrain Hamas</w:t>
      </w:r>
      <w:r w:rsidR="003023BE" w:rsidRPr="00082CF3">
        <w:rPr>
          <w:color w:val="000000"/>
          <w:sz w:val="24"/>
          <w:szCs w:val="24"/>
          <w:lang w:val="en-US"/>
        </w:rPr>
        <w:t>, perceived</w:t>
      </w:r>
      <w:r w:rsidRPr="00082CF3">
        <w:rPr>
          <w:color w:val="000000"/>
          <w:sz w:val="24"/>
          <w:szCs w:val="24"/>
        </w:rPr>
        <w:t xml:space="preserve"> as a reckless </w:t>
      </w:r>
      <w:r w:rsidRPr="00082CF3">
        <w:rPr>
          <w:color w:val="000000"/>
          <w:sz w:val="24"/>
          <w:szCs w:val="24"/>
          <w:lang w:val="en-US"/>
        </w:rPr>
        <w:t>agent</w:t>
      </w:r>
      <w:r w:rsidRPr="00082CF3">
        <w:rPr>
          <w:color w:val="000000"/>
          <w:sz w:val="24"/>
          <w:szCs w:val="24"/>
        </w:rPr>
        <w:t>, even if</w:t>
      </w:r>
      <w:r w:rsidRPr="00082CF3">
        <w:rPr>
          <w:color w:val="000000"/>
          <w:sz w:val="24"/>
          <w:szCs w:val="24"/>
          <w:lang w:val="en-US"/>
        </w:rPr>
        <w:t>,</w:t>
      </w:r>
      <w:r w:rsidRPr="00082CF3">
        <w:rPr>
          <w:color w:val="000000"/>
          <w:sz w:val="24"/>
          <w:szCs w:val="24"/>
        </w:rPr>
        <w:t xml:space="preserve"> theoretically,</w:t>
      </w:r>
      <w:r w:rsidRPr="00082CF3">
        <w:rPr>
          <w:color w:val="000000"/>
          <w:sz w:val="24"/>
          <w:szCs w:val="24"/>
          <w:lang w:val="en-US"/>
        </w:rPr>
        <w:t xml:space="preserve"> </w:t>
      </w:r>
      <w:r w:rsidRPr="00082CF3">
        <w:rPr>
          <w:color w:val="000000"/>
          <w:sz w:val="24"/>
          <w:szCs w:val="24"/>
        </w:rPr>
        <w:t xml:space="preserve">it wanted, to do so. It is </w:t>
      </w:r>
      <w:r w:rsidRPr="00082CF3">
        <w:rPr>
          <w:color w:val="000000"/>
          <w:sz w:val="24"/>
          <w:szCs w:val="24"/>
          <w:lang w:val="en-US"/>
        </w:rPr>
        <w:t xml:space="preserve">evident </w:t>
      </w:r>
      <w:r w:rsidRPr="00082CF3">
        <w:rPr>
          <w:color w:val="000000"/>
          <w:sz w:val="24"/>
          <w:szCs w:val="24"/>
        </w:rPr>
        <w:t>that in the absence of any agreement, Fatah</w:t>
      </w:r>
      <w:r w:rsidRPr="00082CF3">
        <w:rPr>
          <w:color w:val="000000"/>
          <w:sz w:val="24"/>
          <w:szCs w:val="24"/>
          <w:lang w:val="en-US"/>
        </w:rPr>
        <w:t>’</w:t>
      </w:r>
      <w:r w:rsidRPr="00082CF3">
        <w:rPr>
          <w:color w:val="000000"/>
          <w:sz w:val="24"/>
          <w:szCs w:val="24"/>
        </w:rPr>
        <w:t xml:space="preserve">s desire to restrain Hamas stemmed solely from internal reasons, </w:t>
      </w:r>
      <w:r w:rsidRPr="00082CF3">
        <w:rPr>
          <w:color w:val="000000"/>
          <w:sz w:val="24"/>
          <w:szCs w:val="24"/>
          <w:lang w:val="en-US"/>
        </w:rPr>
        <w:t>primarily the fear that Hamas, which was concurrently under pressure from Israel, might supersede Fatah</w:t>
      </w:r>
      <w:r w:rsidR="007735FB" w:rsidRPr="007735FB">
        <w:rPr>
          <w:color w:val="000000"/>
          <w:sz w:val="24"/>
          <w:szCs w:val="24"/>
          <w:lang w:val="en-US"/>
        </w:rPr>
        <w:t>,</w:t>
      </w:r>
      <w:r w:rsidRPr="00082CF3">
        <w:rPr>
          <w:color w:val="000000"/>
          <w:sz w:val="24"/>
          <w:szCs w:val="24"/>
        </w:rPr>
        <w:t xml:space="preserve"> which was also severely beaten by Israel at this time</w:t>
      </w:r>
      <w:r w:rsidRPr="00082CF3">
        <w:rPr>
          <w:color w:val="000000"/>
          <w:sz w:val="24"/>
          <w:szCs w:val="24"/>
          <w:lang w:val="en-US"/>
        </w:rPr>
        <w:t xml:space="preserve">. </w:t>
      </w:r>
      <w:r w:rsidRPr="00082CF3">
        <w:rPr>
          <w:color w:val="000000"/>
          <w:sz w:val="24"/>
          <w:szCs w:val="24"/>
        </w:rPr>
        <w:t>This situation illustrates</w:t>
      </w:r>
      <w:r w:rsidR="003023BE" w:rsidRPr="00082CF3">
        <w:rPr>
          <w:color w:val="000000"/>
          <w:sz w:val="24"/>
          <w:szCs w:val="24"/>
          <w:lang w:val="en-US"/>
        </w:rPr>
        <w:t xml:space="preserve"> that the gap</w:t>
      </w:r>
      <w:r w:rsidRPr="00082CF3">
        <w:rPr>
          <w:color w:val="000000"/>
          <w:sz w:val="24"/>
          <w:szCs w:val="24"/>
        </w:rPr>
        <w:t xml:space="preserve"> between </w:t>
      </w:r>
      <w:r w:rsidRPr="00082CF3">
        <w:rPr>
          <w:color w:val="000000"/>
          <w:sz w:val="24"/>
          <w:szCs w:val="24"/>
          <w:lang w:val="en-US"/>
        </w:rPr>
        <w:t xml:space="preserve">Fatah’s </w:t>
      </w:r>
      <w:commentRangeStart w:id="19"/>
      <w:r w:rsidRPr="00082CF3">
        <w:rPr>
          <w:color w:val="000000"/>
          <w:sz w:val="24"/>
          <w:szCs w:val="24"/>
        </w:rPr>
        <w:t>policy</w:t>
      </w:r>
      <w:commentRangeEnd w:id="19"/>
      <w:r w:rsidRPr="00082CF3">
        <w:rPr>
          <w:rStyle w:val="CommentReference"/>
          <w:sz w:val="24"/>
          <w:szCs w:val="24"/>
        </w:rPr>
        <w:commentReference w:id="19"/>
      </w:r>
      <w:r w:rsidRPr="00082CF3">
        <w:rPr>
          <w:color w:val="000000"/>
          <w:sz w:val="24"/>
          <w:szCs w:val="24"/>
        </w:rPr>
        <w:t xml:space="preserve"> and capability</w:t>
      </w:r>
      <w:r w:rsidR="003023BE" w:rsidRPr="00082CF3">
        <w:rPr>
          <w:color w:val="000000"/>
          <w:sz w:val="24"/>
          <w:szCs w:val="24"/>
          <w:lang w:val="en-US"/>
        </w:rPr>
        <w:t xml:space="preserve"> was not so great.            </w:t>
      </w:r>
    </w:p>
    <w:p w14:paraId="53945F84" w14:textId="77777777" w:rsidR="003023BE" w:rsidRPr="00082CF3" w:rsidRDefault="003023BE" w:rsidP="00B65789">
      <w:pPr>
        <w:widowControl w:val="0"/>
        <w:pBdr>
          <w:top w:val="nil"/>
          <w:left w:val="nil"/>
          <w:bottom w:val="nil"/>
          <w:right w:val="nil"/>
          <w:between w:val="nil"/>
        </w:pBdr>
        <w:spacing w:line="360" w:lineRule="auto"/>
        <w:rPr>
          <w:color w:val="000000"/>
          <w:sz w:val="24"/>
          <w:szCs w:val="24"/>
          <w:lang w:val="en-US"/>
        </w:rPr>
      </w:pPr>
    </w:p>
    <w:p w14:paraId="5511511D" w14:textId="326811DB" w:rsidR="00003C60" w:rsidRPr="00082CF3" w:rsidRDefault="00003C60" w:rsidP="00082CF3">
      <w:pPr>
        <w:widowControl w:val="0"/>
        <w:pBdr>
          <w:top w:val="nil"/>
          <w:left w:val="nil"/>
          <w:bottom w:val="nil"/>
          <w:right w:val="nil"/>
          <w:between w:val="nil"/>
        </w:pBdr>
        <w:spacing w:line="360" w:lineRule="auto"/>
        <w:rPr>
          <w:color w:val="000000"/>
          <w:sz w:val="24"/>
          <w:szCs w:val="24"/>
        </w:rPr>
      </w:pPr>
    </w:p>
    <w:bookmarkEnd w:id="18"/>
    <w:p w14:paraId="0000000A" w14:textId="14619796" w:rsidR="00CF554D" w:rsidRPr="00082CF3" w:rsidRDefault="00641E8F" w:rsidP="00082CF3">
      <w:pPr>
        <w:widowControl w:val="0"/>
        <w:pBdr>
          <w:top w:val="nil"/>
          <w:left w:val="nil"/>
          <w:bottom w:val="nil"/>
          <w:right w:val="nil"/>
          <w:between w:val="nil"/>
        </w:pBdr>
        <w:spacing w:line="360" w:lineRule="auto"/>
        <w:rPr>
          <w:b/>
          <w:bCs/>
          <w:color w:val="000000"/>
          <w:sz w:val="24"/>
          <w:szCs w:val="24"/>
        </w:rPr>
      </w:pPr>
      <w:r w:rsidRPr="00082CF3">
        <w:rPr>
          <w:b/>
          <w:bCs/>
          <w:color w:val="000000"/>
          <w:sz w:val="24"/>
          <w:szCs w:val="24"/>
        </w:rPr>
        <w:t>The Madrid and Oslo Peace Talks Era</w:t>
      </w:r>
    </w:p>
    <w:p w14:paraId="7F0104FE" w14:textId="77777777" w:rsidR="00003C60" w:rsidRPr="00082CF3" w:rsidRDefault="00003C60" w:rsidP="00082CF3">
      <w:pPr>
        <w:widowControl w:val="0"/>
        <w:pBdr>
          <w:top w:val="nil"/>
          <w:left w:val="nil"/>
          <w:bottom w:val="nil"/>
          <w:right w:val="nil"/>
          <w:between w:val="nil"/>
        </w:pBdr>
        <w:spacing w:line="360" w:lineRule="auto"/>
        <w:rPr>
          <w:b/>
          <w:bCs/>
          <w:color w:val="000000"/>
          <w:sz w:val="24"/>
          <w:szCs w:val="24"/>
        </w:rPr>
      </w:pPr>
    </w:p>
    <w:p w14:paraId="587159BE" w14:textId="64635B03" w:rsidR="00AA3D24" w:rsidRPr="00082CF3" w:rsidRDefault="00AA3D24" w:rsidP="00082CF3">
      <w:pPr>
        <w:widowControl w:val="0"/>
        <w:pBdr>
          <w:top w:val="nil"/>
          <w:left w:val="nil"/>
          <w:bottom w:val="nil"/>
          <w:right w:val="nil"/>
          <w:between w:val="nil"/>
        </w:pBdr>
        <w:spacing w:line="360" w:lineRule="auto"/>
        <w:rPr>
          <w:color w:val="000000"/>
          <w:sz w:val="24"/>
          <w:szCs w:val="24"/>
        </w:rPr>
      </w:pPr>
      <w:r w:rsidRPr="00082CF3">
        <w:rPr>
          <w:color w:val="000000"/>
          <w:sz w:val="24"/>
          <w:szCs w:val="24"/>
        </w:rPr>
        <w:t>On October 30, the Madrid Conference began, a landmark event in the history of the Israeli-Arab conflict. The conference, sponsored by the U</w:t>
      </w:r>
      <w:proofErr w:type="spellStart"/>
      <w:r w:rsidRPr="00082CF3">
        <w:rPr>
          <w:color w:val="000000"/>
          <w:sz w:val="24"/>
          <w:szCs w:val="24"/>
          <w:lang w:val="en-US"/>
        </w:rPr>
        <w:t>nited</w:t>
      </w:r>
      <w:proofErr w:type="spellEnd"/>
      <w:r w:rsidRPr="00082CF3">
        <w:rPr>
          <w:color w:val="000000"/>
          <w:sz w:val="24"/>
          <w:szCs w:val="24"/>
          <w:lang w:val="en-US"/>
        </w:rPr>
        <w:t xml:space="preserve"> States</w:t>
      </w:r>
      <w:r w:rsidRPr="00082CF3">
        <w:rPr>
          <w:color w:val="000000"/>
          <w:sz w:val="24"/>
          <w:szCs w:val="24"/>
        </w:rPr>
        <w:t xml:space="preserve"> and Russia, included representatives from Israel, Syria, Egypt, Lebanon, and Jordan, with the Palestinian</w:t>
      </w:r>
      <w:r w:rsidRPr="00082CF3">
        <w:rPr>
          <w:color w:val="000000"/>
          <w:sz w:val="24"/>
          <w:szCs w:val="24"/>
          <w:lang w:val="en-US"/>
        </w:rPr>
        <w:t xml:space="preserve"> representatives incorporated into the Jordanian delegation to</w:t>
      </w:r>
      <w:r w:rsidRPr="00082CF3">
        <w:rPr>
          <w:color w:val="000000"/>
          <w:sz w:val="24"/>
          <w:szCs w:val="24"/>
        </w:rPr>
        <w:t xml:space="preserve"> avoid </w:t>
      </w:r>
      <w:r w:rsidRPr="00082CF3">
        <w:rPr>
          <w:color w:val="000000"/>
          <w:sz w:val="24"/>
          <w:szCs w:val="24"/>
          <w:lang w:val="en-US"/>
        </w:rPr>
        <w:t>any official direct</w:t>
      </w:r>
      <w:r w:rsidRPr="00082CF3">
        <w:rPr>
          <w:color w:val="000000"/>
          <w:sz w:val="24"/>
          <w:szCs w:val="24"/>
        </w:rPr>
        <w:t xml:space="preserve"> negotiations between Israel and Fatah. The conference gave the green light to </w:t>
      </w:r>
      <w:r w:rsidRPr="00082CF3">
        <w:rPr>
          <w:color w:val="000000"/>
          <w:sz w:val="24"/>
          <w:szCs w:val="24"/>
          <w:lang w:val="en-US"/>
        </w:rPr>
        <w:t xml:space="preserve">holding </w:t>
      </w:r>
      <w:r w:rsidRPr="00082CF3">
        <w:rPr>
          <w:color w:val="000000"/>
          <w:sz w:val="24"/>
          <w:szCs w:val="24"/>
        </w:rPr>
        <w:t>bilateral talks</w:t>
      </w:r>
      <w:r w:rsidRPr="00082CF3">
        <w:rPr>
          <w:color w:val="000000"/>
          <w:sz w:val="24"/>
          <w:szCs w:val="24"/>
          <w:lang w:val="en-US"/>
        </w:rPr>
        <w:t xml:space="preserve"> in Washington</w:t>
      </w:r>
      <w:r w:rsidRPr="00082CF3">
        <w:rPr>
          <w:color w:val="000000"/>
          <w:sz w:val="24"/>
          <w:szCs w:val="24"/>
        </w:rPr>
        <w:t xml:space="preserve"> between Israeli delegations and a </w:t>
      </w:r>
      <w:r w:rsidRPr="00082CF3">
        <w:rPr>
          <w:color w:val="000000"/>
          <w:sz w:val="24"/>
          <w:szCs w:val="24"/>
          <w:lang w:val="en-US"/>
        </w:rPr>
        <w:t xml:space="preserve">joint </w:t>
      </w:r>
      <w:r w:rsidRPr="00082CF3">
        <w:rPr>
          <w:color w:val="000000"/>
          <w:sz w:val="24"/>
          <w:szCs w:val="24"/>
        </w:rPr>
        <w:t>Jordanian-Palestinian, Syrian, and Lebanese delegation. Concurrently, secret talks began between Israeli representatives and Fatah representatives in Oslo</w:t>
      </w:r>
      <w:r w:rsidRPr="00082CF3">
        <w:rPr>
          <w:color w:val="000000"/>
          <w:sz w:val="24"/>
          <w:szCs w:val="24"/>
          <w:lang w:val="en-US"/>
        </w:rPr>
        <w:t xml:space="preserve"> in</w:t>
      </w:r>
      <w:r w:rsidRPr="00082CF3">
        <w:rPr>
          <w:color w:val="000000"/>
          <w:sz w:val="24"/>
          <w:szCs w:val="24"/>
        </w:rPr>
        <w:t xml:space="preserve"> December 1992. These talks </w:t>
      </w:r>
      <w:r w:rsidRPr="00082CF3">
        <w:rPr>
          <w:color w:val="000000"/>
          <w:sz w:val="24"/>
          <w:szCs w:val="24"/>
          <w:lang w:val="en-US"/>
        </w:rPr>
        <w:t>ultimately culminated in</w:t>
      </w:r>
      <w:r w:rsidRPr="00082CF3">
        <w:rPr>
          <w:color w:val="000000"/>
          <w:sz w:val="24"/>
          <w:szCs w:val="24"/>
        </w:rPr>
        <w:t xml:space="preserve"> the public signing of the Oslo Accords in the summer of 1993 on the White House lawn.</w:t>
      </w:r>
    </w:p>
    <w:p w14:paraId="0000000C"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69459DF2" w14:textId="1997EA1A" w:rsidR="006619F2" w:rsidRDefault="006619F2" w:rsidP="008177A0">
      <w:pPr>
        <w:widowControl w:val="0"/>
        <w:pBdr>
          <w:top w:val="nil"/>
          <w:left w:val="nil"/>
          <w:bottom w:val="nil"/>
          <w:right w:val="nil"/>
          <w:between w:val="nil"/>
        </w:pBdr>
        <w:spacing w:line="360" w:lineRule="auto"/>
        <w:rPr>
          <w:color w:val="000000"/>
          <w:sz w:val="24"/>
          <w:szCs w:val="24"/>
        </w:rPr>
      </w:pPr>
      <w:r w:rsidRPr="00082CF3">
        <w:rPr>
          <w:color w:val="000000"/>
          <w:sz w:val="24"/>
          <w:szCs w:val="24"/>
          <w:lang w:val="en-US"/>
        </w:rPr>
        <w:t xml:space="preserve">Parallel to these developments, </w:t>
      </w:r>
      <w:r w:rsidRPr="00082CF3">
        <w:rPr>
          <w:color w:val="000000"/>
          <w:sz w:val="24"/>
          <w:szCs w:val="24"/>
        </w:rPr>
        <w:t xml:space="preserve">the PLO was working to </w:t>
      </w:r>
      <w:r w:rsidRPr="00082CF3">
        <w:rPr>
          <w:color w:val="000000"/>
          <w:sz w:val="24"/>
          <w:szCs w:val="24"/>
          <w:lang w:val="en-US"/>
        </w:rPr>
        <w:t>gain formal</w:t>
      </w:r>
      <w:r w:rsidRPr="00082CF3">
        <w:rPr>
          <w:color w:val="000000"/>
          <w:sz w:val="24"/>
          <w:szCs w:val="24"/>
        </w:rPr>
        <w:t xml:space="preserve"> control </w:t>
      </w:r>
      <w:r w:rsidRPr="00082CF3">
        <w:rPr>
          <w:color w:val="000000"/>
          <w:sz w:val="24"/>
          <w:szCs w:val="24"/>
          <w:lang w:val="en-US"/>
        </w:rPr>
        <w:t>over</w:t>
      </w:r>
      <w:r w:rsidRPr="00082CF3">
        <w:rPr>
          <w:color w:val="000000"/>
          <w:sz w:val="24"/>
          <w:szCs w:val="24"/>
        </w:rPr>
        <w:t xml:space="preserve"> the Palestinian population and territory by intensifying its negotiations with Israel. Behind </w:t>
      </w:r>
      <w:r w:rsidRPr="00082CF3">
        <w:rPr>
          <w:color w:val="000000"/>
          <w:sz w:val="24"/>
          <w:szCs w:val="24"/>
          <w:lang w:val="en-US"/>
        </w:rPr>
        <w:t>the scenes</w:t>
      </w:r>
      <w:r w:rsidRPr="00082CF3">
        <w:rPr>
          <w:color w:val="000000"/>
          <w:sz w:val="24"/>
          <w:szCs w:val="24"/>
        </w:rPr>
        <w:t xml:space="preserve">, the PLO used Hamas as a </w:t>
      </w:r>
      <w:r w:rsidRPr="00082CF3">
        <w:rPr>
          <w:color w:val="000000"/>
          <w:sz w:val="24"/>
          <w:szCs w:val="24"/>
          <w:lang w:val="en-US"/>
        </w:rPr>
        <w:t>bargaining chip</w:t>
      </w:r>
      <w:r w:rsidRPr="00082CF3">
        <w:rPr>
          <w:color w:val="000000"/>
          <w:sz w:val="24"/>
          <w:szCs w:val="24"/>
        </w:rPr>
        <w:t xml:space="preserve"> to pressure Israel in negotiations. As early as the first meeting of the Israeli representatives with Abu Ala in December 1992, Abu Ala </w:t>
      </w:r>
      <w:r w:rsidRPr="00082CF3">
        <w:rPr>
          <w:color w:val="000000"/>
          <w:sz w:val="24"/>
          <w:szCs w:val="24"/>
          <w:lang w:val="en-US"/>
        </w:rPr>
        <w:t>warned about</w:t>
      </w:r>
      <w:r w:rsidRPr="00082CF3">
        <w:rPr>
          <w:color w:val="000000"/>
          <w:sz w:val="24"/>
          <w:szCs w:val="24"/>
        </w:rPr>
        <w:t xml:space="preserve"> </w:t>
      </w:r>
      <w:r w:rsidRPr="00082CF3">
        <w:rPr>
          <w:color w:val="000000"/>
          <w:sz w:val="24"/>
          <w:szCs w:val="24"/>
          <w:lang w:val="en-US"/>
        </w:rPr>
        <w:t>“</w:t>
      </w:r>
      <w:r w:rsidRPr="00082CF3">
        <w:rPr>
          <w:color w:val="000000"/>
          <w:sz w:val="24"/>
          <w:szCs w:val="24"/>
        </w:rPr>
        <w:t>the danger of l</w:t>
      </w:r>
      <w:r w:rsidRPr="00082CF3">
        <w:rPr>
          <w:color w:val="000000"/>
          <w:sz w:val="24"/>
          <w:szCs w:val="24"/>
          <w:lang w:val="en-US"/>
        </w:rPr>
        <w:t>osing</w:t>
      </w:r>
      <w:r w:rsidRPr="00082CF3">
        <w:rPr>
          <w:color w:val="000000"/>
          <w:sz w:val="24"/>
          <w:szCs w:val="24"/>
        </w:rPr>
        <w:t xml:space="preserve"> time and that the moderate elements in the Palestinian camp may lose their control </w:t>
      </w:r>
      <w:r w:rsidRPr="00082CF3">
        <w:rPr>
          <w:color w:val="000000"/>
        </w:rPr>
        <w:t xml:space="preserve">to the benefit </w:t>
      </w:r>
      <w:r w:rsidRPr="00082CF3">
        <w:rPr>
          <w:color w:val="000000"/>
          <w:sz w:val="24"/>
          <w:szCs w:val="24"/>
        </w:rPr>
        <w:t>of Hamas</w:t>
      </w:r>
      <w:r w:rsidRPr="00082CF3">
        <w:rPr>
          <w:color w:val="000000"/>
          <w:sz w:val="24"/>
          <w:szCs w:val="24"/>
          <w:lang w:val="en-US"/>
        </w:rPr>
        <w:t>.”</w:t>
      </w:r>
      <w:r w:rsidR="00003C60" w:rsidRPr="00082CF3">
        <w:rPr>
          <w:rStyle w:val="FootnoteReference"/>
          <w:color w:val="000000"/>
          <w:sz w:val="24"/>
          <w:szCs w:val="24"/>
        </w:rPr>
        <w:footnoteReference w:id="13"/>
      </w:r>
      <w:r w:rsidR="00641E8F" w:rsidRPr="00082CF3">
        <w:rPr>
          <w:color w:val="000000"/>
          <w:sz w:val="24"/>
          <w:szCs w:val="24"/>
        </w:rPr>
        <w:t xml:space="preserve"> </w:t>
      </w:r>
    </w:p>
    <w:p w14:paraId="4211F34B" w14:textId="77777777" w:rsidR="00B4183C" w:rsidRPr="00082CF3" w:rsidRDefault="00B4183C" w:rsidP="00B4183C">
      <w:pPr>
        <w:widowControl w:val="0"/>
        <w:pBdr>
          <w:top w:val="nil"/>
          <w:left w:val="nil"/>
          <w:bottom w:val="nil"/>
          <w:right w:val="nil"/>
          <w:between w:val="nil"/>
        </w:pBdr>
        <w:spacing w:line="360" w:lineRule="auto"/>
        <w:rPr>
          <w:color w:val="000000"/>
          <w:sz w:val="24"/>
          <w:szCs w:val="24"/>
        </w:rPr>
      </w:pPr>
    </w:p>
    <w:p w14:paraId="44F59B8B" w14:textId="566CC013" w:rsidR="00427538" w:rsidRPr="00082CF3" w:rsidRDefault="00641E8F" w:rsidP="006619F2">
      <w:pPr>
        <w:widowControl w:val="0"/>
        <w:pBdr>
          <w:top w:val="nil"/>
          <w:left w:val="nil"/>
          <w:bottom w:val="nil"/>
          <w:right w:val="nil"/>
          <w:between w:val="nil"/>
        </w:pBdr>
        <w:spacing w:line="360" w:lineRule="auto"/>
        <w:rPr>
          <w:color w:val="000000"/>
          <w:sz w:val="24"/>
          <w:szCs w:val="24"/>
        </w:rPr>
      </w:pPr>
      <w:bookmarkStart w:id="20" w:name="_Hlk141349892"/>
      <w:bookmarkStart w:id="21" w:name="_Hlk141350065"/>
      <w:bookmarkStart w:id="22" w:name="_Hlk141352019"/>
      <w:r w:rsidRPr="00082CF3">
        <w:rPr>
          <w:color w:val="000000"/>
          <w:sz w:val="24"/>
          <w:szCs w:val="24"/>
        </w:rPr>
        <w:t xml:space="preserve">According to the notes of the Israeli representatives after the first round of talks, </w:t>
      </w:r>
      <w:r w:rsidR="009F320E" w:rsidRPr="00082CF3">
        <w:rPr>
          <w:color w:val="000000"/>
          <w:sz w:val="24"/>
          <w:szCs w:val="24"/>
          <w:lang w:val="en-US"/>
        </w:rPr>
        <w:t>“</w:t>
      </w:r>
      <w:r w:rsidRPr="00082CF3">
        <w:rPr>
          <w:color w:val="000000"/>
          <w:sz w:val="24"/>
          <w:szCs w:val="24"/>
        </w:rPr>
        <w:t xml:space="preserve">it was clear that the PLO felt pressure, unable to </w:t>
      </w:r>
      <w:r w:rsidR="009F320E" w:rsidRPr="00082CF3">
        <w:rPr>
          <w:color w:val="000000"/>
          <w:sz w:val="24"/>
          <w:szCs w:val="24"/>
          <w:lang w:val="en-US"/>
        </w:rPr>
        <w:t xml:space="preserve">accept </w:t>
      </w:r>
      <w:r w:rsidRPr="00082CF3">
        <w:rPr>
          <w:color w:val="000000"/>
          <w:sz w:val="24"/>
          <w:szCs w:val="24"/>
        </w:rPr>
        <w:t xml:space="preserve">the fact that it did not play a role in the bilateral and multilateral talks, and </w:t>
      </w:r>
      <w:r w:rsidR="00CF32AE" w:rsidRPr="00082CF3">
        <w:rPr>
          <w:color w:val="000000"/>
          <w:sz w:val="24"/>
          <w:szCs w:val="24"/>
          <w:lang w:val="en-US"/>
        </w:rPr>
        <w:t xml:space="preserve">fearing </w:t>
      </w:r>
      <w:r w:rsidRPr="00082CF3">
        <w:rPr>
          <w:color w:val="000000"/>
          <w:sz w:val="24"/>
          <w:szCs w:val="24"/>
        </w:rPr>
        <w:t>that it might lose its status to Hamas. An arrangement with Israel in which the PLO-Tunis play</w:t>
      </w:r>
      <w:r w:rsidR="00CF32AE" w:rsidRPr="00082CF3">
        <w:rPr>
          <w:color w:val="000000"/>
          <w:sz w:val="24"/>
          <w:szCs w:val="24"/>
          <w:lang w:val="en-US"/>
        </w:rPr>
        <w:t>ed</w:t>
      </w:r>
      <w:r w:rsidRPr="00082CF3">
        <w:rPr>
          <w:color w:val="000000"/>
          <w:sz w:val="24"/>
          <w:szCs w:val="24"/>
        </w:rPr>
        <w:t xml:space="preserve"> an important role, and in general, setting foot in Gaza, could have been a </w:t>
      </w:r>
      <w:commentRangeStart w:id="23"/>
      <w:r w:rsidRPr="00082CF3">
        <w:rPr>
          <w:color w:val="000000"/>
          <w:sz w:val="24"/>
          <w:szCs w:val="24"/>
        </w:rPr>
        <w:t>lifeline</w:t>
      </w:r>
      <w:commentRangeEnd w:id="23"/>
      <w:r w:rsidR="009F320E" w:rsidRPr="00082CF3">
        <w:rPr>
          <w:rStyle w:val="CommentReference"/>
        </w:rPr>
        <w:commentReference w:id="23"/>
      </w:r>
      <w:r w:rsidRPr="00082CF3">
        <w:rPr>
          <w:color w:val="000000"/>
          <w:sz w:val="24"/>
          <w:szCs w:val="24"/>
        </w:rPr>
        <w:t>.</w:t>
      </w:r>
      <w:r w:rsidR="00CF32AE" w:rsidRPr="00082CF3">
        <w:rPr>
          <w:color w:val="000000"/>
          <w:sz w:val="24"/>
          <w:szCs w:val="24"/>
          <w:lang w:val="en-US"/>
        </w:rPr>
        <w:t>”</w:t>
      </w:r>
      <w:r w:rsidRPr="00082CF3">
        <w:rPr>
          <w:color w:val="000000"/>
          <w:sz w:val="24"/>
          <w:szCs w:val="24"/>
        </w:rPr>
        <w:t xml:space="preserve"> </w:t>
      </w:r>
      <w:bookmarkEnd w:id="22"/>
    </w:p>
    <w:p w14:paraId="15276A21" w14:textId="77777777" w:rsidR="00427538" w:rsidRPr="00082CF3" w:rsidRDefault="00427538" w:rsidP="006619F2">
      <w:pPr>
        <w:widowControl w:val="0"/>
        <w:pBdr>
          <w:top w:val="nil"/>
          <w:left w:val="nil"/>
          <w:bottom w:val="nil"/>
          <w:right w:val="nil"/>
          <w:between w:val="nil"/>
        </w:pBdr>
        <w:spacing w:line="360" w:lineRule="auto"/>
        <w:rPr>
          <w:color w:val="000000"/>
          <w:sz w:val="24"/>
          <w:szCs w:val="24"/>
        </w:rPr>
      </w:pPr>
    </w:p>
    <w:bookmarkEnd w:id="20"/>
    <w:p w14:paraId="63113C02" w14:textId="57EE5AAF" w:rsidR="00F9488D" w:rsidRPr="00082CF3" w:rsidRDefault="00F9488D" w:rsidP="00082CF3">
      <w:pPr>
        <w:spacing w:line="360" w:lineRule="auto"/>
        <w:rPr>
          <w:lang w:val="en-US"/>
        </w:rPr>
      </w:pPr>
      <w:r w:rsidRPr="00082CF3">
        <w:rPr>
          <w:color w:val="000000"/>
          <w:sz w:val="24"/>
          <w:szCs w:val="24"/>
        </w:rPr>
        <w:lastRenderedPageBreak/>
        <w:t xml:space="preserve"> On February 17, 1993, Faisal Husseini described to Pundak the </w:t>
      </w:r>
      <w:r w:rsidRPr="00082CF3">
        <w:rPr>
          <w:color w:val="000000"/>
          <w:sz w:val="24"/>
          <w:szCs w:val="24"/>
          <w:lang w:val="en-US"/>
        </w:rPr>
        <w:t>escalating tension</w:t>
      </w:r>
      <w:r w:rsidRPr="00082CF3">
        <w:rPr>
          <w:color w:val="000000"/>
          <w:sz w:val="24"/>
          <w:szCs w:val="24"/>
        </w:rPr>
        <w:t xml:space="preserve"> in the West Bank and Gaza between </w:t>
      </w:r>
      <w:r w:rsidRPr="00082CF3">
        <w:rPr>
          <w:color w:val="000000"/>
          <w:sz w:val="24"/>
          <w:szCs w:val="24"/>
          <w:lang w:val="en-US"/>
        </w:rPr>
        <w:t xml:space="preserve">supporters of the </w:t>
      </w:r>
      <w:r w:rsidRPr="00082CF3">
        <w:rPr>
          <w:color w:val="000000"/>
          <w:sz w:val="24"/>
          <w:szCs w:val="24"/>
        </w:rPr>
        <w:t xml:space="preserve">PLO and </w:t>
      </w:r>
      <w:r w:rsidRPr="00082CF3">
        <w:rPr>
          <w:color w:val="000000"/>
          <w:sz w:val="24"/>
          <w:szCs w:val="24"/>
          <w:lang w:val="en-US"/>
        </w:rPr>
        <w:t xml:space="preserve">the </w:t>
      </w:r>
      <w:r w:rsidRPr="00082CF3">
        <w:rPr>
          <w:color w:val="000000"/>
          <w:sz w:val="24"/>
          <w:szCs w:val="24"/>
        </w:rPr>
        <w:t xml:space="preserve">peace </w:t>
      </w:r>
      <w:r w:rsidRPr="00082CF3">
        <w:rPr>
          <w:color w:val="000000"/>
          <w:sz w:val="24"/>
          <w:szCs w:val="24"/>
          <w:lang w:val="en-US"/>
        </w:rPr>
        <w:t>process</w:t>
      </w:r>
      <w:r w:rsidR="00B4183C">
        <w:rPr>
          <w:color w:val="000000"/>
          <w:sz w:val="24"/>
          <w:szCs w:val="24"/>
          <w:lang w:val="en-US"/>
        </w:rPr>
        <w:t>,</w:t>
      </w:r>
      <w:r w:rsidRPr="00082CF3">
        <w:rPr>
          <w:color w:val="000000"/>
          <w:sz w:val="24"/>
          <w:szCs w:val="24"/>
          <w:lang w:val="en-US"/>
        </w:rPr>
        <w:t xml:space="preserve"> and </w:t>
      </w:r>
      <w:r w:rsidRPr="00082CF3">
        <w:rPr>
          <w:color w:val="000000"/>
          <w:sz w:val="24"/>
          <w:szCs w:val="24"/>
        </w:rPr>
        <w:t xml:space="preserve">supporters </w:t>
      </w:r>
      <w:r w:rsidRPr="00082CF3">
        <w:rPr>
          <w:color w:val="000000"/>
          <w:sz w:val="24"/>
          <w:szCs w:val="24"/>
          <w:lang w:val="en-US"/>
        </w:rPr>
        <w:t xml:space="preserve">of </w:t>
      </w:r>
      <w:r w:rsidRPr="00082CF3">
        <w:rPr>
          <w:color w:val="000000"/>
          <w:sz w:val="24"/>
          <w:szCs w:val="24"/>
        </w:rPr>
        <w:t xml:space="preserve">Hamas s and opponents of the </w:t>
      </w:r>
      <w:r w:rsidRPr="00082CF3">
        <w:rPr>
          <w:color w:val="000000"/>
          <w:sz w:val="24"/>
          <w:szCs w:val="24"/>
          <w:lang w:val="en-US"/>
        </w:rPr>
        <w:t xml:space="preserve">peace </w:t>
      </w:r>
      <w:r w:rsidRPr="00082CF3">
        <w:rPr>
          <w:color w:val="000000"/>
          <w:sz w:val="24"/>
          <w:szCs w:val="24"/>
        </w:rPr>
        <w:t>process</w:t>
      </w:r>
      <w:r w:rsidRPr="00082CF3">
        <w:rPr>
          <w:color w:val="000000"/>
          <w:sz w:val="24"/>
          <w:szCs w:val="24"/>
          <w:lang w:val="en-US"/>
        </w:rPr>
        <w:t>. While Husseini reported that the situation was become increasingly</w:t>
      </w:r>
      <w:r w:rsidRPr="00082CF3">
        <w:rPr>
          <w:color w:val="000000"/>
          <w:sz w:val="24"/>
          <w:szCs w:val="24"/>
        </w:rPr>
        <w:t xml:space="preserve"> acute, </w:t>
      </w:r>
      <w:r w:rsidRPr="00082CF3">
        <w:rPr>
          <w:color w:val="000000"/>
          <w:sz w:val="24"/>
          <w:szCs w:val="24"/>
          <w:lang w:val="en-US"/>
        </w:rPr>
        <w:t>he also</w:t>
      </w:r>
      <w:r w:rsidRPr="00082CF3">
        <w:rPr>
          <w:color w:val="000000"/>
          <w:sz w:val="24"/>
          <w:szCs w:val="24"/>
        </w:rPr>
        <w:t xml:space="preserve"> stressed that at this stage, the </w:t>
      </w:r>
      <w:r w:rsidRPr="00082CF3">
        <w:rPr>
          <w:color w:val="000000"/>
          <w:sz w:val="24"/>
          <w:szCs w:val="24"/>
          <w:lang w:val="en-US"/>
        </w:rPr>
        <w:t xml:space="preserve">PLO and </w:t>
      </w:r>
      <w:r w:rsidR="007735FB">
        <w:rPr>
          <w:color w:val="000000"/>
          <w:sz w:val="24"/>
          <w:szCs w:val="24"/>
          <w:lang w:val="en-US"/>
        </w:rPr>
        <w:t xml:space="preserve">the </w:t>
      </w:r>
      <w:r w:rsidRPr="00082CF3">
        <w:rPr>
          <w:color w:val="000000"/>
          <w:sz w:val="24"/>
          <w:szCs w:val="24"/>
          <w:lang w:val="en-US"/>
        </w:rPr>
        <w:t xml:space="preserve">peace process </w:t>
      </w:r>
      <w:r w:rsidRPr="00082CF3">
        <w:rPr>
          <w:color w:val="000000"/>
          <w:sz w:val="24"/>
          <w:szCs w:val="24"/>
        </w:rPr>
        <w:t xml:space="preserve">supporters </w:t>
      </w:r>
      <w:proofErr w:type="spellStart"/>
      <w:r w:rsidRPr="00082CF3">
        <w:rPr>
          <w:color w:val="000000"/>
          <w:sz w:val="24"/>
          <w:szCs w:val="24"/>
          <w:lang w:val="en-US"/>
        </w:rPr>
        <w:t>were</w:t>
      </w:r>
      <w:proofErr w:type="spellEnd"/>
      <w:r w:rsidRPr="00082CF3">
        <w:rPr>
          <w:color w:val="000000"/>
          <w:sz w:val="24"/>
          <w:szCs w:val="24"/>
          <w:lang w:val="en-US"/>
        </w:rPr>
        <w:t xml:space="preserve"> prevailing</w:t>
      </w:r>
      <w:r w:rsidRPr="00082CF3">
        <w:rPr>
          <w:color w:val="000000"/>
          <w:sz w:val="24"/>
          <w:szCs w:val="24"/>
        </w:rPr>
        <w:t>.</w:t>
      </w:r>
      <w:r w:rsidRPr="00082CF3">
        <w:rPr>
          <w:rStyle w:val="FootnoteReference"/>
          <w:color w:val="000000"/>
          <w:sz w:val="24"/>
          <w:szCs w:val="24"/>
        </w:rPr>
        <w:footnoteReference w:id="14"/>
      </w:r>
      <w:r w:rsidRPr="00082CF3">
        <w:rPr>
          <w:color w:val="000000"/>
          <w:sz w:val="24"/>
          <w:szCs w:val="24"/>
        </w:rPr>
        <w:t xml:space="preserve"> </w:t>
      </w:r>
      <w:r w:rsidRPr="00082CF3">
        <w:rPr>
          <w:color w:val="000000"/>
          <w:sz w:val="24"/>
          <w:szCs w:val="24"/>
          <w:lang w:val="en-US"/>
        </w:rPr>
        <w:t>In his opinion, “</w:t>
      </w:r>
      <w:r w:rsidRPr="00082CF3">
        <w:rPr>
          <w:color w:val="000000"/>
          <w:sz w:val="24"/>
          <w:szCs w:val="24"/>
        </w:rPr>
        <w:t>the response to the opponents is an Israeli-Palestinian agreement that does not present its supporters as weak</w:t>
      </w:r>
      <w:r w:rsidRPr="00082CF3">
        <w:rPr>
          <w:color w:val="000000"/>
          <w:sz w:val="24"/>
          <w:szCs w:val="24"/>
          <w:lang w:val="en-US"/>
        </w:rPr>
        <w:t>.”</w:t>
      </w:r>
      <w:r w:rsidRPr="00082CF3">
        <w:rPr>
          <w:rStyle w:val="FootnoteReference"/>
          <w:color w:val="000000"/>
          <w:sz w:val="24"/>
          <w:szCs w:val="24"/>
        </w:rPr>
        <w:footnoteReference w:id="15"/>
      </w:r>
      <w:r w:rsidRPr="00082CF3">
        <w:rPr>
          <w:color w:val="000000"/>
          <w:sz w:val="24"/>
          <w:szCs w:val="24"/>
        </w:rPr>
        <w:t xml:space="preserve"> Before the meeting at the end of April 1993, Beilin testified that </w:t>
      </w:r>
      <w:r w:rsidRPr="00082CF3">
        <w:rPr>
          <w:color w:val="000000"/>
          <w:sz w:val="24"/>
          <w:szCs w:val="24"/>
          <w:lang w:val="en-US"/>
        </w:rPr>
        <w:t>“</w:t>
      </w:r>
      <w:r w:rsidRPr="00082CF3">
        <w:rPr>
          <w:color w:val="000000"/>
          <w:sz w:val="24"/>
          <w:szCs w:val="24"/>
        </w:rPr>
        <w:t xml:space="preserve">the Palestinians clearly felt that time was working against them, and they </w:t>
      </w:r>
      <w:r w:rsidRPr="00082CF3">
        <w:rPr>
          <w:color w:val="000000"/>
          <w:sz w:val="24"/>
          <w:szCs w:val="24"/>
          <w:lang w:val="en-US"/>
        </w:rPr>
        <w:t>feared</w:t>
      </w:r>
      <w:r w:rsidRPr="00082CF3">
        <w:rPr>
          <w:color w:val="000000"/>
          <w:sz w:val="24"/>
          <w:szCs w:val="24"/>
        </w:rPr>
        <w:t xml:space="preserve"> </w:t>
      </w:r>
      <w:r w:rsidRPr="00082CF3">
        <w:rPr>
          <w:color w:val="000000"/>
          <w:sz w:val="24"/>
          <w:szCs w:val="24"/>
          <w:lang w:val="en-US"/>
        </w:rPr>
        <w:t>Hamas’s growing strength.”</w:t>
      </w:r>
      <w:r w:rsidRPr="00082CF3">
        <w:rPr>
          <w:rStyle w:val="FootnoteReference"/>
          <w:color w:val="000000"/>
          <w:sz w:val="24"/>
          <w:szCs w:val="24"/>
        </w:rPr>
        <w:footnoteReference w:id="16"/>
      </w:r>
    </w:p>
    <w:p w14:paraId="0000000E"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0F49FC56" w14:textId="0621E5E8" w:rsidR="007735FB" w:rsidRDefault="003C1B40" w:rsidP="007735FB">
      <w:pPr>
        <w:spacing w:line="360" w:lineRule="auto"/>
        <w:rPr>
          <w:color w:val="000000"/>
          <w:sz w:val="24"/>
          <w:szCs w:val="24"/>
        </w:rPr>
      </w:pPr>
      <w:r w:rsidRPr="00082CF3">
        <w:rPr>
          <w:color w:val="000000"/>
          <w:sz w:val="24"/>
          <w:szCs w:val="24"/>
          <w:lang w:val="en-US"/>
        </w:rPr>
        <w:t>At the same time</w:t>
      </w:r>
      <w:r w:rsidRPr="00082CF3">
        <w:rPr>
          <w:color w:val="000000"/>
          <w:sz w:val="24"/>
          <w:szCs w:val="24"/>
        </w:rPr>
        <w:t xml:space="preserve">, the PLO </w:t>
      </w:r>
      <w:r w:rsidRPr="00082CF3">
        <w:rPr>
          <w:color w:val="000000"/>
          <w:sz w:val="24"/>
          <w:szCs w:val="24"/>
          <w:lang w:val="en-US"/>
        </w:rPr>
        <w:t xml:space="preserve">recognized that it needed to assist in resolving the issue of the </w:t>
      </w:r>
      <w:r w:rsidRPr="00082CF3">
        <w:rPr>
          <w:color w:val="000000"/>
          <w:sz w:val="24"/>
          <w:szCs w:val="24"/>
        </w:rPr>
        <w:t>Marj al-</w:t>
      </w:r>
      <w:proofErr w:type="spellStart"/>
      <w:r w:rsidRPr="00082CF3">
        <w:rPr>
          <w:color w:val="000000"/>
          <w:sz w:val="24"/>
          <w:szCs w:val="24"/>
        </w:rPr>
        <w:t>Zahour</w:t>
      </w:r>
      <w:proofErr w:type="spellEnd"/>
      <w:r w:rsidRPr="00082CF3">
        <w:rPr>
          <w:color w:val="000000"/>
          <w:sz w:val="24"/>
          <w:szCs w:val="24"/>
        </w:rPr>
        <w:t xml:space="preserve"> deportees </w:t>
      </w:r>
      <w:r w:rsidRPr="00082CF3">
        <w:rPr>
          <w:color w:val="000000"/>
          <w:sz w:val="24"/>
          <w:szCs w:val="24"/>
          <w:lang w:val="en-US"/>
        </w:rPr>
        <w:t>in order to gain</w:t>
      </w:r>
      <w:r w:rsidRPr="00082CF3">
        <w:rPr>
          <w:color w:val="000000"/>
          <w:sz w:val="24"/>
          <w:szCs w:val="24"/>
        </w:rPr>
        <w:t xml:space="preserve"> public legitimacy. </w:t>
      </w:r>
      <w:r w:rsidRPr="00082CF3">
        <w:rPr>
          <w:color w:val="000000"/>
          <w:sz w:val="24"/>
          <w:szCs w:val="24"/>
          <w:lang w:val="en-US"/>
        </w:rPr>
        <w:t xml:space="preserve">Following the </w:t>
      </w:r>
      <w:r w:rsidR="00B4183C" w:rsidRPr="00082CF3">
        <w:rPr>
          <w:color w:val="000000"/>
          <w:sz w:val="24"/>
          <w:szCs w:val="24"/>
        </w:rPr>
        <w:t>December 1992</w:t>
      </w:r>
      <w:r w:rsidR="00B4183C">
        <w:rPr>
          <w:color w:val="000000"/>
          <w:sz w:val="24"/>
          <w:szCs w:val="24"/>
          <w:lang w:val="en-US"/>
        </w:rPr>
        <w:t xml:space="preserve"> </w:t>
      </w:r>
      <w:r w:rsidRPr="00082CF3">
        <w:rPr>
          <w:color w:val="000000"/>
          <w:sz w:val="24"/>
          <w:szCs w:val="24"/>
          <w:lang w:val="en-US"/>
        </w:rPr>
        <w:t>kidnapping and murder</w:t>
      </w:r>
      <w:r w:rsidR="00B4183C">
        <w:rPr>
          <w:color w:val="000000"/>
          <w:sz w:val="24"/>
          <w:szCs w:val="24"/>
          <w:lang w:val="en-US"/>
        </w:rPr>
        <w:t xml:space="preserve"> of an Israeli policeman</w:t>
      </w:r>
      <w:r w:rsidRPr="00082CF3">
        <w:rPr>
          <w:color w:val="000000"/>
          <w:sz w:val="24"/>
          <w:szCs w:val="24"/>
          <w:lang w:val="en-US"/>
        </w:rPr>
        <w:t xml:space="preserve"> (</w:t>
      </w:r>
      <w:r w:rsidRPr="00082CF3">
        <w:rPr>
          <w:color w:val="000000"/>
          <w:sz w:val="24"/>
          <w:szCs w:val="24"/>
        </w:rPr>
        <w:t>after his kidnappers</w:t>
      </w:r>
      <w:r w:rsidRPr="00082CF3">
        <w:rPr>
          <w:color w:val="000000"/>
          <w:sz w:val="24"/>
          <w:szCs w:val="24"/>
          <w:lang w:val="en-US"/>
        </w:rPr>
        <w:t>’</w:t>
      </w:r>
      <w:r w:rsidRPr="00082CF3">
        <w:rPr>
          <w:color w:val="000000"/>
          <w:sz w:val="24"/>
          <w:szCs w:val="24"/>
        </w:rPr>
        <w:t xml:space="preserve"> demand</w:t>
      </w:r>
      <w:r w:rsidRPr="00082CF3">
        <w:rPr>
          <w:color w:val="000000"/>
          <w:sz w:val="24"/>
          <w:szCs w:val="24"/>
          <w:lang w:val="en-US"/>
        </w:rPr>
        <w:t xml:space="preserve"> for</w:t>
      </w:r>
      <w:r w:rsidRPr="00082CF3">
        <w:rPr>
          <w:color w:val="000000"/>
          <w:sz w:val="24"/>
          <w:szCs w:val="24"/>
        </w:rPr>
        <w:t xml:space="preserve"> the release of Hamas leader Sheikh Ahmed Yassin from Israeli </w:t>
      </w:r>
      <w:commentRangeStart w:id="25"/>
      <w:r w:rsidRPr="00082CF3">
        <w:rPr>
          <w:color w:val="000000"/>
          <w:sz w:val="24"/>
          <w:szCs w:val="24"/>
        </w:rPr>
        <w:t>prison</w:t>
      </w:r>
      <w:commentRangeEnd w:id="25"/>
      <w:r w:rsidRPr="00082CF3">
        <w:rPr>
          <w:rStyle w:val="CommentReference"/>
        </w:rPr>
        <w:commentReference w:id="25"/>
      </w:r>
      <w:r w:rsidRPr="00082CF3">
        <w:rPr>
          <w:color w:val="000000"/>
          <w:sz w:val="24"/>
          <w:szCs w:val="24"/>
          <w:lang w:val="en-US"/>
        </w:rPr>
        <w:t>)</w:t>
      </w:r>
      <w:r w:rsidRPr="00082CF3">
        <w:rPr>
          <w:color w:val="000000"/>
          <w:sz w:val="24"/>
          <w:szCs w:val="24"/>
        </w:rPr>
        <w:t xml:space="preserve">, </w:t>
      </w:r>
      <w:r w:rsidRPr="00082CF3">
        <w:rPr>
          <w:color w:val="000000"/>
          <w:sz w:val="24"/>
          <w:szCs w:val="24"/>
          <w:lang w:val="en-US"/>
        </w:rPr>
        <w:t xml:space="preserve">Israeli deported more than 400 terrorists, most of them </w:t>
      </w:r>
      <w:proofErr w:type="gramStart"/>
      <w:r w:rsidRPr="00082CF3">
        <w:rPr>
          <w:color w:val="000000"/>
          <w:sz w:val="24"/>
          <w:szCs w:val="24"/>
          <w:lang w:val="en-US"/>
        </w:rPr>
        <w:t>Hamas</w:t>
      </w:r>
      <w:proofErr w:type="gramEnd"/>
      <w:r w:rsidRPr="00082CF3">
        <w:rPr>
          <w:color w:val="000000"/>
          <w:sz w:val="24"/>
          <w:szCs w:val="24"/>
          <w:lang w:val="en-US"/>
        </w:rPr>
        <w:t xml:space="preserve"> terror operatives, to Lebanon.</w:t>
      </w:r>
      <w:r w:rsidRPr="00082CF3">
        <w:rPr>
          <w:color w:val="000000"/>
          <w:sz w:val="24"/>
          <w:szCs w:val="24"/>
        </w:rPr>
        <w:t xml:space="preserve"> Lebanon refused</w:t>
      </w:r>
      <w:r w:rsidRPr="00082CF3">
        <w:rPr>
          <w:color w:val="000000"/>
          <w:sz w:val="24"/>
          <w:szCs w:val="24"/>
          <w:lang w:val="en-US"/>
        </w:rPr>
        <w:t xml:space="preserve"> </w:t>
      </w:r>
      <w:proofErr w:type="spellStart"/>
      <w:r w:rsidRPr="00082CF3">
        <w:rPr>
          <w:color w:val="000000"/>
          <w:sz w:val="24"/>
          <w:szCs w:val="24"/>
          <w:lang w:val="en-US"/>
        </w:rPr>
        <w:t>them</w:t>
      </w:r>
      <w:proofErr w:type="spellEnd"/>
      <w:r w:rsidRPr="00082CF3">
        <w:rPr>
          <w:color w:val="000000"/>
          <w:sz w:val="24"/>
          <w:szCs w:val="24"/>
          <w:lang w:val="en-US"/>
        </w:rPr>
        <w:t xml:space="preserve"> entry, leaving them stranded</w:t>
      </w:r>
      <w:r w:rsidRPr="00082CF3">
        <w:rPr>
          <w:color w:val="000000"/>
          <w:sz w:val="24"/>
          <w:szCs w:val="24"/>
        </w:rPr>
        <w:t xml:space="preserve"> in a makeshift camp called Marj al-</w:t>
      </w:r>
      <w:proofErr w:type="spellStart"/>
      <w:r w:rsidRPr="00082CF3">
        <w:rPr>
          <w:color w:val="000000"/>
          <w:sz w:val="24"/>
          <w:szCs w:val="24"/>
        </w:rPr>
        <w:t>Zahour</w:t>
      </w:r>
      <w:proofErr w:type="spellEnd"/>
      <w:r w:rsidRPr="00082CF3">
        <w:rPr>
          <w:color w:val="000000"/>
          <w:sz w:val="24"/>
          <w:szCs w:val="24"/>
        </w:rPr>
        <w:t xml:space="preserve">. </w:t>
      </w:r>
      <w:r w:rsidRPr="00082CF3">
        <w:rPr>
          <w:color w:val="000000"/>
          <w:sz w:val="24"/>
          <w:szCs w:val="24"/>
          <w:lang w:val="en-US"/>
        </w:rPr>
        <w:t>Israel’s aim in deporting them was to weaken Hamas and</w:t>
      </w:r>
      <w:r w:rsidRPr="00082CF3">
        <w:rPr>
          <w:color w:val="000000"/>
          <w:sz w:val="24"/>
          <w:szCs w:val="24"/>
        </w:rPr>
        <w:t xml:space="preserve"> facilitate negotiations with the PLO</w:t>
      </w:r>
      <w:r w:rsidR="00641E8F" w:rsidRPr="00082CF3">
        <w:rPr>
          <w:color w:val="000000"/>
          <w:sz w:val="24"/>
          <w:szCs w:val="24"/>
        </w:rPr>
        <w:t>.</w:t>
      </w:r>
      <w:r w:rsidR="00264184" w:rsidRPr="00082CF3">
        <w:rPr>
          <w:rStyle w:val="FootnoteReference"/>
          <w:color w:val="000000"/>
          <w:sz w:val="24"/>
          <w:szCs w:val="24"/>
        </w:rPr>
        <w:footnoteReference w:id="17"/>
      </w:r>
      <w:bookmarkStart w:id="26" w:name="_Hlk141361970"/>
      <w:r w:rsidR="00680D8E" w:rsidRPr="00082CF3">
        <w:rPr>
          <w:color w:val="000000"/>
          <w:sz w:val="24"/>
          <w:szCs w:val="24"/>
        </w:rPr>
        <w:t xml:space="preserve"> </w:t>
      </w:r>
    </w:p>
    <w:p w14:paraId="704B7B27" w14:textId="77777777" w:rsidR="007735FB" w:rsidRDefault="007735FB" w:rsidP="007735FB">
      <w:pPr>
        <w:spacing w:line="360" w:lineRule="auto"/>
        <w:rPr>
          <w:color w:val="000000"/>
          <w:sz w:val="24"/>
          <w:szCs w:val="24"/>
        </w:rPr>
      </w:pPr>
    </w:p>
    <w:p w14:paraId="7C642C15" w14:textId="2F067678" w:rsidR="00392F9A" w:rsidRPr="00082CF3" w:rsidRDefault="00680D8E" w:rsidP="007735FB">
      <w:pPr>
        <w:spacing w:line="360" w:lineRule="auto"/>
        <w:rPr>
          <w:color w:val="000000"/>
          <w:sz w:val="24"/>
          <w:szCs w:val="24"/>
        </w:rPr>
      </w:pPr>
      <w:r w:rsidRPr="00082CF3">
        <w:rPr>
          <w:color w:val="000000"/>
          <w:sz w:val="24"/>
          <w:szCs w:val="24"/>
        </w:rPr>
        <w:t>Already at the outset of the Oslo talks in January 1993, PLO representative Abu Ala, gave a pre-prepared speech</w:t>
      </w:r>
      <w:r w:rsidRPr="00082CF3">
        <w:rPr>
          <w:color w:val="000000"/>
          <w:sz w:val="24"/>
          <w:szCs w:val="24"/>
          <w:lang w:val="en-US"/>
        </w:rPr>
        <w:t xml:space="preserve"> insisting</w:t>
      </w:r>
      <w:r w:rsidRPr="00082CF3">
        <w:rPr>
          <w:color w:val="000000"/>
          <w:sz w:val="24"/>
          <w:szCs w:val="24"/>
        </w:rPr>
        <w:t xml:space="preserve"> that </w:t>
      </w:r>
      <w:r w:rsidRPr="00082CF3">
        <w:rPr>
          <w:color w:val="000000"/>
          <w:sz w:val="24"/>
          <w:szCs w:val="24"/>
          <w:lang w:val="en-US"/>
        </w:rPr>
        <w:t>“</w:t>
      </w:r>
      <w:r w:rsidRPr="00082CF3">
        <w:rPr>
          <w:color w:val="000000"/>
          <w:sz w:val="24"/>
          <w:szCs w:val="24"/>
        </w:rPr>
        <w:t xml:space="preserve">the first step… should be an immediate solution to the problem of Hamas </w:t>
      </w:r>
      <w:commentRangeStart w:id="27"/>
      <w:r w:rsidRPr="00082CF3">
        <w:rPr>
          <w:color w:val="000000"/>
          <w:sz w:val="24"/>
          <w:szCs w:val="24"/>
        </w:rPr>
        <w:t>deportees</w:t>
      </w:r>
      <w:commentRangeEnd w:id="27"/>
      <w:r w:rsidRPr="00082CF3">
        <w:rPr>
          <w:rStyle w:val="CommentReference"/>
        </w:rPr>
        <w:commentReference w:id="27"/>
      </w:r>
      <w:r w:rsidRPr="00082CF3">
        <w:rPr>
          <w:color w:val="000000"/>
          <w:sz w:val="24"/>
          <w:szCs w:val="24"/>
          <w:lang w:val="en-US"/>
        </w:rPr>
        <w:t>.”</w:t>
      </w:r>
      <w:r w:rsidRPr="00082CF3">
        <w:rPr>
          <w:color w:val="000000"/>
          <w:sz w:val="24"/>
          <w:szCs w:val="24"/>
        </w:rPr>
        <w:t xml:space="preserve"> </w:t>
      </w:r>
      <w:r w:rsidRPr="00082CF3">
        <w:rPr>
          <w:color w:val="000000"/>
          <w:sz w:val="24"/>
          <w:szCs w:val="24"/>
          <w:lang w:val="en-US"/>
        </w:rPr>
        <w:t xml:space="preserve">The PLO suggested that, in addition, older deportees and </w:t>
      </w:r>
      <w:r w:rsidRPr="00082CF3">
        <w:rPr>
          <w:color w:val="000000"/>
          <w:sz w:val="24"/>
          <w:szCs w:val="24"/>
        </w:rPr>
        <w:t xml:space="preserve">PLO supporters, especially individuals whose presence in the territories would assist the peace process, such as Mohammed Dahlan, </w:t>
      </w:r>
      <w:proofErr w:type="spellStart"/>
      <w:r w:rsidRPr="00082CF3">
        <w:rPr>
          <w:color w:val="000000"/>
          <w:sz w:val="24"/>
          <w:szCs w:val="24"/>
        </w:rPr>
        <w:t>Akram</w:t>
      </w:r>
      <w:proofErr w:type="spellEnd"/>
      <w:r w:rsidRPr="00082CF3">
        <w:rPr>
          <w:color w:val="000000"/>
          <w:sz w:val="24"/>
          <w:szCs w:val="24"/>
        </w:rPr>
        <w:t xml:space="preserve"> Haniyeh, Marwan Barghouti, and Jibril </w:t>
      </w:r>
      <w:proofErr w:type="spellStart"/>
      <w:r w:rsidRPr="00082CF3">
        <w:rPr>
          <w:color w:val="000000"/>
          <w:sz w:val="24"/>
          <w:szCs w:val="24"/>
        </w:rPr>
        <w:t>Rajou</w:t>
      </w:r>
      <w:proofErr w:type="spellEnd"/>
      <w:r w:rsidRPr="00082CF3">
        <w:rPr>
          <w:color w:val="000000"/>
          <w:sz w:val="24"/>
          <w:szCs w:val="24"/>
          <w:lang w:val="en-US"/>
        </w:rPr>
        <w:t>b</w:t>
      </w:r>
      <w:r w:rsidR="00895D95" w:rsidRPr="00082CF3">
        <w:rPr>
          <w:color w:val="000000"/>
          <w:sz w:val="24"/>
          <w:szCs w:val="24"/>
          <w:lang w:val="en-US"/>
        </w:rPr>
        <w:t>,</w:t>
      </w:r>
      <w:r w:rsidR="00895D95" w:rsidRPr="00082CF3">
        <w:rPr>
          <w:rStyle w:val="FootnoteReference"/>
          <w:color w:val="000000"/>
          <w:sz w:val="24"/>
          <w:szCs w:val="24"/>
        </w:rPr>
        <w:footnoteReference w:id="18"/>
      </w:r>
      <w:r w:rsidRPr="00082CF3">
        <w:rPr>
          <w:color w:val="000000"/>
          <w:sz w:val="24"/>
          <w:szCs w:val="24"/>
          <w:lang w:val="en-US"/>
        </w:rPr>
        <w:t xml:space="preserve"> should also be returned</w:t>
      </w:r>
      <w:r w:rsidR="00895D95" w:rsidRPr="00082CF3">
        <w:rPr>
          <w:color w:val="000000"/>
          <w:sz w:val="24"/>
          <w:szCs w:val="24"/>
          <w:lang w:val="en-US"/>
        </w:rPr>
        <w:t>.</w:t>
      </w:r>
      <w:r w:rsidRPr="00082CF3">
        <w:rPr>
          <w:color w:val="000000"/>
          <w:sz w:val="24"/>
          <w:szCs w:val="24"/>
          <w:lang w:val="en-US"/>
        </w:rPr>
        <w:t xml:space="preserve"> </w:t>
      </w:r>
      <w:r w:rsidRPr="00082CF3">
        <w:rPr>
          <w:color w:val="000000"/>
          <w:sz w:val="24"/>
          <w:szCs w:val="24"/>
        </w:rPr>
        <w:t xml:space="preserve">Beilin </w:t>
      </w:r>
      <w:r w:rsidRPr="00082CF3">
        <w:rPr>
          <w:color w:val="000000"/>
          <w:sz w:val="24"/>
          <w:szCs w:val="24"/>
          <w:lang w:val="en-US"/>
        </w:rPr>
        <w:t xml:space="preserve">noted that the PLO proposed the return of others in addition to </w:t>
      </w:r>
      <w:r w:rsidRPr="00082CF3">
        <w:rPr>
          <w:color w:val="000000"/>
          <w:sz w:val="24"/>
          <w:szCs w:val="24"/>
        </w:rPr>
        <w:t>the Hamas deportees</w:t>
      </w:r>
      <w:r w:rsidRPr="00082CF3">
        <w:rPr>
          <w:color w:val="000000"/>
          <w:sz w:val="24"/>
          <w:szCs w:val="24"/>
          <w:lang w:val="en-US"/>
        </w:rPr>
        <w:t xml:space="preserve"> to </w:t>
      </w:r>
      <w:r w:rsidRPr="00082CF3">
        <w:rPr>
          <w:color w:val="000000"/>
          <w:sz w:val="24"/>
          <w:szCs w:val="24"/>
          <w:lang w:val="en-US"/>
        </w:rPr>
        <w:lastRenderedPageBreak/>
        <w:t>ensure that</w:t>
      </w:r>
      <w:r w:rsidR="00915A49">
        <w:rPr>
          <w:color w:val="000000"/>
          <w:sz w:val="24"/>
          <w:szCs w:val="24"/>
          <w:lang w:val="en-US"/>
        </w:rPr>
        <w:t>:</w:t>
      </w:r>
      <w:r w:rsidRPr="00082CF3">
        <w:rPr>
          <w:color w:val="000000"/>
          <w:sz w:val="24"/>
          <w:szCs w:val="24"/>
        </w:rPr>
        <w:t xml:space="preserve"> </w:t>
      </w:r>
      <w:r w:rsidR="007735FB">
        <w:rPr>
          <w:color w:val="000000"/>
          <w:sz w:val="24"/>
          <w:szCs w:val="24"/>
          <w:lang w:val="en-US"/>
        </w:rPr>
        <w:t>“</w:t>
      </w:r>
      <w:r w:rsidRPr="00082CF3">
        <w:rPr>
          <w:color w:val="000000"/>
          <w:sz w:val="24"/>
          <w:szCs w:val="24"/>
        </w:rPr>
        <w:t>the celebration would not only be that of the extremists</w:t>
      </w:r>
      <w:r w:rsidR="00895D95" w:rsidRPr="00082CF3">
        <w:rPr>
          <w:color w:val="000000"/>
          <w:sz w:val="24"/>
          <w:szCs w:val="24"/>
          <w:lang w:val="en-US"/>
        </w:rPr>
        <w:t>.</w:t>
      </w:r>
      <w:r w:rsidR="007735FB">
        <w:rPr>
          <w:color w:val="000000"/>
          <w:sz w:val="24"/>
          <w:szCs w:val="24"/>
          <w:lang w:val="en-US"/>
        </w:rPr>
        <w:t>”</w:t>
      </w:r>
      <w:r w:rsidR="00264184" w:rsidRPr="00082CF3">
        <w:rPr>
          <w:rStyle w:val="FootnoteReference"/>
          <w:color w:val="000000"/>
          <w:sz w:val="24"/>
          <w:szCs w:val="24"/>
        </w:rPr>
        <w:footnoteReference w:id="19"/>
      </w:r>
      <w:r w:rsidR="00895D95" w:rsidRPr="00082CF3">
        <w:rPr>
          <w:color w:val="000000"/>
          <w:sz w:val="24"/>
          <w:szCs w:val="24"/>
          <w:lang w:val="en-US"/>
        </w:rPr>
        <w:t xml:space="preserve"> </w:t>
      </w:r>
      <w:bookmarkStart w:id="28" w:name="_Hlk141362551"/>
      <w:bookmarkEnd w:id="26"/>
      <w:r w:rsidR="00392F9A" w:rsidRPr="00082CF3">
        <w:rPr>
          <w:color w:val="000000"/>
          <w:sz w:val="24"/>
          <w:szCs w:val="24"/>
          <w:lang w:val="en-US"/>
        </w:rPr>
        <w:t>Again</w:t>
      </w:r>
      <w:r w:rsidR="00915A49">
        <w:rPr>
          <w:color w:val="000000"/>
          <w:sz w:val="24"/>
          <w:szCs w:val="24"/>
          <w:lang w:val="en-US"/>
        </w:rPr>
        <w:t>,</w:t>
      </w:r>
      <w:r w:rsidR="00392F9A" w:rsidRPr="00082CF3">
        <w:rPr>
          <w:color w:val="000000"/>
          <w:sz w:val="24"/>
          <w:szCs w:val="24"/>
          <w:lang w:val="en-US"/>
        </w:rPr>
        <w:t xml:space="preserve"> at a</w:t>
      </w:r>
      <w:r w:rsidR="00392F9A" w:rsidRPr="00082CF3">
        <w:rPr>
          <w:color w:val="000000"/>
          <w:sz w:val="24"/>
          <w:szCs w:val="24"/>
        </w:rPr>
        <w:t xml:space="preserve"> meeting on February 10, 1993, Abu Ala </w:t>
      </w:r>
      <w:r w:rsidR="00392F9A" w:rsidRPr="00082CF3">
        <w:rPr>
          <w:color w:val="000000"/>
          <w:sz w:val="24"/>
          <w:szCs w:val="24"/>
          <w:lang w:val="en-US"/>
        </w:rPr>
        <w:t>stated</w:t>
      </w:r>
      <w:r w:rsidR="00392F9A" w:rsidRPr="00082CF3">
        <w:rPr>
          <w:color w:val="000000"/>
          <w:sz w:val="24"/>
          <w:szCs w:val="24"/>
        </w:rPr>
        <w:t xml:space="preserve"> that </w:t>
      </w:r>
      <w:r w:rsidR="00392F9A" w:rsidRPr="00082CF3">
        <w:rPr>
          <w:color w:val="000000"/>
          <w:sz w:val="24"/>
          <w:szCs w:val="24"/>
          <w:lang w:val="en-US"/>
        </w:rPr>
        <w:t xml:space="preserve">the </w:t>
      </w:r>
      <w:r w:rsidR="00392F9A" w:rsidRPr="00082CF3">
        <w:rPr>
          <w:color w:val="000000"/>
          <w:sz w:val="24"/>
          <w:szCs w:val="24"/>
        </w:rPr>
        <w:t xml:space="preserve">PLO </w:t>
      </w:r>
      <w:r w:rsidR="00392F9A" w:rsidRPr="00082CF3">
        <w:rPr>
          <w:color w:val="000000"/>
          <w:sz w:val="24"/>
          <w:szCs w:val="24"/>
          <w:lang w:val="en-US"/>
        </w:rPr>
        <w:t>“</w:t>
      </w:r>
      <w:r w:rsidR="00392F9A" w:rsidRPr="00082CF3">
        <w:rPr>
          <w:color w:val="000000"/>
          <w:sz w:val="24"/>
          <w:szCs w:val="24"/>
        </w:rPr>
        <w:t>reject</w:t>
      </w:r>
      <w:r w:rsidR="00915A49">
        <w:rPr>
          <w:color w:val="000000"/>
          <w:sz w:val="24"/>
          <w:szCs w:val="24"/>
          <w:lang w:val="en-US"/>
        </w:rPr>
        <w:t>[s]</w:t>
      </w:r>
      <w:r w:rsidR="00392F9A" w:rsidRPr="00082CF3">
        <w:rPr>
          <w:color w:val="000000"/>
          <w:sz w:val="24"/>
          <w:szCs w:val="24"/>
        </w:rPr>
        <w:t xml:space="preserve"> the way of Hamas and even see</w:t>
      </w:r>
      <w:r w:rsidR="00915A49">
        <w:rPr>
          <w:color w:val="000000"/>
          <w:sz w:val="24"/>
          <w:szCs w:val="24"/>
          <w:lang w:val="en-US"/>
        </w:rPr>
        <w:t>[s]</w:t>
      </w:r>
      <w:r w:rsidR="00392F9A" w:rsidRPr="00082CF3">
        <w:rPr>
          <w:color w:val="000000"/>
          <w:sz w:val="24"/>
          <w:szCs w:val="24"/>
        </w:rPr>
        <w:t xml:space="preserve"> it as a deviation from Islamic tradition, but at the same time</w:t>
      </w:r>
      <w:r w:rsidR="00392F9A" w:rsidRPr="00082CF3">
        <w:rPr>
          <w:color w:val="000000"/>
          <w:sz w:val="24"/>
          <w:szCs w:val="24"/>
          <w:lang w:val="en-US"/>
        </w:rPr>
        <w:t>,</w:t>
      </w:r>
      <w:r w:rsidR="00392F9A" w:rsidRPr="00082CF3">
        <w:rPr>
          <w:color w:val="000000"/>
          <w:sz w:val="24"/>
          <w:szCs w:val="24"/>
        </w:rPr>
        <w:t xml:space="preserve"> totally reject the way in which the Rabin government, which adopted a policy of deportation, acted.</w:t>
      </w:r>
      <w:r w:rsidR="00392F9A" w:rsidRPr="00082CF3">
        <w:rPr>
          <w:color w:val="000000"/>
          <w:sz w:val="24"/>
          <w:szCs w:val="24"/>
          <w:lang w:val="en-US"/>
        </w:rPr>
        <w:t>”</w:t>
      </w:r>
      <w:r w:rsidR="00392F9A" w:rsidRPr="00082CF3">
        <w:rPr>
          <w:rStyle w:val="FootnoteReference"/>
          <w:color w:val="000000"/>
          <w:sz w:val="24"/>
          <w:szCs w:val="24"/>
        </w:rPr>
        <w:footnoteReference w:id="20"/>
      </w:r>
      <w:r w:rsidR="00392F9A" w:rsidRPr="00082CF3">
        <w:rPr>
          <w:color w:val="000000"/>
          <w:sz w:val="24"/>
          <w:szCs w:val="24"/>
        </w:rPr>
        <w:t xml:space="preserve"> </w:t>
      </w:r>
      <w:r w:rsidR="00392F9A" w:rsidRPr="00082CF3">
        <w:rPr>
          <w:color w:val="000000"/>
          <w:sz w:val="24"/>
          <w:szCs w:val="24"/>
          <w:lang w:val="en-US"/>
        </w:rPr>
        <w:t>According to Abu Ala, the deportations had inadvertently strengthened Hamas and stalled the political process. The Rabin government, he maintained, had not punished Hamas</w:t>
      </w:r>
      <w:r w:rsidR="00915A49">
        <w:rPr>
          <w:color w:val="000000"/>
          <w:sz w:val="24"/>
          <w:szCs w:val="24"/>
          <w:lang w:val="en-US"/>
        </w:rPr>
        <w:t>,</w:t>
      </w:r>
      <w:r w:rsidR="00392F9A" w:rsidRPr="00082CF3">
        <w:rPr>
          <w:color w:val="000000"/>
          <w:sz w:val="24"/>
          <w:szCs w:val="24"/>
          <w:lang w:val="en-US"/>
        </w:rPr>
        <w:t xml:space="preserve"> but had done them a great </w:t>
      </w:r>
      <w:commentRangeStart w:id="29"/>
      <w:r w:rsidR="00392F9A" w:rsidRPr="00082CF3">
        <w:rPr>
          <w:color w:val="000000"/>
          <w:sz w:val="24"/>
          <w:szCs w:val="24"/>
          <w:lang w:val="en-US"/>
        </w:rPr>
        <w:t>favor</w:t>
      </w:r>
      <w:commentRangeEnd w:id="29"/>
      <w:r w:rsidR="00392F9A" w:rsidRPr="00082CF3">
        <w:rPr>
          <w:rStyle w:val="CommentReference"/>
        </w:rPr>
        <w:commentReference w:id="29"/>
      </w:r>
      <w:r w:rsidR="00392F9A" w:rsidRPr="00082CF3">
        <w:rPr>
          <w:color w:val="000000"/>
          <w:sz w:val="24"/>
          <w:szCs w:val="24"/>
          <w:lang w:val="en-US"/>
        </w:rPr>
        <w:t>.</w:t>
      </w:r>
      <w:r w:rsidR="00392F9A" w:rsidRPr="00082CF3">
        <w:rPr>
          <w:rStyle w:val="FootnoteReference"/>
          <w:color w:val="000000"/>
          <w:sz w:val="24"/>
          <w:szCs w:val="24"/>
          <w:lang w:val="en-US"/>
        </w:rPr>
        <w:footnoteReference w:id="21"/>
      </w:r>
    </w:p>
    <w:p w14:paraId="00000010" w14:textId="29FC26C7" w:rsidR="00CF554D" w:rsidRPr="00082CF3" w:rsidRDefault="00CF554D" w:rsidP="00082CF3">
      <w:pPr>
        <w:widowControl w:val="0"/>
        <w:pBdr>
          <w:top w:val="nil"/>
          <w:left w:val="nil"/>
          <w:bottom w:val="nil"/>
          <w:right w:val="nil"/>
          <w:between w:val="nil"/>
        </w:pBdr>
        <w:spacing w:line="360" w:lineRule="auto"/>
        <w:rPr>
          <w:color w:val="000000"/>
          <w:sz w:val="24"/>
          <w:szCs w:val="24"/>
        </w:rPr>
      </w:pPr>
    </w:p>
    <w:bookmarkEnd w:id="28"/>
    <w:p w14:paraId="4F38FF32" w14:textId="3879F5F5" w:rsidR="00A2570D" w:rsidRPr="00082CF3" w:rsidRDefault="00A2570D" w:rsidP="007735FB">
      <w:pPr>
        <w:widowControl w:val="0"/>
        <w:pBdr>
          <w:top w:val="nil"/>
          <w:left w:val="nil"/>
          <w:bottom w:val="nil"/>
          <w:right w:val="nil"/>
          <w:between w:val="nil"/>
        </w:pBdr>
        <w:spacing w:line="360" w:lineRule="auto"/>
        <w:rPr>
          <w:color w:val="000000"/>
          <w:sz w:val="24"/>
          <w:szCs w:val="24"/>
        </w:rPr>
      </w:pPr>
      <w:r w:rsidRPr="00082CF3">
        <w:rPr>
          <w:color w:val="000000"/>
          <w:sz w:val="24"/>
          <w:szCs w:val="24"/>
        </w:rPr>
        <w:t>Although Pundak d</w:t>
      </w:r>
      <w:r w:rsidRPr="00082CF3">
        <w:rPr>
          <w:color w:val="000000"/>
          <w:sz w:val="24"/>
          <w:szCs w:val="24"/>
          <w:lang w:val="en-US"/>
        </w:rPr>
        <w:t xml:space="preserve">ismissed </w:t>
      </w:r>
      <w:r w:rsidRPr="00082CF3">
        <w:rPr>
          <w:color w:val="000000"/>
          <w:sz w:val="24"/>
          <w:szCs w:val="24"/>
        </w:rPr>
        <w:t>Abu Ala</w:t>
      </w:r>
      <w:r w:rsidRPr="00082CF3">
        <w:rPr>
          <w:color w:val="000000"/>
          <w:sz w:val="24"/>
          <w:szCs w:val="24"/>
          <w:lang w:val="en-US"/>
        </w:rPr>
        <w:t>’</w:t>
      </w:r>
      <w:r w:rsidRPr="00082CF3">
        <w:rPr>
          <w:color w:val="000000"/>
          <w:sz w:val="24"/>
          <w:szCs w:val="24"/>
        </w:rPr>
        <w:t xml:space="preserve">s comments </w:t>
      </w:r>
      <w:r w:rsidRPr="00082CF3">
        <w:rPr>
          <w:color w:val="000000"/>
          <w:sz w:val="24"/>
          <w:szCs w:val="24"/>
          <w:lang w:val="en-US"/>
        </w:rPr>
        <w:t>about</w:t>
      </w:r>
      <w:r w:rsidRPr="00082CF3">
        <w:rPr>
          <w:color w:val="000000"/>
          <w:sz w:val="24"/>
          <w:szCs w:val="24"/>
        </w:rPr>
        <w:t xml:space="preserve"> the deportees and the </w:t>
      </w:r>
      <w:r w:rsidRPr="00082CF3">
        <w:rPr>
          <w:color w:val="000000"/>
          <w:sz w:val="24"/>
          <w:szCs w:val="24"/>
          <w:lang w:val="en-US"/>
        </w:rPr>
        <w:t>call for their</w:t>
      </w:r>
      <w:r w:rsidRPr="00082CF3">
        <w:rPr>
          <w:color w:val="000000"/>
          <w:sz w:val="24"/>
          <w:szCs w:val="24"/>
        </w:rPr>
        <w:t xml:space="preserve"> immediate return as </w:t>
      </w:r>
      <w:r w:rsidRPr="00082CF3">
        <w:rPr>
          <w:color w:val="000000"/>
          <w:sz w:val="24"/>
          <w:szCs w:val="24"/>
          <w:lang w:val="en-US"/>
        </w:rPr>
        <w:t>“</w:t>
      </w:r>
      <w:r w:rsidRPr="00082CF3">
        <w:rPr>
          <w:color w:val="000000"/>
          <w:sz w:val="24"/>
          <w:szCs w:val="24"/>
        </w:rPr>
        <w:t>national lip service</w:t>
      </w:r>
      <w:r w:rsidRPr="00082CF3">
        <w:rPr>
          <w:color w:val="000000"/>
          <w:sz w:val="24"/>
          <w:szCs w:val="24"/>
          <w:lang w:val="en-US"/>
        </w:rPr>
        <w:t>,”</w:t>
      </w:r>
      <w:r w:rsidRPr="00082CF3">
        <w:rPr>
          <w:rStyle w:val="FootnoteReference"/>
          <w:color w:val="000000"/>
          <w:sz w:val="24"/>
          <w:szCs w:val="24"/>
        </w:rPr>
        <w:footnoteReference w:id="22"/>
      </w:r>
      <w:r w:rsidRPr="00082CF3">
        <w:rPr>
          <w:color w:val="000000"/>
          <w:sz w:val="24"/>
          <w:szCs w:val="24"/>
        </w:rPr>
        <w:t xml:space="preserve"> in the next meeting</w:t>
      </w:r>
      <w:r w:rsidRPr="00082CF3">
        <w:rPr>
          <w:color w:val="000000"/>
          <w:sz w:val="24"/>
          <w:szCs w:val="24"/>
          <w:lang w:val="en-US"/>
        </w:rPr>
        <w:t xml:space="preserve"> </w:t>
      </w:r>
      <w:r w:rsidRPr="00082CF3">
        <w:rPr>
          <w:color w:val="000000"/>
          <w:sz w:val="24"/>
          <w:szCs w:val="24"/>
        </w:rPr>
        <w:t>on March 20, 1993, Abu Ala brought up the subject again</w:t>
      </w:r>
      <w:r w:rsidRPr="00082CF3">
        <w:rPr>
          <w:color w:val="000000"/>
          <w:sz w:val="24"/>
          <w:szCs w:val="24"/>
          <w:lang w:val="en-US"/>
        </w:rPr>
        <w:t xml:space="preserve">, claiming </w:t>
      </w:r>
      <w:r w:rsidR="00915A49">
        <w:rPr>
          <w:color w:val="000000"/>
          <w:sz w:val="24"/>
          <w:szCs w:val="24"/>
          <w:lang w:val="en-US"/>
        </w:rPr>
        <w:t xml:space="preserve">that </w:t>
      </w:r>
      <w:r w:rsidRPr="00082CF3">
        <w:rPr>
          <w:color w:val="000000"/>
          <w:sz w:val="24"/>
          <w:szCs w:val="24"/>
          <w:lang w:val="en-US"/>
        </w:rPr>
        <w:t xml:space="preserve">along with Israel’s persistent </w:t>
      </w:r>
      <w:r w:rsidRPr="00082CF3">
        <w:rPr>
          <w:color w:val="000000"/>
          <w:sz w:val="24"/>
          <w:szCs w:val="24"/>
        </w:rPr>
        <w:t xml:space="preserve">use of force in the territories, </w:t>
      </w:r>
      <w:proofErr w:type="gramStart"/>
      <w:r w:rsidRPr="00082CF3">
        <w:rPr>
          <w:color w:val="000000"/>
          <w:sz w:val="24"/>
          <w:szCs w:val="24"/>
          <w:lang w:val="en-US"/>
        </w:rPr>
        <w:t xml:space="preserve">“ </w:t>
      </w:r>
      <w:r w:rsidRPr="00082CF3">
        <w:rPr>
          <w:color w:val="000000"/>
          <w:sz w:val="24"/>
          <w:szCs w:val="24"/>
        </w:rPr>
        <w:t>the</w:t>
      </w:r>
      <w:proofErr w:type="gramEnd"/>
      <w:r w:rsidRPr="00082CF3">
        <w:rPr>
          <w:color w:val="000000"/>
          <w:sz w:val="24"/>
          <w:szCs w:val="24"/>
        </w:rPr>
        <w:t xml:space="preserve"> second issue is the problem of the deportees. The Palestinian delegation will not be able to participate in the bilateral talks without an agreement on the issue of the deportees to Lebanon</w:t>
      </w:r>
      <w:r w:rsidRPr="00082CF3">
        <w:rPr>
          <w:color w:val="000000"/>
          <w:sz w:val="24"/>
          <w:szCs w:val="24"/>
          <w:lang w:val="en-US"/>
        </w:rPr>
        <w:t>.”</w:t>
      </w:r>
      <w:r w:rsidRPr="00082CF3">
        <w:rPr>
          <w:rStyle w:val="FootnoteReference"/>
          <w:color w:val="000000"/>
          <w:sz w:val="24"/>
          <w:szCs w:val="24"/>
        </w:rPr>
        <w:footnoteReference w:id="23"/>
      </w:r>
      <w:r w:rsidRPr="00082CF3">
        <w:rPr>
          <w:color w:val="000000"/>
          <w:sz w:val="24"/>
          <w:szCs w:val="24"/>
          <w:lang w:val="en-US"/>
        </w:rPr>
        <w:t xml:space="preserve"> Even during the signing of the </w:t>
      </w:r>
      <w:r w:rsidR="00ED6D8F" w:rsidRPr="00082CF3">
        <w:rPr>
          <w:color w:val="000000"/>
          <w:sz w:val="24"/>
          <w:szCs w:val="24"/>
          <w:lang w:val="en-US"/>
        </w:rPr>
        <w:t>Declaration of Principles,</w:t>
      </w:r>
      <w:r w:rsidRPr="00082CF3">
        <w:rPr>
          <w:color w:val="000000"/>
          <w:sz w:val="24"/>
          <w:szCs w:val="24"/>
          <w:lang w:val="en-US"/>
        </w:rPr>
        <w:t xml:space="preserve"> the PLO maintained this stance.</w:t>
      </w:r>
    </w:p>
    <w:p w14:paraId="4DFFEADF" w14:textId="77777777" w:rsidR="00ED6D8F" w:rsidRPr="00082CF3" w:rsidRDefault="00ED6D8F" w:rsidP="00A2570D">
      <w:pPr>
        <w:widowControl w:val="0"/>
        <w:pBdr>
          <w:top w:val="nil"/>
          <w:left w:val="nil"/>
          <w:bottom w:val="nil"/>
          <w:right w:val="nil"/>
          <w:between w:val="nil"/>
        </w:pBdr>
        <w:rPr>
          <w:color w:val="000000"/>
        </w:rPr>
      </w:pPr>
    </w:p>
    <w:p w14:paraId="1A2AACCF" w14:textId="14D5F071" w:rsidR="00ED6D8F" w:rsidRPr="00082CF3" w:rsidRDefault="00ED6D8F" w:rsidP="00082CF3">
      <w:pPr>
        <w:widowControl w:val="0"/>
        <w:pBdr>
          <w:top w:val="nil"/>
          <w:left w:val="nil"/>
          <w:bottom w:val="nil"/>
          <w:right w:val="nil"/>
          <w:between w:val="nil"/>
        </w:pBdr>
        <w:spacing w:line="360" w:lineRule="auto"/>
        <w:rPr>
          <w:color w:val="000000"/>
          <w:sz w:val="24"/>
          <w:szCs w:val="24"/>
        </w:rPr>
      </w:pPr>
      <w:r w:rsidRPr="00082CF3">
        <w:rPr>
          <w:color w:val="000000"/>
          <w:sz w:val="24"/>
          <w:szCs w:val="24"/>
        </w:rPr>
        <w:t xml:space="preserve">When Beilin first met with Arafat after the signing of the </w:t>
      </w:r>
      <w:r w:rsidRPr="00082CF3">
        <w:rPr>
          <w:color w:val="000000"/>
          <w:sz w:val="24"/>
          <w:szCs w:val="24"/>
          <w:lang w:val="en-US"/>
        </w:rPr>
        <w:t xml:space="preserve">Declaration of </w:t>
      </w:r>
      <w:r w:rsidRPr="00082CF3">
        <w:rPr>
          <w:color w:val="000000"/>
          <w:sz w:val="24"/>
          <w:szCs w:val="24"/>
        </w:rPr>
        <w:t xml:space="preserve">Principles in September 1993, Arafat asked him </w:t>
      </w:r>
      <w:r w:rsidRPr="00082CF3">
        <w:rPr>
          <w:color w:val="000000"/>
          <w:sz w:val="24"/>
          <w:szCs w:val="24"/>
          <w:lang w:val="en-US"/>
        </w:rPr>
        <w:t>for help in releasing</w:t>
      </w:r>
      <w:r w:rsidRPr="00082CF3">
        <w:rPr>
          <w:color w:val="000000"/>
          <w:sz w:val="24"/>
          <w:szCs w:val="24"/>
        </w:rPr>
        <w:t xml:space="preserve"> Sheikh Ahmed Yassin from prison, </w:t>
      </w:r>
      <w:r w:rsidRPr="00082CF3">
        <w:rPr>
          <w:color w:val="000000"/>
          <w:sz w:val="24"/>
          <w:szCs w:val="24"/>
          <w:lang w:val="en-US"/>
        </w:rPr>
        <w:t>feeling that this</w:t>
      </w:r>
      <w:r w:rsidRPr="00082CF3">
        <w:rPr>
          <w:color w:val="000000"/>
          <w:sz w:val="24"/>
          <w:szCs w:val="24"/>
        </w:rPr>
        <w:t xml:space="preserve"> would consolidate his status as the leader of all Palestinians.</w:t>
      </w:r>
      <w:r w:rsidRPr="00082CF3">
        <w:rPr>
          <w:rStyle w:val="FootnoteReference"/>
          <w:color w:val="000000"/>
          <w:sz w:val="24"/>
          <w:szCs w:val="24"/>
        </w:rPr>
        <w:footnoteReference w:id="24"/>
      </w:r>
      <w:r w:rsidRPr="00082CF3">
        <w:rPr>
          <w:color w:val="000000"/>
          <w:sz w:val="24"/>
          <w:szCs w:val="24"/>
        </w:rPr>
        <w:t xml:space="preserve"> In </w:t>
      </w:r>
      <w:r w:rsidRPr="00082CF3">
        <w:rPr>
          <w:color w:val="000000"/>
          <w:sz w:val="24"/>
          <w:szCs w:val="24"/>
          <w:lang w:val="en-US"/>
        </w:rPr>
        <w:t>reality, by</w:t>
      </w:r>
      <w:r w:rsidRPr="00082CF3">
        <w:rPr>
          <w:color w:val="000000"/>
          <w:sz w:val="24"/>
          <w:szCs w:val="24"/>
        </w:rPr>
        <w:t xml:space="preserve"> in December 1993, the Hamas deportees returned from Lebanon with a much higher public </w:t>
      </w:r>
      <w:r w:rsidRPr="00082CF3">
        <w:rPr>
          <w:color w:val="000000"/>
          <w:sz w:val="24"/>
          <w:szCs w:val="24"/>
          <w:lang w:val="en-US"/>
        </w:rPr>
        <w:t xml:space="preserve">recognition and support, thereby </w:t>
      </w:r>
      <w:r w:rsidRPr="00082CF3">
        <w:rPr>
          <w:color w:val="000000"/>
          <w:sz w:val="24"/>
          <w:szCs w:val="24"/>
        </w:rPr>
        <w:t>strengthening Hamas</w:t>
      </w:r>
      <w:commentRangeStart w:id="30"/>
      <w:r w:rsidRPr="00082CF3">
        <w:rPr>
          <w:color w:val="000000"/>
          <w:sz w:val="24"/>
          <w:szCs w:val="24"/>
        </w:rPr>
        <w:t>.</w:t>
      </w:r>
      <w:r w:rsidRPr="00082CF3">
        <w:rPr>
          <w:rStyle w:val="FootnoteReference"/>
          <w:color w:val="000000"/>
          <w:sz w:val="24"/>
          <w:szCs w:val="24"/>
        </w:rPr>
        <w:footnoteReference w:id="25"/>
      </w:r>
      <w:commentRangeEnd w:id="30"/>
      <w:r w:rsidRPr="00082CF3">
        <w:rPr>
          <w:rStyle w:val="CommentReference"/>
          <w:sz w:val="24"/>
          <w:szCs w:val="24"/>
        </w:rPr>
        <w:commentReference w:id="30"/>
      </w:r>
    </w:p>
    <w:p w14:paraId="00000012"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72E1F9EF" w14:textId="222E435B" w:rsidR="009E108C" w:rsidRPr="00082CF3" w:rsidRDefault="009E108C" w:rsidP="000973A7">
      <w:pPr>
        <w:spacing w:line="360" w:lineRule="auto"/>
        <w:rPr>
          <w:color w:val="000000"/>
          <w:sz w:val="24"/>
          <w:szCs w:val="24"/>
          <w:lang w:val="en-US"/>
        </w:rPr>
      </w:pPr>
      <w:bookmarkStart w:id="31" w:name="_Hlk141363745"/>
      <w:r w:rsidRPr="00082CF3">
        <w:rPr>
          <w:color w:val="000000"/>
          <w:sz w:val="24"/>
          <w:szCs w:val="24"/>
          <w:lang w:val="en-US"/>
        </w:rPr>
        <w:t>E</w:t>
      </w:r>
      <w:proofErr w:type="spellStart"/>
      <w:r w:rsidRPr="00082CF3">
        <w:rPr>
          <w:color w:val="000000"/>
          <w:sz w:val="24"/>
          <w:szCs w:val="24"/>
        </w:rPr>
        <w:t>ven</w:t>
      </w:r>
      <w:proofErr w:type="spellEnd"/>
      <w:r w:rsidRPr="00082CF3">
        <w:rPr>
          <w:color w:val="000000"/>
          <w:sz w:val="24"/>
          <w:szCs w:val="24"/>
        </w:rPr>
        <w:t xml:space="preserve"> during the Oslo talks,</w:t>
      </w:r>
      <w:r w:rsidRPr="00082CF3">
        <w:rPr>
          <w:color w:val="000000"/>
          <w:sz w:val="24"/>
          <w:szCs w:val="24"/>
          <w:lang w:val="en-US"/>
        </w:rPr>
        <w:t xml:space="preserve"> it was evident that the PLO was continuing with </w:t>
      </w:r>
      <w:proofErr w:type="gramStart"/>
      <w:r w:rsidRPr="00082CF3">
        <w:rPr>
          <w:color w:val="000000"/>
          <w:sz w:val="24"/>
          <w:szCs w:val="24"/>
          <w:lang w:val="en-US"/>
        </w:rPr>
        <w:t>its  ambiguous</w:t>
      </w:r>
      <w:proofErr w:type="gramEnd"/>
      <w:r w:rsidRPr="00082CF3">
        <w:rPr>
          <w:color w:val="000000"/>
          <w:sz w:val="24"/>
          <w:szCs w:val="24"/>
          <w:lang w:val="en-US"/>
        </w:rPr>
        <w:t xml:space="preserve"> policy towards Hamas.</w:t>
      </w:r>
      <w:r w:rsidRPr="00082CF3">
        <w:rPr>
          <w:color w:val="000000"/>
          <w:sz w:val="24"/>
          <w:szCs w:val="24"/>
        </w:rPr>
        <w:t xml:space="preserve"> On the one hand, </w:t>
      </w:r>
      <w:r w:rsidRPr="00082CF3">
        <w:rPr>
          <w:color w:val="000000"/>
          <w:sz w:val="24"/>
          <w:szCs w:val="24"/>
          <w:lang w:val="en-US"/>
        </w:rPr>
        <w:t>the PLO recognized the threat posed by</w:t>
      </w:r>
      <w:r w:rsidRPr="00082CF3">
        <w:rPr>
          <w:color w:val="000000"/>
          <w:sz w:val="24"/>
          <w:szCs w:val="24"/>
        </w:rPr>
        <w:t xml:space="preserve"> Hamas was a threat and needed to be undermined</w:t>
      </w:r>
      <w:r w:rsidRPr="00082CF3">
        <w:rPr>
          <w:color w:val="000000"/>
          <w:sz w:val="24"/>
          <w:szCs w:val="24"/>
          <w:lang w:val="en-US"/>
        </w:rPr>
        <w:t xml:space="preserve">. On the other, the PLO </w:t>
      </w:r>
      <w:r w:rsidRPr="00082CF3">
        <w:rPr>
          <w:color w:val="000000"/>
          <w:sz w:val="24"/>
          <w:szCs w:val="24"/>
          <w:lang w:val="en-US"/>
        </w:rPr>
        <w:lastRenderedPageBreak/>
        <w:t>also aided and strengthen</w:t>
      </w:r>
      <w:r w:rsidR="00915A49">
        <w:rPr>
          <w:color w:val="000000"/>
          <w:sz w:val="24"/>
          <w:szCs w:val="24"/>
          <w:lang w:val="en-US"/>
        </w:rPr>
        <w:t>ed</w:t>
      </w:r>
      <w:r w:rsidRPr="00082CF3">
        <w:rPr>
          <w:color w:val="000000"/>
          <w:sz w:val="24"/>
          <w:szCs w:val="24"/>
          <w:lang w:val="en-US"/>
        </w:rPr>
        <w:t xml:space="preserve"> Hamas, portraying itself as the defender of the interests of all Palestinians in order to secure public support. This ambiguous approach reflected the PLO’s desire to weaken Hamas, fearing its rising power, while simultaneously aiding it to gain public support </w:t>
      </w:r>
      <w:r w:rsidRPr="00082CF3">
        <w:rPr>
          <w:color w:val="000000"/>
          <w:sz w:val="24"/>
          <w:szCs w:val="24"/>
        </w:rPr>
        <w:t>as the liberator of prisoners from Lebanon</w:t>
      </w:r>
      <w:r w:rsidRPr="00082CF3">
        <w:rPr>
          <w:color w:val="000000"/>
          <w:sz w:val="24"/>
          <w:szCs w:val="24"/>
          <w:lang w:val="en-US"/>
        </w:rPr>
        <w:t>.</w:t>
      </w:r>
    </w:p>
    <w:p w14:paraId="00000014"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00000015" w14:textId="743E8C8E" w:rsidR="00CF554D" w:rsidRPr="00082CF3" w:rsidRDefault="00641E8F" w:rsidP="00082CF3">
      <w:pPr>
        <w:widowControl w:val="0"/>
        <w:pBdr>
          <w:top w:val="nil"/>
          <w:left w:val="nil"/>
          <w:bottom w:val="nil"/>
          <w:right w:val="nil"/>
          <w:between w:val="nil"/>
        </w:pBdr>
        <w:spacing w:line="360" w:lineRule="auto"/>
        <w:rPr>
          <w:b/>
          <w:bCs/>
          <w:color w:val="000000"/>
          <w:sz w:val="24"/>
          <w:szCs w:val="24"/>
        </w:rPr>
      </w:pPr>
      <w:r w:rsidRPr="00082CF3">
        <w:rPr>
          <w:b/>
          <w:bCs/>
          <w:color w:val="000000"/>
          <w:sz w:val="24"/>
          <w:szCs w:val="24"/>
        </w:rPr>
        <w:t xml:space="preserve">After the </w:t>
      </w:r>
      <w:r w:rsidR="00915A49">
        <w:rPr>
          <w:b/>
          <w:bCs/>
          <w:color w:val="000000"/>
          <w:sz w:val="24"/>
          <w:szCs w:val="24"/>
          <w:lang w:val="en-US"/>
        </w:rPr>
        <w:t>E</w:t>
      </w:r>
      <w:proofErr w:type="spellStart"/>
      <w:r w:rsidRPr="00082CF3">
        <w:rPr>
          <w:b/>
          <w:bCs/>
          <w:color w:val="000000"/>
          <w:sz w:val="24"/>
          <w:szCs w:val="24"/>
        </w:rPr>
        <w:t>stablishment</w:t>
      </w:r>
      <w:proofErr w:type="spellEnd"/>
      <w:r w:rsidRPr="00082CF3">
        <w:rPr>
          <w:b/>
          <w:bCs/>
          <w:color w:val="000000"/>
          <w:sz w:val="24"/>
          <w:szCs w:val="24"/>
        </w:rPr>
        <w:t xml:space="preserve"> of the Palestinian Authority</w:t>
      </w:r>
    </w:p>
    <w:p w14:paraId="2AFE7491" w14:textId="77777777" w:rsidR="00F054CE" w:rsidRPr="00082CF3" w:rsidRDefault="00F054CE" w:rsidP="00082CF3">
      <w:pPr>
        <w:widowControl w:val="0"/>
        <w:pBdr>
          <w:top w:val="nil"/>
          <w:left w:val="nil"/>
          <w:bottom w:val="nil"/>
          <w:right w:val="nil"/>
          <w:between w:val="nil"/>
        </w:pBdr>
        <w:spacing w:line="360" w:lineRule="auto"/>
        <w:rPr>
          <w:b/>
          <w:bCs/>
          <w:color w:val="000000"/>
          <w:sz w:val="24"/>
          <w:szCs w:val="24"/>
        </w:rPr>
      </w:pPr>
    </w:p>
    <w:p w14:paraId="7570BFA1" w14:textId="50C01124" w:rsidR="00777AEF" w:rsidRPr="00082CF3" w:rsidRDefault="00777AEF" w:rsidP="000973A7">
      <w:pPr>
        <w:widowControl w:val="0"/>
        <w:pBdr>
          <w:top w:val="nil"/>
          <w:left w:val="nil"/>
          <w:bottom w:val="nil"/>
          <w:right w:val="nil"/>
          <w:between w:val="nil"/>
        </w:pBdr>
        <w:spacing w:line="360" w:lineRule="auto"/>
        <w:rPr>
          <w:color w:val="000000"/>
          <w:sz w:val="24"/>
          <w:szCs w:val="24"/>
        </w:rPr>
      </w:pPr>
      <w:bookmarkStart w:id="32" w:name="_Hlk141387436"/>
      <w:r w:rsidRPr="00082CF3">
        <w:rPr>
          <w:color w:val="000000"/>
          <w:sz w:val="24"/>
          <w:szCs w:val="24"/>
          <w:lang w:val="en-US"/>
        </w:rPr>
        <w:t>Following t</w:t>
      </w:r>
      <w:r w:rsidRPr="00082CF3">
        <w:rPr>
          <w:color w:val="000000"/>
          <w:sz w:val="24"/>
          <w:szCs w:val="24"/>
        </w:rPr>
        <w:t>he new reality after the</w:t>
      </w:r>
      <w:r w:rsidRPr="00082CF3">
        <w:rPr>
          <w:color w:val="000000"/>
        </w:rPr>
        <w:t xml:space="preserve"> </w:t>
      </w:r>
      <w:r w:rsidRPr="00082CF3">
        <w:rPr>
          <w:color w:val="000000"/>
          <w:lang w:val="en-US"/>
        </w:rPr>
        <w:t>1</w:t>
      </w:r>
      <w:r w:rsidRPr="00082CF3">
        <w:rPr>
          <w:color w:val="000000"/>
          <w:sz w:val="24"/>
          <w:szCs w:val="24"/>
          <w:lang w:val="en-US"/>
        </w:rPr>
        <w:t xml:space="preserve">993 </w:t>
      </w:r>
      <w:r w:rsidRPr="00082CF3">
        <w:rPr>
          <w:color w:val="000000"/>
          <w:sz w:val="24"/>
          <w:szCs w:val="24"/>
        </w:rPr>
        <w:t xml:space="preserve">Declaration of Principles, and the decision to establish a Palestinian Authority led by the PLO, implemented in June 1994, </w:t>
      </w:r>
      <w:r w:rsidRPr="00082CF3">
        <w:rPr>
          <w:color w:val="000000"/>
          <w:sz w:val="24"/>
          <w:szCs w:val="24"/>
          <w:lang w:val="en-US"/>
        </w:rPr>
        <w:t>Hamas became subject to greater</w:t>
      </w:r>
      <w:r w:rsidRPr="00082CF3">
        <w:rPr>
          <w:color w:val="000000"/>
          <w:sz w:val="24"/>
          <w:szCs w:val="24"/>
        </w:rPr>
        <w:t xml:space="preserve"> scrutiny. </w:t>
      </w:r>
      <w:r w:rsidRPr="00082CF3">
        <w:rPr>
          <w:color w:val="000000"/>
          <w:sz w:val="24"/>
          <w:szCs w:val="24"/>
          <w:lang w:val="en-US"/>
        </w:rPr>
        <w:t>It</w:t>
      </w:r>
      <w:r w:rsidRPr="00082CF3">
        <w:rPr>
          <w:color w:val="000000"/>
          <w:sz w:val="24"/>
          <w:szCs w:val="24"/>
        </w:rPr>
        <w:t xml:space="preserve"> seemed that Hamas wanted to</w:t>
      </w:r>
      <w:r w:rsidRPr="00082CF3">
        <w:rPr>
          <w:color w:val="000000"/>
          <w:sz w:val="24"/>
          <w:szCs w:val="24"/>
          <w:lang w:val="en-US"/>
        </w:rPr>
        <w:t xml:space="preserve"> have it both ways: it wanted to oppose an </w:t>
      </w:r>
      <w:r w:rsidRPr="00082CF3">
        <w:rPr>
          <w:color w:val="000000"/>
          <w:sz w:val="24"/>
          <w:szCs w:val="24"/>
        </w:rPr>
        <w:t xml:space="preserve">agreement with Israel </w:t>
      </w:r>
      <w:r w:rsidRPr="00082CF3">
        <w:rPr>
          <w:color w:val="000000"/>
          <w:sz w:val="24"/>
          <w:szCs w:val="24"/>
          <w:lang w:val="en-US"/>
        </w:rPr>
        <w:t>or any recognition of its legitimacy, while maintaining a degree of legitimacy with</w:t>
      </w:r>
      <w:r w:rsidRPr="00082CF3">
        <w:rPr>
          <w:color w:val="000000"/>
          <w:sz w:val="24"/>
          <w:szCs w:val="24"/>
        </w:rPr>
        <w:t xml:space="preserve"> the Palestinian Authority and its institutions –</w:t>
      </w:r>
      <w:r w:rsidRPr="00082CF3">
        <w:rPr>
          <w:color w:val="000000"/>
          <w:sz w:val="24"/>
          <w:szCs w:val="24"/>
          <w:lang w:val="en-US"/>
        </w:rPr>
        <w:t xml:space="preserve"> all this without relinquishing its </w:t>
      </w:r>
      <w:r w:rsidRPr="00082CF3">
        <w:rPr>
          <w:color w:val="000000"/>
          <w:sz w:val="24"/>
          <w:szCs w:val="24"/>
        </w:rPr>
        <w:t xml:space="preserve">ultimate goal of establishing a Palestinian </w:t>
      </w:r>
      <w:proofErr w:type="spellStart"/>
      <w:r w:rsidRPr="00082CF3">
        <w:rPr>
          <w:color w:val="000000"/>
          <w:sz w:val="24"/>
          <w:szCs w:val="24"/>
        </w:rPr>
        <w:t>st</w:t>
      </w:r>
      <w:proofErr w:type="spellEnd"/>
      <w:r w:rsidRPr="00082CF3">
        <w:rPr>
          <w:color w:val="000000"/>
          <w:sz w:val="24"/>
          <w:szCs w:val="24"/>
          <w:lang w:val="en-US"/>
        </w:rPr>
        <w:t>ate, from sea to river, based on Islamic principles. Arafat’s statements, justifying the agreement as a temporary measure based on Islamic sources, reinforced Hamas’s position</w:t>
      </w:r>
      <w:r w:rsidRPr="00082CF3">
        <w:rPr>
          <w:color w:val="000000"/>
          <w:sz w:val="24"/>
          <w:szCs w:val="24"/>
        </w:rPr>
        <w:t>.</w:t>
      </w:r>
      <w:r w:rsidRPr="00082CF3">
        <w:rPr>
          <w:rStyle w:val="FootnoteReference"/>
          <w:color w:val="000000"/>
          <w:sz w:val="24"/>
          <w:szCs w:val="24"/>
        </w:rPr>
        <w:footnoteReference w:id="26"/>
      </w:r>
    </w:p>
    <w:bookmarkEnd w:id="32"/>
    <w:p w14:paraId="00000017"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45312F89" w14:textId="7EFF901D" w:rsidR="007E13D9" w:rsidRPr="00082CF3" w:rsidRDefault="007E13D9" w:rsidP="000973A7">
      <w:pPr>
        <w:spacing w:line="360" w:lineRule="auto"/>
        <w:rPr>
          <w:lang w:val="en-US"/>
        </w:rPr>
      </w:pPr>
      <w:r w:rsidRPr="00082CF3">
        <w:rPr>
          <w:color w:val="000000"/>
          <w:sz w:val="24"/>
          <w:szCs w:val="24"/>
        </w:rPr>
        <w:t>However, Hamas</w:t>
      </w:r>
      <w:r w:rsidRPr="00082CF3">
        <w:rPr>
          <w:color w:val="000000"/>
          <w:sz w:val="24"/>
          <w:szCs w:val="24"/>
          <w:lang w:val="en-US"/>
        </w:rPr>
        <w:t>’</w:t>
      </w:r>
      <w:r w:rsidRPr="00082CF3">
        <w:rPr>
          <w:color w:val="000000"/>
          <w:sz w:val="24"/>
          <w:szCs w:val="24"/>
        </w:rPr>
        <w:t>s 1988 charter</w:t>
      </w:r>
      <w:r w:rsidRPr="00082CF3">
        <w:rPr>
          <w:color w:val="000000"/>
          <w:sz w:val="24"/>
          <w:szCs w:val="24"/>
          <w:lang w:val="en-US"/>
        </w:rPr>
        <w:t xml:space="preserve"> already rejects</w:t>
      </w:r>
      <w:r w:rsidRPr="00082CF3">
        <w:rPr>
          <w:color w:val="000000"/>
          <w:sz w:val="24"/>
          <w:szCs w:val="24"/>
        </w:rPr>
        <w:t xml:space="preserve"> this approach, </w:t>
      </w:r>
      <w:r w:rsidRPr="00082CF3">
        <w:rPr>
          <w:color w:val="000000"/>
          <w:sz w:val="24"/>
          <w:szCs w:val="24"/>
          <w:lang w:val="en-US"/>
        </w:rPr>
        <w:t>stating that: “</w:t>
      </w:r>
      <w:r w:rsidRPr="00082CF3">
        <w:rPr>
          <w:color w:val="000000"/>
          <w:sz w:val="24"/>
          <w:szCs w:val="24"/>
        </w:rPr>
        <w:t>There is no solution for the Palestinian question except through Jihad. Initiatives, proposals</w:t>
      </w:r>
      <w:r w:rsidRPr="00082CF3">
        <w:rPr>
          <w:color w:val="000000"/>
          <w:sz w:val="24"/>
          <w:szCs w:val="24"/>
          <w:lang w:val="en-US"/>
        </w:rPr>
        <w:t>,</w:t>
      </w:r>
      <w:r w:rsidRPr="00082CF3">
        <w:rPr>
          <w:color w:val="000000"/>
          <w:sz w:val="24"/>
          <w:szCs w:val="24"/>
        </w:rPr>
        <w:t xml:space="preserve"> and international conferences are all a waste of time and vain </w:t>
      </w:r>
      <w:proofErr w:type="spellStart"/>
      <w:r w:rsidRPr="00082CF3">
        <w:rPr>
          <w:color w:val="000000"/>
          <w:sz w:val="24"/>
          <w:szCs w:val="24"/>
        </w:rPr>
        <w:t>endeavors</w:t>
      </w:r>
      <w:proofErr w:type="spellEnd"/>
      <w:r w:rsidRPr="00082CF3">
        <w:rPr>
          <w:color w:val="000000"/>
          <w:sz w:val="24"/>
          <w:szCs w:val="24"/>
        </w:rPr>
        <w:t>.</w:t>
      </w:r>
      <w:r w:rsidR="00571079">
        <w:rPr>
          <w:color w:val="000000"/>
          <w:sz w:val="24"/>
          <w:szCs w:val="24"/>
          <w:lang w:val="en-US"/>
        </w:rPr>
        <w:t>”</w:t>
      </w:r>
      <w:r w:rsidRPr="00082CF3">
        <w:rPr>
          <w:rStyle w:val="FootnoteReference"/>
          <w:color w:val="000000"/>
          <w:sz w:val="24"/>
          <w:szCs w:val="24"/>
        </w:rPr>
        <w:footnoteReference w:id="27"/>
      </w:r>
      <w:r w:rsidRPr="00082CF3">
        <w:rPr>
          <w:color w:val="000000"/>
          <w:sz w:val="24"/>
          <w:szCs w:val="24"/>
        </w:rPr>
        <w:t xml:space="preserve"> </w:t>
      </w:r>
      <w:r w:rsidRPr="00082CF3">
        <w:rPr>
          <w:color w:val="000000"/>
          <w:sz w:val="24"/>
          <w:szCs w:val="24"/>
          <w:lang w:val="en-US"/>
        </w:rPr>
        <w:t>This stance was put into practice as</w:t>
      </w:r>
      <w:r w:rsidRPr="00082CF3">
        <w:rPr>
          <w:color w:val="000000"/>
          <w:sz w:val="24"/>
          <w:szCs w:val="24"/>
        </w:rPr>
        <w:t xml:space="preserve"> Hamas</w:t>
      </w:r>
      <w:r w:rsidRPr="00082CF3">
        <w:rPr>
          <w:color w:val="000000"/>
          <w:sz w:val="24"/>
          <w:szCs w:val="24"/>
          <w:lang w:val="en-US"/>
        </w:rPr>
        <w:t>’</w:t>
      </w:r>
      <w:r w:rsidRPr="00082CF3">
        <w:rPr>
          <w:color w:val="000000"/>
          <w:sz w:val="24"/>
          <w:szCs w:val="24"/>
        </w:rPr>
        <w:t>s attacks escalate</w:t>
      </w:r>
      <w:r w:rsidRPr="00082CF3">
        <w:rPr>
          <w:color w:val="000000"/>
          <w:sz w:val="24"/>
          <w:szCs w:val="24"/>
          <w:lang w:val="en-US"/>
        </w:rPr>
        <w:t>d from</w:t>
      </w:r>
      <w:r w:rsidRPr="00082CF3">
        <w:rPr>
          <w:color w:val="000000"/>
          <w:sz w:val="24"/>
          <w:szCs w:val="24"/>
        </w:rPr>
        <w:t xml:space="preserve"> 1992–1993 and throughout the </w:t>
      </w:r>
      <w:r w:rsidRPr="00082CF3">
        <w:rPr>
          <w:color w:val="000000"/>
          <w:sz w:val="24"/>
          <w:szCs w:val="24"/>
          <w:lang w:val="en-US"/>
        </w:rPr>
        <w:t>1990s, with the organization carrying out numerous</w:t>
      </w:r>
      <w:r w:rsidRPr="00082CF3">
        <w:rPr>
          <w:color w:val="000000"/>
          <w:sz w:val="24"/>
          <w:szCs w:val="24"/>
        </w:rPr>
        <w:t xml:space="preserve"> terror attacks </w:t>
      </w:r>
      <w:r w:rsidRPr="00082CF3">
        <w:rPr>
          <w:color w:val="000000"/>
          <w:sz w:val="24"/>
          <w:szCs w:val="24"/>
          <w:lang w:val="en-US"/>
        </w:rPr>
        <w:t>that killed</w:t>
      </w:r>
      <w:r w:rsidRPr="00082CF3">
        <w:rPr>
          <w:color w:val="000000"/>
          <w:sz w:val="24"/>
          <w:szCs w:val="24"/>
        </w:rPr>
        <w:t xml:space="preserve"> hundreds of Israelis and injured thousands</w:t>
      </w:r>
      <w:r w:rsidRPr="00082CF3">
        <w:rPr>
          <w:color w:val="000000"/>
          <w:sz w:val="24"/>
          <w:szCs w:val="24"/>
          <w:lang w:val="en-US"/>
        </w:rPr>
        <w:t>.</w:t>
      </w:r>
    </w:p>
    <w:p w14:paraId="54E8B614" w14:textId="77777777" w:rsidR="000973A7" w:rsidRPr="00082CF3" w:rsidRDefault="000973A7" w:rsidP="000973A7">
      <w:pPr>
        <w:spacing w:line="360" w:lineRule="auto"/>
      </w:pPr>
    </w:p>
    <w:p w14:paraId="7B484FEE" w14:textId="20F3DF29" w:rsidR="000973A7" w:rsidRPr="00082CF3" w:rsidRDefault="000973A7" w:rsidP="00082CF3">
      <w:pPr>
        <w:widowControl w:val="0"/>
        <w:pBdr>
          <w:top w:val="nil"/>
          <w:left w:val="nil"/>
          <w:bottom w:val="nil"/>
          <w:right w:val="nil"/>
          <w:between w:val="nil"/>
        </w:pBdr>
        <w:spacing w:line="360" w:lineRule="auto"/>
        <w:rPr>
          <w:color w:val="000000"/>
          <w:sz w:val="24"/>
          <w:szCs w:val="24"/>
        </w:rPr>
      </w:pPr>
      <w:r w:rsidRPr="00082CF3">
        <w:rPr>
          <w:color w:val="000000"/>
          <w:sz w:val="24"/>
          <w:szCs w:val="24"/>
        </w:rPr>
        <w:t>The PLO</w:t>
      </w:r>
      <w:r w:rsidRPr="00082CF3">
        <w:rPr>
          <w:color w:val="000000"/>
          <w:sz w:val="24"/>
          <w:szCs w:val="24"/>
          <w:lang w:val="en-US"/>
        </w:rPr>
        <w:t>’</w:t>
      </w:r>
      <w:r w:rsidRPr="00082CF3">
        <w:rPr>
          <w:color w:val="000000"/>
          <w:sz w:val="24"/>
          <w:szCs w:val="24"/>
        </w:rPr>
        <w:t xml:space="preserve">s </w:t>
      </w:r>
      <w:r w:rsidRPr="00082CF3">
        <w:rPr>
          <w:color w:val="000000"/>
          <w:sz w:val="24"/>
          <w:szCs w:val="24"/>
          <w:lang w:val="en-US"/>
        </w:rPr>
        <w:t xml:space="preserve">strategy at the time was characterized </w:t>
      </w:r>
      <w:r w:rsidRPr="00082CF3">
        <w:rPr>
          <w:color w:val="000000"/>
          <w:sz w:val="24"/>
          <w:szCs w:val="24"/>
        </w:rPr>
        <w:t>by the same delicate balance</w:t>
      </w:r>
      <w:r w:rsidRPr="00082CF3">
        <w:rPr>
          <w:color w:val="000000"/>
          <w:sz w:val="24"/>
          <w:szCs w:val="24"/>
          <w:lang w:val="en-US"/>
        </w:rPr>
        <w:t xml:space="preserve">. On the one hand, Arafat, as leader of the PLO, aimed to weaken </w:t>
      </w:r>
      <w:r w:rsidRPr="00082CF3">
        <w:rPr>
          <w:color w:val="000000"/>
          <w:sz w:val="24"/>
          <w:szCs w:val="24"/>
        </w:rPr>
        <w:t>Hamas</w:t>
      </w:r>
      <w:r w:rsidRPr="00082CF3">
        <w:rPr>
          <w:color w:val="000000"/>
          <w:sz w:val="24"/>
          <w:szCs w:val="24"/>
          <w:lang w:val="en-US"/>
        </w:rPr>
        <w:t xml:space="preserve"> in order to order to bring it </w:t>
      </w:r>
      <w:r w:rsidRPr="00082CF3">
        <w:rPr>
          <w:color w:val="000000"/>
          <w:sz w:val="24"/>
          <w:szCs w:val="24"/>
        </w:rPr>
        <w:t>into the fold of the Palestinian Authority from a position of weakness</w:t>
      </w:r>
      <w:r w:rsidRPr="00082CF3">
        <w:rPr>
          <w:color w:val="000000"/>
          <w:sz w:val="24"/>
          <w:szCs w:val="24"/>
          <w:lang w:val="en-US"/>
        </w:rPr>
        <w:t>. If Hamas would acknowledge its inability to combat</w:t>
      </w:r>
      <w:r w:rsidRPr="00082CF3">
        <w:rPr>
          <w:color w:val="000000"/>
          <w:sz w:val="24"/>
          <w:szCs w:val="24"/>
        </w:rPr>
        <w:t xml:space="preserve"> the PLO, </w:t>
      </w:r>
      <w:r w:rsidRPr="00082CF3">
        <w:rPr>
          <w:color w:val="000000"/>
          <w:sz w:val="24"/>
          <w:szCs w:val="24"/>
          <w:lang w:val="en-US"/>
        </w:rPr>
        <w:t>it might be more inclined to join this crumbling and fading entity.</w:t>
      </w:r>
      <w:r w:rsidRPr="00082CF3">
        <w:rPr>
          <w:color w:val="000000"/>
          <w:sz w:val="24"/>
          <w:szCs w:val="24"/>
        </w:rPr>
        <w:t xml:space="preserve"> On the other hand, Arafat sought to </w:t>
      </w:r>
      <w:r w:rsidRPr="00082CF3">
        <w:rPr>
          <w:color w:val="000000"/>
          <w:sz w:val="24"/>
          <w:szCs w:val="24"/>
          <w:lang w:val="en-US"/>
        </w:rPr>
        <w:t>retain as much</w:t>
      </w:r>
      <w:r w:rsidRPr="00082CF3">
        <w:rPr>
          <w:color w:val="000000"/>
          <w:sz w:val="24"/>
          <w:szCs w:val="24"/>
        </w:rPr>
        <w:t xml:space="preserve"> public </w:t>
      </w:r>
      <w:r w:rsidRPr="00082CF3">
        <w:rPr>
          <w:color w:val="000000"/>
          <w:sz w:val="24"/>
          <w:szCs w:val="24"/>
        </w:rPr>
        <w:lastRenderedPageBreak/>
        <w:t>support for him</w:t>
      </w:r>
      <w:r w:rsidRPr="00082CF3">
        <w:rPr>
          <w:color w:val="000000"/>
          <w:sz w:val="24"/>
          <w:szCs w:val="24"/>
          <w:lang w:val="en-US"/>
        </w:rPr>
        <w:t>set</w:t>
      </w:r>
      <w:r w:rsidRPr="00082CF3">
        <w:rPr>
          <w:color w:val="000000"/>
          <w:sz w:val="24"/>
          <w:szCs w:val="24"/>
        </w:rPr>
        <w:t xml:space="preserve"> and the agreement as possible, and he understood that the way to do this was by including Hamas in the dialogue. Therefore, joint meetings were held between the sides, including on consensus issues such as the issue of prisoners in Israeli prisons.</w:t>
      </w:r>
      <w:r w:rsidRPr="00082CF3">
        <w:rPr>
          <w:rStyle w:val="FootnoteReference"/>
          <w:color w:val="000000"/>
          <w:sz w:val="24"/>
          <w:szCs w:val="24"/>
        </w:rPr>
        <w:footnoteReference w:id="28"/>
      </w:r>
    </w:p>
    <w:p w14:paraId="0000001B"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134E5623" w14:textId="731BBDDA" w:rsidR="00745DDA" w:rsidRPr="00082CF3" w:rsidRDefault="00745DDA" w:rsidP="007735FB">
      <w:pPr>
        <w:widowControl w:val="0"/>
        <w:pBdr>
          <w:top w:val="nil"/>
          <w:left w:val="nil"/>
          <w:bottom w:val="nil"/>
          <w:right w:val="nil"/>
          <w:between w:val="nil"/>
        </w:pBdr>
        <w:spacing w:line="360" w:lineRule="auto"/>
        <w:rPr>
          <w:color w:val="000000"/>
          <w:sz w:val="24"/>
          <w:szCs w:val="24"/>
        </w:rPr>
      </w:pPr>
      <w:r w:rsidRPr="00082CF3">
        <w:rPr>
          <w:color w:val="000000"/>
          <w:sz w:val="24"/>
          <w:szCs w:val="24"/>
        </w:rPr>
        <w:t xml:space="preserve">The most important issue, </w:t>
      </w:r>
      <w:r w:rsidRPr="00082CF3">
        <w:rPr>
          <w:color w:val="000000"/>
          <w:sz w:val="24"/>
          <w:szCs w:val="24"/>
          <w:lang w:val="en-US"/>
        </w:rPr>
        <w:t>which offers insights into</w:t>
      </w:r>
      <w:r w:rsidRPr="00082CF3">
        <w:rPr>
          <w:color w:val="000000"/>
          <w:sz w:val="24"/>
          <w:szCs w:val="24"/>
        </w:rPr>
        <w:t xml:space="preserve"> the PLO</w:t>
      </w:r>
      <w:r w:rsidR="004A0FA5" w:rsidRPr="00571079">
        <w:rPr>
          <w:color w:val="000000"/>
          <w:sz w:val="24"/>
          <w:szCs w:val="24"/>
          <w:lang w:val="en-US"/>
        </w:rPr>
        <w:t>’</w:t>
      </w:r>
      <w:r w:rsidRPr="00082CF3">
        <w:rPr>
          <w:color w:val="000000"/>
          <w:sz w:val="24"/>
          <w:szCs w:val="24"/>
        </w:rPr>
        <w:t>s approach towards Hamas</w:t>
      </w:r>
      <w:r w:rsidR="00571079">
        <w:rPr>
          <w:color w:val="000000"/>
          <w:sz w:val="24"/>
          <w:szCs w:val="24"/>
          <w:lang w:val="en-US"/>
        </w:rPr>
        <w:t>,</w:t>
      </w:r>
      <w:r w:rsidRPr="00082CF3">
        <w:rPr>
          <w:color w:val="000000"/>
          <w:sz w:val="24"/>
          <w:szCs w:val="24"/>
          <w:lang w:val="en-US"/>
        </w:rPr>
        <w:t xml:space="preserve"> involved the Hamas’s continuation of </w:t>
      </w:r>
      <w:r w:rsidRPr="00082CF3">
        <w:rPr>
          <w:color w:val="000000"/>
          <w:sz w:val="24"/>
          <w:szCs w:val="24"/>
        </w:rPr>
        <w:t>terrorist activity</w:t>
      </w:r>
      <w:r w:rsidRPr="00082CF3">
        <w:rPr>
          <w:color w:val="000000"/>
          <w:sz w:val="24"/>
          <w:szCs w:val="24"/>
          <w:lang w:val="en-US"/>
        </w:rPr>
        <w:t xml:space="preserve"> after the signing of the </w:t>
      </w:r>
      <w:r w:rsidRPr="00082CF3">
        <w:rPr>
          <w:color w:val="000000"/>
          <w:sz w:val="24"/>
          <w:szCs w:val="24"/>
        </w:rPr>
        <w:t xml:space="preserve">Oslo Agreement. The Declaration of Principles agreement was indeed signed without any explicit commitment from Arafat to stop terror, </w:t>
      </w:r>
      <w:r w:rsidRPr="00082CF3">
        <w:rPr>
          <w:color w:val="000000"/>
          <w:sz w:val="24"/>
          <w:szCs w:val="24"/>
          <w:lang w:val="en-US"/>
        </w:rPr>
        <w:t>especially not that perpetrated by</w:t>
      </w:r>
      <w:r w:rsidRPr="00082CF3">
        <w:rPr>
          <w:color w:val="000000"/>
          <w:sz w:val="24"/>
          <w:szCs w:val="24"/>
        </w:rPr>
        <w:t xml:space="preserve"> Hamas</w:t>
      </w:r>
      <w:r w:rsidRPr="00082CF3">
        <w:rPr>
          <w:color w:val="000000"/>
          <w:sz w:val="24"/>
          <w:szCs w:val="24"/>
          <w:lang w:val="en-US"/>
        </w:rPr>
        <w:t xml:space="preserve">. However, </w:t>
      </w:r>
      <w:r w:rsidRPr="00082CF3">
        <w:rPr>
          <w:color w:val="000000"/>
          <w:sz w:val="24"/>
          <w:szCs w:val="24"/>
        </w:rPr>
        <w:t xml:space="preserve">the Cairo Agreement </w:t>
      </w:r>
      <w:r w:rsidRPr="00082CF3">
        <w:rPr>
          <w:color w:val="000000"/>
          <w:sz w:val="24"/>
          <w:szCs w:val="24"/>
          <w:lang w:val="en-US"/>
        </w:rPr>
        <w:t xml:space="preserve">of May 1994 </w:t>
      </w:r>
      <w:r w:rsidRPr="00082CF3">
        <w:rPr>
          <w:color w:val="000000"/>
          <w:sz w:val="24"/>
          <w:szCs w:val="24"/>
        </w:rPr>
        <w:t xml:space="preserve">explicitly stated that the Palestinian side would take all necessary measures to prevent such actions directed against settlements and military facilities. </w:t>
      </w:r>
      <w:r w:rsidRPr="00082CF3">
        <w:rPr>
          <w:color w:val="000000"/>
          <w:sz w:val="24"/>
          <w:szCs w:val="24"/>
          <w:lang w:val="en-US"/>
        </w:rPr>
        <w:t>Arafat’s response to Hamas’s attacks reflects his nuanced approach.</w:t>
      </w:r>
    </w:p>
    <w:p w14:paraId="0000001D"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0643F31A" w14:textId="57B397B0" w:rsidR="00CA4BAF" w:rsidRPr="00082CF3" w:rsidRDefault="00CA4BAF" w:rsidP="007735FB">
      <w:pPr>
        <w:spacing w:line="360" w:lineRule="auto"/>
        <w:rPr>
          <w:color w:val="000000"/>
          <w:sz w:val="24"/>
          <w:szCs w:val="24"/>
        </w:rPr>
      </w:pPr>
      <w:r w:rsidRPr="00082CF3">
        <w:rPr>
          <w:color w:val="000000"/>
          <w:sz w:val="24"/>
          <w:szCs w:val="24"/>
          <w:lang w:val="en-US"/>
        </w:rPr>
        <w:t>Despite the Oslo Accords, terrorist</w:t>
      </w:r>
      <w:r w:rsidRPr="00082CF3">
        <w:rPr>
          <w:color w:val="000000"/>
          <w:sz w:val="24"/>
          <w:szCs w:val="24"/>
        </w:rPr>
        <w:t xml:space="preserve"> attacks, </w:t>
      </w:r>
      <w:r w:rsidRPr="00082CF3">
        <w:rPr>
          <w:color w:val="000000"/>
          <w:sz w:val="24"/>
          <w:szCs w:val="24"/>
          <w:lang w:val="en-US"/>
        </w:rPr>
        <w:t>many of which</w:t>
      </w:r>
      <w:r w:rsidRPr="00082CF3">
        <w:rPr>
          <w:color w:val="000000"/>
          <w:sz w:val="24"/>
          <w:szCs w:val="24"/>
        </w:rPr>
        <w:t xml:space="preserve"> were </w:t>
      </w:r>
      <w:r w:rsidRPr="00082CF3">
        <w:rPr>
          <w:color w:val="000000"/>
          <w:sz w:val="24"/>
          <w:szCs w:val="24"/>
          <w:lang w:val="en-US"/>
        </w:rPr>
        <w:t>orchestrated</w:t>
      </w:r>
      <w:r w:rsidRPr="00082CF3">
        <w:rPr>
          <w:color w:val="000000"/>
          <w:sz w:val="24"/>
          <w:szCs w:val="24"/>
        </w:rPr>
        <w:t xml:space="preserve"> by Hamas, continued and even intensified to suicide attacks</w:t>
      </w:r>
      <w:r w:rsidRPr="00082CF3">
        <w:rPr>
          <w:color w:val="000000"/>
          <w:sz w:val="24"/>
          <w:szCs w:val="24"/>
          <w:lang w:val="en-US"/>
        </w:rPr>
        <w:t xml:space="preserve">, with </w:t>
      </w:r>
      <w:r w:rsidRPr="00082CF3">
        <w:rPr>
          <w:color w:val="000000"/>
          <w:sz w:val="24"/>
          <w:szCs w:val="24"/>
        </w:rPr>
        <w:t>dozens of Israeli civilians killed in each</w:t>
      </w:r>
      <w:r w:rsidRPr="00082CF3">
        <w:rPr>
          <w:color w:val="000000"/>
          <w:sz w:val="24"/>
          <w:szCs w:val="24"/>
          <w:lang w:val="en-US"/>
        </w:rPr>
        <w:t xml:space="preserve"> incident</w:t>
      </w:r>
      <w:r w:rsidRPr="00082CF3">
        <w:rPr>
          <w:color w:val="000000"/>
          <w:sz w:val="24"/>
          <w:szCs w:val="24"/>
        </w:rPr>
        <w:t xml:space="preserve">. </w:t>
      </w:r>
      <w:r w:rsidRPr="00082CF3">
        <w:rPr>
          <w:color w:val="000000"/>
          <w:sz w:val="24"/>
          <w:szCs w:val="24"/>
          <w:lang w:val="en-US"/>
        </w:rPr>
        <w:t xml:space="preserve">According to several </w:t>
      </w:r>
      <w:r w:rsidRPr="00082CF3">
        <w:rPr>
          <w:color w:val="000000"/>
          <w:sz w:val="24"/>
          <w:szCs w:val="24"/>
        </w:rPr>
        <w:t xml:space="preserve">senior </w:t>
      </w:r>
      <w:proofErr w:type="gramStart"/>
      <w:r w:rsidRPr="00082CF3">
        <w:rPr>
          <w:color w:val="000000"/>
          <w:sz w:val="24"/>
          <w:szCs w:val="24"/>
        </w:rPr>
        <w:t>officials</w:t>
      </w:r>
      <w:proofErr w:type="gramEnd"/>
      <w:r w:rsidRPr="00082CF3">
        <w:rPr>
          <w:color w:val="000000"/>
          <w:sz w:val="24"/>
          <w:szCs w:val="24"/>
        </w:rPr>
        <w:t xml:space="preserve"> Israeli security </w:t>
      </w:r>
      <w:r w:rsidRPr="00082CF3">
        <w:rPr>
          <w:color w:val="000000"/>
          <w:sz w:val="24"/>
          <w:szCs w:val="24"/>
          <w:lang w:val="en-US"/>
        </w:rPr>
        <w:t>officials,</w:t>
      </w:r>
      <w:r w:rsidRPr="00082CF3">
        <w:rPr>
          <w:color w:val="000000"/>
          <w:sz w:val="24"/>
          <w:szCs w:val="24"/>
        </w:rPr>
        <w:t xml:space="preserve"> Arafat did </w:t>
      </w:r>
      <w:r w:rsidRPr="00082CF3">
        <w:rPr>
          <w:color w:val="000000"/>
          <w:sz w:val="24"/>
          <w:szCs w:val="24"/>
          <w:lang w:val="en-US"/>
        </w:rPr>
        <w:t>little, if anything,</w:t>
      </w:r>
      <w:r w:rsidRPr="00082CF3">
        <w:rPr>
          <w:color w:val="000000"/>
          <w:sz w:val="24"/>
          <w:szCs w:val="24"/>
        </w:rPr>
        <w:t xml:space="preserve"> to prevent Hamas</w:t>
      </w:r>
      <w:r w:rsidR="004A0FA5">
        <w:rPr>
          <w:color w:val="000000"/>
          <w:sz w:val="24"/>
          <w:szCs w:val="24"/>
          <w:lang w:val="en-US"/>
        </w:rPr>
        <w:t>’</w:t>
      </w:r>
      <w:r w:rsidRPr="00082CF3">
        <w:rPr>
          <w:color w:val="000000"/>
          <w:sz w:val="24"/>
          <w:szCs w:val="24"/>
        </w:rPr>
        <w:t xml:space="preserve">s attacks in the years following the Oslo </w:t>
      </w:r>
      <w:r w:rsidRPr="00082CF3">
        <w:rPr>
          <w:color w:val="000000"/>
          <w:sz w:val="24"/>
          <w:szCs w:val="24"/>
          <w:lang w:val="en-US"/>
        </w:rPr>
        <w:t xml:space="preserve">Accords: some even suggest he wanted </w:t>
      </w:r>
      <w:r w:rsidRPr="00082CF3">
        <w:rPr>
          <w:color w:val="000000"/>
          <w:sz w:val="24"/>
          <w:szCs w:val="24"/>
        </w:rPr>
        <w:t>and encouraged them.</w:t>
      </w:r>
      <w:r w:rsidRPr="00082CF3">
        <w:rPr>
          <w:rStyle w:val="FootnoteReference"/>
          <w:color w:val="000000"/>
          <w:sz w:val="24"/>
          <w:szCs w:val="24"/>
        </w:rPr>
        <w:footnoteReference w:id="29"/>
      </w:r>
    </w:p>
    <w:p w14:paraId="0000001F"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7CCD7AA0" w14:textId="507F85F3" w:rsidR="00D97F4F" w:rsidRPr="00082CF3" w:rsidRDefault="00D97F4F" w:rsidP="00082CF3">
      <w:pPr>
        <w:widowControl w:val="0"/>
        <w:pBdr>
          <w:top w:val="nil"/>
          <w:left w:val="nil"/>
          <w:bottom w:val="nil"/>
          <w:right w:val="nil"/>
          <w:between w:val="nil"/>
        </w:pBdr>
        <w:spacing w:line="360" w:lineRule="auto"/>
        <w:rPr>
          <w:color w:val="000000"/>
          <w:sz w:val="24"/>
          <w:szCs w:val="24"/>
        </w:rPr>
      </w:pPr>
      <w:commentRangeStart w:id="33"/>
      <w:proofErr w:type="spellStart"/>
      <w:r w:rsidRPr="00082CF3">
        <w:rPr>
          <w:color w:val="000000"/>
          <w:sz w:val="24"/>
          <w:szCs w:val="24"/>
        </w:rPr>
        <w:t>Avi</w:t>
      </w:r>
      <w:commentRangeEnd w:id="33"/>
      <w:proofErr w:type="spellEnd"/>
      <w:r w:rsidRPr="00082CF3">
        <w:rPr>
          <w:rStyle w:val="CommentReference"/>
        </w:rPr>
        <w:commentReference w:id="33"/>
      </w:r>
      <w:r w:rsidRPr="00082CF3">
        <w:rPr>
          <w:color w:val="000000"/>
          <w:sz w:val="24"/>
          <w:szCs w:val="24"/>
        </w:rPr>
        <w:t xml:space="preserve"> Dichter, later the head of the Israeli Shin Bet, describe</w:t>
      </w:r>
      <w:r w:rsidRPr="00082CF3">
        <w:rPr>
          <w:color w:val="000000"/>
          <w:sz w:val="24"/>
          <w:szCs w:val="24"/>
          <w:lang w:val="en-US"/>
        </w:rPr>
        <w:t>d</w:t>
      </w:r>
      <w:r w:rsidRPr="00082CF3">
        <w:rPr>
          <w:color w:val="000000"/>
          <w:sz w:val="24"/>
          <w:szCs w:val="24"/>
        </w:rPr>
        <w:t xml:space="preserve"> a meeting he attended in early 1995</w:t>
      </w:r>
      <w:r w:rsidRPr="00082CF3">
        <w:rPr>
          <w:color w:val="000000"/>
          <w:sz w:val="24"/>
          <w:szCs w:val="24"/>
          <w:lang w:val="en-US"/>
        </w:rPr>
        <w:t>, where</w:t>
      </w:r>
      <w:r w:rsidRPr="00082CF3">
        <w:rPr>
          <w:color w:val="000000"/>
          <w:sz w:val="24"/>
          <w:szCs w:val="24"/>
        </w:rPr>
        <w:t xml:space="preserve"> Prime Minister Rabin </w:t>
      </w:r>
      <w:r w:rsidRPr="00082CF3">
        <w:rPr>
          <w:color w:val="000000"/>
          <w:sz w:val="24"/>
          <w:szCs w:val="24"/>
          <w:lang w:val="en-US"/>
        </w:rPr>
        <w:t xml:space="preserve">conveyed to </w:t>
      </w:r>
      <w:r w:rsidRPr="00082CF3">
        <w:rPr>
          <w:color w:val="000000"/>
          <w:sz w:val="24"/>
          <w:szCs w:val="24"/>
        </w:rPr>
        <w:t xml:space="preserve">the Palestinian security </w:t>
      </w:r>
      <w:r w:rsidRPr="00082CF3">
        <w:rPr>
          <w:color w:val="000000"/>
          <w:sz w:val="24"/>
          <w:szCs w:val="24"/>
          <w:lang w:val="en-US"/>
        </w:rPr>
        <w:t>leaders</w:t>
      </w:r>
      <w:r w:rsidR="00571079">
        <w:rPr>
          <w:color w:val="000000"/>
          <w:sz w:val="24"/>
          <w:szCs w:val="24"/>
          <w:lang w:val="en-US"/>
        </w:rPr>
        <w:t xml:space="preserve"> –</w:t>
      </w:r>
      <w:r w:rsidRPr="00082CF3">
        <w:rPr>
          <w:color w:val="000000"/>
          <w:sz w:val="24"/>
          <w:szCs w:val="24"/>
          <w:lang w:val="en-US"/>
        </w:rPr>
        <w:t xml:space="preserve"> there with</w:t>
      </w:r>
      <w:r w:rsidRPr="00082CF3">
        <w:rPr>
          <w:color w:val="000000"/>
          <w:sz w:val="24"/>
          <w:szCs w:val="24"/>
        </w:rPr>
        <w:t xml:space="preserve"> Arafat</w:t>
      </w:r>
      <w:r w:rsidR="004A0FA5">
        <w:rPr>
          <w:color w:val="000000"/>
          <w:sz w:val="24"/>
          <w:szCs w:val="24"/>
          <w:lang w:val="en-US"/>
        </w:rPr>
        <w:t>’</w:t>
      </w:r>
      <w:r w:rsidRPr="00082CF3">
        <w:rPr>
          <w:color w:val="000000"/>
          <w:sz w:val="24"/>
          <w:szCs w:val="24"/>
        </w:rPr>
        <w:t>s blessing</w:t>
      </w:r>
      <w:r w:rsidR="00571079">
        <w:rPr>
          <w:color w:val="000000"/>
          <w:sz w:val="24"/>
          <w:szCs w:val="24"/>
          <w:lang w:val="en-US"/>
        </w:rPr>
        <w:t xml:space="preserve"> –</w:t>
      </w:r>
      <w:r w:rsidRPr="00082CF3">
        <w:rPr>
          <w:color w:val="000000"/>
          <w:sz w:val="24"/>
          <w:szCs w:val="24"/>
          <w:lang w:val="en-US"/>
        </w:rPr>
        <w:t xml:space="preserve"> </w:t>
      </w:r>
      <w:r w:rsidRPr="00082CF3">
        <w:rPr>
          <w:color w:val="000000"/>
          <w:sz w:val="24"/>
          <w:szCs w:val="24"/>
        </w:rPr>
        <w:t xml:space="preserve">that </w:t>
      </w:r>
      <w:r w:rsidRPr="00082CF3">
        <w:rPr>
          <w:color w:val="000000"/>
          <w:sz w:val="24"/>
          <w:szCs w:val="24"/>
          <w:lang w:val="en-US"/>
        </w:rPr>
        <w:t>to become a state, they could not permit</w:t>
      </w:r>
      <w:r w:rsidRPr="00082CF3">
        <w:rPr>
          <w:color w:val="000000"/>
          <w:sz w:val="24"/>
          <w:szCs w:val="24"/>
        </w:rPr>
        <w:t xml:space="preserve"> other elements </w:t>
      </w:r>
      <w:r w:rsidRPr="00082CF3">
        <w:rPr>
          <w:color w:val="000000"/>
          <w:sz w:val="24"/>
          <w:szCs w:val="24"/>
          <w:lang w:val="en-US"/>
        </w:rPr>
        <w:t>to operate alongside</w:t>
      </w:r>
      <w:r w:rsidRPr="00082CF3">
        <w:rPr>
          <w:color w:val="000000"/>
          <w:sz w:val="24"/>
          <w:szCs w:val="24"/>
        </w:rPr>
        <w:t xml:space="preserve"> the </w:t>
      </w:r>
      <w:proofErr w:type="gramStart"/>
      <w:r w:rsidRPr="00082CF3">
        <w:rPr>
          <w:color w:val="000000"/>
          <w:sz w:val="24"/>
          <w:szCs w:val="24"/>
        </w:rPr>
        <w:t>government</w:t>
      </w:r>
      <w:r w:rsidRPr="00082CF3">
        <w:rPr>
          <w:color w:val="000000"/>
          <w:sz w:val="24"/>
          <w:szCs w:val="24"/>
          <w:lang w:val="en-US"/>
        </w:rPr>
        <w:t>.This</w:t>
      </w:r>
      <w:proofErr w:type="gramEnd"/>
      <w:r w:rsidRPr="00082CF3">
        <w:rPr>
          <w:color w:val="000000"/>
          <w:sz w:val="24"/>
          <w:szCs w:val="24"/>
          <w:lang w:val="en-US"/>
        </w:rPr>
        <w:t xml:space="preserve"> was a clear reference to the PLO allowing Hamas’s parallel operations.</w:t>
      </w:r>
      <w:r w:rsidRPr="00082CF3">
        <w:rPr>
          <w:rStyle w:val="FootnoteReference"/>
          <w:color w:val="000000"/>
          <w:sz w:val="24"/>
          <w:szCs w:val="24"/>
        </w:rPr>
        <w:footnoteReference w:id="30"/>
      </w:r>
    </w:p>
    <w:p w14:paraId="00000021"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1F362CD6" w14:textId="77777777" w:rsidR="00AB41FA" w:rsidRPr="00082CF3" w:rsidRDefault="00AB41FA" w:rsidP="00AB41FA">
      <w:pPr>
        <w:widowControl w:val="0"/>
        <w:pBdr>
          <w:top w:val="nil"/>
          <w:left w:val="nil"/>
          <w:bottom w:val="nil"/>
          <w:right w:val="nil"/>
          <w:between w:val="nil"/>
        </w:pBdr>
        <w:rPr>
          <w:color w:val="000000"/>
        </w:rPr>
      </w:pPr>
    </w:p>
    <w:p w14:paraId="7C62DC6A" w14:textId="35241550" w:rsidR="00AB41FA" w:rsidRPr="00082CF3" w:rsidRDefault="00AB41FA" w:rsidP="00AB41FA">
      <w:pPr>
        <w:widowControl w:val="0"/>
        <w:pBdr>
          <w:top w:val="nil"/>
          <w:left w:val="nil"/>
          <w:bottom w:val="nil"/>
          <w:right w:val="nil"/>
          <w:between w:val="nil"/>
        </w:pBdr>
        <w:spacing w:line="360" w:lineRule="auto"/>
        <w:rPr>
          <w:color w:val="000000"/>
          <w:sz w:val="24"/>
          <w:szCs w:val="24"/>
        </w:rPr>
      </w:pPr>
      <w:r w:rsidRPr="00082CF3">
        <w:rPr>
          <w:color w:val="000000"/>
          <w:sz w:val="24"/>
          <w:szCs w:val="24"/>
        </w:rPr>
        <w:lastRenderedPageBreak/>
        <w:t xml:space="preserve">After Israeli security forces </w:t>
      </w:r>
      <w:r w:rsidRPr="00082CF3">
        <w:rPr>
          <w:color w:val="000000"/>
          <w:sz w:val="24"/>
          <w:szCs w:val="24"/>
          <w:lang w:val="en-US"/>
        </w:rPr>
        <w:t xml:space="preserve">discovered </w:t>
      </w:r>
      <w:r w:rsidRPr="00082CF3">
        <w:rPr>
          <w:color w:val="000000"/>
          <w:sz w:val="24"/>
          <w:szCs w:val="24"/>
        </w:rPr>
        <w:t>that the</w:t>
      </w:r>
      <w:r w:rsidRPr="00082CF3">
        <w:rPr>
          <w:color w:val="000000"/>
          <w:sz w:val="24"/>
          <w:szCs w:val="24"/>
          <w:lang w:val="en-US"/>
        </w:rPr>
        <w:t xml:space="preserve"> “</w:t>
      </w:r>
      <w:r w:rsidRPr="00082CF3">
        <w:rPr>
          <w:color w:val="000000"/>
          <w:sz w:val="24"/>
          <w:szCs w:val="24"/>
        </w:rPr>
        <w:t>Engineer</w:t>
      </w:r>
      <w:r w:rsidRPr="00082CF3">
        <w:rPr>
          <w:color w:val="000000"/>
          <w:sz w:val="24"/>
          <w:szCs w:val="24"/>
          <w:lang w:val="en-US"/>
        </w:rPr>
        <w:t>,”</w:t>
      </w:r>
      <w:r w:rsidRPr="00082CF3">
        <w:rPr>
          <w:color w:val="000000"/>
          <w:sz w:val="24"/>
          <w:szCs w:val="24"/>
        </w:rPr>
        <w:t xml:space="preserve"> Yahya Ayyash, responsible for many suicide bombings</w:t>
      </w:r>
      <w:r w:rsidRPr="00082CF3">
        <w:rPr>
          <w:color w:val="000000"/>
        </w:rPr>
        <w:t xml:space="preserve">, </w:t>
      </w:r>
      <w:r w:rsidRPr="00082CF3">
        <w:rPr>
          <w:color w:val="000000"/>
          <w:sz w:val="24"/>
          <w:szCs w:val="24"/>
        </w:rPr>
        <w:t xml:space="preserve">had escaped to the Gaza Strip, </w:t>
      </w:r>
      <w:r w:rsidRPr="00082CF3">
        <w:rPr>
          <w:color w:val="000000"/>
          <w:sz w:val="24"/>
          <w:szCs w:val="24"/>
          <w:lang w:val="en-US"/>
        </w:rPr>
        <w:t xml:space="preserve">Carmi </w:t>
      </w:r>
      <w:r w:rsidRPr="00082CF3">
        <w:rPr>
          <w:color w:val="000000"/>
          <w:sz w:val="24"/>
          <w:szCs w:val="24"/>
        </w:rPr>
        <w:t>Gillon</w:t>
      </w:r>
      <w:r w:rsidRPr="00082CF3">
        <w:rPr>
          <w:color w:val="000000"/>
          <w:sz w:val="24"/>
          <w:szCs w:val="24"/>
          <w:lang w:val="en-US"/>
        </w:rPr>
        <w:t>,</w:t>
      </w:r>
      <w:r w:rsidRPr="00082CF3">
        <w:rPr>
          <w:color w:val="000000"/>
          <w:sz w:val="24"/>
          <w:szCs w:val="24"/>
        </w:rPr>
        <w:t xml:space="preserve"> then head of the Shin Bet, </w:t>
      </w:r>
      <w:r w:rsidRPr="00082CF3">
        <w:rPr>
          <w:color w:val="000000"/>
          <w:sz w:val="24"/>
          <w:szCs w:val="24"/>
          <w:lang w:val="en-US"/>
        </w:rPr>
        <w:t xml:space="preserve">claimed </w:t>
      </w:r>
      <w:r w:rsidRPr="00082CF3">
        <w:rPr>
          <w:color w:val="000000"/>
          <w:sz w:val="24"/>
          <w:szCs w:val="24"/>
        </w:rPr>
        <w:t>that Ayyash was under his control. This</w:t>
      </w:r>
      <w:r w:rsidRPr="00082CF3">
        <w:rPr>
          <w:color w:val="000000"/>
          <w:sz w:val="24"/>
          <w:szCs w:val="24"/>
          <w:lang w:val="en-US"/>
        </w:rPr>
        <w:t xml:space="preserve"> was based on the belief that now that someone – </w:t>
      </w:r>
      <w:commentRangeStart w:id="34"/>
      <w:r w:rsidRPr="00082CF3">
        <w:rPr>
          <w:color w:val="000000"/>
          <w:sz w:val="24"/>
          <w:szCs w:val="24"/>
          <w:lang w:val="en-US"/>
        </w:rPr>
        <w:t>Arafat</w:t>
      </w:r>
      <w:commentRangeEnd w:id="34"/>
      <w:r w:rsidRPr="00082CF3">
        <w:rPr>
          <w:rStyle w:val="CommentReference"/>
        </w:rPr>
        <w:commentReference w:id="34"/>
      </w:r>
      <w:r w:rsidRPr="00082CF3">
        <w:rPr>
          <w:color w:val="000000"/>
          <w:sz w:val="24"/>
          <w:szCs w:val="24"/>
          <w:lang w:val="en-US"/>
        </w:rPr>
        <w:t xml:space="preserve"> – was </w:t>
      </w:r>
      <w:r w:rsidRPr="00082CF3">
        <w:rPr>
          <w:color w:val="000000"/>
          <w:sz w:val="24"/>
          <w:szCs w:val="24"/>
        </w:rPr>
        <w:t>committed to curb</w:t>
      </w:r>
      <w:r w:rsidRPr="00082CF3">
        <w:rPr>
          <w:color w:val="000000"/>
          <w:sz w:val="24"/>
          <w:szCs w:val="24"/>
          <w:lang w:val="en-US"/>
        </w:rPr>
        <w:t>ing</w:t>
      </w:r>
      <w:r w:rsidRPr="00082CF3">
        <w:rPr>
          <w:color w:val="000000"/>
          <w:sz w:val="24"/>
          <w:szCs w:val="24"/>
        </w:rPr>
        <w:t xml:space="preserve"> Hamas, he </w:t>
      </w:r>
      <w:r w:rsidRPr="00082CF3">
        <w:rPr>
          <w:color w:val="000000"/>
          <w:sz w:val="24"/>
          <w:szCs w:val="24"/>
          <w:lang w:val="en-US"/>
        </w:rPr>
        <w:t>would</w:t>
      </w:r>
      <w:r w:rsidRPr="00082CF3">
        <w:rPr>
          <w:color w:val="000000"/>
          <w:sz w:val="24"/>
          <w:szCs w:val="24"/>
        </w:rPr>
        <w:t xml:space="preserve"> </w:t>
      </w:r>
      <w:r w:rsidRPr="00082CF3">
        <w:rPr>
          <w:color w:val="000000"/>
          <w:sz w:val="24"/>
          <w:szCs w:val="24"/>
          <w:lang w:val="en-US"/>
        </w:rPr>
        <w:t>enforce order</w:t>
      </w:r>
      <w:r w:rsidR="00C01749">
        <w:rPr>
          <w:color w:val="000000"/>
          <w:sz w:val="24"/>
          <w:szCs w:val="24"/>
          <w:lang w:val="en-US"/>
        </w:rPr>
        <w:t xml:space="preserve"> in the West Bank and </w:t>
      </w:r>
      <w:commentRangeStart w:id="35"/>
      <w:r w:rsidR="00C01749">
        <w:rPr>
          <w:color w:val="000000"/>
          <w:sz w:val="24"/>
          <w:szCs w:val="24"/>
          <w:lang w:val="en-US"/>
        </w:rPr>
        <w:t>Gaza</w:t>
      </w:r>
      <w:commentRangeEnd w:id="35"/>
      <w:r w:rsidR="00C01749">
        <w:rPr>
          <w:rStyle w:val="CommentReference"/>
        </w:rPr>
        <w:commentReference w:id="35"/>
      </w:r>
      <w:r w:rsidRPr="00082CF3">
        <w:rPr>
          <w:color w:val="000000"/>
          <w:sz w:val="24"/>
          <w:szCs w:val="24"/>
          <w:lang w:val="en-US"/>
        </w:rPr>
        <w:t>.</w:t>
      </w:r>
      <w:r w:rsidRPr="00082CF3">
        <w:rPr>
          <w:color w:val="000000"/>
          <w:sz w:val="24"/>
          <w:szCs w:val="24"/>
        </w:rPr>
        <w:t xml:space="preserve"> However, Arafat claimed innocence, insisting he had no idea what was being discussed and that to the best of his knowledge, Ayyash was in Sudan. Even </w:t>
      </w:r>
      <w:r w:rsidRPr="00082CF3">
        <w:rPr>
          <w:color w:val="000000"/>
          <w:sz w:val="24"/>
          <w:szCs w:val="24"/>
          <w:lang w:val="en-US"/>
        </w:rPr>
        <w:t>when Rabin personally confronted Arafat</w:t>
      </w:r>
      <w:r w:rsidRPr="00082CF3">
        <w:rPr>
          <w:color w:val="000000"/>
          <w:sz w:val="24"/>
          <w:szCs w:val="24"/>
        </w:rPr>
        <w:t xml:space="preserve"> at the </w:t>
      </w:r>
      <w:proofErr w:type="spellStart"/>
      <w:r w:rsidRPr="00082CF3">
        <w:rPr>
          <w:color w:val="000000"/>
          <w:sz w:val="24"/>
          <w:szCs w:val="24"/>
        </w:rPr>
        <w:t>Erez</w:t>
      </w:r>
      <w:proofErr w:type="spellEnd"/>
      <w:r w:rsidRPr="00082CF3">
        <w:rPr>
          <w:color w:val="000000"/>
          <w:sz w:val="24"/>
          <w:szCs w:val="24"/>
        </w:rPr>
        <w:t xml:space="preserve"> Crossing, </w:t>
      </w:r>
      <w:r w:rsidRPr="00082CF3">
        <w:rPr>
          <w:color w:val="000000"/>
          <w:sz w:val="24"/>
          <w:szCs w:val="24"/>
          <w:lang w:val="en-US"/>
        </w:rPr>
        <w:t>threatening</w:t>
      </w:r>
      <w:r w:rsidRPr="00082CF3">
        <w:rPr>
          <w:color w:val="000000"/>
          <w:sz w:val="24"/>
          <w:szCs w:val="24"/>
        </w:rPr>
        <w:t xml:space="preserve"> that if Arafat did not arrest Ayyash, Israel would back out of the agreement, Arafat</w:t>
      </w:r>
      <w:r w:rsidRPr="00082CF3">
        <w:rPr>
          <w:color w:val="000000"/>
          <w:sz w:val="24"/>
          <w:szCs w:val="24"/>
          <w:lang w:val="en-US"/>
        </w:rPr>
        <w:t xml:space="preserve"> continued denying that Ayyash was in Gaza, insisting that he was</w:t>
      </w:r>
      <w:r w:rsidRPr="00082CF3">
        <w:rPr>
          <w:color w:val="000000"/>
          <w:sz w:val="24"/>
          <w:szCs w:val="24"/>
        </w:rPr>
        <w:t xml:space="preserve"> in Sudan.</w:t>
      </w:r>
      <w:r w:rsidRPr="00082CF3">
        <w:rPr>
          <w:rStyle w:val="FootnoteReference"/>
          <w:color w:val="000000"/>
          <w:sz w:val="24"/>
          <w:szCs w:val="24"/>
        </w:rPr>
        <w:footnoteReference w:id="31"/>
      </w:r>
      <w:r w:rsidRPr="00082CF3">
        <w:rPr>
          <w:color w:val="000000"/>
          <w:sz w:val="24"/>
          <w:szCs w:val="24"/>
        </w:rPr>
        <w:t xml:space="preserve"> The same </w:t>
      </w:r>
      <w:r w:rsidRPr="00082CF3">
        <w:rPr>
          <w:color w:val="000000"/>
          <w:sz w:val="24"/>
          <w:szCs w:val="24"/>
          <w:lang w:val="en-US"/>
        </w:rPr>
        <w:t>situation occurred with</w:t>
      </w:r>
      <w:r w:rsidRPr="00082CF3">
        <w:rPr>
          <w:color w:val="000000"/>
          <w:sz w:val="24"/>
          <w:szCs w:val="24"/>
        </w:rPr>
        <w:t xml:space="preserve"> Mohammed </w:t>
      </w:r>
      <w:proofErr w:type="spellStart"/>
      <w:r w:rsidRPr="00082CF3">
        <w:rPr>
          <w:color w:val="000000"/>
          <w:sz w:val="24"/>
          <w:szCs w:val="24"/>
        </w:rPr>
        <w:t>Cheif</w:t>
      </w:r>
      <w:proofErr w:type="spellEnd"/>
      <w:r w:rsidRPr="00082CF3">
        <w:rPr>
          <w:color w:val="000000"/>
          <w:sz w:val="24"/>
          <w:szCs w:val="24"/>
        </w:rPr>
        <w:t>, who</w:t>
      </w:r>
      <w:r w:rsidRPr="00082CF3">
        <w:rPr>
          <w:color w:val="000000"/>
          <w:sz w:val="24"/>
          <w:szCs w:val="24"/>
          <w:lang w:val="en-US"/>
        </w:rPr>
        <w:t>se presence in</w:t>
      </w:r>
      <w:r w:rsidRPr="00082CF3">
        <w:rPr>
          <w:color w:val="000000"/>
          <w:sz w:val="24"/>
          <w:szCs w:val="24"/>
        </w:rPr>
        <w:t xml:space="preserve"> the Gaza Strip </w:t>
      </w:r>
      <w:r w:rsidRPr="00082CF3">
        <w:rPr>
          <w:color w:val="000000"/>
          <w:sz w:val="24"/>
          <w:szCs w:val="24"/>
          <w:lang w:val="en-US"/>
        </w:rPr>
        <w:t xml:space="preserve">was confirmed by Israel and communicated </w:t>
      </w:r>
      <w:r w:rsidRPr="00082CF3">
        <w:rPr>
          <w:color w:val="000000"/>
          <w:sz w:val="24"/>
          <w:szCs w:val="24"/>
        </w:rPr>
        <w:t xml:space="preserve">to Mohammed Dahlan, head of the </w:t>
      </w:r>
      <w:r w:rsidRPr="00082CF3">
        <w:rPr>
          <w:color w:val="000000"/>
          <w:sz w:val="24"/>
          <w:szCs w:val="24"/>
          <w:lang w:val="en-US"/>
        </w:rPr>
        <w:t xml:space="preserve">PLO’s </w:t>
      </w:r>
      <w:r w:rsidRPr="00082CF3">
        <w:rPr>
          <w:color w:val="000000"/>
          <w:sz w:val="24"/>
          <w:szCs w:val="24"/>
        </w:rPr>
        <w:t>executive security</w:t>
      </w:r>
      <w:r w:rsidRPr="00082CF3">
        <w:rPr>
          <w:color w:val="000000"/>
          <w:sz w:val="24"/>
          <w:szCs w:val="24"/>
          <w:lang w:val="en-US"/>
        </w:rPr>
        <w:t>. However,</w:t>
      </w:r>
      <w:r w:rsidRPr="00082CF3">
        <w:rPr>
          <w:color w:val="000000"/>
          <w:sz w:val="24"/>
          <w:szCs w:val="24"/>
        </w:rPr>
        <w:t xml:space="preserve"> but nothing was done with the information.</w:t>
      </w:r>
      <w:r w:rsidRPr="00082CF3">
        <w:rPr>
          <w:rStyle w:val="FootnoteReference"/>
          <w:color w:val="000000"/>
          <w:sz w:val="24"/>
          <w:szCs w:val="24"/>
        </w:rPr>
        <w:footnoteReference w:id="32"/>
      </w:r>
    </w:p>
    <w:p w14:paraId="00000023"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5EB44FE7" w14:textId="075C0BC7" w:rsidR="009A7E7F" w:rsidRPr="00082CF3" w:rsidRDefault="009A7E7F" w:rsidP="00082CF3">
      <w:pPr>
        <w:widowControl w:val="0"/>
        <w:pBdr>
          <w:top w:val="nil"/>
          <w:left w:val="nil"/>
          <w:bottom w:val="nil"/>
          <w:right w:val="nil"/>
          <w:between w:val="nil"/>
        </w:pBdr>
        <w:spacing w:line="360" w:lineRule="auto"/>
        <w:rPr>
          <w:color w:val="000000"/>
          <w:sz w:val="24"/>
          <w:szCs w:val="24"/>
        </w:rPr>
      </w:pPr>
      <w:r w:rsidRPr="00082CF3">
        <w:rPr>
          <w:color w:val="000000"/>
          <w:sz w:val="24"/>
          <w:szCs w:val="24"/>
        </w:rPr>
        <w:t>Arafat</w:t>
      </w:r>
      <w:r w:rsidRPr="00082CF3">
        <w:rPr>
          <w:color w:val="000000"/>
          <w:sz w:val="24"/>
          <w:szCs w:val="24"/>
          <w:lang w:val="en-US"/>
        </w:rPr>
        <w:t xml:space="preserve">’s apparent reluctance to take assertive </w:t>
      </w:r>
      <w:r w:rsidRPr="00082CF3">
        <w:rPr>
          <w:color w:val="000000"/>
          <w:sz w:val="24"/>
          <w:szCs w:val="24"/>
        </w:rPr>
        <w:t xml:space="preserve">action against Hamas </w:t>
      </w:r>
      <w:r w:rsidRPr="00082CF3">
        <w:rPr>
          <w:color w:val="000000"/>
          <w:sz w:val="24"/>
          <w:szCs w:val="24"/>
          <w:lang w:val="en-US"/>
        </w:rPr>
        <w:t>led to a climate of mistrust; even when</w:t>
      </w:r>
      <w:r w:rsidRPr="00082CF3">
        <w:rPr>
          <w:color w:val="000000"/>
          <w:sz w:val="24"/>
          <w:szCs w:val="24"/>
        </w:rPr>
        <w:t xml:space="preserve"> Arafat </w:t>
      </w:r>
      <w:r w:rsidRPr="00082CF3">
        <w:rPr>
          <w:color w:val="000000"/>
          <w:sz w:val="24"/>
          <w:szCs w:val="24"/>
          <w:lang w:val="en-US"/>
        </w:rPr>
        <w:t xml:space="preserve">apparently sincerely wanted </w:t>
      </w:r>
      <w:r w:rsidRPr="00082CF3">
        <w:rPr>
          <w:color w:val="000000"/>
          <w:sz w:val="24"/>
          <w:szCs w:val="24"/>
        </w:rPr>
        <w:t>to help Israel in the fight against Hamas</w:t>
      </w:r>
      <w:r w:rsidRPr="00082CF3">
        <w:rPr>
          <w:color w:val="000000"/>
          <w:sz w:val="24"/>
          <w:szCs w:val="24"/>
          <w:lang w:val="en-US"/>
        </w:rPr>
        <w:t xml:space="preserve">, his words were received with great suspicion in Israel. </w:t>
      </w:r>
      <w:r w:rsidRPr="00082CF3">
        <w:rPr>
          <w:color w:val="000000"/>
          <w:sz w:val="24"/>
          <w:szCs w:val="24"/>
        </w:rPr>
        <w:t xml:space="preserve">Thus, after the abduction of the soldier </w:t>
      </w:r>
      <w:proofErr w:type="spellStart"/>
      <w:r w:rsidRPr="00082CF3">
        <w:rPr>
          <w:color w:val="000000"/>
          <w:sz w:val="24"/>
          <w:szCs w:val="24"/>
        </w:rPr>
        <w:t>Nachshon</w:t>
      </w:r>
      <w:proofErr w:type="spellEnd"/>
      <w:r w:rsidRPr="00082CF3">
        <w:rPr>
          <w:color w:val="000000"/>
          <w:sz w:val="24"/>
          <w:szCs w:val="24"/>
        </w:rPr>
        <w:t xml:space="preserve"> Waxman in October 1994, </w:t>
      </w:r>
      <w:r w:rsidRPr="00082CF3">
        <w:rPr>
          <w:color w:val="000000"/>
          <w:sz w:val="24"/>
          <w:szCs w:val="24"/>
          <w:lang w:val="en-US"/>
        </w:rPr>
        <w:t xml:space="preserve">Israel believed Waxman </w:t>
      </w:r>
      <w:r w:rsidRPr="00082CF3">
        <w:rPr>
          <w:color w:val="000000"/>
          <w:sz w:val="24"/>
          <w:szCs w:val="24"/>
        </w:rPr>
        <w:t xml:space="preserve">was in the Gaza Strip and asked </w:t>
      </w:r>
      <w:r w:rsidRPr="00082CF3">
        <w:rPr>
          <w:color w:val="000000"/>
          <w:sz w:val="24"/>
          <w:szCs w:val="24"/>
          <w:lang w:val="en-US"/>
        </w:rPr>
        <w:t xml:space="preserve">for Arafat’s assistance in the search. Despite the involvement of Arafat and his security teams, and Arafat’s assurance after two days that Waxman was not in Gaza, </w:t>
      </w:r>
      <w:r w:rsidRPr="00082CF3">
        <w:rPr>
          <w:color w:val="000000"/>
          <w:sz w:val="24"/>
          <w:szCs w:val="24"/>
        </w:rPr>
        <w:t xml:space="preserve">Israel </w:t>
      </w:r>
      <w:r w:rsidRPr="00082CF3">
        <w:rPr>
          <w:color w:val="000000"/>
          <w:sz w:val="24"/>
          <w:szCs w:val="24"/>
          <w:lang w:val="en-US"/>
        </w:rPr>
        <w:t>did not find him</w:t>
      </w:r>
      <w:r w:rsidRPr="00082CF3">
        <w:rPr>
          <w:color w:val="000000"/>
          <w:sz w:val="24"/>
          <w:szCs w:val="24"/>
        </w:rPr>
        <w:t xml:space="preserve"> credible</w:t>
      </w:r>
      <w:r w:rsidRPr="00082CF3">
        <w:rPr>
          <w:color w:val="000000"/>
          <w:sz w:val="24"/>
          <w:szCs w:val="24"/>
          <w:lang w:val="en-US"/>
        </w:rPr>
        <w:t>. It took longer for Israel to</w:t>
      </w:r>
      <w:r w:rsidRPr="00082CF3">
        <w:rPr>
          <w:color w:val="000000"/>
          <w:sz w:val="24"/>
          <w:szCs w:val="24"/>
        </w:rPr>
        <w:t xml:space="preserve"> understand that Arafat was right and Waxman</w:t>
      </w:r>
      <w:r w:rsidRPr="00082CF3">
        <w:rPr>
          <w:color w:val="000000"/>
          <w:sz w:val="24"/>
          <w:szCs w:val="24"/>
          <w:lang w:val="en-US"/>
        </w:rPr>
        <w:t xml:space="preserve"> had indeed been relocated</w:t>
      </w:r>
      <w:r w:rsidRPr="00082CF3">
        <w:rPr>
          <w:color w:val="000000"/>
          <w:sz w:val="24"/>
          <w:szCs w:val="24"/>
        </w:rPr>
        <w:t xml:space="preserve"> to Bir </w:t>
      </w:r>
      <w:proofErr w:type="spellStart"/>
      <w:r w:rsidRPr="00082CF3">
        <w:rPr>
          <w:color w:val="000000"/>
          <w:sz w:val="24"/>
          <w:szCs w:val="24"/>
        </w:rPr>
        <w:t>Naballah</w:t>
      </w:r>
      <w:proofErr w:type="spellEnd"/>
      <w:r w:rsidRPr="00082CF3">
        <w:rPr>
          <w:color w:val="000000"/>
          <w:sz w:val="24"/>
          <w:szCs w:val="24"/>
        </w:rPr>
        <w:t xml:space="preserve"> in the West Bank.</w:t>
      </w:r>
      <w:r w:rsidRPr="00082CF3">
        <w:rPr>
          <w:rStyle w:val="FootnoteReference"/>
          <w:color w:val="000000"/>
          <w:sz w:val="24"/>
          <w:szCs w:val="24"/>
        </w:rPr>
        <w:footnoteReference w:id="33"/>
      </w:r>
    </w:p>
    <w:p w14:paraId="00000025" w14:textId="77777777" w:rsidR="00CF554D" w:rsidRPr="00082CF3" w:rsidRDefault="00CF554D" w:rsidP="00082CF3">
      <w:pPr>
        <w:widowControl w:val="0"/>
        <w:pBdr>
          <w:top w:val="nil"/>
          <w:left w:val="nil"/>
          <w:bottom w:val="nil"/>
          <w:right w:val="nil"/>
          <w:between w:val="nil"/>
        </w:pBdr>
        <w:spacing w:line="360" w:lineRule="auto"/>
        <w:rPr>
          <w:color w:val="000000"/>
          <w:sz w:val="24"/>
          <w:szCs w:val="24"/>
        </w:rPr>
      </w:pPr>
    </w:p>
    <w:p w14:paraId="0DE70940" w14:textId="2BE156D5" w:rsidR="00C56A29" w:rsidRPr="007735FB" w:rsidRDefault="00C01749" w:rsidP="00C56A29">
      <w:pPr>
        <w:widowControl w:val="0"/>
        <w:pBdr>
          <w:top w:val="nil"/>
          <w:left w:val="nil"/>
          <w:bottom w:val="nil"/>
          <w:right w:val="nil"/>
          <w:between w:val="nil"/>
        </w:pBdr>
        <w:spacing w:line="360" w:lineRule="auto"/>
        <w:rPr>
          <w:color w:val="000000"/>
          <w:sz w:val="24"/>
          <w:szCs w:val="24"/>
        </w:rPr>
      </w:pPr>
      <w:r>
        <w:rPr>
          <w:color w:val="000000"/>
          <w:sz w:val="24"/>
          <w:szCs w:val="24"/>
          <w:lang w:val="en-US"/>
        </w:rPr>
        <w:t>T</w:t>
      </w:r>
      <w:r w:rsidRPr="00082CF3">
        <w:rPr>
          <w:color w:val="000000"/>
          <w:sz w:val="24"/>
          <w:szCs w:val="24"/>
        </w:rPr>
        <w:t>he Palestinian Authority beg</w:t>
      </w:r>
      <w:r w:rsidRPr="00082CF3">
        <w:rPr>
          <w:color w:val="000000"/>
          <w:sz w:val="24"/>
          <w:szCs w:val="24"/>
          <w:lang w:val="en-US"/>
        </w:rPr>
        <w:t>a</w:t>
      </w:r>
      <w:r w:rsidRPr="00082CF3">
        <w:rPr>
          <w:color w:val="000000"/>
          <w:sz w:val="24"/>
          <w:szCs w:val="24"/>
        </w:rPr>
        <w:t xml:space="preserve">n to </w:t>
      </w:r>
      <w:r w:rsidRPr="00082CF3">
        <w:rPr>
          <w:color w:val="000000"/>
          <w:sz w:val="24"/>
          <w:szCs w:val="24"/>
          <w:lang w:val="en-US"/>
        </w:rPr>
        <w:t>actively counteract Hamas’s</w:t>
      </w:r>
      <w:r w:rsidRPr="00082CF3">
        <w:rPr>
          <w:color w:val="000000"/>
          <w:sz w:val="24"/>
          <w:szCs w:val="24"/>
        </w:rPr>
        <w:t xml:space="preserve"> terrorist activities</w:t>
      </w:r>
      <w:r w:rsidRPr="00082CF3">
        <w:rPr>
          <w:color w:val="000000"/>
          <w:sz w:val="24"/>
          <w:szCs w:val="24"/>
          <w:lang w:val="en-US"/>
        </w:rPr>
        <w:t xml:space="preserve"> </w:t>
      </w:r>
      <w:r w:rsidR="00C56A29" w:rsidRPr="00082CF3">
        <w:rPr>
          <w:color w:val="000000"/>
          <w:sz w:val="24"/>
          <w:szCs w:val="24"/>
          <w:lang w:val="en-US"/>
        </w:rPr>
        <w:t>only after the devastating</w:t>
      </w:r>
      <w:r w:rsidR="00C56A29" w:rsidRPr="00082CF3">
        <w:rPr>
          <w:color w:val="000000"/>
          <w:sz w:val="24"/>
          <w:szCs w:val="24"/>
        </w:rPr>
        <w:t xml:space="preserve"> suicide bombings </w:t>
      </w:r>
      <w:r w:rsidR="00C56A29" w:rsidRPr="00082CF3">
        <w:rPr>
          <w:color w:val="000000"/>
          <w:sz w:val="24"/>
          <w:szCs w:val="24"/>
          <w:lang w:val="en-US"/>
        </w:rPr>
        <w:t>in</w:t>
      </w:r>
      <w:r w:rsidR="00C56A29" w:rsidRPr="00082CF3">
        <w:rPr>
          <w:color w:val="000000"/>
          <w:sz w:val="24"/>
          <w:szCs w:val="24"/>
        </w:rPr>
        <w:t xml:space="preserve"> February–March 1996, when Israel informed Arafat that if he did not act against terror</w:t>
      </w:r>
      <w:r w:rsidR="00C56A29" w:rsidRPr="00082CF3">
        <w:rPr>
          <w:color w:val="000000"/>
          <w:sz w:val="24"/>
          <w:szCs w:val="24"/>
          <w:lang w:val="en-US"/>
        </w:rPr>
        <w:t>,</w:t>
      </w:r>
      <w:r w:rsidR="00C56A29" w:rsidRPr="00082CF3">
        <w:rPr>
          <w:color w:val="000000"/>
          <w:sz w:val="24"/>
          <w:szCs w:val="24"/>
        </w:rPr>
        <w:t xml:space="preserve"> he would not get control of Hebron</w:t>
      </w:r>
      <w:r>
        <w:rPr>
          <w:color w:val="000000"/>
          <w:sz w:val="24"/>
          <w:szCs w:val="24"/>
          <w:lang w:val="en-US"/>
        </w:rPr>
        <w:t>,</w:t>
      </w:r>
      <w:r w:rsidR="00C56A29" w:rsidRPr="00082CF3">
        <w:rPr>
          <w:color w:val="000000"/>
          <w:sz w:val="24"/>
          <w:szCs w:val="24"/>
        </w:rPr>
        <w:t xml:space="preserve"> as </w:t>
      </w:r>
      <w:r>
        <w:rPr>
          <w:color w:val="000000"/>
          <w:sz w:val="24"/>
          <w:szCs w:val="24"/>
          <w:lang w:val="en-US"/>
        </w:rPr>
        <w:t>stipulated in</w:t>
      </w:r>
      <w:r w:rsidR="00C56A29" w:rsidRPr="00082CF3">
        <w:rPr>
          <w:color w:val="000000"/>
          <w:sz w:val="24"/>
          <w:szCs w:val="24"/>
        </w:rPr>
        <w:t xml:space="preserve"> the</w:t>
      </w:r>
      <w:proofErr w:type="spellStart"/>
      <w:r>
        <w:rPr>
          <w:color w:val="000000"/>
          <w:sz w:val="24"/>
          <w:szCs w:val="24"/>
          <w:lang w:val="en-US"/>
        </w:rPr>
        <w:t>ir</w:t>
      </w:r>
      <w:proofErr w:type="spellEnd"/>
      <w:r w:rsidR="00C56A29" w:rsidRPr="00082CF3">
        <w:rPr>
          <w:color w:val="000000"/>
          <w:sz w:val="24"/>
          <w:szCs w:val="24"/>
        </w:rPr>
        <w:t xml:space="preserve"> agreement</w:t>
      </w:r>
      <w:r>
        <w:rPr>
          <w:color w:val="000000"/>
          <w:sz w:val="24"/>
          <w:szCs w:val="24"/>
          <w:lang w:val="en-US"/>
        </w:rPr>
        <w:t>s</w:t>
      </w:r>
      <w:r w:rsidR="00C56A29" w:rsidRPr="00082CF3">
        <w:rPr>
          <w:color w:val="000000"/>
          <w:sz w:val="24"/>
          <w:szCs w:val="24"/>
        </w:rPr>
        <w:t xml:space="preserve">. </w:t>
      </w:r>
      <w:r w:rsidR="00C56A29" w:rsidRPr="00082CF3">
        <w:rPr>
          <w:color w:val="000000"/>
          <w:sz w:val="24"/>
          <w:szCs w:val="24"/>
          <w:lang w:val="en-US"/>
        </w:rPr>
        <w:t>This led to approximately 400 arrests, which had a significant short-term effect. However, some suggested</w:t>
      </w:r>
      <w:r w:rsidR="00C56A29" w:rsidRPr="00082CF3">
        <w:rPr>
          <w:color w:val="000000"/>
          <w:sz w:val="24"/>
          <w:szCs w:val="24"/>
        </w:rPr>
        <w:t xml:space="preserve"> that these arrests </w:t>
      </w:r>
      <w:r w:rsidR="00C56A29" w:rsidRPr="00082CF3">
        <w:rPr>
          <w:color w:val="000000"/>
          <w:sz w:val="24"/>
          <w:szCs w:val="24"/>
          <w:lang w:val="en-US"/>
        </w:rPr>
        <w:t>were only a temporary measure to placate Israel</w:t>
      </w:r>
      <w:r>
        <w:rPr>
          <w:color w:val="000000"/>
          <w:sz w:val="24"/>
          <w:szCs w:val="24"/>
          <w:lang w:val="en-US"/>
        </w:rPr>
        <w:t>, merely calming the atmosphere</w:t>
      </w:r>
      <w:r w:rsidR="00C56A29" w:rsidRPr="00082CF3">
        <w:rPr>
          <w:color w:val="000000"/>
          <w:sz w:val="24"/>
          <w:szCs w:val="24"/>
        </w:rPr>
        <w:t xml:space="preserve"> </w:t>
      </w:r>
      <w:r>
        <w:rPr>
          <w:color w:val="000000"/>
          <w:sz w:val="24"/>
          <w:szCs w:val="24"/>
          <w:lang w:val="en-US"/>
        </w:rPr>
        <w:t xml:space="preserve">for a while in </w:t>
      </w:r>
      <w:r>
        <w:rPr>
          <w:color w:val="000000"/>
          <w:sz w:val="24"/>
          <w:szCs w:val="24"/>
          <w:lang w:val="en-US"/>
        </w:rPr>
        <w:lastRenderedPageBreak/>
        <w:t xml:space="preserve">order </w:t>
      </w:r>
      <w:r w:rsidR="00C56A29" w:rsidRPr="00082CF3">
        <w:rPr>
          <w:color w:val="000000"/>
          <w:sz w:val="24"/>
          <w:szCs w:val="24"/>
        </w:rPr>
        <w:t>to please the Israeli side</w:t>
      </w:r>
      <w:r>
        <w:rPr>
          <w:color w:val="000000"/>
          <w:sz w:val="24"/>
          <w:szCs w:val="24"/>
          <w:lang w:val="en-US"/>
        </w:rPr>
        <w:t>,</w:t>
      </w:r>
      <w:r w:rsidR="00C56A29" w:rsidRPr="00082CF3">
        <w:rPr>
          <w:color w:val="000000"/>
          <w:sz w:val="24"/>
          <w:szCs w:val="24"/>
        </w:rPr>
        <w:t xml:space="preserve"> and did not </w:t>
      </w:r>
      <w:r w:rsidR="00C56A29" w:rsidRPr="00082CF3">
        <w:rPr>
          <w:color w:val="000000"/>
          <w:sz w:val="24"/>
          <w:szCs w:val="24"/>
          <w:lang w:val="en-US"/>
        </w:rPr>
        <w:t>represent a shift in policy.</w:t>
      </w:r>
      <w:r w:rsidR="00C56A29" w:rsidRPr="00082CF3">
        <w:rPr>
          <w:color w:val="000000"/>
          <w:sz w:val="24"/>
          <w:szCs w:val="24"/>
        </w:rPr>
        <w:t xml:space="preserve"> </w:t>
      </w:r>
      <w:r w:rsidR="00C56A29" w:rsidRPr="00082CF3">
        <w:rPr>
          <w:color w:val="000000"/>
          <w:sz w:val="24"/>
          <w:szCs w:val="24"/>
          <w:lang w:val="en-US"/>
        </w:rPr>
        <w:t>Ultimately, when Israeli interests were at stake,</w:t>
      </w:r>
      <w:r w:rsidR="00C56A29" w:rsidRPr="00082CF3">
        <w:rPr>
          <w:color w:val="000000"/>
          <w:sz w:val="24"/>
          <w:szCs w:val="24"/>
        </w:rPr>
        <w:t xml:space="preserve"> the PLO</w:t>
      </w:r>
      <w:r>
        <w:rPr>
          <w:color w:val="000000"/>
          <w:sz w:val="24"/>
          <w:szCs w:val="24"/>
          <w:lang w:val="en-US"/>
        </w:rPr>
        <w:t>’</w:t>
      </w:r>
      <w:r w:rsidR="00C56A29" w:rsidRPr="00082CF3">
        <w:rPr>
          <w:color w:val="000000"/>
          <w:sz w:val="24"/>
          <w:szCs w:val="24"/>
        </w:rPr>
        <w:t xml:space="preserve">s security mechanisms </w:t>
      </w:r>
      <w:r w:rsidR="00C56A29" w:rsidRPr="00082CF3">
        <w:rPr>
          <w:color w:val="000000"/>
          <w:sz w:val="24"/>
          <w:szCs w:val="24"/>
          <w:lang w:val="en-US"/>
        </w:rPr>
        <w:t>fell short, not because they could not</w:t>
      </w:r>
      <w:r>
        <w:rPr>
          <w:color w:val="000000"/>
          <w:sz w:val="24"/>
          <w:szCs w:val="24"/>
          <w:lang w:val="en-US"/>
        </w:rPr>
        <w:t xml:space="preserve"> deliver</w:t>
      </w:r>
      <w:r w:rsidR="00C56A29" w:rsidRPr="00082CF3">
        <w:rPr>
          <w:color w:val="000000"/>
          <w:sz w:val="24"/>
          <w:szCs w:val="24"/>
          <w:lang w:val="en-US"/>
        </w:rPr>
        <w:t>, but because they did not want to enough, and they did not receive adequate support</w:t>
      </w:r>
      <w:r w:rsidR="00C56A29" w:rsidRPr="00082CF3">
        <w:rPr>
          <w:color w:val="000000"/>
          <w:sz w:val="24"/>
          <w:szCs w:val="24"/>
        </w:rPr>
        <w:t xml:space="preserve"> from Arafat.</w:t>
      </w:r>
      <w:r w:rsidR="00C56A29" w:rsidRPr="00082CF3">
        <w:rPr>
          <w:rStyle w:val="FootnoteReference"/>
          <w:color w:val="000000"/>
          <w:sz w:val="24"/>
          <w:szCs w:val="24"/>
        </w:rPr>
        <w:footnoteReference w:id="34"/>
      </w:r>
      <w:r w:rsidR="00C56A29" w:rsidRPr="00082CF3">
        <w:rPr>
          <w:color w:val="000000"/>
          <w:sz w:val="24"/>
          <w:szCs w:val="24"/>
        </w:rPr>
        <w:t xml:space="preserve"> </w:t>
      </w:r>
      <w:r w:rsidR="00C56A29" w:rsidRPr="00082CF3">
        <w:rPr>
          <w:color w:val="000000"/>
          <w:sz w:val="24"/>
          <w:szCs w:val="24"/>
          <w:lang w:val="en-US"/>
        </w:rPr>
        <w:t>Conversely, Arafat did take decisive action against Hamas when his rule was threatened, as evidence</w:t>
      </w:r>
      <w:r w:rsidR="004739EF">
        <w:rPr>
          <w:color w:val="000000"/>
          <w:sz w:val="24"/>
          <w:szCs w:val="24"/>
          <w:lang w:val="en-US"/>
        </w:rPr>
        <w:t>d</w:t>
      </w:r>
      <w:r w:rsidR="00C56A29" w:rsidRPr="00082CF3">
        <w:rPr>
          <w:color w:val="000000"/>
          <w:sz w:val="24"/>
          <w:szCs w:val="24"/>
          <w:lang w:val="en-US"/>
        </w:rPr>
        <w:t xml:space="preserve"> by the killing of approximately twenty Hamas members by Arafat’s security forces at a demonstration held </w:t>
      </w:r>
      <w:r w:rsidR="00C56A29" w:rsidRPr="00082CF3">
        <w:rPr>
          <w:color w:val="000000"/>
          <w:sz w:val="24"/>
          <w:szCs w:val="24"/>
        </w:rPr>
        <w:t>after Arafat's entry into Jericho in July 1994 following the Cairo Agreement.</w:t>
      </w:r>
      <w:r w:rsidR="00C56A29" w:rsidRPr="00082CF3">
        <w:rPr>
          <w:rStyle w:val="FootnoteReference"/>
          <w:color w:val="000000"/>
          <w:sz w:val="24"/>
          <w:szCs w:val="24"/>
        </w:rPr>
        <w:footnoteReference w:id="35"/>
      </w:r>
    </w:p>
    <w:p w14:paraId="34CA34C8" w14:textId="77777777" w:rsidR="008177A0" w:rsidRPr="00082CF3" w:rsidRDefault="008177A0" w:rsidP="008177A0">
      <w:pPr>
        <w:widowControl w:val="0"/>
        <w:pBdr>
          <w:top w:val="nil"/>
          <w:left w:val="nil"/>
          <w:bottom w:val="nil"/>
          <w:right w:val="nil"/>
          <w:between w:val="nil"/>
        </w:pBdr>
        <w:spacing w:line="360" w:lineRule="auto"/>
        <w:rPr>
          <w:color w:val="000000"/>
          <w:sz w:val="24"/>
          <w:szCs w:val="24"/>
        </w:rPr>
      </w:pPr>
    </w:p>
    <w:bookmarkEnd w:id="12"/>
    <w:bookmarkEnd w:id="21"/>
    <w:bookmarkEnd w:id="31"/>
    <w:p w14:paraId="4CAC66F4" w14:textId="6558C9F5" w:rsidR="009C362B" w:rsidRPr="007735FB" w:rsidRDefault="009C362B" w:rsidP="009C362B">
      <w:pPr>
        <w:widowControl w:val="0"/>
        <w:pBdr>
          <w:top w:val="nil"/>
          <w:left w:val="nil"/>
          <w:bottom w:val="nil"/>
          <w:right w:val="nil"/>
          <w:between w:val="nil"/>
        </w:pBdr>
        <w:spacing w:line="360" w:lineRule="auto"/>
        <w:rPr>
          <w:color w:val="000000"/>
          <w:sz w:val="24"/>
          <w:szCs w:val="24"/>
        </w:rPr>
      </w:pPr>
      <w:r w:rsidRPr="007735FB">
        <w:rPr>
          <w:color w:val="000000"/>
          <w:sz w:val="24"/>
          <w:szCs w:val="24"/>
          <w:lang w:val="en-US"/>
        </w:rPr>
        <w:t>E</w:t>
      </w:r>
      <w:proofErr w:type="spellStart"/>
      <w:r w:rsidRPr="007735FB">
        <w:rPr>
          <w:color w:val="000000"/>
          <w:sz w:val="24"/>
          <w:szCs w:val="24"/>
        </w:rPr>
        <w:t>ven</w:t>
      </w:r>
      <w:proofErr w:type="spellEnd"/>
      <w:r w:rsidRPr="007735FB">
        <w:rPr>
          <w:color w:val="000000"/>
          <w:sz w:val="24"/>
          <w:szCs w:val="24"/>
        </w:rPr>
        <w:t xml:space="preserve"> after the establishment of the Palestinian Authority, the PLO</w:t>
      </w:r>
      <w:r w:rsidRPr="007735FB">
        <w:rPr>
          <w:color w:val="000000"/>
          <w:sz w:val="24"/>
          <w:szCs w:val="24"/>
          <w:lang w:val="en-US"/>
        </w:rPr>
        <w:t>,</w:t>
      </w:r>
      <w:r w:rsidRPr="007735FB">
        <w:rPr>
          <w:color w:val="000000"/>
          <w:sz w:val="24"/>
          <w:szCs w:val="24"/>
        </w:rPr>
        <w:t xml:space="preserve"> under Arafat</w:t>
      </w:r>
      <w:r w:rsidRPr="007735FB">
        <w:rPr>
          <w:color w:val="000000"/>
          <w:sz w:val="24"/>
          <w:szCs w:val="24"/>
          <w:lang w:val="en-US"/>
        </w:rPr>
        <w:t>’s leadership,</w:t>
      </w:r>
      <w:r w:rsidRPr="007735FB">
        <w:rPr>
          <w:color w:val="000000"/>
          <w:sz w:val="24"/>
          <w:szCs w:val="24"/>
        </w:rPr>
        <w:t xml:space="preserve"> continued its </w:t>
      </w:r>
      <w:r w:rsidRPr="007735FB">
        <w:rPr>
          <w:color w:val="000000"/>
          <w:sz w:val="24"/>
          <w:szCs w:val="24"/>
          <w:lang w:val="en-US"/>
        </w:rPr>
        <w:t xml:space="preserve">equivocal policy towards the ongoing threat from </w:t>
      </w:r>
      <w:r w:rsidRPr="007735FB">
        <w:rPr>
          <w:color w:val="000000"/>
          <w:sz w:val="24"/>
          <w:szCs w:val="24"/>
        </w:rPr>
        <w:t xml:space="preserve">Hamas. </w:t>
      </w:r>
      <w:r w:rsidRPr="007735FB">
        <w:rPr>
          <w:color w:val="000000"/>
          <w:sz w:val="24"/>
          <w:szCs w:val="24"/>
          <w:lang w:val="en-US"/>
        </w:rPr>
        <w:t>T</w:t>
      </w:r>
      <w:r w:rsidRPr="007735FB">
        <w:rPr>
          <w:color w:val="000000"/>
          <w:sz w:val="24"/>
          <w:szCs w:val="24"/>
        </w:rPr>
        <w:t xml:space="preserve">he Authority </w:t>
      </w:r>
      <w:r w:rsidRPr="007735FB">
        <w:rPr>
          <w:color w:val="000000"/>
          <w:sz w:val="24"/>
          <w:szCs w:val="24"/>
          <w:lang w:val="en-US"/>
        </w:rPr>
        <w:t>progressively</w:t>
      </w:r>
      <w:r w:rsidRPr="007735FB">
        <w:rPr>
          <w:color w:val="000000"/>
          <w:sz w:val="24"/>
          <w:szCs w:val="24"/>
        </w:rPr>
        <w:t xml:space="preserve"> developed </w:t>
      </w:r>
      <w:r w:rsidRPr="007735FB">
        <w:rPr>
          <w:color w:val="000000"/>
          <w:sz w:val="24"/>
          <w:szCs w:val="24"/>
          <w:lang w:val="en-US"/>
        </w:rPr>
        <w:t>the</w:t>
      </w:r>
      <w:r w:rsidRPr="007735FB">
        <w:rPr>
          <w:color w:val="000000"/>
          <w:sz w:val="24"/>
          <w:szCs w:val="24"/>
        </w:rPr>
        <w:t xml:space="preserve"> ability to </w:t>
      </w:r>
      <w:r w:rsidRPr="007735FB">
        <w:rPr>
          <w:color w:val="000000"/>
          <w:sz w:val="24"/>
          <w:szCs w:val="24"/>
          <w:lang w:val="en-US"/>
        </w:rPr>
        <w:t>suppress</w:t>
      </w:r>
      <w:r w:rsidRPr="007735FB">
        <w:rPr>
          <w:color w:val="000000"/>
          <w:sz w:val="24"/>
          <w:szCs w:val="24"/>
        </w:rPr>
        <w:t xml:space="preserve"> Hamas, but </w:t>
      </w:r>
      <w:r w:rsidRPr="007735FB">
        <w:rPr>
          <w:color w:val="000000"/>
          <w:sz w:val="24"/>
          <w:szCs w:val="24"/>
          <w:lang w:val="en-US"/>
        </w:rPr>
        <w:t xml:space="preserve">this power was exercised </w:t>
      </w:r>
      <w:r w:rsidRPr="007735FB">
        <w:rPr>
          <w:color w:val="000000"/>
          <w:sz w:val="24"/>
          <w:szCs w:val="24"/>
        </w:rPr>
        <w:t>selectively. It seems that Arafat</w:t>
      </w:r>
      <w:r w:rsidRPr="007735FB">
        <w:rPr>
          <w:color w:val="000000"/>
          <w:sz w:val="24"/>
          <w:szCs w:val="24"/>
          <w:lang w:val="en-US"/>
        </w:rPr>
        <w:t>’</w:t>
      </w:r>
      <w:r w:rsidRPr="007735FB">
        <w:rPr>
          <w:color w:val="000000"/>
          <w:sz w:val="24"/>
          <w:szCs w:val="24"/>
        </w:rPr>
        <w:t xml:space="preserve">s </w:t>
      </w:r>
      <w:r w:rsidRPr="007735FB">
        <w:rPr>
          <w:color w:val="000000"/>
          <w:sz w:val="24"/>
          <w:szCs w:val="24"/>
          <w:lang w:val="en-US"/>
        </w:rPr>
        <w:t>approach towards Hamas was dictated</w:t>
      </w:r>
      <w:r w:rsidRPr="007735FB">
        <w:rPr>
          <w:color w:val="000000"/>
          <w:sz w:val="24"/>
          <w:szCs w:val="24"/>
        </w:rPr>
        <w:t xml:space="preserve"> primarily </w:t>
      </w:r>
      <w:r w:rsidRPr="007735FB">
        <w:rPr>
          <w:color w:val="000000"/>
          <w:sz w:val="24"/>
          <w:szCs w:val="24"/>
          <w:lang w:val="en-US"/>
        </w:rPr>
        <w:t>by what would best help him secure concessions</w:t>
      </w:r>
      <w:r w:rsidRPr="007735FB">
        <w:rPr>
          <w:color w:val="000000"/>
          <w:sz w:val="24"/>
          <w:szCs w:val="24"/>
        </w:rPr>
        <w:t xml:space="preserve"> from Israel, and </w:t>
      </w:r>
      <w:r w:rsidRPr="007735FB">
        <w:rPr>
          <w:color w:val="000000"/>
          <w:sz w:val="24"/>
          <w:szCs w:val="24"/>
          <w:lang w:val="en-US"/>
        </w:rPr>
        <w:t xml:space="preserve">only </w:t>
      </w:r>
      <w:r w:rsidRPr="007735FB">
        <w:rPr>
          <w:color w:val="000000"/>
          <w:sz w:val="24"/>
          <w:szCs w:val="24"/>
        </w:rPr>
        <w:t>secondly</w:t>
      </w:r>
      <w:r w:rsidRPr="007735FB">
        <w:rPr>
          <w:color w:val="000000"/>
          <w:sz w:val="24"/>
          <w:szCs w:val="24"/>
          <w:lang w:val="en-US"/>
        </w:rPr>
        <w:t xml:space="preserve"> by the need to maintain legitimacy among the Palestinian populace, especially after entering into </w:t>
      </w:r>
      <w:r w:rsidRPr="007735FB">
        <w:rPr>
          <w:color w:val="000000"/>
          <w:sz w:val="24"/>
          <w:szCs w:val="24"/>
        </w:rPr>
        <w:t>a political agreement with Israel. Arafat</w:t>
      </w:r>
      <w:r w:rsidRPr="007735FB">
        <w:rPr>
          <w:color w:val="000000"/>
          <w:sz w:val="24"/>
          <w:szCs w:val="24"/>
          <w:lang w:val="en-US"/>
        </w:rPr>
        <w:t>’</w:t>
      </w:r>
      <w:r w:rsidRPr="007735FB">
        <w:rPr>
          <w:color w:val="000000"/>
          <w:sz w:val="24"/>
          <w:szCs w:val="24"/>
        </w:rPr>
        <w:t xml:space="preserve">s policy towards Hamas </w:t>
      </w:r>
      <w:r w:rsidRPr="007735FB">
        <w:rPr>
          <w:color w:val="000000"/>
          <w:sz w:val="24"/>
          <w:szCs w:val="24"/>
          <w:lang w:val="en-US"/>
        </w:rPr>
        <w:t>varied greatly, oscillating between</w:t>
      </w:r>
      <w:r w:rsidRPr="007735FB">
        <w:rPr>
          <w:color w:val="000000"/>
          <w:sz w:val="24"/>
          <w:szCs w:val="24"/>
        </w:rPr>
        <w:t xml:space="preserve"> complete inaction and even passive assistance in </w:t>
      </w:r>
      <w:r w:rsidRPr="007735FB">
        <w:rPr>
          <w:color w:val="000000"/>
          <w:sz w:val="24"/>
          <w:szCs w:val="24"/>
          <w:lang w:val="en-US"/>
        </w:rPr>
        <w:t>evading</w:t>
      </w:r>
      <w:r w:rsidRPr="007735FB">
        <w:rPr>
          <w:color w:val="000000"/>
          <w:sz w:val="24"/>
          <w:szCs w:val="24"/>
        </w:rPr>
        <w:t xml:space="preserve"> Israeli security forces, </w:t>
      </w:r>
      <w:r w:rsidRPr="007735FB">
        <w:rPr>
          <w:color w:val="000000"/>
          <w:sz w:val="24"/>
          <w:szCs w:val="24"/>
          <w:lang w:val="en-US"/>
        </w:rPr>
        <w:t xml:space="preserve">and arresting </w:t>
      </w:r>
      <w:proofErr w:type="gramStart"/>
      <w:r w:rsidRPr="007735FB">
        <w:rPr>
          <w:color w:val="000000"/>
          <w:sz w:val="24"/>
          <w:szCs w:val="24"/>
          <w:lang w:val="en-US"/>
        </w:rPr>
        <w:t>Hamas</w:t>
      </w:r>
      <w:proofErr w:type="gramEnd"/>
      <w:r w:rsidRPr="007735FB">
        <w:rPr>
          <w:color w:val="000000"/>
          <w:sz w:val="24"/>
          <w:szCs w:val="24"/>
          <w:lang w:val="en-US"/>
        </w:rPr>
        <w:t xml:space="preserve"> members, </w:t>
      </w:r>
      <w:r w:rsidRPr="007735FB">
        <w:rPr>
          <w:color w:val="000000"/>
          <w:sz w:val="24"/>
          <w:szCs w:val="24"/>
        </w:rPr>
        <w:t>even if for a limited period, when it suited the Authority</w:t>
      </w:r>
      <w:r w:rsidRPr="007735FB">
        <w:rPr>
          <w:color w:val="000000"/>
          <w:sz w:val="24"/>
          <w:szCs w:val="24"/>
          <w:lang w:val="en-US"/>
        </w:rPr>
        <w:t>’s interests</w:t>
      </w:r>
      <w:r w:rsidRPr="007735FB">
        <w:rPr>
          <w:color w:val="000000"/>
          <w:sz w:val="24"/>
          <w:szCs w:val="24"/>
        </w:rPr>
        <w:t>.</w:t>
      </w:r>
    </w:p>
    <w:p w14:paraId="0000003B" w14:textId="5BD0F677" w:rsidR="00CF554D" w:rsidRPr="00082CF3" w:rsidRDefault="00CF554D" w:rsidP="00082CF3">
      <w:pPr>
        <w:widowControl w:val="0"/>
        <w:pBdr>
          <w:top w:val="nil"/>
          <w:left w:val="nil"/>
          <w:bottom w:val="nil"/>
          <w:right w:val="nil"/>
          <w:between w:val="nil"/>
        </w:pBdr>
        <w:spacing w:line="360" w:lineRule="auto"/>
        <w:rPr>
          <w:sz w:val="24"/>
          <w:szCs w:val="24"/>
        </w:rPr>
      </w:pPr>
    </w:p>
    <w:sectPr w:rsidR="00CF554D" w:rsidRPr="00082CF3">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07-28T00:30:00Z" w:initials="S">
    <w:p w14:paraId="45ECA195" w14:textId="0304D06C" w:rsidR="002F7E51" w:rsidRPr="002F7E51" w:rsidRDefault="002F7E51">
      <w:pPr>
        <w:pStyle w:val="CommentText"/>
        <w:rPr>
          <w:lang w:val="en-US"/>
        </w:rPr>
      </w:pPr>
      <w:r>
        <w:rPr>
          <w:rStyle w:val="CommentReference"/>
        </w:rPr>
        <w:annotationRef/>
      </w:r>
      <w:r>
        <w:rPr>
          <w:lang w:val="en-US"/>
        </w:rPr>
        <w:t>Consider breaking up the title a little: The Challenge Posed by Hamas (or The Challenge Hamas Poses) to Fatah and the Palestinian Authority: Fatah’s Policy</w:t>
      </w:r>
    </w:p>
  </w:comment>
  <w:comment w:id="1" w:author="Susan" w:date="2023-07-28T00:32:00Z" w:initials="S">
    <w:p w14:paraId="6ABC819E" w14:textId="2B4A5531" w:rsidR="002F7E51" w:rsidRPr="002F7E51" w:rsidRDefault="002F7E51">
      <w:pPr>
        <w:pStyle w:val="CommentText"/>
        <w:rPr>
          <w:lang w:val="en-US"/>
        </w:rPr>
      </w:pPr>
      <w:r>
        <w:rPr>
          <w:rStyle w:val="CommentReference"/>
        </w:rPr>
        <w:annotationRef/>
      </w:r>
      <w:r>
        <w:rPr>
          <w:lang w:val="en-US"/>
        </w:rPr>
        <w:t xml:space="preserve">Alternative leadership perhaps? </w:t>
      </w:r>
    </w:p>
  </w:comment>
  <w:comment w:id="3" w:author="Susan" w:date="2023-07-26T02:29:00Z" w:initials="S">
    <w:p w14:paraId="48FEAC31" w14:textId="3A0269CA" w:rsidR="00C85462" w:rsidRPr="00C85462" w:rsidRDefault="00C85462">
      <w:pPr>
        <w:pStyle w:val="CommentText"/>
        <w:rPr>
          <w:lang w:val="en-US"/>
        </w:rPr>
      </w:pPr>
      <w:r>
        <w:rPr>
          <w:rStyle w:val="CommentReference"/>
        </w:rPr>
        <w:annotationRef/>
      </w:r>
      <w:r>
        <w:rPr>
          <w:lang w:val="en-US"/>
        </w:rPr>
        <w:t>To what organizational activity do you refer? That of the Islamic association and Islamic Center? Or the PIJ? Please clarify.</w:t>
      </w:r>
    </w:p>
  </w:comment>
  <w:comment w:id="4" w:author="Susan" w:date="2023-07-26T02:31:00Z" w:initials="S">
    <w:p w14:paraId="1D4EFBCD" w14:textId="3F6DBF1D" w:rsidR="00C85462" w:rsidRPr="00C85462" w:rsidRDefault="00C85462">
      <w:pPr>
        <w:pStyle w:val="CommentText"/>
        <w:rPr>
          <w:lang w:val="en-US"/>
        </w:rPr>
      </w:pPr>
      <w:r>
        <w:rPr>
          <w:rStyle w:val="CommentReference"/>
        </w:rPr>
        <w:annotationRef/>
      </w:r>
      <w:r>
        <w:rPr>
          <w:lang w:val="en-US"/>
        </w:rPr>
        <w:t>Is UNL correct? Or do you mean Hamas?</w:t>
      </w:r>
    </w:p>
  </w:comment>
  <w:comment w:id="5" w:author="Susan" w:date="2023-07-28T00:35:00Z" w:initials="S">
    <w:p w14:paraId="2452A096" w14:textId="0163C932" w:rsidR="00C82730" w:rsidRPr="00C82730" w:rsidRDefault="00C82730">
      <w:pPr>
        <w:pStyle w:val="CommentText"/>
        <w:rPr>
          <w:lang w:val="en-US"/>
        </w:rPr>
      </w:pPr>
      <w:r>
        <w:rPr>
          <w:rStyle w:val="CommentReference"/>
        </w:rPr>
        <w:annotationRef/>
      </w:r>
      <w:r>
        <w:rPr>
          <w:lang w:val="en-US"/>
        </w:rPr>
        <w:t xml:space="preserve">Consider deleting inspirational – it is somewhat assumed in the term </w:t>
      </w:r>
      <w:proofErr w:type="spellStart"/>
      <w:r>
        <w:rPr>
          <w:lang w:val="en-US"/>
        </w:rPr>
        <w:t>proganda</w:t>
      </w:r>
      <w:proofErr w:type="spellEnd"/>
      <w:r>
        <w:rPr>
          <w:lang w:val="en-US"/>
        </w:rPr>
        <w:t>.</w:t>
      </w:r>
    </w:p>
  </w:comment>
  <w:comment w:id="6" w:author="Susan" w:date="2023-07-26T02:33:00Z" w:initials="S">
    <w:p w14:paraId="32E45F89" w14:textId="0BA1D794" w:rsidR="000C1821" w:rsidRPr="000C1821" w:rsidRDefault="000C1821">
      <w:pPr>
        <w:pStyle w:val="CommentText"/>
        <w:rPr>
          <w:lang w:val="en-US"/>
        </w:rPr>
      </w:pPr>
      <w:r>
        <w:rPr>
          <w:rStyle w:val="CommentReference"/>
        </w:rPr>
        <w:annotationRef/>
      </w:r>
      <w:r>
        <w:rPr>
          <w:lang w:val="en-US"/>
        </w:rPr>
        <w:t>What is meant by rival here? Conflicting? Views of their rivals?</w:t>
      </w:r>
    </w:p>
  </w:comment>
  <w:comment w:id="8" w:author="Susan" w:date="2023-07-28T00:38:00Z" w:initials="S">
    <w:p w14:paraId="722CF70B" w14:textId="384D35AC" w:rsidR="00C82730" w:rsidRPr="00C82730" w:rsidRDefault="00C82730">
      <w:pPr>
        <w:pStyle w:val="CommentText"/>
        <w:rPr>
          <w:lang w:val="en-US"/>
        </w:rPr>
      </w:pPr>
      <w:r>
        <w:rPr>
          <w:rStyle w:val="CommentReference"/>
        </w:rPr>
        <w:annotationRef/>
      </w:r>
      <w:r>
        <w:rPr>
          <w:lang w:val="en-US"/>
        </w:rPr>
        <w:t>Perhaps add the word moderate?</w:t>
      </w:r>
    </w:p>
  </w:comment>
  <w:comment w:id="10" w:author="Susan" w:date="2023-07-27T09:03:00Z" w:initials="S">
    <w:p w14:paraId="04ED2AAC" w14:textId="77777777" w:rsidR="00DB2AC5" w:rsidRDefault="00DB2AC5">
      <w:pPr>
        <w:pStyle w:val="CommentText"/>
        <w:rPr>
          <w:lang w:val="en-US"/>
        </w:rPr>
      </w:pPr>
      <w:r>
        <w:rPr>
          <w:rStyle w:val="CommentReference"/>
        </w:rPr>
        <w:annotationRef/>
      </w:r>
      <w:r>
        <w:rPr>
          <w:lang w:val="en-US"/>
        </w:rPr>
        <w:t>Aspect is the direct translation – what do you think of approach or strategies? Three central approaches/strategies, the first approach/strategy, the second, etc.?</w:t>
      </w:r>
    </w:p>
    <w:p w14:paraId="7C7045FB" w14:textId="77777777" w:rsidR="00F04452" w:rsidRDefault="00F04452">
      <w:pPr>
        <w:pStyle w:val="CommentText"/>
        <w:rPr>
          <w:lang w:val="en-US"/>
        </w:rPr>
      </w:pPr>
    </w:p>
    <w:p w14:paraId="1EA674F7" w14:textId="198AC9E6" w:rsidR="00F04452" w:rsidRPr="00DB2AC5" w:rsidRDefault="00F04452">
      <w:pPr>
        <w:pStyle w:val="CommentText"/>
        <w:rPr>
          <w:lang w:val="en-US"/>
        </w:rPr>
      </w:pPr>
    </w:p>
  </w:comment>
  <w:comment w:id="13" w:author="Susan" w:date="2023-07-27T09:22:00Z" w:initials="S">
    <w:p w14:paraId="4FBB57D1" w14:textId="753F9B34" w:rsidR="00667A43" w:rsidRPr="00667A43" w:rsidRDefault="00667A43">
      <w:pPr>
        <w:pStyle w:val="CommentText"/>
        <w:rPr>
          <w:lang w:val="en-US"/>
        </w:rPr>
      </w:pPr>
      <w:r>
        <w:rPr>
          <w:rStyle w:val="CommentReference"/>
        </w:rPr>
        <w:annotationRef/>
      </w:r>
      <w:r>
        <w:rPr>
          <w:lang w:val="en-US"/>
        </w:rPr>
        <w:t xml:space="preserve">The Hebrew - </w:t>
      </w:r>
      <w:r w:rsidRPr="00667A43">
        <w:rPr>
          <w:rtl/>
          <w:lang w:val="en-US"/>
        </w:rPr>
        <w:t xml:space="preserve">מהלכים </w:t>
      </w:r>
      <w:proofErr w:type="gramStart"/>
      <w:r w:rsidRPr="00667A43">
        <w:rPr>
          <w:rtl/>
          <w:lang w:val="en-US"/>
        </w:rPr>
        <w:t>המדיניים</w:t>
      </w:r>
      <w:r>
        <w:rPr>
          <w:lang w:val="en-US"/>
        </w:rPr>
        <w:t xml:space="preserve">  is</w:t>
      </w:r>
      <w:proofErr w:type="gramEnd"/>
      <w:r>
        <w:rPr>
          <w:lang w:val="en-US"/>
        </w:rPr>
        <w:t xml:space="preserve"> technically, political steps or moves or processes, but that seems a little vague – in the context, discussions, negotiations or dialogue seem preferable. If not, moves would probably work best.</w:t>
      </w:r>
    </w:p>
  </w:comment>
  <w:comment w:id="15" w:author="Susan" w:date="2023-07-27T10:26:00Z" w:initials="S">
    <w:p w14:paraId="66C947B5" w14:textId="54137A51" w:rsidR="00607D8B" w:rsidRPr="00607D8B" w:rsidRDefault="00607D8B">
      <w:pPr>
        <w:pStyle w:val="CommentText"/>
        <w:rPr>
          <w:lang w:val="en-US"/>
        </w:rPr>
      </w:pPr>
      <w:r>
        <w:rPr>
          <w:rStyle w:val="CommentReference"/>
        </w:rPr>
        <w:annotationRef/>
      </w:r>
      <w:r>
        <w:rPr>
          <w:lang w:val="en-US"/>
        </w:rPr>
        <w:t>Perhaps enfold?</w:t>
      </w:r>
    </w:p>
  </w:comment>
  <w:comment w:id="16" w:author="Susan" w:date="2023-07-27T09:47:00Z" w:initials="S">
    <w:p w14:paraId="6B1D8C1C" w14:textId="038912D5" w:rsidR="000F0188" w:rsidRPr="000F0188" w:rsidRDefault="000F0188">
      <w:pPr>
        <w:pStyle w:val="CommentText"/>
        <w:rPr>
          <w:lang w:val="en-US"/>
        </w:rPr>
      </w:pPr>
      <w:r>
        <w:rPr>
          <w:rStyle w:val="CommentReference"/>
        </w:rPr>
        <w:annotationRef/>
      </w:r>
      <w:r>
        <w:rPr>
          <w:lang w:val="en-US"/>
        </w:rPr>
        <w:t>You could also write all their discussions ended in failure.</w:t>
      </w:r>
    </w:p>
  </w:comment>
  <w:comment w:id="19" w:author="Susan" w:date="2023-07-27T11:14:00Z" w:initials="S">
    <w:p w14:paraId="634726A4" w14:textId="77777777" w:rsidR="00B65789" w:rsidRPr="007A4B18" w:rsidRDefault="00B65789" w:rsidP="00B65789">
      <w:pPr>
        <w:pStyle w:val="CommentText"/>
        <w:rPr>
          <w:lang w:val="en-US"/>
        </w:rPr>
      </w:pPr>
      <w:r>
        <w:rPr>
          <w:rStyle w:val="CommentReference"/>
        </w:rPr>
        <w:annotationRef/>
      </w:r>
      <w:r>
        <w:rPr>
          <w:lang w:val="en-US"/>
        </w:rPr>
        <w:t>Policy is the correct translation – perhaps aims?</w:t>
      </w:r>
    </w:p>
  </w:comment>
  <w:comment w:id="23" w:author="Susan" w:date="2023-07-27T12:06:00Z" w:initials="S">
    <w:p w14:paraId="76856A56" w14:textId="77777777" w:rsidR="009F320E" w:rsidRDefault="009F320E">
      <w:pPr>
        <w:pStyle w:val="CommentText"/>
        <w:rPr>
          <w:lang w:val="en-US"/>
        </w:rPr>
      </w:pPr>
      <w:r>
        <w:rPr>
          <w:rStyle w:val="CommentReference"/>
        </w:rPr>
        <w:annotationRef/>
      </w:r>
      <w:r>
        <w:rPr>
          <w:lang w:val="en-US"/>
        </w:rPr>
        <w:t>This needs a footnote – none in the original. Otherwise, paraphrase as follows:</w:t>
      </w:r>
    </w:p>
    <w:p w14:paraId="774D528F" w14:textId="739989AB" w:rsidR="009F320E" w:rsidRDefault="009F320E" w:rsidP="009F320E">
      <w:pPr>
        <w:widowControl w:val="0"/>
        <w:pBdr>
          <w:top w:val="nil"/>
          <w:left w:val="nil"/>
          <w:bottom w:val="nil"/>
          <w:right w:val="nil"/>
          <w:between w:val="nil"/>
        </w:pBdr>
        <w:rPr>
          <w:color w:val="000000"/>
        </w:rPr>
      </w:pPr>
      <w:bookmarkStart w:id="24" w:name="_Hlk141351995"/>
      <w:r>
        <w:rPr>
          <w:color w:val="000000"/>
          <w:lang w:val="en-US"/>
        </w:rPr>
        <w:t>According to the notes of t</w:t>
      </w:r>
      <w:r>
        <w:rPr>
          <w:color w:val="000000"/>
        </w:rPr>
        <w:t xml:space="preserve">he Israeli representatives the PLO felt </w:t>
      </w:r>
      <w:r>
        <w:rPr>
          <w:color w:val="000000"/>
          <w:lang w:val="en-US"/>
        </w:rPr>
        <w:t>pressured,</w:t>
      </w:r>
      <w:r>
        <w:rPr>
          <w:color w:val="000000"/>
        </w:rPr>
        <w:t xml:space="preserve"> struggling with its lack of involvement in the bilateral and multilateral talks. The PLO feared losing its status to Hamas. A potential arrangement with Israel, where the PLO-Tunis play</w:t>
      </w:r>
      <w:r>
        <w:rPr>
          <w:color w:val="000000"/>
          <w:lang w:val="en-US"/>
        </w:rPr>
        <w:t>ed</w:t>
      </w:r>
      <w:r>
        <w:rPr>
          <w:color w:val="000000"/>
        </w:rPr>
        <w:t xml:space="preserve"> a pivotal role, could have been a lifeline, especially if it included establishing a foothold in Gaza.</w:t>
      </w:r>
    </w:p>
    <w:bookmarkEnd w:id="24"/>
    <w:p w14:paraId="28E2F227" w14:textId="4FE7466C" w:rsidR="009F320E" w:rsidRPr="009F320E" w:rsidRDefault="009F320E">
      <w:pPr>
        <w:pStyle w:val="CommentText"/>
      </w:pPr>
    </w:p>
  </w:comment>
  <w:comment w:id="25" w:author="Susan" w:date="2023-07-27T14:33:00Z" w:initials="S">
    <w:p w14:paraId="73C44AAF" w14:textId="77777777" w:rsidR="003C1B40" w:rsidRPr="00030AEF" w:rsidRDefault="003C1B40" w:rsidP="003C1B40">
      <w:pPr>
        <w:pStyle w:val="CommentText"/>
        <w:rPr>
          <w:lang w:val="en-US"/>
        </w:rPr>
      </w:pPr>
      <w:r>
        <w:rPr>
          <w:rStyle w:val="CommentReference"/>
        </w:rPr>
        <w:annotationRef/>
      </w:r>
      <w:r>
        <w:rPr>
          <w:lang w:val="en-US"/>
        </w:rPr>
        <w:t>Perhaps consider deleting the parenthetical material – there is already a lot of information here.</w:t>
      </w:r>
    </w:p>
  </w:comment>
  <w:comment w:id="27" w:author="Susan" w:date="2023-07-27T14:54:00Z" w:initials="S">
    <w:p w14:paraId="3F02EAD8" w14:textId="77777777" w:rsidR="00680D8E" w:rsidRDefault="00680D8E" w:rsidP="00680D8E">
      <w:pPr>
        <w:pStyle w:val="CommentText"/>
        <w:rPr>
          <w:lang w:val="en-US"/>
        </w:rPr>
      </w:pPr>
      <w:r>
        <w:rPr>
          <w:rStyle w:val="CommentReference"/>
        </w:rPr>
        <w:annotationRef/>
      </w:r>
      <w:r>
        <w:rPr>
          <w:lang w:val="en-US"/>
        </w:rPr>
        <w:t>This needs a footnote. If not, consider the following paraphrase:</w:t>
      </w:r>
    </w:p>
    <w:p w14:paraId="6DF841CC" w14:textId="77777777" w:rsidR="00680D8E" w:rsidRPr="005F7691" w:rsidRDefault="00680D8E" w:rsidP="00680D8E">
      <w:pPr>
        <w:pStyle w:val="CommentText"/>
        <w:rPr>
          <w:lang w:val="en-US"/>
        </w:rPr>
      </w:pPr>
      <w:r>
        <w:rPr>
          <w:lang w:val="en-US"/>
        </w:rPr>
        <w:t>Abu Ala gave a pre-pared speech insisting that the immediate priority was to resolve the issue of the Hamas deportees.</w:t>
      </w:r>
    </w:p>
  </w:comment>
  <w:comment w:id="29" w:author="Susan" w:date="2023-07-27T15:17:00Z" w:initials="S">
    <w:p w14:paraId="49687197" w14:textId="77777777" w:rsidR="00392F9A" w:rsidRPr="0090567E" w:rsidRDefault="00392F9A" w:rsidP="00392F9A">
      <w:pPr>
        <w:pStyle w:val="CommentText"/>
        <w:rPr>
          <w:lang w:val="en-US"/>
        </w:rPr>
      </w:pPr>
      <w:r>
        <w:rPr>
          <w:rStyle w:val="CommentReference"/>
        </w:rPr>
        <w:annotationRef/>
      </w:r>
      <w:r>
        <w:rPr>
          <w:lang w:val="en-US"/>
        </w:rPr>
        <w:t>The material in the quote seems to go in and out of the quote. I have removed some of the material in the quote and paraphrased it.</w:t>
      </w:r>
    </w:p>
  </w:comment>
  <w:comment w:id="30" w:author="Susan" w:date="2023-07-26T00:14:00Z" w:initials="S">
    <w:p w14:paraId="7234362C" w14:textId="77777777" w:rsidR="00ED6D8F" w:rsidRPr="00F054CE" w:rsidRDefault="00ED6D8F" w:rsidP="00ED6D8F">
      <w:pPr>
        <w:pStyle w:val="CommentText"/>
        <w:rPr>
          <w:lang w:val="en-US"/>
        </w:rPr>
      </w:pPr>
      <w:r>
        <w:rPr>
          <w:rStyle w:val="CommentReference"/>
        </w:rPr>
        <w:annotationRef/>
      </w:r>
      <w:r>
        <w:rPr>
          <w:lang w:val="en-US"/>
        </w:rPr>
        <w:t xml:space="preserve">This is the only entry for this shortened entry – I can’t find a full reference. Please clarify. </w:t>
      </w:r>
    </w:p>
  </w:comment>
  <w:comment w:id="33" w:author="Susan" w:date="2023-07-27T23:09:00Z" w:initials="S">
    <w:p w14:paraId="71E63579" w14:textId="77777777" w:rsidR="00D97F4F" w:rsidRDefault="00D97F4F" w:rsidP="00D97F4F">
      <w:pPr>
        <w:pStyle w:val="CommentText"/>
        <w:rPr>
          <w:lang w:val="en-US"/>
        </w:rPr>
      </w:pPr>
      <w:r>
        <w:rPr>
          <w:rStyle w:val="CommentReference"/>
        </w:rPr>
        <w:annotationRef/>
      </w:r>
      <w:r>
        <w:rPr>
          <w:lang w:val="en-US"/>
        </w:rPr>
        <w:t xml:space="preserve">The Hebrew, </w:t>
      </w:r>
      <w:r w:rsidRPr="008A2C7A">
        <w:rPr>
          <w:rtl/>
          <w:lang w:val="en-US"/>
        </w:rPr>
        <w:t>הדבר אף שוקף לצד הפלסטיני</w:t>
      </w:r>
    </w:p>
    <w:p w14:paraId="279E4BC9" w14:textId="77777777" w:rsidR="00D97F4F" w:rsidRPr="008A2C7A" w:rsidRDefault="00D97F4F" w:rsidP="00D97F4F">
      <w:pPr>
        <w:pStyle w:val="CommentText"/>
        <w:rPr>
          <w:lang w:val="en-US"/>
        </w:rPr>
      </w:pPr>
      <w:r>
        <w:rPr>
          <w:lang w:val="en-US"/>
        </w:rPr>
        <w:t>Has been not been included – it seems like a fragment that doesn’t fit.</w:t>
      </w:r>
    </w:p>
  </w:comment>
  <w:comment w:id="34" w:author="Susan" w:date="2023-07-27T23:28:00Z" w:initials="S">
    <w:p w14:paraId="77AEC411" w14:textId="77777777" w:rsidR="00AB41FA" w:rsidRPr="00253BC2" w:rsidRDefault="00AB41FA" w:rsidP="00AB41FA">
      <w:pPr>
        <w:pStyle w:val="CommentText"/>
        <w:rPr>
          <w:lang w:val="en-US"/>
        </w:rPr>
      </w:pPr>
      <w:r>
        <w:rPr>
          <w:rStyle w:val="CommentReference"/>
        </w:rPr>
        <w:annotationRef/>
      </w:r>
      <w:r>
        <w:rPr>
          <w:lang w:val="en-US"/>
        </w:rPr>
        <w:t>Added for clarity</w:t>
      </w:r>
    </w:p>
  </w:comment>
  <w:comment w:id="35" w:author="Susan" w:date="2023-07-28T01:05:00Z" w:initials="S">
    <w:p w14:paraId="1FBACDC2" w14:textId="0E091B52" w:rsidR="00C01749" w:rsidRPr="00C01749" w:rsidRDefault="00C01749">
      <w:pPr>
        <w:pStyle w:val="CommentText"/>
        <w:rPr>
          <w:lang w:val="en-US"/>
        </w:rPr>
      </w:pPr>
      <w:r>
        <w:rPr>
          <w:rStyle w:val="CommentReference"/>
        </w:rPr>
        <w:annotationRef/>
      </w:r>
      <w:r>
        <w:rPr>
          <w:lang w:val="en-US"/>
        </w:rPr>
        <w:t>Added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ECA195" w15:done="0"/>
  <w15:commentEx w15:paraId="6ABC819E" w15:done="0"/>
  <w15:commentEx w15:paraId="48FEAC31" w15:done="0"/>
  <w15:commentEx w15:paraId="1D4EFBCD" w15:done="0"/>
  <w15:commentEx w15:paraId="2452A096" w15:done="0"/>
  <w15:commentEx w15:paraId="32E45F89" w15:done="0"/>
  <w15:commentEx w15:paraId="722CF70B" w15:done="0"/>
  <w15:commentEx w15:paraId="1EA674F7" w15:done="0"/>
  <w15:commentEx w15:paraId="4FBB57D1" w15:done="0"/>
  <w15:commentEx w15:paraId="66C947B5" w15:done="0"/>
  <w15:commentEx w15:paraId="6B1D8C1C" w15:done="0"/>
  <w15:commentEx w15:paraId="634726A4" w15:done="0"/>
  <w15:commentEx w15:paraId="28E2F227" w15:done="0"/>
  <w15:commentEx w15:paraId="73C44AAF" w15:done="0"/>
  <w15:commentEx w15:paraId="6DF841CC" w15:done="0"/>
  <w15:commentEx w15:paraId="49687197" w15:done="0"/>
  <w15:commentEx w15:paraId="7234362C" w15:done="0"/>
  <w15:commentEx w15:paraId="279E4BC9" w15:done="0"/>
  <w15:commentEx w15:paraId="77AEC411" w15:done="0"/>
  <w15:commentEx w15:paraId="1FBACD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8AC2" w16cex:dateUtc="2023-07-27T21:30:00Z"/>
  <w16cex:commentExtensible w16cex:durableId="286D8B38" w16cex:dateUtc="2023-07-27T21:32:00Z"/>
  <w16cex:commentExtensible w16cex:durableId="286B0379" w16cex:dateUtc="2023-07-25T23:29:00Z"/>
  <w16cex:commentExtensible w16cex:durableId="286B0413" w16cex:dateUtc="2023-07-25T23:31:00Z"/>
  <w16cex:commentExtensible w16cex:durableId="286D8BD4" w16cex:dateUtc="2023-07-27T21:35:00Z"/>
  <w16cex:commentExtensible w16cex:durableId="286B046A" w16cex:dateUtc="2023-07-25T23:33:00Z"/>
  <w16cex:commentExtensible w16cex:durableId="286D8C93" w16cex:dateUtc="2023-07-27T21:38:00Z"/>
  <w16cex:commentExtensible w16cex:durableId="286CB177" w16cex:dateUtc="2023-07-27T06:03:00Z"/>
  <w16cex:commentExtensible w16cex:durableId="286CB5DA" w16cex:dateUtc="2023-07-27T06:22:00Z"/>
  <w16cex:commentExtensible w16cex:durableId="286CC4EF" w16cex:dateUtc="2023-07-27T07:26:00Z"/>
  <w16cex:commentExtensible w16cex:durableId="286CBBBB" w16cex:dateUtc="2023-07-27T06:47:00Z"/>
  <w16cex:commentExtensible w16cex:durableId="286CD02F" w16cex:dateUtc="2023-07-27T08:14:00Z"/>
  <w16cex:commentExtensible w16cex:durableId="286CDC63" w16cex:dateUtc="2023-07-27T09:06:00Z"/>
  <w16cex:commentExtensible w16cex:durableId="286CFEAA" w16cex:dateUtc="2023-07-27T11:33:00Z"/>
  <w16cex:commentExtensible w16cex:durableId="286D03A3" w16cex:dateUtc="2023-07-27T11:54:00Z"/>
  <w16cex:commentExtensible w16cex:durableId="286D0900" w16cex:dateUtc="2023-07-27T12:17:00Z"/>
  <w16cex:commentExtensible w16cex:durableId="286AE3F8" w16cex:dateUtc="2023-07-25T21:14:00Z"/>
  <w16cex:commentExtensible w16cex:durableId="286D77A0" w16cex:dateUtc="2023-07-27T20:09:00Z"/>
  <w16cex:commentExtensible w16cex:durableId="286D7C04" w16cex:dateUtc="2023-07-27T20:28:00Z"/>
  <w16cex:commentExtensible w16cex:durableId="286D92F5" w16cex:dateUtc="2023-07-27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ECA195" w16cid:durableId="286D8AC2"/>
  <w16cid:commentId w16cid:paraId="6ABC819E" w16cid:durableId="286D8B38"/>
  <w16cid:commentId w16cid:paraId="48FEAC31" w16cid:durableId="286B0379"/>
  <w16cid:commentId w16cid:paraId="1D4EFBCD" w16cid:durableId="286B0413"/>
  <w16cid:commentId w16cid:paraId="2452A096" w16cid:durableId="286D8BD4"/>
  <w16cid:commentId w16cid:paraId="32E45F89" w16cid:durableId="286B046A"/>
  <w16cid:commentId w16cid:paraId="722CF70B" w16cid:durableId="286D8C93"/>
  <w16cid:commentId w16cid:paraId="1EA674F7" w16cid:durableId="286CB177"/>
  <w16cid:commentId w16cid:paraId="4FBB57D1" w16cid:durableId="286CB5DA"/>
  <w16cid:commentId w16cid:paraId="66C947B5" w16cid:durableId="286CC4EF"/>
  <w16cid:commentId w16cid:paraId="6B1D8C1C" w16cid:durableId="286CBBBB"/>
  <w16cid:commentId w16cid:paraId="634726A4" w16cid:durableId="286CD02F"/>
  <w16cid:commentId w16cid:paraId="28E2F227" w16cid:durableId="286CDC63"/>
  <w16cid:commentId w16cid:paraId="73C44AAF" w16cid:durableId="286CFEAA"/>
  <w16cid:commentId w16cid:paraId="6DF841CC" w16cid:durableId="286D03A3"/>
  <w16cid:commentId w16cid:paraId="49687197" w16cid:durableId="286D0900"/>
  <w16cid:commentId w16cid:paraId="7234362C" w16cid:durableId="286AE3F8"/>
  <w16cid:commentId w16cid:paraId="279E4BC9" w16cid:durableId="286D77A0"/>
  <w16cid:commentId w16cid:paraId="77AEC411" w16cid:durableId="286D7C04"/>
  <w16cid:commentId w16cid:paraId="1FBACDC2" w16cid:durableId="286D9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DEB1" w14:textId="77777777" w:rsidR="000341E1" w:rsidRDefault="000341E1" w:rsidP="004238FE">
      <w:pPr>
        <w:spacing w:line="240" w:lineRule="auto"/>
      </w:pPr>
      <w:r>
        <w:separator/>
      </w:r>
    </w:p>
  </w:endnote>
  <w:endnote w:type="continuationSeparator" w:id="0">
    <w:p w14:paraId="5B4F905F" w14:textId="77777777" w:rsidR="000341E1" w:rsidRDefault="000341E1" w:rsidP="00423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C02E" w14:textId="77777777" w:rsidR="000341E1" w:rsidRDefault="000341E1" w:rsidP="004238FE">
      <w:pPr>
        <w:spacing w:line="240" w:lineRule="auto"/>
      </w:pPr>
      <w:r>
        <w:separator/>
      </w:r>
    </w:p>
  </w:footnote>
  <w:footnote w:type="continuationSeparator" w:id="0">
    <w:p w14:paraId="53BDCA6D" w14:textId="77777777" w:rsidR="000341E1" w:rsidRDefault="000341E1" w:rsidP="004238FE">
      <w:pPr>
        <w:spacing w:line="240" w:lineRule="auto"/>
      </w:pPr>
      <w:r>
        <w:continuationSeparator/>
      </w:r>
    </w:p>
  </w:footnote>
  <w:footnote w:id="1">
    <w:p w14:paraId="135AF905" w14:textId="1A48A834" w:rsidR="004238FE" w:rsidRPr="00C82730" w:rsidRDefault="004238FE" w:rsidP="00131BB5">
      <w:pPr>
        <w:pStyle w:val="FootnoteText"/>
        <w:bidi w:val="0"/>
        <w:rPr>
          <w:rFonts w:ascii="Arial" w:hAnsi="Arial" w:cs="Arial"/>
        </w:rPr>
      </w:pPr>
      <w:r w:rsidRPr="00C82730">
        <w:rPr>
          <w:rStyle w:val="FootnoteReference"/>
          <w:rFonts w:ascii="Arial" w:hAnsi="Arial" w:cs="Arial"/>
        </w:rPr>
        <w:footnoteRef/>
      </w:r>
      <w:r w:rsidRPr="00C82730">
        <w:rPr>
          <w:rFonts w:ascii="Arial" w:hAnsi="Arial" w:cs="Arial"/>
          <w:rtl/>
        </w:rPr>
        <w:t xml:space="preserve"> </w:t>
      </w:r>
      <w:bookmarkStart w:id="2" w:name="_Hlk141219888"/>
      <w:proofErr w:type="spellStart"/>
      <w:r w:rsidR="00131BB5" w:rsidRPr="00C82730">
        <w:rPr>
          <w:rFonts w:ascii="Arial" w:hAnsi="Arial" w:cs="Arial"/>
        </w:rPr>
        <w:t>Shaul</w:t>
      </w:r>
      <w:proofErr w:type="spellEnd"/>
      <w:r w:rsidR="00131BB5" w:rsidRPr="00C82730">
        <w:rPr>
          <w:rFonts w:ascii="Arial" w:hAnsi="Arial" w:cs="Arial"/>
        </w:rPr>
        <w:t xml:space="preserve"> Mishal and Avraham Sela, </w:t>
      </w:r>
      <w:r w:rsidR="00131BB5" w:rsidRPr="00082CF3">
        <w:rPr>
          <w:rFonts w:ascii="Arial" w:hAnsi="Arial" w:cs="Arial"/>
          <w:i/>
          <w:iCs/>
        </w:rPr>
        <w:t>Time of Hamas</w:t>
      </w:r>
      <w:r w:rsidR="00131BB5" w:rsidRPr="00C82730">
        <w:rPr>
          <w:rFonts w:ascii="Arial" w:hAnsi="Arial" w:cs="Arial"/>
        </w:rPr>
        <w:t xml:space="preserve">, (Tel Aviv: Yediot </w:t>
      </w:r>
      <w:r w:rsidR="005218A0" w:rsidRPr="00C82730">
        <w:rPr>
          <w:rFonts w:ascii="Arial" w:hAnsi="Arial" w:cs="Arial"/>
        </w:rPr>
        <w:t>Books</w:t>
      </w:r>
      <w:r w:rsidR="00131BB5" w:rsidRPr="00C82730">
        <w:rPr>
          <w:rFonts w:ascii="Arial" w:hAnsi="Arial" w:cs="Arial"/>
        </w:rPr>
        <w:t>, 2008), pp. 42–60.</w:t>
      </w:r>
      <w:bookmarkEnd w:id="2"/>
    </w:p>
  </w:footnote>
  <w:footnote w:id="2">
    <w:p w14:paraId="240FECA4" w14:textId="1CFE02AF" w:rsidR="004238FE" w:rsidRPr="00C82730" w:rsidRDefault="004238FE" w:rsidP="00131BB5">
      <w:pPr>
        <w:pStyle w:val="FootnoteText"/>
        <w:bidi w:val="0"/>
        <w:rPr>
          <w:rFonts w:ascii="Arial" w:hAnsi="Arial" w:cs="Arial"/>
          <w:rtl/>
        </w:rPr>
      </w:pPr>
      <w:r w:rsidRPr="00C82730">
        <w:rPr>
          <w:rStyle w:val="FootnoteReference"/>
          <w:rFonts w:ascii="Arial" w:hAnsi="Arial" w:cs="Arial"/>
        </w:rPr>
        <w:footnoteRef/>
      </w:r>
      <w:r w:rsidRPr="00C82730">
        <w:rPr>
          <w:rFonts w:ascii="Arial" w:hAnsi="Arial" w:cs="Arial"/>
          <w:rtl/>
        </w:rPr>
        <w:t xml:space="preserve"> </w:t>
      </w:r>
      <w:r w:rsidRPr="00C82730">
        <w:rPr>
          <w:rFonts w:ascii="Arial" w:hAnsi="Arial" w:cs="Arial"/>
        </w:rPr>
        <w:t xml:space="preserve">On PIJ activity until the </w:t>
      </w:r>
      <w:r w:rsidR="00131BB5" w:rsidRPr="00C82730">
        <w:rPr>
          <w:rFonts w:ascii="Arial" w:hAnsi="Arial" w:cs="Arial"/>
        </w:rPr>
        <w:t>First Intifada</w:t>
      </w:r>
      <w:r w:rsidRPr="00C82730">
        <w:rPr>
          <w:rFonts w:ascii="Arial" w:hAnsi="Arial" w:cs="Arial"/>
        </w:rPr>
        <w:t xml:space="preserve">, see Erik </w:t>
      </w:r>
      <w:proofErr w:type="spellStart"/>
      <w:r w:rsidRPr="00C82730">
        <w:rPr>
          <w:rFonts w:ascii="Arial" w:hAnsi="Arial" w:cs="Arial"/>
        </w:rPr>
        <w:t>Skare</w:t>
      </w:r>
      <w:proofErr w:type="spellEnd"/>
      <w:r w:rsidRPr="00C82730">
        <w:rPr>
          <w:rFonts w:ascii="Arial" w:hAnsi="Arial" w:cs="Arial"/>
        </w:rPr>
        <w:t xml:space="preserve">, </w:t>
      </w:r>
      <w:r w:rsidRPr="00082CF3">
        <w:rPr>
          <w:rFonts w:ascii="Arial" w:hAnsi="Arial" w:cs="Arial"/>
          <w:i/>
          <w:iCs/>
        </w:rPr>
        <w:t>A History of Palestinian Islamic Jihad: Faith, Awareness, and Revolution in the Middle East</w:t>
      </w:r>
      <w:r w:rsidRPr="00C82730">
        <w:rPr>
          <w:rFonts w:ascii="Arial" w:hAnsi="Arial" w:cs="Arial"/>
        </w:rPr>
        <w:t xml:space="preserve"> (Cambridge: Cambridge University Press, 2022), pp. 11</w:t>
      </w:r>
      <w:r w:rsidR="00F04452" w:rsidRPr="00C82730">
        <w:rPr>
          <w:rFonts w:ascii="Arial" w:hAnsi="Arial" w:cs="Arial"/>
        </w:rPr>
        <w:t>–</w:t>
      </w:r>
      <w:r w:rsidRPr="00C82730">
        <w:rPr>
          <w:rFonts w:ascii="Arial" w:hAnsi="Arial" w:cs="Arial"/>
        </w:rPr>
        <w:t>100.</w:t>
      </w:r>
    </w:p>
  </w:footnote>
  <w:footnote w:id="3">
    <w:p w14:paraId="11F61AEC" w14:textId="57B9AAA5" w:rsidR="004238FE" w:rsidRDefault="004238FE" w:rsidP="00131BB5">
      <w:pPr>
        <w:pStyle w:val="FootnoteText"/>
        <w:bidi w:val="0"/>
      </w:pPr>
      <w:r w:rsidRPr="00C82730">
        <w:rPr>
          <w:rStyle w:val="FootnoteReference"/>
          <w:rFonts w:ascii="Arial" w:hAnsi="Arial" w:cs="Arial"/>
        </w:rPr>
        <w:footnoteRef/>
      </w:r>
      <w:bookmarkStart w:id="7" w:name="_Hlk141219964"/>
      <w:r w:rsidR="00DE7219" w:rsidRPr="00C82730">
        <w:rPr>
          <w:rFonts w:ascii="Arial" w:hAnsi="Arial" w:cs="Arial"/>
        </w:rPr>
        <w:t>Mishal</w:t>
      </w:r>
      <w:r w:rsidR="00131BB5" w:rsidRPr="00C82730">
        <w:rPr>
          <w:rFonts w:ascii="Arial" w:hAnsi="Arial" w:cs="Arial"/>
        </w:rPr>
        <w:t xml:space="preserve"> and Sela, </w:t>
      </w:r>
      <w:r w:rsidR="00131BB5" w:rsidRPr="00082CF3">
        <w:rPr>
          <w:rFonts w:ascii="Arial" w:hAnsi="Arial" w:cs="Arial"/>
          <w:i/>
          <w:iCs/>
        </w:rPr>
        <w:t>Time of Hamas</w:t>
      </w:r>
      <w:r w:rsidR="00131BB5" w:rsidRPr="00C82730">
        <w:rPr>
          <w:rFonts w:ascii="Arial" w:hAnsi="Arial" w:cs="Arial"/>
        </w:rPr>
        <w:t>, p. 60.</w:t>
      </w:r>
      <w:bookmarkEnd w:id="7"/>
    </w:p>
  </w:footnote>
  <w:footnote w:id="4">
    <w:p w14:paraId="29738892" w14:textId="55EBB38D" w:rsidR="004238FE" w:rsidRPr="000E4F65" w:rsidRDefault="004238FE" w:rsidP="00082CF3">
      <w:pPr>
        <w:pStyle w:val="FootnoteText"/>
        <w:bidi w:val="0"/>
        <w:rPr>
          <w:rFonts w:asciiTheme="minorBidi" w:hAnsiTheme="minorBidi"/>
        </w:rPr>
      </w:pPr>
      <w:r w:rsidRPr="000E4F65">
        <w:rPr>
          <w:rStyle w:val="FootnoteReference"/>
          <w:rFonts w:asciiTheme="minorBidi" w:hAnsiTheme="minorBidi"/>
        </w:rPr>
        <w:footnoteRef/>
      </w:r>
      <w:r w:rsidR="00131BB5" w:rsidRPr="000E4F65">
        <w:rPr>
          <w:rFonts w:asciiTheme="minorBidi" w:hAnsiTheme="minorBidi"/>
        </w:rPr>
        <w:t xml:space="preserve"> </w:t>
      </w:r>
      <w:bookmarkStart w:id="9" w:name="_Hlk141220016"/>
      <w:r w:rsidR="00131BB5" w:rsidRPr="000E4F65">
        <w:rPr>
          <w:rFonts w:asciiTheme="minorBidi" w:hAnsiTheme="minorBidi"/>
        </w:rPr>
        <w:t xml:space="preserve">Ze’ev Schiff and Ehud </w:t>
      </w:r>
      <w:proofErr w:type="spellStart"/>
      <w:r w:rsidR="00131BB5" w:rsidRPr="000E4F65">
        <w:rPr>
          <w:rFonts w:asciiTheme="minorBidi" w:hAnsiTheme="minorBidi"/>
        </w:rPr>
        <w:t>Ya</w:t>
      </w:r>
      <w:r w:rsidR="00C5680B" w:rsidRPr="000E4F65">
        <w:rPr>
          <w:rFonts w:asciiTheme="minorBidi" w:hAnsiTheme="minorBidi"/>
        </w:rPr>
        <w:t>’</w:t>
      </w:r>
      <w:r w:rsidR="00131BB5" w:rsidRPr="000E4F65">
        <w:rPr>
          <w:rFonts w:asciiTheme="minorBidi" w:hAnsiTheme="minorBidi"/>
        </w:rPr>
        <w:t>ari</w:t>
      </w:r>
      <w:proofErr w:type="spellEnd"/>
      <w:r w:rsidR="00131BB5" w:rsidRPr="000E4F65">
        <w:rPr>
          <w:rFonts w:asciiTheme="minorBidi" w:hAnsiTheme="minorBidi"/>
        </w:rPr>
        <w:t xml:space="preserve">, </w:t>
      </w:r>
      <w:r w:rsidR="00131BB5" w:rsidRPr="00082CF3">
        <w:rPr>
          <w:rFonts w:asciiTheme="minorBidi" w:hAnsiTheme="minorBidi"/>
          <w:i/>
          <w:iCs/>
        </w:rPr>
        <w:t>Intifada</w:t>
      </w:r>
      <w:r w:rsidR="00131BB5" w:rsidRPr="000E4F65">
        <w:rPr>
          <w:rFonts w:asciiTheme="minorBidi" w:hAnsiTheme="minorBidi"/>
        </w:rPr>
        <w:t xml:space="preserve"> (Jerusalem: </w:t>
      </w:r>
      <w:proofErr w:type="spellStart"/>
      <w:r w:rsidR="00131BB5" w:rsidRPr="000E4F65">
        <w:rPr>
          <w:rFonts w:asciiTheme="minorBidi" w:hAnsiTheme="minorBidi"/>
        </w:rPr>
        <w:t>S</w:t>
      </w:r>
      <w:r w:rsidR="00C5680B" w:rsidRPr="000E4F65">
        <w:rPr>
          <w:rFonts w:asciiTheme="minorBidi" w:hAnsiTheme="minorBidi"/>
        </w:rPr>
        <w:t>c</w:t>
      </w:r>
      <w:r w:rsidR="00131BB5" w:rsidRPr="000E4F65">
        <w:rPr>
          <w:rFonts w:asciiTheme="minorBidi" w:hAnsiTheme="minorBidi"/>
        </w:rPr>
        <w:t>hocken</w:t>
      </w:r>
      <w:proofErr w:type="spellEnd"/>
      <w:r w:rsidR="00C5680B" w:rsidRPr="000E4F65">
        <w:rPr>
          <w:rFonts w:asciiTheme="minorBidi" w:hAnsiTheme="minorBidi"/>
        </w:rPr>
        <w:t xml:space="preserve"> Press</w:t>
      </w:r>
      <w:r w:rsidR="00131BB5" w:rsidRPr="000E4F65">
        <w:rPr>
          <w:rFonts w:asciiTheme="minorBidi" w:hAnsiTheme="minorBidi"/>
        </w:rPr>
        <w:t>, 1990), pp.237–238.</w:t>
      </w:r>
    </w:p>
    <w:bookmarkEnd w:id="9"/>
  </w:footnote>
  <w:footnote w:id="5">
    <w:p w14:paraId="504B070B" w14:textId="4E53FB64" w:rsidR="004238FE" w:rsidRDefault="004238FE" w:rsidP="00082CF3">
      <w:pPr>
        <w:pStyle w:val="FootnoteText"/>
        <w:bidi w:val="0"/>
      </w:pPr>
      <w:r w:rsidRPr="000E4F65">
        <w:rPr>
          <w:rStyle w:val="FootnoteReference"/>
          <w:rFonts w:asciiTheme="minorBidi" w:hAnsiTheme="minorBidi"/>
        </w:rPr>
        <w:footnoteRef/>
      </w:r>
      <w:r w:rsidRPr="000E4F65">
        <w:rPr>
          <w:rFonts w:asciiTheme="minorBidi" w:hAnsiTheme="minorBidi"/>
          <w:rtl/>
        </w:rPr>
        <w:t xml:space="preserve"> </w:t>
      </w:r>
      <w:r w:rsidRPr="000E4F65">
        <w:rPr>
          <w:rFonts w:asciiTheme="minorBidi" w:hAnsiTheme="minorBidi"/>
        </w:rPr>
        <w:t xml:space="preserve">On the relations of Hamas with the Muslim Brotherhood see </w:t>
      </w:r>
      <w:r w:rsidR="004A0FA5">
        <w:rPr>
          <w:rFonts w:asciiTheme="minorBidi" w:hAnsiTheme="minorBidi"/>
        </w:rPr>
        <w:t>“</w:t>
      </w:r>
      <w:r w:rsidRPr="000E4F65">
        <w:rPr>
          <w:rFonts w:asciiTheme="minorBidi" w:hAnsiTheme="minorBidi"/>
        </w:rPr>
        <w:t>Hamas Covenant 1988: The Covenant of the Islamic Resistance Movement,</w:t>
      </w:r>
      <w:r w:rsidR="004A0FA5">
        <w:rPr>
          <w:rFonts w:asciiTheme="minorBidi" w:hAnsiTheme="minorBidi"/>
        </w:rPr>
        <w:t>”</w:t>
      </w:r>
      <w:r w:rsidRPr="000E4F65">
        <w:rPr>
          <w:rFonts w:asciiTheme="minorBidi" w:hAnsiTheme="minorBidi"/>
        </w:rPr>
        <w:t xml:space="preserve"> August 18, 1988, Article two [Translated from Arabic]</w:t>
      </w:r>
      <w:r w:rsidR="00C5680B" w:rsidRPr="000E4F65">
        <w:rPr>
          <w:rFonts w:asciiTheme="minorBidi" w:hAnsiTheme="minorBidi"/>
        </w:rPr>
        <w:t>.</w:t>
      </w:r>
      <w:r w:rsidRPr="000E4F65">
        <w:rPr>
          <w:rFonts w:asciiTheme="minorBidi" w:hAnsiTheme="minorBidi"/>
        </w:rPr>
        <w:t xml:space="preserve"> </w:t>
      </w:r>
      <w:hyperlink r:id="rId1" w:history="1">
        <w:r w:rsidRPr="000E4F65">
          <w:rPr>
            <w:rStyle w:val="Hyperlink"/>
            <w:rFonts w:asciiTheme="minorBidi" w:hAnsiTheme="minorBidi"/>
          </w:rPr>
          <w:t>https://avalon.law.yale.edu/20th_century/hamas.asp</w:t>
        </w:r>
      </w:hyperlink>
      <w:r>
        <w:t xml:space="preserve">  </w:t>
      </w:r>
    </w:p>
  </w:footnote>
  <w:footnote w:id="6">
    <w:p w14:paraId="695A0374" w14:textId="5EC52B2A" w:rsidR="004238FE" w:rsidRPr="000E4F65" w:rsidRDefault="004238FE" w:rsidP="00082CF3">
      <w:pPr>
        <w:pStyle w:val="FootnoteText"/>
        <w:bidi w:val="0"/>
        <w:rPr>
          <w:rFonts w:asciiTheme="minorBidi" w:hAnsiTheme="minorBidi"/>
        </w:rPr>
      </w:pPr>
      <w:r w:rsidRPr="000E4F65">
        <w:rPr>
          <w:rStyle w:val="FootnoteReference"/>
          <w:rFonts w:asciiTheme="minorBidi" w:hAnsiTheme="minorBidi"/>
        </w:rPr>
        <w:footnoteRef/>
      </w:r>
      <w:r w:rsidR="00C5680B" w:rsidRPr="000E4F65">
        <w:rPr>
          <w:rFonts w:asciiTheme="minorBidi" w:hAnsiTheme="minorBidi"/>
        </w:rPr>
        <w:t xml:space="preserve"> Schiff and </w:t>
      </w:r>
      <w:proofErr w:type="spellStart"/>
      <w:r w:rsidR="00C5680B" w:rsidRPr="000E4F65">
        <w:rPr>
          <w:rFonts w:asciiTheme="minorBidi" w:hAnsiTheme="minorBidi"/>
        </w:rPr>
        <w:t>Ya’ari</w:t>
      </w:r>
      <w:proofErr w:type="spellEnd"/>
      <w:r w:rsidR="00C5680B" w:rsidRPr="000E4F65">
        <w:rPr>
          <w:rFonts w:asciiTheme="minorBidi" w:hAnsiTheme="minorBidi"/>
        </w:rPr>
        <w:t xml:space="preserve">, </w:t>
      </w:r>
      <w:r w:rsidR="00C5680B" w:rsidRPr="00082CF3">
        <w:rPr>
          <w:rFonts w:asciiTheme="minorBidi" w:hAnsiTheme="minorBidi"/>
          <w:i/>
          <w:iCs/>
        </w:rPr>
        <w:t>Intifada</w:t>
      </w:r>
      <w:r w:rsidR="00C5680B" w:rsidRPr="000E4F65">
        <w:rPr>
          <w:rFonts w:asciiTheme="minorBidi" w:hAnsiTheme="minorBidi"/>
        </w:rPr>
        <w:t>, pp. 238–239.</w:t>
      </w:r>
    </w:p>
  </w:footnote>
  <w:footnote w:id="7">
    <w:p w14:paraId="2321460D" w14:textId="613F0EE0" w:rsidR="008B533E" w:rsidRPr="000E4F65" w:rsidRDefault="008B533E" w:rsidP="00082CF3">
      <w:pPr>
        <w:pStyle w:val="FootnoteText"/>
        <w:bidi w:val="0"/>
        <w:rPr>
          <w:rFonts w:asciiTheme="minorBidi" w:hAnsiTheme="minorBidi"/>
        </w:rPr>
      </w:pPr>
      <w:r w:rsidRPr="000E4F65">
        <w:rPr>
          <w:rStyle w:val="FootnoteReference"/>
          <w:rFonts w:asciiTheme="minorBidi" w:hAnsiTheme="minorBidi"/>
        </w:rPr>
        <w:footnoteRef/>
      </w:r>
      <w:r w:rsidRPr="000E4F65">
        <w:rPr>
          <w:rFonts w:asciiTheme="minorBidi" w:hAnsiTheme="minorBidi"/>
          <w:rtl/>
        </w:rPr>
        <w:t xml:space="preserve"> </w:t>
      </w:r>
      <w:r w:rsidRPr="000E4F65">
        <w:rPr>
          <w:rFonts w:asciiTheme="minorBidi" w:hAnsiTheme="minorBidi"/>
        </w:rPr>
        <w:t xml:space="preserve">Schiff and </w:t>
      </w:r>
      <w:proofErr w:type="spellStart"/>
      <w:r w:rsidRPr="000E4F65">
        <w:rPr>
          <w:rFonts w:asciiTheme="minorBidi" w:hAnsiTheme="minorBidi"/>
        </w:rPr>
        <w:t>Ya’ari</w:t>
      </w:r>
      <w:proofErr w:type="spellEnd"/>
      <w:r w:rsidRPr="00082CF3">
        <w:rPr>
          <w:rFonts w:asciiTheme="minorBidi" w:hAnsiTheme="minorBidi"/>
          <w:i/>
          <w:iCs/>
        </w:rPr>
        <w:t>, Intifada</w:t>
      </w:r>
      <w:r w:rsidRPr="000E4F65">
        <w:rPr>
          <w:rFonts w:asciiTheme="minorBidi" w:hAnsiTheme="minorBidi"/>
        </w:rPr>
        <w:t>, p. 243.</w:t>
      </w:r>
    </w:p>
  </w:footnote>
  <w:footnote w:id="8">
    <w:p w14:paraId="1C2AA94B" w14:textId="77777777" w:rsidR="008B533E" w:rsidRPr="000E4F65" w:rsidRDefault="008B533E" w:rsidP="00082CF3">
      <w:pPr>
        <w:pStyle w:val="FootnoteText"/>
        <w:bidi w:val="0"/>
        <w:rPr>
          <w:rFonts w:asciiTheme="minorBidi" w:hAnsiTheme="minorBidi"/>
        </w:rPr>
      </w:pPr>
      <w:r w:rsidRPr="000E4F65">
        <w:rPr>
          <w:rStyle w:val="FootnoteReference"/>
          <w:rFonts w:asciiTheme="minorBidi" w:hAnsiTheme="minorBidi"/>
        </w:rPr>
        <w:footnoteRef/>
      </w:r>
      <w:r w:rsidRPr="000E4F65">
        <w:rPr>
          <w:rFonts w:asciiTheme="minorBidi" w:hAnsiTheme="minorBidi"/>
          <w:rtl/>
        </w:rPr>
        <w:t xml:space="preserve"> </w:t>
      </w:r>
      <w:proofErr w:type="spellStart"/>
      <w:r w:rsidRPr="000E4F65">
        <w:rPr>
          <w:rFonts w:asciiTheme="minorBidi" w:hAnsiTheme="minorBidi"/>
        </w:rPr>
        <w:t>Anat</w:t>
      </w:r>
      <w:proofErr w:type="spellEnd"/>
      <w:r w:rsidRPr="000E4F65">
        <w:rPr>
          <w:rFonts w:asciiTheme="minorBidi" w:hAnsiTheme="minorBidi"/>
        </w:rPr>
        <w:t xml:space="preserve"> Kurz, </w:t>
      </w:r>
      <w:r w:rsidRPr="00082CF3">
        <w:rPr>
          <w:rFonts w:asciiTheme="minorBidi" w:hAnsiTheme="minorBidi"/>
          <w:i/>
          <w:iCs/>
        </w:rPr>
        <w:t>Islamic Terrorism and Israel: Hizballah, Palestinian Islamic Jihad, Hamas</w:t>
      </w:r>
      <w:r w:rsidRPr="000E4F65">
        <w:rPr>
          <w:rFonts w:asciiTheme="minorBidi" w:hAnsiTheme="minorBidi"/>
        </w:rPr>
        <w:t xml:space="preserve"> (Jerusalem: Papyrus, 1993), pp. 187–189.</w:t>
      </w:r>
      <w:r w:rsidRPr="000E4F65">
        <w:rPr>
          <w:rFonts w:asciiTheme="minorBidi" w:hAnsiTheme="minorBidi"/>
          <w:rtl/>
        </w:rPr>
        <w:t xml:space="preserve"> </w:t>
      </w:r>
    </w:p>
    <w:p w14:paraId="3A695D0B" w14:textId="77777777" w:rsidR="008B533E" w:rsidRDefault="008B533E" w:rsidP="00082CF3">
      <w:pPr>
        <w:pStyle w:val="FootnoteText"/>
        <w:bidi w:val="0"/>
      </w:pPr>
    </w:p>
  </w:footnote>
  <w:footnote w:id="9">
    <w:p w14:paraId="52897C33" w14:textId="77777777" w:rsidR="008B533E" w:rsidRPr="007735FB" w:rsidRDefault="008B533E" w:rsidP="00082CF3">
      <w:pPr>
        <w:pStyle w:val="FootnoteText"/>
        <w:bidi w:val="0"/>
        <w:rPr>
          <w:rFonts w:ascii="Arial" w:hAnsi="Arial" w:cs="Arial"/>
        </w:rPr>
      </w:pPr>
      <w:r w:rsidRPr="007735FB">
        <w:rPr>
          <w:rStyle w:val="FootnoteReference"/>
          <w:rFonts w:ascii="Arial" w:hAnsi="Arial" w:cs="Arial"/>
        </w:rPr>
        <w:footnoteRef/>
      </w:r>
      <w:r w:rsidRPr="007735FB">
        <w:rPr>
          <w:rFonts w:ascii="Arial" w:hAnsi="Arial" w:cs="Arial"/>
        </w:rPr>
        <w:t xml:space="preserve">Jonathan </w:t>
      </w:r>
      <w:proofErr w:type="spellStart"/>
      <w:r w:rsidRPr="007735FB">
        <w:rPr>
          <w:rFonts w:ascii="Arial" w:hAnsi="Arial" w:cs="Arial"/>
        </w:rPr>
        <w:t>Schanzer</w:t>
      </w:r>
      <w:proofErr w:type="spellEnd"/>
      <w:r w:rsidRPr="007735FB">
        <w:rPr>
          <w:rFonts w:ascii="Arial" w:hAnsi="Arial" w:cs="Arial"/>
        </w:rPr>
        <w:t xml:space="preserve">, </w:t>
      </w:r>
      <w:r w:rsidRPr="007735FB">
        <w:rPr>
          <w:rFonts w:ascii="Arial" w:hAnsi="Arial" w:cs="Arial"/>
          <w:i/>
          <w:iCs/>
        </w:rPr>
        <w:t>Hamas vs. Fatah: The Struggle for Palestine</w:t>
      </w:r>
      <w:r w:rsidRPr="007735FB">
        <w:rPr>
          <w:rFonts w:ascii="Arial" w:hAnsi="Arial" w:cs="Arial"/>
        </w:rPr>
        <w:t xml:space="preserve"> (New York: Palgrave-Macmillan, 2008), pp. 37–38.</w:t>
      </w:r>
    </w:p>
    <w:p w14:paraId="110F63B1" w14:textId="130A2111" w:rsidR="008B533E" w:rsidRPr="007735FB" w:rsidRDefault="008B533E" w:rsidP="00082CF3">
      <w:pPr>
        <w:pStyle w:val="FootnoteText"/>
        <w:bidi w:val="0"/>
        <w:rPr>
          <w:rFonts w:ascii="Arial" w:hAnsi="Arial" w:cs="Arial"/>
        </w:rPr>
      </w:pPr>
    </w:p>
  </w:footnote>
  <w:footnote w:id="10">
    <w:p w14:paraId="3AABD869" w14:textId="77777777" w:rsidR="00B95755" w:rsidRPr="007735FB" w:rsidRDefault="00B95755" w:rsidP="00B95755">
      <w:pPr>
        <w:pStyle w:val="FootnoteText"/>
        <w:bidi w:val="0"/>
        <w:rPr>
          <w:rFonts w:ascii="Arial" w:hAnsi="Arial" w:cs="Arial"/>
        </w:rPr>
      </w:pPr>
      <w:r w:rsidRPr="007735FB">
        <w:rPr>
          <w:rStyle w:val="FootnoteReference"/>
          <w:rFonts w:ascii="Arial" w:hAnsi="Arial" w:cs="Arial"/>
        </w:rPr>
        <w:footnoteRef/>
      </w:r>
      <w:r w:rsidRPr="007735FB">
        <w:rPr>
          <w:rFonts w:ascii="Arial" w:hAnsi="Arial" w:cs="Arial"/>
          <w:rtl/>
        </w:rPr>
        <w:t xml:space="preserve"> </w:t>
      </w:r>
      <w:r w:rsidRPr="007735FB">
        <w:rPr>
          <w:rFonts w:ascii="Arial" w:hAnsi="Arial" w:cs="Arial"/>
        </w:rPr>
        <w:t>See Hamas Leaflet No. 28, 18 August 1988 [Arabic].</w:t>
      </w:r>
    </w:p>
  </w:footnote>
  <w:footnote w:id="11">
    <w:p w14:paraId="6D99F52E" w14:textId="77777777" w:rsidR="00B95755" w:rsidRPr="007735FB" w:rsidRDefault="00B95755" w:rsidP="00B95755">
      <w:pPr>
        <w:pStyle w:val="FootnoteText"/>
        <w:bidi w:val="0"/>
        <w:rPr>
          <w:rFonts w:ascii="Arial" w:hAnsi="Arial" w:cs="Arial"/>
        </w:rPr>
      </w:pPr>
      <w:r w:rsidRPr="007735FB">
        <w:rPr>
          <w:rStyle w:val="FootnoteReference"/>
          <w:rFonts w:ascii="Arial" w:hAnsi="Arial" w:cs="Arial"/>
        </w:rPr>
        <w:footnoteRef/>
      </w:r>
      <w:r w:rsidRPr="007735FB">
        <w:rPr>
          <w:rFonts w:ascii="Arial" w:hAnsi="Arial" w:cs="Arial"/>
          <w:rtl/>
        </w:rPr>
        <w:t xml:space="preserve"> </w:t>
      </w:r>
      <w:r w:rsidRPr="007735FB">
        <w:rPr>
          <w:rFonts w:ascii="Arial" w:hAnsi="Arial" w:cs="Arial"/>
        </w:rPr>
        <w:t>United National Command Leaflet No. 25, September 6, 1988 [Arabic].</w:t>
      </w:r>
    </w:p>
  </w:footnote>
  <w:footnote w:id="12">
    <w:p w14:paraId="0B807BE5" w14:textId="6F901721" w:rsidR="00003C60" w:rsidRDefault="00003C60" w:rsidP="00082CF3">
      <w:pPr>
        <w:pStyle w:val="FootnoteText"/>
        <w:bidi w:val="0"/>
      </w:pPr>
      <w:r w:rsidRPr="007735FB">
        <w:rPr>
          <w:rStyle w:val="FootnoteReference"/>
          <w:rFonts w:ascii="Arial" w:hAnsi="Arial" w:cs="Arial"/>
        </w:rPr>
        <w:footnoteRef/>
      </w:r>
      <w:r w:rsidRPr="007735FB">
        <w:rPr>
          <w:rFonts w:ascii="Arial" w:hAnsi="Arial" w:cs="Arial"/>
          <w:rtl/>
        </w:rPr>
        <w:t xml:space="preserve"> </w:t>
      </w:r>
      <w:r w:rsidRPr="007735FB">
        <w:rPr>
          <w:rFonts w:ascii="Arial" w:hAnsi="Arial" w:cs="Arial"/>
        </w:rPr>
        <w:t>United National Command Leaflet No. 29, November 1992, 1988 [Arabic</w:t>
      </w:r>
      <w:r>
        <w:t>].</w:t>
      </w:r>
    </w:p>
  </w:footnote>
  <w:footnote w:id="13">
    <w:p w14:paraId="4A97D8D6" w14:textId="145F1CCE" w:rsidR="00003C60" w:rsidRPr="007735FB" w:rsidRDefault="00003C60" w:rsidP="00082CF3">
      <w:pPr>
        <w:pStyle w:val="FootnoteText"/>
        <w:bidi w:val="0"/>
        <w:rPr>
          <w:rFonts w:ascii="Arial" w:hAnsi="Arial" w:cs="Arial"/>
        </w:rPr>
      </w:pPr>
      <w:r w:rsidRPr="007735FB">
        <w:rPr>
          <w:rStyle w:val="FootnoteReference"/>
          <w:rFonts w:ascii="Arial" w:hAnsi="Arial" w:cs="Arial"/>
        </w:rPr>
        <w:footnoteRef/>
      </w:r>
      <w:r w:rsidRPr="007735FB">
        <w:rPr>
          <w:rFonts w:ascii="Arial" w:hAnsi="Arial" w:cs="Arial"/>
          <w:rtl/>
        </w:rPr>
        <w:t xml:space="preserve"> </w:t>
      </w:r>
      <w:r w:rsidR="00693BA0" w:rsidRPr="007735FB">
        <w:rPr>
          <w:rFonts w:ascii="Arial" w:hAnsi="Arial" w:cs="Arial"/>
        </w:rPr>
        <w:t xml:space="preserve">Yossi Beilin, </w:t>
      </w:r>
      <w:r w:rsidR="00693BA0" w:rsidRPr="00082CF3">
        <w:rPr>
          <w:rFonts w:ascii="Arial" w:hAnsi="Arial" w:cs="Arial"/>
          <w:i/>
          <w:iCs/>
        </w:rPr>
        <w:t>Touching Peace</w:t>
      </w:r>
      <w:r w:rsidR="00693BA0" w:rsidRPr="007735FB">
        <w:rPr>
          <w:rFonts w:ascii="Arial" w:hAnsi="Arial" w:cs="Arial"/>
        </w:rPr>
        <w:t xml:space="preserve"> (Tel Aviv: Yediot </w:t>
      </w:r>
      <w:r w:rsidR="005218A0" w:rsidRPr="007735FB">
        <w:rPr>
          <w:rFonts w:ascii="Arial" w:hAnsi="Arial" w:cs="Arial"/>
        </w:rPr>
        <w:t>Books</w:t>
      </w:r>
      <w:r w:rsidR="00693BA0" w:rsidRPr="007735FB">
        <w:rPr>
          <w:rFonts w:ascii="Arial" w:hAnsi="Arial" w:cs="Arial"/>
        </w:rPr>
        <w:t>, 1997), p. 76</w:t>
      </w:r>
      <w:r w:rsidR="00264184" w:rsidRPr="007735FB">
        <w:rPr>
          <w:rFonts w:ascii="Arial" w:hAnsi="Arial" w:cs="Arial"/>
        </w:rPr>
        <w:t>.</w:t>
      </w:r>
    </w:p>
  </w:footnote>
  <w:footnote w:id="14">
    <w:p w14:paraId="2A94DD00" w14:textId="77777777" w:rsidR="00F9488D" w:rsidRPr="00AD5AC3" w:rsidRDefault="00F9488D" w:rsidP="00F9488D">
      <w:pPr>
        <w:pStyle w:val="FootnoteText"/>
        <w:bidi w:val="0"/>
        <w:rPr>
          <w:rFonts w:ascii="Arial" w:hAnsi="Arial" w:cs="Arial"/>
        </w:rPr>
      </w:pPr>
      <w:r w:rsidRPr="00AD5AC3">
        <w:rPr>
          <w:rStyle w:val="FootnoteReference"/>
          <w:rFonts w:ascii="Arial" w:hAnsi="Arial" w:cs="Arial"/>
        </w:rPr>
        <w:footnoteRef/>
      </w:r>
      <w:r w:rsidRPr="00AD5AC3">
        <w:rPr>
          <w:rFonts w:ascii="Arial" w:hAnsi="Arial" w:cs="Arial"/>
        </w:rPr>
        <w:t xml:space="preserve"> Ron Pundak, </w:t>
      </w:r>
      <w:r w:rsidRPr="00AD5AC3">
        <w:rPr>
          <w:rFonts w:ascii="Arial" w:hAnsi="Arial" w:cs="Arial"/>
          <w:i/>
          <w:iCs/>
        </w:rPr>
        <w:t>Secret Channel: Oslo, The Full Story</w:t>
      </w:r>
      <w:r w:rsidRPr="00AD5AC3">
        <w:rPr>
          <w:rFonts w:ascii="Arial" w:hAnsi="Arial" w:cs="Arial"/>
        </w:rPr>
        <w:t xml:space="preserve"> (Tel Aviv: Yediot Books, 2013), p. 138.</w:t>
      </w:r>
    </w:p>
  </w:footnote>
  <w:footnote w:id="15">
    <w:p w14:paraId="2BEF204B" w14:textId="77777777" w:rsidR="00F9488D" w:rsidRPr="00AD5AC3" w:rsidRDefault="00F9488D" w:rsidP="00F9488D">
      <w:pPr>
        <w:pStyle w:val="FootnoteText"/>
        <w:bidi w:val="0"/>
        <w:rPr>
          <w:rFonts w:ascii="Arial" w:hAnsi="Arial" w:cs="Arial"/>
        </w:rPr>
      </w:pPr>
      <w:r w:rsidRPr="00AD5AC3">
        <w:rPr>
          <w:rStyle w:val="FootnoteReference"/>
          <w:rFonts w:ascii="Arial" w:hAnsi="Arial" w:cs="Arial"/>
        </w:rPr>
        <w:footnoteRef/>
      </w:r>
      <w:r w:rsidRPr="00AD5AC3">
        <w:rPr>
          <w:rFonts w:ascii="Arial" w:hAnsi="Arial" w:cs="Arial"/>
        </w:rPr>
        <w:t xml:space="preserve"> Pundak, </w:t>
      </w:r>
      <w:r w:rsidRPr="00AD5AC3">
        <w:rPr>
          <w:rFonts w:ascii="Arial" w:hAnsi="Arial" w:cs="Arial"/>
          <w:i/>
          <w:iCs/>
        </w:rPr>
        <w:t>Secret Channel</w:t>
      </w:r>
      <w:r w:rsidRPr="00AD5AC3">
        <w:rPr>
          <w:rFonts w:ascii="Arial" w:hAnsi="Arial" w:cs="Arial"/>
        </w:rPr>
        <w:t>, p. 97.</w:t>
      </w:r>
    </w:p>
  </w:footnote>
  <w:footnote w:id="16">
    <w:p w14:paraId="0FB6A82D" w14:textId="77777777" w:rsidR="00F9488D" w:rsidRPr="00AD5AC3" w:rsidRDefault="00F9488D" w:rsidP="00F9488D">
      <w:pPr>
        <w:pStyle w:val="FootnoteText"/>
        <w:bidi w:val="0"/>
        <w:rPr>
          <w:rFonts w:ascii="Arial" w:hAnsi="Arial" w:cs="Arial"/>
        </w:rPr>
      </w:pPr>
      <w:r w:rsidRPr="00AD5AC3">
        <w:rPr>
          <w:rStyle w:val="FootnoteReference"/>
          <w:rFonts w:ascii="Arial" w:hAnsi="Arial" w:cs="Arial"/>
        </w:rPr>
        <w:footnoteRef/>
      </w:r>
      <w:r w:rsidRPr="00AD5AC3">
        <w:rPr>
          <w:rFonts w:ascii="Arial" w:hAnsi="Arial" w:cs="Arial"/>
          <w:rtl/>
        </w:rPr>
        <w:t xml:space="preserve"> </w:t>
      </w:r>
      <w:r w:rsidRPr="00AD5AC3">
        <w:rPr>
          <w:rFonts w:ascii="Arial" w:hAnsi="Arial" w:cs="Arial"/>
        </w:rPr>
        <w:t xml:space="preserve">Beilin, </w:t>
      </w:r>
      <w:r w:rsidRPr="00AD5AC3">
        <w:rPr>
          <w:rFonts w:ascii="Arial" w:hAnsi="Arial" w:cs="Arial"/>
          <w:i/>
          <w:iCs/>
        </w:rPr>
        <w:t>Touching Peace</w:t>
      </w:r>
      <w:r w:rsidRPr="00AD5AC3">
        <w:rPr>
          <w:rFonts w:ascii="Arial" w:hAnsi="Arial" w:cs="Arial"/>
        </w:rPr>
        <w:t>, p. 97.</w:t>
      </w:r>
    </w:p>
  </w:footnote>
  <w:footnote w:id="17">
    <w:p w14:paraId="39B1046E" w14:textId="095E24F5" w:rsidR="00264184" w:rsidRPr="00AD5AC3" w:rsidRDefault="00264184" w:rsidP="00082CF3">
      <w:pPr>
        <w:pStyle w:val="FootnoteText"/>
        <w:bidi w:val="0"/>
        <w:jc w:val="both"/>
        <w:rPr>
          <w:rFonts w:ascii="Arial" w:hAnsi="Arial" w:cs="Arial"/>
        </w:rPr>
      </w:pPr>
      <w:r w:rsidRPr="00AD5AC3">
        <w:rPr>
          <w:rStyle w:val="FootnoteReference"/>
          <w:rFonts w:ascii="Arial" w:hAnsi="Arial" w:cs="Arial"/>
        </w:rPr>
        <w:footnoteRef/>
      </w:r>
      <w:r w:rsidRPr="00AD5AC3">
        <w:rPr>
          <w:rFonts w:ascii="Arial" w:hAnsi="Arial" w:cs="Arial"/>
          <w:rtl/>
        </w:rPr>
        <w:t xml:space="preserve"> </w:t>
      </w:r>
      <w:r w:rsidRPr="00AD5AC3">
        <w:rPr>
          <w:rFonts w:ascii="Arial" w:hAnsi="Arial" w:cs="Arial"/>
        </w:rPr>
        <w:t>On the deportation of Mahmoud al-</w:t>
      </w:r>
      <w:proofErr w:type="spellStart"/>
      <w:r w:rsidRPr="00AD5AC3">
        <w:rPr>
          <w:rFonts w:ascii="Arial" w:hAnsi="Arial" w:cs="Arial"/>
        </w:rPr>
        <w:t>Zahar</w:t>
      </w:r>
      <w:proofErr w:type="spellEnd"/>
      <w:r w:rsidRPr="00AD5AC3">
        <w:rPr>
          <w:rFonts w:ascii="Arial" w:hAnsi="Arial" w:cs="Arial"/>
        </w:rPr>
        <w:t xml:space="preserve">, see: </w:t>
      </w:r>
      <w:proofErr w:type="spellStart"/>
      <w:r w:rsidRPr="00AD5AC3">
        <w:rPr>
          <w:rFonts w:ascii="Arial" w:hAnsi="Arial" w:cs="Arial"/>
        </w:rPr>
        <w:t>Elad</w:t>
      </w:r>
      <w:proofErr w:type="spellEnd"/>
      <w:r w:rsidRPr="00AD5AC3">
        <w:rPr>
          <w:rFonts w:ascii="Arial" w:hAnsi="Arial" w:cs="Arial"/>
        </w:rPr>
        <w:t xml:space="preserve"> Ben-</w:t>
      </w:r>
      <w:proofErr w:type="spellStart"/>
      <w:r w:rsidRPr="00AD5AC3">
        <w:rPr>
          <w:rFonts w:ascii="Arial" w:hAnsi="Arial" w:cs="Arial"/>
        </w:rPr>
        <w:t>Dror</w:t>
      </w:r>
      <w:proofErr w:type="spellEnd"/>
      <w:r w:rsidRPr="00AD5AC3">
        <w:rPr>
          <w:rFonts w:ascii="Arial" w:hAnsi="Arial" w:cs="Arial"/>
        </w:rPr>
        <w:t xml:space="preserve">, “We Were Getting Close to God, Not Deportees,” </w:t>
      </w:r>
      <w:r w:rsidR="008B47CF" w:rsidRPr="00082CF3">
        <w:rPr>
          <w:rFonts w:ascii="Arial" w:hAnsi="Arial" w:cs="Arial"/>
          <w:i/>
          <w:iCs/>
        </w:rPr>
        <w:t>The Middle East Journal</w:t>
      </w:r>
      <w:r w:rsidR="008B47CF" w:rsidRPr="00AD5AC3">
        <w:rPr>
          <w:rFonts w:ascii="Arial" w:hAnsi="Arial" w:cs="Arial"/>
        </w:rPr>
        <w:t>, Vol. 74, No. 3, pp. 399–416.</w:t>
      </w:r>
    </w:p>
  </w:footnote>
  <w:footnote w:id="18">
    <w:p w14:paraId="2855394E" w14:textId="77777777" w:rsidR="00895D95" w:rsidRPr="00AD5AC3" w:rsidRDefault="00895D95" w:rsidP="00082CF3">
      <w:pPr>
        <w:pStyle w:val="FootnoteText"/>
        <w:bidi w:val="0"/>
        <w:jc w:val="both"/>
        <w:rPr>
          <w:rFonts w:ascii="Arial" w:hAnsi="Arial" w:cs="Arial"/>
        </w:rPr>
      </w:pPr>
      <w:r w:rsidRPr="00AD5AC3">
        <w:rPr>
          <w:rStyle w:val="FootnoteReference"/>
          <w:rFonts w:ascii="Arial" w:hAnsi="Arial" w:cs="Arial"/>
        </w:rPr>
        <w:footnoteRef/>
      </w:r>
      <w:r w:rsidRPr="00AD5AC3">
        <w:rPr>
          <w:rFonts w:ascii="Arial" w:hAnsi="Arial" w:cs="Arial"/>
          <w:rtl/>
        </w:rPr>
        <w:t xml:space="preserve"> </w:t>
      </w:r>
      <w:r w:rsidRPr="00AD5AC3">
        <w:rPr>
          <w:rFonts w:ascii="Arial" w:hAnsi="Arial" w:cs="Arial"/>
        </w:rPr>
        <w:t xml:space="preserve">Pundak, </w:t>
      </w:r>
      <w:r w:rsidRPr="00082CF3">
        <w:rPr>
          <w:rFonts w:ascii="Arial" w:hAnsi="Arial" w:cs="Arial"/>
          <w:i/>
          <w:iCs/>
        </w:rPr>
        <w:t>Secret Channel</w:t>
      </w:r>
      <w:r w:rsidRPr="00AD5AC3">
        <w:rPr>
          <w:rFonts w:ascii="Arial" w:hAnsi="Arial" w:cs="Arial"/>
        </w:rPr>
        <w:t>, pp. 94–95</w:t>
      </w:r>
    </w:p>
  </w:footnote>
  <w:footnote w:id="19">
    <w:p w14:paraId="33E4FC78" w14:textId="21AFF9AC" w:rsidR="00264184" w:rsidRDefault="00264184" w:rsidP="00082CF3">
      <w:pPr>
        <w:pStyle w:val="FootnoteText"/>
        <w:bidi w:val="0"/>
        <w:jc w:val="both"/>
      </w:pPr>
      <w:r w:rsidRPr="00AD5AC3">
        <w:rPr>
          <w:rStyle w:val="FootnoteReference"/>
          <w:rFonts w:ascii="Arial" w:hAnsi="Arial" w:cs="Arial"/>
        </w:rPr>
        <w:footnoteRef/>
      </w:r>
      <w:r w:rsidRPr="00AD5AC3">
        <w:rPr>
          <w:rFonts w:ascii="Arial" w:hAnsi="Arial" w:cs="Arial"/>
          <w:rtl/>
        </w:rPr>
        <w:t xml:space="preserve"> </w:t>
      </w:r>
      <w:r w:rsidR="008B47CF" w:rsidRPr="00AD5AC3">
        <w:rPr>
          <w:rFonts w:ascii="Arial" w:hAnsi="Arial" w:cs="Arial"/>
        </w:rPr>
        <w:t xml:space="preserve">Pundak, </w:t>
      </w:r>
      <w:r w:rsidR="008B47CF" w:rsidRPr="00082CF3">
        <w:rPr>
          <w:rFonts w:ascii="Arial" w:hAnsi="Arial" w:cs="Arial"/>
          <w:i/>
          <w:iCs/>
        </w:rPr>
        <w:t>Secret Channel</w:t>
      </w:r>
      <w:r w:rsidR="008B47CF" w:rsidRPr="00AD5AC3">
        <w:rPr>
          <w:rFonts w:ascii="Arial" w:hAnsi="Arial" w:cs="Arial"/>
        </w:rPr>
        <w:t>, pp. 94–95</w:t>
      </w:r>
    </w:p>
  </w:footnote>
  <w:footnote w:id="20">
    <w:p w14:paraId="46DA8AC4" w14:textId="77777777" w:rsidR="00392F9A" w:rsidRPr="007735FB" w:rsidRDefault="00392F9A" w:rsidP="00082CF3">
      <w:pPr>
        <w:pStyle w:val="FootnoteText"/>
        <w:bidi w:val="0"/>
        <w:rPr>
          <w:rFonts w:ascii="Arial" w:hAnsi="Arial" w:cs="Arial"/>
        </w:rPr>
      </w:pPr>
      <w:r>
        <w:rPr>
          <w:rStyle w:val="FootnoteReference"/>
        </w:rPr>
        <w:footnoteRef/>
      </w:r>
      <w:r>
        <w:rPr>
          <w:rtl/>
        </w:rPr>
        <w:t xml:space="preserve"> </w:t>
      </w:r>
      <w:r w:rsidRPr="007735FB">
        <w:rPr>
          <w:rFonts w:ascii="Arial" w:hAnsi="Arial" w:cs="Arial"/>
        </w:rPr>
        <w:t xml:space="preserve">Pundak, </w:t>
      </w:r>
      <w:r w:rsidRPr="00082CF3">
        <w:rPr>
          <w:rFonts w:ascii="Arial" w:hAnsi="Arial" w:cs="Arial"/>
          <w:i/>
          <w:iCs/>
        </w:rPr>
        <w:t>Secret Channel</w:t>
      </w:r>
      <w:r w:rsidRPr="007735FB">
        <w:rPr>
          <w:rFonts w:ascii="Arial" w:hAnsi="Arial" w:cs="Arial"/>
        </w:rPr>
        <w:t>, p. 117.</w:t>
      </w:r>
    </w:p>
  </w:footnote>
  <w:footnote w:id="21">
    <w:p w14:paraId="63E2F8A0" w14:textId="3B5A8786" w:rsidR="00392F9A" w:rsidRPr="008177A0" w:rsidRDefault="00392F9A" w:rsidP="00392F9A">
      <w:pPr>
        <w:pStyle w:val="FootnoteText"/>
        <w:bidi w:val="0"/>
        <w:jc w:val="both"/>
        <w:rPr>
          <w:rFonts w:ascii="Arial" w:hAnsi="Arial" w:cs="Arial"/>
        </w:rPr>
      </w:pPr>
      <w:r w:rsidRPr="007735FB">
        <w:rPr>
          <w:rStyle w:val="FootnoteReference"/>
          <w:rFonts w:ascii="Arial" w:hAnsi="Arial" w:cs="Arial"/>
        </w:rPr>
        <w:footnoteRef/>
      </w:r>
      <w:r w:rsidRPr="007735FB">
        <w:rPr>
          <w:rFonts w:ascii="Arial" w:hAnsi="Arial" w:cs="Arial"/>
          <w:rtl/>
        </w:rPr>
        <w:t xml:space="preserve"> </w:t>
      </w:r>
      <w:r w:rsidR="00392A89" w:rsidRPr="007735FB">
        <w:rPr>
          <w:rFonts w:ascii="Arial" w:hAnsi="Arial" w:cs="Arial"/>
        </w:rPr>
        <w:t>Ibid.</w:t>
      </w:r>
      <w:r w:rsidR="00392A89" w:rsidRPr="008177A0">
        <w:rPr>
          <w:rFonts w:ascii="Arial" w:hAnsi="Arial" w:cs="Arial"/>
        </w:rPr>
        <w:t xml:space="preserve"> </w:t>
      </w:r>
    </w:p>
  </w:footnote>
  <w:footnote w:id="22">
    <w:p w14:paraId="58A2FB27" w14:textId="77777777" w:rsidR="00A2570D" w:rsidRPr="008177A0" w:rsidRDefault="00A2570D" w:rsidP="00A2570D">
      <w:pPr>
        <w:pStyle w:val="FootnoteText"/>
        <w:bidi w:val="0"/>
        <w:rPr>
          <w:rFonts w:ascii="Arial" w:hAnsi="Arial" w:cs="Arial"/>
        </w:rPr>
      </w:pPr>
      <w:r w:rsidRPr="008177A0">
        <w:rPr>
          <w:rStyle w:val="FootnoteReference"/>
          <w:rFonts w:ascii="Arial" w:hAnsi="Arial" w:cs="Arial"/>
        </w:rPr>
        <w:footnoteRef/>
      </w:r>
      <w:r w:rsidRPr="008177A0">
        <w:rPr>
          <w:rFonts w:ascii="Arial" w:hAnsi="Arial" w:cs="Arial"/>
          <w:rtl/>
        </w:rPr>
        <w:t xml:space="preserve"> </w:t>
      </w:r>
      <w:r w:rsidRPr="008177A0">
        <w:rPr>
          <w:rFonts w:ascii="Arial" w:hAnsi="Arial" w:cs="Arial"/>
        </w:rPr>
        <w:t xml:space="preserve">Pundak, </w:t>
      </w:r>
      <w:r w:rsidRPr="008177A0">
        <w:rPr>
          <w:rFonts w:ascii="Arial" w:hAnsi="Arial" w:cs="Arial"/>
          <w:i/>
          <w:iCs/>
        </w:rPr>
        <w:t>Secret Channel</w:t>
      </w:r>
      <w:r w:rsidRPr="008177A0">
        <w:rPr>
          <w:rFonts w:ascii="Arial" w:hAnsi="Arial" w:cs="Arial"/>
        </w:rPr>
        <w:t>, p. 118.</w:t>
      </w:r>
    </w:p>
  </w:footnote>
  <w:footnote w:id="23">
    <w:p w14:paraId="7F89E6C6" w14:textId="77777777" w:rsidR="00A2570D" w:rsidRPr="008177A0" w:rsidRDefault="00A2570D" w:rsidP="00A2570D">
      <w:pPr>
        <w:pStyle w:val="FootnoteText"/>
        <w:bidi w:val="0"/>
        <w:rPr>
          <w:rFonts w:ascii="Arial" w:hAnsi="Arial" w:cs="Arial"/>
        </w:rPr>
      </w:pPr>
      <w:r w:rsidRPr="008177A0">
        <w:rPr>
          <w:rStyle w:val="FootnoteReference"/>
          <w:rFonts w:ascii="Arial" w:hAnsi="Arial" w:cs="Arial"/>
        </w:rPr>
        <w:footnoteRef/>
      </w:r>
      <w:r w:rsidRPr="008177A0">
        <w:rPr>
          <w:rFonts w:ascii="Arial" w:hAnsi="Arial" w:cs="Arial"/>
          <w:rtl/>
        </w:rPr>
        <w:t xml:space="preserve"> </w:t>
      </w:r>
      <w:r w:rsidRPr="008177A0">
        <w:rPr>
          <w:rFonts w:ascii="Arial" w:hAnsi="Arial" w:cs="Arial"/>
        </w:rPr>
        <w:t xml:space="preserve">Pundak, </w:t>
      </w:r>
      <w:r w:rsidRPr="008177A0">
        <w:rPr>
          <w:rFonts w:ascii="Arial" w:hAnsi="Arial" w:cs="Arial"/>
          <w:i/>
          <w:iCs/>
        </w:rPr>
        <w:t>Secret Channel</w:t>
      </w:r>
      <w:r w:rsidRPr="008177A0">
        <w:rPr>
          <w:rFonts w:ascii="Arial" w:hAnsi="Arial" w:cs="Arial"/>
        </w:rPr>
        <w:t>, pp.153–154.</w:t>
      </w:r>
    </w:p>
  </w:footnote>
  <w:footnote w:id="24">
    <w:p w14:paraId="580F1FEF" w14:textId="77777777" w:rsidR="00ED6D8F" w:rsidRPr="008177A0" w:rsidRDefault="00ED6D8F" w:rsidP="00082CF3">
      <w:pPr>
        <w:pStyle w:val="FootnoteText"/>
        <w:bidi w:val="0"/>
        <w:rPr>
          <w:rFonts w:ascii="Arial" w:hAnsi="Arial" w:cs="Arial"/>
        </w:rPr>
      </w:pPr>
      <w:r w:rsidRPr="008177A0">
        <w:rPr>
          <w:rStyle w:val="FootnoteReference"/>
          <w:rFonts w:ascii="Arial" w:hAnsi="Arial" w:cs="Arial"/>
        </w:rPr>
        <w:footnoteRef/>
      </w:r>
      <w:r w:rsidRPr="008177A0">
        <w:rPr>
          <w:rFonts w:ascii="Arial" w:hAnsi="Arial" w:cs="Arial"/>
        </w:rPr>
        <w:t xml:space="preserve"> </w:t>
      </w:r>
      <w:proofErr w:type="spellStart"/>
      <w:r w:rsidRPr="008177A0">
        <w:rPr>
          <w:rFonts w:ascii="Arial" w:hAnsi="Arial" w:cs="Arial"/>
        </w:rPr>
        <w:t>Shilon</w:t>
      </w:r>
      <w:proofErr w:type="spellEnd"/>
      <w:r w:rsidRPr="008177A0">
        <w:rPr>
          <w:rFonts w:ascii="Arial" w:hAnsi="Arial" w:cs="Arial"/>
        </w:rPr>
        <w:t xml:space="preserve">, </w:t>
      </w:r>
      <w:r w:rsidRPr="00082CF3">
        <w:rPr>
          <w:rFonts w:ascii="Arial" w:hAnsi="Arial" w:cs="Arial"/>
          <w:i/>
          <w:iCs/>
        </w:rPr>
        <w:t>The Left’s Badge</w:t>
      </w:r>
      <w:r w:rsidRPr="008177A0">
        <w:rPr>
          <w:rFonts w:ascii="Arial" w:hAnsi="Arial" w:cs="Arial"/>
        </w:rPr>
        <w:t>, p. 18.</w:t>
      </w:r>
    </w:p>
  </w:footnote>
  <w:footnote w:id="25">
    <w:p w14:paraId="5748E7AB" w14:textId="614A7D7F" w:rsidR="00ED6D8F" w:rsidRPr="008177A0" w:rsidRDefault="00ED6D8F" w:rsidP="00ED6D8F">
      <w:pPr>
        <w:pStyle w:val="FootnoteText"/>
        <w:bidi w:val="0"/>
        <w:rPr>
          <w:rFonts w:ascii="Arial" w:hAnsi="Arial" w:cs="Arial"/>
        </w:rPr>
      </w:pPr>
      <w:r w:rsidRPr="008177A0">
        <w:rPr>
          <w:rStyle w:val="FootnoteReference"/>
          <w:rFonts w:ascii="Arial" w:hAnsi="Arial" w:cs="Arial"/>
        </w:rPr>
        <w:footnoteRef/>
      </w:r>
      <w:r w:rsidRPr="008177A0">
        <w:rPr>
          <w:rFonts w:ascii="Arial" w:hAnsi="Arial" w:cs="Arial"/>
          <w:rtl/>
        </w:rPr>
        <w:t xml:space="preserve"> </w:t>
      </w:r>
      <w:r w:rsidRPr="008177A0">
        <w:rPr>
          <w:rFonts w:ascii="Arial" w:hAnsi="Arial" w:cs="Arial"/>
        </w:rPr>
        <w:t xml:space="preserve">Minna </w:t>
      </w:r>
      <w:proofErr w:type="spellStart"/>
      <w:r w:rsidRPr="008177A0">
        <w:rPr>
          <w:rFonts w:ascii="Arial" w:hAnsi="Arial" w:cs="Arial"/>
        </w:rPr>
        <w:t>Saarnivaara</w:t>
      </w:r>
      <w:proofErr w:type="spellEnd"/>
      <w:r w:rsidRPr="008177A0">
        <w:rPr>
          <w:rFonts w:ascii="Arial" w:hAnsi="Arial" w:cs="Arial"/>
        </w:rPr>
        <w:t xml:space="preserve">, </w:t>
      </w:r>
      <w:r w:rsidR="004A0FA5">
        <w:rPr>
          <w:rFonts w:ascii="Arial" w:hAnsi="Arial" w:cs="Arial"/>
        </w:rPr>
        <w:t>“</w:t>
      </w:r>
      <w:r w:rsidRPr="008177A0">
        <w:rPr>
          <w:rFonts w:ascii="Arial" w:hAnsi="Arial" w:cs="Arial"/>
        </w:rPr>
        <w:t xml:space="preserve">From Terrorists to Celebrities: Deportation as a Political Opportunity for Palestinian Islamic Hamas,” </w:t>
      </w:r>
      <w:r w:rsidRPr="008177A0">
        <w:rPr>
          <w:rFonts w:ascii="Arial" w:hAnsi="Arial" w:cs="Arial"/>
          <w:i/>
          <w:iCs/>
        </w:rPr>
        <w:t>Studia Orientalia</w:t>
      </w:r>
      <w:r w:rsidRPr="008177A0">
        <w:rPr>
          <w:rFonts w:ascii="Arial" w:hAnsi="Arial" w:cs="Arial"/>
        </w:rPr>
        <w:t>, 114 (2013), pp. 257–276.</w:t>
      </w:r>
    </w:p>
    <w:p w14:paraId="22EC6EC7" w14:textId="77777777" w:rsidR="00ED6D8F" w:rsidRDefault="00ED6D8F" w:rsidP="00082CF3">
      <w:pPr>
        <w:pStyle w:val="FootnoteText"/>
        <w:bidi w:val="0"/>
      </w:pPr>
    </w:p>
  </w:footnote>
  <w:footnote w:id="26">
    <w:p w14:paraId="017483EB" w14:textId="77777777" w:rsidR="00777AEF" w:rsidRPr="007735FB" w:rsidRDefault="00777AEF" w:rsidP="00777AEF">
      <w:pPr>
        <w:pStyle w:val="FootnoteText"/>
        <w:bidi w:val="0"/>
        <w:rPr>
          <w:rFonts w:asciiTheme="minorBidi" w:hAnsiTheme="minorBidi"/>
        </w:rPr>
      </w:pPr>
      <w:r w:rsidRPr="007735FB">
        <w:rPr>
          <w:rStyle w:val="FootnoteReference"/>
          <w:rFonts w:asciiTheme="minorBidi" w:hAnsiTheme="minorBidi"/>
        </w:rPr>
        <w:footnoteRef/>
      </w:r>
      <w:r w:rsidRPr="007735FB">
        <w:rPr>
          <w:rFonts w:asciiTheme="minorBidi" w:hAnsiTheme="minorBidi"/>
        </w:rPr>
        <w:t xml:space="preserve"> Mishal and Sela, </w:t>
      </w:r>
      <w:r w:rsidRPr="007735FB">
        <w:rPr>
          <w:rFonts w:asciiTheme="minorBidi" w:hAnsiTheme="minorBidi"/>
          <w:i/>
          <w:iCs/>
        </w:rPr>
        <w:t>Time of</w:t>
      </w:r>
      <w:r w:rsidRPr="007735FB">
        <w:rPr>
          <w:rFonts w:asciiTheme="minorBidi" w:hAnsiTheme="minorBidi"/>
        </w:rPr>
        <w:t xml:space="preserve"> </w:t>
      </w:r>
      <w:r w:rsidRPr="007735FB">
        <w:rPr>
          <w:rFonts w:asciiTheme="minorBidi" w:hAnsiTheme="minorBidi"/>
          <w:i/>
          <w:iCs/>
        </w:rPr>
        <w:t>Hamas</w:t>
      </w:r>
      <w:r w:rsidRPr="007735FB">
        <w:rPr>
          <w:rFonts w:asciiTheme="minorBidi" w:hAnsiTheme="minorBidi"/>
        </w:rPr>
        <w:t xml:space="preserve">, p. 109–110. </w:t>
      </w:r>
    </w:p>
    <w:p w14:paraId="6DF58EBB" w14:textId="77777777" w:rsidR="00777AEF" w:rsidRPr="007735FB" w:rsidRDefault="00777AEF" w:rsidP="00082CF3">
      <w:pPr>
        <w:pStyle w:val="FootnoteText"/>
        <w:bidi w:val="0"/>
        <w:rPr>
          <w:rFonts w:asciiTheme="minorBidi" w:hAnsiTheme="minorBidi"/>
        </w:rPr>
      </w:pPr>
    </w:p>
  </w:footnote>
  <w:footnote w:id="27">
    <w:p w14:paraId="0AF969BF" w14:textId="77777777" w:rsidR="007E13D9" w:rsidRPr="007735FB" w:rsidRDefault="007E13D9" w:rsidP="007E13D9">
      <w:pPr>
        <w:pStyle w:val="FootnoteText"/>
        <w:bidi w:val="0"/>
        <w:rPr>
          <w:rFonts w:asciiTheme="minorBidi" w:hAnsiTheme="minorBidi"/>
        </w:rPr>
      </w:pPr>
      <w:r w:rsidRPr="007735FB">
        <w:rPr>
          <w:rStyle w:val="FootnoteReference"/>
          <w:rFonts w:asciiTheme="minorBidi" w:hAnsiTheme="minorBidi"/>
        </w:rPr>
        <w:footnoteRef/>
      </w:r>
      <w:r w:rsidRPr="007735FB">
        <w:rPr>
          <w:rFonts w:asciiTheme="minorBidi" w:hAnsiTheme="minorBidi"/>
          <w:rtl/>
        </w:rPr>
        <w:t xml:space="preserve"> </w:t>
      </w:r>
      <w:r w:rsidRPr="007735FB">
        <w:rPr>
          <w:rFonts w:asciiTheme="minorBidi" w:hAnsiTheme="minorBidi"/>
        </w:rPr>
        <w:t xml:space="preserve">Hamas Covenant 1988, Article thirteen. </w:t>
      </w:r>
    </w:p>
    <w:p w14:paraId="1D5A8919" w14:textId="77777777" w:rsidR="007E13D9" w:rsidRPr="00B35CB7" w:rsidRDefault="007E13D9" w:rsidP="007E13D9">
      <w:pPr>
        <w:pStyle w:val="FootnoteText"/>
        <w:bidi w:val="0"/>
        <w:rPr>
          <w:rFonts w:ascii="David" w:hAnsi="David" w:cs="David"/>
        </w:rPr>
      </w:pPr>
    </w:p>
    <w:p w14:paraId="354A4D37" w14:textId="77777777" w:rsidR="007E13D9" w:rsidRDefault="007E13D9" w:rsidP="00082CF3">
      <w:pPr>
        <w:pStyle w:val="FootnoteText"/>
        <w:bidi w:val="0"/>
      </w:pPr>
    </w:p>
  </w:footnote>
  <w:footnote w:id="28">
    <w:p w14:paraId="202F4C22" w14:textId="77777777" w:rsidR="000973A7" w:rsidRPr="00571079" w:rsidRDefault="000973A7" w:rsidP="00082CF3">
      <w:pPr>
        <w:pStyle w:val="FootnoteText"/>
        <w:bidi w:val="0"/>
        <w:rPr>
          <w:rFonts w:ascii="Arial" w:hAnsi="Arial" w:cs="Arial"/>
        </w:rPr>
      </w:pPr>
      <w:r w:rsidRPr="00571079">
        <w:rPr>
          <w:rStyle w:val="FootnoteReference"/>
          <w:rFonts w:ascii="Arial" w:hAnsi="Arial" w:cs="Arial"/>
        </w:rPr>
        <w:footnoteRef/>
      </w:r>
      <w:r w:rsidRPr="00571079">
        <w:rPr>
          <w:rFonts w:ascii="Arial" w:hAnsi="Arial" w:cs="Arial"/>
          <w:rtl/>
        </w:rPr>
        <w:t xml:space="preserve"> </w:t>
      </w:r>
      <w:r w:rsidRPr="00571079">
        <w:rPr>
          <w:rFonts w:ascii="Arial" w:hAnsi="Arial" w:cs="Arial"/>
        </w:rPr>
        <w:t xml:space="preserve">Mishal and Sela, </w:t>
      </w:r>
      <w:r w:rsidRPr="00571079">
        <w:rPr>
          <w:rFonts w:ascii="Arial" w:hAnsi="Arial" w:cs="Arial"/>
          <w:i/>
          <w:iCs/>
        </w:rPr>
        <w:t>Time of</w:t>
      </w:r>
      <w:r w:rsidRPr="00571079">
        <w:rPr>
          <w:rFonts w:ascii="Arial" w:hAnsi="Arial" w:cs="Arial"/>
        </w:rPr>
        <w:t xml:space="preserve"> </w:t>
      </w:r>
      <w:r w:rsidRPr="00571079">
        <w:rPr>
          <w:rFonts w:ascii="Arial" w:hAnsi="Arial" w:cs="Arial"/>
          <w:i/>
          <w:iCs/>
        </w:rPr>
        <w:t>Hamas</w:t>
      </w:r>
      <w:r w:rsidRPr="00571079">
        <w:rPr>
          <w:rFonts w:ascii="Arial" w:hAnsi="Arial" w:cs="Arial"/>
        </w:rPr>
        <w:t>, p. 111.</w:t>
      </w:r>
    </w:p>
  </w:footnote>
  <w:footnote w:id="29">
    <w:p w14:paraId="77D1D953" w14:textId="77777777" w:rsidR="00CA4BAF" w:rsidRPr="008177A0" w:rsidRDefault="00CA4BAF" w:rsidP="00082CF3">
      <w:pPr>
        <w:widowControl w:val="0"/>
        <w:pBdr>
          <w:top w:val="nil"/>
          <w:left w:val="nil"/>
          <w:bottom w:val="nil"/>
          <w:right w:val="nil"/>
          <w:between w:val="nil"/>
        </w:pBdr>
        <w:spacing w:line="240" w:lineRule="auto"/>
        <w:rPr>
          <w:color w:val="000000"/>
        </w:rPr>
      </w:pPr>
      <w:r>
        <w:rPr>
          <w:rStyle w:val="FootnoteReference"/>
        </w:rPr>
        <w:footnoteRef/>
      </w:r>
      <w:r>
        <w:rPr>
          <w:rtl/>
        </w:rPr>
        <w:t xml:space="preserve"> </w:t>
      </w:r>
      <w:r w:rsidRPr="00082CF3">
        <w:rPr>
          <w:color w:val="000000"/>
          <w:sz w:val="20"/>
          <w:szCs w:val="20"/>
        </w:rPr>
        <w:t xml:space="preserve">Testimony of Major General (ret.) Amos Gilad in Shimon </w:t>
      </w:r>
      <w:proofErr w:type="spellStart"/>
      <w:r w:rsidRPr="00082CF3">
        <w:rPr>
          <w:color w:val="000000"/>
          <w:sz w:val="20"/>
          <w:szCs w:val="20"/>
        </w:rPr>
        <w:t>Sh</w:t>
      </w:r>
      <w:proofErr w:type="spellEnd"/>
      <w:r w:rsidRPr="008177A0">
        <w:rPr>
          <w:color w:val="000000"/>
          <w:sz w:val="20"/>
          <w:szCs w:val="20"/>
          <w:lang w:val="en-US"/>
        </w:rPr>
        <w:t>e</w:t>
      </w:r>
      <w:proofErr w:type="spellStart"/>
      <w:r w:rsidRPr="00082CF3">
        <w:rPr>
          <w:color w:val="000000"/>
          <w:sz w:val="20"/>
          <w:szCs w:val="20"/>
        </w:rPr>
        <w:t>ffer</w:t>
      </w:r>
      <w:proofErr w:type="spellEnd"/>
      <w:r w:rsidRPr="00082CF3">
        <w:rPr>
          <w:color w:val="000000"/>
          <w:sz w:val="20"/>
          <w:szCs w:val="20"/>
        </w:rPr>
        <w:t xml:space="preserve">, </w:t>
      </w:r>
      <w:r w:rsidRPr="00082CF3">
        <w:rPr>
          <w:i/>
          <w:iCs/>
          <w:color w:val="000000"/>
          <w:sz w:val="20"/>
          <w:szCs w:val="20"/>
        </w:rPr>
        <w:t>The Alarm: Conversations with Major General (ret.) Amos Gilad</w:t>
      </w:r>
      <w:r w:rsidRPr="00082CF3">
        <w:rPr>
          <w:color w:val="000000"/>
          <w:sz w:val="20"/>
          <w:szCs w:val="20"/>
        </w:rPr>
        <w:t xml:space="preserve"> (Tel Aviv: Yedioth Books, 2019), pp. 60, 76, 89.</w:t>
      </w:r>
      <w:r w:rsidRPr="008177A0">
        <w:rPr>
          <w:color w:val="000000"/>
        </w:rPr>
        <w:t xml:space="preserve"> </w:t>
      </w:r>
    </w:p>
    <w:p w14:paraId="20CE32F2" w14:textId="77777777" w:rsidR="00CA4BAF" w:rsidRPr="008177A0" w:rsidRDefault="00CA4BAF" w:rsidP="00082CF3">
      <w:pPr>
        <w:pStyle w:val="FootnoteText"/>
        <w:bidi w:val="0"/>
        <w:rPr>
          <w:rFonts w:ascii="Arial" w:hAnsi="Arial" w:cs="Arial"/>
        </w:rPr>
      </w:pPr>
    </w:p>
  </w:footnote>
  <w:footnote w:id="30">
    <w:p w14:paraId="7ECE15FD" w14:textId="77777777" w:rsidR="00D97F4F" w:rsidRDefault="00D97F4F" w:rsidP="00082CF3">
      <w:pPr>
        <w:pStyle w:val="FootnoteText"/>
        <w:bidi w:val="0"/>
      </w:pPr>
      <w:r w:rsidRPr="008177A0">
        <w:rPr>
          <w:rStyle w:val="FootnoteReference"/>
          <w:rFonts w:ascii="Arial" w:hAnsi="Arial" w:cs="Arial"/>
        </w:rPr>
        <w:footnoteRef/>
      </w:r>
      <w:r w:rsidRPr="008177A0">
        <w:rPr>
          <w:rFonts w:ascii="Arial" w:hAnsi="Arial" w:cs="Arial"/>
          <w:rtl/>
        </w:rPr>
        <w:t xml:space="preserve"> </w:t>
      </w:r>
      <w:r w:rsidRPr="008177A0">
        <w:rPr>
          <w:rFonts w:ascii="Arial" w:hAnsi="Arial" w:cs="Arial"/>
        </w:rPr>
        <w:t xml:space="preserve">Testimony of </w:t>
      </w:r>
      <w:proofErr w:type="spellStart"/>
      <w:r w:rsidRPr="008177A0">
        <w:rPr>
          <w:rFonts w:ascii="Arial" w:hAnsi="Arial" w:cs="Arial"/>
        </w:rPr>
        <w:t>Avi</w:t>
      </w:r>
      <w:proofErr w:type="spellEnd"/>
      <w:r w:rsidRPr="008177A0">
        <w:rPr>
          <w:rFonts w:ascii="Arial" w:hAnsi="Arial" w:cs="Arial"/>
        </w:rPr>
        <w:t xml:space="preserve"> Dichter in </w:t>
      </w:r>
      <w:proofErr w:type="spellStart"/>
      <w:r w:rsidRPr="008177A0">
        <w:rPr>
          <w:rFonts w:ascii="Arial" w:hAnsi="Arial" w:cs="Arial"/>
        </w:rPr>
        <w:t>Dror</w:t>
      </w:r>
      <w:proofErr w:type="spellEnd"/>
      <w:r w:rsidRPr="008177A0">
        <w:rPr>
          <w:rFonts w:ascii="Arial" w:hAnsi="Arial" w:cs="Arial"/>
        </w:rPr>
        <w:t xml:space="preserve"> </w:t>
      </w:r>
      <w:proofErr w:type="spellStart"/>
      <w:r w:rsidRPr="008177A0">
        <w:rPr>
          <w:rFonts w:ascii="Arial" w:hAnsi="Arial" w:cs="Arial"/>
        </w:rPr>
        <w:t>Moreh</w:t>
      </w:r>
      <w:proofErr w:type="spellEnd"/>
      <w:r w:rsidRPr="00082CF3">
        <w:rPr>
          <w:rFonts w:ascii="Arial" w:hAnsi="Arial" w:cs="Arial"/>
          <w:i/>
          <w:iCs/>
        </w:rPr>
        <w:t>, The Gatekeepers</w:t>
      </w:r>
      <w:r w:rsidRPr="008177A0">
        <w:rPr>
          <w:rFonts w:ascii="Arial" w:hAnsi="Arial" w:cs="Arial"/>
        </w:rPr>
        <w:t xml:space="preserve"> (Tel Aviv: Yedioth Books, 2014), pp. 115–116.</w:t>
      </w:r>
    </w:p>
  </w:footnote>
  <w:footnote w:id="31">
    <w:p w14:paraId="06A4C03B" w14:textId="77777777" w:rsidR="00AB41FA" w:rsidRPr="008177A0" w:rsidRDefault="00AB41FA" w:rsidP="00082CF3">
      <w:pPr>
        <w:pStyle w:val="FootnoteText"/>
        <w:bidi w:val="0"/>
        <w:rPr>
          <w:rFonts w:ascii="Arial" w:hAnsi="Arial" w:cs="Arial"/>
        </w:rPr>
      </w:pPr>
      <w:r w:rsidRPr="008177A0">
        <w:rPr>
          <w:rStyle w:val="FootnoteReference"/>
          <w:rFonts w:ascii="Arial" w:hAnsi="Arial" w:cs="Arial"/>
        </w:rPr>
        <w:footnoteRef/>
      </w:r>
      <w:r w:rsidRPr="008177A0">
        <w:rPr>
          <w:rFonts w:ascii="Arial" w:hAnsi="Arial" w:cs="Arial"/>
          <w:rtl/>
        </w:rPr>
        <w:t xml:space="preserve"> </w:t>
      </w:r>
      <w:r w:rsidRPr="008177A0">
        <w:rPr>
          <w:rFonts w:ascii="Arial" w:hAnsi="Arial" w:cs="Arial"/>
        </w:rPr>
        <w:t xml:space="preserve">Testimony of Carmi Gillon in </w:t>
      </w:r>
      <w:proofErr w:type="spellStart"/>
      <w:r w:rsidRPr="008177A0">
        <w:rPr>
          <w:rFonts w:ascii="Arial" w:hAnsi="Arial" w:cs="Arial"/>
        </w:rPr>
        <w:t>Moreh</w:t>
      </w:r>
      <w:proofErr w:type="spellEnd"/>
      <w:r w:rsidRPr="008177A0">
        <w:rPr>
          <w:rFonts w:ascii="Arial" w:hAnsi="Arial" w:cs="Arial"/>
        </w:rPr>
        <w:t>, The Gatekeepers, p. 178.</w:t>
      </w:r>
    </w:p>
  </w:footnote>
  <w:footnote w:id="32">
    <w:p w14:paraId="796F5B3E" w14:textId="77777777" w:rsidR="00AB41FA" w:rsidRPr="008177A0" w:rsidRDefault="00AB41FA" w:rsidP="00082CF3">
      <w:pPr>
        <w:pStyle w:val="FootnoteText"/>
        <w:bidi w:val="0"/>
        <w:rPr>
          <w:rFonts w:ascii="Arial" w:hAnsi="Arial" w:cs="Arial"/>
        </w:rPr>
      </w:pPr>
      <w:r w:rsidRPr="008177A0">
        <w:rPr>
          <w:rStyle w:val="FootnoteReference"/>
          <w:rFonts w:ascii="Arial" w:hAnsi="Arial" w:cs="Arial"/>
        </w:rPr>
        <w:footnoteRef/>
      </w:r>
      <w:r w:rsidRPr="008177A0">
        <w:rPr>
          <w:rFonts w:ascii="Arial" w:hAnsi="Arial" w:cs="Arial"/>
        </w:rPr>
        <w:t xml:space="preserve"> Carmi Gillon, </w:t>
      </w:r>
      <w:r w:rsidRPr="00082CF3">
        <w:rPr>
          <w:rFonts w:ascii="Arial" w:hAnsi="Arial" w:cs="Arial"/>
          <w:i/>
          <w:iCs/>
        </w:rPr>
        <w:t>Shin Bet between the Cracks</w:t>
      </w:r>
      <w:r w:rsidRPr="008177A0">
        <w:rPr>
          <w:rFonts w:ascii="Arial" w:hAnsi="Arial" w:cs="Arial"/>
        </w:rPr>
        <w:t>, (Tel Aviv, Yediot Books, 2000), p. 199.</w:t>
      </w:r>
    </w:p>
  </w:footnote>
  <w:footnote w:id="33">
    <w:p w14:paraId="466A3D90" w14:textId="77777777" w:rsidR="009A7E7F" w:rsidRPr="008177A0" w:rsidRDefault="009A7E7F" w:rsidP="00082CF3">
      <w:pPr>
        <w:pStyle w:val="FootnoteText"/>
        <w:bidi w:val="0"/>
        <w:jc w:val="both"/>
        <w:rPr>
          <w:rFonts w:ascii="Arial" w:hAnsi="Arial" w:cs="Arial"/>
        </w:rPr>
      </w:pPr>
      <w:r w:rsidRPr="008177A0">
        <w:rPr>
          <w:rStyle w:val="FootnoteReference"/>
          <w:rFonts w:ascii="Arial" w:hAnsi="Arial" w:cs="Arial"/>
        </w:rPr>
        <w:footnoteRef/>
      </w:r>
      <w:r w:rsidRPr="008177A0">
        <w:rPr>
          <w:rFonts w:ascii="Arial" w:hAnsi="Arial" w:cs="Arial"/>
          <w:rtl/>
        </w:rPr>
        <w:t xml:space="preserve"> </w:t>
      </w:r>
      <w:r w:rsidRPr="008177A0">
        <w:rPr>
          <w:rFonts w:ascii="Arial" w:hAnsi="Arial" w:cs="Arial"/>
        </w:rPr>
        <w:t>Gillon, Shin Bet, pp. 217–218.</w:t>
      </w:r>
    </w:p>
  </w:footnote>
  <w:footnote w:id="34">
    <w:p w14:paraId="769E8957" w14:textId="0B9844BE" w:rsidR="00C56A29" w:rsidRPr="004739EF" w:rsidRDefault="00C56A29" w:rsidP="00C56A29">
      <w:pPr>
        <w:widowControl w:val="0"/>
        <w:pBdr>
          <w:top w:val="nil"/>
          <w:left w:val="nil"/>
          <w:bottom w:val="nil"/>
          <w:right w:val="nil"/>
          <w:between w:val="nil"/>
        </w:pBdr>
        <w:rPr>
          <w:color w:val="000000"/>
          <w:sz w:val="20"/>
          <w:szCs w:val="20"/>
        </w:rPr>
      </w:pPr>
      <w:r w:rsidRPr="004739EF">
        <w:rPr>
          <w:rStyle w:val="FootnoteReference"/>
          <w:sz w:val="20"/>
          <w:szCs w:val="20"/>
        </w:rPr>
        <w:footnoteRef/>
      </w:r>
      <w:r w:rsidRPr="004739EF">
        <w:rPr>
          <w:sz w:val="20"/>
          <w:szCs w:val="20"/>
          <w:rtl/>
        </w:rPr>
        <w:t xml:space="preserve"> </w:t>
      </w:r>
      <w:r w:rsidRPr="004739EF">
        <w:rPr>
          <w:sz w:val="20"/>
          <w:szCs w:val="20"/>
        </w:rPr>
        <w:t xml:space="preserve">Testimonies of Ami Ayalon, </w:t>
      </w:r>
      <w:proofErr w:type="spellStart"/>
      <w:r w:rsidRPr="004739EF">
        <w:rPr>
          <w:sz w:val="20"/>
          <w:szCs w:val="20"/>
        </w:rPr>
        <w:t>Avi</w:t>
      </w:r>
      <w:proofErr w:type="spellEnd"/>
      <w:r w:rsidRPr="004739EF">
        <w:rPr>
          <w:sz w:val="20"/>
          <w:szCs w:val="20"/>
        </w:rPr>
        <w:t xml:space="preserve"> Dichter, and Yuval </w:t>
      </w:r>
      <w:proofErr w:type="spellStart"/>
      <w:r w:rsidRPr="004739EF">
        <w:rPr>
          <w:sz w:val="20"/>
          <w:szCs w:val="20"/>
        </w:rPr>
        <w:t>Kisken</w:t>
      </w:r>
      <w:proofErr w:type="spellEnd"/>
      <w:r w:rsidRPr="004739EF">
        <w:rPr>
          <w:sz w:val="20"/>
          <w:szCs w:val="20"/>
        </w:rPr>
        <w:t xml:space="preserve"> in </w:t>
      </w:r>
      <w:proofErr w:type="spellStart"/>
      <w:r w:rsidRPr="004739EF">
        <w:rPr>
          <w:sz w:val="20"/>
          <w:szCs w:val="20"/>
        </w:rPr>
        <w:t>Moreh</w:t>
      </w:r>
      <w:proofErr w:type="spellEnd"/>
      <w:r w:rsidRPr="004739EF">
        <w:rPr>
          <w:sz w:val="20"/>
          <w:szCs w:val="20"/>
        </w:rPr>
        <w:t xml:space="preserve">, </w:t>
      </w:r>
      <w:r w:rsidRPr="00082CF3">
        <w:rPr>
          <w:i/>
          <w:iCs/>
          <w:sz w:val="20"/>
          <w:szCs w:val="20"/>
        </w:rPr>
        <w:t>The Gatekeepers</w:t>
      </w:r>
      <w:r w:rsidRPr="004739EF">
        <w:rPr>
          <w:sz w:val="20"/>
          <w:szCs w:val="20"/>
        </w:rPr>
        <w:t xml:space="preserve">, pp. 210–209, 225–224. </w:t>
      </w:r>
      <w:r w:rsidRPr="004739EF">
        <w:rPr>
          <w:color w:val="000000"/>
          <w:sz w:val="20"/>
          <w:szCs w:val="20"/>
        </w:rPr>
        <w:t>It should be noted that Ayalon gives greater weight to the PLO</w:t>
      </w:r>
      <w:r w:rsidR="004A0FA5" w:rsidRPr="004739EF">
        <w:rPr>
          <w:color w:val="000000"/>
          <w:sz w:val="20"/>
          <w:szCs w:val="20"/>
          <w:lang w:val="en-US"/>
        </w:rPr>
        <w:t>’</w:t>
      </w:r>
      <w:r w:rsidRPr="004739EF">
        <w:rPr>
          <w:color w:val="000000"/>
          <w:sz w:val="20"/>
          <w:szCs w:val="20"/>
        </w:rPr>
        <w:t>s activities against Hamas at that time, but he also testifies that the motivation for this, as testified to him by the heads of the PLO's security mechanisms, was purely of Palestinian interest.</w:t>
      </w:r>
    </w:p>
    <w:p w14:paraId="3B07C152" w14:textId="77777777" w:rsidR="00C56A29" w:rsidRPr="004739EF" w:rsidRDefault="00C56A29" w:rsidP="00082CF3">
      <w:pPr>
        <w:pStyle w:val="FootnoteText"/>
        <w:bidi w:val="0"/>
        <w:jc w:val="both"/>
        <w:rPr>
          <w:lang w:val="en-IL"/>
        </w:rPr>
      </w:pPr>
    </w:p>
  </w:footnote>
  <w:footnote w:id="35">
    <w:p w14:paraId="3390443A" w14:textId="7FECA8EF" w:rsidR="00C56A29" w:rsidRPr="008177A0" w:rsidRDefault="00C56A29" w:rsidP="00082CF3">
      <w:pPr>
        <w:pStyle w:val="FootnoteText"/>
        <w:bidi w:val="0"/>
        <w:jc w:val="both"/>
        <w:rPr>
          <w:rFonts w:ascii="Arial" w:hAnsi="Arial" w:cs="Arial"/>
        </w:rPr>
      </w:pPr>
      <w:r w:rsidRPr="004739EF">
        <w:rPr>
          <w:rStyle w:val="FootnoteReference"/>
          <w:rFonts w:ascii="Arial" w:hAnsi="Arial" w:cs="Arial"/>
        </w:rPr>
        <w:footnoteRef/>
      </w:r>
      <w:r w:rsidRPr="004739EF">
        <w:rPr>
          <w:rFonts w:ascii="Arial" w:hAnsi="Arial" w:cs="Arial"/>
        </w:rPr>
        <w:t xml:space="preserve"> Testimony of Carmi Gillon in </w:t>
      </w:r>
      <w:proofErr w:type="spellStart"/>
      <w:r w:rsidRPr="004739EF">
        <w:rPr>
          <w:rFonts w:ascii="Arial" w:hAnsi="Arial" w:cs="Arial"/>
        </w:rPr>
        <w:t>Moreh</w:t>
      </w:r>
      <w:proofErr w:type="spellEnd"/>
      <w:r w:rsidRPr="004739EF">
        <w:rPr>
          <w:rFonts w:ascii="Arial" w:hAnsi="Arial" w:cs="Arial"/>
        </w:rPr>
        <w:t xml:space="preserve">, </w:t>
      </w:r>
      <w:r w:rsidRPr="00082CF3">
        <w:rPr>
          <w:rFonts w:ascii="Arial" w:hAnsi="Arial" w:cs="Arial"/>
          <w:i/>
          <w:iCs/>
        </w:rPr>
        <w:t>The Gatekeepers</w:t>
      </w:r>
      <w:r w:rsidRPr="004739EF">
        <w:rPr>
          <w:rFonts w:ascii="Arial" w:hAnsi="Arial" w:cs="Arial"/>
        </w:rPr>
        <w:t>, p. 145.</w:t>
      </w:r>
      <w:r w:rsidRPr="008177A0">
        <w:rPr>
          <w:rFonts w:ascii="Arial" w:hAnsi="Arial" w:cs="Arial"/>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4D"/>
    <w:rsid w:val="00003C60"/>
    <w:rsid w:val="000341E1"/>
    <w:rsid w:val="00074760"/>
    <w:rsid w:val="00082CF3"/>
    <w:rsid w:val="000973A7"/>
    <w:rsid w:val="000C1821"/>
    <w:rsid w:val="000E4F65"/>
    <w:rsid w:val="000F0188"/>
    <w:rsid w:val="000F6816"/>
    <w:rsid w:val="00123033"/>
    <w:rsid w:val="00131BB5"/>
    <w:rsid w:val="0018044F"/>
    <w:rsid w:val="001D3E1F"/>
    <w:rsid w:val="00260951"/>
    <w:rsid w:val="00264184"/>
    <w:rsid w:val="002C1B51"/>
    <w:rsid w:val="002F7E51"/>
    <w:rsid w:val="003023BE"/>
    <w:rsid w:val="00346765"/>
    <w:rsid w:val="00392A89"/>
    <w:rsid w:val="00392F9A"/>
    <w:rsid w:val="003A62D6"/>
    <w:rsid w:val="003C1B40"/>
    <w:rsid w:val="004238FE"/>
    <w:rsid w:val="00427538"/>
    <w:rsid w:val="004739EF"/>
    <w:rsid w:val="004A0FA5"/>
    <w:rsid w:val="005218A0"/>
    <w:rsid w:val="00555731"/>
    <w:rsid w:val="00571079"/>
    <w:rsid w:val="005C13A1"/>
    <w:rsid w:val="005C3637"/>
    <w:rsid w:val="00607D8B"/>
    <w:rsid w:val="00641E8F"/>
    <w:rsid w:val="006619F2"/>
    <w:rsid w:val="00667A43"/>
    <w:rsid w:val="00671EB5"/>
    <w:rsid w:val="00680D8E"/>
    <w:rsid w:val="00693BA0"/>
    <w:rsid w:val="006C2B18"/>
    <w:rsid w:val="007065A8"/>
    <w:rsid w:val="00745DDA"/>
    <w:rsid w:val="007735FB"/>
    <w:rsid w:val="00777AEF"/>
    <w:rsid w:val="007E13D9"/>
    <w:rsid w:val="00815B3F"/>
    <w:rsid w:val="008177A0"/>
    <w:rsid w:val="00864477"/>
    <w:rsid w:val="00895D95"/>
    <w:rsid w:val="008A25DE"/>
    <w:rsid w:val="008B47CF"/>
    <w:rsid w:val="008B533E"/>
    <w:rsid w:val="008D00D1"/>
    <w:rsid w:val="00915A49"/>
    <w:rsid w:val="009223EA"/>
    <w:rsid w:val="009364DE"/>
    <w:rsid w:val="009A7E7F"/>
    <w:rsid w:val="009C362B"/>
    <w:rsid w:val="009D039D"/>
    <w:rsid w:val="009D3D1D"/>
    <w:rsid w:val="009E108C"/>
    <w:rsid w:val="009E3073"/>
    <w:rsid w:val="009F320E"/>
    <w:rsid w:val="00A2570D"/>
    <w:rsid w:val="00AA3D24"/>
    <w:rsid w:val="00AB41FA"/>
    <w:rsid w:val="00AD5AC3"/>
    <w:rsid w:val="00AE682C"/>
    <w:rsid w:val="00B140B1"/>
    <w:rsid w:val="00B4183C"/>
    <w:rsid w:val="00B65789"/>
    <w:rsid w:val="00B95755"/>
    <w:rsid w:val="00C01749"/>
    <w:rsid w:val="00C5680B"/>
    <w:rsid w:val="00C56A29"/>
    <w:rsid w:val="00C774B7"/>
    <w:rsid w:val="00C82730"/>
    <w:rsid w:val="00C85462"/>
    <w:rsid w:val="00CA4BAF"/>
    <w:rsid w:val="00CC4E55"/>
    <w:rsid w:val="00CF32AE"/>
    <w:rsid w:val="00CF554D"/>
    <w:rsid w:val="00D30FD2"/>
    <w:rsid w:val="00D33EDA"/>
    <w:rsid w:val="00D453A6"/>
    <w:rsid w:val="00D96EFD"/>
    <w:rsid w:val="00D97F4F"/>
    <w:rsid w:val="00DB2AC5"/>
    <w:rsid w:val="00DE7219"/>
    <w:rsid w:val="00E62DED"/>
    <w:rsid w:val="00E94EBB"/>
    <w:rsid w:val="00EA3B48"/>
    <w:rsid w:val="00ED6D8F"/>
    <w:rsid w:val="00F04452"/>
    <w:rsid w:val="00F054CE"/>
    <w:rsid w:val="00F9488D"/>
    <w:rsid w:val="00F97085"/>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B45B"/>
  <w15:docId w15:val="{8F4AFFD3-33E6-41A5-82C8-7252C8CE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L"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unhideWhenUsed/>
    <w:rsid w:val="004238FE"/>
    <w:pPr>
      <w:bidi/>
      <w:spacing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4238FE"/>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rsid w:val="004238FE"/>
    <w:rPr>
      <w:vertAlign w:val="superscript"/>
    </w:rPr>
  </w:style>
  <w:style w:type="character" w:styleId="Hyperlink">
    <w:name w:val="Hyperlink"/>
    <w:basedOn w:val="DefaultParagraphFont"/>
    <w:uiPriority w:val="99"/>
    <w:unhideWhenUsed/>
    <w:rsid w:val="004238FE"/>
    <w:rPr>
      <w:color w:val="0000FF" w:themeColor="hyperlink"/>
      <w:u w:val="single"/>
    </w:rPr>
  </w:style>
  <w:style w:type="character" w:styleId="CommentReference">
    <w:name w:val="annotation reference"/>
    <w:basedOn w:val="DefaultParagraphFont"/>
    <w:uiPriority w:val="99"/>
    <w:semiHidden/>
    <w:unhideWhenUsed/>
    <w:rsid w:val="00F054CE"/>
    <w:rPr>
      <w:sz w:val="16"/>
      <w:szCs w:val="16"/>
    </w:rPr>
  </w:style>
  <w:style w:type="paragraph" w:styleId="CommentText">
    <w:name w:val="annotation text"/>
    <w:basedOn w:val="Normal"/>
    <w:link w:val="CommentTextChar"/>
    <w:uiPriority w:val="99"/>
    <w:semiHidden/>
    <w:unhideWhenUsed/>
    <w:rsid w:val="00F054CE"/>
    <w:pPr>
      <w:spacing w:line="240" w:lineRule="auto"/>
    </w:pPr>
    <w:rPr>
      <w:sz w:val="20"/>
      <w:szCs w:val="20"/>
    </w:rPr>
  </w:style>
  <w:style w:type="character" w:customStyle="1" w:styleId="CommentTextChar">
    <w:name w:val="Comment Text Char"/>
    <w:basedOn w:val="DefaultParagraphFont"/>
    <w:link w:val="CommentText"/>
    <w:uiPriority w:val="99"/>
    <w:semiHidden/>
    <w:rsid w:val="00F054CE"/>
    <w:rPr>
      <w:sz w:val="20"/>
      <w:szCs w:val="20"/>
    </w:rPr>
  </w:style>
  <w:style w:type="paragraph" w:styleId="CommentSubject">
    <w:name w:val="annotation subject"/>
    <w:basedOn w:val="CommentText"/>
    <w:next w:val="CommentText"/>
    <w:link w:val="CommentSubjectChar"/>
    <w:uiPriority w:val="99"/>
    <w:semiHidden/>
    <w:unhideWhenUsed/>
    <w:rsid w:val="00F054CE"/>
    <w:rPr>
      <w:b/>
      <w:bCs/>
    </w:rPr>
  </w:style>
  <w:style w:type="character" w:customStyle="1" w:styleId="CommentSubjectChar">
    <w:name w:val="Comment Subject Char"/>
    <w:basedOn w:val="CommentTextChar"/>
    <w:link w:val="CommentSubject"/>
    <w:uiPriority w:val="99"/>
    <w:semiHidden/>
    <w:rsid w:val="00F054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avalon.law.yale.edu/20th_century/hama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2718-841E-4CFB-8479-8E332590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3172</Words>
  <Characters>17450</Characters>
  <Application>Microsoft Office Word</Application>
  <DocSecurity>0</DocSecurity>
  <Lines>276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2023-07-27T22:11:00Z</dcterms:created>
  <dcterms:modified xsi:type="dcterms:W3CDTF">2023-07-27T22:11:00Z</dcterms:modified>
</cp:coreProperties>
</file>