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EA858" w14:textId="77777777" w:rsidR="001739A0" w:rsidRPr="000347EA" w:rsidRDefault="006D44EF" w:rsidP="00664D2E">
      <w:pPr>
        <w:ind w:left="4830" w:hangingChars="2300" w:hanging="4830"/>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Cashless payments: where is Japan now, and where does it need to go?</w:t>
      </w:r>
    </w:p>
    <w:p w14:paraId="56FD231D" w14:textId="77777777" w:rsidR="00760A2B" w:rsidRPr="000347EA" w:rsidRDefault="00760A2B" w:rsidP="00664D2E">
      <w:pPr>
        <w:ind w:left="4830" w:hangingChars="2300" w:hanging="4830"/>
        <w:rPr>
          <w:rFonts w:asciiTheme="majorHAnsi" w:hAnsiTheme="majorHAnsi" w:cstheme="majorHAnsi"/>
          <w:color w:val="222222"/>
          <w:szCs w:val="21"/>
          <w:shd w:val="clear" w:color="auto" w:fill="FFFFFF"/>
        </w:rPr>
      </w:pPr>
    </w:p>
    <w:p w14:paraId="483905FF" w14:textId="77777777" w:rsidR="00664D2E" w:rsidRPr="000347EA" w:rsidRDefault="006D44EF" w:rsidP="00760A2B">
      <w:pPr>
        <w:jc w:val="right"/>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 xml:space="preserve">　　　　　　　　　　　　　　　　　　　　　　</w:t>
      </w:r>
      <w:r w:rsidRPr="000347EA">
        <w:rPr>
          <w:rFonts w:asciiTheme="majorHAnsi" w:hAnsiTheme="majorHAnsi" w:cstheme="majorHAnsi"/>
          <w:color w:val="222222"/>
          <w:szCs w:val="21"/>
          <w:shd w:val="clear" w:color="auto" w:fill="FFFFFF"/>
        </w:rPr>
        <w:t>Yuri Okina, Chairperson of the Institute The Japan Research Institute, Limited.</w:t>
      </w:r>
    </w:p>
    <w:p w14:paraId="4EA7E825" w14:textId="77777777" w:rsidR="00760A2B" w:rsidRPr="000347EA" w:rsidRDefault="00760A2B" w:rsidP="00760A2B">
      <w:pPr>
        <w:jc w:val="right"/>
        <w:rPr>
          <w:rFonts w:asciiTheme="majorHAnsi" w:hAnsiTheme="majorHAnsi" w:cstheme="majorHAnsi"/>
          <w:color w:val="222222"/>
          <w:szCs w:val="21"/>
          <w:shd w:val="clear" w:color="auto" w:fill="FFFFFF"/>
        </w:rPr>
      </w:pPr>
    </w:p>
    <w:p w14:paraId="1A81AB7C" w14:textId="77777777" w:rsidR="00664D2E" w:rsidRPr="000347EA" w:rsidRDefault="00664D2E">
      <w:pPr>
        <w:rPr>
          <w:rFonts w:asciiTheme="majorHAnsi" w:hAnsiTheme="majorHAnsi" w:cstheme="majorHAnsi"/>
          <w:color w:val="222222"/>
          <w:szCs w:val="21"/>
          <w:shd w:val="clear" w:color="auto" w:fill="FFFFFF"/>
        </w:rPr>
      </w:pPr>
    </w:p>
    <w:p w14:paraId="7B9C77EE" w14:textId="77777777" w:rsidR="00664D2E" w:rsidRPr="000347EA" w:rsidRDefault="006D44EF">
      <w:pPr>
        <w:rPr>
          <w:rFonts w:asciiTheme="majorHAnsi" w:hAnsiTheme="majorHAnsi" w:cstheme="majorHAnsi"/>
          <w:b/>
          <w:color w:val="222222"/>
          <w:szCs w:val="21"/>
          <w:shd w:val="clear" w:color="auto" w:fill="FFFFFF"/>
        </w:rPr>
      </w:pPr>
      <w:r w:rsidRPr="000347EA">
        <w:rPr>
          <w:rFonts w:asciiTheme="majorHAnsi" w:hAnsiTheme="majorHAnsi" w:cstheme="majorHAnsi"/>
          <w:b/>
          <w:color w:val="222222"/>
          <w:szCs w:val="21"/>
          <w:shd w:val="clear" w:color="auto" w:fill="FFFFFF"/>
        </w:rPr>
        <w:t>Why is Japan encouraging cashless payments?</w:t>
      </w:r>
    </w:p>
    <w:p w14:paraId="3CB1D508" w14:textId="377E956A" w:rsidR="00EB2B10" w:rsidRPr="000347EA" w:rsidRDefault="006D44EF" w:rsidP="00AB4CE9">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The current Japanese government is promoting cashless payments as a growth strategy. There are three reasons for this. First, cashless transactions make life more convenient for consumers and stimulate consumption. Public transportation is much easier to use with prepaid transportation cards; foreign tourist</w:t>
      </w:r>
      <w:r w:rsidR="00DE5FF1">
        <w:rPr>
          <w:rFonts w:asciiTheme="majorHAnsi" w:hAnsiTheme="majorHAnsi" w:cstheme="majorHAnsi"/>
          <w:color w:val="222222"/>
          <w:szCs w:val="21"/>
          <w:shd w:val="clear" w:color="auto" w:fill="FFFFFF"/>
        </w:rPr>
        <w:t>s</w:t>
      </w:r>
      <w:r w:rsidRPr="000347EA">
        <w:rPr>
          <w:rFonts w:asciiTheme="majorHAnsi" w:hAnsiTheme="majorHAnsi" w:cstheme="majorHAnsi"/>
          <w:color w:val="222222"/>
          <w:szCs w:val="21"/>
          <w:shd w:val="clear" w:color="auto" w:fill="FFFFFF"/>
        </w:rPr>
        <w:t xml:space="preserve"> spend more when they have payment options </w:t>
      </w:r>
      <w:r w:rsidR="00DE5FF1">
        <w:rPr>
          <w:rFonts w:asciiTheme="majorHAnsi" w:hAnsiTheme="majorHAnsi" w:cstheme="majorHAnsi"/>
          <w:color w:val="222222"/>
          <w:szCs w:val="21"/>
          <w:shd w:val="clear" w:color="auto" w:fill="FFFFFF"/>
        </w:rPr>
        <w:t>other than</w:t>
      </w:r>
      <w:r w:rsidRPr="000347EA">
        <w:rPr>
          <w:rFonts w:asciiTheme="majorHAnsi" w:hAnsiTheme="majorHAnsi" w:cstheme="majorHAnsi"/>
          <w:color w:val="222222"/>
          <w:szCs w:val="21"/>
          <w:shd w:val="clear" w:color="auto" w:fill="FFFFFF"/>
        </w:rPr>
        <w:t xml:space="preserve"> cash; and so on. Second, cashless transactions lead to improved productivity in small and medium enterprises. For understaffed small and mid-sized restaurants and stores, closing the cash register is a labor- and time-intensive task. Cashless payments can ease some of that burden. Finally, cashless payments yield data about the purchase history of individuals that is increasingly leveraged by a range of promising services. Overseas e-commerce platforms like Amazon and Alibaba collect "big data" about the online purchases and behavior of individual customers. They then analyze that data and use it to provide shoppers with customized and convenient services. </w:t>
      </w:r>
    </w:p>
    <w:p w14:paraId="0D465938" w14:textId="77777777" w:rsidR="00664D2E" w:rsidRPr="000347EA" w:rsidRDefault="00664D2E" w:rsidP="000F7D17">
      <w:pPr>
        <w:rPr>
          <w:rFonts w:asciiTheme="majorHAnsi" w:hAnsiTheme="majorHAnsi" w:cstheme="majorHAnsi"/>
          <w:color w:val="222222"/>
          <w:szCs w:val="21"/>
          <w:shd w:val="clear" w:color="auto" w:fill="FFFFFF"/>
        </w:rPr>
      </w:pPr>
    </w:p>
    <w:p w14:paraId="5ED96D7E" w14:textId="77777777" w:rsidR="000F7D17" w:rsidRPr="000347EA" w:rsidRDefault="006D44EF" w:rsidP="000F7D17">
      <w:pPr>
        <w:rPr>
          <w:rFonts w:asciiTheme="majorHAnsi" w:hAnsiTheme="majorHAnsi" w:cstheme="majorHAnsi"/>
          <w:b/>
          <w:color w:val="222222"/>
          <w:szCs w:val="21"/>
          <w:shd w:val="clear" w:color="auto" w:fill="FFFFFF"/>
        </w:rPr>
      </w:pPr>
      <w:r w:rsidRPr="000347EA">
        <w:rPr>
          <w:rFonts w:asciiTheme="majorHAnsi" w:hAnsiTheme="majorHAnsi" w:cstheme="majorHAnsi"/>
          <w:b/>
          <w:color w:val="222222"/>
          <w:szCs w:val="21"/>
          <w:shd w:val="clear" w:color="auto" w:fill="FFFFFF"/>
        </w:rPr>
        <w:t>Government indicators and the current state of the cashless economy</w:t>
      </w:r>
    </w:p>
    <w:p w14:paraId="564A64CC" w14:textId="0B7AC809" w:rsidR="003F0CA1" w:rsidRPr="000347EA" w:rsidRDefault="006D44EF" w:rsidP="00AB4CE9">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 xml:space="preserve">In its </w:t>
      </w:r>
      <w:r w:rsidRPr="009221F1">
        <w:rPr>
          <w:rFonts w:asciiTheme="majorHAnsi" w:hAnsiTheme="majorHAnsi" w:cstheme="majorHAnsi"/>
          <w:i/>
          <w:color w:val="222222"/>
          <w:szCs w:val="21"/>
          <w:shd w:val="clear" w:color="auto" w:fill="FFFFFF"/>
        </w:rPr>
        <w:t>Investments for the Future Strategy</w:t>
      </w:r>
      <w:r w:rsidR="000347EA" w:rsidRPr="000347EA">
        <w:rPr>
          <w:rFonts w:asciiTheme="majorHAnsi" w:hAnsiTheme="majorHAnsi" w:cstheme="majorHAnsi"/>
          <w:color w:val="222222"/>
          <w:szCs w:val="21"/>
          <w:shd w:val="clear" w:color="auto" w:fill="FFFFFF"/>
        </w:rPr>
        <w:t xml:space="preserve"> document</w:t>
      </w:r>
      <w:r w:rsidRPr="000347EA">
        <w:rPr>
          <w:rFonts w:asciiTheme="majorHAnsi" w:hAnsiTheme="majorHAnsi" w:cstheme="majorHAnsi"/>
          <w:color w:val="222222"/>
          <w:szCs w:val="21"/>
          <w:shd w:val="clear" w:color="auto" w:fill="FFFFFF"/>
        </w:rPr>
        <w:t xml:space="preserve">, the Japanese government outlined plans to double the percentage of cashless payments from the current 20% to 40%. </w:t>
      </w:r>
      <w:r w:rsidR="009221F1">
        <w:rPr>
          <w:rFonts w:asciiTheme="majorHAnsi" w:hAnsiTheme="majorHAnsi" w:cstheme="majorHAnsi"/>
          <w:color w:val="222222"/>
          <w:szCs w:val="21"/>
          <w:shd w:val="clear" w:color="auto" w:fill="FFFFFF"/>
        </w:rPr>
        <w:t>This</w:t>
      </w:r>
      <w:r w:rsidRPr="000347EA">
        <w:rPr>
          <w:rFonts w:asciiTheme="majorHAnsi" w:hAnsiTheme="majorHAnsi" w:cstheme="majorHAnsi"/>
          <w:color w:val="222222"/>
          <w:szCs w:val="21"/>
          <w:shd w:val="clear" w:color="auto" w:fill="FFFFFF"/>
        </w:rPr>
        <w:t xml:space="preserve"> 20% includes only credit cards, debit cards, and e-money, and is calculated using total household spending as the denominator. The government prefers this calculation method because it results in a number </w:t>
      </w:r>
      <w:r w:rsidR="009221F1">
        <w:rPr>
          <w:rFonts w:asciiTheme="majorHAnsi" w:hAnsiTheme="majorHAnsi" w:cstheme="majorHAnsi"/>
          <w:color w:val="222222"/>
          <w:szCs w:val="21"/>
          <w:shd w:val="clear" w:color="auto" w:fill="FFFFFF"/>
        </w:rPr>
        <w:t>that can be used</w:t>
      </w:r>
      <w:r w:rsidRPr="000347EA">
        <w:rPr>
          <w:rFonts w:asciiTheme="majorHAnsi" w:hAnsiTheme="majorHAnsi" w:cstheme="majorHAnsi"/>
          <w:color w:val="222222"/>
          <w:szCs w:val="21"/>
          <w:shd w:val="clear" w:color="auto" w:fill="FFFFFF"/>
        </w:rPr>
        <w:t xml:space="preserve"> for international comparisons. Based on this number alone, </w:t>
      </w:r>
      <w:r w:rsidR="009221F1">
        <w:rPr>
          <w:rFonts w:asciiTheme="majorHAnsi" w:hAnsiTheme="majorHAnsi" w:cstheme="majorHAnsi"/>
          <w:color w:val="222222"/>
          <w:szCs w:val="21"/>
          <w:shd w:val="clear" w:color="auto" w:fill="FFFFFF"/>
        </w:rPr>
        <w:t xml:space="preserve">however, </w:t>
      </w:r>
      <w:r w:rsidRPr="000347EA">
        <w:rPr>
          <w:rFonts w:asciiTheme="majorHAnsi" w:hAnsiTheme="majorHAnsi" w:cstheme="majorHAnsi"/>
          <w:color w:val="222222"/>
          <w:szCs w:val="21"/>
          <w:shd w:val="clear" w:color="auto" w:fill="FFFFFF"/>
        </w:rPr>
        <w:t xml:space="preserve">Japan ranks second to last among advanced countries for use of cashless payment methods, ahead of only Germany. </w:t>
      </w:r>
      <w:r w:rsidR="009221F1">
        <w:rPr>
          <w:rFonts w:asciiTheme="majorHAnsi" w:hAnsiTheme="majorHAnsi" w:cstheme="majorHAnsi"/>
          <w:color w:val="222222"/>
          <w:szCs w:val="21"/>
          <w:shd w:val="clear" w:color="auto" w:fill="FFFFFF"/>
        </w:rPr>
        <w:t>The</w:t>
      </w:r>
      <w:r w:rsidRPr="000347EA">
        <w:rPr>
          <w:rFonts w:asciiTheme="majorHAnsi" w:hAnsiTheme="majorHAnsi" w:cstheme="majorHAnsi"/>
          <w:color w:val="222222"/>
          <w:szCs w:val="21"/>
          <w:shd w:val="clear" w:color="auto" w:fill="FFFFFF"/>
        </w:rPr>
        <w:t xml:space="preserve"> Ministry of Economy, Trade and Industry has always </w:t>
      </w:r>
      <w:r w:rsidR="009221F1">
        <w:rPr>
          <w:rFonts w:asciiTheme="majorHAnsi" w:hAnsiTheme="majorHAnsi" w:cstheme="majorHAnsi"/>
          <w:color w:val="222222"/>
          <w:szCs w:val="21"/>
          <w:shd w:val="clear" w:color="auto" w:fill="FFFFFF"/>
        </w:rPr>
        <w:t>highlighted</w:t>
      </w:r>
      <w:r w:rsidRPr="000347EA">
        <w:rPr>
          <w:rFonts w:asciiTheme="majorHAnsi" w:hAnsiTheme="majorHAnsi" w:cstheme="majorHAnsi"/>
          <w:color w:val="222222"/>
          <w:szCs w:val="21"/>
          <w:shd w:val="clear" w:color="auto" w:fill="FFFFFF"/>
        </w:rPr>
        <w:t xml:space="preserve"> four issues with the 20% figure. The first issue is that the denominator includes imputed rent of homes.</w:t>
      </w:r>
      <w:r w:rsidR="009221F1">
        <w:rPr>
          <w:rFonts w:asciiTheme="majorHAnsi" w:hAnsiTheme="majorHAnsi" w:cstheme="majorHAnsi"/>
          <w:color w:val="222222"/>
          <w:szCs w:val="21"/>
          <w:shd w:val="clear" w:color="auto" w:fill="FFFFFF"/>
        </w:rPr>
        <w:t xml:space="preserve"> </w:t>
      </w:r>
      <w:r w:rsidRPr="000347EA">
        <w:rPr>
          <w:rFonts w:asciiTheme="majorHAnsi" w:hAnsiTheme="majorHAnsi" w:cstheme="majorHAnsi"/>
          <w:color w:val="222222"/>
          <w:szCs w:val="21"/>
          <w:shd w:val="clear" w:color="auto" w:fill="FFFFFF"/>
        </w:rPr>
        <w:t>Second, the 20% figure does not include transfers of money between bank accounts. Third, it also does not include services that use smartphone apps to facilitate transactions. Fourth, the figure includes the use of corporate credit cards.</w:t>
      </w:r>
    </w:p>
    <w:p w14:paraId="7F09C0C5" w14:textId="77777777" w:rsidR="00664D2E" w:rsidRPr="000347EA" w:rsidRDefault="00664D2E" w:rsidP="00EB2B10">
      <w:pPr>
        <w:ind w:firstLineChars="100" w:firstLine="210"/>
        <w:rPr>
          <w:rFonts w:asciiTheme="majorHAnsi" w:hAnsiTheme="majorHAnsi" w:cstheme="majorHAnsi"/>
          <w:color w:val="222222"/>
          <w:szCs w:val="21"/>
          <w:shd w:val="clear" w:color="auto" w:fill="FFFFFF"/>
        </w:rPr>
      </w:pPr>
    </w:p>
    <w:p w14:paraId="34353D87" w14:textId="72B60002" w:rsidR="00664D2E" w:rsidRPr="000347EA" w:rsidRDefault="006D44EF" w:rsidP="00AB4CE9">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 xml:space="preserve">To </w:t>
      </w:r>
      <w:r w:rsidR="009221F1">
        <w:rPr>
          <w:rFonts w:asciiTheme="majorHAnsi" w:hAnsiTheme="majorHAnsi" w:cstheme="majorHAnsi"/>
          <w:color w:val="222222"/>
          <w:szCs w:val="21"/>
          <w:shd w:val="clear" w:color="auto" w:fill="FFFFFF"/>
        </w:rPr>
        <w:t>make</w:t>
      </w:r>
      <w:r w:rsidRPr="000347EA">
        <w:rPr>
          <w:rFonts w:asciiTheme="majorHAnsi" w:hAnsiTheme="majorHAnsi" w:cstheme="majorHAnsi"/>
          <w:color w:val="222222"/>
          <w:szCs w:val="21"/>
          <w:shd w:val="clear" w:color="auto" w:fill="FFFFFF"/>
        </w:rPr>
        <w:t xml:space="preserve"> a more accurate assessment of the current state of the cashless economy in Japan, </w:t>
      </w:r>
      <w:r w:rsidR="00FF64B0">
        <w:rPr>
          <w:rFonts w:asciiTheme="majorHAnsi" w:hAnsiTheme="majorHAnsi" w:cstheme="majorHAnsi"/>
          <w:color w:val="222222"/>
          <w:szCs w:val="21"/>
          <w:shd w:val="clear" w:color="auto" w:fill="FFFFFF"/>
        </w:rPr>
        <w:t>we</w:t>
      </w:r>
      <w:r w:rsidRPr="000347EA">
        <w:rPr>
          <w:rFonts w:asciiTheme="majorHAnsi" w:hAnsiTheme="majorHAnsi" w:cstheme="majorHAnsi"/>
          <w:color w:val="222222"/>
          <w:szCs w:val="21"/>
          <w:shd w:val="clear" w:color="auto" w:fill="FFFFFF"/>
        </w:rPr>
        <w:t xml:space="preserve"> conducted a questionnaire survey of 3,000 individuals in August 2018 (</w:t>
      </w:r>
      <w:r w:rsidR="00BA54C5">
        <w:rPr>
          <w:rFonts w:asciiTheme="majorHAnsi" w:hAnsiTheme="majorHAnsi" w:cstheme="majorHAnsi"/>
          <w:color w:val="222222"/>
          <w:szCs w:val="21"/>
          <w:shd w:val="clear" w:color="auto" w:fill="FFFFFF"/>
        </w:rPr>
        <w:t xml:space="preserve">contract research by the </w:t>
      </w:r>
      <w:r w:rsidRPr="000347EA">
        <w:rPr>
          <w:rFonts w:asciiTheme="majorHAnsi" w:hAnsiTheme="majorHAnsi" w:cstheme="majorHAnsi"/>
          <w:color w:val="222222"/>
          <w:szCs w:val="21"/>
          <w:shd w:val="clear" w:color="auto" w:fill="FFFFFF"/>
        </w:rPr>
        <w:t>Nippon Institute for Research Advancement (NIRA</w:t>
      </w:r>
      <w:r w:rsidR="00BA54C5">
        <w:rPr>
          <w:rFonts w:asciiTheme="majorHAnsi" w:hAnsiTheme="majorHAnsi" w:cstheme="majorHAnsi"/>
          <w:color w:val="222222"/>
          <w:szCs w:val="21"/>
          <w:shd w:val="clear" w:color="auto" w:fill="FFFFFF"/>
        </w:rPr>
        <w:t>) for</w:t>
      </w:r>
      <w:commentRangeStart w:id="0"/>
      <w:r w:rsidR="00BA54C5">
        <w:rPr>
          <w:rFonts w:asciiTheme="majorHAnsi" w:hAnsiTheme="majorHAnsi" w:cstheme="majorHAnsi"/>
          <w:color w:val="222222"/>
          <w:szCs w:val="21"/>
          <w:shd w:val="clear" w:color="auto" w:fill="FFFFFF"/>
        </w:rPr>
        <w:t xml:space="preserve"> Nikkei Research Inc</w:t>
      </w:r>
      <w:commentRangeEnd w:id="0"/>
      <w:r w:rsidR="00BA54C5">
        <w:rPr>
          <w:rStyle w:val="CommentReference"/>
        </w:rPr>
        <w:commentReference w:id="0"/>
      </w:r>
      <w:r w:rsidRPr="000347EA">
        <w:rPr>
          <w:rFonts w:asciiTheme="majorHAnsi" w:hAnsiTheme="majorHAnsi" w:cstheme="majorHAnsi"/>
          <w:color w:val="222222"/>
          <w:szCs w:val="21"/>
          <w:shd w:val="clear" w:color="auto" w:fill="FFFFFF"/>
        </w:rPr>
        <w:t xml:space="preserve">). </w:t>
      </w:r>
      <w:r w:rsidR="00FF64B0">
        <w:rPr>
          <w:rFonts w:asciiTheme="majorHAnsi" w:hAnsiTheme="majorHAnsi" w:cstheme="majorHAnsi"/>
          <w:color w:val="222222"/>
          <w:szCs w:val="21"/>
          <w:shd w:val="clear" w:color="auto" w:fill="FFFFFF"/>
        </w:rPr>
        <w:t>We</w:t>
      </w:r>
      <w:r w:rsidRPr="000347EA">
        <w:rPr>
          <w:rFonts w:asciiTheme="majorHAnsi" w:hAnsiTheme="majorHAnsi" w:cstheme="majorHAnsi"/>
          <w:color w:val="222222"/>
          <w:szCs w:val="21"/>
          <w:shd w:val="clear" w:color="auto" w:fill="FFFFFF"/>
        </w:rPr>
        <w:t xml:space="preserve"> </w:t>
      </w:r>
      <w:r w:rsidRPr="000347EA">
        <w:rPr>
          <w:rFonts w:asciiTheme="majorHAnsi" w:hAnsiTheme="majorHAnsi" w:cstheme="majorHAnsi"/>
          <w:color w:val="222222"/>
          <w:szCs w:val="21"/>
          <w:shd w:val="clear" w:color="auto" w:fill="FFFFFF"/>
        </w:rPr>
        <w:lastRenderedPageBreak/>
        <w:t xml:space="preserve">collected responses until </w:t>
      </w:r>
      <w:r w:rsidR="00FF64B0">
        <w:rPr>
          <w:rFonts w:asciiTheme="majorHAnsi" w:hAnsiTheme="majorHAnsi" w:cstheme="majorHAnsi"/>
          <w:color w:val="222222"/>
          <w:szCs w:val="21"/>
          <w:shd w:val="clear" w:color="auto" w:fill="FFFFFF"/>
        </w:rPr>
        <w:t>we</w:t>
      </w:r>
      <w:r w:rsidRPr="000347EA">
        <w:rPr>
          <w:rFonts w:asciiTheme="majorHAnsi" w:hAnsiTheme="majorHAnsi" w:cstheme="majorHAnsi"/>
          <w:color w:val="222222"/>
          <w:szCs w:val="21"/>
          <w:shd w:val="clear" w:color="auto" w:fill="FFFFFF"/>
        </w:rPr>
        <w:t xml:space="preserve"> achieved ratios of participants that matched those in the Basic Residents Register in terms of gender, age, place of residence, and </w:t>
      </w:r>
      <w:r w:rsidR="009221F1">
        <w:rPr>
          <w:rFonts w:asciiTheme="majorHAnsi" w:hAnsiTheme="majorHAnsi" w:cstheme="majorHAnsi"/>
          <w:color w:val="222222"/>
          <w:szCs w:val="21"/>
          <w:shd w:val="clear" w:color="auto" w:fill="FFFFFF"/>
        </w:rPr>
        <w:t>similar indicators</w:t>
      </w:r>
      <w:r w:rsidRPr="000347EA">
        <w:rPr>
          <w:rFonts w:asciiTheme="majorHAnsi" w:hAnsiTheme="majorHAnsi" w:cstheme="majorHAnsi"/>
          <w:color w:val="222222"/>
          <w:szCs w:val="21"/>
          <w:shd w:val="clear" w:color="auto" w:fill="FFFFFF"/>
        </w:rPr>
        <w:t xml:space="preserve">. </w:t>
      </w:r>
      <w:r w:rsidR="00FF64B0">
        <w:rPr>
          <w:rFonts w:asciiTheme="majorHAnsi" w:hAnsiTheme="majorHAnsi" w:cstheme="majorHAnsi"/>
          <w:color w:val="222222"/>
          <w:szCs w:val="21"/>
          <w:shd w:val="clear" w:color="auto" w:fill="FFFFFF"/>
        </w:rPr>
        <w:t>We</w:t>
      </w:r>
      <w:r w:rsidRPr="000347EA">
        <w:rPr>
          <w:rFonts w:asciiTheme="majorHAnsi" w:hAnsiTheme="majorHAnsi" w:cstheme="majorHAnsi"/>
          <w:color w:val="222222"/>
          <w:szCs w:val="21"/>
          <w:shd w:val="clear" w:color="auto" w:fill="FFFFFF"/>
        </w:rPr>
        <w:t xml:space="preserve"> divided the items in the National Survey of Family Income and Expenditure into 38 categories of goods and services, then asked </w:t>
      </w:r>
      <w:r w:rsidR="009221F1">
        <w:rPr>
          <w:rFonts w:asciiTheme="majorHAnsi" w:hAnsiTheme="majorHAnsi" w:cstheme="majorHAnsi"/>
          <w:color w:val="222222"/>
          <w:szCs w:val="21"/>
          <w:shd w:val="clear" w:color="auto" w:fill="FFFFFF"/>
        </w:rPr>
        <w:t xml:space="preserve">our </w:t>
      </w:r>
      <w:r w:rsidRPr="000347EA">
        <w:rPr>
          <w:rFonts w:asciiTheme="majorHAnsi" w:hAnsiTheme="majorHAnsi" w:cstheme="majorHAnsi"/>
          <w:color w:val="222222"/>
          <w:szCs w:val="21"/>
          <w:shd w:val="clear" w:color="auto" w:fill="FFFFFF"/>
        </w:rPr>
        <w:t xml:space="preserve">survey participants to report on their consumption of these goods and services and how they paid for them. Participants also reported characteristics such as employment status and household income. This survey found that about 50% of purchases made for private consumption were paid for using cashless methods (Figure 1), validating the four concerns raised above. These results cannot be compared to figures from other countries, so they do not provide definitive proof. However, in combination with the fact that Japan was a forerunner in the development of interbank remittance services for payment of tuition fees, electricity bills, and similar, our results suggest that Japan may not be lagging behind other countries for cashless payments. </w:t>
      </w:r>
    </w:p>
    <w:p w14:paraId="79863689" w14:textId="77777777" w:rsidR="008818DF" w:rsidRPr="000347EA" w:rsidRDefault="008818DF" w:rsidP="00EB2B10">
      <w:pPr>
        <w:ind w:firstLineChars="100" w:firstLine="210"/>
        <w:rPr>
          <w:rFonts w:asciiTheme="majorHAnsi" w:hAnsiTheme="majorHAnsi" w:cstheme="majorHAnsi"/>
          <w:color w:val="222222"/>
          <w:szCs w:val="21"/>
          <w:shd w:val="clear" w:color="auto" w:fill="FFFFFF"/>
        </w:rPr>
      </w:pPr>
    </w:p>
    <w:p w14:paraId="2CE72573" w14:textId="77777777" w:rsidR="008818DF" w:rsidRPr="000347EA" w:rsidRDefault="006D44EF" w:rsidP="00EB2B10">
      <w:pPr>
        <w:ind w:firstLineChars="100" w:firstLine="210"/>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(Figure 1) Percentage of cashless payments by payment method</w:t>
      </w:r>
    </w:p>
    <w:tbl>
      <w:tblPr>
        <w:tblW w:w="4920" w:type="dxa"/>
        <w:tblCellMar>
          <w:left w:w="99" w:type="dxa"/>
          <w:right w:w="99" w:type="dxa"/>
        </w:tblCellMar>
        <w:tblLook w:val="04A0" w:firstRow="1" w:lastRow="0" w:firstColumn="1" w:lastColumn="0" w:noHBand="0" w:noVBand="1"/>
      </w:tblPr>
      <w:tblGrid>
        <w:gridCol w:w="3700"/>
        <w:gridCol w:w="1220"/>
      </w:tblGrid>
      <w:tr w:rsidR="002F3836" w14:paraId="2D80500C" w14:textId="77777777" w:rsidTr="001739A0">
        <w:trPr>
          <w:trHeight w:val="360"/>
        </w:trPr>
        <w:tc>
          <w:tcPr>
            <w:tcW w:w="3700" w:type="dxa"/>
            <w:tcBorders>
              <w:top w:val="single" w:sz="4" w:space="0" w:color="auto"/>
              <w:left w:val="nil"/>
              <w:bottom w:val="single" w:sz="4" w:space="0" w:color="auto"/>
              <w:right w:val="nil"/>
            </w:tcBorders>
            <w:shd w:val="clear" w:color="000000" w:fill="FFFFFF"/>
            <w:noWrap/>
            <w:vAlign w:val="center"/>
            <w:hideMark/>
          </w:tcPr>
          <w:p w14:paraId="3A947409"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Percentage of cashless payments</w:t>
            </w:r>
          </w:p>
        </w:tc>
        <w:tc>
          <w:tcPr>
            <w:tcW w:w="1220" w:type="dxa"/>
            <w:tcBorders>
              <w:top w:val="single" w:sz="4" w:space="0" w:color="auto"/>
              <w:left w:val="nil"/>
              <w:bottom w:val="single" w:sz="4" w:space="0" w:color="auto"/>
              <w:right w:val="nil"/>
            </w:tcBorders>
            <w:shd w:val="clear" w:color="000000" w:fill="FFFFFF"/>
            <w:noWrap/>
            <w:vAlign w:val="center"/>
            <w:hideMark/>
          </w:tcPr>
          <w:p w14:paraId="6C344D24"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51.8</w:t>
            </w:r>
          </w:p>
        </w:tc>
      </w:tr>
      <w:tr w:rsidR="002F3836" w14:paraId="14523660" w14:textId="77777777" w:rsidTr="001739A0">
        <w:trPr>
          <w:trHeight w:val="360"/>
        </w:trPr>
        <w:tc>
          <w:tcPr>
            <w:tcW w:w="3700" w:type="dxa"/>
            <w:tcBorders>
              <w:top w:val="nil"/>
              <w:left w:val="nil"/>
              <w:bottom w:val="nil"/>
              <w:right w:val="nil"/>
            </w:tcBorders>
            <w:shd w:val="clear" w:color="000000" w:fill="E0DFEC"/>
            <w:noWrap/>
            <w:vAlign w:val="center"/>
            <w:hideMark/>
          </w:tcPr>
          <w:p w14:paraId="2E8B9A7A"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Credit cards</w:t>
            </w:r>
          </w:p>
        </w:tc>
        <w:tc>
          <w:tcPr>
            <w:tcW w:w="1220" w:type="dxa"/>
            <w:tcBorders>
              <w:top w:val="nil"/>
              <w:left w:val="nil"/>
              <w:bottom w:val="nil"/>
              <w:right w:val="nil"/>
            </w:tcBorders>
            <w:shd w:val="clear" w:color="000000" w:fill="E0DFEC"/>
            <w:noWrap/>
            <w:vAlign w:val="center"/>
            <w:hideMark/>
          </w:tcPr>
          <w:p w14:paraId="3CB2040D"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31.4</w:t>
            </w:r>
          </w:p>
        </w:tc>
      </w:tr>
      <w:tr w:rsidR="002F3836" w14:paraId="345E62D6" w14:textId="77777777" w:rsidTr="001739A0">
        <w:trPr>
          <w:trHeight w:val="360"/>
        </w:trPr>
        <w:tc>
          <w:tcPr>
            <w:tcW w:w="3700" w:type="dxa"/>
            <w:tcBorders>
              <w:top w:val="single" w:sz="4" w:space="0" w:color="auto"/>
              <w:left w:val="nil"/>
              <w:bottom w:val="single" w:sz="4" w:space="0" w:color="auto"/>
              <w:right w:val="nil"/>
            </w:tcBorders>
            <w:shd w:val="clear" w:color="000000" w:fill="FFFFFF"/>
            <w:noWrap/>
            <w:vAlign w:val="center"/>
            <w:hideMark/>
          </w:tcPr>
          <w:p w14:paraId="30FCB793"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Direct debit</w:t>
            </w:r>
          </w:p>
        </w:tc>
        <w:tc>
          <w:tcPr>
            <w:tcW w:w="1220" w:type="dxa"/>
            <w:tcBorders>
              <w:top w:val="single" w:sz="4" w:space="0" w:color="auto"/>
              <w:left w:val="nil"/>
              <w:bottom w:val="single" w:sz="4" w:space="0" w:color="auto"/>
              <w:right w:val="nil"/>
            </w:tcBorders>
            <w:shd w:val="clear" w:color="000000" w:fill="FFFFFF"/>
            <w:noWrap/>
            <w:vAlign w:val="center"/>
            <w:hideMark/>
          </w:tcPr>
          <w:p w14:paraId="6A1B4CCE"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10.5</w:t>
            </w:r>
          </w:p>
        </w:tc>
      </w:tr>
      <w:tr w:rsidR="002F3836" w14:paraId="641A414D" w14:textId="77777777" w:rsidTr="001739A0">
        <w:trPr>
          <w:trHeight w:val="360"/>
        </w:trPr>
        <w:tc>
          <w:tcPr>
            <w:tcW w:w="3700" w:type="dxa"/>
            <w:tcBorders>
              <w:top w:val="nil"/>
              <w:left w:val="nil"/>
              <w:bottom w:val="single" w:sz="4" w:space="0" w:color="auto"/>
              <w:right w:val="nil"/>
            </w:tcBorders>
            <w:shd w:val="clear" w:color="000000" w:fill="E0DFEC"/>
            <w:noWrap/>
            <w:vAlign w:val="center"/>
            <w:hideMark/>
          </w:tcPr>
          <w:p w14:paraId="24028A14"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Prepaid e-money</w:t>
            </w:r>
          </w:p>
        </w:tc>
        <w:tc>
          <w:tcPr>
            <w:tcW w:w="1220" w:type="dxa"/>
            <w:tcBorders>
              <w:top w:val="nil"/>
              <w:left w:val="nil"/>
              <w:bottom w:val="single" w:sz="4" w:space="0" w:color="auto"/>
              <w:right w:val="nil"/>
            </w:tcBorders>
            <w:shd w:val="clear" w:color="000000" w:fill="E0DFEC"/>
            <w:noWrap/>
            <w:vAlign w:val="center"/>
            <w:hideMark/>
          </w:tcPr>
          <w:p w14:paraId="1077EF0B"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5.0</w:t>
            </w:r>
          </w:p>
        </w:tc>
      </w:tr>
      <w:tr w:rsidR="002F3836" w14:paraId="2608BA56" w14:textId="77777777" w:rsidTr="001739A0">
        <w:trPr>
          <w:trHeight w:val="360"/>
        </w:trPr>
        <w:tc>
          <w:tcPr>
            <w:tcW w:w="3700" w:type="dxa"/>
            <w:tcBorders>
              <w:top w:val="nil"/>
              <w:left w:val="nil"/>
              <w:bottom w:val="single" w:sz="4" w:space="0" w:color="auto"/>
              <w:right w:val="nil"/>
            </w:tcBorders>
            <w:shd w:val="clear" w:color="000000" w:fill="FFFFFF"/>
            <w:noWrap/>
            <w:vAlign w:val="center"/>
            <w:hideMark/>
          </w:tcPr>
          <w:p w14:paraId="5E480BAD"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Online banking</w:t>
            </w:r>
          </w:p>
        </w:tc>
        <w:tc>
          <w:tcPr>
            <w:tcW w:w="1220" w:type="dxa"/>
            <w:tcBorders>
              <w:top w:val="nil"/>
              <w:left w:val="nil"/>
              <w:bottom w:val="single" w:sz="4" w:space="0" w:color="auto"/>
              <w:right w:val="nil"/>
            </w:tcBorders>
            <w:shd w:val="clear" w:color="000000" w:fill="FFFFFF"/>
            <w:noWrap/>
            <w:vAlign w:val="center"/>
            <w:hideMark/>
          </w:tcPr>
          <w:p w14:paraId="0CF4CA7C"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1.4</w:t>
            </w:r>
          </w:p>
        </w:tc>
      </w:tr>
      <w:tr w:rsidR="002F3836" w14:paraId="65E95B00" w14:textId="77777777" w:rsidTr="001739A0">
        <w:trPr>
          <w:trHeight w:val="360"/>
        </w:trPr>
        <w:tc>
          <w:tcPr>
            <w:tcW w:w="3700" w:type="dxa"/>
            <w:tcBorders>
              <w:top w:val="nil"/>
              <w:left w:val="nil"/>
              <w:bottom w:val="single" w:sz="4" w:space="0" w:color="auto"/>
              <w:right w:val="nil"/>
            </w:tcBorders>
            <w:shd w:val="clear" w:color="000000" w:fill="E0DFEC"/>
            <w:noWrap/>
            <w:vAlign w:val="center"/>
            <w:hideMark/>
          </w:tcPr>
          <w:p w14:paraId="37E12D11"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Cash card transfers</w:t>
            </w:r>
          </w:p>
        </w:tc>
        <w:tc>
          <w:tcPr>
            <w:tcW w:w="1220" w:type="dxa"/>
            <w:tcBorders>
              <w:top w:val="nil"/>
              <w:left w:val="nil"/>
              <w:bottom w:val="single" w:sz="4" w:space="0" w:color="auto"/>
              <w:right w:val="nil"/>
            </w:tcBorders>
            <w:shd w:val="clear" w:color="000000" w:fill="E0DFEC"/>
            <w:noWrap/>
            <w:vAlign w:val="center"/>
            <w:hideMark/>
          </w:tcPr>
          <w:p w14:paraId="548AA504"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0.9</w:t>
            </w:r>
          </w:p>
        </w:tc>
      </w:tr>
      <w:tr w:rsidR="002F3836" w14:paraId="3EF0EFEC" w14:textId="77777777" w:rsidTr="001739A0">
        <w:trPr>
          <w:trHeight w:val="360"/>
        </w:trPr>
        <w:tc>
          <w:tcPr>
            <w:tcW w:w="3700" w:type="dxa"/>
            <w:tcBorders>
              <w:top w:val="nil"/>
              <w:left w:val="nil"/>
              <w:bottom w:val="single" w:sz="4" w:space="0" w:color="auto"/>
              <w:right w:val="nil"/>
            </w:tcBorders>
            <w:shd w:val="clear" w:color="000000" w:fill="FFFFFF"/>
            <w:noWrap/>
            <w:vAlign w:val="center"/>
            <w:hideMark/>
          </w:tcPr>
          <w:p w14:paraId="4454F2F4"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Debit cards</w:t>
            </w:r>
          </w:p>
        </w:tc>
        <w:tc>
          <w:tcPr>
            <w:tcW w:w="1220" w:type="dxa"/>
            <w:tcBorders>
              <w:top w:val="nil"/>
              <w:left w:val="nil"/>
              <w:bottom w:val="single" w:sz="4" w:space="0" w:color="auto"/>
              <w:right w:val="nil"/>
            </w:tcBorders>
            <w:shd w:val="clear" w:color="000000" w:fill="FFFFFF"/>
            <w:noWrap/>
            <w:vAlign w:val="center"/>
            <w:hideMark/>
          </w:tcPr>
          <w:p w14:paraId="09F96052"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0.8</w:t>
            </w:r>
          </w:p>
        </w:tc>
      </w:tr>
      <w:tr w:rsidR="002F3836" w14:paraId="0204B06C" w14:textId="77777777" w:rsidTr="001739A0">
        <w:trPr>
          <w:trHeight w:val="360"/>
        </w:trPr>
        <w:tc>
          <w:tcPr>
            <w:tcW w:w="3700" w:type="dxa"/>
            <w:tcBorders>
              <w:top w:val="nil"/>
              <w:left w:val="nil"/>
              <w:bottom w:val="single" w:sz="4" w:space="0" w:color="auto"/>
              <w:right w:val="nil"/>
            </w:tcBorders>
            <w:shd w:val="clear" w:color="000000" w:fill="E0DFEC"/>
            <w:noWrap/>
            <w:vAlign w:val="center"/>
            <w:hideMark/>
          </w:tcPr>
          <w:p w14:paraId="3C310B2C"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　</w:t>
            </w:r>
            <w:commentRangeStart w:id="1"/>
            <w:r w:rsidRPr="000347EA">
              <w:rPr>
                <w:rFonts w:asciiTheme="majorHAnsi" w:hAnsiTheme="majorHAnsi" w:cstheme="majorHAnsi"/>
                <w:color w:val="222222"/>
                <w:szCs w:val="21"/>
              </w:rPr>
              <w:t xml:space="preserve">　</w:t>
            </w:r>
            <w:r w:rsidRPr="000347EA">
              <w:rPr>
                <w:rFonts w:asciiTheme="majorHAnsi" w:hAnsiTheme="majorHAnsi" w:cstheme="majorHAnsi"/>
                <w:color w:val="222222"/>
                <w:szCs w:val="21"/>
              </w:rPr>
              <w:t>Cryptocurrency</w:t>
            </w:r>
            <w:commentRangeEnd w:id="1"/>
            <w:r w:rsidR="00E843C4">
              <w:rPr>
                <w:rStyle w:val="CommentReference"/>
              </w:rPr>
              <w:commentReference w:id="1"/>
            </w:r>
          </w:p>
        </w:tc>
        <w:tc>
          <w:tcPr>
            <w:tcW w:w="1220" w:type="dxa"/>
            <w:tcBorders>
              <w:top w:val="nil"/>
              <w:left w:val="nil"/>
              <w:bottom w:val="single" w:sz="4" w:space="0" w:color="auto"/>
              <w:right w:val="nil"/>
            </w:tcBorders>
            <w:shd w:val="clear" w:color="000000" w:fill="E0DFEC"/>
            <w:noWrap/>
            <w:vAlign w:val="center"/>
            <w:hideMark/>
          </w:tcPr>
          <w:p w14:paraId="40867A0A"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0.7</w:t>
            </w:r>
          </w:p>
        </w:tc>
      </w:tr>
    </w:tbl>
    <w:p w14:paraId="08F0CA19" w14:textId="77777777" w:rsidR="000F7D17" w:rsidRPr="000347EA" w:rsidRDefault="006D44EF" w:rsidP="00024292">
      <w:pPr>
        <w:ind w:left="210" w:hangingChars="100" w:hanging="210"/>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rPr>
        <w:br/>
      </w:r>
    </w:p>
    <w:p w14:paraId="1885D0AB" w14:textId="1B1103E8" w:rsidR="000F7D17" w:rsidRPr="00BA54C5" w:rsidRDefault="006D44EF" w:rsidP="00E04392">
      <w:pPr>
        <w:rPr>
          <w:rFonts w:asciiTheme="majorHAnsi" w:hAnsiTheme="majorHAnsi" w:cstheme="majorHAnsi"/>
          <w:b/>
          <w:color w:val="222222"/>
          <w:szCs w:val="21"/>
          <w:shd w:val="clear" w:color="auto" w:fill="FFFFFF"/>
        </w:rPr>
      </w:pPr>
      <w:r w:rsidRPr="000347EA">
        <w:rPr>
          <w:rFonts w:asciiTheme="majorHAnsi" w:hAnsiTheme="majorHAnsi" w:cstheme="majorHAnsi"/>
          <w:color w:val="222222"/>
          <w:szCs w:val="21"/>
          <w:shd w:val="clear" w:color="auto" w:fill="FFFFFF"/>
        </w:rPr>
        <w:t xml:space="preserve">　</w:t>
      </w:r>
      <w:r w:rsidRPr="00BA54C5">
        <w:rPr>
          <w:rFonts w:asciiTheme="majorHAnsi" w:hAnsiTheme="majorHAnsi" w:cstheme="majorHAnsi"/>
          <w:b/>
          <w:color w:val="222222"/>
          <w:szCs w:val="21"/>
          <w:shd w:val="clear" w:color="auto" w:fill="FFFFFF"/>
        </w:rPr>
        <w:t xml:space="preserve">Where are cashless payments </w:t>
      </w:r>
      <w:r w:rsidR="00591806">
        <w:rPr>
          <w:rFonts w:asciiTheme="majorHAnsi" w:hAnsiTheme="majorHAnsi" w:cstheme="majorHAnsi"/>
          <w:b/>
          <w:color w:val="222222"/>
          <w:szCs w:val="21"/>
          <w:shd w:val="clear" w:color="auto" w:fill="FFFFFF"/>
        </w:rPr>
        <w:t>slow</w:t>
      </w:r>
      <w:r w:rsidRPr="00BA54C5">
        <w:rPr>
          <w:rFonts w:asciiTheme="majorHAnsi" w:hAnsiTheme="majorHAnsi" w:cstheme="majorHAnsi"/>
          <w:b/>
          <w:color w:val="222222"/>
          <w:szCs w:val="21"/>
          <w:shd w:val="clear" w:color="auto" w:fill="FFFFFF"/>
        </w:rPr>
        <w:t xml:space="preserve"> to gain traction?</w:t>
      </w:r>
    </w:p>
    <w:p w14:paraId="60A2E157" w14:textId="4D29D072" w:rsidR="008818DF" w:rsidRPr="000347EA" w:rsidRDefault="006D44EF" w:rsidP="00E04392">
      <w:pPr>
        <w:ind w:leftChars="100" w:left="210"/>
        <w:rPr>
          <w:rFonts w:asciiTheme="majorHAnsi" w:hAnsiTheme="majorHAnsi" w:cstheme="majorHAnsi"/>
          <w:color w:val="222222"/>
          <w:szCs w:val="21"/>
        </w:rPr>
      </w:pPr>
      <w:r w:rsidRPr="000347EA">
        <w:rPr>
          <w:rFonts w:asciiTheme="majorHAnsi" w:hAnsiTheme="majorHAnsi" w:cstheme="majorHAnsi"/>
          <w:color w:val="222222"/>
          <w:szCs w:val="21"/>
          <w:shd w:val="clear" w:color="auto" w:fill="FFFFFF"/>
        </w:rPr>
        <w:t>The survey revealed some other interesting trends. First, a closer look at the use of cashless payment methods by annual household income reveals that individuals with more disposable income make a higher percentage of payments using cashless methods (Figure 2). A regression analysis of the results also reveal</w:t>
      </w:r>
      <w:r w:rsidR="00591806">
        <w:rPr>
          <w:rFonts w:asciiTheme="majorHAnsi" w:hAnsiTheme="majorHAnsi" w:cstheme="majorHAnsi"/>
          <w:color w:val="222222"/>
          <w:szCs w:val="21"/>
          <w:shd w:val="clear" w:color="auto" w:fill="FFFFFF"/>
        </w:rPr>
        <w:t>s</w:t>
      </w:r>
      <w:r w:rsidRPr="000347EA">
        <w:rPr>
          <w:rFonts w:asciiTheme="majorHAnsi" w:hAnsiTheme="majorHAnsi" w:cstheme="majorHAnsi"/>
          <w:color w:val="222222"/>
          <w:szCs w:val="21"/>
          <w:shd w:val="clear" w:color="auto" w:fill="FFFFFF"/>
        </w:rPr>
        <w:t xml:space="preserve"> that individuals who are in regular employment and have a high educational background pay with credit cards more often. This suggests that the increase in cashless transactions in Japan is driven by individuals who enjoy a stable socio-economic position that allows for easy use of credit cards.</w:t>
      </w:r>
    </w:p>
    <w:p w14:paraId="63AB9E28" w14:textId="77777777" w:rsidR="008818DF" w:rsidRPr="000347EA" w:rsidRDefault="008818DF" w:rsidP="008818DF">
      <w:pPr>
        <w:ind w:left="210" w:hangingChars="100" w:hanging="210"/>
        <w:rPr>
          <w:rFonts w:asciiTheme="majorHAnsi" w:hAnsiTheme="majorHAnsi" w:cstheme="majorHAnsi"/>
          <w:color w:val="222222"/>
          <w:szCs w:val="21"/>
        </w:rPr>
      </w:pPr>
    </w:p>
    <w:p w14:paraId="49DF5B11" w14:textId="77777777" w:rsidR="008818DF" w:rsidRPr="000347EA" w:rsidRDefault="006D44EF" w:rsidP="008818DF">
      <w:pPr>
        <w:ind w:left="210" w:hangingChars="100" w:hanging="210"/>
        <w:rPr>
          <w:rFonts w:asciiTheme="majorHAnsi" w:hAnsiTheme="majorHAnsi" w:cstheme="majorHAnsi"/>
          <w:color w:val="222222"/>
          <w:szCs w:val="21"/>
        </w:rPr>
      </w:pPr>
      <w:r w:rsidRPr="000347EA">
        <w:rPr>
          <w:rFonts w:asciiTheme="majorHAnsi" w:hAnsiTheme="majorHAnsi" w:cstheme="majorHAnsi"/>
          <w:color w:val="222222"/>
          <w:szCs w:val="21"/>
        </w:rPr>
        <w:t>(Figure 2) Percentage of cashless payments by annual household income</w:t>
      </w:r>
    </w:p>
    <w:p w14:paraId="18B582A8" w14:textId="3EA4AAB6" w:rsidR="008E1489" w:rsidRPr="000347EA" w:rsidRDefault="006D44EF" w:rsidP="00E848CC">
      <w:pPr>
        <w:ind w:left="210" w:hangingChars="100" w:hanging="210"/>
        <w:rPr>
          <w:rFonts w:asciiTheme="majorHAnsi" w:hAnsiTheme="majorHAnsi" w:cstheme="majorHAnsi"/>
          <w:color w:val="222222"/>
          <w:szCs w:val="21"/>
          <w:shd w:val="clear" w:color="auto" w:fill="FFFFFF"/>
        </w:rPr>
      </w:pPr>
      <w:commentRangeStart w:id="3"/>
      <w:r w:rsidRPr="000347EA">
        <w:rPr>
          <w:rFonts w:asciiTheme="majorHAnsi" w:hAnsiTheme="majorHAnsi" w:cstheme="majorHAnsi"/>
          <w:noProof/>
          <w:color w:val="222222"/>
          <w:szCs w:val="21"/>
        </w:rPr>
        <w:lastRenderedPageBreak/>
        <w:drawing>
          <wp:inline distT="0" distB="0" distL="0" distR="0" wp14:anchorId="1182AD66" wp14:editId="5D42E3FD">
            <wp:extent cx="3589020" cy="2750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3699" name=""/>
                    <pic:cNvPicPr/>
                  </pic:nvPicPr>
                  <pic:blipFill>
                    <a:blip r:embed="rId7"/>
                    <a:stretch>
                      <a:fillRect/>
                    </a:stretch>
                  </pic:blipFill>
                  <pic:spPr>
                    <a:xfrm>
                      <a:off x="0" y="0"/>
                      <a:ext cx="3604020" cy="2762347"/>
                    </a:xfrm>
                    <a:prstGeom prst="rect">
                      <a:avLst/>
                    </a:prstGeom>
                  </pic:spPr>
                </pic:pic>
              </a:graphicData>
            </a:graphic>
          </wp:inline>
        </w:drawing>
      </w:r>
      <w:commentRangeEnd w:id="3"/>
      <w:r w:rsidR="001E25CE">
        <w:rPr>
          <w:rStyle w:val="CommentReference"/>
        </w:rPr>
        <w:commentReference w:id="3"/>
      </w:r>
      <w:r w:rsidR="00716232" w:rsidRPr="000347EA">
        <w:rPr>
          <w:rFonts w:asciiTheme="majorHAnsi" w:hAnsiTheme="majorHAnsi" w:cstheme="majorHAnsi"/>
          <w:color w:val="222222"/>
          <w:szCs w:val="21"/>
        </w:rPr>
        <w:br/>
      </w:r>
      <w:r w:rsidRPr="000347EA">
        <w:rPr>
          <w:rFonts w:asciiTheme="majorHAnsi" w:hAnsiTheme="majorHAnsi" w:cstheme="majorHAnsi"/>
          <w:color w:val="222222"/>
          <w:szCs w:val="21"/>
          <w:shd w:val="clear" w:color="auto" w:fill="FFFFFF"/>
        </w:rPr>
        <w:t>An analysis of the percentage of cashless payments by region revealed that residents of urban areas, such as the Tokyo metropolitan area, frequently pay cashless. The percentage of cashless payments is lower among residents of the Hokuriku region, the island of Shikoku, and the Kinki region (except the Osaka, Kyoto, and Kobe metropolitan area). The results do show that cashless payments have become more prevalent in the Hokuriku region over the last three years (Figure 3). This is most likely because of tourism-boosting measures such as the introduction of e-money and prepaid transportation cards. Such initiatives may close regional gaps in the use of cashless payment methods.</w:t>
      </w:r>
    </w:p>
    <w:p w14:paraId="06621497" w14:textId="77777777" w:rsidR="000347EA" w:rsidRPr="000347EA" w:rsidRDefault="000347EA" w:rsidP="00E848CC">
      <w:pPr>
        <w:ind w:left="210" w:hangingChars="100" w:hanging="210"/>
        <w:rPr>
          <w:rFonts w:asciiTheme="majorHAnsi" w:hAnsiTheme="majorHAnsi" w:cstheme="majorHAnsi"/>
          <w:color w:val="222222"/>
          <w:szCs w:val="21"/>
          <w:shd w:val="clear" w:color="auto" w:fill="FFFFFF"/>
        </w:rPr>
      </w:pPr>
    </w:p>
    <w:p w14:paraId="7BBCA91D" w14:textId="77777777" w:rsidR="008E1489" w:rsidRPr="000347EA" w:rsidRDefault="006D44EF" w:rsidP="008E1489">
      <w:pPr>
        <w:ind w:left="630" w:hangingChars="300" w:hanging="630"/>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 xml:space="preserve">(Figure 3) Percentage of cashless payments by </w:t>
      </w:r>
      <w:commentRangeStart w:id="4"/>
      <w:r w:rsidRPr="000347EA">
        <w:rPr>
          <w:rFonts w:asciiTheme="majorHAnsi" w:hAnsiTheme="majorHAnsi" w:cstheme="majorHAnsi"/>
          <w:color w:val="222222"/>
          <w:szCs w:val="21"/>
          <w:shd w:val="clear" w:color="auto" w:fill="FFFFFF"/>
        </w:rPr>
        <w:t>region</w:t>
      </w:r>
      <w:commentRangeEnd w:id="4"/>
      <w:r w:rsidR="001E25CE">
        <w:rPr>
          <w:rStyle w:val="CommentReference"/>
        </w:rPr>
        <w:commentReference w:id="4"/>
      </w:r>
    </w:p>
    <w:p w14:paraId="0FB0A996" w14:textId="77777777" w:rsidR="00021665" w:rsidRPr="000347EA" w:rsidRDefault="006D44EF" w:rsidP="00021665">
      <w:pPr>
        <w:ind w:left="630" w:hangingChars="300" w:hanging="630"/>
        <w:rPr>
          <w:rFonts w:asciiTheme="majorHAnsi" w:hAnsiTheme="majorHAnsi" w:cstheme="majorHAnsi"/>
          <w:color w:val="222222"/>
          <w:szCs w:val="21"/>
          <w:shd w:val="clear" w:color="auto" w:fill="FFFFFF"/>
        </w:rPr>
      </w:pPr>
      <w:r w:rsidRPr="000347EA">
        <w:rPr>
          <w:rFonts w:asciiTheme="majorHAnsi" w:hAnsiTheme="majorHAnsi" w:cstheme="majorHAnsi"/>
          <w:noProof/>
          <w:color w:val="222222"/>
          <w:szCs w:val="21"/>
        </w:rPr>
        <w:drawing>
          <wp:inline distT="0" distB="0" distL="0" distR="0" wp14:anchorId="6A315B1E" wp14:editId="0281718F">
            <wp:extent cx="3730812" cy="2065020"/>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92265" name=""/>
                    <pic:cNvPicPr/>
                  </pic:nvPicPr>
                  <pic:blipFill>
                    <a:blip r:embed="rId8"/>
                    <a:stretch>
                      <a:fillRect/>
                    </a:stretch>
                  </pic:blipFill>
                  <pic:spPr>
                    <a:xfrm>
                      <a:off x="0" y="0"/>
                      <a:ext cx="3734915" cy="2067291"/>
                    </a:xfrm>
                    <a:prstGeom prst="rect">
                      <a:avLst/>
                    </a:prstGeom>
                  </pic:spPr>
                </pic:pic>
              </a:graphicData>
            </a:graphic>
          </wp:inline>
        </w:drawing>
      </w:r>
    </w:p>
    <w:p w14:paraId="07669046" w14:textId="5BA7C328" w:rsidR="00021665" w:rsidRPr="000347EA" w:rsidRDefault="006D44EF" w:rsidP="00021665">
      <w:pPr>
        <w:ind w:left="630" w:hangingChars="300" w:hanging="630"/>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 xml:space="preserve">　</w:t>
      </w:r>
      <w:r w:rsidRPr="000347EA">
        <w:rPr>
          <w:rFonts w:asciiTheme="majorHAnsi" w:hAnsiTheme="majorHAnsi" w:cstheme="majorHAnsi"/>
          <w:color w:val="222222"/>
          <w:szCs w:val="21"/>
          <w:shd w:val="clear" w:color="auto" w:fill="FFFFFF"/>
        </w:rPr>
        <w:t xml:space="preserve">(Note) The </w:t>
      </w:r>
      <w:r w:rsidR="00591806">
        <w:rPr>
          <w:rFonts w:asciiTheme="majorHAnsi" w:hAnsiTheme="majorHAnsi" w:cstheme="majorHAnsi"/>
          <w:color w:val="222222"/>
          <w:szCs w:val="21"/>
          <w:shd w:val="clear" w:color="auto" w:fill="FFFFFF"/>
        </w:rPr>
        <w:t>lighter bar</w:t>
      </w:r>
      <w:r w:rsidRPr="000347EA">
        <w:rPr>
          <w:rFonts w:asciiTheme="majorHAnsi" w:hAnsiTheme="majorHAnsi" w:cstheme="majorHAnsi"/>
          <w:color w:val="222222"/>
          <w:szCs w:val="21"/>
          <w:shd w:val="clear" w:color="auto" w:fill="FFFFFF"/>
        </w:rPr>
        <w:t xml:space="preserve"> shows the percentage of cashless payments three years ago.</w:t>
      </w:r>
    </w:p>
    <w:p w14:paraId="04B98A6D" w14:textId="77777777" w:rsidR="00024292" w:rsidRPr="000347EA" w:rsidRDefault="00024292" w:rsidP="00021665">
      <w:pPr>
        <w:ind w:left="630" w:hangingChars="300" w:hanging="630"/>
        <w:rPr>
          <w:rFonts w:asciiTheme="majorHAnsi" w:hAnsiTheme="majorHAnsi" w:cstheme="majorHAnsi"/>
          <w:color w:val="222222"/>
          <w:szCs w:val="21"/>
          <w:shd w:val="clear" w:color="auto" w:fill="FFFFFF"/>
        </w:rPr>
      </w:pPr>
    </w:p>
    <w:p w14:paraId="5D002587" w14:textId="7B745903" w:rsidR="000F7D17" w:rsidRPr="000347EA" w:rsidRDefault="006D44EF" w:rsidP="00021665">
      <w:pPr>
        <w:ind w:left="632" w:hangingChars="300" w:hanging="632"/>
        <w:rPr>
          <w:rFonts w:asciiTheme="majorHAnsi" w:hAnsiTheme="majorHAnsi" w:cstheme="majorHAnsi"/>
          <w:b/>
          <w:color w:val="222222"/>
          <w:szCs w:val="21"/>
          <w:shd w:val="clear" w:color="auto" w:fill="FFFFFF"/>
        </w:rPr>
      </w:pPr>
      <w:r w:rsidRPr="000347EA">
        <w:rPr>
          <w:rFonts w:asciiTheme="majorHAnsi" w:hAnsiTheme="majorHAnsi" w:cstheme="majorHAnsi"/>
          <w:b/>
          <w:color w:val="222222"/>
          <w:szCs w:val="21"/>
          <w:shd w:val="clear" w:color="auto" w:fill="FFFFFF"/>
        </w:rPr>
        <w:t xml:space="preserve">Japan </w:t>
      </w:r>
      <w:r w:rsidR="00FF64B0">
        <w:rPr>
          <w:rFonts w:asciiTheme="majorHAnsi" w:hAnsiTheme="majorHAnsi" w:cstheme="majorHAnsi"/>
          <w:b/>
          <w:color w:val="222222"/>
          <w:szCs w:val="21"/>
          <w:shd w:val="clear" w:color="auto" w:fill="FFFFFF"/>
        </w:rPr>
        <w:t>remains</w:t>
      </w:r>
      <w:r w:rsidRPr="000347EA">
        <w:rPr>
          <w:rFonts w:asciiTheme="majorHAnsi" w:hAnsiTheme="majorHAnsi" w:cstheme="majorHAnsi"/>
          <w:b/>
          <w:color w:val="222222"/>
          <w:szCs w:val="21"/>
          <w:shd w:val="clear" w:color="auto" w:fill="FFFFFF"/>
        </w:rPr>
        <w:t xml:space="preserve"> a cash-oriented society</w:t>
      </w:r>
    </w:p>
    <w:p w14:paraId="69AC9324" w14:textId="4E6AD319" w:rsidR="008E1489" w:rsidRPr="000347EA" w:rsidRDefault="006D44EF" w:rsidP="00AB4CE9">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lastRenderedPageBreak/>
        <w:t xml:space="preserve">Figure 4 shows which goods and services are </w:t>
      </w:r>
      <w:r w:rsidR="00515636">
        <w:rPr>
          <w:rFonts w:asciiTheme="majorHAnsi" w:hAnsiTheme="majorHAnsi" w:cstheme="majorHAnsi"/>
          <w:color w:val="222222"/>
          <w:szCs w:val="21"/>
          <w:shd w:val="clear" w:color="auto" w:fill="FFFFFF"/>
        </w:rPr>
        <w:t>often</w:t>
      </w:r>
      <w:r w:rsidRPr="000347EA">
        <w:rPr>
          <w:rFonts w:asciiTheme="majorHAnsi" w:hAnsiTheme="majorHAnsi" w:cstheme="majorHAnsi"/>
          <w:color w:val="222222"/>
          <w:szCs w:val="21"/>
          <w:shd w:val="clear" w:color="auto" w:fill="FFFFFF"/>
        </w:rPr>
        <w:t xml:space="preserve"> paid for in cash in Japan. Cash is still frequently used to facilitate exchanges of money between individuals, for example, for ceremonial occasions, remittances, pocket money, and gifts to family members. Individuals also </w:t>
      </w:r>
      <w:r w:rsidR="00515636">
        <w:rPr>
          <w:rFonts w:asciiTheme="majorHAnsi" w:hAnsiTheme="majorHAnsi" w:cstheme="majorHAnsi"/>
          <w:color w:val="222222"/>
          <w:szCs w:val="21"/>
          <w:shd w:val="clear" w:color="auto" w:fill="FFFFFF"/>
        </w:rPr>
        <w:t>turn to</w:t>
      </w:r>
      <w:r w:rsidRPr="000347EA">
        <w:rPr>
          <w:rFonts w:asciiTheme="majorHAnsi" w:hAnsiTheme="majorHAnsi" w:cstheme="majorHAnsi"/>
          <w:color w:val="222222"/>
          <w:szCs w:val="21"/>
          <w:shd w:val="clear" w:color="auto" w:fill="FFFFFF"/>
        </w:rPr>
        <w:t xml:space="preserve"> cash to pay for public services, including postal services, nursing care, and medical care.</w:t>
      </w:r>
    </w:p>
    <w:p w14:paraId="1C95C9E3" w14:textId="77777777" w:rsidR="00CA0A54" w:rsidRPr="000347EA" w:rsidRDefault="00CA0A54" w:rsidP="00021665">
      <w:pPr>
        <w:ind w:firstLineChars="100" w:firstLine="210"/>
        <w:rPr>
          <w:rFonts w:asciiTheme="majorHAnsi" w:hAnsiTheme="majorHAnsi" w:cstheme="majorHAnsi"/>
          <w:color w:val="222222"/>
          <w:szCs w:val="21"/>
          <w:shd w:val="clear" w:color="auto" w:fill="FFFFFF"/>
        </w:rPr>
      </w:pPr>
    </w:p>
    <w:p w14:paraId="396EBBF8" w14:textId="77777777" w:rsidR="000868CC" w:rsidRPr="000347EA" w:rsidRDefault="006D44EF" w:rsidP="00021665">
      <w:pPr>
        <w:ind w:firstLineChars="100" w:firstLine="210"/>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(Figure 4) Consumption items frequently paid for in cash</w:t>
      </w:r>
    </w:p>
    <w:tbl>
      <w:tblPr>
        <w:tblW w:w="5200" w:type="dxa"/>
        <w:tblCellMar>
          <w:left w:w="99" w:type="dxa"/>
          <w:right w:w="99" w:type="dxa"/>
        </w:tblCellMar>
        <w:tblLook w:val="04A0" w:firstRow="1" w:lastRow="0" w:firstColumn="1" w:lastColumn="0" w:noHBand="0" w:noVBand="1"/>
      </w:tblPr>
      <w:tblGrid>
        <w:gridCol w:w="315"/>
        <w:gridCol w:w="3910"/>
        <w:gridCol w:w="1273"/>
      </w:tblGrid>
      <w:tr w:rsidR="002F3836" w14:paraId="54B621AC" w14:textId="77777777" w:rsidTr="000868CC">
        <w:trPr>
          <w:trHeight w:val="360"/>
        </w:trPr>
        <w:tc>
          <w:tcPr>
            <w:tcW w:w="4120" w:type="dxa"/>
            <w:gridSpan w:val="2"/>
            <w:tcBorders>
              <w:top w:val="single" w:sz="4" w:space="0" w:color="auto"/>
              <w:left w:val="nil"/>
              <w:bottom w:val="single" w:sz="4" w:space="0" w:color="auto"/>
              <w:right w:val="nil"/>
            </w:tcBorders>
            <w:shd w:val="clear" w:color="auto" w:fill="auto"/>
            <w:noWrap/>
            <w:vAlign w:val="center"/>
            <w:hideMark/>
          </w:tcPr>
          <w:p w14:paraId="682DDCE7"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Consumption item</w:t>
            </w:r>
          </w:p>
        </w:tc>
        <w:tc>
          <w:tcPr>
            <w:tcW w:w="1080" w:type="dxa"/>
            <w:tcBorders>
              <w:top w:val="single" w:sz="4" w:space="0" w:color="auto"/>
              <w:left w:val="nil"/>
              <w:bottom w:val="single" w:sz="4" w:space="0" w:color="auto"/>
              <w:right w:val="nil"/>
            </w:tcBorders>
            <w:shd w:val="clear" w:color="auto" w:fill="auto"/>
            <w:noWrap/>
            <w:vAlign w:val="center"/>
            <w:hideMark/>
          </w:tcPr>
          <w:p w14:paraId="42807285"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Percentage</w:t>
            </w:r>
          </w:p>
        </w:tc>
      </w:tr>
      <w:tr w:rsidR="002F3836" w14:paraId="7E08442C" w14:textId="77777777" w:rsidTr="000868CC">
        <w:trPr>
          <w:trHeight w:val="360"/>
        </w:trPr>
        <w:tc>
          <w:tcPr>
            <w:tcW w:w="210" w:type="dxa"/>
            <w:tcBorders>
              <w:top w:val="single" w:sz="4" w:space="0" w:color="auto"/>
              <w:left w:val="nil"/>
              <w:bottom w:val="single" w:sz="4" w:space="0" w:color="auto"/>
              <w:right w:val="nil"/>
            </w:tcBorders>
            <w:shd w:val="clear" w:color="000000" w:fill="E0DFEC"/>
            <w:noWrap/>
            <w:vAlign w:val="center"/>
            <w:hideMark/>
          </w:tcPr>
          <w:p w14:paraId="6A3696A7"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1</w:t>
            </w:r>
          </w:p>
        </w:tc>
        <w:tc>
          <w:tcPr>
            <w:tcW w:w="3910" w:type="dxa"/>
            <w:tcBorders>
              <w:top w:val="single" w:sz="4" w:space="0" w:color="auto"/>
              <w:left w:val="nil"/>
              <w:bottom w:val="single" w:sz="4" w:space="0" w:color="auto"/>
              <w:right w:val="nil"/>
            </w:tcBorders>
            <w:shd w:val="clear" w:color="000000" w:fill="E0DFEC"/>
            <w:noWrap/>
            <w:vAlign w:val="center"/>
            <w:hideMark/>
          </w:tcPr>
          <w:p w14:paraId="4B3E7655" w14:textId="77777777" w:rsidR="000868CC" w:rsidRPr="000347EA" w:rsidRDefault="006D44EF" w:rsidP="000347EA">
            <w:pPr>
              <w:ind w:left="630" w:hangingChars="300" w:hanging="630"/>
              <w:jc w:val="left"/>
              <w:rPr>
                <w:rFonts w:asciiTheme="majorHAnsi" w:hAnsiTheme="majorHAnsi" w:cstheme="majorHAnsi"/>
                <w:color w:val="222222"/>
                <w:szCs w:val="21"/>
              </w:rPr>
            </w:pPr>
            <w:r w:rsidRPr="000347EA">
              <w:rPr>
                <w:rFonts w:asciiTheme="majorHAnsi" w:hAnsiTheme="majorHAnsi" w:cstheme="majorHAnsi"/>
                <w:color w:val="222222"/>
                <w:szCs w:val="21"/>
              </w:rPr>
              <w:t>Alms, expenses for ceremonial occasions</w:t>
            </w:r>
          </w:p>
        </w:tc>
        <w:tc>
          <w:tcPr>
            <w:tcW w:w="1080" w:type="dxa"/>
            <w:tcBorders>
              <w:top w:val="single" w:sz="4" w:space="0" w:color="auto"/>
              <w:left w:val="nil"/>
              <w:bottom w:val="single" w:sz="4" w:space="0" w:color="auto"/>
              <w:right w:val="nil"/>
            </w:tcBorders>
            <w:shd w:val="clear" w:color="000000" w:fill="E0DFEC"/>
            <w:noWrap/>
            <w:vAlign w:val="center"/>
            <w:hideMark/>
          </w:tcPr>
          <w:p w14:paraId="364E89C6"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 xml:space="preserve">93.1 </w:t>
            </w:r>
          </w:p>
        </w:tc>
      </w:tr>
      <w:tr w:rsidR="002F3836" w14:paraId="239167D7" w14:textId="77777777" w:rsidTr="000868CC">
        <w:trPr>
          <w:trHeight w:val="360"/>
        </w:trPr>
        <w:tc>
          <w:tcPr>
            <w:tcW w:w="210" w:type="dxa"/>
            <w:tcBorders>
              <w:top w:val="nil"/>
              <w:left w:val="nil"/>
              <w:bottom w:val="single" w:sz="4" w:space="0" w:color="auto"/>
              <w:right w:val="nil"/>
            </w:tcBorders>
            <w:shd w:val="clear" w:color="000000" w:fill="FFFFFF"/>
            <w:noWrap/>
            <w:vAlign w:val="center"/>
            <w:hideMark/>
          </w:tcPr>
          <w:p w14:paraId="1E2C449F"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2</w:t>
            </w:r>
          </w:p>
        </w:tc>
        <w:tc>
          <w:tcPr>
            <w:tcW w:w="3910" w:type="dxa"/>
            <w:tcBorders>
              <w:top w:val="nil"/>
              <w:left w:val="nil"/>
              <w:bottom w:val="single" w:sz="4" w:space="0" w:color="auto"/>
              <w:right w:val="nil"/>
            </w:tcBorders>
            <w:shd w:val="clear" w:color="000000" w:fill="FFFFFF"/>
            <w:noWrap/>
            <w:vAlign w:val="center"/>
            <w:hideMark/>
          </w:tcPr>
          <w:p w14:paraId="23514C53" w14:textId="77777777" w:rsidR="000868CC" w:rsidRPr="000347EA" w:rsidRDefault="006D44EF" w:rsidP="000347EA">
            <w:pPr>
              <w:ind w:left="630" w:hangingChars="300" w:hanging="630"/>
              <w:jc w:val="left"/>
              <w:rPr>
                <w:rFonts w:asciiTheme="majorHAnsi" w:hAnsiTheme="majorHAnsi" w:cstheme="majorHAnsi"/>
                <w:color w:val="222222"/>
                <w:szCs w:val="21"/>
              </w:rPr>
            </w:pPr>
            <w:r w:rsidRPr="000347EA">
              <w:rPr>
                <w:rFonts w:asciiTheme="majorHAnsi" w:hAnsiTheme="majorHAnsi" w:cstheme="majorHAnsi"/>
                <w:color w:val="222222"/>
                <w:szCs w:val="21"/>
              </w:rPr>
              <w:t>Postal and shipping costs</w:t>
            </w:r>
          </w:p>
        </w:tc>
        <w:tc>
          <w:tcPr>
            <w:tcW w:w="1080" w:type="dxa"/>
            <w:tcBorders>
              <w:top w:val="nil"/>
              <w:left w:val="nil"/>
              <w:bottom w:val="single" w:sz="4" w:space="0" w:color="auto"/>
              <w:right w:val="nil"/>
            </w:tcBorders>
            <w:shd w:val="clear" w:color="000000" w:fill="FFFFFF"/>
            <w:noWrap/>
            <w:vAlign w:val="center"/>
            <w:hideMark/>
          </w:tcPr>
          <w:p w14:paraId="00E9C75A"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 xml:space="preserve">91.7 </w:t>
            </w:r>
          </w:p>
        </w:tc>
      </w:tr>
      <w:tr w:rsidR="002F3836" w14:paraId="3F480299" w14:textId="77777777" w:rsidTr="000868CC">
        <w:trPr>
          <w:trHeight w:val="360"/>
        </w:trPr>
        <w:tc>
          <w:tcPr>
            <w:tcW w:w="210" w:type="dxa"/>
            <w:tcBorders>
              <w:top w:val="nil"/>
              <w:left w:val="nil"/>
              <w:bottom w:val="single" w:sz="4" w:space="0" w:color="auto"/>
              <w:right w:val="nil"/>
            </w:tcBorders>
            <w:shd w:val="clear" w:color="000000" w:fill="E0DFEC"/>
            <w:noWrap/>
            <w:vAlign w:val="center"/>
            <w:hideMark/>
          </w:tcPr>
          <w:p w14:paraId="1C497A07"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3</w:t>
            </w:r>
          </w:p>
        </w:tc>
        <w:tc>
          <w:tcPr>
            <w:tcW w:w="3910" w:type="dxa"/>
            <w:tcBorders>
              <w:top w:val="nil"/>
              <w:left w:val="nil"/>
              <w:bottom w:val="single" w:sz="4" w:space="0" w:color="auto"/>
              <w:right w:val="nil"/>
            </w:tcBorders>
            <w:shd w:val="clear" w:color="000000" w:fill="E0DFEC"/>
            <w:noWrap/>
            <w:vAlign w:val="center"/>
            <w:hideMark/>
          </w:tcPr>
          <w:p w14:paraId="49DB1221" w14:textId="77777777" w:rsidR="000868CC" w:rsidRPr="000347EA" w:rsidRDefault="006D44EF" w:rsidP="000347EA">
            <w:pPr>
              <w:ind w:left="630" w:hangingChars="300" w:hanging="630"/>
              <w:jc w:val="left"/>
              <w:rPr>
                <w:rFonts w:asciiTheme="majorHAnsi" w:hAnsiTheme="majorHAnsi" w:cstheme="majorHAnsi"/>
                <w:color w:val="222222"/>
                <w:szCs w:val="21"/>
              </w:rPr>
            </w:pPr>
            <w:r w:rsidRPr="000347EA">
              <w:rPr>
                <w:rFonts w:asciiTheme="majorHAnsi" w:hAnsiTheme="majorHAnsi" w:cstheme="majorHAnsi"/>
                <w:color w:val="222222"/>
                <w:szCs w:val="21"/>
              </w:rPr>
              <w:t>Remittances, pocket money, gifts to family</w:t>
            </w:r>
          </w:p>
        </w:tc>
        <w:tc>
          <w:tcPr>
            <w:tcW w:w="1080" w:type="dxa"/>
            <w:tcBorders>
              <w:top w:val="nil"/>
              <w:left w:val="nil"/>
              <w:bottom w:val="single" w:sz="4" w:space="0" w:color="auto"/>
              <w:right w:val="nil"/>
            </w:tcBorders>
            <w:shd w:val="clear" w:color="000000" w:fill="E0DFEC"/>
            <w:noWrap/>
            <w:vAlign w:val="center"/>
            <w:hideMark/>
          </w:tcPr>
          <w:p w14:paraId="74536B4B"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 xml:space="preserve">85.9 </w:t>
            </w:r>
          </w:p>
        </w:tc>
      </w:tr>
      <w:tr w:rsidR="002F3836" w14:paraId="755C2FAF" w14:textId="77777777" w:rsidTr="000868CC">
        <w:trPr>
          <w:trHeight w:val="360"/>
        </w:trPr>
        <w:tc>
          <w:tcPr>
            <w:tcW w:w="210" w:type="dxa"/>
            <w:tcBorders>
              <w:top w:val="nil"/>
              <w:left w:val="nil"/>
              <w:bottom w:val="single" w:sz="4" w:space="0" w:color="auto"/>
              <w:right w:val="nil"/>
            </w:tcBorders>
            <w:shd w:val="clear" w:color="000000" w:fill="FFFFFF"/>
            <w:noWrap/>
            <w:vAlign w:val="center"/>
            <w:hideMark/>
          </w:tcPr>
          <w:p w14:paraId="48988637"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4</w:t>
            </w:r>
          </w:p>
        </w:tc>
        <w:tc>
          <w:tcPr>
            <w:tcW w:w="3910" w:type="dxa"/>
            <w:tcBorders>
              <w:top w:val="nil"/>
              <w:left w:val="nil"/>
              <w:bottom w:val="single" w:sz="4" w:space="0" w:color="auto"/>
              <w:right w:val="nil"/>
            </w:tcBorders>
            <w:shd w:val="clear" w:color="000000" w:fill="FFFFFF"/>
            <w:noWrap/>
            <w:vAlign w:val="center"/>
            <w:hideMark/>
          </w:tcPr>
          <w:p w14:paraId="1E61D5A2" w14:textId="77777777" w:rsidR="000868CC" w:rsidRPr="000347EA" w:rsidRDefault="006D44EF" w:rsidP="000347EA">
            <w:pPr>
              <w:ind w:left="630" w:hangingChars="300" w:hanging="630"/>
              <w:jc w:val="left"/>
              <w:rPr>
                <w:rFonts w:asciiTheme="majorHAnsi" w:hAnsiTheme="majorHAnsi" w:cstheme="majorHAnsi"/>
                <w:color w:val="222222"/>
                <w:szCs w:val="21"/>
              </w:rPr>
            </w:pPr>
            <w:r w:rsidRPr="000347EA">
              <w:rPr>
                <w:rFonts w:asciiTheme="majorHAnsi" w:hAnsiTheme="majorHAnsi" w:cstheme="majorHAnsi"/>
                <w:color w:val="222222"/>
                <w:szCs w:val="21"/>
              </w:rPr>
              <w:t>Hairdressing, perms, haircuts</w:t>
            </w:r>
          </w:p>
        </w:tc>
        <w:tc>
          <w:tcPr>
            <w:tcW w:w="1080" w:type="dxa"/>
            <w:tcBorders>
              <w:top w:val="nil"/>
              <w:left w:val="nil"/>
              <w:bottom w:val="single" w:sz="4" w:space="0" w:color="auto"/>
              <w:right w:val="nil"/>
            </w:tcBorders>
            <w:shd w:val="clear" w:color="000000" w:fill="FFFFFF"/>
            <w:noWrap/>
            <w:vAlign w:val="center"/>
            <w:hideMark/>
          </w:tcPr>
          <w:p w14:paraId="2A4D5FAD"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 xml:space="preserve">78.8 </w:t>
            </w:r>
          </w:p>
        </w:tc>
      </w:tr>
      <w:tr w:rsidR="002F3836" w14:paraId="1297A41C" w14:textId="77777777" w:rsidTr="000868CC">
        <w:trPr>
          <w:trHeight w:val="360"/>
        </w:trPr>
        <w:tc>
          <w:tcPr>
            <w:tcW w:w="210" w:type="dxa"/>
            <w:tcBorders>
              <w:top w:val="nil"/>
              <w:left w:val="nil"/>
              <w:bottom w:val="single" w:sz="4" w:space="0" w:color="auto"/>
              <w:right w:val="nil"/>
            </w:tcBorders>
            <w:shd w:val="clear" w:color="000000" w:fill="E0DFEC"/>
            <w:noWrap/>
            <w:vAlign w:val="center"/>
            <w:hideMark/>
          </w:tcPr>
          <w:p w14:paraId="6C9E437C"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5</w:t>
            </w:r>
          </w:p>
        </w:tc>
        <w:tc>
          <w:tcPr>
            <w:tcW w:w="3910" w:type="dxa"/>
            <w:tcBorders>
              <w:top w:val="nil"/>
              <w:left w:val="nil"/>
              <w:bottom w:val="single" w:sz="4" w:space="0" w:color="auto"/>
              <w:right w:val="nil"/>
            </w:tcBorders>
            <w:shd w:val="clear" w:color="000000" w:fill="E0DFEC"/>
            <w:noWrap/>
            <w:vAlign w:val="center"/>
            <w:hideMark/>
          </w:tcPr>
          <w:p w14:paraId="0E8FD014" w14:textId="77777777" w:rsidR="000868CC" w:rsidRPr="000347EA" w:rsidRDefault="006D44EF" w:rsidP="000347EA">
            <w:pPr>
              <w:ind w:left="630" w:hangingChars="300" w:hanging="630"/>
              <w:jc w:val="left"/>
              <w:rPr>
                <w:rFonts w:asciiTheme="majorHAnsi" w:hAnsiTheme="majorHAnsi" w:cstheme="majorHAnsi"/>
                <w:color w:val="222222"/>
                <w:szCs w:val="21"/>
              </w:rPr>
            </w:pPr>
            <w:r w:rsidRPr="000347EA">
              <w:rPr>
                <w:rFonts w:asciiTheme="majorHAnsi" w:hAnsiTheme="majorHAnsi" w:cstheme="majorHAnsi"/>
                <w:color w:val="222222"/>
                <w:szCs w:val="21"/>
              </w:rPr>
              <w:t>Taxi fares</w:t>
            </w:r>
          </w:p>
        </w:tc>
        <w:tc>
          <w:tcPr>
            <w:tcW w:w="1080" w:type="dxa"/>
            <w:tcBorders>
              <w:top w:val="nil"/>
              <w:left w:val="nil"/>
              <w:bottom w:val="single" w:sz="4" w:space="0" w:color="auto"/>
              <w:right w:val="nil"/>
            </w:tcBorders>
            <w:shd w:val="clear" w:color="000000" w:fill="E0DFEC"/>
            <w:noWrap/>
            <w:vAlign w:val="center"/>
            <w:hideMark/>
          </w:tcPr>
          <w:p w14:paraId="3E2E55A0"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 xml:space="preserve">73.4 </w:t>
            </w:r>
          </w:p>
        </w:tc>
      </w:tr>
      <w:tr w:rsidR="002F3836" w14:paraId="47012353" w14:textId="77777777" w:rsidTr="000868CC">
        <w:trPr>
          <w:trHeight w:val="360"/>
        </w:trPr>
        <w:tc>
          <w:tcPr>
            <w:tcW w:w="210" w:type="dxa"/>
            <w:tcBorders>
              <w:top w:val="nil"/>
              <w:left w:val="nil"/>
              <w:bottom w:val="single" w:sz="4" w:space="0" w:color="auto"/>
              <w:right w:val="nil"/>
            </w:tcBorders>
            <w:shd w:val="clear" w:color="000000" w:fill="FFFFFF"/>
            <w:noWrap/>
            <w:vAlign w:val="center"/>
            <w:hideMark/>
          </w:tcPr>
          <w:p w14:paraId="5E7F7680"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6</w:t>
            </w:r>
          </w:p>
        </w:tc>
        <w:tc>
          <w:tcPr>
            <w:tcW w:w="3910" w:type="dxa"/>
            <w:tcBorders>
              <w:top w:val="nil"/>
              <w:left w:val="nil"/>
              <w:bottom w:val="single" w:sz="4" w:space="0" w:color="auto"/>
              <w:right w:val="nil"/>
            </w:tcBorders>
            <w:shd w:val="clear" w:color="000000" w:fill="FFFFFF"/>
            <w:noWrap/>
            <w:vAlign w:val="center"/>
            <w:hideMark/>
          </w:tcPr>
          <w:p w14:paraId="5AF1EC68" w14:textId="77777777" w:rsidR="000868CC" w:rsidRPr="000347EA" w:rsidRDefault="006D44EF" w:rsidP="000347EA">
            <w:pPr>
              <w:ind w:left="630" w:hangingChars="300" w:hanging="630"/>
              <w:jc w:val="left"/>
              <w:rPr>
                <w:rFonts w:asciiTheme="majorHAnsi" w:hAnsiTheme="majorHAnsi" w:cstheme="majorHAnsi"/>
                <w:color w:val="222222"/>
                <w:szCs w:val="21"/>
              </w:rPr>
            </w:pPr>
            <w:r w:rsidRPr="000347EA">
              <w:rPr>
                <w:rFonts w:asciiTheme="majorHAnsi" w:hAnsiTheme="majorHAnsi" w:cstheme="majorHAnsi"/>
                <w:color w:val="222222"/>
                <w:szCs w:val="21"/>
              </w:rPr>
              <w:t>Medical and nursing care</w:t>
            </w:r>
          </w:p>
        </w:tc>
        <w:tc>
          <w:tcPr>
            <w:tcW w:w="1080" w:type="dxa"/>
            <w:tcBorders>
              <w:top w:val="nil"/>
              <w:left w:val="nil"/>
              <w:bottom w:val="single" w:sz="4" w:space="0" w:color="auto"/>
              <w:right w:val="nil"/>
            </w:tcBorders>
            <w:shd w:val="clear" w:color="000000" w:fill="FFFFFF"/>
            <w:noWrap/>
            <w:vAlign w:val="center"/>
            <w:hideMark/>
          </w:tcPr>
          <w:p w14:paraId="0E073ECE"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 xml:space="preserve">71.5 </w:t>
            </w:r>
          </w:p>
        </w:tc>
      </w:tr>
      <w:tr w:rsidR="002F3836" w14:paraId="095D0342" w14:textId="77777777" w:rsidTr="000868CC">
        <w:trPr>
          <w:trHeight w:val="360"/>
        </w:trPr>
        <w:tc>
          <w:tcPr>
            <w:tcW w:w="210" w:type="dxa"/>
            <w:tcBorders>
              <w:top w:val="nil"/>
              <w:left w:val="nil"/>
              <w:bottom w:val="single" w:sz="4" w:space="0" w:color="auto"/>
              <w:right w:val="nil"/>
            </w:tcBorders>
            <w:shd w:val="clear" w:color="000000" w:fill="E0DFEC"/>
            <w:noWrap/>
            <w:vAlign w:val="center"/>
            <w:hideMark/>
          </w:tcPr>
          <w:p w14:paraId="11B513BA"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7</w:t>
            </w:r>
          </w:p>
        </w:tc>
        <w:tc>
          <w:tcPr>
            <w:tcW w:w="3910" w:type="dxa"/>
            <w:tcBorders>
              <w:top w:val="nil"/>
              <w:left w:val="nil"/>
              <w:bottom w:val="single" w:sz="4" w:space="0" w:color="auto"/>
              <w:right w:val="nil"/>
            </w:tcBorders>
            <w:shd w:val="clear" w:color="000000" w:fill="E0DFEC"/>
            <w:noWrap/>
            <w:vAlign w:val="center"/>
            <w:hideMark/>
          </w:tcPr>
          <w:p w14:paraId="6AC2819D" w14:textId="77777777" w:rsidR="000868CC" w:rsidRPr="000347EA" w:rsidRDefault="006D44EF" w:rsidP="000347EA">
            <w:pPr>
              <w:ind w:left="630" w:hangingChars="300" w:hanging="630"/>
              <w:jc w:val="left"/>
              <w:rPr>
                <w:rFonts w:asciiTheme="majorHAnsi" w:hAnsiTheme="majorHAnsi" w:cstheme="majorHAnsi"/>
                <w:color w:val="222222"/>
                <w:szCs w:val="21"/>
              </w:rPr>
            </w:pPr>
            <w:r w:rsidRPr="000347EA">
              <w:rPr>
                <w:rFonts w:asciiTheme="majorHAnsi" w:hAnsiTheme="majorHAnsi" w:cstheme="majorHAnsi"/>
                <w:color w:val="222222"/>
                <w:szCs w:val="21"/>
              </w:rPr>
              <w:t>Other services (housework, etc.)</w:t>
            </w:r>
          </w:p>
        </w:tc>
        <w:tc>
          <w:tcPr>
            <w:tcW w:w="1080" w:type="dxa"/>
            <w:tcBorders>
              <w:top w:val="nil"/>
              <w:left w:val="nil"/>
              <w:bottom w:val="single" w:sz="4" w:space="0" w:color="auto"/>
              <w:right w:val="nil"/>
            </w:tcBorders>
            <w:shd w:val="clear" w:color="000000" w:fill="E0DFEC"/>
            <w:noWrap/>
            <w:vAlign w:val="center"/>
            <w:hideMark/>
          </w:tcPr>
          <w:p w14:paraId="42F342F8" w14:textId="77777777" w:rsidR="000868CC" w:rsidRPr="000347EA" w:rsidRDefault="006D44EF" w:rsidP="000868CC">
            <w:pPr>
              <w:ind w:left="630" w:hangingChars="300" w:hanging="630"/>
              <w:rPr>
                <w:rFonts w:asciiTheme="majorHAnsi" w:hAnsiTheme="majorHAnsi" w:cstheme="majorHAnsi"/>
                <w:color w:val="222222"/>
                <w:szCs w:val="21"/>
              </w:rPr>
            </w:pPr>
            <w:r w:rsidRPr="000347EA">
              <w:rPr>
                <w:rFonts w:asciiTheme="majorHAnsi" w:hAnsiTheme="majorHAnsi" w:cstheme="majorHAnsi"/>
                <w:color w:val="222222"/>
                <w:szCs w:val="21"/>
              </w:rPr>
              <w:t xml:space="preserve">66.1 </w:t>
            </w:r>
          </w:p>
        </w:tc>
      </w:tr>
    </w:tbl>
    <w:p w14:paraId="5052A250" w14:textId="77777777" w:rsidR="00E848CC" w:rsidRPr="000347EA" w:rsidRDefault="00E848CC" w:rsidP="00E848CC">
      <w:pPr>
        <w:ind w:left="630" w:hangingChars="300" w:hanging="630"/>
        <w:rPr>
          <w:rFonts w:asciiTheme="majorHAnsi" w:hAnsiTheme="majorHAnsi" w:cstheme="majorHAnsi"/>
          <w:color w:val="222222"/>
          <w:szCs w:val="21"/>
        </w:rPr>
      </w:pPr>
    </w:p>
    <w:p w14:paraId="0D29BEC4" w14:textId="7FB42212" w:rsidR="001739A0" w:rsidRPr="000347EA" w:rsidRDefault="006D44EF" w:rsidP="00AB4CE9">
      <w:pPr>
        <w:rPr>
          <w:rFonts w:asciiTheme="majorHAnsi" w:hAnsiTheme="majorHAnsi" w:cstheme="majorHAnsi"/>
          <w:color w:val="222222"/>
          <w:szCs w:val="21"/>
        </w:rPr>
      </w:pPr>
      <w:r w:rsidRPr="000347EA">
        <w:rPr>
          <w:rFonts w:asciiTheme="majorHAnsi" w:hAnsiTheme="majorHAnsi" w:cstheme="majorHAnsi"/>
          <w:color w:val="222222"/>
          <w:szCs w:val="21"/>
          <w:shd w:val="clear" w:color="auto" w:fill="FFFFFF"/>
        </w:rPr>
        <w:t xml:space="preserve">Another notable result is that approximately 36% of individuals </w:t>
      </w:r>
      <w:r w:rsidR="00515636">
        <w:rPr>
          <w:rFonts w:asciiTheme="majorHAnsi" w:hAnsiTheme="majorHAnsi" w:cstheme="majorHAnsi"/>
          <w:color w:val="222222"/>
          <w:szCs w:val="21"/>
          <w:shd w:val="clear" w:color="auto" w:fill="FFFFFF"/>
        </w:rPr>
        <w:t xml:space="preserve">actively </w:t>
      </w:r>
      <w:r w:rsidRPr="000347EA">
        <w:rPr>
          <w:rFonts w:asciiTheme="majorHAnsi" w:hAnsiTheme="majorHAnsi" w:cstheme="majorHAnsi"/>
          <w:color w:val="222222"/>
          <w:szCs w:val="21"/>
          <w:shd w:val="clear" w:color="auto" w:fill="FFFFFF"/>
        </w:rPr>
        <w:t xml:space="preserve">prefer to pay for daily goods and services in cash. This indicates that consumers </w:t>
      </w:r>
      <w:r w:rsidR="00515636">
        <w:rPr>
          <w:rFonts w:asciiTheme="majorHAnsi" w:hAnsiTheme="majorHAnsi" w:cstheme="majorHAnsi"/>
          <w:color w:val="222222"/>
          <w:szCs w:val="21"/>
          <w:shd w:val="clear" w:color="auto" w:fill="FFFFFF"/>
        </w:rPr>
        <w:t xml:space="preserve">still </w:t>
      </w:r>
      <w:r w:rsidRPr="000347EA">
        <w:rPr>
          <w:rFonts w:asciiTheme="majorHAnsi" w:hAnsiTheme="majorHAnsi" w:cstheme="majorHAnsi"/>
          <w:color w:val="222222"/>
          <w:szCs w:val="21"/>
          <w:shd w:val="clear" w:color="auto" w:fill="FFFFFF"/>
        </w:rPr>
        <w:t>have a strong preference for cash, particularly those in lower income segments. When asked why they favor cash, many consumers reported security concerns related to credit cards. Many also voiced fears that credit cards would lead them to spend more than their income allows (Figure 5). Resolving these concerns may increase the number of consumers comfortable with cashless payments.</w:t>
      </w:r>
      <w:r w:rsidR="00716232" w:rsidRPr="000347EA">
        <w:rPr>
          <w:rFonts w:asciiTheme="majorHAnsi" w:hAnsiTheme="majorHAnsi" w:cstheme="majorHAnsi"/>
          <w:color w:val="222222"/>
          <w:szCs w:val="21"/>
        </w:rPr>
        <w:br/>
      </w:r>
    </w:p>
    <w:p w14:paraId="158827AB" w14:textId="77777777" w:rsidR="00894261" w:rsidRPr="000347EA" w:rsidRDefault="00894261" w:rsidP="00E848CC">
      <w:pPr>
        <w:ind w:firstLineChars="100" w:firstLine="210"/>
        <w:rPr>
          <w:rFonts w:asciiTheme="majorHAnsi" w:hAnsiTheme="majorHAnsi" w:cstheme="majorHAnsi"/>
          <w:color w:val="222222"/>
          <w:szCs w:val="21"/>
        </w:rPr>
      </w:pPr>
    </w:p>
    <w:p w14:paraId="23668305" w14:textId="660BA70B" w:rsidR="00894261" w:rsidRPr="000347EA" w:rsidRDefault="006D44EF" w:rsidP="00E848CC">
      <w:pPr>
        <w:ind w:firstLineChars="100" w:firstLine="210"/>
        <w:rPr>
          <w:rFonts w:asciiTheme="majorHAnsi" w:hAnsiTheme="majorHAnsi" w:cstheme="majorHAnsi"/>
          <w:color w:val="222222"/>
          <w:szCs w:val="21"/>
        </w:rPr>
      </w:pPr>
      <w:r w:rsidRPr="000347EA">
        <w:rPr>
          <w:rFonts w:asciiTheme="majorHAnsi" w:hAnsiTheme="majorHAnsi" w:cstheme="majorHAnsi"/>
          <w:color w:val="222222"/>
          <w:szCs w:val="21"/>
        </w:rPr>
        <w:t>(Figure 5) Reasons for preferring cash</w:t>
      </w:r>
      <w:r w:rsidR="00515636">
        <w:rPr>
          <w:rFonts w:asciiTheme="majorHAnsi" w:hAnsiTheme="majorHAnsi" w:cstheme="majorHAnsi"/>
          <w:color w:val="222222"/>
          <w:szCs w:val="21"/>
        </w:rPr>
        <w:t xml:space="preserve"> to make</w:t>
      </w:r>
      <w:r w:rsidRPr="000347EA">
        <w:rPr>
          <w:rFonts w:asciiTheme="majorHAnsi" w:hAnsiTheme="majorHAnsi" w:cstheme="majorHAnsi"/>
          <w:color w:val="222222"/>
          <w:szCs w:val="21"/>
        </w:rPr>
        <w:t xml:space="preserve"> payments (%)</w:t>
      </w:r>
    </w:p>
    <w:tbl>
      <w:tblPr>
        <w:tblW w:w="7171" w:type="dxa"/>
        <w:tblCellMar>
          <w:left w:w="99" w:type="dxa"/>
          <w:right w:w="99" w:type="dxa"/>
        </w:tblCellMar>
        <w:tblLook w:val="04A0" w:firstRow="1" w:lastRow="0" w:firstColumn="1" w:lastColumn="0" w:noHBand="0" w:noVBand="1"/>
      </w:tblPr>
      <w:tblGrid>
        <w:gridCol w:w="5690"/>
        <w:gridCol w:w="1481"/>
      </w:tblGrid>
      <w:tr w:rsidR="002F3836" w14:paraId="60C6B88D" w14:textId="77777777" w:rsidTr="00017E06">
        <w:trPr>
          <w:trHeight w:val="293"/>
        </w:trPr>
        <w:tc>
          <w:tcPr>
            <w:tcW w:w="5690" w:type="dxa"/>
            <w:tcBorders>
              <w:top w:val="single" w:sz="4" w:space="0" w:color="auto"/>
              <w:left w:val="nil"/>
              <w:bottom w:val="single" w:sz="4" w:space="0" w:color="auto"/>
              <w:right w:val="nil"/>
            </w:tcBorders>
            <w:shd w:val="clear" w:color="000000" w:fill="FFFFFF"/>
            <w:vAlign w:val="center"/>
            <w:hideMark/>
          </w:tcPr>
          <w:p w14:paraId="2EBD1DA0"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Reason</w:t>
            </w:r>
          </w:p>
        </w:tc>
        <w:tc>
          <w:tcPr>
            <w:tcW w:w="1481" w:type="dxa"/>
            <w:tcBorders>
              <w:top w:val="single" w:sz="4" w:space="0" w:color="auto"/>
              <w:left w:val="nil"/>
              <w:bottom w:val="single" w:sz="4" w:space="0" w:color="auto"/>
              <w:right w:val="nil"/>
            </w:tcBorders>
            <w:shd w:val="clear" w:color="000000" w:fill="FFFFFF"/>
            <w:vAlign w:val="center"/>
            <w:hideMark/>
          </w:tcPr>
          <w:p w14:paraId="28264F8E"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w:t>
            </w:r>
          </w:p>
        </w:tc>
      </w:tr>
      <w:tr w:rsidR="002F3836" w14:paraId="76F6FE4C" w14:textId="77777777" w:rsidTr="00017E06">
        <w:trPr>
          <w:trHeight w:val="545"/>
        </w:trPr>
        <w:tc>
          <w:tcPr>
            <w:tcW w:w="5690" w:type="dxa"/>
            <w:tcBorders>
              <w:top w:val="nil"/>
              <w:left w:val="nil"/>
              <w:bottom w:val="single" w:sz="4" w:space="0" w:color="auto"/>
              <w:right w:val="nil"/>
            </w:tcBorders>
            <w:shd w:val="clear" w:color="000000" w:fill="E0DFEC"/>
            <w:vAlign w:val="center"/>
            <w:hideMark/>
          </w:tcPr>
          <w:p w14:paraId="42A2DB61" w14:textId="0CEF665A"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I don't feel like I'm spending anything if I can't touch the money, so</w:t>
            </w:r>
            <w:r w:rsidR="00515636">
              <w:rPr>
                <w:rFonts w:asciiTheme="majorHAnsi" w:hAnsiTheme="majorHAnsi" w:cstheme="majorHAnsi"/>
                <w:color w:val="222222"/>
                <w:szCs w:val="21"/>
              </w:rPr>
              <w:t xml:space="preserve"> cashless payment methods make me</w:t>
            </w:r>
            <w:r w:rsidRPr="000347EA">
              <w:rPr>
                <w:rFonts w:asciiTheme="majorHAnsi" w:hAnsiTheme="majorHAnsi" w:cstheme="majorHAnsi"/>
                <w:color w:val="222222"/>
                <w:szCs w:val="21"/>
              </w:rPr>
              <w:t xml:space="preserve"> overspend</w:t>
            </w:r>
            <w:r w:rsidRPr="000347EA">
              <w:rPr>
                <w:rFonts w:asciiTheme="majorHAnsi" w:hAnsiTheme="majorHAnsi" w:cstheme="majorHAnsi"/>
                <w:color w:val="222222"/>
                <w:szCs w:val="21"/>
              </w:rPr>
              <w:br/>
              <w:t xml:space="preserve"> </w:t>
            </w:r>
          </w:p>
        </w:tc>
        <w:tc>
          <w:tcPr>
            <w:tcW w:w="1481" w:type="dxa"/>
            <w:tcBorders>
              <w:top w:val="nil"/>
              <w:left w:val="nil"/>
              <w:bottom w:val="single" w:sz="4" w:space="0" w:color="auto"/>
              <w:right w:val="nil"/>
            </w:tcBorders>
            <w:shd w:val="clear" w:color="000000" w:fill="E0DFEC"/>
            <w:noWrap/>
            <w:vAlign w:val="center"/>
            <w:hideMark/>
          </w:tcPr>
          <w:p w14:paraId="7CC6F020"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57.2 </w:t>
            </w:r>
          </w:p>
        </w:tc>
      </w:tr>
      <w:tr w:rsidR="002F3836" w14:paraId="0A52FD62" w14:textId="77777777" w:rsidTr="00017E06">
        <w:trPr>
          <w:trHeight w:val="293"/>
        </w:trPr>
        <w:tc>
          <w:tcPr>
            <w:tcW w:w="5690" w:type="dxa"/>
            <w:tcBorders>
              <w:top w:val="nil"/>
              <w:left w:val="nil"/>
              <w:bottom w:val="single" w:sz="4" w:space="0" w:color="auto"/>
              <w:right w:val="nil"/>
            </w:tcBorders>
            <w:shd w:val="clear" w:color="000000" w:fill="FFFFFF"/>
            <w:noWrap/>
            <w:vAlign w:val="center"/>
            <w:hideMark/>
          </w:tcPr>
          <w:p w14:paraId="7C86A16B"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I worry how secure cashless payments are</w:t>
            </w:r>
          </w:p>
        </w:tc>
        <w:tc>
          <w:tcPr>
            <w:tcW w:w="1481" w:type="dxa"/>
            <w:tcBorders>
              <w:top w:val="nil"/>
              <w:left w:val="nil"/>
              <w:bottom w:val="single" w:sz="4" w:space="0" w:color="auto"/>
              <w:right w:val="nil"/>
            </w:tcBorders>
            <w:shd w:val="clear" w:color="000000" w:fill="FFFFFF"/>
            <w:noWrap/>
            <w:vAlign w:val="center"/>
            <w:hideMark/>
          </w:tcPr>
          <w:p w14:paraId="53EB70CB"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34.7 </w:t>
            </w:r>
          </w:p>
        </w:tc>
      </w:tr>
      <w:tr w:rsidR="002F3836" w14:paraId="234BCC9F" w14:textId="77777777" w:rsidTr="00017E06">
        <w:trPr>
          <w:trHeight w:val="281"/>
        </w:trPr>
        <w:tc>
          <w:tcPr>
            <w:tcW w:w="5690" w:type="dxa"/>
            <w:tcBorders>
              <w:top w:val="nil"/>
              <w:left w:val="nil"/>
              <w:bottom w:val="single" w:sz="4" w:space="0" w:color="auto"/>
              <w:right w:val="nil"/>
            </w:tcBorders>
            <w:shd w:val="clear" w:color="000000" w:fill="E0DFEC"/>
            <w:vAlign w:val="center"/>
            <w:hideMark/>
          </w:tcPr>
          <w:p w14:paraId="2CCF3FB7"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I don't need to make any cashless payments</w:t>
            </w:r>
          </w:p>
        </w:tc>
        <w:tc>
          <w:tcPr>
            <w:tcW w:w="1481" w:type="dxa"/>
            <w:tcBorders>
              <w:top w:val="nil"/>
              <w:left w:val="nil"/>
              <w:bottom w:val="single" w:sz="4" w:space="0" w:color="auto"/>
              <w:right w:val="nil"/>
            </w:tcBorders>
            <w:shd w:val="clear" w:color="000000" w:fill="E0DFEC"/>
            <w:noWrap/>
            <w:vAlign w:val="center"/>
            <w:hideMark/>
          </w:tcPr>
          <w:p w14:paraId="25CC2247"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27.8 </w:t>
            </w:r>
          </w:p>
        </w:tc>
      </w:tr>
      <w:tr w:rsidR="002F3836" w14:paraId="34D2F3F5" w14:textId="77777777" w:rsidTr="00017E06">
        <w:trPr>
          <w:trHeight w:val="281"/>
        </w:trPr>
        <w:tc>
          <w:tcPr>
            <w:tcW w:w="5690" w:type="dxa"/>
            <w:tcBorders>
              <w:top w:val="nil"/>
              <w:left w:val="nil"/>
              <w:bottom w:val="single" w:sz="4" w:space="0" w:color="auto"/>
              <w:right w:val="nil"/>
            </w:tcBorders>
            <w:shd w:val="clear" w:color="auto" w:fill="auto"/>
            <w:vAlign w:val="center"/>
            <w:hideMark/>
          </w:tcPr>
          <w:p w14:paraId="2DF5A689"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I worry about loss or theft when the money is not in cash</w:t>
            </w:r>
          </w:p>
        </w:tc>
        <w:tc>
          <w:tcPr>
            <w:tcW w:w="1481" w:type="dxa"/>
            <w:tcBorders>
              <w:top w:val="nil"/>
              <w:left w:val="nil"/>
              <w:bottom w:val="single" w:sz="4" w:space="0" w:color="auto"/>
              <w:right w:val="nil"/>
            </w:tcBorders>
            <w:shd w:val="clear" w:color="auto" w:fill="auto"/>
            <w:noWrap/>
            <w:vAlign w:val="center"/>
            <w:hideMark/>
          </w:tcPr>
          <w:p w14:paraId="4402A724"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13.9 </w:t>
            </w:r>
          </w:p>
        </w:tc>
      </w:tr>
      <w:tr w:rsidR="002F3836" w14:paraId="2FAE605D" w14:textId="77777777" w:rsidTr="00017E06">
        <w:trPr>
          <w:trHeight w:val="545"/>
        </w:trPr>
        <w:tc>
          <w:tcPr>
            <w:tcW w:w="5690" w:type="dxa"/>
            <w:tcBorders>
              <w:top w:val="nil"/>
              <w:left w:val="nil"/>
              <w:bottom w:val="single" w:sz="4" w:space="0" w:color="auto"/>
              <w:right w:val="nil"/>
            </w:tcBorders>
            <w:shd w:val="clear" w:color="000000" w:fill="E0DFEC"/>
            <w:vAlign w:val="center"/>
            <w:hideMark/>
          </w:tcPr>
          <w:p w14:paraId="1BE5DCB7"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Cashless options are difficult to use because I need to manage my balance and my passwords</w:t>
            </w:r>
          </w:p>
        </w:tc>
        <w:tc>
          <w:tcPr>
            <w:tcW w:w="1481" w:type="dxa"/>
            <w:tcBorders>
              <w:top w:val="nil"/>
              <w:left w:val="nil"/>
              <w:bottom w:val="single" w:sz="4" w:space="0" w:color="auto"/>
              <w:right w:val="nil"/>
            </w:tcBorders>
            <w:shd w:val="clear" w:color="000000" w:fill="E0DFEC"/>
            <w:noWrap/>
            <w:vAlign w:val="center"/>
            <w:hideMark/>
          </w:tcPr>
          <w:p w14:paraId="5C5122BC"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13.2 </w:t>
            </w:r>
          </w:p>
        </w:tc>
      </w:tr>
      <w:tr w:rsidR="002F3836" w14:paraId="6A6E64E4" w14:textId="77777777" w:rsidTr="00017E06">
        <w:trPr>
          <w:trHeight w:val="281"/>
        </w:trPr>
        <w:tc>
          <w:tcPr>
            <w:tcW w:w="5690" w:type="dxa"/>
            <w:tcBorders>
              <w:top w:val="nil"/>
              <w:left w:val="nil"/>
              <w:bottom w:val="single" w:sz="4" w:space="0" w:color="auto"/>
              <w:right w:val="nil"/>
            </w:tcBorders>
            <w:shd w:val="clear" w:color="auto" w:fill="auto"/>
            <w:vAlign w:val="center"/>
            <w:hideMark/>
          </w:tcPr>
          <w:p w14:paraId="4FB39000"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lastRenderedPageBreak/>
              <w:t>Cashless payment procedures are cumbersome</w:t>
            </w:r>
          </w:p>
        </w:tc>
        <w:tc>
          <w:tcPr>
            <w:tcW w:w="1481" w:type="dxa"/>
            <w:tcBorders>
              <w:top w:val="nil"/>
              <w:left w:val="nil"/>
              <w:bottom w:val="single" w:sz="4" w:space="0" w:color="auto"/>
              <w:right w:val="nil"/>
            </w:tcBorders>
            <w:shd w:val="clear" w:color="auto" w:fill="auto"/>
            <w:noWrap/>
            <w:vAlign w:val="center"/>
            <w:hideMark/>
          </w:tcPr>
          <w:p w14:paraId="36A81D07"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8.7 </w:t>
            </w:r>
          </w:p>
        </w:tc>
      </w:tr>
      <w:tr w:rsidR="002F3836" w14:paraId="49641C20" w14:textId="77777777" w:rsidTr="00017E06">
        <w:trPr>
          <w:trHeight w:val="281"/>
        </w:trPr>
        <w:tc>
          <w:tcPr>
            <w:tcW w:w="5690" w:type="dxa"/>
            <w:tcBorders>
              <w:top w:val="nil"/>
              <w:left w:val="nil"/>
              <w:bottom w:val="single" w:sz="4" w:space="0" w:color="auto"/>
              <w:right w:val="nil"/>
            </w:tcBorders>
            <w:shd w:val="clear" w:color="000000" w:fill="E0DFEC"/>
            <w:vAlign w:val="center"/>
            <w:hideMark/>
          </w:tcPr>
          <w:p w14:paraId="28216661"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I'm not often in situations where I can use payment methods other than cash</w:t>
            </w:r>
          </w:p>
        </w:tc>
        <w:tc>
          <w:tcPr>
            <w:tcW w:w="1481" w:type="dxa"/>
            <w:tcBorders>
              <w:top w:val="nil"/>
              <w:left w:val="nil"/>
              <w:bottom w:val="single" w:sz="4" w:space="0" w:color="auto"/>
              <w:right w:val="nil"/>
            </w:tcBorders>
            <w:shd w:val="clear" w:color="000000" w:fill="E0DFEC"/>
            <w:noWrap/>
            <w:vAlign w:val="center"/>
            <w:hideMark/>
          </w:tcPr>
          <w:p w14:paraId="24617221"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5.8 </w:t>
            </w:r>
          </w:p>
        </w:tc>
      </w:tr>
      <w:tr w:rsidR="002F3836" w14:paraId="71AC7330" w14:textId="77777777" w:rsidTr="00017E06">
        <w:trPr>
          <w:trHeight w:val="545"/>
        </w:trPr>
        <w:tc>
          <w:tcPr>
            <w:tcW w:w="5690" w:type="dxa"/>
            <w:tcBorders>
              <w:top w:val="nil"/>
              <w:left w:val="nil"/>
              <w:bottom w:val="single" w:sz="4" w:space="0" w:color="auto"/>
              <w:right w:val="nil"/>
            </w:tcBorders>
            <w:shd w:val="clear" w:color="000000" w:fill="FFFFFF"/>
            <w:vAlign w:val="center"/>
            <w:hideMark/>
          </w:tcPr>
          <w:p w14:paraId="2097E40C"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I want to use cashless payments but don't know how</w:t>
            </w:r>
          </w:p>
        </w:tc>
        <w:tc>
          <w:tcPr>
            <w:tcW w:w="1481" w:type="dxa"/>
            <w:tcBorders>
              <w:top w:val="nil"/>
              <w:left w:val="nil"/>
              <w:bottom w:val="single" w:sz="4" w:space="0" w:color="auto"/>
              <w:right w:val="nil"/>
            </w:tcBorders>
            <w:shd w:val="clear" w:color="000000" w:fill="FFFFFF"/>
            <w:noWrap/>
            <w:vAlign w:val="center"/>
            <w:hideMark/>
          </w:tcPr>
          <w:p w14:paraId="7E1473D3"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2.2 </w:t>
            </w:r>
          </w:p>
        </w:tc>
      </w:tr>
      <w:tr w:rsidR="002F3836" w14:paraId="2EF85ECF" w14:textId="77777777" w:rsidTr="00017E06">
        <w:trPr>
          <w:trHeight w:val="281"/>
        </w:trPr>
        <w:tc>
          <w:tcPr>
            <w:tcW w:w="5690" w:type="dxa"/>
            <w:tcBorders>
              <w:top w:val="nil"/>
              <w:left w:val="nil"/>
              <w:bottom w:val="nil"/>
              <w:right w:val="nil"/>
            </w:tcBorders>
            <w:shd w:val="clear" w:color="000000" w:fill="E0DFEC"/>
            <w:noWrap/>
            <w:vAlign w:val="center"/>
            <w:hideMark/>
          </w:tcPr>
          <w:p w14:paraId="7FCBFD48"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I don't have a smartphone, computer, etc.</w:t>
            </w:r>
          </w:p>
        </w:tc>
        <w:tc>
          <w:tcPr>
            <w:tcW w:w="1481" w:type="dxa"/>
            <w:tcBorders>
              <w:top w:val="nil"/>
              <w:left w:val="nil"/>
              <w:bottom w:val="nil"/>
              <w:right w:val="nil"/>
            </w:tcBorders>
            <w:shd w:val="clear" w:color="000000" w:fill="E0DFEC"/>
            <w:noWrap/>
            <w:vAlign w:val="center"/>
            <w:hideMark/>
          </w:tcPr>
          <w:p w14:paraId="4FC0B54E" w14:textId="77777777" w:rsidR="001739A0" w:rsidRPr="000347EA" w:rsidRDefault="006D44EF" w:rsidP="001739A0">
            <w:pPr>
              <w:rPr>
                <w:rFonts w:asciiTheme="majorHAnsi" w:hAnsiTheme="majorHAnsi" w:cstheme="majorHAnsi"/>
                <w:color w:val="222222"/>
                <w:szCs w:val="21"/>
              </w:rPr>
            </w:pPr>
            <w:r w:rsidRPr="000347EA">
              <w:rPr>
                <w:rFonts w:asciiTheme="majorHAnsi" w:hAnsiTheme="majorHAnsi" w:cstheme="majorHAnsi"/>
                <w:color w:val="222222"/>
                <w:szCs w:val="21"/>
              </w:rPr>
              <w:t xml:space="preserve">0.8 </w:t>
            </w:r>
          </w:p>
        </w:tc>
      </w:tr>
    </w:tbl>
    <w:p w14:paraId="0959ED24" w14:textId="77777777" w:rsidR="000F7D17" w:rsidRPr="000347EA" w:rsidRDefault="000F7D17" w:rsidP="00681587">
      <w:pPr>
        <w:rPr>
          <w:rFonts w:asciiTheme="majorHAnsi" w:hAnsiTheme="majorHAnsi" w:cstheme="majorHAnsi"/>
          <w:color w:val="222222"/>
          <w:szCs w:val="21"/>
        </w:rPr>
      </w:pPr>
    </w:p>
    <w:p w14:paraId="59EB2B8F" w14:textId="04A64B24" w:rsidR="00D56665" w:rsidRPr="000347EA" w:rsidRDefault="006D44EF" w:rsidP="000F7D17">
      <w:pPr>
        <w:rPr>
          <w:rFonts w:asciiTheme="majorHAnsi" w:hAnsiTheme="majorHAnsi" w:cstheme="majorHAnsi"/>
          <w:color w:val="222222"/>
          <w:szCs w:val="21"/>
          <w:shd w:val="clear" w:color="auto" w:fill="FFFFFF"/>
        </w:rPr>
      </w:pPr>
      <w:r w:rsidRPr="000347EA">
        <w:rPr>
          <w:rFonts w:asciiTheme="majorHAnsi" w:hAnsiTheme="majorHAnsi" w:cstheme="majorHAnsi"/>
          <w:b/>
          <w:color w:val="222222"/>
          <w:szCs w:val="21"/>
        </w:rPr>
        <w:t>We need to understand how consumers use cashless payments</w:t>
      </w:r>
      <w:r w:rsidR="00716232" w:rsidRPr="000347EA">
        <w:rPr>
          <w:rFonts w:asciiTheme="majorHAnsi" w:hAnsiTheme="majorHAnsi" w:cstheme="majorHAnsi"/>
          <w:color w:val="222222"/>
          <w:szCs w:val="21"/>
        </w:rPr>
        <w:br/>
      </w:r>
      <w:r w:rsidRPr="000347EA">
        <w:rPr>
          <w:rFonts w:asciiTheme="majorHAnsi" w:hAnsiTheme="majorHAnsi" w:cstheme="majorHAnsi"/>
          <w:color w:val="222222"/>
          <w:szCs w:val="21"/>
          <w:shd w:val="clear" w:color="auto" w:fill="FFFFFF"/>
        </w:rPr>
        <w:t>This analysis of the current state of the cashless economy and consumer sentiment toward cashless payments reveals that</w:t>
      </w:r>
      <w:r w:rsidR="0017112F">
        <w:rPr>
          <w:rFonts w:asciiTheme="majorHAnsi" w:hAnsiTheme="majorHAnsi" w:cstheme="majorHAnsi"/>
          <w:color w:val="222222"/>
          <w:szCs w:val="21"/>
          <w:shd w:val="clear" w:color="auto" w:fill="FFFFFF"/>
        </w:rPr>
        <w:t xml:space="preserve"> acceptance of </w:t>
      </w:r>
      <w:r w:rsidRPr="000347EA">
        <w:rPr>
          <w:rFonts w:asciiTheme="majorHAnsi" w:hAnsiTheme="majorHAnsi" w:cstheme="majorHAnsi"/>
          <w:color w:val="222222"/>
          <w:szCs w:val="21"/>
          <w:shd w:val="clear" w:color="auto" w:fill="FFFFFF"/>
        </w:rPr>
        <w:t>cashless payment</w:t>
      </w:r>
      <w:r w:rsidR="0017112F">
        <w:rPr>
          <w:rFonts w:asciiTheme="majorHAnsi" w:hAnsiTheme="majorHAnsi" w:cstheme="majorHAnsi"/>
          <w:color w:val="222222"/>
          <w:szCs w:val="21"/>
          <w:shd w:val="clear" w:color="auto" w:fill="FFFFFF"/>
        </w:rPr>
        <w:t xml:space="preserve"> method</w:t>
      </w:r>
      <w:r w:rsidRPr="000347EA">
        <w:rPr>
          <w:rFonts w:asciiTheme="majorHAnsi" w:hAnsiTheme="majorHAnsi" w:cstheme="majorHAnsi"/>
          <w:color w:val="222222"/>
          <w:szCs w:val="21"/>
          <w:shd w:val="clear" w:color="auto" w:fill="FFFFFF"/>
        </w:rPr>
        <w:t xml:space="preserve">s </w:t>
      </w:r>
      <w:r w:rsidR="0017112F">
        <w:rPr>
          <w:rFonts w:asciiTheme="majorHAnsi" w:hAnsiTheme="majorHAnsi" w:cstheme="majorHAnsi"/>
          <w:color w:val="222222"/>
          <w:szCs w:val="21"/>
          <w:shd w:val="clear" w:color="auto" w:fill="FFFFFF"/>
        </w:rPr>
        <w:t>depends</w:t>
      </w:r>
      <w:r w:rsidRPr="000347EA">
        <w:rPr>
          <w:rFonts w:asciiTheme="majorHAnsi" w:hAnsiTheme="majorHAnsi" w:cstheme="majorHAnsi"/>
          <w:color w:val="222222"/>
          <w:szCs w:val="21"/>
          <w:shd w:val="clear" w:color="auto" w:fill="FFFFFF"/>
        </w:rPr>
        <w:t xml:space="preserve"> on income level, region of residence, and type of employment. To further popularize cashless payments throughout Japan, the government needs to ensure that individuals experience cashless payment systems as both secure and highly convenient. This requires forming a clear picture of consumers' current use of cashless payment methods, including via banks and fintech services. It also requires nurturing private businesses that can respond to consumer needs and alleviate consumer anxieties. Finally, the government must monitor the evolving situation on the ground at fixed intervals.</w:t>
      </w:r>
    </w:p>
    <w:p w14:paraId="2DF2F09B" w14:textId="77777777" w:rsidR="00D56665" w:rsidRPr="000347EA" w:rsidRDefault="00D56665">
      <w:pPr>
        <w:rPr>
          <w:rFonts w:asciiTheme="majorHAnsi" w:hAnsiTheme="majorHAnsi" w:cstheme="majorHAnsi"/>
          <w:color w:val="222222"/>
          <w:szCs w:val="21"/>
          <w:shd w:val="clear" w:color="auto" w:fill="FFFFFF"/>
        </w:rPr>
      </w:pPr>
    </w:p>
    <w:p w14:paraId="5C05341D" w14:textId="4DB73975" w:rsidR="00A00775" w:rsidRPr="000347EA" w:rsidRDefault="006D44EF" w:rsidP="00A00775">
      <w:pPr>
        <w:rPr>
          <w:rFonts w:asciiTheme="majorHAnsi" w:hAnsiTheme="majorHAnsi" w:cstheme="majorHAnsi"/>
          <w:b/>
          <w:color w:val="222222"/>
          <w:szCs w:val="21"/>
          <w:shd w:val="clear" w:color="auto" w:fill="FFFFFF"/>
        </w:rPr>
      </w:pPr>
      <w:r w:rsidRPr="000347EA">
        <w:rPr>
          <w:rFonts w:asciiTheme="majorHAnsi" w:hAnsiTheme="majorHAnsi" w:cstheme="majorHAnsi"/>
          <w:b/>
          <w:color w:val="222222"/>
          <w:szCs w:val="21"/>
          <w:shd w:val="clear" w:color="auto" w:fill="FFFFFF"/>
        </w:rPr>
        <w:t xml:space="preserve">Can a reward points system </w:t>
      </w:r>
      <w:r w:rsidR="0017112F">
        <w:rPr>
          <w:rFonts w:asciiTheme="majorHAnsi" w:hAnsiTheme="majorHAnsi" w:cstheme="majorHAnsi"/>
          <w:b/>
          <w:color w:val="222222"/>
          <w:szCs w:val="21"/>
          <w:shd w:val="clear" w:color="auto" w:fill="FFFFFF"/>
        </w:rPr>
        <w:t>boost</w:t>
      </w:r>
      <w:r w:rsidRPr="000347EA">
        <w:rPr>
          <w:rFonts w:asciiTheme="majorHAnsi" w:hAnsiTheme="majorHAnsi" w:cstheme="majorHAnsi"/>
          <w:b/>
          <w:color w:val="222222"/>
          <w:szCs w:val="21"/>
          <w:shd w:val="clear" w:color="auto" w:fill="FFFFFF"/>
        </w:rPr>
        <w:t xml:space="preserve"> the spread of cashless payments?</w:t>
      </w:r>
    </w:p>
    <w:p w14:paraId="4EAD1327" w14:textId="28FBFAAB" w:rsidR="00A00775" w:rsidRPr="000347EA" w:rsidRDefault="006D44EF" w:rsidP="00A00775">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 xml:space="preserve">To reduce the impact of </w:t>
      </w:r>
      <w:r w:rsidR="0017112F">
        <w:rPr>
          <w:rFonts w:asciiTheme="majorHAnsi" w:hAnsiTheme="majorHAnsi" w:cstheme="majorHAnsi"/>
          <w:color w:val="222222"/>
          <w:szCs w:val="21"/>
          <w:shd w:val="clear" w:color="auto" w:fill="FFFFFF"/>
        </w:rPr>
        <w:t>the</w:t>
      </w:r>
      <w:r w:rsidRPr="000347EA">
        <w:rPr>
          <w:rFonts w:asciiTheme="majorHAnsi" w:hAnsiTheme="majorHAnsi" w:cstheme="majorHAnsi"/>
          <w:color w:val="222222"/>
          <w:szCs w:val="21"/>
          <w:shd w:val="clear" w:color="auto" w:fill="FFFFFF"/>
        </w:rPr>
        <w:t xml:space="preserve"> </w:t>
      </w:r>
      <w:proofErr w:type="gramStart"/>
      <w:r w:rsidRPr="000347EA">
        <w:rPr>
          <w:rFonts w:asciiTheme="majorHAnsi" w:hAnsiTheme="majorHAnsi" w:cstheme="majorHAnsi"/>
          <w:color w:val="222222"/>
          <w:szCs w:val="21"/>
          <w:shd w:val="clear" w:color="auto" w:fill="FFFFFF"/>
        </w:rPr>
        <w:t>October 2019</w:t>
      </w:r>
      <w:proofErr w:type="gramEnd"/>
      <w:r w:rsidRPr="000347EA">
        <w:rPr>
          <w:rFonts w:asciiTheme="majorHAnsi" w:hAnsiTheme="majorHAnsi" w:cstheme="majorHAnsi"/>
          <w:color w:val="222222"/>
          <w:szCs w:val="21"/>
          <w:shd w:val="clear" w:color="auto" w:fill="FFFFFF"/>
        </w:rPr>
        <w:t xml:space="preserve"> increase in consumption tax, the Japanese government</w:t>
      </w:r>
      <w:r w:rsidR="0017112F">
        <w:rPr>
          <w:rFonts w:asciiTheme="majorHAnsi" w:hAnsiTheme="majorHAnsi" w:cstheme="majorHAnsi"/>
          <w:color w:val="222222"/>
          <w:szCs w:val="21"/>
          <w:shd w:val="clear" w:color="auto" w:fill="FFFFFF"/>
        </w:rPr>
        <w:t xml:space="preserve"> </w:t>
      </w:r>
      <w:r w:rsidRPr="000347EA">
        <w:rPr>
          <w:rFonts w:asciiTheme="majorHAnsi" w:hAnsiTheme="majorHAnsi" w:cstheme="majorHAnsi"/>
          <w:color w:val="222222"/>
          <w:szCs w:val="21"/>
          <w:shd w:val="clear" w:color="auto" w:fill="FFFFFF"/>
        </w:rPr>
        <w:t xml:space="preserve">introduced a reward points program. To promote use of cashless payments in small- and medium-sized enterprises, the government will shoulder the cost of a system in which consumers can earn reward points for cashless payments that can then be redeemed in the form of discount tokens usable upon </w:t>
      </w:r>
      <w:r w:rsidR="0017112F">
        <w:rPr>
          <w:rFonts w:asciiTheme="majorHAnsi" w:hAnsiTheme="majorHAnsi" w:cstheme="majorHAnsi"/>
          <w:color w:val="222222"/>
          <w:szCs w:val="21"/>
          <w:shd w:val="clear" w:color="auto" w:fill="FFFFFF"/>
        </w:rPr>
        <w:t>a</w:t>
      </w:r>
      <w:r w:rsidRPr="000347EA">
        <w:rPr>
          <w:rFonts w:asciiTheme="majorHAnsi" w:hAnsiTheme="majorHAnsi" w:cstheme="majorHAnsi"/>
          <w:color w:val="222222"/>
          <w:szCs w:val="21"/>
          <w:shd w:val="clear" w:color="auto" w:fill="FFFFFF"/>
        </w:rPr>
        <w:t xml:space="preserve"> next purchase at the store. The system can lead to substantial discounts that somewhat alleviate the cost increases that consumers face after the tax hike. It simultaneously encourages shoppers to pay cashless. Notably, Japanese e-commerce platforms such as Rakuten and the SoftBank Group have begun creating digital point systems that let consumers pay in points for a range of day-to-day products and services. These systems have popularized the concept of paying with points, which function as a kind of corporate currency. Indeed, points are increasingly functioning like regular currencies. Many points can be exchanged for different points or converted into cash, and recent years have seen the development of systems to use points for investment purposes. The Japanese Financial Services Agency encourages these initiatives. Naturally, points still lack much functionality that would be expected of a currency. Many are only valid for a limited time, for example, or can only be used as a means of exchange in particular stores. Still, consumers are increasingly embracing points systems as a part of the economy. It is worth emphasizing here that promotion of points systems is part of the range of policy measures </w:t>
      </w:r>
      <w:r w:rsidRPr="000347EA">
        <w:rPr>
          <w:rFonts w:asciiTheme="majorHAnsi" w:hAnsiTheme="majorHAnsi" w:cstheme="majorHAnsi"/>
          <w:color w:val="222222"/>
          <w:szCs w:val="21"/>
          <w:shd w:val="clear" w:color="auto" w:fill="FFFFFF"/>
        </w:rPr>
        <w:lastRenderedPageBreak/>
        <w:t>used by the Japanese government to encourage cashless payments, that these points are being used as a form of virtual currency, and that the concept of a currency is becoming increasingly diversified.</w:t>
      </w:r>
    </w:p>
    <w:p w14:paraId="60C4981B" w14:textId="77777777" w:rsidR="00A00775" w:rsidRPr="000347EA" w:rsidRDefault="00A00775" w:rsidP="00A00775">
      <w:pPr>
        <w:rPr>
          <w:rFonts w:asciiTheme="majorHAnsi" w:hAnsiTheme="majorHAnsi" w:cstheme="majorHAnsi"/>
          <w:color w:val="222222"/>
          <w:szCs w:val="21"/>
          <w:shd w:val="clear" w:color="auto" w:fill="FFFFFF"/>
        </w:rPr>
      </w:pPr>
    </w:p>
    <w:p w14:paraId="710C34F3" w14:textId="77777777" w:rsidR="000F7D17" w:rsidRPr="000347EA" w:rsidRDefault="006D44EF">
      <w:pPr>
        <w:rPr>
          <w:rFonts w:asciiTheme="majorHAnsi" w:hAnsiTheme="majorHAnsi" w:cstheme="majorHAnsi"/>
          <w:b/>
          <w:color w:val="222222"/>
          <w:szCs w:val="21"/>
          <w:shd w:val="clear" w:color="auto" w:fill="FFFFFF"/>
        </w:rPr>
      </w:pPr>
      <w:r w:rsidRPr="000347EA">
        <w:rPr>
          <w:rFonts w:asciiTheme="majorHAnsi" w:hAnsiTheme="majorHAnsi" w:cstheme="majorHAnsi"/>
          <w:b/>
          <w:color w:val="222222"/>
          <w:szCs w:val="21"/>
          <w:shd w:val="clear" w:color="auto" w:fill="FFFFFF"/>
        </w:rPr>
        <w:t>Areas of competition and cooperation for private companies involved in payment systems</w:t>
      </w:r>
    </w:p>
    <w:p w14:paraId="14185C74" w14:textId="77777777" w:rsidR="007F1F7B" w:rsidRDefault="006D44EF" w:rsidP="00055CF1">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The survey results presented in this study show that consumers largely eschew cashless payments when making personal remittances or paying for public services such as postal, municipal, medical, and nursing services. On the other hand, a plethora of payment services have sprung up in Japan. From a user perspective, the lack of interoperability between these services is a serious issue.</w:t>
      </w:r>
    </w:p>
    <w:p w14:paraId="56053BFF" w14:textId="77777777" w:rsidR="007F1F7B" w:rsidRDefault="007F1F7B" w:rsidP="00055CF1">
      <w:pPr>
        <w:rPr>
          <w:rFonts w:asciiTheme="majorHAnsi" w:hAnsiTheme="majorHAnsi" w:cstheme="majorHAnsi"/>
          <w:color w:val="222222"/>
          <w:szCs w:val="21"/>
          <w:shd w:val="clear" w:color="auto" w:fill="FFFFFF"/>
        </w:rPr>
      </w:pPr>
    </w:p>
    <w:p w14:paraId="5EA00648" w14:textId="6C902F2E" w:rsidR="00055CF1" w:rsidRPr="000347EA" w:rsidRDefault="006D44EF" w:rsidP="00055CF1">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shd w:val="clear" w:color="auto" w:fill="FFFFFF"/>
        </w:rPr>
        <w:t xml:space="preserve">In 2012, major banks in Sweden developed and released a small mobile service for interbank money transfers called Swish. Swish played a significant role in promoting the use of cashless payments in Sweden. Users of Swish can send small remittances, for free and instantaneously, </w:t>
      </w:r>
      <w:r w:rsidR="00277849">
        <w:rPr>
          <w:rFonts w:asciiTheme="majorHAnsi" w:hAnsiTheme="majorHAnsi" w:cstheme="majorHAnsi"/>
          <w:color w:val="222222"/>
          <w:szCs w:val="21"/>
          <w:shd w:val="clear" w:color="auto" w:fill="FFFFFF"/>
        </w:rPr>
        <w:t>simply</w:t>
      </w:r>
      <w:r w:rsidRPr="000347EA">
        <w:rPr>
          <w:rFonts w:asciiTheme="majorHAnsi" w:hAnsiTheme="majorHAnsi" w:cstheme="majorHAnsi"/>
          <w:color w:val="222222"/>
          <w:szCs w:val="21"/>
          <w:shd w:val="clear" w:color="auto" w:fill="FFFFFF"/>
        </w:rPr>
        <w:t xml:space="preserve"> by entering the receiving party's cellphone number. Today, Swish has evolved </w:t>
      </w:r>
      <w:r w:rsidR="00277849">
        <w:rPr>
          <w:rFonts w:asciiTheme="majorHAnsi" w:hAnsiTheme="majorHAnsi" w:cstheme="majorHAnsi"/>
          <w:color w:val="222222"/>
          <w:szCs w:val="21"/>
          <w:shd w:val="clear" w:color="auto" w:fill="FFFFFF"/>
        </w:rPr>
        <w:t xml:space="preserve">into </w:t>
      </w:r>
      <w:r w:rsidRPr="000347EA">
        <w:rPr>
          <w:rFonts w:asciiTheme="majorHAnsi" w:hAnsiTheme="majorHAnsi" w:cstheme="majorHAnsi"/>
          <w:color w:val="222222"/>
          <w:szCs w:val="21"/>
          <w:shd w:val="clear" w:color="auto" w:fill="FFFFFF"/>
        </w:rPr>
        <w:t xml:space="preserve">a highly interoperable network for small remittances that is used by about 70% of Swedes. The banking community is adding value to the service by enabling use of Swish in e-commerce payment services. The key to widespread adoption of Swish was BankID, which was developed in Sweden in 2011. BankID is a mobile banking ID that can be linked to a phone number, allowing easy identification of individuals. </w:t>
      </w:r>
      <w:r w:rsidR="00A3663A">
        <w:rPr>
          <w:rFonts w:asciiTheme="majorHAnsi" w:hAnsiTheme="majorHAnsi" w:cstheme="majorHAnsi"/>
          <w:color w:val="222222"/>
          <w:szCs w:val="21"/>
          <w:shd w:val="clear" w:color="auto" w:fill="FFFFFF"/>
        </w:rPr>
        <w:t>In</w:t>
      </w:r>
      <w:r w:rsidR="009C630A">
        <w:rPr>
          <w:rFonts w:asciiTheme="majorHAnsi" w:hAnsiTheme="majorHAnsi" w:cstheme="majorHAnsi"/>
          <w:color w:val="222222"/>
          <w:szCs w:val="21"/>
          <w:shd w:val="clear" w:color="auto" w:fill="FFFFFF"/>
        </w:rPr>
        <w:t xml:space="preserve"> </w:t>
      </w:r>
      <w:r w:rsidRPr="000347EA">
        <w:rPr>
          <w:rFonts w:asciiTheme="majorHAnsi" w:hAnsiTheme="majorHAnsi" w:cstheme="majorHAnsi"/>
          <w:color w:val="222222"/>
          <w:szCs w:val="21"/>
          <w:shd w:val="clear" w:color="auto" w:fill="FFFFFF"/>
        </w:rPr>
        <w:t>Singapore, the United Kingdom</w:t>
      </w:r>
      <w:r w:rsidR="009C630A">
        <w:rPr>
          <w:rFonts w:asciiTheme="majorHAnsi" w:hAnsiTheme="majorHAnsi" w:cstheme="majorHAnsi"/>
          <w:color w:val="222222"/>
          <w:szCs w:val="21"/>
          <w:shd w:val="clear" w:color="auto" w:fill="FFFFFF"/>
        </w:rPr>
        <w:t>,</w:t>
      </w:r>
      <w:r w:rsidRPr="000347EA">
        <w:rPr>
          <w:rFonts w:asciiTheme="majorHAnsi" w:hAnsiTheme="majorHAnsi" w:cstheme="majorHAnsi"/>
          <w:color w:val="222222"/>
          <w:szCs w:val="21"/>
          <w:shd w:val="clear" w:color="auto" w:fill="FFFFFF"/>
        </w:rPr>
        <w:t xml:space="preserve"> Australia, </w:t>
      </w:r>
      <w:r w:rsidR="009C630A">
        <w:rPr>
          <w:rFonts w:asciiTheme="majorHAnsi" w:hAnsiTheme="majorHAnsi" w:cstheme="majorHAnsi"/>
          <w:color w:val="222222"/>
          <w:szCs w:val="21"/>
          <w:shd w:val="clear" w:color="auto" w:fill="FFFFFF"/>
        </w:rPr>
        <w:t xml:space="preserve">and other countries, </w:t>
      </w:r>
      <w:r w:rsidR="00A3663A">
        <w:rPr>
          <w:rFonts w:asciiTheme="majorHAnsi" w:hAnsiTheme="majorHAnsi" w:cstheme="majorHAnsi"/>
          <w:color w:val="222222"/>
          <w:szCs w:val="21"/>
          <w:shd w:val="clear" w:color="auto" w:fill="FFFFFF"/>
        </w:rPr>
        <w:t>banks also offer</w:t>
      </w:r>
      <w:r w:rsidRPr="000347EA">
        <w:rPr>
          <w:rFonts w:asciiTheme="majorHAnsi" w:hAnsiTheme="majorHAnsi" w:cstheme="majorHAnsi"/>
          <w:color w:val="222222"/>
          <w:szCs w:val="21"/>
          <w:shd w:val="clear" w:color="auto" w:fill="FFFFFF"/>
        </w:rPr>
        <w:t xml:space="preserve"> mobile transfer systems for small remittances. These developments indicate that while encouraging competition between private businesses leads to more user-friendly services, businesses also need to cooperate to build infrastructure </w:t>
      </w:r>
      <w:r w:rsidR="009C630A">
        <w:rPr>
          <w:rFonts w:asciiTheme="majorHAnsi" w:hAnsiTheme="majorHAnsi" w:cstheme="majorHAnsi"/>
          <w:color w:val="222222"/>
          <w:szCs w:val="21"/>
          <w:shd w:val="clear" w:color="auto" w:fill="FFFFFF"/>
        </w:rPr>
        <w:t>for</w:t>
      </w:r>
      <w:r w:rsidRPr="000347EA">
        <w:rPr>
          <w:rFonts w:asciiTheme="majorHAnsi" w:hAnsiTheme="majorHAnsi" w:cstheme="majorHAnsi"/>
          <w:color w:val="222222"/>
          <w:szCs w:val="21"/>
          <w:shd w:val="clear" w:color="auto" w:fill="FFFFFF"/>
        </w:rPr>
        <w:t xml:space="preserve"> authenticat</w:t>
      </w:r>
      <w:r w:rsidR="009C630A">
        <w:rPr>
          <w:rFonts w:asciiTheme="majorHAnsi" w:hAnsiTheme="majorHAnsi" w:cstheme="majorHAnsi"/>
          <w:color w:val="222222"/>
          <w:szCs w:val="21"/>
          <w:shd w:val="clear" w:color="auto" w:fill="FFFFFF"/>
        </w:rPr>
        <w:t>ing</w:t>
      </w:r>
      <w:r w:rsidRPr="000347EA">
        <w:rPr>
          <w:rFonts w:asciiTheme="majorHAnsi" w:hAnsiTheme="majorHAnsi" w:cstheme="majorHAnsi"/>
          <w:color w:val="222222"/>
          <w:szCs w:val="21"/>
          <w:shd w:val="clear" w:color="auto" w:fill="FFFFFF"/>
        </w:rPr>
        <w:t xml:space="preserve"> users and send</w:t>
      </w:r>
      <w:r w:rsidR="009C630A">
        <w:rPr>
          <w:rFonts w:asciiTheme="majorHAnsi" w:hAnsiTheme="majorHAnsi" w:cstheme="majorHAnsi"/>
          <w:color w:val="222222"/>
          <w:szCs w:val="21"/>
          <w:shd w:val="clear" w:color="auto" w:fill="FFFFFF"/>
        </w:rPr>
        <w:t>ing</w:t>
      </w:r>
      <w:r w:rsidRPr="000347EA">
        <w:rPr>
          <w:rFonts w:asciiTheme="majorHAnsi" w:hAnsiTheme="majorHAnsi" w:cstheme="majorHAnsi"/>
          <w:color w:val="222222"/>
          <w:szCs w:val="21"/>
          <w:shd w:val="clear" w:color="auto" w:fill="FFFFFF"/>
        </w:rPr>
        <w:t xml:space="preserve"> payments. Japan is also in urgent need of a mobile system </w:t>
      </w:r>
      <w:r w:rsidR="009C630A">
        <w:rPr>
          <w:rFonts w:asciiTheme="majorHAnsi" w:hAnsiTheme="majorHAnsi" w:cstheme="majorHAnsi"/>
          <w:color w:val="222222"/>
          <w:szCs w:val="21"/>
          <w:shd w:val="clear" w:color="auto" w:fill="FFFFFF"/>
        </w:rPr>
        <w:t>for</w:t>
      </w:r>
      <w:r w:rsidRPr="000347EA">
        <w:rPr>
          <w:rFonts w:asciiTheme="majorHAnsi" w:hAnsiTheme="majorHAnsi" w:cstheme="majorHAnsi"/>
          <w:color w:val="222222"/>
          <w:szCs w:val="21"/>
          <w:shd w:val="clear" w:color="auto" w:fill="FFFFFF"/>
        </w:rPr>
        <w:t xml:space="preserve"> transfer</w:t>
      </w:r>
      <w:r w:rsidR="009C630A">
        <w:rPr>
          <w:rFonts w:asciiTheme="majorHAnsi" w:hAnsiTheme="majorHAnsi" w:cstheme="majorHAnsi"/>
          <w:color w:val="222222"/>
          <w:szCs w:val="21"/>
          <w:shd w:val="clear" w:color="auto" w:fill="FFFFFF"/>
        </w:rPr>
        <w:t>ring</w:t>
      </w:r>
      <w:r w:rsidRPr="000347EA">
        <w:rPr>
          <w:rFonts w:asciiTheme="majorHAnsi" w:hAnsiTheme="majorHAnsi" w:cstheme="majorHAnsi"/>
          <w:color w:val="222222"/>
          <w:szCs w:val="21"/>
          <w:shd w:val="clear" w:color="auto" w:fill="FFFFFF"/>
        </w:rPr>
        <w:t xml:space="preserve"> small remittances that is highly convenient, low-cost, and safe and secure. Such a network will become a cornerstone of the infrastructure Japan needs to allow use of digital currencies.</w:t>
      </w:r>
    </w:p>
    <w:p w14:paraId="3C1DCED9" w14:textId="77777777" w:rsidR="000F7D17" w:rsidRPr="000347EA" w:rsidRDefault="000F7D17" w:rsidP="000F7D17">
      <w:pPr>
        <w:ind w:firstLineChars="100" w:firstLine="210"/>
        <w:rPr>
          <w:rFonts w:asciiTheme="majorHAnsi" w:hAnsiTheme="majorHAnsi" w:cstheme="majorHAnsi"/>
          <w:color w:val="222222"/>
          <w:szCs w:val="21"/>
          <w:shd w:val="clear" w:color="auto" w:fill="FFFFFF"/>
        </w:rPr>
      </w:pPr>
    </w:p>
    <w:p w14:paraId="5E953ABD" w14:textId="77777777" w:rsidR="00337B2A" w:rsidRPr="000347EA" w:rsidRDefault="006D44EF" w:rsidP="000F7D17">
      <w:pPr>
        <w:rPr>
          <w:rFonts w:asciiTheme="majorHAnsi" w:hAnsiTheme="majorHAnsi" w:cstheme="majorHAnsi"/>
          <w:color w:val="222222"/>
          <w:szCs w:val="21"/>
        </w:rPr>
      </w:pPr>
      <w:r w:rsidRPr="000347EA">
        <w:rPr>
          <w:rFonts w:asciiTheme="majorHAnsi" w:hAnsiTheme="majorHAnsi" w:cstheme="majorHAnsi"/>
          <w:color w:val="222222"/>
          <w:szCs w:val="21"/>
        </w:rPr>
        <w:t>References</w:t>
      </w:r>
    </w:p>
    <w:p w14:paraId="1DFB51AF" w14:textId="77777777" w:rsidR="00664D2E" w:rsidRPr="000347EA" w:rsidRDefault="006D44EF" w:rsidP="000F7D17">
      <w:pPr>
        <w:rPr>
          <w:rFonts w:asciiTheme="majorHAnsi" w:hAnsiTheme="majorHAnsi" w:cstheme="majorHAnsi"/>
          <w:color w:val="222222"/>
          <w:szCs w:val="21"/>
          <w:shd w:val="clear" w:color="auto" w:fill="FFFFFF"/>
        </w:rPr>
      </w:pPr>
      <w:r w:rsidRPr="000347EA">
        <w:rPr>
          <w:rFonts w:asciiTheme="majorHAnsi" w:hAnsiTheme="majorHAnsi" w:cstheme="majorHAnsi"/>
          <w:color w:val="222222"/>
          <w:szCs w:val="21"/>
        </w:rPr>
        <w:br/>
      </w:r>
      <w:r w:rsidRPr="000347EA">
        <w:rPr>
          <w:rFonts w:asciiTheme="majorHAnsi" w:hAnsiTheme="majorHAnsi" w:cstheme="majorHAnsi"/>
          <w:color w:val="222222"/>
          <w:szCs w:val="21"/>
          <w:shd w:val="clear" w:color="auto" w:fill="FFFFFF"/>
        </w:rPr>
        <w:t xml:space="preserve">　</w:t>
      </w:r>
    </w:p>
    <w:sectPr w:rsidR="00664D2E" w:rsidRPr="000347EA">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ele Noppe" w:date="2020-01-29T10:43:00Z" w:initials="NN">
    <w:p w14:paraId="19D2A0AA" w14:textId="77777777" w:rsidR="00BA54C5" w:rsidRDefault="006D44EF">
      <w:pPr>
        <w:pStyle w:val="CommentText"/>
      </w:pPr>
      <w:r>
        <w:rPr>
          <w:rStyle w:val="CommentReference"/>
        </w:rPr>
        <w:annotationRef/>
      </w:r>
      <w:r w:rsidRPr="00BA54C5">
        <w:rPr>
          <w:rFonts w:hint="eastAsia"/>
        </w:rPr>
        <w:t>委託先日経リサーチ</w:t>
      </w:r>
      <w:r>
        <w:rPr>
          <w:rFonts w:hint="eastAsia"/>
        </w:rPr>
        <w:t xml:space="preserve"> </w:t>
      </w:r>
      <w:r>
        <w:t>can have multiple meanings. Could you please confirm that it means that this research was contracted by the Nikkei Research (</w:t>
      </w:r>
      <w:hyperlink r:id="rId1" w:history="1">
        <w:r w:rsidRPr="00960F48">
          <w:rPr>
            <w:rStyle w:val="Hyperlink"/>
          </w:rPr>
          <w:t>https://www.nikkei-r.co.jp/english/</w:t>
        </w:r>
      </w:hyperlink>
      <w:r>
        <w:t>)?</w:t>
      </w:r>
    </w:p>
  </w:comment>
  <w:comment w:id="1" w:author="Nele Noppe" w:date="2020-01-30T15:00:00Z" w:initials="NN">
    <w:p w14:paraId="05F6B293" w14:textId="46EB7673" w:rsidR="00E843C4" w:rsidRDefault="00E843C4">
      <w:pPr>
        <w:pStyle w:val="CommentText"/>
      </w:pPr>
      <w:r>
        <w:rPr>
          <w:rStyle w:val="CommentReference"/>
        </w:rPr>
        <w:annotationRef/>
      </w:r>
      <w:r w:rsidR="001E6EE3">
        <w:t xml:space="preserve">Could you please confirm </w:t>
      </w:r>
      <w:r w:rsidR="001E6EE3">
        <w:t>that</w:t>
      </w:r>
      <w:bookmarkStart w:id="2" w:name="_GoBack"/>
      <w:bookmarkEnd w:id="2"/>
      <w:r>
        <w:t xml:space="preserve"> this an accurate translation of </w:t>
      </w:r>
      <w:r w:rsidRPr="00E843C4">
        <w:rPr>
          <w:rFonts w:hint="eastAsia"/>
        </w:rPr>
        <w:t>フィンテック決済</w:t>
      </w:r>
      <w:r>
        <w:rPr>
          <w:rFonts w:hint="eastAsia"/>
        </w:rPr>
        <w:t xml:space="preserve"> </w:t>
      </w:r>
      <w:r>
        <w:t>in this context?</w:t>
      </w:r>
    </w:p>
  </w:comment>
  <w:comment w:id="3" w:author="Nele Noppe" w:date="2020-01-30T13:53:00Z" w:initials="NN">
    <w:p w14:paraId="2EDCB83B" w14:textId="4FDBD9C2" w:rsidR="001E25CE" w:rsidRDefault="001E25CE">
      <w:pPr>
        <w:pStyle w:val="CommentText"/>
      </w:pPr>
      <w:r>
        <w:rPr>
          <w:rStyle w:val="CommentReference"/>
        </w:rPr>
        <w:annotationRef/>
      </w:r>
      <w:r>
        <w:t>Translation of numbers on x axis, left to right:</w:t>
      </w:r>
    </w:p>
    <w:p w14:paraId="17A3C0E8" w14:textId="062937B5" w:rsidR="001E25CE" w:rsidRDefault="001E25CE">
      <w:pPr>
        <w:pStyle w:val="CommentText"/>
      </w:pPr>
      <w:r>
        <w:t>2 million or less</w:t>
      </w:r>
    </w:p>
    <w:p w14:paraId="5EE00209" w14:textId="215963D9" w:rsidR="001E25CE" w:rsidRDefault="001E25CE">
      <w:pPr>
        <w:pStyle w:val="CommentText"/>
      </w:pPr>
      <w:r>
        <w:t>2-3 million</w:t>
      </w:r>
    </w:p>
    <w:p w14:paraId="4DB20D23" w14:textId="77777777" w:rsidR="001E25CE" w:rsidRDefault="001E25CE">
      <w:pPr>
        <w:pStyle w:val="CommentText"/>
      </w:pPr>
      <w:r>
        <w:t>3-4 million</w:t>
      </w:r>
    </w:p>
    <w:p w14:paraId="2F099C9F" w14:textId="77777777" w:rsidR="001E25CE" w:rsidRDefault="001E25CE">
      <w:pPr>
        <w:pStyle w:val="CommentText"/>
      </w:pPr>
      <w:r>
        <w:t>4-5 million</w:t>
      </w:r>
    </w:p>
    <w:p w14:paraId="786E1DFC" w14:textId="77777777" w:rsidR="001E25CE" w:rsidRDefault="001E25CE">
      <w:pPr>
        <w:pStyle w:val="CommentText"/>
      </w:pPr>
      <w:r>
        <w:t>5-6 million</w:t>
      </w:r>
    </w:p>
    <w:p w14:paraId="2F05D6A6" w14:textId="77777777" w:rsidR="001E25CE" w:rsidRDefault="001E25CE">
      <w:pPr>
        <w:pStyle w:val="CommentText"/>
      </w:pPr>
      <w:r>
        <w:t>6-8 million</w:t>
      </w:r>
    </w:p>
    <w:p w14:paraId="15BBE82B" w14:textId="77777777" w:rsidR="001E25CE" w:rsidRDefault="001E25CE">
      <w:pPr>
        <w:pStyle w:val="CommentText"/>
      </w:pPr>
      <w:r>
        <w:t>8-10 million</w:t>
      </w:r>
    </w:p>
    <w:p w14:paraId="138F84BD" w14:textId="77777777" w:rsidR="001E25CE" w:rsidRDefault="001E25CE">
      <w:pPr>
        <w:pStyle w:val="CommentText"/>
      </w:pPr>
      <w:r>
        <w:t>10-12.5 million</w:t>
      </w:r>
    </w:p>
    <w:p w14:paraId="5A628401" w14:textId="77777777" w:rsidR="001E25CE" w:rsidRDefault="001E25CE">
      <w:pPr>
        <w:pStyle w:val="CommentText"/>
      </w:pPr>
      <w:r>
        <w:t>12.5-15 million</w:t>
      </w:r>
    </w:p>
    <w:p w14:paraId="0DB8CCBE" w14:textId="2C5F44AC" w:rsidR="001E25CE" w:rsidRDefault="001E25CE">
      <w:pPr>
        <w:pStyle w:val="CommentText"/>
      </w:pPr>
      <w:r>
        <w:t>15 million or more</w:t>
      </w:r>
    </w:p>
  </w:comment>
  <w:comment w:id="4" w:author="Nele Noppe" w:date="2020-01-30T13:58:00Z" w:initials="NN">
    <w:p w14:paraId="6FFDAB61" w14:textId="2AF3A537" w:rsidR="001E25CE" w:rsidRDefault="001E25CE">
      <w:pPr>
        <w:pStyle w:val="CommentText"/>
      </w:pPr>
      <w:r>
        <w:rPr>
          <w:rStyle w:val="CommentReference"/>
        </w:rPr>
        <w:annotationRef/>
      </w:r>
      <w:r>
        <w:t>Translation of region names on y axis, top to bottom:</w:t>
      </w:r>
    </w:p>
    <w:p w14:paraId="6015EDFE" w14:textId="4FE43863" w:rsidR="001E25CE" w:rsidRDefault="001E25CE">
      <w:pPr>
        <w:pStyle w:val="CommentText"/>
      </w:pPr>
      <w:r>
        <w:t>Hokkaido</w:t>
      </w:r>
    </w:p>
    <w:p w14:paraId="015409AE" w14:textId="4E599E78" w:rsidR="001E25CE" w:rsidRDefault="001E25CE">
      <w:pPr>
        <w:pStyle w:val="CommentText"/>
      </w:pPr>
      <w:r>
        <w:t>Tohoku</w:t>
      </w:r>
    </w:p>
    <w:p w14:paraId="5F21342A" w14:textId="0BAD46D2" w:rsidR="001E25CE" w:rsidRDefault="001E25CE">
      <w:pPr>
        <w:pStyle w:val="CommentText"/>
      </w:pPr>
      <w:r>
        <w:t>Kita-Kanto</w:t>
      </w:r>
    </w:p>
    <w:p w14:paraId="5CC17B66" w14:textId="6CB651DC" w:rsidR="001E25CE" w:rsidRDefault="001E25CE">
      <w:pPr>
        <w:pStyle w:val="CommentText"/>
      </w:pPr>
      <w:r>
        <w:t>Tokyo metropolitan area</w:t>
      </w:r>
    </w:p>
    <w:p w14:paraId="296F4C40" w14:textId="5BBDC420" w:rsidR="001E25CE" w:rsidRDefault="001E25CE">
      <w:pPr>
        <w:pStyle w:val="CommentText"/>
      </w:pPr>
      <w:proofErr w:type="spellStart"/>
      <w:r>
        <w:t>Koshinetsu</w:t>
      </w:r>
      <w:proofErr w:type="spellEnd"/>
    </w:p>
    <w:p w14:paraId="04716EBF" w14:textId="25EFFC51" w:rsidR="001E25CE" w:rsidRDefault="001E25CE">
      <w:pPr>
        <w:pStyle w:val="CommentText"/>
      </w:pPr>
      <w:r>
        <w:t>Hokuriku</w:t>
      </w:r>
    </w:p>
    <w:p w14:paraId="02AF727E" w14:textId="1D38ED9F" w:rsidR="001E25CE" w:rsidRDefault="001E25CE">
      <w:pPr>
        <w:pStyle w:val="CommentText"/>
      </w:pPr>
      <w:r>
        <w:t>Tokai</w:t>
      </w:r>
    </w:p>
    <w:p w14:paraId="2C00AA48" w14:textId="42A1D2E6" w:rsidR="001E25CE" w:rsidRDefault="001E25CE">
      <w:pPr>
        <w:pStyle w:val="CommentText"/>
      </w:pPr>
      <w:r>
        <w:t>Kinki</w:t>
      </w:r>
    </w:p>
    <w:p w14:paraId="5524A91B" w14:textId="4E35E747" w:rsidR="001E25CE" w:rsidRDefault="001E25CE">
      <w:pPr>
        <w:pStyle w:val="CommentText"/>
      </w:pPr>
      <w:r>
        <w:t>Kyoto, Osaka, Kobe metropolitan area</w:t>
      </w:r>
    </w:p>
    <w:p w14:paraId="04F65C7F" w14:textId="513A1A0A" w:rsidR="001E25CE" w:rsidRDefault="001E25CE">
      <w:pPr>
        <w:pStyle w:val="CommentText"/>
      </w:pPr>
      <w:r>
        <w:t>Chugoku</w:t>
      </w:r>
    </w:p>
    <w:p w14:paraId="3D05D6C9" w14:textId="753A5EFE" w:rsidR="001E25CE" w:rsidRDefault="001E25CE">
      <w:pPr>
        <w:pStyle w:val="CommentText"/>
      </w:pPr>
      <w:r>
        <w:t>Shikoku</w:t>
      </w:r>
    </w:p>
    <w:p w14:paraId="5B5B228B" w14:textId="43BF6C34" w:rsidR="001E25CE" w:rsidRDefault="001E25CE">
      <w:pPr>
        <w:pStyle w:val="CommentText"/>
      </w:pPr>
      <w:r>
        <w:t>Kyushu</w:t>
      </w:r>
    </w:p>
    <w:p w14:paraId="21A6DB69" w14:textId="00133C31" w:rsidR="001E25CE" w:rsidRDefault="001E25CE">
      <w:pPr>
        <w:pStyle w:val="CommentText"/>
      </w:pPr>
      <w:r>
        <w:t>Okinawa</w:t>
      </w:r>
    </w:p>
    <w:p w14:paraId="7CF8C61E" w14:textId="6ED55994" w:rsidR="00970193" w:rsidRDefault="00970193">
      <w:pPr>
        <w:pStyle w:val="CommentText"/>
      </w:pPr>
    </w:p>
    <w:p w14:paraId="09DA6D18" w14:textId="0247C4C1" w:rsidR="00970193" w:rsidRDefault="00970193">
      <w:pPr>
        <w:pStyle w:val="CommentText"/>
      </w:pPr>
      <w:r>
        <w:t>Translator’s note: “Tokyo metropolitan area” can be abbreviated to just “Tokyo.” Similarly, “Kyoto, Osaka, Kobe metropolitan area” can be abbreviated to just “Kyoto, Osaka, Kobe.”</w:t>
      </w:r>
    </w:p>
    <w:p w14:paraId="5DDA372D" w14:textId="488D4E32" w:rsidR="001E25CE" w:rsidRDefault="001E25C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D2A0AA" w15:done="0"/>
  <w15:commentEx w15:paraId="05F6B293" w15:done="0"/>
  <w15:commentEx w15:paraId="0DB8CCBE" w15:done="0"/>
  <w15:commentEx w15:paraId="5DDA37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D2A0AA" w16cid:durableId="21DD5E44"/>
  <w16cid:commentId w16cid:paraId="05F6B293" w16cid:durableId="21DD6DF7"/>
  <w16cid:commentId w16cid:paraId="0DB8CCBE" w16cid:durableId="21DD5E56"/>
  <w16cid:commentId w16cid:paraId="5DDA372D" w16cid:durableId="21DD5F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32"/>
    <w:rsid w:val="00003BDE"/>
    <w:rsid w:val="00017E06"/>
    <w:rsid w:val="00021665"/>
    <w:rsid w:val="00024292"/>
    <w:rsid w:val="000347EA"/>
    <w:rsid w:val="00054F13"/>
    <w:rsid w:val="00055CF1"/>
    <w:rsid w:val="000868CC"/>
    <w:rsid w:val="000C33A2"/>
    <w:rsid w:val="000E0F15"/>
    <w:rsid w:val="000E2FAA"/>
    <w:rsid w:val="000F7D17"/>
    <w:rsid w:val="0017112F"/>
    <w:rsid w:val="001739A0"/>
    <w:rsid w:val="001C6ABA"/>
    <w:rsid w:val="001E25CE"/>
    <w:rsid w:val="001E6EE3"/>
    <w:rsid w:val="0020441F"/>
    <w:rsid w:val="00231DC6"/>
    <w:rsid w:val="0025787D"/>
    <w:rsid w:val="00272565"/>
    <w:rsid w:val="00277849"/>
    <w:rsid w:val="002F3836"/>
    <w:rsid w:val="00337B2A"/>
    <w:rsid w:val="0034386A"/>
    <w:rsid w:val="003F0CA1"/>
    <w:rsid w:val="00512F45"/>
    <w:rsid w:val="00515636"/>
    <w:rsid w:val="005215D7"/>
    <w:rsid w:val="00591806"/>
    <w:rsid w:val="005B00C8"/>
    <w:rsid w:val="00621B6D"/>
    <w:rsid w:val="00664D2E"/>
    <w:rsid w:val="00681587"/>
    <w:rsid w:val="006D44EF"/>
    <w:rsid w:val="00711DEE"/>
    <w:rsid w:val="00716232"/>
    <w:rsid w:val="00760A2B"/>
    <w:rsid w:val="007F1F7B"/>
    <w:rsid w:val="008818DF"/>
    <w:rsid w:val="00894261"/>
    <w:rsid w:val="008A3F4B"/>
    <w:rsid w:val="008E1489"/>
    <w:rsid w:val="00906798"/>
    <w:rsid w:val="009221F1"/>
    <w:rsid w:val="00960F48"/>
    <w:rsid w:val="00965F98"/>
    <w:rsid w:val="00970193"/>
    <w:rsid w:val="009829AC"/>
    <w:rsid w:val="009C630A"/>
    <w:rsid w:val="00A00775"/>
    <w:rsid w:val="00A34DA1"/>
    <w:rsid w:val="00A3663A"/>
    <w:rsid w:val="00AB4CE9"/>
    <w:rsid w:val="00B12094"/>
    <w:rsid w:val="00B50263"/>
    <w:rsid w:val="00B56622"/>
    <w:rsid w:val="00B70B07"/>
    <w:rsid w:val="00BA54C5"/>
    <w:rsid w:val="00C83D79"/>
    <w:rsid w:val="00C85C6B"/>
    <w:rsid w:val="00CA0A54"/>
    <w:rsid w:val="00D02152"/>
    <w:rsid w:val="00D56665"/>
    <w:rsid w:val="00D91EE9"/>
    <w:rsid w:val="00DE5FF1"/>
    <w:rsid w:val="00E04392"/>
    <w:rsid w:val="00E843C4"/>
    <w:rsid w:val="00E848CC"/>
    <w:rsid w:val="00EB2B10"/>
    <w:rsid w:val="00FF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73A69E"/>
  <w15:chartTrackingRefBased/>
  <w15:docId w15:val="{53D89953-2592-44E7-85BE-F8ACE38E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0A2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0A2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A54C5"/>
    <w:rPr>
      <w:sz w:val="16"/>
      <w:szCs w:val="16"/>
    </w:rPr>
  </w:style>
  <w:style w:type="paragraph" w:styleId="CommentText">
    <w:name w:val="annotation text"/>
    <w:basedOn w:val="Normal"/>
    <w:link w:val="CommentTextChar"/>
    <w:uiPriority w:val="99"/>
    <w:semiHidden/>
    <w:unhideWhenUsed/>
    <w:rsid w:val="00BA54C5"/>
    <w:rPr>
      <w:sz w:val="20"/>
      <w:szCs w:val="20"/>
    </w:rPr>
  </w:style>
  <w:style w:type="character" w:customStyle="1" w:styleId="CommentTextChar">
    <w:name w:val="Comment Text Char"/>
    <w:basedOn w:val="DefaultParagraphFont"/>
    <w:link w:val="CommentText"/>
    <w:uiPriority w:val="99"/>
    <w:semiHidden/>
    <w:rsid w:val="00BA54C5"/>
    <w:rPr>
      <w:sz w:val="20"/>
      <w:szCs w:val="20"/>
    </w:rPr>
  </w:style>
  <w:style w:type="paragraph" w:styleId="CommentSubject">
    <w:name w:val="annotation subject"/>
    <w:basedOn w:val="CommentText"/>
    <w:next w:val="CommentText"/>
    <w:link w:val="CommentSubjectChar"/>
    <w:uiPriority w:val="99"/>
    <w:semiHidden/>
    <w:unhideWhenUsed/>
    <w:rsid w:val="00BA54C5"/>
    <w:rPr>
      <w:b/>
      <w:bCs/>
    </w:rPr>
  </w:style>
  <w:style w:type="character" w:customStyle="1" w:styleId="CommentSubjectChar">
    <w:name w:val="Comment Subject Char"/>
    <w:basedOn w:val="CommentTextChar"/>
    <w:link w:val="CommentSubject"/>
    <w:uiPriority w:val="99"/>
    <w:semiHidden/>
    <w:rsid w:val="00BA54C5"/>
    <w:rPr>
      <w:b/>
      <w:bCs/>
      <w:sz w:val="20"/>
      <w:szCs w:val="20"/>
    </w:rPr>
  </w:style>
  <w:style w:type="character" w:styleId="Hyperlink">
    <w:name w:val="Hyperlink"/>
    <w:basedOn w:val="DefaultParagraphFont"/>
    <w:uiPriority w:val="99"/>
    <w:unhideWhenUsed/>
    <w:rsid w:val="00BA54C5"/>
    <w:rPr>
      <w:color w:val="0563C1" w:themeColor="hyperlink"/>
      <w:u w:val="single"/>
    </w:rPr>
  </w:style>
  <w:style w:type="character" w:customStyle="1" w:styleId="UnresolvedMention1">
    <w:name w:val="Unresolved Mention1"/>
    <w:basedOn w:val="DefaultParagraphFont"/>
    <w:uiPriority w:val="99"/>
    <w:semiHidden/>
    <w:unhideWhenUsed/>
    <w:rsid w:val="00BA5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ikkei-r.co.jp/english/"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1796</Words>
  <Characters>10240</Characters>
  <Application>Microsoft Office Word</Application>
  <DocSecurity>0</DocSecurity>
  <Lines>85</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翁 百合</dc:creator>
  <cp:lastModifiedBy>Nele Noppe</cp:lastModifiedBy>
  <cp:revision>28</cp:revision>
  <dcterms:created xsi:type="dcterms:W3CDTF">2020-01-18T05:43:00Z</dcterms:created>
  <dcterms:modified xsi:type="dcterms:W3CDTF">2020-01-30T14:00:00Z</dcterms:modified>
</cp:coreProperties>
</file>