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9674E8" w14:textId="77777777" w:rsidR="005B3B2D" w:rsidRPr="00B56986" w:rsidRDefault="00874F37" w:rsidP="00993AF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jc w:val="both"/>
        <w:rPr>
          <w:rFonts w:ascii="Times New Roman" w:eastAsia="Palatino Linotype" w:hAnsi="Times New Roman" w:cs="Times New Roman"/>
          <w:b/>
          <w:bCs/>
          <w:sz w:val="24"/>
          <w:szCs w:val="24"/>
          <w:u w:color="000000"/>
        </w:rPr>
      </w:pPr>
      <w:r w:rsidRPr="00B56986">
        <w:rPr>
          <w:rFonts w:ascii="Times New Roman" w:eastAsia="Palatino Linotype" w:hAnsi="Times New Roman" w:cs="Times New Roman"/>
          <w:b/>
          <w:bCs/>
          <w:sz w:val="24"/>
          <w:szCs w:val="24"/>
          <w:u w:color="000000"/>
        </w:rPr>
        <w:t>1. Overview of previous didactic experience</w:t>
      </w:r>
    </w:p>
    <w:p w14:paraId="070FC5A5" w14:textId="0B731286" w:rsidR="005B3B2D" w:rsidRPr="00B56986" w:rsidRDefault="00874F37" w:rsidP="00993AF3">
      <w:pPr>
        <w:pStyle w:val="Default"/>
        <w:numPr>
          <w:ilvl w:val="0"/>
          <w:numId w:val="2"/>
        </w:numPr>
        <w:spacing w:after="160" w:line="276" w:lineRule="auto"/>
        <w:ind w:left="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I </w:t>
      </w:r>
      <w:r w:rsidR="00D41488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began teaching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during my doctoral studies and found th</w:t>
      </w:r>
      <w:r w:rsidR="00D41488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e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experience </w:t>
      </w:r>
      <w:r w:rsidR="00B82669">
        <w:rPr>
          <w:rFonts w:ascii="Times New Roman" w:hAnsi="Times New Roman" w:cs="Times New Roman"/>
          <w:sz w:val="24"/>
          <w:szCs w:val="24"/>
          <w:u w:color="000000"/>
          <w:lang w:val="en-US"/>
        </w:rPr>
        <w:t>very</w:t>
      </w:r>
      <w:bookmarkStart w:id="0" w:name="_GoBack"/>
      <w:bookmarkEnd w:id="0"/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satisfying. 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In the </w:t>
      </w:r>
      <w:r w:rsidR="00D41488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2014-2015</w:t>
      </w:r>
      <w:r w:rsidR="00D41488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academic year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, I taught a course in Latin Language and Legal Studies to Chinese doctoral students as part of a higher</w:t>
      </w:r>
      <w:r w:rsidR="00D41488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education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r w:rsidR="00D41488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program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in Ro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man Law at La Sapienza University in Rome</w:t>
      </w:r>
      <w:r w:rsidR="00D41488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, headed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by professors 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 xml:space="preserve">Oliviero Diliberto 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and 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>Sandro Schipani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in collaboration with Chinese universities (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>Zhongnan University).</w:t>
      </w:r>
    </w:p>
    <w:p w14:paraId="031E0ADC" w14:textId="1CEF89E4" w:rsidR="005B3B2D" w:rsidRPr="00B56986" w:rsidRDefault="00874F37" w:rsidP="00993AF3">
      <w:pPr>
        <w:pStyle w:val="Default"/>
        <w:numPr>
          <w:ilvl w:val="0"/>
          <w:numId w:val="2"/>
        </w:numPr>
        <w:spacing w:after="160" w:line="276" w:lineRule="auto"/>
        <w:ind w:left="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In March 2016 I won a teachers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’ 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competition for </w:t>
      </w:r>
      <w:r w:rsidR="00D41488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professorship 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in both Latin and Greek and I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talian and Latin in Italian secondary schools (I came first in both subjects in my region, Lazio).</w:t>
      </w:r>
    </w:p>
    <w:p w14:paraId="32934B13" w14:textId="2D862AF2" w:rsidR="005B3B2D" w:rsidRPr="00B56986" w:rsidRDefault="00D41488" w:rsidP="00993AF3">
      <w:pPr>
        <w:pStyle w:val="Default"/>
        <w:numPr>
          <w:ilvl w:val="0"/>
          <w:numId w:val="2"/>
        </w:numPr>
        <w:spacing w:after="160" w:line="276" w:lineRule="auto"/>
        <w:ind w:left="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B56986">
        <w:rPr>
          <w:rFonts w:ascii="Times New Roman" w:hAnsi="Times New Roman" w:cs="Times New Roman"/>
          <w:sz w:val="24"/>
          <w:szCs w:val="24"/>
          <w:u w:color="000000"/>
        </w:rPr>
        <w:t>During</w:t>
      </w:r>
      <w:r w:rsidR="00874F37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the first semester of the 2018-2019 academic year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,</w:t>
      </w:r>
      <w:r w:rsidR="00874F37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I have been teaching a course in Greek philology at the </w:t>
      </w:r>
      <w:proofErr w:type="spellStart"/>
      <w:r w:rsidR="00874F37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Pontificio</w:t>
      </w:r>
      <w:proofErr w:type="spellEnd"/>
      <w:r w:rsidR="00874F37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="00874F37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Istituto</w:t>
      </w:r>
      <w:proofErr w:type="spellEnd"/>
      <w:r w:rsidR="00874F37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="00874F37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Biblico</w:t>
      </w:r>
      <w:proofErr w:type="spellEnd"/>
      <w:r w:rsidR="00874F37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r w:rsidR="00874F37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(Universit</w:t>
      </w:r>
      <w:r w:rsidR="00874F37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à </w:t>
      </w:r>
      <w:r w:rsidR="00874F37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Gregoria</w:t>
      </w:r>
      <w:r w:rsidR="00874F37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na) </w:t>
      </w:r>
      <w:r w:rsidR="00874F37"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in Rome, total</w:t>
      </w:r>
      <w:r w:rsidR="00874F37"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ing 24 hours  of lessons and 5 CFUs.</w:t>
      </w:r>
    </w:p>
    <w:p w14:paraId="57B3F7BD" w14:textId="18412BA7" w:rsidR="005B3B2D" w:rsidRPr="00B56986" w:rsidRDefault="00874F37" w:rsidP="00993AF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jc w:val="both"/>
        <w:rPr>
          <w:rFonts w:ascii="Times New Roman" w:eastAsia="Palatino Linotype" w:hAnsi="Times New Roman" w:cs="Times New Roman"/>
          <w:sz w:val="24"/>
          <w:szCs w:val="24"/>
          <w:u w:color="000000"/>
        </w:rPr>
      </w:pP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I prepared a program</w:t>
      </w:r>
      <w:r w:rsidR="00D41488"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 that focuses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 on Hellenistic and imperial literature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 to satisfy the curiosity of students who have a linguistic background</w:t>
      </w:r>
      <w:r w:rsidR="00D41488"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,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 with a specific focus on </w:t>
      </w:r>
      <w:r w:rsidRPr="00B56986">
        <w:rPr>
          <w:rFonts w:ascii="Times New Roman" w:eastAsia="Palatino Linotype" w:hAnsi="Times New Roman" w:cs="Times New Roman"/>
          <w:i/>
          <w:iCs/>
          <w:sz w:val="24"/>
          <w:szCs w:val="24"/>
          <w:u w:color="000000"/>
        </w:rPr>
        <w:t>koin</w:t>
      </w:r>
      <w:r w:rsidRPr="00B56986">
        <w:rPr>
          <w:rFonts w:ascii="Times New Roman" w:eastAsia="Palatino Linotype" w:hAnsi="Times New Roman" w:cs="Times New Roman"/>
          <w:i/>
          <w:iCs/>
          <w:sz w:val="24"/>
          <w:szCs w:val="24"/>
          <w:u w:color="000000"/>
        </w:rPr>
        <w:t>é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: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Polybius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, 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>Posidonius</w:t>
      </w:r>
      <w:r w:rsidRPr="00B56986">
        <w:rPr>
          <w:rFonts w:ascii="Times New Roman" w:hAnsi="Times New Roman" w:cs="Times New Roman"/>
          <w:color w:val="535353"/>
          <w:sz w:val="24"/>
          <w:szCs w:val="24"/>
          <w:u w:color="000000"/>
          <w:lang w:val="en-US"/>
        </w:rPr>
        <w:t xml:space="preserve">,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Diodo</w:t>
      </w:r>
      <w:proofErr w:type="spellStart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rus</w:t>
      </w:r>
      <w:proofErr w:type="spellEnd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, texts selected from the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Septuag</w:t>
      </w:r>
      <w:r w:rsidR="00D41488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ent</w:t>
      </w:r>
      <w:r w:rsidRPr="00B56986">
        <w:rPr>
          <w:rFonts w:ascii="Times New Roman" w:eastAsia="Palatino Linotype" w:hAnsi="Times New Roman" w:cs="Times New Roman"/>
          <w:i/>
          <w:iCs/>
          <w:sz w:val="24"/>
          <w:szCs w:val="24"/>
          <w:u w:color="000000"/>
        </w:rPr>
        <w:t xml:space="preserve">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(</w:t>
      </w:r>
      <w:r w:rsidRPr="00B56986">
        <w:rPr>
          <w:rFonts w:ascii="Times New Roman" w:eastAsia="Palatino Linotype" w:hAnsi="Times New Roman" w:cs="Times New Roman"/>
          <w:i/>
          <w:iCs/>
          <w:sz w:val="24"/>
          <w:szCs w:val="24"/>
          <w:u w:color="000000"/>
        </w:rPr>
        <w:t>Gen</w:t>
      </w:r>
      <w:r w:rsidRPr="00B56986">
        <w:rPr>
          <w:rFonts w:ascii="Times New Roman" w:eastAsia="Palatino Linotype" w:hAnsi="Times New Roman" w:cs="Times New Roman"/>
          <w:i/>
          <w:iCs/>
          <w:sz w:val="24"/>
          <w:szCs w:val="24"/>
          <w:u w:color="000000"/>
        </w:rPr>
        <w:t>. 39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 on the incident of Joseph of Egypt; </w:t>
      </w:r>
      <w:r w:rsidRPr="00B56986">
        <w:rPr>
          <w:rFonts w:ascii="Times New Roman" w:eastAsia="Palatino Linotype" w:hAnsi="Times New Roman" w:cs="Times New Roman"/>
          <w:i/>
          <w:iCs/>
          <w:sz w:val="24"/>
          <w:szCs w:val="24"/>
          <w:u w:color="000000"/>
        </w:rPr>
        <w:t>Deut.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32</w:t>
      </w:r>
      <w:r w:rsidR="00DD48E4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;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 the prologue by the compiler of </w:t>
      </w:r>
      <w:r w:rsidRPr="00B56986">
        <w:rPr>
          <w:rFonts w:ascii="Times New Roman" w:eastAsia="Palatino Linotype" w:hAnsi="Times New Roman" w:cs="Times New Roman"/>
          <w:i/>
          <w:iCs/>
          <w:sz w:val="24"/>
          <w:szCs w:val="24"/>
          <w:u w:color="000000"/>
        </w:rPr>
        <w:t>Macc</w:t>
      </w:r>
      <w:r w:rsidRPr="00B56986">
        <w:rPr>
          <w:rFonts w:ascii="Times New Roman" w:eastAsia="Palatino Linotype" w:hAnsi="Times New Roman" w:cs="Times New Roman"/>
          <w:i/>
          <w:iCs/>
          <w:sz w:val="24"/>
          <w:szCs w:val="24"/>
          <w:u w:color="000000"/>
        </w:rPr>
        <w:t>.</w:t>
      </w:r>
      <w:r w:rsidR="00DD48E4" w:rsidRPr="00B56986">
        <w:rPr>
          <w:rFonts w:ascii="Times New Roman" w:eastAsia="Palatino Linotype" w:hAnsi="Times New Roman" w:cs="Times New Roman"/>
          <w:i/>
          <w:iCs/>
          <w:sz w:val="24"/>
          <w:szCs w:val="24"/>
          <w:u w:color="000000"/>
        </w:rPr>
        <w:t xml:space="preserve"> II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),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 Philo of Alexandria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(</w:t>
      </w:r>
      <w:r w:rsidRPr="00B56986">
        <w:rPr>
          <w:rFonts w:ascii="Times New Roman" w:eastAsia="Palatino Linotype" w:hAnsi="Times New Roman" w:cs="Times New Roman"/>
          <w:i/>
          <w:iCs/>
          <w:sz w:val="24"/>
          <w:szCs w:val="24"/>
          <w:u w:color="000000"/>
        </w:rPr>
        <w:t>de Josepho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),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 </w:t>
      </w:r>
      <w:r w:rsidR="00DD48E4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Josephus Flavius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 and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Long</w:t>
      </w:r>
      <w:r w:rsidR="00DD48E4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us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the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So</w:t>
      </w:r>
      <w:proofErr w:type="spellStart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phist</w:t>
      </w:r>
      <w:proofErr w:type="spellEnd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.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 The perspective from which I p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resented these texts was </w:t>
      </w:r>
      <w:r w:rsidR="00DD48E4"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multifaceted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: on the one hand, I provided dialectological </w:t>
      </w:r>
      <w:r w:rsidR="00DD48E4"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ideas,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 which are useful to unpack the various stylistic levels and the relationship between literary genre and dialect (elements of Ionic, Attic, Doric typical of </w:t>
      </w:r>
      <w:r w:rsidRPr="00B56986">
        <w:rPr>
          <w:rFonts w:ascii="Times New Roman" w:eastAsia="Palatino Linotype" w:hAnsi="Times New Roman" w:cs="Times New Roman"/>
          <w:i/>
          <w:iCs/>
          <w:sz w:val="24"/>
          <w:szCs w:val="24"/>
          <w:u w:color="000000"/>
        </w:rPr>
        <w:t>koin</w:t>
      </w:r>
      <w:r w:rsidRPr="00B56986">
        <w:rPr>
          <w:rFonts w:ascii="Times New Roman" w:eastAsia="Palatino Linotype" w:hAnsi="Times New Roman" w:cs="Times New Roman"/>
          <w:i/>
          <w:iCs/>
          <w:sz w:val="24"/>
          <w:szCs w:val="24"/>
          <w:u w:color="000000"/>
        </w:rPr>
        <w:t>é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); on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the other hand, I stressed certain central topics of Hellenistic literature: searching for a silver thread in the historiography, the acceptance and critique of the slave system on the part of Greek intellectuals and the representation of the characters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’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p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sychology.</w:t>
      </w:r>
    </w:p>
    <w:p w14:paraId="2E33E45B" w14:textId="21AE0042" w:rsidR="005B3B2D" w:rsidRPr="00B56986" w:rsidRDefault="00874F37" w:rsidP="00993AF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jc w:val="both"/>
        <w:rPr>
          <w:rFonts w:ascii="Times New Roman" w:eastAsia="Palatino Linotype" w:hAnsi="Times New Roman" w:cs="Times New Roman"/>
          <w:sz w:val="24"/>
          <w:szCs w:val="24"/>
          <w:u w:color="000000"/>
        </w:rPr>
      </w:pP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D) Since 2015 I have been teaching Greek and Latin in the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‘</w:t>
      </w:r>
      <w:proofErr w:type="spellStart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licei</w:t>
      </w:r>
      <w:proofErr w:type="spellEnd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classici</w:t>
      </w:r>
      <w:proofErr w:type="spellEnd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’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(secondary schools speciali</w:t>
      </w:r>
      <w:r w:rsidR="00DD48E4"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z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ing in </w:t>
      </w:r>
      <w:r w:rsidR="00DD48E4"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the study of classic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) which have not only </w:t>
      </w:r>
      <w:r w:rsidR="00DD48E4"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received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 excellent results, but have also led to various offers from publishing houses</w:t>
      </w:r>
      <w:r w:rsidR="007D77EF"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.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 </w:t>
      </w:r>
      <w:r w:rsidR="007D77EF"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I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n the space of two years</w:t>
      </w:r>
      <w:r w:rsidR="007D77EF"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,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 I wrote three guides for a course in Italian language and cult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ure for the </w:t>
      </w:r>
      <w:r w:rsidR="007D77EF"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final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 three years of secondary school for </w:t>
      </w:r>
      <w:r w:rsidR="007D77EF"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the publisher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Giunti-Paravia (F</w:t>
      </w:r>
      <w:proofErr w:type="spellStart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lorence</w:t>
      </w:r>
      <w:proofErr w:type="spellEnd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>,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2016)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, a manual in Greek, Latin and Mesopotamian epics for the same publishing house (Florence, 2018) and a guide for a course in Italian language and culture for the first two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en-US"/>
        </w:rPr>
        <w:t xml:space="preserve">years of secondary school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(Giunti-Paravia, Firenze 2018).</w:t>
      </w:r>
    </w:p>
    <w:p w14:paraId="17CC309B" w14:textId="77777777" w:rsidR="005B3B2D" w:rsidRPr="00B56986" w:rsidRDefault="00874F37" w:rsidP="00993AF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jc w:val="both"/>
        <w:rPr>
          <w:rFonts w:ascii="Times New Roman" w:eastAsia="Palatino Linotype" w:hAnsi="Times New Roman" w:cs="Times New Roman"/>
          <w:b/>
          <w:bCs/>
          <w:sz w:val="24"/>
          <w:szCs w:val="24"/>
          <w:u w:color="000000"/>
        </w:rPr>
      </w:pPr>
      <w:r w:rsidRPr="00B56986">
        <w:rPr>
          <w:rFonts w:ascii="Times New Roman" w:eastAsia="Palatino Linotype" w:hAnsi="Times New Roman" w:cs="Times New Roman"/>
          <w:b/>
          <w:bCs/>
          <w:sz w:val="24"/>
          <w:szCs w:val="24"/>
          <w:u w:color="000000"/>
        </w:rPr>
        <w:t>2. Didactic concept</w:t>
      </w:r>
    </w:p>
    <w:p w14:paraId="0F7170F8" w14:textId="513CFAB7" w:rsidR="005B3B2D" w:rsidRPr="00B56986" w:rsidRDefault="00874F37" w:rsidP="00993AF3">
      <w:pPr>
        <w:pStyle w:val="Default"/>
        <w:numPr>
          <w:ilvl w:val="0"/>
          <w:numId w:val="3"/>
        </w:numPr>
        <w:spacing w:after="160" w:line="276" w:lineRule="auto"/>
        <w:ind w:left="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In the context of a Greek course for advanced </w:t>
      </w:r>
      <w:r w:rsidR="007D77EF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b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a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chelor students I would present a historical profile of emotions</w:t>
      </w:r>
      <w:r w:rsidR="007D77EF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,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combining texts from the Archaic, Classical, Hellenistic and Imp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erial age</w:t>
      </w:r>
      <w:r w:rsidR="007D77EF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s. This would include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critical analyses by modern scholars of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philology </w:t>
      </w:r>
      <w:r w:rsidR="007D77EF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and 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other disciplines such as philosophy and psychoanalysis. The inspiring idea is to </w:t>
      </w:r>
      <w:r w:rsidR="007D77EF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understand some of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the semantic evolution from selected terms in the progressive intellectuali</w:t>
      </w:r>
      <w:r w:rsidR="007D77EF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z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ation and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psychologi</w:t>
      </w:r>
      <w:r w:rsidR="007D77EF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z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ation</w:t>
      </w:r>
      <w:proofErr w:type="spellEnd"/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of Greek in the Archaic and Late Antique period. Such importance accorded to emotions is found in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recent scholarship by the likes of 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>Anghelos Chaniotis,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especially in reference to Greek inscriptions</w:t>
      </w:r>
      <w:r w:rsidR="0088120F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. However,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much remains to be done </w:t>
      </w:r>
      <w:r w:rsidR="0088120F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with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reg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ards to the well-known linguistic phenomenon of </w:t>
      </w:r>
      <w:r w:rsidRPr="00B56986">
        <w:rPr>
          <w:rFonts w:ascii="Times New Roman" w:hAnsi="Times New Roman" w:cs="Times New Roman"/>
          <w:i/>
          <w:iCs/>
          <w:sz w:val="24"/>
          <w:szCs w:val="24"/>
          <w:u w:color="000000"/>
        </w:rPr>
        <w:t>subjectification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 xml:space="preserve"> (Traugott).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On the didactic level, it is very interesting for </w:t>
      </w:r>
      <w:r w:rsidR="0088120F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students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to </w:t>
      </w:r>
      <w:r w:rsidR="0088120F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grasp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the semantic difference</w:t>
      </w:r>
      <w:r w:rsidR="0088120F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s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found in the use of certain abstract terms such as 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 xml:space="preserve">στενοχωρία 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>o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r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 xml:space="preserve"> θλίψις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r w:rsidR="0088120F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over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the course of a few centuries, from the Classical to the Imperial age. Along with the literature, translation and commentary of texts by Aristotle, 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>Artemidorus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>Daldianus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, 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 xml:space="preserve">Aelius Aristides 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students will also study 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 xml:space="preserve">Aelius Aristides 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on the irrational 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in Greek culture, some extracts </w:t>
      </w:r>
      <w:r w:rsidR="0088120F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from 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Freud</w:t>
      </w:r>
      <w:r w:rsidR="0088120F"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writings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and recent studies by 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>Chaniotis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en-US"/>
        </w:rPr>
        <w:t>.</w:t>
      </w:r>
    </w:p>
    <w:p w14:paraId="0E079896" w14:textId="1FFB3100" w:rsidR="005B3B2D" w:rsidRPr="00B56986" w:rsidRDefault="00874F37" w:rsidP="00993AF3">
      <w:pPr>
        <w:pStyle w:val="HTMLPreformatted"/>
        <w:numPr>
          <w:ilvl w:val="0"/>
          <w:numId w:val="3"/>
        </w:numPr>
        <w:shd w:val="clear" w:color="auto" w:fill="FFFFFF"/>
        <w:spacing w:line="276" w:lineRule="auto"/>
        <w:ind w:left="0"/>
        <w:rPr>
          <w:rFonts w:ascii="Times New Roman" w:hAnsi="Times New Roman" w:cs="Times New Roman"/>
          <w:color w:val="212121"/>
          <w:sz w:val="24"/>
          <w:szCs w:val="24"/>
        </w:rPr>
      </w:pPr>
      <w:r w:rsidRPr="00B56986">
        <w:rPr>
          <w:rFonts w:ascii="Times New Roman" w:hAnsi="Times New Roman" w:cs="Times New Roman"/>
          <w:sz w:val="24"/>
          <w:szCs w:val="24"/>
          <w:u w:color="000000"/>
        </w:rPr>
        <w:lastRenderedPageBreak/>
        <w:t xml:space="preserve">Another didactic trajectory </w:t>
      </w:r>
      <w:r w:rsidR="0088120F" w:rsidRPr="00B56986">
        <w:rPr>
          <w:rFonts w:ascii="Times New Roman" w:hAnsi="Times New Roman" w:cs="Times New Roman"/>
          <w:sz w:val="24"/>
          <w:szCs w:val="24"/>
          <w:u w:color="000000"/>
        </w:rPr>
        <w:t>that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 xml:space="preserve"> is particularly dear to me and one </w:t>
      </w:r>
      <w:r w:rsidR="0088120F" w:rsidRPr="00B56986">
        <w:rPr>
          <w:rFonts w:ascii="Times New Roman" w:hAnsi="Times New Roman" w:cs="Times New Roman"/>
          <w:sz w:val="24"/>
          <w:szCs w:val="24"/>
          <w:u w:color="000000"/>
        </w:rPr>
        <w:t>that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 xml:space="preserve"> can offer some interesting points of comparison</w:t>
      </w:r>
      <w:r w:rsidR="0088120F" w:rsidRPr="00B56986">
        <w:rPr>
          <w:rFonts w:ascii="Times New Roman" w:hAnsi="Times New Roman" w:cs="Times New Roman"/>
          <w:sz w:val="24"/>
          <w:szCs w:val="24"/>
          <w:u w:color="000000"/>
        </w:rPr>
        <w:t>,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 xml:space="preserve"> particularly in the context of modernity, is </w:t>
      </w:r>
      <w:r w:rsidR="0088120F" w:rsidRPr="00B56986">
        <w:rPr>
          <w:rFonts w:ascii="Times New Roman" w:hAnsi="Times New Roman" w:cs="Times New Roman"/>
          <w:sz w:val="24"/>
          <w:szCs w:val="24"/>
          <w:u w:color="000000"/>
        </w:rPr>
        <w:t>examining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 xml:space="preserve"> the concept of people and representation in Greek and Roman politics between the second century BCE and </w:t>
      </w:r>
      <w:r w:rsidR="0088120F" w:rsidRPr="00B56986">
        <w:rPr>
          <w:rFonts w:ascii="Times New Roman" w:hAnsi="Times New Roman" w:cs="Times New Roman"/>
          <w:sz w:val="24"/>
          <w:szCs w:val="24"/>
          <w:u w:color="000000"/>
        </w:rPr>
        <w:t xml:space="preserve">the 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 xml:space="preserve">second century CE. Indeed, </w:t>
      </w:r>
      <w:r w:rsidR="0088120F" w:rsidRPr="00B56986">
        <w:rPr>
          <w:rFonts w:ascii="Times New Roman" w:hAnsi="Times New Roman" w:cs="Times New Roman"/>
          <w:sz w:val="24"/>
          <w:szCs w:val="24"/>
          <w:u w:color="000000"/>
        </w:rPr>
        <w:t>these four</w:t>
      </w:r>
      <w:r w:rsidRPr="00B56986">
        <w:rPr>
          <w:rFonts w:ascii="Times New Roman" w:hAnsi="Times New Roman" w:cs="Times New Roman"/>
          <w:sz w:val="24"/>
          <w:szCs w:val="24"/>
          <w:u w:color="000000"/>
        </w:rPr>
        <w:t xml:space="preserve"> centuries saw the end of the Roman Republic succeeded by the </w:t>
      </w:r>
      <w:proofErr w:type="spellStart"/>
      <w:r w:rsidRPr="00B56986">
        <w:rPr>
          <w:rFonts w:ascii="Times New Roman" w:hAnsi="Times New Roman" w:cs="Times New Roman"/>
          <w:sz w:val="24"/>
          <w:szCs w:val="24"/>
          <w:u w:color="000000"/>
        </w:rPr>
        <w:t>Principate</w:t>
      </w:r>
      <w:proofErr w:type="spellEnd"/>
      <w:r w:rsidRPr="00B56986">
        <w:rPr>
          <w:rFonts w:ascii="Times New Roman" w:hAnsi="Times New Roman" w:cs="Times New Roman"/>
          <w:sz w:val="24"/>
          <w:szCs w:val="24"/>
          <w:u w:color="000000"/>
        </w:rPr>
        <w:t xml:space="preserve"> as well as Greek independence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it-IT"/>
        </w:rPr>
        <w:t>(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bet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ween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it-IT"/>
        </w:rPr>
        <w:t xml:space="preserve">168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and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it-IT"/>
        </w:rPr>
        <w:t>146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BCE). My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</w:t>
      </w:r>
      <w:r w:rsidR="001F5858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objective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is to present the re</w:t>
      </w:r>
      <w:r w:rsidR="001F5858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sponses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and analyses of contemporary intellectuals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it-IT"/>
        </w:rPr>
        <w:t>(Polybius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, </w:t>
      </w:r>
      <w:r w:rsidRPr="00B56986">
        <w:rPr>
          <w:rFonts w:ascii="Times New Roman" w:hAnsi="Times New Roman" w:cs="Times New Roman"/>
          <w:sz w:val="24"/>
          <w:szCs w:val="24"/>
          <w:u w:color="000000"/>
          <w:lang w:val="it-IT"/>
        </w:rPr>
        <w:t>Posidonius</w:t>
      </w:r>
      <w:r w:rsidRPr="00B56986">
        <w:rPr>
          <w:rFonts w:ascii="Times New Roman" w:hAnsi="Times New Roman" w:cs="Times New Roman"/>
          <w:color w:val="535353"/>
          <w:sz w:val="24"/>
          <w:szCs w:val="24"/>
          <w:u w:color="000000"/>
        </w:rPr>
        <w:t xml:space="preserve">,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it-IT"/>
        </w:rPr>
        <w:t>Diodo</w:t>
      </w:r>
      <w:proofErr w:type="spellStart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rus</w:t>
      </w:r>
      <w:proofErr w:type="spellEnd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,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it-IT"/>
        </w:rPr>
        <w:t xml:space="preserve"> Sallusti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us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it-IT"/>
        </w:rPr>
        <w:t>, Cicero, August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us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it-IT"/>
        </w:rPr>
        <w:t xml:space="preserve">,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Philo of Alexandria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it-IT"/>
        </w:rPr>
        <w:t xml:space="preserve">, Dion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of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it-IT"/>
        </w:rPr>
        <w:t xml:space="preserve"> Prusa, Aelius Aristides)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and elucidate the various individual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and collective perspectives, </w:t>
      </w:r>
      <w:r w:rsidR="001F5858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assuming that one may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use the category of public compared to the identity and role of the people in ancient history. The elitist </w:t>
      </w:r>
      <w:r w:rsidR="00FE2D2A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intellectualism of a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figure </w:t>
      </w:r>
      <w:r w:rsidR="00FE2D2A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like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Polibius</w:t>
      </w:r>
      <w:proofErr w:type="spellEnd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—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lucid investigator of the dynamics of Hellenistic democracies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—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is opposed to th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e ecumenism of </w:t>
      </w:r>
      <w:proofErr w:type="spellStart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Diodorus</w:t>
      </w:r>
      <w:proofErr w:type="spellEnd"/>
      <w:r w:rsidR="001F5858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,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who was influenced by </w:t>
      </w:r>
      <w:proofErr w:type="spellStart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Posidonius</w:t>
      </w:r>
      <w:proofErr w:type="spellEnd"/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and who eliminates extremes with his erudite and encyclop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edic perspective, albeit superficial on the socio-political level.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it-IT"/>
        </w:rPr>
        <w:t>Sallusti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us, Cicero and Augustus, respectively, offer the point of view of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a </w:t>
      </w:r>
      <w:r w:rsidR="00FE2D2A" w:rsidRPr="00B56986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politician linked to the Caesarean faction, that of a moderate conservative and, </w:t>
      </w:r>
      <w:r w:rsidR="00FE2D2A" w:rsidRPr="00B56986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lastly, </w:t>
      </w:r>
      <w:r w:rsidR="00FE2D2A" w:rsidRPr="00B56986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the </w:t>
      </w:r>
      <w:r w:rsidR="00FE2D2A" w:rsidRPr="00B56986">
        <w:rPr>
          <w:rFonts w:ascii="Times New Roman" w:hAnsi="Times New Roman" w:cs="Times New Roman"/>
          <w:color w:val="212121"/>
          <w:sz w:val="24"/>
          <w:szCs w:val="24"/>
          <w:lang w:val="en"/>
        </w:rPr>
        <w:t>world-wise</w:t>
      </w:r>
      <w:r w:rsidR="00FE2D2A" w:rsidRPr="00B56986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populism of a man who knew how to build consensus by marrying the cause of the people and material well-being at the price of freedom.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Philo, by contrast, i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n the pages of extraordinary acumen </w:t>
      </w:r>
      <w:r w:rsidR="00FE2D2A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in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his </w:t>
      </w:r>
      <w:r w:rsidRPr="00B56986">
        <w:rPr>
          <w:rFonts w:ascii="Times New Roman" w:eastAsia="Palatino Linotype" w:hAnsi="Times New Roman" w:cs="Times New Roman"/>
          <w:i/>
          <w:iCs/>
          <w:sz w:val="24"/>
          <w:szCs w:val="24"/>
          <w:u w:color="000000"/>
          <w:lang w:val="it-IT"/>
        </w:rPr>
        <w:t>de Josepho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it-IT"/>
        </w:rPr>
        <w:t>,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presents the politician as a man commanded by many masters and gives a first definition </w:t>
      </w:r>
      <w:r w:rsidRPr="00B56986">
        <w:rPr>
          <w:rFonts w:ascii="Times New Roman" w:eastAsia="Palatino Linotype" w:hAnsi="Times New Roman" w:cs="Times New Roman"/>
          <w:i/>
          <w:iCs/>
          <w:sz w:val="24"/>
          <w:szCs w:val="24"/>
          <w:u w:color="000000"/>
          <w:lang w:val="it-IT"/>
        </w:rPr>
        <w:t xml:space="preserve">ante litteram 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of populism. </w:t>
      </w:r>
      <w:r w:rsidR="00FE2D2A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W</w:t>
      </w:r>
      <w:r w:rsidR="00FE2D2A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orks by modern scholars such as </w:t>
      </w:r>
      <w:r w:rsidR="00FE2D2A"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it-IT"/>
        </w:rPr>
        <w:t xml:space="preserve">Le Bon </w:t>
      </w:r>
      <w:r w:rsidR="00FE2D2A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and</w:t>
      </w:r>
      <w:r w:rsidR="00FE2D2A" w:rsidRPr="00B56986">
        <w:rPr>
          <w:rFonts w:ascii="Times New Roman" w:eastAsia="Palatino Linotype" w:hAnsi="Times New Roman" w:cs="Times New Roman"/>
          <w:sz w:val="24"/>
          <w:szCs w:val="24"/>
          <w:u w:color="000000"/>
          <w:lang w:val="it-IT"/>
        </w:rPr>
        <w:t xml:space="preserve"> Ortega y Gasset</w:t>
      </w:r>
      <w:r w:rsidR="00FE2D2A"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will a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ccompany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 xml:space="preserve"> the literature and commentaries of the selected texts by ancient authors</w:t>
      </w:r>
      <w:r w:rsidRPr="00B56986">
        <w:rPr>
          <w:rFonts w:ascii="Times New Roman" w:eastAsia="Palatino Linotype" w:hAnsi="Times New Roman" w:cs="Times New Roman"/>
          <w:sz w:val="24"/>
          <w:szCs w:val="24"/>
          <w:u w:color="000000"/>
        </w:rPr>
        <w:t>.</w:t>
      </w:r>
    </w:p>
    <w:sectPr w:rsidR="005B3B2D" w:rsidRPr="00B5698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B0DB7" w14:textId="77777777" w:rsidR="00874F37" w:rsidRDefault="00874F37">
      <w:r>
        <w:separator/>
      </w:r>
    </w:p>
  </w:endnote>
  <w:endnote w:type="continuationSeparator" w:id="0">
    <w:p w14:paraId="7DB47E24" w14:textId="77777777" w:rsidR="00874F37" w:rsidRDefault="0087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2F18E" w14:textId="77777777" w:rsidR="005B3B2D" w:rsidRDefault="005B3B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CF312" w14:textId="77777777" w:rsidR="00874F37" w:rsidRDefault="00874F37">
      <w:r>
        <w:separator/>
      </w:r>
    </w:p>
  </w:footnote>
  <w:footnote w:type="continuationSeparator" w:id="0">
    <w:p w14:paraId="030CB944" w14:textId="77777777" w:rsidR="00874F37" w:rsidRDefault="0087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B3D96" w14:textId="77777777" w:rsidR="005B3B2D" w:rsidRDefault="005B3B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D94"/>
    <w:multiLevelType w:val="hybridMultilevel"/>
    <w:tmpl w:val="71B48FB2"/>
    <w:styleLink w:val="Lettered"/>
    <w:lvl w:ilvl="0" w:tplc="2BAE1E66">
      <w:start w:val="1"/>
      <w:numFmt w:val="upp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265CBA">
      <w:start w:val="1"/>
      <w:numFmt w:val="upp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72E404">
      <w:start w:val="1"/>
      <w:numFmt w:val="upp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E7292">
      <w:start w:val="1"/>
      <w:numFmt w:val="upp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A40C2E">
      <w:start w:val="1"/>
      <w:numFmt w:val="upp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3CC040">
      <w:start w:val="1"/>
      <w:numFmt w:val="upperLetter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803D24">
      <w:start w:val="1"/>
      <w:numFmt w:val="upp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EBB88">
      <w:start w:val="1"/>
      <w:numFmt w:val="upperLetter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5496F0">
      <w:start w:val="1"/>
      <w:numFmt w:val="upp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85D10F8"/>
    <w:multiLevelType w:val="hybridMultilevel"/>
    <w:tmpl w:val="71B48FB2"/>
    <w:numStyleLink w:val="Lettered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B2D"/>
    <w:rsid w:val="001F5858"/>
    <w:rsid w:val="005B3B2D"/>
    <w:rsid w:val="007D77EF"/>
    <w:rsid w:val="00874F37"/>
    <w:rsid w:val="0088120F"/>
    <w:rsid w:val="00993AF3"/>
    <w:rsid w:val="00B56986"/>
    <w:rsid w:val="00B82669"/>
    <w:rsid w:val="00D41488"/>
    <w:rsid w:val="00DD48E4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A921"/>
  <w15:docId w15:val="{E2C2919B-C3FE-4C48-90D9-E72A2451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it-IT"/>
    </w:rPr>
  </w:style>
  <w:style w:type="numbering" w:customStyle="1" w:styleId="Lettered">
    <w:name w:val="Lettered"/>
    <w:pPr>
      <w:numPr>
        <w:numId w:val="1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E2D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2D2A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Liron</cp:lastModifiedBy>
  <cp:revision>4</cp:revision>
  <dcterms:created xsi:type="dcterms:W3CDTF">2019-01-02T17:39:00Z</dcterms:created>
  <dcterms:modified xsi:type="dcterms:W3CDTF">2019-01-02T18:10:00Z</dcterms:modified>
</cp:coreProperties>
</file>