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806"/>
        <w:gridCol w:w="7582"/>
      </w:tblGrid>
      <w:tr w:rsidR="005263F6" w14:paraId="678F8054" w14:textId="77777777" w:rsidTr="005263F6">
        <w:tc>
          <w:tcPr>
            <w:tcW w:w="7694" w:type="dxa"/>
          </w:tcPr>
          <w:p w14:paraId="5A27AA55" w14:textId="77777777" w:rsidR="00A952AF" w:rsidRPr="00730CEE" w:rsidRDefault="00A952AF" w:rsidP="00A952AF">
            <w:pPr>
              <w:pStyle w:val="Absatzallgemein"/>
              <w:widowControl w:val="0"/>
              <w:rPr>
                <w:lang w:val="en-GB" w:bidi="he-IL"/>
              </w:rPr>
            </w:pPr>
          </w:p>
          <w:p w14:paraId="3EBE62E9" w14:textId="77777777" w:rsidR="00A952AF" w:rsidRPr="00730CEE" w:rsidRDefault="00A952AF" w:rsidP="00A952AF">
            <w:pPr>
              <w:pStyle w:val="Absatzallgemein"/>
              <w:widowControl w:val="0"/>
              <w:jc w:val="center"/>
              <w:rPr>
                <w:b/>
                <w:u w:val="single"/>
                <w:lang w:val="en-GB"/>
              </w:rPr>
            </w:pPr>
            <w:r w:rsidRPr="00730CEE">
              <w:rPr>
                <w:b/>
                <w:bCs/>
                <w:u w:val="single"/>
                <w:lang w:val="en-GB"/>
              </w:rPr>
              <w:t>Cooperative Venture Agreement</w:t>
            </w:r>
          </w:p>
          <w:p w14:paraId="28E54AEE" w14:textId="77777777" w:rsidR="00A952AF" w:rsidRPr="00730CEE" w:rsidRDefault="00A952AF" w:rsidP="00A952AF">
            <w:pPr>
              <w:pStyle w:val="Absatzallgemein"/>
              <w:widowControl w:val="0"/>
              <w:rPr>
                <w:lang w:val="en-GB"/>
              </w:rPr>
            </w:pPr>
          </w:p>
          <w:p w14:paraId="7F784E78" w14:textId="77777777" w:rsidR="00A952AF" w:rsidRPr="00730CEE" w:rsidRDefault="00A952AF" w:rsidP="00A952AF">
            <w:pPr>
              <w:pStyle w:val="Absatzallgemein"/>
              <w:widowControl w:val="0"/>
              <w:rPr>
                <w:lang w:val="en-GB"/>
              </w:rPr>
            </w:pPr>
          </w:p>
          <w:p w14:paraId="456752C5" w14:textId="77777777" w:rsidR="00A952AF" w:rsidRPr="00730CEE" w:rsidRDefault="00A952AF" w:rsidP="00A952AF">
            <w:pPr>
              <w:pStyle w:val="Absatzallgemein"/>
              <w:widowControl w:val="0"/>
              <w:jc w:val="center"/>
              <w:rPr>
                <w:lang w:val="en-GB"/>
              </w:rPr>
            </w:pPr>
            <w:r w:rsidRPr="00730CEE">
              <w:rPr>
                <w:lang w:val="en-GB"/>
              </w:rPr>
              <w:t>between</w:t>
            </w:r>
          </w:p>
          <w:p w14:paraId="27DF2F1A" w14:textId="77777777" w:rsidR="00A952AF" w:rsidRPr="00730CEE" w:rsidRDefault="00A952AF" w:rsidP="00A952AF">
            <w:pPr>
              <w:pStyle w:val="Absatzallgemein"/>
              <w:widowControl w:val="0"/>
              <w:rPr>
                <w:lang w:val="en-GB"/>
              </w:rPr>
            </w:pPr>
          </w:p>
          <w:p w14:paraId="381EC2A0" w14:textId="77777777" w:rsidR="00A952AF" w:rsidRPr="00730CEE" w:rsidRDefault="00A952AF" w:rsidP="00A952AF">
            <w:pPr>
              <w:pStyle w:val="Absatzallgemein"/>
              <w:widowControl w:val="0"/>
              <w:rPr>
                <w:lang w:val="en-GB"/>
              </w:rPr>
            </w:pPr>
            <w:r w:rsidRPr="00730CEE">
              <w:rPr>
                <w:b/>
                <w:bCs/>
                <w:lang w:val="en-GB"/>
              </w:rPr>
              <w:t>Mobileye Deutschland GmbH</w:t>
            </w:r>
            <w:r w:rsidRPr="00730CEE">
              <w:rPr>
                <w:lang w:val="en-GB"/>
              </w:rPr>
              <w:t xml:space="preserve">, </w:t>
            </w:r>
            <w:proofErr w:type="spellStart"/>
            <w:r w:rsidRPr="00730CEE">
              <w:rPr>
                <w:lang w:val="en-GB"/>
              </w:rPr>
              <w:t>Lütticher</w:t>
            </w:r>
            <w:proofErr w:type="spellEnd"/>
            <w:r w:rsidRPr="00730CEE">
              <w:rPr>
                <w:lang w:val="en-GB"/>
              </w:rPr>
              <w:t xml:space="preserve"> Str. 132, 40547 Düsseldorf, Germany</w:t>
            </w:r>
          </w:p>
          <w:p w14:paraId="0F1D4739" w14:textId="77777777" w:rsidR="00A952AF" w:rsidRPr="00730CEE" w:rsidRDefault="00A952AF" w:rsidP="00A952AF">
            <w:pPr>
              <w:pStyle w:val="AbsatzNummer"/>
              <w:widowControl w:val="0"/>
              <w:rPr>
                <w:lang w:val="en-GB"/>
              </w:rPr>
            </w:pPr>
          </w:p>
          <w:p w14:paraId="71421A0A" w14:textId="77777777" w:rsidR="00A952AF" w:rsidRPr="00730CEE" w:rsidRDefault="00A952AF" w:rsidP="00A952AF">
            <w:pPr>
              <w:pStyle w:val="Absatzeingerckt"/>
              <w:widowControl w:val="0"/>
              <w:jc w:val="right"/>
              <w:rPr>
                <w:lang w:val="en-GB"/>
              </w:rPr>
            </w:pPr>
            <w:r w:rsidRPr="00730CEE">
              <w:rPr>
                <w:lang w:val="en-GB"/>
              </w:rPr>
              <w:t>– referred to below as “</w:t>
            </w:r>
            <w:r w:rsidRPr="00730CEE">
              <w:rPr>
                <w:b/>
                <w:bCs/>
                <w:lang w:val="en-GB"/>
              </w:rPr>
              <w:t>Mobileye</w:t>
            </w:r>
            <w:r w:rsidRPr="00730CEE">
              <w:rPr>
                <w:lang w:val="en-GB"/>
              </w:rPr>
              <w:t>” –</w:t>
            </w:r>
          </w:p>
          <w:p w14:paraId="0FEDE4A7" w14:textId="77777777" w:rsidR="00A952AF" w:rsidRPr="00730CEE" w:rsidRDefault="00A952AF" w:rsidP="00A952AF">
            <w:pPr>
              <w:pStyle w:val="Absatzallgemein"/>
              <w:widowControl w:val="0"/>
              <w:rPr>
                <w:lang w:val="en-GB"/>
              </w:rPr>
            </w:pPr>
          </w:p>
          <w:p w14:paraId="34698740" w14:textId="77777777" w:rsidR="00A952AF" w:rsidRPr="00730CEE" w:rsidRDefault="00A952AF" w:rsidP="00A952AF">
            <w:pPr>
              <w:pStyle w:val="Absatzallgemein"/>
              <w:widowControl w:val="0"/>
              <w:rPr>
                <w:lang w:val="en-GB"/>
              </w:rPr>
            </w:pPr>
          </w:p>
          <w:p w14:paraId="4F767F03" w14:textId="77777777" w:rsidR="00A952AF" w:rsidRPr="00730CEE" w:rsidRDefault="00A952AF" w:rsidP="00A952AF">
            <w:pPr>
              <w:pStyle w:val="Absatzallgemein"/>
              <w:widowControl w:val="0"/>
              <w:jc w:val="center"/>
              <w:rPr>
                <w:lang w:val="en-GB"/>
              </w:rPr>
            </w:pPr>
            <w:r w:rsidRPr="00730CEE">
              <w:rPr>
                <w:lang w:val="en-GB"/>
              </w:rPr>
              <w:t>and</w:t>
            </w:r>
          </w:p>
          <w:p w14:paraId="0FF36AFD" w14:textId="77777777" w:rsidR="00A952AF" w:rsidRPr="00730CEE" w:rsidRDefault="00A952AF" w:rsidP="00A952AF">
            <w:pPr>
              <w:pStyle w:val="Absatzallgemein"/>
              <w:widowControl w:val="0"/>
              <w:rPr>
                <w:lang w:val="en-GB"/>
              </w:rPr>
            </w:pPr>
          </w:p>
          <w:p w14:paraId="085C17AC" w14:textId="77777777" w:rsidR="00A952AF" w:rsidRPr="00730CEE" w:rsidRDefault="00A952AF" w:rsidP="00A952AF">
            <w:pPr>
              <w:pStyle w:val="Absatzallgemein"/>
              <w:widowControl w:val="0"/>
              <w:rPr>
                <w:lang w:val="en-GB"/>
              </w:rPr>
            </w:pPr>
          </w:p>
          <w:p w14:paraId="5004D7F5" w14:textId="77777777" w:rsidR="00A952AF" w:rsidRPr="00730CEE" w:rsidRDefault="00A952AF" w:rsidP="00A952AF">
            <w:pPr>
              <w:pStyle w:val="Absatzallgemein"/>
              <w:widowControl w:val="0"/>
              <w:rPr>
                <w:lang w:val="en-GB"/>
              </w:rPr>
            </w:pPr>
            <w:r w:rsidRPr="00730CEE">
              <w:rPr>
                <w:b/>
                <w:bCs/>
                <w:lang w:val="en-GB"/>
              </w:rPr>
              <w:t xml:space="preserve">VIA IMC GmbH </w:t>
            </w:r>
            <w:proofErr w:type="spellStart"/>
            <w:r w:rsidRPr="00730CEE">
              <w:rPr>
                <w:b/>
                <w:bCs/>
                <w:lang w:val="en-GB"/>
              </w:rPr>
              <w:t>Infrastruktur</w:t>
            </w:r>
            <w:proofErr w:type="spellEnd"/>
            <w:r w:rsidRPr="00730CEE">
              <w:rPr>
                <w:b/>
                <w:bCs/>
                <w:lang w:val="en-GB"/>
              </w:rPr>
              <w:t xml:space="preserve"> Management Consulting</w:t>
            </w:r>
            <w:r w:rsidRPr="00730CEE">
              <w:rPr>
                <w:lang w:val="en-GB"/>
              </w:rPr>
              <w:t>, Franz-Ehrlich-Str. 5, 12489 Berlin, Germany</w:t>
            </w:r>
          </w:p>
          <w:p w14:paraId="64DDADDD" w14:textId="77777777" w:rsidR="00A952AF" w:rsidRPr="00730CEE" w:rsidRDefault="00A952AF" w:rsidP="00A952AF">
            <w:pPr>
              <w:pStyle w:val="AbsatzNummer"/>
              <w:widowControl w:val="0"/>
              <w:rPr>
                <w:lang w:val="en-GB"/>
              </w:rPr>
            </w:pPr>
          </w:p>
          <w:p w14:paraId="2763EBA7" w14:textId="77777777" w:rsidR="00A952AF" w:rsidRPr="00730CEE" w:rsidRDefault="00A952AF" w:rsidP="00A952AF">
            <w:pPr>
              <w:pStyle w:val="Absatzeingerckt"/>
              <w:widowControl w:val="0"/>
              <w:jc w:val="right"/>
              <w:rPr>
                <w:lang w:val="en-GB"/>
              </w:rPr>
            </w:pPr>
            <w:r w:rsidRPr="00730CEE">
              <w:rPr>
                <w:lang w:val="en-GB"/>
              </w:rPr>
              <w:t>– referred to below as “</w:t>
            </w:r>
            <w:r w:rsidRPr="00730CEE">
              <w:rPr>
                <w:b/>
                <w:bCs/>
                <w:lang w:val="en-GB"/>
              </w:rPr>
              <w:t>IMC</w:t>
            </w:r>
            <w:r w:rsidRPr="00730CEE">
              <w:rPr>
                <w:lang w:val="en-GB"/>
              </w:rPr>
              <w:t>” –</w:t>
            </w:r>
          </w:p>
          <w:p w14:paraId="3F541C84" w14:textId="77777777" w:rsidR="00A952AF" w:rsidRPr="00730CEE" w:rsidRDefault="00A952AF" w:rsidP="00A952AF">
            <w:pPr>
              <w:pStyle w:val="Absatzallgemein"/>
              <w:widowControl w:val="0"/>
              <w:rPr>
                <w:lang w:val="en-GB"/>
              </w:rPr>
            </w:pPr>
          </w:p>
          <w:p w14:paraId="18D6CC4C" w14:textId="77777777" w:rsidR="00A952AF" w:rsidRPr="00730CEE" w:rsidRDefault="00A952AF" w:rsidP="00A952AF">
            <w:pPr>
              <w:pStyle w:val="Absatzallgemein"/>
              <w:widowControl w:val="0"/>
              <w:rPr>
                <w:lang w:val="en-GB"/>
              </w:rPr>
            </w:pPr>
          </w:p>
          <w:p w14:paraId="03683902" w14:textId="77777777" w:rsidR="00A952AF" w:rsidRPr="00730CEE" w:rsidRDefault="00A952AF" w:rsidP="00A952AF">
            <w:pPr>
              <w:pStyle w:val="Absatzallgemein"/>
              <w:widowControl w:val="0"/>
              <w:jc w:val="right"/>
              <w:rPr>
                <w:rFonts w:eastAsia="Batang"/>
                <w:lang w:val="en-GB"/>
              </w:rPr>
            </w:pPr>
            <w:r w:rsidRPr="00730CEE">
              <w:rPr>
                <w:lang w:val="en-GB"/>
              </w:rPr>
              <w:t>– both referred to below as “</w:t>
            </w:r>
            <w:r w:rsidRPr="00730CEE">
              <w:rPr>
                <w:b/>
                <w:bCs/>
                <w:lang w:val="en-GB"/>
              </w:rPr>
              <w:t>Parties</w:t>
            </w:r>
            <w:r w:rsidRPr="00730CEE">
              <w:rPr>
                <w:lang w:val="en-GB"/>
              </w:rPr>
              <w:t>” –</w:t>
            </w:r>
          </w:p>
          <w:p w14:paraId="505FBA72" w14:textId="77777777" w:rsidR="00A952AF" w:rsidRPr="00730CEE" w:rsidRDefault="00A952AF" w:rsidP="00A952AF">
            <w:pPr>
              <w:pStyle w:val="Absatzallgemein"/>
              <w:widowControl w:val="0"/>
              <w:rPr>
                <w:lang w:val="en-GB"/>
              </w:rPr>
            </w:pPr>
          </w:p>
          <w:p w14:paraId="03809483" w14:textId="77777777" w:rsidR="00A952AF" w:rsidRPr="00730CEE" w:rsidRDefault="00A952AF" w:rsidP="00A952AF">
            <w:pPr>
              <w:pStyle w:val="Absatzallgemein"/>
              <w:widowControl w:val="0"/>
              <w:rPr>
                <w:lang w:val="en-GB"/>
              </w:rPr>
            </w:pPr>
          </w:p>
          <w:p w14:paraId="76CE2B0C" w14:textId="77777777" w:rsidR="00A952AF" w:rsidRPr="00730CEE" w:rsidRDefault="00A952AF" w:rsidP="00A952AF">
            <w:pPr>
              <w:pStyle w:val="Absatzallgemein"/>
              <w:widowControl w:val="0"/>
              <w:rPr>
                <w:lang w:val="en-GB"/>
              </w:rPr>
            </w:pPr>
            <w:r w:rsidRPr="00730CEE">
              <w:rPr>
                <w:lang w:val="en-GB"/>
              </w:rPr>
              <w:t xml:space="preserve">on a strategic alliance in respect of future data-based products and services to be developed by IMC, with the assistance of Mobileye, for digital traffic and infrastructure (asset) management </w:t>
            </w:r>
          </w:p>
          <w:p w14:paraId="1167CC89" w14:textId="77777777" w:rsidR="005263F6" w:rsidRDefault="005263F6"/>
        </w:tc>
        <w:tc>
          <w:tcPr>
            <w:tcW w:w="7694" w:type="dxa"/>
          </w:tcPr>
          <w:p w14:paraId="2605288A" w14:textId="77777777" w:rsidR="005263F6" w:rsidRPr="00730CEE" w:rsidRDefault="005263F6" w:rsidP="005263F6">
            <w:pPr>
              <w:pStyle w:val="Absatzallgemein"/>
              <w:widowControl w:val="0"/>
              <w:rPr>
                <w:lang w:val="en-GB" w:bidi="he-IL"/>
              </w:rPr>
            </w:pPr>
          </w:p>
          <w:p w14:paraId="2EF109E7" w14:textId="77777777" w:rsidR="005263F6" w:rsidRPr="00730CEE" w:rsidRDefault="005263F6" w:rsidP="005263F6">
            <w:pPr>
              <w:pStyle w:val="Absatzallgemein"/>
              <w:widowControl w:val="0"/>
              <w:jc w:val="center"/>
              <w:rPr>
                <w:b/>
                <w:u w:val="single"/>
              </w:rPr>
            </w:pPr>
            <w:r>
              <w:rPr>
                <w:b/>
                <w:bCs/>
                <w:u w:val="single"/>
              </w:rPr>
              <w:t>Kooperationsvereinbarung</w:t>
            </w:r>
          </w:p>
          <w:p w14:paraId="7015BF9A" w14:textId="77777777" w:rsidR="005263F6" w:rsidRPr="00730CEE" w:rsidRDefault="005263F6" w:rsidP="005263F6">
            <w:pPr>
              <w:pStyle w:val="Absatzallgemein"/>
              <w:widowControl w:val="0"/>
              <w:rPr>
                <w:lang w:val="en-GB"/>
              </w:rPr>
            </w:pPr>
          </w:p>
          <w:p w14:paraId="0D646B3D" w14:textId="77777777" w:rsidR="005263F6" w:rsidRPr="00730CEE" w:rsidRDefault="005263F6" w:rsidP="005263F6">
            <w:pPr>
              <w:pStyle w:val="Absatzallgemein"/>
              <w:widowControl w:val="0"/>
              <w:rPr>
                <w:lang w:val="en-GB"/>
              </w:rPr>
            </w:pPr>
          </w:p>
          <w:p w14:paraId="6072B30A" w14:textId="77777777" w:rsidR="005263F6" w:rsidRPr="00730CEE" w:rsidRDefault="005263F6" w:rsidP="005263F6">
            <w:pPr>
              <w:pStyle w:val="Absatzallgemein"/>
              <w:widowControl w:val="0"/>
              <w:jc w:val="center"/>
            </w:pPr>
            <w:r w:rsidRPr="005751F7">
              <w:t>zwischen</w:t>
            </w:r>
          </w:p>
          <w:p w14:paraId="2B4B6319" w14:textId="77777777" w:rsidR="005263F6" w:rsidRPr="00730CEE" w:rsidRDefault="005263F6" w:rsidP="005263F6">
            <w:pPr>
              <w:pStyle w:val="Absatzallgemein"/>
              <w:widowControl w:val="0"/>
              <w:rPr>
                <w:lang w:val="en-GB"/>
              </w:rPr>
            </w:pPr>
          </w:p>
          <w:p w14:paraId="06256F1B" w14:textId="77777777" w:rsidR="005263F6" w:rsidRPr="00730CEE" w:rsidRDefault="005263F6" w:rsidP="005263F6">
            <w:pPr>
              <w:pStyle w:val="Absatzallgemein"/>
              <w:widowControl w:val="0"/>
            </w:pPr>
            <w:r w:rsidRPr="00617A7D">
              <w:rPr>
                <w:b/>
                <w:bCs/>
              </w:rPr>
              <w:t>Mobileye</w:t>
            </w:r>
            <w:r>
              <w:rPr>
                <w:b/>
                <w:bCs/>
              </w:rPr>
              <w:t xml:space="preserve"> Deutschland GmbH</w:t>
            </w:r>
            <w:r>
              <w:t>, Lütticher Str. 132, 40547 Düsseldorf, Deutschland</w:t>
            </w:r>
          </w:p>
          <w:p w14:paraId="65241B0D" w14:textId="77777777" w:rsidR="005263F6" w:rsidRPr="00730CEE" w:rsidRDefault="005263F6" w:rsidP="005263F6">
            <w:pPr>
              <w:pStyle w:val="AbsatzNummer"/>
              <w:widowControl w:val="0"/>
              <w:rPr>
                <w:lang w:val="en-GB"/>
              </w:rPr>
            </w:pPr>
          </w:p>
          <w:p w14:paraId="352E9D10" w14:textId="77777777" w:rsidR="005263F6" w:rsidRPr="00730CEE" w:rsidRDefault="005263F6" w:rsidP="005263F6">
            <w:pPr>
              <w:pStyle w:val="Absatzeingerckt"/>
              <w:widowControl w:val="0"/>
              <w:jc w:val="right"/>
            </w:pPr>
            <w:r>
              <w:t>– im Folgenden kurz „</w:t>
            </w:r>
            <w:r w:rsidRPr="00617A7D">
              <w:rPr>
                <w:b/>
                <w:bCs/>
              </w:rPr>
              <w:t>Mobileye</w:t>
            </w:r>
            <w:r w:rsidRPr="005751F7">
              <w:t>“ –</w:t>
            </w:r>
          </w:p>
          <w:p w14:paraId="584C3266" w14:textId="77777777" w:rsidR="005263F6" w:rsidRPr="00730CEE" w:rsidRDefault="005263F6" w:rsidP="005263F6">
            <w:pPr>
              <w:pStyle w:val="Absatzallgemein"/>
              <w:widowControl w:val="0"/>
              <w:rPr>
                <w:lang w:val="en-GB"/>
              </w:rPr>
            </w:pPr>
          </w:p>
          <w:p w14:paraId="7E3646BF" w14:textId="77777777" w:rsidR="005263F6" w:rsidRPr="00730CEE" w:rsidRDefault="005263F6" w:rsidP="005263F6">
            <w:pPr>
              <w:pStyle w:val="Absatzallgemein"/>
              <w:widowControl w:val="0"/>
              <w:rPr>
                <w:lang w:val="en-GB"/>
              </w:rPr>
            </w:pPr>
          </w:p>
          <w:p w14:paraId="03450979" w14:textId="77777777" w:rsidR="005263F6" w:rsidRPr="00730CEE" w:rsidRDefault="005263F6" w:rsidP="005263F6">
            <w:pPr>
              <w:pStyle w:val="Absatzallgemein"/>
              <w:widowControl w:val="0"/>
              <w:jc w:val="center"/>
            </w:pPr>
            <w:r w:rsidRPr="005751F7">
              <w:t>und</w:t>
            </w:r>
          </w:p>
          <w:p w14:paraId="0A8912A5" w14:textId="77777777" w:rsidR="005263F6" w:rsidRPr="00730CEE" w:rsidRDefault="005263F6" w:rsidP="005263F6">
            <w:pPr>
              <w:pStyle w:val="Absatzallgemein"/>
              <w:widowControl w:val="0"/>
              <w:rPr>
                <w:lang w:val="en-GB"/>
              </w:rPr>
            </w:pPr>
          </w:p>
          <w:p w14:paraId="479CF373" w14:textId="77777777" w:rsidR="005263F6" w:rsidRPr="00730CEE" w:rsidRDefault="005263F6" w:rsidP="005263F6">
            <w:pPr>
              <w:pStyle w:val="Absatzallgemein"/>
              <w:widowControl w:val="0"/>
              <w:rPr>
                <w:lang w:val="en-GB"/>
              </w:rPr>
            </w:pPr>
          </w:p>
          <w:p w14:paraId="6B345363" w14:textId="77777777" w:rsidR="005263F6" w:rsidRPr="00730CEE" w:rsidRDefault="005263F6" w:rsidP="005263F6">
            <w:pPr>
              <w:pStyle w:val="Absatzallgemein"/>
              <w:widowControl w:val="0"/>
            </w:pPr>
            <w:r>
              <w:rPr>
                <w:b/>
                <w:bCs/>
              </w:rPr>
              <w:t xml:space="preserve">VIA </w:t>
            </w:r>
            <w:r w:rsidRPr="00617A7D">
              <w:rPr>
                <w:b/>
                <w:bCs/>
              </w:rPr>
              <w:t>IMC</w:t>
            </w:r>
            <w:r>
              <w:rPr>
                <w:b/>
                <w:bCs/>
              </w:rPr>
              <w:t xml:space="preserve"> GmbH Infrastruktur Management Consulting</w:t>
            </w:r>
            <w:r>
              <w:t>, Franz-Ehrlich-Str. 5, 12489 Berlin, Deutschland</w:t>
            </w:r>
          </w:p>
          <w:p w14:paraId="516FFEF7" w14:textId="77777777" w:rsidR="005263F6" w:rsidRPr="00730CEE" w:rsidRDefault="005263F6" w:rsidP="005263F6">
            <w:pPr>
              <w:pStyle w:val="AbsatzNummer"/>
              <w:widowControl w:val="0"/>
              <w:rPr>
                <w:lang w:val="en-GB"/>
              </w:rPr>
            </w:pPr>
          </w:p>
          <w:p w14:paraId="50952943" w14:textId="77777777" w:rsidR="005263F6" w:rsidRPr="00730CEE" w:rsidRDefault="005263F6" w:rsidP="005263F6">
            <w:pPr>
              <w:pStyle w:val="Absatzeingerckt"/>
              <w:widowControl w:val="0"/>
              <w:jc w:val="right"/>
            </w:pPr>
            <w:r>
              <w:t>– im Folgenden kurz „</w:t>
            </w:r>
            <w:r w:rsidRPr="00617A7D">
              <w:rPr>
                <w:b/>
                <w:bCs/>
              </w:rPr>
              <w:t>IMC</w:t>
            </w:r>
            <w:r w:rsidRPr="005751F7">
              <w:t>“ –</w:t>
            </w:r>
          </w:p>
          <w:p w14:paraId="055CDFE3" w14:textId="77777777" w:rsidR="005263F6" w:rsidRPr="00730CEE" w:rsidRDefault="005263F6" w:rsidP="005263F6">
            <w:pPr>
              <w:pStyle w:val="Absatzallgemein"/>
              <w:widowControl w:val="0"/>
              <w:rPr>
                <w:lang w:val="en-GB"/>
              </w:rPr>
            </w:pPr>
          </w:p>
          <w:p w14:paraId="5705B432" w14:textId="77777777" w:rsidR="005263F6" w:rsidRPr="00730CEE" w:rsidRDefault="005263F6" w:rsidP="005263F6">
            <w:pPr>
              <w:pStyle w:val="Absatzallgemein"/>
              <w:widowControl w:val="0"/>
              <w:rPr>
                <w:lang w:val="en-GB"/>
              </w:rPr>
            </w:pPr>
          </w:p>
          <w:p w14:paraId="10DECCDD" w14:textId="77777777" w:rsidR="005263F6" w:rsidRPr="00730CEE" w:rsidRDefault="005263F6" w:rsidP="005263F6">
            <w:pPr>
              <w:pStyle w:val="Absatzallgemein"/>
              <w:widowControl w:val="0"/>
              <w:jc w:val="right"/>
              <w:rPr>
                <w:rFonts w:eastAsia="Batang"/>
              </w:rPr>
            </w:pPr>
            <w:r>
              <w:t>– beide zusammen im Folgenden kurz „</w:t>
            </w:r>
            <w:r>
              <w:rPr>
                <w:b/>
                <w:bCs/>
              </w:rPr>
              <w:t>Parteien</w:t>
            </w:r>
            <w:r w:rsidRPr="005751F7">
              <w:t>“ –</w:t>
            </w:r>
          </w:p>
          <w:p w14:paraId="4E6606F0" w14:textId="77777777" w:rsidR="005263F6" w:rsidRPr="00730CEE" w:rsidRDefault="005263F6" w:rsidP="005263F6">
            <w:pPr>
              <w:pStyle w:val="Absatzallgemein"/>
              <w:widowControl w:val="0"/>
              <w:rPr>
                <w:lang w:val="en-GB"/>
              </w:rPr>
            </w:pPr>
          </w:p>
          <w:p w14:paraId="3B24F80F" w14:textId="77777777" w:rsidR="005263F6" w:rsidRPr="00730CEE" w:rsidRDefault="005263F6" w:rsidP="005263F6">
            <w:pPr>
              <w:pStyle w:val="Absatzallgemein"/>
              <w:widowControl w:val="0"/>
              <w:rPr>
                <w:lang w:val="en-GB"/>
              </w:rPr>
            </w:pPr>
          </w:p>
          <w:p w14:paraId="72F31C6F" w14:textId="77777777" w:rsidR="00B50CC6" w:rsidRDefault="005263F6" w:rsidP="005263F6">
            <w:pPr>
              <w:pStyle w:val="Absatzallgemein"/>
              <w:widowControl w:val="0"/>
            </w:pPr>
            <w:r w:rsidRPr="005751F7">
              <w:t>über</w:t>
            </w:r>
            <w:r>
              <w:t xml:space="preserve"> eine strategische Allianz in Bezug auf zukünftige datenbasierte Produkte und Dienstleistungen, die </w:t>
            </w:r>
            <w:r w:rsidRPr="00617A7D">
              <w:t>IMC</w:t>
            </w:r>
            <w:r>
              <w:t xml:space="preserve"> mit Unterstützung von </w:t>
            </w:r>
            <w:r w:rsidRPr="00617A7D">
              <w:t>Mobileye</w:t>
            </w:r>
            <w:r>
              <w:t xml:space="preserve"> für das digitale Verkehrs-und</w:t>
            </w:r>
            <w:r w:rsidR="00B50CC6">
              <w:t xml:space="preserve"> </w:t>
            </w:r>
            <w:r>
              <w:t xml:space="preserve"> Infrastruktur-</w:t>
            </w:r>
          </w:p>
          <w:p w14:paraId="144D2D3F" w14:textId="447AD1D7" w:rsidR="005263F6" w:rsidRPr="00730CEE" w:rsidRDefault="005263F6" w:rsidP="005263F6">
            <w:pPr>
              <w:pStyle w:val="Absatzallgemein"/>
              <w:widowControl w:val="0"/>
            </w:pPr>
            <w:r>
              <w:t>(Asset)</w:t>
            </w:r>
            <w:r w:rsidR="00B50CC6">
              <w:t xml:space="preserve"> </w:t>
            </w:r>
            <w:r>
              <w:t xml:space="preserve">Management entwickeln wird. </w:t>
            </w:r>
          </w:p>
          <w:p w14:paraId="561E682E" w14:textId="77777777" w:rsidR="005263F6" w:rsidRDefault="005263F6"/>
        </w:tc>
      </w:tr>
      <w:tr w:rsidR="005263F6" w14:paraId="6D920386" w14:textId="77777777" w:rsidTr="005263F6">
        <w:tc>
          <w:tcPr>
            <w:tcW w:w="7694" w:type="dxa"/>
          </w:tcPr>
          <w:p w14:paraId="0C7535CD" w14:textId="77777777" w:rsidR="00A952AF" w:rsidRPr="00730CEE" w:rsidRDefault="00A952AF" w:rsidP="00A952AF">
            <w:pPr>
              <w:pStyle w:val="Absatzallgemein"/>
              <w:widowControl w:val="0"/>
              <w:spacing w:before="240" w:after="180" w:line="240" w:lineRule="auto"/>
              <w:rPr>
                <w:b/>
                <w:sz w:val="28"/>
                <w:szCs w:val="28"/>
                <w:lang w:val="en-GB"/>
              </w:rPr>
            </w:pPr>
            <w:r w:rsidRPr="00730CEE">
              <w:rPr>
                <w:b/>
                <w:bCs/>
                <w:sz w:val="28"/>
                <w:szCs w:val="28"/>
                <w:lang w:val="en-GB"/>
              </w:rPr>
              <w:lastRenderedPageBreak/>
              <w:t>Preamble — Recitals</w:t>
            </w:r>
          </w:p>
          <w:p w14:paraId="079DC3CE" w14:textId="77777777" w:rsidR="00A952AF" w:rsidRPr="00730CEE" w:rsidRDefault="00A952AF" w:rsidP="00A952AF">
            <w:pPr>
              <w:pStyle w:val="Absatzallgemein"/>
              <w:widowControl w:val="0"/>
              <w:rPr>
                <w:lang w:val="en-GB"/>
              </w:rPr>
            </w:pPr>
            <w:r w:rsidRPr="00730CEE">
              <w:rPr>
                <w:lang w:val="en-GB"/>
              </w:rPr>
              <w:t xml:space="preserve">Having conducted exploratory joint events with potential clients for the purpose of ascertaining their interest and demand for specific potential products and services pertaining to digital </w:t>
            </w:r>
            <w:bookmarkStart w:id="0" w:name="_Hlk59103121"/>
            <w:r w:rsidRPr="00730CEE">
              <w:rPr>
                <w:lang w:val="en-GB"/>
              </w:rPr>
              <w:t>traffic and infrastructure (asset) management</w:t>
            </w:r>
            <w:bookmarkEnd w:id="0"/>
            <w:r w:rsidRPr="00730CEE">
              <w:rPr>
                <w:lang w:val="en-GB"/>
              </w:rPr>
              <w:t xml:space="preserve"> using Mobileye data as one source, that IMC might develop using its proprietary knowhow, the Parties hereby enter into the following Agreement with regard to the </w:t>
            </w:r>
            <w:bookmarkStart w:id="1" w:name="_Hlk59103096"/>
            <w:r w:rsidRPr="00730CEE">
              <w:rPr>
                <w:lang w:val="en-GB"/>
              </w:rPr>
              <w:t xml:space="preserve">development </w:t>
            </w:r>
            <w:bookmarkEnd w:id="1"/>
            <w:r w:rsidRPr="00730CEE">
              <w:rPr>
                <w:lang w:val="en-GB"/>
              </w:rPr>
              <w:t>of such products and services and their promotion and their marketing to potential clients in the Germany-Austria-Switzerland (DACH) region:</w:t>
            </w:r>
          </w:p>
          <w:p w14:paraId="4A6D7081" w14:textId="77777777" w:rsidR="00A952AF" w:rsidRPr="00730CEE" w:rsidRDefault="00A952AF" w:rsidP="00A952AF">
            <w:pPr>
              <w:pStyle w:val="Absatzallgemein"/>
              <w:widowControl w:val="0"/>
              <w:rPr>
                <w:lang w:val="en-GB"/>
              </w:rPr>
            </w:pPr>
          </w:p>
          <w:p w14:paraId="073B0BA2" w14:textId="77777777" w:rsidR="005263F6" w:rsidRDefault="005263F6"/>
        </w:tc>
        <w:tc>
          <w:tcPr>
            <w:tcW w:w="7694" w:type="dxa"/>
          </w:tcPr>
          <w:p w14:paraId="1A83C40F" w14:textId="77777777" w:rsidR="005263F6" w:rsidRPr="00730CEE" w:rsidRDefault="005263F6" w:rsidP="005263F6">
            <w:pPr>
              <w:pStyle w:val="Absatzallgemein"/>
              <w:widowControl w:val="0"/>
              <w:spacing w:before="240" w:after="180" w:line="240" w:lineRule="auto"/>
              <w:rPr>
                <w:b/>
                <w:sz w:val="28"/>
                <w:szCs w:val="28"/>
              </w:rPr>
            </w:pPr>
            <w:r>
              <w:rPr>
                <w:b/>
                <w:bCs/>
                <w:sz w:val="28"/>
                <w:szCs w:val="28"/>
              </w:rPr>
              <w:t>Präambel — Erwägungsgründe</w:t>
            </w:r>
          </w:p>
          <w:p w14:paraId="4C053B9B" w14:textId="4EF6B6EB" w:rsidR="005263F6" w:rsidRPr="00730CEE" w:rsidRDefault="005263F6" w:rsidP="005263F6">
            <w:pPr>
              <w:pStyle w:val="Absatzallgemein"/>
              <w:widowControl w:val="0"/>
            </w:pPr>
            <w:r>
              <w:t>Nach gemeinsamen Sondierungsveranstaltungen bei potenziellen Kunden zur Ermittlung des Interesses an und der Nachfrage nach bestimmten Produkten und Dienstleistungen im Bereich des digitalen Verkehrs- und Infrastruktur-</w:t>
            </w:r>
            <w:r w:rsidR="00B50CC6">
              <w:t xml:space="preserve"> </w:t>
            </w:r>
            <w:r>
              <w:t>(Asset)</w:t>
            </w:r>
            <w:r w:rsidR="00B50CC6">
              <w:t xml:space="preserve"> </w:t>
            </w:r>
            <w:r>
              <w:t xml:space="preserve">Management unter Nutzung von Daten der </w:t>
            </w:r>
            <w:r w:rsidRPr="00617A7D">
              <w:t>Mobileye</w:t>
            </w:r>
            <w:r>
              <w:t xml:space="preserve"> als eine Quelle, die die </w:t>
            </w:r>
            <w:r w:rsidRPr="00617A7D">
              <w:t>IMC</w:t>
            </w:r>
            <w:r>
              <w:t xml:space="preserve"> unter Einsatz ihres firmeneigenen Know-hows entwickeln könnte, schließen die Parteien hiermit die folgende Vereinbarung hinsichtlich der Entwicklung solcher Produkte und Dienstleistungen und deren Förderung und Vermarktung an potenzielle Kunden in der Region Deutschland-Österreich-Schweiz (D</w:t>
            </w:r>
            <w:r w:rsidR="0002320A">
              <w:t>-</w:t>
            </w:r>
            <w:r>
              <w:t>A</w:t>
            </w:r>
            <w:r w:rsidR="0002320A">
              <w:t>-</w:t>
            </w:r>
            <w:r>
              <w:t>CH):</w:t>
            </w:r>
          </w:p>
          <w:p w14:paraId="7F39F5A7" w14:textId="77777777" w:rsidR="005263F6" w:rsidRDefault="005263F6"/>
        </w:tc>
      </w:tr>
      <w:tr w:rsidR="005263F6" w14:paraId="2FF9B8F5" w14:textId="77777777" w:rsidTr="005263F6">
        <w:tc>
          <w:tcPr>
            <w:tcW w:w="7694" w:type="dxa"/>
          </w:tcPr>
          <w:p w14:paraId="10BEFCE6" w14:textId="77777777" w:rsidR="00A952AF" w:rsidRPr="00730CEE" w:rsidRDefault="00A952AF" w:rsidP="00A952AF">
            <w:pPr>
              <w:pStyle w:val="Absatzallgemein"/>
              <w:widowControl w:val="0"/>
              <w:rPr>
                <w:lang w:val="en-GB"/>
              </w:rPr>
            </w:pPr>
          </w:p>
          <w:p w14:paraId="09F8BC47" w14:textId="77777777" w:rsidR="00A952AF" w:rsidRPr="00730CEE" w:rsidRDefault="00A952AF" w:rsidP="00A952AF">
            <w:pPr>
              <w:pStyle w:val="Heading1"/>
              <w:keepNext w:val="0"/>
              <w:widowControl w:val="0"/>
              <w:numPr>
                <w:ilvl w:val="0"/>
                <w:numId w:val="1"/>
              </w:numPr>
              <w:tabs>
                <w:tab w:val="num" w:pos="360"/>
                <w:tab w:val="left" w:pos="3757"/>
              </w:tabs>
              <w:ind w:left="425" w:hanging="425"/>
              <w:outlineLvl w:val="0"/>
              <w:rPr>
                <w:lang w:val="en-GB"/>
              </w:rPr>
            </w:pPr>
            <w:r w:rsidRPr="00730CEE">
              <w:rPr>
                <w:lang w:val="en-GB"/>
              </w:rPr>
              <w:t>Subject matter of this Agreement</w:t>
            </w:r>
          </w:p>
          <w:p w14:paraId="265BB687" w14:textId="77777777" w:rsidR="00A952AF" w:rsidRPr="00730CEE" w:rsidRDefault="00A952AF" w:rsidP="00A952AF">
            <w:pPr>
              <w:pStyle w:val="Absatzallgemein"/>
              <w:widowControl w:val="0"/>
              <w:numPr>
                <w:ilvl w:val="1"/>
                <w:numId w:val="1"/>
              </w:numPr>
              <w:tabs>
                <w:tab w:val="clear" w:pos="567"/>
              </w:tabs>
              <w:ind w:left="1251"/>
              <w:rPr>
                <w:lang w:val="en-GB"/>
              </w:rPr>
            </w:pPr>
            <w:r w:rsidRPr="00730CEE">
              <w:rPr>
                <w:lang w:val="en-GB"/>
              </w:rPr>
              <w:t xml:space="preserve">The subject matter covered under this Agreement extends to: </w:t>
            </w:r>
          </w:p>
          <w:p w14:paraId="27761E81" w14:textId="77777777"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provisions governing the provision of Mobileye’s data to IMC for evaluation purposes; and </w:t>
            </w:r>
          </w:p>
          <w:p w14:paraId="797CFCF2" w14:textId="77777777"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provisions governing the Parties’ intended future joint promotion, marketing, and public relations and communication vis-à-vis potential clients of above-mentioned products and services. </w:t>
            </w:r>
          </w:p>
          <w:p w14:paraId="4B00D80F" w14:textId="761258C7" w:rsidR="00A952AF" w:rsidRPr="00730CEE" w:rsidRDefault="00A952AF" w:rsidP="00A952AF">
            <w:pPr>
              <w:pStyle w:val="Absatzallgemein"/>
              <w:widowControl w:val="0"/>
              <w:numPr>
                <w:ilvl w:val="1"/>
                <w:numId w:val="1"/>
              </w:numPr>
              <w:tabs>
                <w:tab w:val="clear" w:pos="567"/>
              </w:tabs>
              <w:ind w:left="1251"/>
              <w:rPr>
                <w:lang w:val="en-GB"/>
              </w:rPr>
            </w:pPr>
            <w:r w:rsidRPr="00730CEE">
              <w:rPr>
                <w:lang w:val="en-GB"/>
              </w:rPr>
              <w:t xml:space="preserve">Such products and services identified by virtue of the talks conducted to date as having market potential are to be found in </w:t>
            </w:r>
            <w:r w:rsidRPr="00730CEE">
              <w:rPr>
                <w:b/>
                <w:bCs/>
                <w:lang w:val="en-GB"/>
              </w:rPr>
              <w:t>Schedule 1</w:t>
            </w:r>
            <w:r w:rsidRPr="00730CEE">
              <w:rPr>
                <w:lang w:val="en-GB"/>
              </w:rPr>
              <w:t xml:space="preserve"> to this Agreement. Schedule 1 is not definitive or exhaustive and may be expanded by agreement between the parties, in the course of the cooperative venture, to </w:t>
            </w:r>
            <w:r w:rsidRPr="00730CEE">
              <w:rPr>
                <w:lang w:val="en-GB"/>
              </w:rPr>
              <w:lastRenderedPageBreak/>
              <w:t xml:space="preserve">include additional or replacement products and services. </w:t>
            </w:r>
            <w:r w:rsidR="007B3634">
              <w:rPr>
                <w:lang w:val="en-GB"/>
              </w:rPr>
              <w:br/>
            </w:r>
            <w:r w:rsidR="007B3634">
              <w:rPr>
                <w:lang w:val="en-GB"/>
              </w:rPr>
              <w:br/>
            </w:r>
          </w:p>
          <w:p w14:paraId="7A6D92EF" w14:textId="38E4C82C" w:rsidR="00A952AF" w:rsidRPr="00730CEE" w:rsidRDefault="00A952AF" w:rsidP="00A952AF">
            <w:pPr>
              <w:pStyle w:val="Absatzallgemein"/>
              <w:widowControl w:val="0"/>
              <w:numPr>
                <w:ilvl w:val="1"/>
                <w:numId w:val="1"/>
              </w:numPr>
              <w:tabs>
                <w:tab w:val="clear" w:pos="567"/>
              </w:tabs>
              <w:ind w:left="1251"/>
              <w:rPr>
                <w:lang w:val="en-GB"/>
              </w:rPr>
            </w:pPr>
            <w:r w:rsidRPr="00730CEE">
              <w:rPr>
                <w:lang w:val="en-GB"/>
              </w:rPr>
              <w:t xml:space="preserve">In order to fully assess potential products’ and services’ market potential, the Parties will perform the following: </w:t>
            </w:r>
            <w:r w:rsidR="007B3634">
              <w:rPr>
                <w:lang w:val="en-GB"/>
              </w:rPr>
              <w:br/>
            </w:r>
          </w:p>
          <w:p w14:paraId="58AAD2B5" w14:textId="77777777"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intensify the assessment of demand with regard to potential products and services already identified, and further potential products and services, </w:t>
            </w:r>
          </w:p>
          <w:p w14:paraId="2C625B92" w14:textId="2547B1CC"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engage in joint marketing of potential products and services, and</w:t>
            </w:r>
          </w:p>
          <w:p w14:paraId="545FC681" w14:textId="77777777"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conduct events, make publications and engage in other communication initiatives for promoting the acceptance and market launch of potential products and services. </w:t>
            </w:r>
          </w:p>
          <w:p w14:paraId="70F39E79" w14:textId="77777777" w:rsidR="007B3634" w:rsidRDefault="007B3634" w:rsidP="00A952AF">
            <w:pPr>
              <w:pStyle w:val="Absatzallgemein"/>
              <w:widowControl w:val="0"/>
              <w:tabs>
                <w:tab w:val="clear" w:pos="567"/>
              </w:tabs>
              <w:ind w:left="708"/>
              <w:rPr>
                <w:lang w:val="en-GB"/>
              </w:rPr>
            </w:pPr>
          </w:p>
          <w:p w14:paraId="019A9BCD" w14:textId="77777777" w:rsidR="007B3634" w:rsidRDefault="007B3634" w:rsidP="00A952AF">
            <w:pPr>
              <w:pStyle w:val="Absatzallgemein"/>
              <w:widowControl w:val="0"/>
              <w:tabs>
                <w:tab w:val="clear" w:pos="567"/>
              </w:tabs>
              <w:ind w:left="708"/>
              <w:rPr>
                <w:lang w:val="en-GB"/>
              </w:rPr>
            </w:pPr>
          </w:p>
          <w:p w14:paraId="794F343A" w14:textId="4A7CA4F1" w:rsidR="00A952AF" w:rsidRDefault="00A952AF" w:rsidP="00A952AF">
            <w:pPr>
              <w:pStyle w:val="Absatzallgemein"/>
              <w:widowControl w:val="0"/>
              <w:tabs>
                <w:tab w:val="clear" w:pos="567"/>
              </w:tabs>
              <w:ind w:left="708"/>
              <w:rPr>
                <w:lang w:val="en-GB"/>
              </w:rPr>
            </w:pPr>
            <w:r w:rsidRPr="00730CEE">
              <w:rPr>
                <w:lang w:val="en-GB"/>
              </w:rPr>
              <w:t xml:space="preserve">For this purpose, IMC will bring its contacts in the infrastructure and construction sector to bear, whereas Mobileye will provide technical expertise and resources, including, where expedient and on appropriate terms, sample datasets for possible client projects, depending on such </w:t>
            </w:r>
            <w:proofErr w:type="spellStart"/>
            <w:r w:rsidRPr="00730CEE">
              <w:rPr>
                <w:lang w:val="en-GB"/>
              </w:rPr>
              <w:t>datasets’</w:t>
            </w:r>
            <w:proofErr w:type="spellEnd"/>
            <w:r w:rsidRPr="00730CEE">
              <w:rPr>
                <w:lang w:val="en-GB"/>
              </w:rPr>
              <w:t xml:space="preserve"> availability.</w:t>
            </w:r>
          </w:p>
          <w:p w14:paraId="2AD0967B" w14:textId="77777777" w:rsidR="007B3634" w:rsidRPr="00730CEE" w:rsidRDefault="007B3634" w:rsidP="00A952AF">
            <w:pPr>
              <w:pStyle w:val="Absatzallgemein"/>
              <w:widowControl w:val="0"/>
              <w:tabs>
                <w:tab w:val="clear" w:pos="567"/>
              </w:tabs>
              <w:ind w:left="708"/>
              <w:rPr>
                <w:lang w:val="en-GB"/>
              </w:rPr>
            </w:pPr>
          </w:p>
          <w:p w14:paraId="6E938E74" w14:textId="77777777" w:rsidR="00A952AF" w:rsidRPr="00730CEE" w:rsidRDefault="00A952AF" w:rsidP="00A952AF">
            <w:pPr>
              <w:pStyle w:val="Absatzallgemein"/>
              <w:widowControl w:val="0"/>
              <w:numPr>
                <w:ilvl w:val="1"/>
                <w:numId w:val="1"/>
              </w:numPr>
              <w:tabs>
                <w:tab w:val="clear" w:pos="567"/>
              </w:tabs>
              <w:ind w:left="1251"/>
              <w:rPr>
                <w:iCs/>
                <w:lang w:val="en-GB"/>
              </w:rPr>
            </w:pPr>
            <w:r w:rsidRPr="00730CEE">
              <w:rPr>
                <w:lang w:val="en-GB"/>
              </w:rPr>
              <w:t xml:space="preserve">The Parties shall designate respective contact persons in order to </w:t>
            </w:r>
          </w:p>
          <w:p w14:paraId="2DCCDBDF" w14:textId="77777777"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confer upon and coordinate collaboration, </w:t>
            </w:r>
          </w:p>
          <w:p w14:paraId="271BCADC" w14:textId="77777777" w:rsidR="00A952AF" w:rsidRPr="00730CEE" w:rsidRDefault="00A952AF" w:rsidP="00A952AF">
            <w:pPr>
              <w:pStyle w:val="Absatzallgemein"/>
              <w:widowControl w:val="0"/>
              <w:numPr>
                <w:ilvl w:val="2"/>
                <w:numId w:val="1"/>
              </w:numPr>
              <w:tabs>
                <w:tab w:val="clear" w:pos="567"/>
              </w:tabs>
              <w:ind w:left="1418" w:hanging="709"/>
              <w:rPr>
                <w:lang w:val="en-GB"/>
              </w:rPr>
            </w:pPr>
            <w:r w:rsidRPr="00730CEE">
              <w:rPr>
                <w:lang w:val="en-GB"/>
              </w:rPr>
              <w:t>develop new use cases so as to expand the portfolio of products and services,</w:t>
            </w:r>
          </w:p>
          <w:p w14:paraId="70423362" w14:textId="1F29B9DD" w:rsidR="00A952AF"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define interim stages, milestones and work packages, </w:t>
            </w:r>
          </w:p>
          <w:p w14:paraId="1ECC0A36" w14:textId="77777777" w:rsidR="007B3634" w:rsidRPr="00730CEE" w:rsidRDefault="007B3634" w:rsidP="007B3634">
            <w:pPr>
              <w:pStyle w:val="Absatzallgemein"/>
              <w:widowControl w:val="0"/>
              <w:tabs>
                <w:tab w:val="clear" w:pos="567"/>
              </w:tabs>
              <w:ind w:left="1418"/>
              <w:rPr>
                <w:lang w:val="en-GB"/>
              </w:rPr>
            </w:pPr>
          </w:p>
          <w:p w14:paraId="36BA3229" w14:textId="14B07291" w:rsidR="00A952AF" w:rsidRDefault="00A952AF" w:rsidP="00A952AF">
            <w:pPr>
              <w:pStyle w:val="Absatzallgemein"/>
              <w:widowControl w:val="0"/>
              <w:numPr>
                <w:ilvl w:val="2"/>
                <w:numId w:val="1"/>
              </w:numPr>
              <w:tabs>
                <w:tab w:val="clear" w:pos="567"/>
              </w:tabs>
              <w:ind w:left="1418" w:hanging="709"/>
              <w:rPr>
                <w:lang w:val="en-GB"/>
              </w:rPr>
            </w:pPr>
            <w:r w:rsidRPr="00730CEE">
              <w:rPr>
                <w:lang w:val="en-GB"/>
              </w:rPr>
              <w:lastRenderedPageBreak/>
              <w:t>establish a viable timetable and resource plan, and</w:t>
            </w:r>
          </w:p>
          <w:p w14:paraId="23E11EBD" w14:textId="77777777" w:rsidR="007B3634" w:rsidRDefault="007B3634" w:rsidP="007B3634">
            <w:pPr>
              <w:pStyle w:val="ListParagraph"/>
            </w:pPr>
          </w:p>
          <w:p w14:paraId="5027D9F3" w14:textId="77777777" w:rsidR="007B3634" w:rsidRPr="00730CEE" w:rsidRDefault="007B3634" w:rsidP="007B3634">
            <w:pPr>
              <w:pStyle w:val="Absatzallgemein"/>
              <w:widowControl w:val="0"/>
              <w:tabs>
                <w:tab w:val="clear" w:pos="567"/>
              </w:tabs>
              <w:ind w:left="1418"/>
              <w:rPr>
                <w:lang w:val="en-GB"/>
              </w:rPr>
            </w:pPr>
          </w:p>
          <w:p w14:paraId="2023169A" w14:textId="0E64FBE0" w:rsidR="00A952AF" w:rsidRDefault="00A952AF" w:rsidP="00A952AF">
            <w:pPr>
              <w:pStyle w:val="Absatzallgemein"/>
              <w:widowControl w:val="0"/>
              <w:numPr>
                <w:ilvl w:val="2"/>
                <w:numId w:val="1"/>
              </w:numPr>
              <w:tabs>
                <w:tab w:val="clear" w:pos="567"/>
              </w:tabs>
              <w:ind w:left="1418" w:hanging="709"/>
              <w:rPr>
                <w:lang w:val="en-GB"/>
              </w:rPr>
            </w:pPr>
            <w:r w:rsidRPr="00730CEE">
              <w:rPr>
                <w:lang w:val="en-GB"/>
              </w:rPr>
              <w:t xml:space="preserve">jointly carry out the points set out in section 1.3. </w:t>
            </w:r>
          </w:p>
          <w:p w14:paraId="531F713A" w14:textId="77777777" w:rsidR="007B3634" w:rsidRPr="00730CEE" w:rsidRDefault="007B3634" w:rsidP="007B3634">
            <w:pPr>
              <w:pStyle w:val="Absatzallgemein"/>
              <w:widowControl w:val="0"/>
              <w:tabs>
                <w:tab w:val="clear" w:pos="567"/>
              </w:tabs>
              <w:ind w:left="1418"/>
              <w:rPr>
                <w:lang w:val="en-GB"/>
              </w:rPr>
            </w:pPr>
          </w:p>
          <w:p w14:paraId="7D26E543" w14:textId="77777777" w:rsidR="00A952AF" w:rsidRPr="00730CEE" w:rsidRDefault="00A952AF" w:rsidP="00A952AF">
            <w:pPr>
              <w:pStyle w:val="Absatzallgemein"/>
              <w:widowControl w:val="0"/>
              <w:numPr>
                <w:ilvl w:val="1"/>
                <w:numId w:val="1"/>
              </w:numPr>
              <w:tabs>
                <w:tab w:val="clear" w:pos="567"/>
              </w:tabs>
              <w:ind w:left="1251"/>
              <w:rPr>
                <w:lang w:val="en-GB"/>
              </w:rPr>
            </w:pPr>
            <w:r w:rsidRPr="00730CEE">
              <w:rPr>
                <w:lang w:val="en-GB"/>
              </w:rPr>
              <w:t>Subsequent to the market launch of actual products and services (i.e. potential products and services which are determined to have market potential and which IMC therefore offers to the market) (the “</w:t>
            </w:r>
            <w:r w:rsidRPr="00730CEE">
              <w:rPr>
                <w:b/>
                <w:bCs/>
                <w:lang w:val="en-GB"/>
              </w:rPr>
              <w:t>Actual Products and Services</w:t>
            </w:r>
            <w:r w:rsidRPr="00730CEE">
              <w:rPr>
                <w:lang w:val="en-GB"/>
              </w:rPr>
              <w:t>”), plans have been or will be made to conduct forecast reconciliation reviews and adjustments on a regular basis and to derive corrective actions as needed for the joint achievement of the Agreement objectives.</w:t>
            </w:r>
          </w:p>
          <w:p w14:paraId="159E0F43" w14:textId="77777777" w:rsidR="005263F6" w:rsidRDefault="005263F6"/>
        </w:tc>
        <w:tc>
          <w:tcPr>
            <w:tcW w:w="7694" w:type="dxa"/>
          </w:tcPr>
          <w:p w14:paraId="0B571FAC" w14:textId="77777777" w:rsidR="005263F6" w:rsidRPr="005263F6" w:rsidRDefault="005263F6" w:rsidP="005263F6">
            <w:pPr>
              <w:widowControl w:val="0"/>
              <w:tabs>
                <w:tab w:val="left" w:pos="567"/>
              </w:tabs>
              <w:spacing w:line="360" w:lineRule="exact"/>
              <w:jc w:val="both"/>
              <w:rPr>
                <w:rFonts w:ascii="Arial" w:eastAsia="Times New Roman" w:hAnsi="Arial" w:cs="Times New Roman"/>
                <w:sz w:val="24"/>
                <w:szCs w:val="24"/>
              </w:rPr>
            </w:pPr>
          </w:p>
          <w:p w14:paraId="2866C38E" w14:textId="77777777" w:rsidR="005263F6" w:rsidRPr="005263F6" w:rsidRDefault="005263F6" w:rsidP="00A952AF">
            <w:pPr>
              <w:widowControl w:val="0"/>
              <w:numPr>
                <w:ilvl w:val="0"/>
                <w:numId w:val="8"/>
              </w:numPr>
              <w:tabs>
                <w:tab w:val="left" w:pos="425"/>
                <w:tab w:val="left" w:pos="3757"/>
              </w:tabs>
              <w:spacing w:before="240" w:after="180" w:line="360" w:lineRule="exact"/>
              <w:jc w:val="both"/>
              <w:outlineLvl w:val="0"/>
              <w:rPr>
                <w:rFonts w:ascii="Arial" w:eastAsia="Times New Roman" w:hAnsi="Arial" w:cs="Arial"/>
                <w:b/>
                <w:bCs/>
                <w:kern w:val="32"/>
                <w:sz w:val="28"/>
                <w:szCs w:val="32"/>
                <w:lang w:val="de-DE"/>
              </w:rPr>
            </w:pPr>
            <w:r w:rsidRPr="005263F6">
              <w:rPr>
                <w:rFonts w:ascii="Arial" w:eastAsia="Times New Roman" w:hAnsi="Arial" w:cs="Arial"/>
                <w:b/>
                <w:bCs/>
                <w:kern w:val="32"/>
                <w:sz w:val="28"/>
                <w:szCs w:val="32"/>
                <w:lang w:val="de-DE"/>
              </w:rPr>
              <w:t>Gegenstand dieser Vereinbarung</w:t>
            </w:r>
          </w:p>
          <w:p w14:paraId="0968EFA9" w14:textId="77777777" w:rsidR="005263F6" w:rsidRPr="005263F6" w:rsidRDefault="005263F6" w:rsidP="00A952AF">
            <w:pPr>
              <w:widowControl w:val="0"/>
              <w:numPr>
                <w:ilvl w:val="1"/>
                <w:numId w:val="8"/>
              </w:numPr>
              <w:spacing w:line="360" w:lineRule="exact"/>
              <w:ind w:left="1251"/>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Diese Vereinbarung regelt: </w:t>
            </w:r>
          </w:p>
          <w:p w14:paraId="19BEEE67"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unter welchen Bedingungen Mobileye der IMC Daten zu Evaluierungszwecken bereitstellt; und </w:t>
            </w:r>
          </w:p>
          <w:p w14:paraId="4CCCAE3F"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die Bedingungen für die beabsichtigte künftige gemeinsame Bewerbung, Vermarktung, Öffentlichkeitsarbeit und Kommunikation der Parteien gegenüber potenziellen Kunden für die vorgenannten Produkte und Dienstleistungen. </w:t>
            </w:r>
          </w:p>
          <w:p w14:paraId="63459601" w14:textId="77777777" w:rsidR="005263F6" w:rsidRPr="005263F6" w:rsidRDefault="005263F6" w:rsidP="00A952AF">
            <w:pPr>
              <w:widowControl w:val="0"/>
              <w:numPr>
                <w:ilvl w:val="1"/>
                <w:numId w:val="8"/>
              </w:numPr>
              <w:spacing w:line="360" w:lineRule="exact"/>
              <w:ind w:left="1251"/>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Die auf der Grundlage der bisher geführten Gespräche als marktfähig erkannten Produkte und Dienstleistungen sind in </w:t>
            </w:r>
            <w:r w:rsidRPr="005263F6">
              <w:rPr>
                <w:rFonts w:ascii="Arial" w:eastAsia="Times New Roman" w:hAnsi="Arial" w:cs="Times New Roman"/>
                <w:b/>
                <w:bCs/>
                <w:sz w:val="24"/>
                <w:szCs w:val="24"/>
                <w:lang w:val="de-DE"/>
              </w:rPr>
              <w:t>Anhang 1</w:t>
            </w:r>
            <w:r w:rsidRPr="005263F6">
              <w:rPr>
                <w:rFonts w:ascii="Arial" w:eastAsia="Times New Roman" w:hAnsi="Arial" w:cs="Times New Roman"/>
                <w:sz w:val="24"/>
                <w:szCs w:val="24"/>
                <w:lang w:val="de-DE"/>
              </w:rPr>
              <w:t xml:space="preserve"> zu dieser Vereinbarung aufgeführt. Diese Anhang 1 versteht sich weder als abschließend noch erschöpfend und kann in beiderseitigem Einverständnis </w:t>
            </w:r>
            <w:r w:rsidRPr="005263F6">
              <w:rPr>
                <w:rFonts w:ascii="Arial" w:eastAsia="Times New Roman" w:hAnsi="Arial" w:cs="Times New Roman"/>
                <w:sz w:val="24"/>
                <w:szCs w:val="24"/>
                <w:lang w:val="de-DE"/>
              </w:rPr>
              <w:lastRenderedPageBreak/>
              <w:t xml:space="preserve">der Parteien im Lauf ihrer Kooperation erweitert werden, um weitere oder Ersatzprodukte und -dienstleistungen zu enthalten. </w:t>
            </w:r>
          </w:p>
          <w:p w14:paraId="7F988C83" w14:textId="77777777" w:rsidR="005263F6" w:rsidRPr="005263F6" w:rsidRDefault="005263F6" w:rsidP="00A952AF">
            <w:pPr>
              <w:widowControl w:val="0"/>
              <w:numPr>
                <w:ilvl w:val="1"/>
                <w:numId w:val="8"/>
              </w:numPr>
              <w:spacing w:line="360" w:lineRule="exact"/>
              <w:ind w:left="1251"/>
              <w:jc w:val="both"/>
              <w:rPr>
                <w:rFonts w:ascii="Arial" w:eastAsia="Times New Roman" w:hAnsi="Arial" w:cs="Times New Roman"/>
                <w:sz w:val="24"/>
                <w:szCs w:val="24"/>
                <w:lang w:val="de-DE"/>
              </w:rPr>
            </w:pPr>
            <w:bookmarkStart w:id="2" w:name="_Ref67237898"/>
            <w:r w:rsidRPr="005263F6">
              <w:rPr>
                <w:rFonts w:ascii="Arial" w:eastAsia="Times New Roman" w:hAnsi="Arial" w:cs="Times New Roman"/>
                <w:sz w:val="24"/>
                <w:szCs w:val="24"/>
                <w:lang w:val="de-DE"/>
              </w:rPr>
              <w:t>Zur vollständigen Beurteilung der Markttauglichkeit dieser potenziellen Produkte und Dienstleistungen werden die Parteien:</w:t>
            </w:r>
            <w:bookmarkEnd w:id="2"/>
            <w:r w:rsidRPr="005263F6">
              <w:rPr>
                <w:rFonts w:ascii="Arial" w:eastAsia="Times New Roman" w:hAnsi="Arial" w:cs="Times New Roman"/>
                <w:sz w:val="24"/>
                <w:szCs w:val="24"/>
                <w:lang w:val="de-DE"/>
              </w:rPr>
              <w:t xml:space="preserve"> </w:t>
            </w:r>
          </w:p>
          <w:p w14:paraId="1A5369DD"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die Bedarfsermittlung im Hinblick auf bereits identifizierte sowie auch weitere potenzielle Produkte intensivieren, </w:t>
            </w:r>
          </w:p>
          <w:p w14:paraId="0D1108E6"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in Bezug auf potenzielle Produkte und Dienstleistungen gemeinsame Marketinganstrengungen unternehmen, und</w:t>
            </w:r>
          </w:p>
          <w:p w14:paraId="618F0937"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zur Förderung der Akzeptanz und zur Vorbereitung der Markteinführung potenzieller Produkte und Dienstleistungen Veranstaltungen organisieren, Publikationen auflegen und sich an weiteren Kommunikationsinitiativen beteiligen. </w:t>
            </w:r>
          </w:p>
          <w:p w14:paraId="47615C85" w14:textId="77777777" w:rsidR="005263F6" w:rsidRPr="005263F6" w:rsidRDefault="005263F6" w:rsidP="005263F6">
            <w:pPr>
              <w:widowControl w:val="0"/>
              <w:spacing w:line="360" w:lineRule="exact"/>
              <w:ind w:left="708"/>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Zu diesem Zweck wird die IMC ihre Kontakte im Infrastruktur- und Bausektor einbringen, während die Mobileye technisches Fachwissen und Ressourcen zur Verfügung stellen wird, wozu auch, sofern verfügbar, Musterdatensätze für mögliche Kundenprojekte zählen können, soweit zweckmäßig sind und zu angemessenen Bedingungen bereitgestellt werden können.</w:t>
            </w:r>
          </w:p>
          <w:p w14:paraId="7D27367A" w14:textId="77777777" w:rsidR="005263F6" w:rsidRPr="005263F6" w:rsidRDefault="005263F6" w:rsidP="00A952AF">
            <w:pPr>
              <w:widowControl w:val="0"/>
              <w:numPr>
                <w:ilvl w:val="1"/>
                <w:numId w:val="8"/>
              </w:numPr>
              <w:spacing w:line="360" w:lineRule="exact"/>
              <w:ind w:left="1251"/>
              <w:jc w:val="both"/>
              <w:rPr>
                <w:rFonts w:ascii="Arial" w:eastAsia="Times New Roman" w:hAnsi="Arial" w:cs="Times New Roman"/>
                <w:iCs/>
                <w:sz w:val="24"/>
                <w:szCs w:val="24"/>
                <w:lang w:val="de-DE"/>
              </w:rPr>
            </w:pPr>
            <w:r w:rsidRPr="005263F6">
              <w:rPr>
                <w:rFonts w:ascii="Arial" w:eastAsia="Times New Roman" w:hAnsi="Arial" w:cs="Times New Roman"/>
                <w:sz w:val="24"/>
                <w:szCs w:val="24"/>
                <w:lang w:val="de-DE"/>
              </w:rPr>
              <w:t xml:space="preserve">Die Parteien ernennen entsprechende Kontaktpersonen: </w:t>
            </w:r>
          </w:p>
          <w:p w14:paraId="6461D031"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zur Beratung über und Koordinierung der Zusammenarbeit; </w:t>
            </w:r>
          </w:p>
          <w:p w14:paraId="177CDAF8"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zur Entwicklung neuer Anwendungsfälle, um das Produkt- und Dienstleistungsportfolio zu erweitern;</w:t>
            </w:r>
          </w:p>
          <w:p w14:paraId="2BE9168A"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um Zwischenstufen, Meilensteine und Arbeitspakete zu definieren; </w:t>
            </w:r>
          </w:p>
          <w:p w14:paraId="281279AF"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lastRenderedPageBreak/>
              <w:t>zur Erstellung eines realistischen Zeit- und Ressourcenplans; und</w:t>
            </w:r>
          </w:p>
          <w:p w14:paraId="67D30856" w14:textId="77777777" w:rsidR="005263F6" w:rsidRPr="005263F6" w:rsidRDefault="005263F6" w:rsidP="00A952AF">
            <w:pPr>
              <w:widowControl w:val="0"/>
              <w:numPr>
                <w:ilvl w:val="2"/>
                <w:numId w:val="8"/>
              </w:numPr>
              <w:spacing w:line="360" w:lineRule="exact"/>
              <w:ind w:left="1418" w:hanging="709"/>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zur gemeinsamen Ausführung der in Abschnitt 1.3. dargelegten Punkte. </w:t>
            </w:r>
          </w:p>
          <w:p w14:paraId="25F3BC50" w14:textId="77777777" w:rsidR="005263F6" w:rsidRPr="005263F6" w:rsidRDefault="005263F6" w:rsidP="00A952AF">
            <w:pPr>
              <w:widowControl w:val="0"/>
              <w:numPr>
                <w:ilvl w:val="1"/>
                <w:numId w:val="8"/>
              </w:numPr>
              <w:spacing w:line="360" w:lineRule="exact"/>
              <w:ind w:left="1251"/>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Nach der Markteinführung der tatsächlichen Produkte und Dienstleistungen (d. h. der potenziellen Produkte und Dienstleistungen, die als marktfähig eingestuft werden und die die IMC daher dem Markt anbietet) (die „</w:t>
            </w:r>
            <w:r w:rsidRPr="005263F6">
              <w:rPr>
                <w:rFonts w:ascii="Arial" w:eastAsia="Times New Roman" w:hAnsi="Arial" w:cs="Times New Roman"/>
                <w:b/>
                <w:bCs/>
                <w:sz w:val="24"/>
                <w:szCs w:val="24"/>
                <w:lang w:val="de-DE"/>
              </w:rPr>
              <w:t>tatsächlichen Produkte und Dienstleistungen</w:t>
            </w:r>
            <w:r w:rsidRPr="005263F6">
              <w:rPr>
                <w:rFonts w:ascii="Arial" w:eastAsia="Times New Roman" w:hAnsi="Arial" w:cs="Times New Roman"/>
                <w:sz w:val="24"/>
                <w:szCs w:val="24"/>
                <w:lang w:val="de-DE"/>
              </w:rPr>
              <w:t xml:space="preserve">“) </w:t>
            </w:r>
            <w:commentRangeStart w:id="3"/>
            <w:r w:rsidRPr="005263F6">
              <w:rPr>
                <w:rFonts w:ascii="Arial" w:eastAsia="Times New Roman" w:hAnsi="Arial" w:cs="Times New Roman"/>
                <w:sz w:val="24"/>
                <w:szCs w:val="24"/>
                <w:lang w:val="de-DE"/>
              </w:rPr>
              <w:t xml:space="preserve">werden </w:t>
            </w:r>
            <w:commentRangeEnd w:id="3"/>
            <w:r w:rsidRPr="005263F6">
              <w:rPr>
                <w:rFonts w:ascii="Arial" w:eastAsia="Times New Roman" w:hAnsi="Arial" w:cs="Times New Roman"/>
                <w:sz w:val="16"/>
                <w:szCs w:val="16"/>
                <w:lang w:val="de-DE"/>
              </w:rPr>
              <w:commentReference w:id="3"/>
            </w:r>
            <w:r w:rsidRPr="005263F6">
              <w:rPr>
                <w:rFonts w:ascii="Arial" w:eastAsia="Times New Roman" w:hAnsi="Arial" w:cs="Times New Roman"/>
                <w:sz w:val="24"/>
                <w:szCs w:val="24"/>
                <w:lang w:val="de-DE"/>
              </w:rPr>
              <w:t>Pläne zur Vornahme regelmäßiger Überprüfungen und Anpassungen des Prognoseabgleichs und für ggf. erforderliche Korrekturmaßnahmen zur gemeinsamen Erreichung der Vertragsziele erstellt.</w:t>
            </w:r>
          </w:p>
          <w:p w14:paraId="128C0036" w14:textId="77777777" w:rsidR="005263F6" w:rsidRPr="005263F6" w:rsidRDefault="005263F6" w:rsidP="005263F6">
            <w:pPr>
              <w:widowControl w:val="0"/>
              <w:spacing w:line="360" w:lineRule="exact"/>
              <w:ind w:left="1251"/>
              <w:jc w:val="both"/>
              <w:rPr>
                <w:rFonts w:ascii="Arial" w:eastAsia="Times New Roman" w:hAnsi="Arial" w:cs="Times New Roman"/>
                <w:sz w:val="24"/>
                <w:szCs w:val="24"/>
              </w:rPr>
            </w:pPr>
          </w:p>
          <w:p w14:paraId="6BBC4040" w14:textId="77777777" w:rsidR="005263F6" w:rsidRDefault="005263F6"/>
        </w:tc>
      </w:tr>
      <w:tr w:rsidR="005263F6" w14:paraId="3CA98E57" w14:textId="77777777" w:rsidTr="005263F6">
        <w:tc>
          <w:tcPr>
            <w:tcW w:w="7694" w:type="dxa"/>
          </w:tcPr>
          <w:p w14:paraId="7B1F3881" w14:textId="77777777" w:rsidR="00A952AF" w:rsidRPr="00730CEE" w:rsidRDefault="00A952AF" w:rsidP="00A952AF">
            <w:pPr>
              <w:pStyle w:val="Absatzallgemein"/>
              <w:widowControl w:val="0"/>
              <w:tabs>
                <w:tab w:val="clear" w:pos="567"/>
              </w:tabs>
              <w:ind w:left="1251"/>
              <w:rPr>
                <w:lang w:val="en-GB"/>
              </w:rPr>
            </w:pPr>
          </w:p>
          <w:p w14:paraId="77C7A56B" w14:textId="78E4DDA4" w:rsidR="00A952AF" w:rsidRDefault="00A952AF" w:rsidP="00A952AF">
            <w:pPr>
              <w:pStyle w:val="Heading1"/>
              <w:keepNext w:val="0"/>
              <w:widowControl w:val="0"/>
              <w:numPr>
                <w:ilvl w:val="0"/>
                <w:numId w:val="8"/>
              </w:numPr>
              <w:tabs>
                <w:tab w:val="num" w:pos="360"/>
                <w:tab w:val="left" w:pos="3757"/>
              </w:tabs>
              <w:ind w:left="425" w:hanging="425"/>
              <w:outlineLvl w:val="0"/>
              <w:rPr>
                <w:lang w:val="en-GB"/>
              </w:rPr>
            </w:pPr>
            <w:r w:rsidRPr="00730CEE">
              <w:rPr>
                <w:lang w:val="en-GB"/>
              </w:rPr>
              <w:t>Mobileye provision of data during evaluation period</w:t>
            </w:r>
          </w:p>
          <w:p w14:paraId="7F17D0F0" w14:textId="77777777" w:rsidR="0002320A" w:rsidRPr="0002320A" w:rsidRDefault="0002320A" w:rsidP="0002320A"/>
          <w:p w14:paraId="4122041D" w14:textId="04AE4F00" w:rsidR="00A952AF" w:rsidRDefault="00A952AF" w:rsidP="00A952AF">
            <w:pPr>
              <w:pStyle w:val="Absatzallgemein"/>
              <w:widowControl w:val="0"/>
              <w:numPr>
                <w:ilvl w:val="1"/>
                <w:numId w:val="8"/>
              </w:numPr>
              <w:tabs>
                <w:tab w:val="clear" w:pos="567"/>
              </w:tabs>
              <w:ind w:left="1251"/>
              <w:rPr>
                <w:lang w:val="en-GB"/>
              </w:rPr>
            </w:pPr>
            <w:r w:rsidRPr="00730CEE">
              <w:rPr>
                <w:lang w:val="en-GB"/>
              </w:rPr>
              <w:t>Mobileye shall provide to IMC, for an initial development period of 9 months (the “</w:t>
            </w:r>
            <w:r w:rsidRPr="00730CEE">
              <w:rPr>
                <w:b/>
                <w:bCs/>
                <w:lang w:val="en-GB"/>
              </w:rPr>
              <w:t>Evaluation Period</w:t>
            </w:r>
            <w:r w:rsidRPr="00730CEE">
              <w:rPr>
                <w:lang w:val="en-GB"/>
              </w:rPr>
              <w:t>”), enough but not more than necessary anonymous raw data of German road (the “</w:t>
            </w:r>
            <w:r w:rsidRPr="00730CEE">
              <w:rPr>
                <w:b/>
                <w:bCs/>
                <w:lang w:val="en-GB"/>
              </w:rPr>
              <w:t>Mobileye Raw Data</w:t>
            </w:r>
            <w:r w:rsidRPr="00730CEE">
              <w:rPr>
                <w:lang w:val="en-GB"/>
              </w:rPr>
              <w:t xml:space="preserve">”), usable without any further data privacy actions, and IMC may use the Mobileye Raw Data a) to analyse their structure, b) for comparison with other data sources and formats, c) for the internal development of new service concepts which will be and remain in IMC’s sole and full ownership including all respective ideas, materials, drafts, descriptions, etc.. </w:t>
            </w:r>
            <w:r w:rsidRPr="00730CEE">
              <w:rPr>
                <w:highlight w:val="yellow"/>
                <w:lang w:val="en-GB"/>
              </w:rPr>
              <w:lastRenderedPageBreak/>
              <w:t>‘Internal’ means in this case that IMC can use the data only for internal development at this stage, until a second stage, the commercialization agreement between both sides on the products will be developed and is in place.</w:t>
            </w:r>
          </w:p>
          <w:p w14:paraId="2E1962A8" w14:textId="1EEA8E97" w:rsidR="007B3634" w:rsidRDefault="007B3634" w:rsidP="007B3634">
            <w:pPr>
              <w:pStyle w:val="Absatzallgemein"/>
              <w:widowControl w:val="0"/>
              <w:tabs>
                <w:tab w:val="clear" w:pos="567"/>
              </w:tabs>
              <w:ind w:left="1251"/>
              <w:rPr>
                <w:lang w:val="en-GB"/>
              </w:rPr>
            </w:pPr>
          </w:p>
          <w:p w14:paraId="276CFC3E" w14:textId="1B1591A5" w:rsidR="007B3634" w:rsidRDefault="007B3634" w:rsidP="007B3634">
            <w:pPr>
              <w:pStyle w:val="Absatzallgemein"/>
              <w:widowControl w:val="0"/>
              <w:tabs>
                <w:tab w:val="clear" w:pos="567"/>
              </w:tabs>
              <w:ind w:left="1251"/>
              <w:rPr>
                <w:lang w:val="en-GB"/>
              </w:rPr>
            </w:pPr>
          </w:p>
          <w:p w14:paraId="3FD0E248" w14:textId="4B85C856" w:rsidR="007B3634" w:rsidRDefault="007B3634" w:rsidP="007B3634">
            <w:pPr>
              <w:pStyle w:val="Absatzallgemein"/>
              <w:widowControl w:val="0"/>
              <w:tabs>
                <w:tab w:val="clear" w:pos="567"/>
              </w:tabs>
              <w:ind w:left="1251"/>
              <w:rPr>
                <w:lang w:val="en-GB"/>
              </w:rPr>
            </w:pPr>
          </w:p>
          <w:p w14:paraId="66635F76" w14:textId="77777777" w:rsidR="007B3634" w:rsidRPr="00730CEE" w:rsidRDefault="007B3634" w:rsidP="007B3634">
            <w:pPr>
              <w:pStyle w:val="Absatzallgemein"/>
              <w:widowControl w:val="0"/>
              <w:tabs>
                <w:tab w:val="clear" w:pos="567"/>
              </w:tabs>
              <w:ind w:left="1251"/>
              <w:rPr>
                <w:lang w:val="en-GB"/>
              </w:rPr>
            </w:pPr>
          </w:p>
          <w:p w14:paraId="5104AB52" w14:textId="0D521201" w:rsidR="00A952AF" w:rsidRDefault="00A952AF" w:rsidP="00A952AF">
            <w:pPr>
              <w:pStyle w:val="Absatzallgemein"/>
              <w:widowControl w:val="0"/>
              <w:numPr>
                <w:ilvl w:val="1"/>
                <w:numId w:val="8"/>
              </w:numPr>
              <w:tabs>
                <w:tab w:val="clear" w:pos="567"/>
              </w:tabs>
              <w:ind w:left="1251"/>
              <w:rPr>
                <w:lang w:val="en-GB"/>
              </w:rPr>
            </w:pPr>
            <w:r w:rsidRPr="00730CEE">
              <w:rPr>
                <w:lang w:val="en-GB"/>
              </w:rPr>
              <w:t xml:space="preserve">In addition to this </w:t>
            </w:r>
            <w:r w:rsidRPr="00730CEE">
              <w:rPr>
                <w:b/>
                <w:lang w:val="en-GB"/>
              </w:rPr>
              <w:t>Cooperative Venture Agreement</w:t>
            </w:r>
            <w:r w:rsidRPr="00730CEE">
              <w:rPr>
                <w:lang w:val="en-GB"/>
              </w:rPr>
              <w:t xml:space="preserve"> and on condition that it does not provide for more specific terms of use, Mobileye’s terms set out in </w:t>
            </w:r>
            <w:r w:rsidRPr="00730CEE">
              <w:rPr>
                <w:b/>
                <w:lang w:val="en-GB"/>
              </w:rPr>
              <w:t>Schedule 2</w:t>
            </w:r>
            <w:r w:rsidRPr="00730CEE">
              <w:rPr>
                <w:lang w:val="en-GB"/>
              </w:rPr>
              <w:t xml:space="preserve"> apply.</w:t>
            </w:r>
          </w:p>
          <w:p w14:paraId="20896591" w14:textId="520A1DCD" w:rsidR="007B3634" w:rsidRDefault="007B3634" w:rsidP="007B3634">
            <w:pPr>
              <w:pStyle w:val="Absatzallgemein"/>
              <w:widowControl w:val="0"/>
              <w:tabs>
                <w:tab w:val="clear" w:pos="567"/>
              </w:tabs>
              <w:ind w:left="1251"/>
              <w:rPr>
                <w:lang w:val="en-GB"/>
              </w:rPr>
            </w:pPr>
          </w:p>
          <w:p w14:paraId="3B2D3A03" w14:textId="78EC5B76" w:rsidR="00A952AF" w:rsidRDefault="00A952AF" w:rsidP="00A952AF">
            <w:pPr>
              <w:pStyle w:val="Absatzallgemein"/>
              <w:widowControl w:val="0"/>
              <w:numPr>
                <w:ilvl w:val="1"/>
                <w:numId w:val="8"/>
              </w:numPr>
              <w:tabs>
                <w:tab w:val="clear" w:pos="567"/>
              </w:tabs>
              <w:ind w:left="1251"/>
              <w:rPr>
                <w:lang w:val="en-GB"/>
              </w:rPr>
            </w:pPr>
            <w:r w:rsidRPr="00730CEE">
              <w:rPr>
                <w:lang w:val="en-GB"/>
              </w:rPr>
              <w:t xml:space="preserve">The Parties will use reasonable efforts to negotiate a separate agreement (the </w:t>
            </w:r>
            <w:r w:rsidRPr="00730CEE">
              <w:rPr>
                <w:b/>
                <w:bCs/>
                <w:lang w:val="en-GB"/>
              </w:rPr>
              <w:t>“Supplementary Agreement”</w:t>
            </w:r>
            <w:r w:rsidRPr="00730CEE">
              <w:rPr>
                <w:lang w:val="en-GB"/>
              </w:rPr>
              <w:t>) which will set out the terms (including as to scope and fees) on which IMC may generally use Mobileye data to underpin Actual Product and Services, and the terms on which they shall be offered, marketed and sold as products/services of IMC/the VINCI Group.</w:t>
            </w:r>
          </w:p>
          <w:p w14:paraId="1E7DABB7" w14:textId="56314A0B" w:rsidR="007B3634" w:rsidRDefault="007B3634" w:rsidP="007B3634">
            <w:pPr>
              <w:pStyle w:val="Absatzallgemein"/>
              <w:widowControl w:val="0"/>
              <w:tabs>
                <w:tab w:val="clear" w:pos="567"/>
              </w:tabs>
              <w:ind w:left="430"/>
              <w:rPr>
                <w:lang w:val="en-GB"/>
              </w:rPr>
            </w:pPr>
          </w:p>
          <w:p w14:paraId="3BF27B89" w14:textId="4FB78AD6" w:rsidR="007B3634" w:rsidRDefault="007B3634" w:rsidP="007B3634">
            <w:pPr>
              <w:pStyle w:val="Absatzallgemein"/>
              <w:widowControl w:val="0"/>
              <w:tabs>
                <w:tab w:val="clear" w:pos="567"/>
              </w:tabs>
              <w:ind w:left="430"/>
              <w:rPr>
                <w:lang w:val="en-GB"/>
              </w:rPr>
            </w:pPr>
          </w:p>
          <w:p w14:paraId="4F561320" w14:textId="77777777" w:rsidR="0002320A" w:rsidRPr="00730CEE" w:rsidRDefault="0002320A" w:rsidP="007B3634">
            <w:pPr>
              <w:pStyle w:val="Absatzallgemein"/>
              <w:widowControl w:val="0"/>
              <w:tabs>
                <w:tab w:val="clear" w:pos="567"/>
              </w:tabs>
              <w:ind w:left="430"/>
              <w:rPr>
                <w:lang w:val="en-GB"/>
              </w:rPr>
            </w:pPr>
          </w:p>
          <w:p w14:paraId="51175B08" w14:textId="607A140E" w:rsidR="00A952AF" w:rsidRDefault="00A952AF" w:rsidP="00A952AF">
            <w:pPr>
              <w:pStyle w:val="Absatzallgemein"/>
              <w:widowControl w:val="0"/>
              <w:numPr>
                <w:ilvl w:val="1"/>
                <w:numId w:val="8"/>
              </w:numPr>
              <w:tabs>
                <w:tab w:val="clear" w:pos="567"/>
              </w:tabs>
              <w:ind w:left="1251"/>
              <w:rPr>
                <w:lang w:val="en-GB"/>
              </w:rPr>
            </w:pPr>
            <w:r w:rsidRPr="00730CEE">
              <w:rPr>
                <w:lang w:val="en-GB"/>
              </w:rPr>
              <w:t xml:space="preserve">It is clarified that the Mobileye Raw Data and any other data which Mobileye later may make available will continue to belong to Mobileye, and that nothing prevents either Party from developing, offering, marketing or selling products/services similar to the Actual Product and Services elsewhere (other than as set out in section 3 below). </w:t>
            </w:r>
          </w:p>
          <w:p w14:paraId="46603C65" w14:textId="74F9CA53" w:rsidR="007B3634" w:rsidRDefault="007B3634" w:rsidP="007B3634">
            <w:pPr>
              <w:pStyle w:val="Absatzallgemein"/>
              <w:widowControl w:val="0"/>
              <w:tabs>
                <w:tab w:val="clear" w:pos="567"/>
              </w:tabs>
              <w:ind w:left="1251"/>
              <w:rPr>
                <w:lang w:val="en-GB"/>
              </w:rPr>
            </w:pPr>
          </w:p>
          <w:p w14:paraId="2DD3D7FA" w14:textId="3311552F" w:rsidR="007B3634" w:rsidRDefault="007B3634" w:rsidP="007B3634">
            <w:pPr>
              <w:pStyle w:val="Absatzallgemein"/>
              <w:widowControl w:val="0"/>
              <w:tabs>
                <w:tab w:val="clear" w:pos="567"/>
              </w:tabs>
              <w:ind w:left="1251"/>
              <w:rPr>
                <w:lang w:val="en-GB"/>
              </w:rPr>
            </w:pPr>
          </w:p>
          <w:p w14:paraId="3AFDAADD" w14:textId="77777777" w:rsidR="007B3634" w:rsidRPr="00730CEE" w:rsidRDefault="007B3634" w:rsidP="007B3634">
            <w:pPr>
              <w:pStyle w:val="Absatzallgemein"/>
              <w:widowControl w:val="0"/>
              <w:tabs>
                <w:tab w:val="clear" w:pos="567"/>
              </w:tabs>
              <w:ind w:left="1251"/>
              <w:rPr>
                <w:lang w:val="en-GB"/>
              </w:rPr>
            </w:pPr>
          </w:p>
          <w:p w14:paraId="080C28DD" w14:textId="77777777" w:rsidR="00A952AF" w:rsidRPr="00730CEE" w:rsidRDefault="00A952AF" w:rsidP="00A952AF">
            <w:pPr>
              <w:pStyle w:val="Absatzallgemein"/>
              <w:widowControl w:val="0"/>
              <w:numPr>
                <w:ilvl w:val="1"/>
                <w:numId w:val="8"/>
              </w:numPr>
              <w:tabs>
                <w:tab w:val="clear" w:pos="567"/>
              </w:tabs>
              <w:ind w:left="1251"/>
              <w:rPr>
                <w:lang w:val="en-GB"/>
              </w:rPr>
            </w:pPr>
            <w:r w:rsidRPr="00730CEE">
              <w:rPr>
                <w:lang w:val="en-GB"/>
              </w:rPr>
              <w:t>For the avoidance of doubt, each party retains ownership of its Background IPR and neither party assigns nor transfers any ownership interest in its Background IPR under this Agreement. “</w:t>
            </w:r>
            <w:r w:rsidRPr="00730CEE">
              <w:rPr>
                <w:b/>
                <w:bCs/>
                <w:lang w:val="en-GB"/>
              </w:rPr>
              <w:t>Background IPR</w:t>
            </w:r>
            <w:r w:rsidRPr="00730CEE">
              <w:rPr>
                <w:lang w:val="en-GB"/>
              </w:rPr>
              <w:t xml:space="preserve">” means intellectual property rights (including knowhow) owned, controlled, obtained, or licensed by a Party at any time prior to or during the term of the Agreement, or arising from development of technology created independently of this Agreement. </w:t>
            </w:r>
          </w:p>
          <w:p w14:paraId="1A396373" w14:textId="77777777" w:rsidR="005263F6" w:rsidRDefault="005263F6"/>
        </w:tc>
        <w:tc>
          <w:tcPr>
            <w:tcW w:w="7694" w:type="dxa"/>
          </w:tcPr>
          <w:p w14:paraId="05248604" w14:textId="77777777" w:rsidR="005263F6" w:rsidRPr="00730CEE" w:rsidRDefault="005263F6" w:rsidP="005263F6">
            <w:pPr>
              <w:pStyle w:val="Absatzallgemein"/>
              <w:widowControl w:val="0"/>
              <w:tabs>
                <w:tab w:val="clear" w:pos="567"/>
              </w:tabs>
              <w:ind w:left="1251"/>
              <w:rPr>
                <w:lang w:val="en-GB"/>
              </w:rPr>
            </w:pPr>
          </w:p>
          <w:p w14:paraId="6535E798" w14:textId="77777777" w:rsidR="005263F6" w:rsidRPr="00730CEE" w:rsidRDefault="005263F6" w:rsidP="007B3634">
            <w:pPr>
              <w:pStyle w:val="Heading1"/>
              <w:keepNext w:val="0"/>
              <w:widowControl w:val="0"/>
              <w:numPr>
                <w:ilvl w:val="0"/>
                <w:numId w:val="9"/>
              </w:numPr>
              <w:tabs>
                <w:tab w:val="left" w:pos="3757"/>
              </w:tabs>
              <w:outlineLvl w:val="0"/>
            </w:pPr>
            <w:r>
              <w:t xml:space="preserve">Datenbereitstellung seitens </w:t>
            </w:r>
            <w:r w:rsidRPr="00617A7D">
              <w:t>Mobileye</w:t>
            </w:r>
            <w:r>
              <w:t xml:space="preserve"> während des Evaluierungszeitraums</w:t>
            </w:r>
          </w:p>
          <w:p w14:paraId="6002AF7F" w14:textId="77777777" w:rsidR="005263F6" w:rsidRPr="00730CEE" w:rsidRDefault="005263F6" w:rsidP="007B3634">
            <w:pPr>
              <w:pStyle w:val="Absatzallgemein"/>
              <w:widowControl w:val="0"/>
              <w:numPr>
                <w:ilvl w:val="1"/>
                <w:numId w:val="9"/>
              </w:numPr>
              <w:tabs>
                <w:tab w:val="clear" w:pos="567"/>
              </w:tabs>
              <w:ind w:left="1251"/>
            </w:pPr>
            <w:r>
              <w:t xml:space="preserve">Die </w:t>
            </w:r>
            <w:r w:rsidRPr="00617A7D">
              <w:t>Mobileye</w:t>
            </w:r>
            <w:r>
              <w:t xml:space="preserve"> stellt der </w:t>
            </w:r>
            <w:r w:rsidRPr="00617A7D">
              <w:t>IMC</w:t>
            </w:r>
            <w:r>
              <w:t xml:space="preserve"> für einen anfänglichen Entwicklungszeitraum von 9 Monaten (der „</w:t>
            </w:r>
            <w:r>
              <w:rPr>
                <w:b/>
                <w:bCs/>
              </w:rPr>
              <w:t>Evaluationszeitraum“</w:t>
            </w:r>
            <w:r>
              <w:t xml:space="preserve">) anonyme Rohdaten des deutschen Straßenverkehrs (die „ </w:t>
            </w:r>
            <w:r w:rsidRPr="005751F7">
              <w:rPr>
                <w:b/>
                <w:bCs/>
              </w:rPr>
              <w:t>Mobileye-Rohdaten</w:t>
            </w:r>
            <w:r>
              <w:t xml:space="preserve"> “) in ausreichender Menge, jedoch nicht mehr als notwendig, zur Verfügung, die ohne weitere Datenschutzmaßnahmen verwendet werden können. Die </w:t>
            </w:r>
            <w:r w:rsidRPr="00617A7D">
              <w:t>IMC</w:t>
            </w:r>
            <w:r>
              <w:t xml:space="preserve"> darf diese </w:t>
            </w:r>
            <w:r w:rsidRPr="00617A7D">
              <w:t>Mobileye</w:t>
            </w:r>
            <w:r>
              <w:t xml:space="preserve">-Rohdaten </w:t>
            </w:r>
            <w:bookmarkStart w:id="5" w:name="_Hlk71549386"/>
            <w:r>
              <w:t xml:space="preserve">a) zur Analyse ihrer Struktur, b) zum Vergleich mit anderen Datenquellen und -formaten und c) zur internen Entwicklung neuer Servicekonzepte verwenden, </w:t>
            </w:r>
            <w:r>
              <w:lastRenderedPageBreak/>
              <w:t xml:space="preserve">die einschließlich aller jeweilige Ideen, Materialien, Entwürfe, Beschreibungen etc. im alleinigen und vollständigen Eigentum der </w:t>
            </w:r>
            <w:r w:rsidRPr="00617A7D">
              <w:t>IMC</w:t>
            </w:r>
            <w:r>
              <w:t xml:space="preserve"> verbleiben</w:t>
            </w:r>
            <w:bookmarkEnd w:id="5"/>
            <w:r>
              <w:t xml:space="preserve">. </w:t>
            </w:r>
            <w:r>
              <w:rPr>
                <w:highlight w:val="yellow"/>
              </w:rPr>
              <w:t xml:space="preserve">„Intern“ bedeutet in diesem Fall, dass die </w:t>
            </w:r>
            <w:r w:rsidRPr="00617A7D">
              <w:rPr>
                <w:highlight w:val="yellow"/>
              </w:rPr>
              <w:t>IMC</w:t>
            </w:r>
            <w:r>
              <w:rPr>
                <w:highlight w:val="yellow"/>
              </w:rPr>
              <w:t xml:space="preserve"> die Daten in dieser Phase nur für die interne Entwicklung verwenden kann, bis in einer zweiten Phase die Produkt-Kommerzialisierungsvereinbarung zwischen beiden Seiten entwickelt wird und in Kraft ist.</w:t>
            </w:r>
          </w:p>
          <w:p w14:paraId="62138FF3" w14:textId="77777777" w:rsidR="005263F6" w:rsidRPr="00730CEE" w:rsidRDefault="005263F6" w:rsidP="007B3634">
            <w:pPr>
              <w:pStyle w:val="Absatzallgemein"/>
              <w:widowControl w:val="0"/>
              <w:numPr>
                <w:ilvl w:val="1"/>
                <w:numId w:val="9"/>
              </w:numPr>
              <w:tabs>
                <w:tab w:val="clear" w:pos="567"/>
              </w:tabs>
              <w:ind w:left="1251"/>
            </w:pPr>
            <w:r>
              <w:t xml:space="preserve">Zusätzlich zu dieser </w:t>
            </w:r>
            <w:r>
              <w:rPr>
                <w:b/>
              </w:rPr>
              <w:t>Kooperationsvereinbarung,</w:t>
            </w:r>
            <w:r>
              <w:t xml:space="preserve"> und unter der Voraussetzung, dass sie keine spezifischeren Nutzungsbedingungen vorsieht, gelten die in</w:t>
            </w:r>
            <w:r>
              <w:rPr>
                <w:b/>
              </w:rPr>
              <w:t xml:space="preserve"> Anhang 2 </w:t>
            </w:r>
            <w:r>
              <w:t xml:space="preserve">aufgeführten Bedingungen von </w:t>
            </w:r>
            <w:r w:rsidRPr="00617A7D">
              <w:t>Mobileye</w:t>
            </w:r>
            <w:r>
              <w:t>.</w:t>
            </w:r>
          </w:p>
          <w:p w14:paraId="23863DF0" w14:textId="77777777" w:rsidR="005263F6" w:rsidRPr="00730CEE" w:rsidRDefault="005263F6" w:rsidP="007B3634">
            <w:pPr>
              <w:pStyle w:val="Absatzallgemein"/>
              <w:widowControl w:val="0"/>
              <w:numPr>
                <w:ilvl w:val="1"/>
                <w:numId w:val="9"/>
              </w:numPr>
              <w:tabs>
                <w:tab w:val="clear" w:pos="567"/>
              </w:tabs>
              <w:ind w:left="1251"/>
            </w:pPr>
            <w:r>
              <w:t>Die Parteien werden sich in angemessener Weise bemühen, eine separate Vereinbarung (die „</w:t>
            </w:r>
            <w:r>
              <w:rPr>
                <w:b/>
                <w:bCs/>
              </w:rPr>
              <w:t>Zusatzvereinbarung</w:t>
            </w:r>
            <w:r>
              <w:t>“) auszuhandeln, in der die Bedingungen (</w:t>
            </w:r>
            <w:r w:rsidRPr="005751F7">
              <w:t>einschließlich Umfang</w:t>
            </w:r>
            <w:r>
              <w:t xml:space="preserve"> und Gebühren) festgelegt werden, unter denen die </w:t>
            </w:r>
            <w:r w:rsidRPr="00617A7D">
              <w:t>IMC</w:t>
            </w:r>
            <w:r>
              <w:t xml:space="preserve"> generell Daten der </w:t>
            </w:r>
            <w:r w:rsidRPr="00617A7D">
              <w:t>Mobileye</w:t>
            </w:r>
            <w:r>
              <w:t xml:space="preserve"> zur Untermauerung des eigentlichen Produkts und der Dienstleistungen nutzen darf, sowie die Bedingungen, unter denen diese als Produkte/Dienstleistungen der </w:t>
            </w:r>
            <w:r w:rsidRPr="00617A7D">
              <w:t>IMC</w:t>
            </w:r>
            <w:r>
              <w:t>/der VINCI-Gruppe angeboten, vermarktet und verkauft werden sollen.</w:t>
            </w:r>
          </w:p>
          <w:p w14:paraId="7002DFCD" w14:textId="77777777" w:rsidR="005263F6" w:rsidRPr="00730CEE" w:rsidRDefault="005263F6" w:rsidP="007B3634">
            <w:pPr>
              <w:pStyle w:val="Absatzallgemein"/>
              <w:widowControl w:val="0"/>
              <w:numPr>
                <w:ilvl w:val="1"/>
                <w:numId w:val="9"/>
              </w:numPr>
              <w:tabs>
                <w:tab w:val="clear" w:pos="567"/>
              </w:tabs>
              <w:ind w:left="1251"/>
            </w:pPr>
            <w:r>
              <w:t xml:space="preserve">Es wird klargestellt, dass die </w:t>
            </w:r>
            <w:r w:rsidRPr="00617A7D">
              <w:t>Mobileye</w:t>
            </w:r>
            <w:r>
              <w:t xml:space="preserve">-Rohdaten sowie auch alle anderen Daten, die ggf. zu einem späteren Zeitpunkt seitens </w:t>
            </w:r>
            <w:r w:rsidRPr="00617A7D">
              <w:t>Mobileye</w:t>
            </w:r>
            <w:r>
              <w:t xml:space="preserve"> zur Verfügung gestellt werden, weiterhin der </w:t>
            </w:r>
            <w:r w:rsidRPr="00617A7D">
              <w:t>Mobileye</w:t>
            </w:r>
            <w:r>
              <w:t xml:space="preserve"> gehören, und dass die Parteien nicht daran gehindert werden, Produkte/Dienstleistungen, die dem eigentlichen Produkt und den Dienstleistungen ähnlich sind, auch anderweitig zu entwickeln, anzubieten, </w:t>
            </w:r>
            <w:r>
              <w:lastRenderedPageBreak/>
              <w:t xml:space="preserve">zu vermarkten oder zu verkaufen (außer wie in Abschnitt 3 unten dargelegt). </w:t>
            </w:r>
          </w:p>
          <w:p w14:paraId="39509D7B" w14:textId="77777777" w:rsidR="005263F6" w:rsidRPr="00730CEE" w:rsidRDefault="005263F6" w:rsidP="007B3634">
            <w:pPr>
              <w:pStyle w:val="Absatzallgemein"/>
              <w:widowControl w:val="0"/>
              <w:numPr>
                <w:ilvl w:val="1"/>
                <w:numId w:val="9"/>
              </w:numPr>
              <w:tabs>
                <w:tab w:val="clear" w:pos="567"/>
              </w:tabs>
              <w:ind w:left="1251"/>
            </w:pPr>
            <w:r>
              <w:t xml:space="preserve">Zum Ausschluss jeglicher Zweifel sei hier festgehalten, dass jede Partei das ihre </w:t>
            </w:r>
            <w:r w:rsidRPr="005751F7">
              <w:t>zugrunde liegenden</w:t>
            </w:r>
            <w:r>
              <w:t xml:space="preserve"> geistigen Eigentumsrechte behält und dass keine Partei im Rahmen dieses Vertrags Rechte an eigenem </w:t>
            </w:r>
            <w:r w:rsidRPr="005751F7">
              <w:t>zugrunde liegenden</w:t>
            </w:r>
            <w:r>
              <w:t xml:space="preserve"> geistigen Eigentum überträgt. Der Begriff „</w:t>
            </w:r>
            <w:r w:rsidRPr="005751F7">
              <w:rPr>
                <w:b/>
                <w:bCs/>
              </w:rPr>
              <w:t>zugrunde liegende</w:t>
            </w:r>
            <w:r>
              <w:rPr>
                <w:b/>
                <w:bCs/>
              </w:rPr>
              <w:t xml:space="preserve"> geistige Eigentumsrechte</w:t>
            </w:r>
            <w:r>
              <w:t xml:space="preserve">“ bezeichnet Rechte an geistigem Eigentum (einschließlich Know-how), die sich zu einem beliebigen Zeitpunkt vor oder während der Laufzeit dieser Vereinbarung im Besitz einer Partei befinden, von ihr kontrolliert, erworben oder lizenziert werden, oder aus der Entwicklung einer Technologie stammen, die in keinem Zusammenhang mit dieser Vereinbarung steht. </w:t>
            </w:r>
          </w:p>
          <w:p w14:paraId="64B641A3" w14:textId="77777777" w:rsidR="005263F6" w:rsidRPr="00730CEE" w:rsidRDefault="005263F6" w:rsidP="005263F6">
            <w:pPr>
              <w:pStyle w:val="Absatzallgemein"/>
              <w:widowControl w:val="0"/>
              <w:tabs>
                <w:tab w:val="clear" w:pos="567"/>
              </w:tabs>
              <w:ind w:left="1251"/>
              <w:rPr>
                <w:lang w:val="en-GB"/>
              </w:rPr>
            </w:pPr>
          </w:p>
          <w:p w14:paraId="26A90174" w14:textId="77777777" w:rsidR="005263F6" w:rsidRDefault="005263F6"/>
        </w:tc>
      </w:tr>
      <w:tr w:rsidR="005263F6" w14:paraId="0B8DD3B7" w14:textId="77777777" w:rsidTr="005263F6">
        <w:tc>
          <w:tcPr>
            <w:tcW w:w="7694" w:type="dxa"/>
          </w:tcPr>
          <w:p w14:paraId="1CC449E3" w14:textId="77777777" w:rsidR="00A952AF" w:rsidRPr="00730CEE" w:rsidRDefault="00A952AF" w:rsidP="00A952AF">
            <w:pPr>
              <w:pStyle w:val="Absatzallgemein"/>
              <w:widowControl w:val="0"/>
              <w:tabs>
                <w:tab w:val="clear" w:pos="567"/>
              </w:tabs>
              <w:ind w:left="1251"/>
              <w:rPr>
                <w:lang w:val="en-GB"/>
              </w:rPr>
            </w:pPr>
          </w:p>
          <w:p w14:paraId="31534183" w14:textId="77777777" w:rsidR="00A952AF" w:rsidRPr="00730CEE" w:rsidRDefault="00A952AF" w:rsidP="007B3634">
            <w:pPr>
              <w:pStyle w:val="Heading1"/>
              <w:keepNext w:val="0"/>
              <w:widowControl w:val="0"/>
              <w:numPr>
                <w:ilvl w:val="0"/>
                <w:numId w:val="9"/>
              </w:numPr>
              <w:tabs>
                <w:tab w:val="num" w:pos="360"/>
                <w:tab w:val="left" w:pos="3757"/>
              </w:tabs>
              <w:ind w:left="425" w:hanging="425"/>
              <w:outlineLvl w:val="0"/>
              <w:rPr>
                <w:lang w:val="en-GB"/>
              </w:rPr>
            </w:pPr>
            <w:r w:rsidRPr="00730CEE">
              <w:rPr>
                <w:lang w:val="en-GB"/>
              </w:rPr>
              <w:t>Non-competition and non-solicitation clause</w:t>
            </w:r>
          </w:p>
          <w:p w14:paraId="62051355" w14:textId="77777777" w:rsidR="00A952AF" w:rsidRPr="00730CEE" w:rsidRDefault="00A952AF" w:rsidP="007B3634">
            <w:pPr>
              <w:pStyle w:val="Absatzallgemein"/>
              <w:widowControl w:val="0"/>
              <w:numPr>
                <w:ilvl w:val="1"/>
                <w:numId w:val="9"/>
              </w:numPr>
              <w:tabs>
                <w:tab w:val="clear" w:pos="567"/>
              </w:tabs>
              <w:ind w:left="1251"/>
              <w:rPr>
                <w:lang w:val="en-GB"/>
              </w:rPr>
            </w:pPr>
            <w:r w:rsidRPr="00730CEE">
              <w:rPr>
                <w:lang w:val="en-GB"/>
              </w:rPr>
              <w:t xml:space="preserve">The Parties shall use reasonable </w:t>
            </w:r>
            <w:proofErr w:type="spellStart"/>
            <w:r w:rsidRPr="00730CEE">
              <w:rPr>
                <w:lang w:val="en-GB"/>
              </w:rPr>
              <w:t>endeavors</w:t>
            </w:r>
            <w:proofErr w:type="spellEnd"/>
            <w:r w:rsidRPr="00730CEE">
              <w:rPr>
                <w:lang w:val="en-GB"/>
              </w:rPr>
              <w:t xml:space="preserve"> to achieve the successful market launch of the Actual Product and Services and shall co-operate in this respect. </w:t>
            </w:r>
          </w:p>
          <w:p w14:paraId="77C38E6D" w14:textId="3090C25E" w:rsidR="00A952AF" w:rsidRDefault="00A952AF" w:rsidP="007B3634">
            <w:pPr>
              <w:pStyle w:val="Absatzallgemein"/>
              <w:widowControl w:val="0"/>
              <w:numPr>
                <w:ilvl w:val="1"/>
                <w:numId w:val="9"/>
              </w:numPr>
              <w:tabs>
                <w:tab w:val="clear" w:pos="567"/>
              </w:tabs>
              <w:ind w:left="1251"/>
              <w:rPr>
                <w:lang w:val="en-GB"/>
              </w:rPr>
            </w:pPr>
            <w:r w:rsidRPr="00730CEE">
              <w:rPr>
                <w:lang w:val="en-GB"/>
              </w:rPr>
              <w:t xml:space="preserve">During the term of this Agreement, Mobileye may continue discussions with third parties set forth in </w:t>
            </w:r>
            <w:r w:rsidRPr="00730CEE">
              <w:rPr>
                <w:b/>
                <w:bCs/>
                <w:lang w:val="en-GB"/>
              </w:rPr>
              <w:t>Schedule 3A</w:t>
            </w:r>
            <w:r w:rsidRPr="00730CEE">
              <w:rPr>
                <w:lang w:val="en-GB"/>
              </w:rPr>
              <w:t xml:space="preserve"> (an “</w:t>
            </w:r>
            <w:r w:rsidRPr="00730CEE">
              <w:rPr>
                <w:b/>
                <w:bCs/>
                <w:lang w:val="en-GB"/>
              </w:rPr>
              <w:t>IMC</w:t>
            </w:r>
            <w:r w:rsidRPr="00730CEE">
              <w:rPr>
                <w:lang w:val="en-GB"/>
              </w:rPr>
              <w:t xml:space="preserve"> </w:t>
            </w:r>
            <w:r w:rsidRPr="00730CEE">
              <w:rPr>
                <w:b/>
                <w:bCs/>
                <w:lang w:val="en-GB"/>
              </w:rPr>
              <w:t>Direct Competitor</w:t>
            </w:r>
            <w:r w:rsidRPr="00730CEE">
              <w:rPr>
                <w:lang w:val="en-GB"/>
              </w:rPr>
              <w:t xml:space="preserve">”) with a view to entering into an agreement with a similar purpose as this Agreement; however, this shall not release Mobileye in any way from its confidentiality obligations vis-à-vis IMC under this </w:t>
            </w:r>
            <w:r w:rsidRPr="00730CEE">
              <w:rPr>
                <w:lang w:val="en-GB"/>
              </w:rPr>
              <w:lastRenderedPageBreak/>
              <w:t xml:space="preserve">Agreement. </w:t>
            </w:r>
          </w:p>
          <w:p w14:paraId="3C7D6112" w14:textId="3101CFF9" w:rsidR="007B3634" w:rsidRDefault="007B3634" w:rsidP="007B3634">
            <w:pPr>
              <w:pStyle w:val="Absatzallgemein"/>
              <w:widowControl w:val="0"/>
              <w:tabs>
                <w:tab w:val="clear" w:pos="567"/>
              </w:tabs>
              <w:rPr>
                <w:lang w:val="en-GB"/>
              </w:rPr>
            </w:pPr>
          </w:p>
          <w:p w14:paraId="2D945488" w14:textId="77777777" w:rsidR="007B3634" w:rsidRPr="00730CEE" w:rsidRDefault="007B3634" w:rsidP="007B3634">
            <w:pPr>
              <w:pStyle w:val="Absatzallgemein"/>
              <w:widowControl w:val="0"/>
              <w:tabs>
                <w:tab w:val="clear" w:pos="567"/>
              </w:tabs>
              <w:rPr>
                <w:lang w:val="en-GB"/>
              </w:rPr>
            </w:pPr>
          </w:p>
          <w:p w14:paraId="243BD0AE" w14:textId="2E7BAD6A" w:rsidR="00A952AF" w:rsidRDefault="00A952AF" w:rsidP="007B3634">
            <w:pPr>
              <w:pStyle w:val="Absatzallgemein"/>
              <w:widowControl w:val="0"/>
              <w:numPr>
                <w:ilvl w:val="1"/>
                <w:numId w:val="9"/>
              </w:numPr>
              <w:tabs>
                <w:tab w:val="clear" w:pos="567"/>
              </w:tabs>
              <w:ind w:left="1251"/>
              <w:rPr>
                <w:lang w:val="en-GB"/>
              </w:rPr>
            </w:pPr>
            <w:r w:rsidRPr="00730CEE">
              <w:rPr>
                <w:lang w:val="en-GB"/>
              </w:rPr>
              <w:t xml:space="preserve">During the term of this Agreement, IMC may continue pending discussions with third parties set forth in </w:t>
            </w:r>
            <w:r w:rsidRPr="00730CEE">
              <w:rPr>
                <w:b/>
                <w:bCs/>
                <w:lang w:val="en-GB"/>
              </w:rPr>
              <w:t>Schedule 3B</w:t>
            </w:r>
            <w:r w:rsidRPr="00730CEE">
              <w:rPr>
                <w:lang w:val="en-GB"/>
              </w:rPr>
              <w:t xml:space="preserve"> (a “</w:t>
            </w:r>
            <w:r w:rsidRPr="00730CEE">
              <w:rPr>
                <w:b/>
                <w:bCs/>
                <w:lang w:val="en-GB"/>
              </w:rPr>
              <w:t>Mobileye Direct Competitor</w:t>
            </w:r>
            <w:r w:rsidRPr="00730CEE">
              <w:rPr>
                <w:lang w:val="en-GB"/>
              </w:rPr>
              <w:t xml:space="preserve">”) with a view to entering into an agreement with a similar purpose as this Agreement; however, this shall not release IMC in any way from its confidentiality obligations vis-à-vis Mobileye under this Agreement. </w:t>
            </w:r>
          </w:p>
          <w:p w14:paraId="59B88456" w14:textId="77777777" w:rsidR="007B3634" w:rsidRPr="00730CEE" w:rsidRDefault="007B3634" w:rsidP="007B3634">
            <w:pPr>
              <w:pStyle w:val="Absatzallgemein"/>
              <w:widowControl w:val="0"/>
              <w:tabs>
                <w:tab w:val="clear" w:pos="567"/>
              </w:tabs>
              <w:ind w:left="1251"/>
              <w:rPr>
                <w:lang w:val="en-GB"/>
              </w:rPr>
            </w:pPr>
          </w:p>
          <w:p w14:paraId="25C1580A" w14:textId="77777777" w:rsidR="00A952AF" w:rsidRPr="00730CEE" w:rsidRDefault="00A952AF" w:rsidP="007B3634">
            <w:pPr>
              <w:pStyle w:val="Absatzallgemein"/>
              <w:widowControl w:val="0"/>
              <w:numPr>
                <w:ilvl w:val="1"/>
                <w:numId w:val="9"/>
              </w:numPr>
              <w:tabs>
                <w:tab w:val="clear" w:pos="567"/>
              </w:tabs>
              <w:ind w:left="1251"/>
              <w:rPr>
                <w:lang w:val="en-GB"/>
              </w:rPr>
            </w:pPr>
            <w:r w:rsidRPr="00730CEE">
              <w:rPr>
                <w:lang w:val="en-GB"/>
              </w:rPr>
              <w:t>The Parties hereby agree not to solicit each other’s employees for a period of twenty-four (24) months from the signing of this Agreement, for the purpose of persuading them to leave the employment of the other Party in favour of the first Party. (This does not prevent a Party from responding to an unsolicited approach from an employee of the other.)</w:t>
            </w:r>
          </w:p>
          <w:p w14:paraId="055B2D49" w14:textId="77777777" w:rsidR="00A952AF" w:rsidRPr="00730CEE" w:rsidRDefault="00A952AF" w:rsidP="00A952AF">
            <w:pPr>
              <w:pStyle w:val="Absatzallgemein"/>
              <w:widowControl w:val="0"/>
              <w:tabs>
                <w:tab w:val="clear" w:pos="567"/>
              </w:tabs>
              <w:ind w:left="1251"/>
              <w:rPr>
                <w:lang w:val="en-GB"/>
              </w:rPr>
            </w:pPr>
          </w:p>
          <w:p w14:paraId="15E4FF19" w14:textId="77777777" w:rsidR="00A952AF" w:rsidRPr="00730CEE" w:rsidRDefault="00A952AF" w:rsidP="00A952AF">
            <w:pPr>
              <w:pStyle w:val="Absatzallgemein"/>
              <w:widowControl w:val="0"/>
              <w:tabs>
                <w:tab w:val="clear" w:pos="567"/>
              </w:tabs>
              <w:ind w:left="1251"/>
              <w:rPr>
                <w:lang w:val="en-GB"/>
              </w:rPr>
            </w:pPr>
          </w:p>
          <w:p w14:paraId="0D1B10B1" w14:textId="77777777" w:rsidR="00A952AF" w:rsidRPr="00730CEE" w:rsidRDefault="00A952AF" w:rsidP="00A952AF">
            <w:pPr>
              <w:pStyle w:val="Absatzallgemein"/>
              <w:widowControl w:val="0"/>
              <w:tabs>
                <w:tab w:val="clear" w:pos="567"/>
              </w:tabs>
              <w:ind w:left="1251"/>
              <w:rPr>
                <w:lang w:val="en-GB"/>
              </w:rPr>
            </w:pPr>
          </w:p>
          <w:p w14:paraId="625C0907" w14:textId="77777777" w:rsidR="00A952AF" w:rsidRPr="00730CEE" w:rsidRDefault="00A952AF" w:rsidP="00A952AF">
            <w:pPr>
              <w:pStyle w:val="Absatzallgemein"/>
              <w:widowControl w:val="0"/>
              <w:tabs>
                <w:tab w:val="clear" w:pos="567"/>
              </w:tabs>
              <w:ind w:left="1251"/>
              <w:rPr>
                <w:lang w:val="en-GB"/>
              </w:rPr>
            </w:pPr>
          </w:p>
          <w:p w14:paraId="7FD32A41" w14:textId="77777777" w:rsidR="00A952AF" w:rsidRPr="00730CEE" w:rsidRDefault="00A952AF" w:rsidP="00A952AF">
            <w:pPr>
              <w:pStyle w:val="Absatzallgemein"/>
              <w:widowControl w:val="0"/>
              <w:tabs>
                <w:tab w:val="clear" w:pos="567"/>
              </w:tabs>
              <w:ind w:left="1251"/>
              <w:rPr>
                <w:lang w:val="en-GB"/>
              </w:rPr>
            </w:pPr>
          </w:p>
          <w:p w14:paraId="4FC67938" w14:textId="77777777" w:rsidR="005263F6" w:rsidRDefault="005263F6"/>
        </w:tc>
        <w:tc>
          <w:tcPr>
            <w:tcW w:w="7694" w:type="dxa"/>
          </w:tcPr>
          <w:p w14:paraId="6912520D" w14:textId="77777777" w:rsidR="005263F6" w:rsidRPr="00730CEE" w:rsidRDefault="005263F6" w:rsidP="005263F6">
            <w:pPr>
              <w:pStyle w:val="Absatzallgemein"/>
              <w:widowControl w:val="0"/>
              <w:tabs>
                <w:tab w:val="clear" w:pos="567"/>
              </w:tabs>
              <w:ind w:left="1251"/>
              <w:rPr>
                <w:lang w:val="en-GB"/>
              </w:rPr>
            </w:pPr>
          </w:p>
          <w:p w14:paraId="7EE2B02F" w14:textId="77777777" w:rsidR="005263F6" w:rsidRPr="00730CEE" w:rsidRDefault="005263F6" w:rsidP="00A952AF">
            <w:pPr>
              <w:pStyle w:val="Heading1"/>
              <w:keepNext w:val="0"/>
              <w:widowControl w:val="0"/>
              <w:numPr>
                <w:ilvl w:val="0"/>
                <w:numId w:val="7"/>
              </w:numPr>
              <w:tabs>
                <w:tab w:val="left" w:pos="3757"/>
              </w:tabs>
              <w:outlineLvl w:val="0"/>
            </w:pPr>
            <w:r>
              <w:t>Wettbewerbs- und Abwerbeverbot</w:t>
            </w:r>
          </w:p>
          <w:p w14:paraId="598E0624" w14:textId="77777777" w:rsidR="005263F6" w:rsidRPr="00730CEE" w:rsidRDefault="005263F6" w:rsidP="00A952AF">
            <w:pPr>
              <w:pStyle w:val="Absatzallgemein"/>
              <w:widowControl w:val="0"/>
              <w:numPr>
                <w:ilvl w:val="1"/>
                <w:numId w:val="7"/>
              </w:numPr>
              <w:tabs>
                <w:tab w:val="clear" w:pos="567"/>
              </w:tabs>
              <w:ind w:left="1251"/>
            </w:pPr>
            <w:r>
              <w:t xml:space="preserve">Die Parteien werden sich angemessen um eine erfolgreiche Markteinführung des eigentlichen Produkts und der Dienstleistungen bemühen und in dieser Hinsicht zusammenarbeiten. </w:t>
            </w:r>
          </w:p>
          <w:p w14:paraId="388E71B7" w14:textId="77777777" w:rsidR="005263F6" w:rsidRPr="00730CEE" w:rsidRDefault="005263F6" w:rsidP="00A952AF">
            <w:pPr>
              <w:pStyle w:val="Absatzallgemein"/>
              <w:widowControl w:val="0"/>
              <w:numPr>
                <w:ilvl w:val="1"/>
                <w:numId w:val="7"/>
              </w:numPr>
              <w:tabs>
                <w:tab w:val="clear" w:pos="567"/>
              </w:tabs>
              <w:ind w:left="1251"/>
            </w:pPr>
            <w:r>
              <w:t xml:space="preserve">Während der Laufzeit dieser Vereinbarung kann die </w:t>
            </w:r>
            <w:r w:rsidRPr="00617A7D">
              <w:t>Mobileye</w:t>
            </w:r>
            <w:r>
              <w:t xml:space="preserve"> ihre Gespräche mit den in </w:t>
            </w:r>
            <w:r>
              <w:rPr>
                <w:b/>
                <w:bCs/>
              </w:rPr>
              <w:t xml:space="preserve">Anhang </w:t>
            </w:r>
            <w:r w:rsidRPr="005751F7">
              <w:rPr>
                <w:b/>
                <w:bCs/>
              </w:rPr>
              <w:t>3A</w:t>
            </w:r>
            <w:r>
              <w:t xml:space="preserve"> aufgeführten Dritten (jeweils ein „</w:t>
            </w:r>
            <w:r>
              <w:rPr>
                <w:b/>
                <w:bCs/>
              </w:rPr>
              <w:t xml:space="preserve">direkter Mitbewerber der </w:t>
            </w:r>
            <w:r w:rsidRPr="00617A7D">
              <w:rPr>
                <w:b/>
                <w:bCs/>
              </w:rPr>
              <w:t>IMC</w:t>
            </w:r>
            <w:r>
              <w:t xml:space="preserve">“) fortsetzen, um eine in ihrem Zweck dieser Vereinbarung ähnliche Vereinbarung abzuschließen; dies </w:t>
            </w:r>
            <w:r>
              <w:lastRenderedPageBreak/>
              <w:t xml:space="preserve">entbindet die </w:t>
            </w:r>
            <w:r w:rsidRPr="00617A7D">
              <w:t>Mobileye</w:t>
            </w:r>
            <w:r>
              <w:t xml:space="preserve"> jedoch in keiner Weise von ihren Vertraulichkeitsverpflichtungen gegenüber der </w:t>
            </w:r>
            <w:r w:rsidRPr="00617A7D">
              <w:t>IMC</w:t>
            </w:r>
            <w:r>
              <w:t xml:space="preserve"> im Rahmen dieser Vereinbarung. </w:t>
            </w:r>
          </w:p>
          <w:p w14:paraId="4BAD3CC4" w14:textId="77777777" w:rsidR="005263F6" w:rsidRPr="00730CEE" w:rsidRDefault="005263F6" w:rsidP="00A952AF">
            <w:pPr>
              <w:pStyle w:val="Absatzallgemein"/>
              <w:widowControl w:val="0"/>
              <w:numPr>
                <w:ilvl w:val="1"/>
                <w:numId w:val="7"/>
              </w:numPr>
              <w:tabs>
                <w:tab w:val="clear" w:pos="567"/>
              </w:tabs>
              <w:ind w:left="1251"/>
            </w:pPr>
            <w:r>
              <w:t xml:space="preserve">Während der Laufzeit dieser Vereinbarung kann die </w:t>
            </w:r>
            <w:r w:rsidRPr="00617A7D">
              <w:t>IMC</w:t>
            </w:r>
            <w:r>
              <w:t xml:space="preserve"> anhängige Gespräche mit den in </w:t>
            </w:r>
            <w:r>
              <w:rPr>
                <w:b/>
                <w:bCs/>
              </w:rPr>
              <w:t>Anhang 3B</w:t>
            </w:r>
            <w:r>
              <w:t xml:space="preserve"> aufgeführten Dritten (jeweils ein „</w:t>
            </w:r>
            <w:r>
              <w:rPr>
                <w:b/>
                <w:bCs/>
              </w:rPr>
              <w:t xml:space="preserve">direkter Mitbewerber der </w:t>
            </w:r>
            <w:r w:rsidRPr="00617A7D">
              <w:rPr>
                <w:b/>
                <w:bCs/>
              </w:rPr>
              <w:t>Mobileye</w:t>
            </w:r>
            <w:r>
              <w:t xml:space="preserve">“) fortsetzen, um eine in ihrem Zweck dieser Vereinbarung ähnliche Vereinbarung abzuschließen; dies entbindet die </w:t>
            </w:r>
            <w:r w:rsidRPr="00617A7D">
              <w:t>IMC</w:t>
            </w:r>
            <w:r>
              <w:t xml:space="preserve"> jedoch in keiner Weise von ihren Vertraulichkeitsverpflichtungen gegenüber der </w:t>
            </w:r>
            <w:r w:rsidRPr="00617A7D">
              <w:t>Mobileye</w:t>
            </w:r>
            <w:r>
              <w:t xml:space="preserve"> im Rahmen dieser Vereinbarung. </w:t>
            </w:r>
          </w:p>
          <w:p w14:paraId="50010963" w14:textId="77777777" w:rsidR="005263F6" w:rsidRPr="00730CEE" w:rsidRDefault="005263F6" w:rsidP="00A952AF">
            <w:pPr>
              <w:pStyle w:val="Absatzallgemein"/>
              <w:widowControl w:val="0"/>
              <w:numPr>
                <w:ilvl w:val="1"/>
                <w:numId w:val="7"/>
              </w:numPr>
              <w:tabs>
                <w:tab w:val="clear" w:pos="567"/>
              </w:tabs>
              <w:ind w:left="1251"/>
            </w:pPr>
            <w:r>
              <w:t xml:space="preserve">Die Parteien vereinbaren hiermit, für einen Zeitraum von vierundzwanzig (24) Monaten ab Unterzeichnung dieser Vereinbarung keine Mitarbeiter der jeweils anderen Partei abzuwerben. (Dies hindert eine Partei nicht daran, auf eine </w:t>
            </w:r>
            <w:r w:rsidRPr="005751F7">
              <w:t>allfällige</w:t>
            </w:r>
            <w:r>
              <w:t xml:space="preserve"> Initiativbewerbung eines Mitarbeiters der anderen Partei zu reagieren.)</w:t>
            </w:r>
          </w:p>
          <w:p w14:paraId="52D2012B" w14:textId="77777777" w:rsidR="005263F6" w:rsidRPr="00730CEE" w:rsidRDefault="005263F6" w:rsidP="005263F6">
            <w:pPr>
              <w:pStyle w:val="Absatzallgemein"/>
              <w:widowControl w:val="0"/>
              <w:tabs>
                <w:tab w:val="clear" w:pos="567"/>
              </w:tabs>
              <w:ind w:left="1251"/>
              <w:rPr>
                <w:lang w:val="en-GB"/>
              </w:rPr>
            </w:pPr>
          </w:p>
          <w:p w14:paraId="5D839F2B" w14:textId="77777777" w:rsidR="005263F6" w:rsidRPr="00730CEE" w:rsidRDefault="005263F6" w:rsidP="005263F6">
            <w:pPr>
              <w:pStyle w:val="Absatzallgemein"/>
              <w:widowControl w:val="0"/>
              <w:tabs>
                <w:tab w:val="clear" w:pos="567"/>
              </w:tabs>
              <w:ind w:left="1251"/>
              <w:rPr>
                <w:lang w:val="en-GB"/>
              </w:rPr>
            </w:pPr>
          </w:p>
          <w:p w14:paraId="1D7E1894" w14:textId="77777777" w:rsidR="005263F6" w:rsidRPr="00730CEE" w:rsidRDefault="005263F6" w:rsidP="005263F6">
            <w:pPr>
              <w:pStyle w:val="Absatzallgemein"/>
              <w:widowControl w:val="0"/>
              <w:tabs>
                <w:tab w:val="clear" w:pos="567"/>
              </w:tabs>
              <w:ind w:left="1251"/>
              <w:rPr>
                <w:lang w:val="en-GB"/>
              </w:rPr>
            </w:pPr>
          </w:p>
          <w:p w14:paraId="0981A515" w14:textId="77777777" w:rsidR="005263F6" w:rsidRPr="00730CEE" w:rsidRDefault="005263F6" w:rsidP="005263F6">
            <w:pPr>
              <w:pStyle w:val="Absatzallgemein"/>
              <w:widowControl w:val="0"/>
              <w:tabs>
                <w:tab w:val="clear" w:pos="567"/>
              </w:tabs>
              <w:ind w:left="1251"/>
              <w:rPr>
                <w:lang w:val="en-GB"/>
              </w:rPr>
            </w:pPr>
          </w:p>
          <w:p w14:paraId="4DA6DCC3" w14:textId="77777777" w:rsidR="005263F6" w:rsidRPr="00730CEE" w:rsidRDefault="005263F6" w:rsidP="005263F6">
            <w:pPr>
              <w:pStyle w:val="Absatzallgemein"/>
              <w:widowControl w:val="0"/>
              <w:tabs>
                <w:tab w:val="clear" w:pos="567"/>
              </w:tabs>
              <w:ind w:left="1251"/>
              <w:rPr>
                <w:lang w:val="en-GB"/>
              </w:rPr>
            </w:pPr>
          </w:p>
          <w:p w14:paraId="156FFF48" w14:textId="77777777" w:rsidR="005263F6" w:rsidRPr="00730CEE" w:rsidRDefault="005263F6" w:rsidP="005263F6">
            <w:pPr>
              <w:pStyle w:val="Absatzallgemein"/>
              <w:widowControl w:val="0"/>
              <w:tabs>
                <w:tab w:val="clear" w:pos="567"/>
              </w:tabs>
              <w:ind w:left="1251"/>
              <w:rPr>
                <w:lang w:val="en-GB"/>
              </w:rPr>
            </w:pPr>
          </w:p>
          <w:p w14:paraId="0C253C7A" w14:textId="77777777" w:rsidR="005263F6" w:rsidRDefault="005263F6"/>
        </w:tc>
      </w:tr>
      <w:tr w:rsidR="005263F6" w14:paraId="1D9352D4" w14:textId="77777777" w:rsidTr="005263F6">
        <w:tc>
          <w:tcPr>
            <w:tcW w:w="7694" w:type="dxa"/>
          </w:tcPr>
          <w:p w14:paraId="00370E2E" w14:textId="77777777" w:rsidR="00A952AF" w:rsidRPr="00A952AF" w:rsidRDefault="00A952AF" w:rsidP="00A952AF">
            <w:pPr>
              <w:widowControl w:val="0"/>
              <w:numPr>
                <w:ilvl w:val="0"/>
                <w:numId w:val="7"/>
              </w:numPr>
              <w:tabs>
                <w:tab w:val="left" w:pos="425"/>
                <w:tab w:val="left" w:pos="3757"/>
              </w:tabs>
              <w:spacing w:before="240" w:after="180" w:line="360" w:lineRule="exact"/>
              <w:jc w:val="both"/>
              <w:outlineLvl w:val="0"/>
              <w:rPr>
                <w:rFonts w:ascii="Arial" w:eastAsia="Times New Roman" w:hAnsi="Arial" w:cs="Arial"/>
                <w:b/>
                <w:bCs/>
                <w:kern w:val="32"/>
                <w:sz w:val="28"/>
                <w:szCs w:val="32"/>
              </w:rPr>
            </w:pPr>
            <w:r w:rsidRPr="00A952AF">
              <w:rPr>
                <w:rFonts w:ascii="Arial" w:eastAsia="Times New Roman" w:hAnsi="Arial" w:cs="Arial"/>
                <w:b/>
                <w:bCs/>
                <w:kern w:val="32"/>
                <w:sz w:val="28"/>
                <w:szCs w:val="32"/>
              </w:rPr>
              <w:lastRenderedPageBreak/>
              <w:t>Expenses</w:t>
            </w:r>
          </w:p>
          <w:p w14:paraId="5B27A558" w14:textId="77777777" w:rsidR="00A952AF" w:rsidRPr="00A952AF" w:rsidRDefault="00A952AF" w:rsidP="00A952AF">
            <w:pPr>
              <w:widowControl w:val="0"/>
              <w:tabs>
                <w:tab w:val="left" w:pos="567"/>
              </w:tabs>
              <w:spacing w:line="360" w:lineRule="exact"/>
              <w:ind w:left="567"/>
              <w:jc w:val="both"/>
              <w:rPr>
                <w:rFonts w:ascii="Arial" w:eastAsia="Times New Roman" w:hAnsi="Arial" w:cs="Times New Roman"/>
                <w:sz w:val="24"/>
                <w:szCs w:val="24"/>
              </w:rPr>
            </w:pPr>
            <w:r w:rsidRPr="00A952AF">
              <w:rPr>
                <w:rFonts w:ascii="Arial" w:eastAsia="Times New Roman" w:hAnsi="Arial" w:cs="Times New Roman"/>
                <w:sz w:val="24"/>
                <w:szCs w:val="24"/>
              </w:rPr>
              <w:t xml:space="preserve">The expenses for the tasks to be performed by each of the Parties under this Agreement shall be borne by the Parties themselves, save for the following provision. This shall also apply where the </w:t>
            </w:r>
            <w:r w:rsidRPr="00A952AF">
              <w:rPr>
                <w:rFonts w:ascii="Arial" w:eastAsia="Times New Roman" w:hAnsi="Arial" w:cs="Times New Roman"/>
                <w:sz w:val="24"/>
                <w:szCs w:val="24"/>
              </w:rPr>
              <w:lastRenderedPageBreak/>
              <w:t>Parties engage the services of third parties to perform the tasks incumbent on them. Where third parties are to also be engaged, the Parties shall come to an agreement on the cost situation on a case-by-case basis.</w:t>
            </w:r>
          </w:p>
          <w:p w14:paraId="1AFF0860" w14:textId="77777777" w:rsidR="00A952AF" w:rsidRPr="00A952AF" w:rsidRDefault="00A952AF" w:rsidP="00A952AF">
            <w:pPr>
              <w:widowControl w:val="0"/>
              <w:tabs>
                <w:tab w:val="left" w:pos="567"/>
              </w:tabs>
              <w:spacing w:line="360" w:lineRule="exact"/>
              <w:ind w:left="567"/>
              <w:jc w:val="both"/>
              <w:rPr>
                <w:rFonts w:ascii="Arial" w:eastAsia="Times New Roman" w:hAnsi="Arial" w:cs="Times New Roman"/>
                <w:sz w:val="24"/>
                <w:szCs w:val="24"/>
              </w:rPr>
            </w:pPr>
          </w:p>
          <w:p w14:paraId="5AFFBA38" w14:textId="77777777" w:rsidR="005263F6" w:rsidRDefault="005263F6"/>
        </w:tc>
        <w:tc>
          <w:tcPr>
            <w:tcW w:w="7694" w:type="dxa"/>
          </w:tcPr>
          <w:p w14:paraId="13BF2859" w14:textId="77777777" w:rsidR="005263F6" w:rsidRPr="00730CEE" w:rsidRDefault="005263F6" w:rsidP="00A952AF">
            <w:pPr>
              <w:pStyle w:val="Heading1"/>
              <w:keepNext w:val="0"/>
              <w:widowControl w:val="0"/>
              <w:numPr>
                <w:ilvl w:val="0"/>
                <w:numId w:val="6"/>
              </w:numPr>
              <w:tabs>
                <w:tab w:val="left" w:pos="3757"/>
              </w:tabs>
              <w:outlineLvl w:val="0"/>
            </w:pPr>
            <w:r>
              <w:lastRenderedPageBreak/>
              <w:t>Kosten</w:t>
            </w:r>
          </w:p>
          <w:p w14:paraId="277B94F5" w14:textId="77777777" w:rsidR="005263F6" w:rsidRPr="00730CEE" w:rsidRDefault="005263F6" w:rsidP="005263F6">
            <w:pPr>
              <w:pStyle w:val="Absatzallgemein"/>
              <w:widowControl w:val="0"/>
              <w:ind w:left="567"/>
            </w:pPr>
            <w:r>
              <w:t xml:space="preserve">Die Kosten für die von jeder der Vertragsparteien im Rahmen dieses Abkommens zu erfüllenden Aufgaben werden mit Ausnahme der folgenden Bestimmung von den Vertragsparteien </w:t>
            </w:r>
            <w:r>
              <w:lastRenderedPageBreak/>
              <w:t>selbst getragen. Dies gilt auch, wenn sich die Parteien zur Erfüllung der ihnen obliegenden Aufgaben Dritter bedienen. Sofern Dritte beigezogen werden, haben sich die Parteien in jedem Einzelfall über die jeweilige Kostensituation zu einigen.</w:t>
            </w:r>
          </w:p>
          <w:p w14:paraId="4B0E49F1" w14:textId="77777777" w:rsidR="005263F6" w:rsidRPr="00730CEE" w:rsidRDefault="005263F6" w:rsidP="005263F6">
            <w:pPr>
              <w:pStyle w:val="Absatzallgemein"/>
              <w:widowControl w:val="0"/>
              <w:ind w:left="567"/>
              <w:rPr>
                <w:lang w:val="en-GB"/>
              </w:rPr>
            </w:pPr>
          </w:p>
          <w:p w14:paraId="1F97CCAA" w14:textId="77777777" w:rsidR="005263F6" w:rsidRDefault="005263F6"/>
        </w:tc>
      </w:tr>
      <w:tr w:rsidR="005263F6" w14:paraId="4DE0A3BA" w14:textId="77777777" w:rsidTr="005263F6">
        <w:tc>
          <w:tcPr>
            <w:tcW w:w="7694" w:type="dxa"/>
          </w:tcPr>
          <w:p w14:paraId="47BE4531" w14:textId="77777777" w:rsidR="00A952AF" w:rsidRPr="00A952AF" w:rsidRDefault="00A952AF" w:rsidP="00A952AF">
            <w:pPr>
              <w:widowControl w:val="0"/>
              <w:tabs>
                <w:tab w:val="left" w:pos="567"/>
              </w:tabs>
              <w:spacing w:line="360" w:lineRule="exact"/>
              <w:ind w:left="567"/>
              <w:jc w:val="both"/>
              <w:rPr>
                <w:rFonts w:ascii="Arial" w:eastAsia="Times New Roman" w:hAnsi="Arial" w:cs="Times New Roman"/>
                <w:sz w:val="24"/>
                <w:szCs w:val="24"/>
              </w:rPr>
            </w:pPr>
          </w:p>
          <w:p w14:paraId="697151D9" w14:textId="77777777" w:rsidR="00A952AF" w:rsidRPr="00A952AF" w:rsidRDefault="00A952AF" w:rsidP="00A952AF">
            <w:pPr>
              <w:widowControl w:val="0"/>
              <w:numPr>
                <w:ilvl w:val="0"/>
                <w:numId w:val="6"/>
              </w:numPr>
              <w:tabs>
                <w:tab w:val="left" w:pos="425"/>
                <w:tab w:val="left" w:pos="3757"/>
              </w:tabs>
              <w:spacing w:before="240" w:after="180" w:line="360" w:lineRule="exact"/>
              <w:jc w:val="both"/>
              <w:outlineLvl w:val="0"/>
              <w:rPr>
                <w:rFonts w:ascii="Arial" w:eastAsia="Times New Roman" w:hAnsi="Arial" w:cs="Arial"/>
                <w:b/>
                <w:bCs/>
                <w:kern w:val="32"/>
                <w:sz w:val="28"/>
                <w:szCs w:val="32"/>
              </w:rPr>
            </w:pPr>
            <w:r w:rsidRPr="00A952AF">
              <w:rPr>
                <w:rFonts w:ascii="Arial" w:eastAsia="Times New Roman" w:hAnsi="Arial" w:cs="Arial"/>
                <w:b/>
                <w:bCs/>
                <w:kern w:val="32"/>
                <w:sz w:val="28"/>
                <w:szCs w:val="32"/>
              </w:rPr>
              <w:t xml:space="preserve">Confidentiality and publication </w:t>
            </w:r>
          </w:p>
          <w:p w14:paraId="3B5DE4FF" w14:textId="16B9C65D" w:rsidR="00A952AF" w:rsidRDefault="00A952AF" w:rsidP="00A952AF">
            <w:pPr>
              <w:widowControl w:val="0"/>
              <w:numPr>
                <w:ilvl w:val="1"/>
                <w:numId w:val="6"/>
              </w:numPr>
              <w:spacing w:line="360" w:lineRule="exact"/>
              <w:ind w:left="1251"/>
              <w:jc w:val="both"/>
              <w:rPr>
                <w:rFonts w:ascii="Arial" w:eastAsia="Times New Roman" w:hAnsi="Arial" w:cs="Times New Roman"/>
                <w:sz w:val="24"/>
                <w:szCs w:val="24"/>
              </w:rPr>
            </w:pPr>
            <w:r w:rsidRPr="00A952AF">
              <w:rPr>
                <w:rFonts w:ascii="Arial" w:eastAsia="Times New Roman" w:hAnsi="Arial" w:cs="Times New Roman"/>
                <w:sz w:val="24"/>
                <w:szCs w:val="24"/>
              </w:rPr>
              <w:t xml:space="preserve">The non-disclosure agreement previously entered into by the Parties (at </w:t>
            </w:r>
            <w:r w:rsidRPr="00A952AF">
              <w:rPr>
                <w:rFonts w:ascii="Arial" w:eastAsia="Times New Roman" w:hAnsi="Arial" w:cs="Times New Roman"/>
                <w:b/>
                <w:bCs/>
                <w:sz w:val="24"/>
                <w:szCs w:val="24"/>
              </w:rPr>
              <w:t>Schedule 4</w:t>
            </w:r>
            <w:r w:rsidRPr="00A952AF">
              <w:rPr>
                <w:rFonts w:ascii="Arial" w:eastAsia="Times New Roman" w:hAnsi="Arial" w:cs="Times New Roman"/>
                <w:sz w:val="24"/>
                <w:szCs w:val="24"/>
              </w:rPr>
              <w:t>) covers information exchanged under this Agreement, and shall remain in full force and effect for the longer of (</w:t>
            </w:r>
            <w:proofErr w:type="spellStart"/>
            <w:r w:rsidRPr="00A952AF">
              <w:rPr>
                <w:rFonts w:ascii="Arial" w:eastAsia="Times New Roman" w:hAnsi="Arial" w:cs="Times New Roman"/>
                <w:sz w:val="24"/>
                <w:szCs w:val="24"/>
              </w:rPr>
              <w:t>i</w:t>
            </w:r>
            <w:proofErr w:type="spellEnd"/>
            <w:r w:rsidRPr="00A952AF">
              <w:rPr>
                <w:rFonts w:ascii="Arial" w:eastAsia="Times New Roman" w:hAnsi="Arial" w:cs="Times New Roman"/>
                <w:sz w:val="24"/>
                <w:szCs w:val="24"/>
              </w:rPr>
              <w:t>) its stated term or (ii) as long as this Cooperative Venture Agreement and any Supplementary Agreements are in effect.</w:t>
            </w:r>
          </w:p>
          <w:p w14:paraId="6FFB9F92" w14:textId="23259050" w:rsidR="007B3634" w:rsidRDefault="007B3634" w:rsidP="007B3634">
            <w:pPr>
              <w:widowControl w:val="0"/>
              <w:spacing w:line="360" w:lineRule="exact"/>
              <w:ind w:left="1251"/>
              <w:jc w:val="both"/>
              <w:rPr>
                <w:rFonts w:ascii="Arial" w:eastAsia="Times New Roman" w:hAnsi="Arial" w:cs="Times New Roman"/>
                <w:sz w:val="24"/>
                <w:szCs w:val="24"/>
              </w:rPr>
            </w:pPr>
          </w:p>
          <w:p w14:paraId="731E12AB" w14:textId="77777777" w:rsidR="007B3634" w:rsidRPr="00A952AF" w:rsidRDefault="007B3634" w:rsidP="007B3634">
            <w:pPr>
              <w:widowControl w:val="0"/>
              <w:spacing w:line="360" w:lineRule="exact"/>
              <w:ind w:left="1251"/>
              <w:jc w:val="both"/>
              <w:rPr>
                <w:rFonts w:ascii="Arial" w:eastAsia="Times New Roman" w:hAnsi="Arial" w:cs="Times New Roman"/>
                <w:sz w:val="24"/>
                <w:szCs w:val="24"/>
              </w:rPr>
            </w:pPr>
          </w:p>
          <w:p w14:paraId="1C26EB72" w14:textId="77777777" w:rsidR="00A952AF" w:rsidRPr="00A952AF" w:rsidRDefault="00A952AF" w:rsidP="00A952AF">
            <w:pPr>
              <w:widowControl w:val="0"/>
              <w:numPr>
                <w:ilvl w:val="1"/>
                <w:numId w:val="6"/>
              </w:numPr>
              <w:spacing w:line="360" w:lineRule="exact"/>
              <w:ind w:left="1251"/>
              <w:jc w:val="both"/>
              <w:rPr>
                <w:rFonts w:ascii="Arial" w:eastAsia="Times New Roman" w:hAnsi="Arial" w:cs="Times New Roman"/>
                <w:sz w:val="24"/>
                <w:szCs w:val="24"/>
              </w:rPr>
            </w:pPr>
            <w:r w:rsidRPr="00A952AF">
              <w:rPr>
                <w:rFonts w:ascii="Arial" w:eastAsia="Times New Roman" w:hAnsi="Arial" w:cs="Times New Roman"/>
                <w:sz w:val="24"/>
                <w:szCs w:val="24"/>
              </w:rPr>
              <w:t xml:space="preserve">All press releases and other announcements pertaining to the project shall be subject to the exclusive mutual agreement of both Parties. </w:t>
            </w:r>
          </w:p>
          <w:p w14:paraId="1C2341F8" w14:textId="77777777" w:rsidR="00A952AF" w:rsidRPr="00A952AF" w:rsidRDefault="00A952AF" w:rsidP="00A952AF">
            <w:pPr>
              <w:widowControl w:val="0"/>
              <w:spacing w:line="360" w:lineRule="exact"/>
              <w:ind w:left="1251"/>
              <w:jc w:val="both"/>
              <w:rPr>
                <w:rFonts w:ascii="Arial" w:eastAsia="Times New Roman" w:hAnsi="Arial" w:cs="Times New Roman"/>
                <w:sz w:val="24"/>
                <w:szCs w:val="24"/>
              </w:rPr>
            </w:pPr>
          </w:p>
          <w:p w14:paraId="37DD43EA" w14:textId="77777777" w:rsidR="005263F6" w:rsidRDefault="005263F6"/>
        </w:tc>
        <w:tc>
          <w:tcPr>
            <w:tcW w:w="7694" w:type="dxa"/>
          </w:tcPr>
          <w:p w14:paraId="15593371" w14:textId="77777777" w:rsidR="005263F6" w:rsidRPr="005263F6" w:rsidRDefault="005263F6" w:rsidP="005263F6">
            <w:pPr>
              <w:widowControl w:val="0"/>
              <w:tabs>
                <w:tab w:val="left" w:pos="567"/>
              </w:tabs>
              <w:spacing w:line="360" w:lineRule="exact"/>
              <w:ind w:left="567"/>
              <w:jc w:val="both"/>
              <w:rPr>
                <w:rFonts w:ascii="Arial" w:eastAsia="Times New Roman" w:hAnsi="Arial" w:cs="Times New Roman"/>
                <w:sz w:val="24"/>
                <w:szCs w:val="24"/>
              </w:rPr>
            </w:pPr>
          </w:p>
          <w:p w14:paraId="1A172209" w14:textId="77777777" w:rsidR="005263F6" w:rsidRPr="005263F6" w:rsidRDefault="005263F6" w:rsidP="00A952AF">
            <w:pPr>
              <w:widowControl w:val="0"/>
              <w:numPr>
                <w:ilvl w:val="0"/>
                <w:numId w:val="5"/>
              </w:numPr>
              <w:tabs>
                <w:tab w:val="left" w:pos="425"/>
                <w:tab w:val="left" w:pos="3757"/>
              </w:tabs>
              <w:spacing w:before="240" w:after="180" w:line="360" w:lineRule="exact"/>
              <w:jc w:val="both"/>
              <w:outlineLvl w:val="0"/>
              <w:rPr>
                <w:rFonts w:ascii="Arial" w:eastAsia="Times New Roman" w:hAnsi="Arial" w:cs="Arial"/>
                <w:b/>
                <w:bCs/>
                <w:kern w:val="32"/>
                <w:sz w:val="28"/>
                <w:szCs w:val="32"/>
                <w:lang w:val="de-DE"/>
              </w:rPr>
            </w:pPr>
            <w:r w:rsidRPr="005263F6">
              <w:rPr>
                <w:rFonts w:ascii="Arial" w:eastAsia="Times New Roman" w:hAnsi="Arial" w:cs="Arial"/>
                <w:b/>
                <w:bCs/>
                <w:kern w:val="32"/>
                <w:sz w:val="28"/>
                <w:szCs w:val="32"/>
                <w:lang w:val="de-DE"/>
              </w:rPr>
              <w:t xml:space="preserve">Vertraulichkeit und Veröffentlichung </w:t>
            </w:r>
          </w:p>
          <w:p w14:paraId="04817EA7" w14:textId="77777777" w:rsidR="005263F6" w:rsidRPr="005263F6" w:rsidRDefault="005263F6" w:rsidP="00A952AF">
            <w:pPr>
              <w:widowControl w:val="0"/>
              <w:numPr>
                <w:ilvl w:val="1"/>
                <w:numId w:val="5"/>
              </w:numPr>
              <w:spacing w:line="360" w:lineRule="exact"/>
              <w:ind w:left="1251"/>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Die zuvor von den Parteien abgeschlossene Geheimhaltungsvereinbarung (in </w:t>
            </w:r>
            <w:r w:rsidRPr="005263F6">
              <w:rPr>
                <w:rFonts w:ascii="Arial" w:eastAsia="Times New Roman" w:hAnsi="Arial" w:cs="Times New Roman"/>
                <w:b/>
                <w:bCs/>
                <w:sz w:val="24"/>
                <w:szCs w:val="24"/>
                <w:lang w:val="de-DE"/>
              </w:rPr>
              <w:t>Anhang 4</w:t>
            </w:r>
            <w:r w:rsidRPr="005263F6">
              <w:rPr>
                <w:rFonts w:ascii="Arial" w:eastAsia="Times New Roman" w:hAnsi="Arial" w:cs="Times New Roman"/>
                <w:sz w:val="24"/>
                <w:szCs w:val="24"/>
                <w:lang w:val="de-DE"/>
              </w:rPr>
              <w:t>) bezieht sich auf die im Rahmen dieser Vereinbarung ausgetauschten Informationen und bleibt für den längeren der folgenden Zeiträume vollumfänglich in Kraft und wirksam: (i) ihre definierte Laufzeit; (ii) solange diese Kooperationsvereinbarung und alle Folgevereinbarungen in Kraft sind.</w:t>
            </w:r>
          </w:p>
          <w:p w14:paraId="76E475CD" w14:textId="77777777" w:rsidR="005263F6" w:rsidRPr="005263F6" w:rsidRDefault="005263F6" w:rsidP="00A952AF">
            <w:pPr>
              <w:widowControl w:val="0"/>
              <w:numPr>
                <w:ilvl w:val="1"/>
                <w:numId w:val="5"/>
              </w:numPr>
              <w:spacing w:line="360" w:lineRule="exact"/>
              <w:ind w:left="1251"/>
              <w:jc w:val="both"/>
              <w:rPr>
                <w:rFonts w:ascii="Arial" w:eastAsia="Times New Roman" w:hAnsi="Arial" w:cs="Times New Roman"/>
                <w:sz w:val="24"/>
                <w:szCs w:val="24"/>
                <w:lang w:val="de-DE"/>
              </w:rPr>
            </w:pPr>
            <w:r w:rsidRPr="005263F6">
              <w:rPr>
                <w:rFonts w:ascii="Arial" w:eastAsia="Times New Roman" w:hAnsi="Arial" w:cs="Times New Roman"/>
                <w:sz w:val="24"/>
                <w:szCs w:val="24"/>
                <w:lang w:val="de-DE"/>
              </w:rPr>
              <w:t xml:space="preserve">Alle das Projekt betreffenden Pressemitteilungen und sonstigen Bekanntmachungen bedürfen der ausschließlichen gegenseitigen Zustimmung der beiden Parteien. </w:t>
            </w:r>
          </w:p>
          <w:p w14:paraId="35882EF6" w14:textId="77777777" w:rsidR="005263F6" w:rsidRPr="005263F6" w:rsidRDefault="005263F6" w:rsidP="005263F6">
            <w:pPr>
              <w:widowControl w:val="0"/>
              <w:spacing w:line="360" w:lineRule="exact"/>
              <w:ind w:left="1251"/>
              <w:jc w:val="both"/>
              <w:rPr>
                <w:rFonts w:ascii="Arial" w:eastAsia="Times New Roman" w:hAnsi="Arial" w:cs="Times New Roman"/>
                <w:sz w:val="24"/>
                <w:szCs w:val="24"/>
              </w:rPr>
            </w:pPr>
          </w:p>
          <w:p w14:paraId="3E834AFD" w14:textId="77777777" w:rsidR="005263F6" w:rsidRDefault="005263F6"/>
        </w:tc>
      </w:tr>
      <w:tr w:rsidR="005263F6" w14:paraId="214202E1" w14:textId="77777777" w:rsidTr="005263F6">
        <w:tc>
          <w:tcPr>
            <w:tcW w:w="7694" w:type="dxa"/>
          </w:tcPr>
          <w:p w14:paraId="75DCA893" w14:textId="77777777" w:rsidR="001F233C" w:rsidRPr="001F233C" w:rsidRDefault="001F233C" w:rsidP="001F233C">
            <w:pPr>
              <w:widowControl w:val="0"/>
              <w:spacing w:line="360" w:lineRule="exact"/>
              <w:ind w:left="1251"/>
              <w:jc w:val="both"/>
              <w:rPr>
                <w:rFonts w:ascii="Arial" w:eastAsia="Times New Roman" w:hAnsi="Arial" w:cs="Times New Roman"/>
                <w:sz w:val="24"/>
                <w:szCs w:val="24"/>
              </w:rPr>
            </w:pPr>
          </w:p>
          <w:p w14:paraId="2D3BF934" w14:textId="77777777" w:rsidR="001F233C" w:rsidRPr="001F233C" w:rsidRDefault="001F233C" w:rsidP="00A952AF">
            <w:pPr>
              <w:widowControl w:val="0"/>
              <w:numPr>
                <w:ilvl w:val="0"/>
                <w:numId w:val="5"/>
              </w:numPr>
              <w:tabs>
                <w:tab w:val="left" w:pos="425"/>
                <w:tab w:val="left" w:pos="3757"/>
              </w:tabs>
              <w:spacing w:before="240" w:after="180" w:line="360" w:lineRule="exact"/>
              <w:jc w:val="both"/>
              <w:outlineLvl w:val="0"/>
              <w:rPr>
                <w:rFonts w:ascii="Arial" w:eastAsia="Times New Roman" w:hAnsi="Arial" w:cs="Arial"/>
                <w:b/>
                <w:bCs/>
                <w:kern w:val="32"/>
                <w:sz w:val="28"/>
                <w:szCs w:val="32"/>
              </w:rPr>
            </w:pPr>
            <w:r w:rsidRPr="001F233C">
              <w:rPr>
                <w:rFonts w:ascii="Arial" w:eastAsia="Times New Roman" w:hAnsi="Arial" w:cs="Arial"/>
                <w:b/>
                <w:bCs/>
                <w:kern w:val="32"/>
                <w:sz w:val="28"/>
                <w:szCs w:val="32"/>
              </w:rPr>
              <w:t>Term and termination</w:t>
            </w:r>
          </w:p>
          <w:p w14:paraId="70D405A5" w14:textId="63BF2082" w:rsidR="001F233C" w:rsidRDefault="001F233C" w:rsidP="00A952AF">
            <w:pPr>
              <w:widowControl w:val="0"/>
              <w:numPr>
                <w:ilvl w:val="1"/>
                <w:numId w:val="5"/>
              </w:numPr>
              <w:spacing w:line="360" w:lineRule="exact"/>
              <w:ind w:left="1251"/>
              <w:jc w:val="both"/>
              <w:rPr>
                <w:rFonts w:ascii="Arial" w:eastAsia="Times New Roman" w:hAnsi="Arial" w:cs="Times New Roman"/>
                <w:sz w:val="24"/>
                <w:szCs w:val="24"/>
              </w:rPr>
            </w:pPr>
            <w:r w:rsidRPr="001F233C">
              <w:rPr>
                <w:rFonts w:ascii="Arial" w:eastAsia="Times New Roman" w:hAnsi="Arial" w:cs="Times New Roman"/>
                <w:sz w:val="24"/>
                <w:szCs w:val="24"/>
              </w:rPr>
              <w:t xml:space="preserve">Upon being duly signed by all Parties, this Agreement shall enter into force. In order to allow time for the Parties to negotiate a Supplementary Agreement following the end of </w:t>
            </w:r>
            <w:r w:rsidRPr="001F233C">
              <w:rPr>
                <w:rFonts w:ascii="Arial" w:eastAsia="Times New Roman" w:hAnsi="Arial" w:cs="Times New Roman"/>
                <w:sz w:val="24"/>
                <w:szCs w:val="24"/>
              </w:rPr>
              <w:lastRenderedPageBreak/>
              <w:t>the Evaluation Period, this Agreement shall terminate three months after the end of the Evaluation Period, without prejudice to any Supplementary Agreement that the parties may have entered into which will survive this Agreement according to its terms. (This does not prevent the Parties from negotiating and agreeing a Supplementary Agreement even during the Evaluation Period.)</w:t>
            </w:r>
          </w:p>
          <w:p w14:paraId="364EF4C4" w14:textId="0E10DF5E" w:rsidR="007B3634" w:rsidRDefault="007B3634" w:rsidP="007B3634">
            <w:pPr>
              <w:widowControl w:val="0"/>
              <w:spacing w:line="360" w:lineRule="exact"/>
              <w:jc w:val="both"/>
              <w:rPr>
                <w:rFonts w:ascii="Arial" w:eastAsia="Times New Roman" w:hAnsi="Arial" w:cs="Times New Roman"/>
                <w:sz w:val="24"/>
                <w:szCs w:val="24"/>
              </w:rPr>
            </w:pPr>
          </w:p>
          <w:p w14:paraId="3855DCA9" w14:textId="77777777" w:rsidR="007B3634" w:rsidRPr="001F233C" w:rsidRDefault="007B3634" w:rsidP="007B3634">
            <w:pPr>
              <w:widowControl w:val="0"/>
              <w:spacing w:line="360" w:lineRule="exact"/>
              <w:jc w:val="both"/>
              <w:rPr>
                <w:rFonts w:ascii="Arial" w:eastAsia="Times New Roman" w:hAnsi="Arial" w:cs="Times New Roman"/>
                <w:sz w:val="24"/>
                <w:szCs w:val="24"/>
              </w:rPr>
            </w:pPr>
          </w:p>
          <w:p w14:paraId="10E98F45" w14:textId="50FF0C1F" w:rsidR="001F233C" w:rsidRDefault="001F233C" w:rsidP="00A952AF">
            <w:pPr>
              <w:widowControl w:val="0"/>
              <w:numPr>
                <w:ilvl w:val="1"/>
                <w:numId w:val="5"/>
              </w:numPr>
              <w:spacing w:line="360" w:lineRule="exact"/>
              <w:ind w:left="1251"/>
              <w:jc w:val="both"/>
              <w:rPr>
                <w:rFonts w:ascii="Arial" w:eastAsia="Times New Roman" w:hAnsi="Arial" w:cs="Times New Roman"/>
                <w:sz w:val="24"/>
                <w:szCs w:val="24"/>
              </w:rPr>
            </w:pPr>
            <w:r w:rsidRPr="001F233C">
              <w:rPr>
                <w:rFonts w:ascii="Arial" w:eastAsia="Times New Roman" w:hAnsi="Arial" w:cs="Times New Roman"/>
                <w:sz w:val="24"/>
                <w:szCs w:val="24"/>
              </w:rPr>
              <w:t xml:space="preserve">Each of the Parties may terminate this Agreement at any earlier time with immediate effect upon reasoned notice to the other Party, where it reasonably believes that the purpose of the Agreement has become untenable for it on account of the conduct of the other Party. Notice of termination shall be given in writing and set out the reasons on which notice is founded. </w:t>
            </w:r>
          </w:p>
          <w:p w14:paraId="6380DB19" w14:textId="77777777" w:rsidR="007B3634" w:rsidRPr="001F233C" w:rsidRDefault="007B3634" w:rsidP="007B3634">
            <w:pPr>
              <w:widowControl w:val="0"/>
              <w:spacing w:line="360" w:lineRule="exact"/>
              <w:jc w:val="both"/>
              <w:rPr>
                <w:rFonts w:ascii="Arial" w:eastAsia="Times New Roman" w:hAnsi="Arial" w:cs="Times New Roman"/>
                <w:sz w:val="24"/>
                <w:szCs w:val="24"/>
              </w:rPr>
            </w:pPr>
          </w:p>
          <w:p w14:paraId="6B29F526" w14:textId="77777777" w:rsidR="001F233C" w:rsidRPr="001F233C" w:rsidRDefault="001F233C" w:rsidP="00A952AF">
            <w:pPr>
              <w:widowControl w:val="0"/>
              <w:numPr>
                <w:ilvl w:val="1"/>
                <w:numId w:val="5"/>
              </w:numPr>
              <w:spacing w:line="360" w:lineRule="exact"/>
              <w:ind w:left="1251"/>
              <w:jc w:val="both"/>
              <w:rPr>
                <w:rFonts w:ascii="Arial" w:eastAsia="Times New Roman" w:hAnsi="Arial" w:cs="Times New Roman"/>
                <w:sz w:val="24"/>
                <w:szCs w:val="24"/>
              </w:rPr>
            </w:pPr>
            <w:r w:rsidRPr="001F233C">
              <w:rPr>
                <w:rFonts w:ascii="Arial" w:eastAsia="Times New Roman" w:hAnsi="Arial" w:cs="Times New Roman"/>
                <w:sz w:val="24"/>
                <w:szCs w:val="24"/>
              </w:rPr>
              <w:t>In the event that the purpose of the Agreement cannot reasonably be achieved, the Parties shall discuss how to proceed.</w:t>
            </w:r>
          </w:p>
          <w:p w14:paraId="3DF5EBEA" w14:textId="77777777" w:rsidR="005263F6" w:rsidRDefault="005263F6"/>
        </w:tc>
        <w:tc>
          <w:tcPr>
            <w:tcW w:w="7694" w:type="dxa"/>
          </w:tcPr>
          <w:p w14:paraId="6D48FE2A" w14:textId="77777777" w:rsidR="005263F6" w:rsidRPr="00730CEE" w:rsidRDefault="005263F6" w:rsidP="005263F6">
            <w:pPr>
              <w:pStyle w:val="Absatzallgemein"/>
              <w:widowControl w:val="0"/>
              <w:tabs>
                <w:tab w:val="clear" w:pos="567"/>
              </w:tabs>
              <w:ind w:left="1251"/>
              <w:rPr>
                <w:lang w:val="en-GB"/>
              </w:rPr>
            </w:pPr>
          </w:p>
          <w:p w14:paraId="244B71FE" w14:textId="77777777" w:rsidR="005263F6" w:rsidRPr="00730CEE" w:rsidRDefault="005263F6" w:rsidP="001F233C">
            <w:pPr>
              <w:pStyle w:val="Heading1"/>
              <w:keepNext w:val="0"/>
              <w:widowControl w:val="0"/>
              <w:numPr>
                <w:ilvl w:val="0"/>
                <w:numId w:val="4"/>
              </w:numPr>
              <w:tabs>
                <w:tab w:val="left" w:pos="3757"/>
              </w:tabs>
              <w:outlineLvl w:val="0"/>
            </w:pPr>
            <w:r>
              <w:t>Laufzeit und Kündigung</w:t>
            </w:r>
          </w:p>
          <w:p w14:paraId="7D60E3ED" w14:textId="77777777" w:rsidR="005263F6" w:rsidRPr="00730CEE" w:rsidRDefault="005263F6" w:rsidP="001F233C">
            <w:pPr>
              <w:pStyle w:val="Absatzallgemein"/>
              <w:widowControl w:val="0"/>
              <w:numPr>
                <w:ilvl w:val="1"/>
                <w:numId w:val="4"/>
              </w:numPr>
              <w:tabs>
                <w:tab w:val="clear" w:pos="567"/>
              </w:tabs>
              <w:ind w:left="1251"/>
            </w:pPr>
            <w:r>
              <w:t xml:space="preserve">Diese Vereinbarung tritt mit ihrer ordnungsgemäßen Unterzeichnung durch alle Parteien in Kraft. Um den Parteien nach Ablauf des Evaluierungszeitraums Zeit zur </w:t>
            </w:r>
            <w:r>
              <w:lastRenderedPageBreak/>
              <w:t xml:space="preserve">Verhandlung einer </w:t>
            </w:r>
            <w:commentRangeStart w:id="6"/>
            <w:r>
              <w:t>Zusatzvereinbarung</w:t>
            </w:r>
            <w:commentRangeEnd w:id="6"/>
            <w:r>
              <w:rPr>
                <w:rStyle w:val="CommentReference"/>
              </w:rPr>
              <w:commentReference w:id="6"/>
            </w:r>
            <w:r>
              <w:t xml:space="preserve"> einzuräumen, läuft diese Vereinbarung drei Monate nach Ende des Evaluierungszeitraums ab, und zwar unabhängig davon, ob die Parteien eine solche Zusatzvereinbarung eingegangen sind, die diese Vereinbarung gemäß ihren Bestimmungen überdauert. (Dies hindert die Parteien nicht daran, ggf. bereits während des Evaluierungszeitraums eine Zusatzvereinbarung auszuhandeln und zu vereinbaren).</w:t>
            </w:r>
          </w:p>
          <w:p w14:paraId="09150651" w14:textId="77777777" w:rsidR="005263F6" w:rsidRPr="00730CEE" w:rsidRDefault="005263F6" w:rsidP="001F233C">
            <w:pPr>
              <w:pStyle w:val="Absatzallgemein"/>
              <w:widowControl w:val="0"/>
              <w:numPr>
                <w:ilvl w:val="1"/>
                <w:numId w:val="4"/>
              </w:numPr>
              <w:tabs>
                <w:tab w:val="clear" w:pos="567"/>
              </w:tabs>
              <w:ind w:left="1251"/>
            </w:pPr>
            <w:r>
              <w:t xml:space="preserve">Diese Vereinbarung kann von jeder der Parteien auch vorzeitig mit sofortiger Wirkung gekündigt </w:t>
            </w:r>
            <w:commentRangeStart w:id="7"/>
            <w:r>
              <w:t>werden</w:t>
            </w:r>
            <w:commentRangeEnd w:id="7"/>
            <w:r>
              <w:rPr>
                <w:rStyle w:val="CommentReference"/>
              </w:rPr>
              <w:commentReference w:id="7"/>
            </w:r>
            <w:r>
              <w:t xml:space="preserve">, wenn die aufkündigende Partei vernünftigerweise davon ausgehen kann, dass der Zweck der Vereinbarung aufgrund des Verhaltens der anderen Partei für sie hinfällig geworden ist. Eine solche Kündigung hat schriftlich unter Angabe der Gründe an die andere Partei zu erfolgen. </w:t>
            </w:r>
          </w:p>
          <w:p w14:paraId="06A017CA" w14:textId="77777777" w:rsidR="005263F6" w:rsidRPr="00730CEE" w:rsidRDefault="005263F6" w:rsidP="001F233C">
            <w:pPr>
              <w:pStyle w:val="Absatzallgemein"/>
              <w:widowControl w:val="0"/>
              <w:numPr>
                <w:ilvl w:val="1"/>
                <w:numId w:val="4"/>
              </w:numPr>
              <w:tabs>
                <w:tab w:val="clear" w:pos="567"/>
              </w:tabs>
              <w:ind w:left="1251"/>
            </w:pPr>
            <w:r>
              <w:t>Sollte sich herausstellen, dass der Zweck der Vereinbarung, nüchtern betrachtet, nicht erreicht werden kann, so erörtern die Parteien das weitere Vorgehen.</w:t>
            </w:r>
          </w:p>
          <w:p w14:paraId="1E684594" w14:textId="77777777" w:rsidR="005263F6" w:rsidRDefault="005263F6"/>
        </w:tc>
      </w:tr>
      <w:tr w:rsidR="005263F6" w14:paraId="7E464256" w14:textId="77777777" w:rsidTr="005263F6">
        <w:tc>
          <w:tcPr>
            <w:tcW w:w="7694" w:type="dxa"/>
          </w:tcPr>
          <w:p w14:paraId="47058A12" w14:textId="77777777" w:rsidR="005263F6" w:rsidRPr="00730CEE" w:rsidRDefault="005263F6" w:rsidP="007B3634">
            <w:pPr>
              <w:pStyle w:val="Absatzallgemein"/>
              <w:widowControl w:val="0"/>
              <w:tabs>
                <w:tab w:val="clear" w:pos="567"/>
              </w:tabs>
              <w:ind w:left="1251"/>
              <w:rPr>
                <w:lang w:val="en-GB"/>
              </w:rPr>
            </w:pPr>
          </w:p>
          <w:p w14:paraId="3A8EBBCA" w14:textId="77777777" w:rsidR="005263F6" w:rsidRPr="00730CEE" w:rsidRDefault="005263F6" w:rsidP="001F233C">
            <w:pPr>
              <w:pStyle w:val="Heading1"/>
              <w:keepNext w:val="0"/>
              <w:widowControl w:val="0"/>
              <w:numPr>
                <w:ilvl w:val="0"/>
                <w:numId w:val="4"/>
              </w:numPr>
              <w:tabs>
                <w:tab w:val="num" w:pos="360"/>
                <w:tab w:val="left" w:pos="3757"/>
              </w:tabs>
              <w:ind w:left="425" w:hanging="425"/>
              <w:outlineLvl w:val="0"/>
              <w:rPr>
                <w:lang w:val="en-GB"/>
              </w:rPr>
            </w:pPr>
            <w:r w:rsidRPr="00730CEE">
              <w:rPr>
                <w:lang w:val="en-GB"/>
              </w:rPr>
              <w:t>Liability</w:t>
            </w:r>
          </w:p>
          <w:p w14:paraId="10C719C4" w14:textId="77777777" w:rsidR="005263F6" w:rsidRPr="00730CEE" w:rsidRDefault="005263F6" w:rsidP="001F233C">
            <w:pPr>
              <w:pStyle w:val="Absatzallgemein"/>
              <w:widowControl w:val="0"/>
              <w:numPr>
                <w:ilvl w:val="1"/>
                <w:numId w:val="4"/>
              </w:numPr>
              <w:tabs>
                <w:tab w:val="clear" w:pos="567"/>
              </w:tabs>
              <w:ind w:left="1251"/>
              <w:rPr>
                <w:lang w:val="en-GB"/>
              </w:rPr>
            </w:pPr>
            <w:r w:rsidRPr="00730CEE">
              <w:rPr>
                <w:lang w:val="en-GB"/>
              </w:rPr>
              <w:t xml:space="preserve">Liability for any damage or loss incurred by third parties caused during the performance of this Agreement shall be assumed by the Party to whom the cause of this damage or loss is attributable. </w:t>
            </w:r>
          </w:p>
          <w:p w14:paraId="41341E77" w14:textId="6162461E" w:rsidR="005263F6" w:rsidRDefault="005263F6" w:rsidP="001F233C">
            <w:pPr>
              <w:pStyle w:val="Absatzallgemein"/>
              <w:widowControl w:val="0"/>
              <w:numPr>
                <w:ilvl w:val="1"/>
                <w:numId w:val="4"/>
              </w:numPr>
              <w:tabs>
                <w:tab w:val="clear" w:pos="567"/>
              </w:tabs>
              <w:ind w:left="1251"/>
              <w:rPr>
                <w:lang w:val="en-GB"/>
              </w:rPr>
            </w:pPr>
            <w:r w:rsidRPr="00730CEE">
              <w:rPr>
                <w:lang w:val="en-GB"/>
              </w:rPr>
              <w:t xml:space="preserve">Other than in respect of breach of the non-disclosure </w:t>
            </w:r>
            <w:r w:rsidRPr="00730CEE">
              <w:rPr>
                <w:lang w:val="en-GB"/>
              </w:rPr>
              <w:lastRenderedPageBreak/>
              <w:t xml:space="preserve">agreement, in respect of IMC’s misuse of Mobileye data, or in respect of Mobileye’s misuse of IMC Background IPR regarding the Actual Product and Services, claims for damages of the Parties against one another, against members of executive management and legal representatives, vicarious agents and assigns shall be precluded where they are not founded on </w:t>
            </w:r>
            <w:proofErr w:type="spellStart"/>
            <w:r w:rsidRPr="00730CEE">
              <w:rPr>
                <w:lang w:val="en-GB"/>
              </w:rPr>
              <w:t>willful</w:t>
            </w:r>
            <w:proofErr w:type="spellEnd"/>
            <w:r w:rsidRPr="00730CEE">
              <w:rPr>
                <w:lang w:val="en-GB"/>
              </w:rPr>
              <w:t xml:space="preserve"> intent or gross negligence. Claims for the compensation of damages and reimbursement of expenses of the Parties, including, but not limited to, breach of obligations arising from the contractual relationship or for tortious acts, shall be excluded, irrespective of the legal grounds on which they may be founded. This shall not apply in cases of primary liability, e.g. under the German Product Liability Act (</w:t>
            </w:r>
            <w:proofErr w:type="spellStart"/>
            <w:r w:rsidRPr="00730CEE">
              <w:rPr>
                <w:lang w:val="en-GB"/>
              </w:rPr>
              <w:t>ProdHaftG</w:t>
            </w:r>
            <w:proofErr w:type="spellEnd"/>
            <w:r w:rsidRPr="00730CEE">
              <w:rPr>
                <w:lang w:val="en-GB"/>
              </w:rPr>
              <w:t xml:space="preserve">), in cases of </w:t>
            </w:r>
            <w:proofErr w:type="spellStart"/>
            <w:r w:rsidRPr="00730CEE">
              <w:rPr>
                <w:lang w:val="en-GB"/>
              </w:rPr>
              <w:t>willful</w:t>
            </w:r>
            <w:proofErr w:type="spellEnd"/>
            <w:r w:rsidRPr="00730CEE">
              <w:rPr>
                <w:lang w:val="en-GB"/>
              </w:rPr>
              <w:t xml:space="preserve"> intent, gross negligence, due to the breach of material contractual obligations. However, any claim for the compensation of damages and reimbursement of expenses arising from the breach of material contractual obligations shall be limited to the damage or loss that is foreseeable in connection with the respective type of contract, provided that no </w:t>
            </w:r>
            <w:proofErr w:type="spellStart"/>
            <w:r w:rsidRPr="00730CEE">
              <w:rPr>
                <w:lang w:val="en-GB"/>
              </w:rPr>
              <w:t>willful</w:t>
            </w:r>
            <w:proofErr w:type="spellEnd"/>
            <w:r w:rsidRPr="00730CEE">
              <w:rPr>
                <w:lang w:val="en-GB"/>
              </w:rPr>
              <w:t xml:space="preserve"> intent or gross negligence is present or liability based on injury to life, limb or health is invoked.</w:t>
            </w:r>
          </w:p>
          <w:p w14:paraId="1228C64A" w14:textId="414BD31C" w:rsidR="007B3634" w:rsidRDefault="007B3634" w:rsidP="007B3634">
            <w:pPr>
              <w:pStyle w:val="Absatzallgemein"/>
              <w:widowControl w:val="0"/>
              <w:tabs>
                <w:tab w:val="clear" w:pos="567"/>
              </w:tabs>
              <w:rPr>
                <w:lang w:val="en-GB"/>
              </w:rPr>
            </w:pPr>
          </w:p>
          <w:p w14:paraId="14EEA4ED" w14:textId="77777777" w:rsidR="007B3634" w:rsidRPr="00730CEE" w:rsidRDefault="007B3634" w:rsidP="007B3634">
            <w:pPr>
              <w:pStyle w:val="Absatzallgemein"/>
              <w:widowControl w:val="0"/>
              <w:tabs>
                <w:tab w:val="clear" w:pos="567"/>
              </w:tabs>
              <w:rPr>
                <w:lang w:val="en-GB"/>
              </w:rPr>
            </w:pPr>
          </w:p>
          <w:p w14:paraId="07817FCB" w14:textId="77777777" w:rsidR="005263F6" w:rsidRPr="00730CEE" w:rsidRDefault="005263F6" w:rsidP="001F233C">
            <w:pPr>
              <w:pStyle w:val="Absatzallgemein"/>
              <w:widowControl w:val="0"/>
              <w:numPr>
                <w:ilvl w:val="1"/>
                <w:numId w:val="4"/>
              </w:numPr>
              <w:tabs>
                <w:tab w:val="clear" w:pos="567"/>
              </w:tabs>
              <w:ind w:left="1251"/>
              <w:rPr>
                <w:lang w:val="en-GB"/>
              </w:rPr>
            </w:pPr>
            <w:r w:rsidRPr="00730CEE">
              <w:rPr>
                <w:lang w:val="en-GB"/>
              </w:rPr>
              <w:t>Any assertion of claims for consequential damage or loss and/or unrealized profits shall be excluded.</w:t>
            </w:r>
          </w:p>
          <w:p w14:paraId="0E1049F1" w14:textId="77777777" w:rsidR="005263F6" w:rsidRPr="00730CEE" w:rsidRDefault="005263F6" w:rsidP="005263F6">
            <w:pPr>
              <w:pStyle w:val="Absatzallgemein"/>
              <w:widowControl w:val="0"/>
              <w:tabs>
                <w:tab w:val="clear" w:pos="567"/>
              </w:tabs>
              <w:ind w:left="1251"/>
              <w:rPr>
                <w:lang w:val="en-GB"/>
              </w:rPr>
            </w:pPr>
          </w:p>
          <w:p w14:paraId="6DE77E40" w14:textId="77777777" w:rsidR="005263F6" w:rsidRDefault="005263F6"/>
        </w:tc>
        <w:tc>
          <w:tcPr>
            <w:tcW w:w="7694" w:type="dxa"/>
          </w:tcPr>
          <w:p w14:paraId="75BCFC40" w14:textId="77777777" w:rsidR="005263F6" w:rsidRPr="00730CEE" w:rsidRDefault="005263F6" w:rsidP="007B3634">
            <w:pPr>
              <w:pStyle w:val="Absatzallgemein"/>
              <w:widowControl w:val="0"/>
              <w:tabs>
                <w:tab w:val="clear" w:pos="567"/>
              </w:tabs>
              <w:ind w:left="1251"/>
            </w:pPr>
          </w:p>
          <w:p w14:paraId="6E26160A" w14:textId="77777777" w:rsidR="005263F6" w:rsidRPr="00730CEE" w:rsidRDefault="005263F6" w:rsidP="005263F6">
            <w:pPr>
              <w:pStyle w:val="Heading1"/>
              <w:keepNext w:val="0"/>
              <w:widowControl w:val="0"/>
              <w:numPr>
                <w:ilvl w:val="0"/>
                <w:numId w:val="3"/>
              </w:numPr>
              <w:tabs>
                <w:tab w:val="left" w:pos="3757"/>
              </w:tabs>
              <w:outlineLvl w:val="0"/>
            </w:pPr>
            <w:r>
              <w:t>Haftung</w:t>
            </w:r>
          </w:p>
          <w:p w14:paraId="462861F6" w14:textId="77777777" w:rsidR="005263F6" w:rsidRPr="00730CEE" w:rsidRDefault="005263F6" w:rsidP="005263F6">
            <w:pPr>
              <w:pStyle w:val="Absatzallgemein"/>
              <w:widowControl w:val="0"/>
              <w:numPr>
                <w:ilvl w:val="1"/>
                <w:numId w:val="3"/>
              </w:numPr>
              <w:tabs>
                <w:tab w:val="clear" w:pos="567"/>
              </w:tabs>
              <w:ind w:left="1251"/>
            </w:pPr>
            <w:r>
              <w:t xml:space="preserve">Für Schäden oder Verluste, die Dritten im Zuge der Erfüllung dieser Vereinbarung gegebenenfalls entstehen, haftet jene Partei, die für den betreffenden Schaden oder Verlust ursächlich verantwortlich ist. </w:t>
            </w:r>
          </w:p>
          <w:p w14:paraId="1642FC9A" w14:textId="77777777" w:rsidR="005263F6" w:rsidRPr="00730CEE" w:rsidRDefault="005263F6" w:rsidP="005263F6">
            <w:pPr>
              <w:pStyle w:val="Absatzallgemein"/>
              <w:widowControl w:val="0"/>
              <w:numPr>
                <w:ilvl w:val="1"/>
                <w:numId w:val="3"/>
              </w:numPr>
              <w:tabs>
                <w:tab w:val="clear" w:pos="567"/>
              </w:tabs>
              <w:ind w:left="1251"/>
            </w:pPr>
            <w:r>
              <w:t xml:space="preserve">Schadensersatzansprüche der Parteien gegeneinander, </w:t>
            </w:r>
            <w:r>
              <w:lastRenderedPageBreak/>
              <w:t xml:space="preserve">gegen Mitglieder der Geschäftsleitung und gesetzliche Vertreter, Erfüllungsgehilfen und Beauftragte sind, außer (i) im Fall einer Verletzung der Geheimhaltungsvereinbarung, (ii) bei Missbrauch der </w:t>
            </w:r>
            <w:r w:rsidRPr="005751F7">
              <w:t>seitens Mobileye bereitgestellten Daten</w:t>
            </w:r>
            <w:r>
              <w:t xml:space="preserve"> durch die </w:t>
            </w:r>
            <w:r w:rsidRPr="00617A7D">
              <w:t>IMC</w:t>
            </w:r>
            <w:r>
              <w:t xml:space="preserve"> oder (iii) bei Missbrauch der den eigentlichen Produkten bzw. Dienstleitungen der </w:t>
            </w:r>
            <w:r w:rsidRPr="00617A7D">
              <w:t>IMC</w:t>
            </w:r>
            <w:r>
              <w:t xml:space="preserve"> </w:t>
            </w:r>
            <w:r w:rsidRPr="005751F7">
              <w:t>zugrunde liegenden</w:t>
            </w:r>
            <w:r>
              <w:t xml:space="preserve"> geistigen Eigentumsrechte durch </w:t>
            </w:r>
            <w:r w:rsidRPr="00617A7D">
              <w:t>Mobileye</w:t>
            </w:r>
            <w:r>
              <w:t xml:space="preserve">, und soweit sie nicht auf Vorsatz oder grober Fahrlässigkeit beruhen, ausgeschlossen. Schaden- und Kostenersatzansprüche der Parteien, insbesondere in Bezug auf die Verletzung von Pflichten, die sich aus dem Vertragsverhältnis ergeben, oder auf unrechtmäßige Handlungen, sind ausgeschlossen, und zwar ungeachtet der ihnen </w:t>
            </w:r>
            <w:r w:rsidRPr="005751F7">
              <w:t>zugrunde liegenden</w:t>
            </w:r>
            <w:r>
              <w:t xml:space="preserve"> Rechtsgrundlagen. Dies gilt nicht in Primärhaftungsfällen, bspw. unter dem deutschen Produkthaftungsgesetz (</w:t>
            </w:r>
            <w:r w:rsidRPr="005751F7">
              <w:t>ProdHaftG</w:t>
            </w:r>
            <w:r>
              <w:t>), bei Vorsatz, grober Fahrlässigkeit oder bei einem Verstoß gegen wesentliche vertragliche Pflichten. Der Anspruch auf Schaden- und Kostenersatz aufgrund einer Verletzung wesentlicher Vertragspflichten ist jedoch, soweit es sich nicht um Vorsatz oder grobe Fahrlässigkeit handelt, oder um eine Haftung in Bezug auf Leben, Körper und Gesundheit, auf den vertragstypischen, vorhersehbaren Schaden begrenzt.</w:t>
            </w:r>
          </w:p>
          <w:p w14:paraId="22E15871" w14:textId="77777777" w:rsidR="005263F6" w:rsidRPr="00730CEE" w:rsidRDefault="005263F6" w:rsidP="005263F6">
            <w:pPr>
              <w:pStyle w:val="Absatzallgemein"/>
              <w:widowControl w:val="0"/>
              <w:numPr>
                <w:ilvl w:val="1"/>
                <w:numId w:val="3"/>
              </w:numPr>
              <w:tabs>
                <w:tab w:val="clear" w:pos="567"/>
              </w:tabs>
              <w:ind w:left="1251"/>
            </w:pPr>
            <w:r>
              <w:t>Ansprüche in Bezug auf Folgeschäden oder Verluste bzw. nicht erzielte Gewinne sind jedenfalls ausgeschlossen.</w:t>
            </w:r>
          </w:p>
          <w:p w14:paraId="3A0ABF3E" w14:textId="77777777" w:rsidR="005263F6" w:rsidRPr="00730CEE" w:rsidRDefault="005263F6" w:rsidP="005263F6">
            <w:pPr>
              <w:pStyle w:val="Absatzallgemein"/>
              <w:widowControl w:val="0"/>
              <w:tabs>
                <w:tab w:val="clear" w:pos="567"/>
              </w:tabs>
              <w:ind w:left="1251"/>
              <w:rPr>
                <w:lang w:val="en-GB"/>
              </w:rPr>
            </w:pPr>
          </w:p>
          <w:p w14:paraId="64E347CC" w14:textId="77777777" w:rsidR="005263F6" w:rsidRDefault="005263F6"/>
        </w:tc>
      </w:tr>
      <w:tr w:rsidR="005263F6" w14:paraId="4C1884E8" w14:textId="77777777" w:rsidTr="005263F6">
        <w:tc>
          <w:tcPr>
            <w:tcW w:w="7694" w:type="dxa"/>
          </w:tcPr>
          <w:p w14:paraId="2517F033" w14:textId="77777777" w:rsidR="005263F6" w:rsidRPr="005263F6" w:rsidRDefault="005263F6" w:rsidP="005263F6">
            <w:pPr>
              <w:widowControl w:val="0"/>
              <w:spacing w:line="360" w:lineRule="exact"/>
              <w:ind w:left="1251"/>
              <w:jc w:val="both"/>
              <w:rPr>
                <w:rFonts w:ascii="Arial" w:eastAsia="Times New Roman" w:hAnsi="Arial" w:cs="Times New Roman"/>
                <w:sz w:val="24"/>
                <w:szCs w:val="24"/>
              </w:rPr>
            </w:pPr>
          </w:p>
          <w:p w14:paraId="22668AED" w14:textId="77777777" w:rsidR="005263F6" w:rsidRPr="005263F6" w:rsidRDefault="005263F6" w:rsidP="005263F6">
            <w:pPr>
              <w:widowControl w:val="0"/>
              <w:numPr>
                <w:ilvl w:val="0"/>
                <w:numId w:val="3"/>
              </w:numPr>
              <w:tabs>
                <w:tab w:val="left" w:pos="425"/>
                <w:tab w:val="left" w:pos="3757"/>
              </w:tabs>
              <w:spacing w:before="240" w:after="180" w:line="360" w:lineRule="exact"/>
              <w:jc w:val="both"/>
              <w:outlineLvl w:val="0"/>
              <w:rPr>
                <w:rFonts w:ascii="Arial" w:eastAsia="Times New Roman" w:hAnsi="Arial" w:cs="Arial"/>
                <w:b/>
                <w:bCs/>
                <w:kern w:val="32"/>
                <w:sz w:val="28"/>
                <w:szCs w:val="32"/>
              </w:rPr>
            </w:pPr>
            <w:r w:rsidRPr="005263F6">
              <w:rPr>
                <w:rFonts w:ascii="Arial" w:eastAsia="Times New Roman" w:hAnsi="Arial" w:cs="Arial"/>
                <w:b/>
                <w:bCs/>
                <w:kern w:val="32"/>
                <w:sz w:val="28"/>
                <w:szCs w:val="32"/>
              </w:rPr>
              <w:t>General provisions</w:t>
            </w:r>
          </w:p>
          <w:p w14:paraId="52EC7AFE" w14:textId="2239E414" w:rsid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 xml:space="preserve">The inclusion of other parties in the cooperative venture shall be subject to the prior written consent of all contracting Parties. The rights and obligations under this Agreement shall not be transferable unless with the prior consent of the Parties or in the event of any universal succession. </w:t>
            </w:r>
          </w:p>
          <w:p w14:paraId="21EF8DC9" w14:textId="77777777" w:rsidR="007B3634" w:rsidRPr="005263F6" w:rsidRDefault="007B3634" w:rsidP="007B3634">
            <w:pPr>
              <w:widowControl w:val="0"/>
              <w:spacing w:line="360" w:lineRule="exact"/>
              <w:jc w:val="both"/>
              <w:rPr>
                <w:rFonts w:ascii="Arial" w:eastAsia="Times New Roman" w:hAnsi="Arial" w:cs="Times New Roman"/>
                <w:sz w:val="24"/>
                <w:szCs w:val="24"/>
              </w:rPr>
            </w:pPr>
          </w:p>
          <w:p w14:paraId="55373465" w14:textId="7E1F2C89" w:rsid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This shall be without prejudice to the rights and obligations of the Parties based on general statutory provisions, unless provided for otherwise by this Agreement.</w:t>
            </w:r>
          </w:p>
          <w:p w14:paraId="4DBEC072" w14:textId="77777777" w:rsidR="007B3634" w:rsidRDefault="007B3634" w:rsidP="007B3634">
            <w:pPr>
              <w:pStyle w:val="ListParagraph"/>
              <w:rPr>
                <w:rFonts w:ascii="Arial" w:eastAsia="Times New Roman" w:hAnsi="Arial" w:cs="Times New Roman"/>
                <w:sz w:val="24"/>
                <w:szCs w:val="24"/>
              </w:rPr>
            </w:pPr>
          </w:p>
          <w:p w14:paraId="0CFC7FC8" w14:textId="77777777" w:rsidR="007B3634" w:rsidRPr="005263F6" w:rsidRDefault="007B3634" w:rsidP="007B3634">
            <w:pPr>
              <w:widowControl w:val="0"/>
              <w:spacing w:line="360" w:lineRule="exact"/>
              <w:jc w:val="both"/>
              <w:rPr>
                <w:rFonts w:ascii="Arial" w:eastAsia="Times New Roman" w:hAnsi="Arial" w:cs="Times New Roman"/>
                <w:sz w:val="24"/>
                <w:szCs w:val="24"/>
              </w:rPr>
            </w:pPr>
          </w:p>
          <w:p w14:paraId="41E1E387" w14:textId="77777777" w:rsidR="005263F6" w:rsidRP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No subsidiary (oral) agreements exist. Any amendments or addenda to this Agreement shall be designated as such and shall not be legally binding unless rendered in writing. Any waiver of this requirement of the written form must likewise be made in writing.</w:t>
            </w:r>
          </w:p>
          <w:p w14:paraId="11E28DE8" w14:textId="29E9B65F" w:rsid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If any provision of this Agreement should prove void or unenforceable, this shall not affect the validity of the remaining provisions. Moreover, this provision shall be replaced by a provision that is legally permissible and approximates as closely as possible to the original provision in its commercial substance.</w:t>
            </w:r>
          </w:p>
          <w:p w14:paraId="06063601" w14:textId="37526F86" w:rsidR="007B3634" w:rsidRDefault="007B3634" w:rsidP="007B3634">
            <w:pPr>
              <w:widowControl w:val="0"/>
              <w:spacing w:line="360" w:lineRule="exact"/>
              <w:jc w:val="both"/>
              <w:rPr>
                <w:rFonts w:ascii="Arial" w:eastAsia="Times New Roman" w:hAnsi="Arial" w:cs="Times New Roman"/>
                <w:sz w:val="24"/>
                <w:szCs w:val="24"/>
              </w:rPr>
            </w:pPr>
          </w:p>
          <w:p w14:paraId="708D3321" w14:textId="77777777" w:rsidR="007B3634" w:rsidRPr="005263F6" w:rsidRDefault="007B3634" w:rsidP="007B3634">
            <w:pPr>
              <w:widowControl w:val="0"/>
              <w:spacing w:line="360" w:lineRule="exact"/>
              <w:jc w:val="both"/>
              <w:rPr>
                <w:rFonts w:ascii="Arial" w:eastAsia="Times New Roman" w:hAnsi="Arial" w:cs="Times New Roman"/>
                <w:sz w:val="24"/>
                <w:szCs w:val="24"/>
              </w:rPr>
            </w:pPr>
          </w:p>
          <w:p w14:paraId="3B6ACB48" w14:textId="73EF75D1" w:rsid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The Parties shall aim to settle amicably</w:t>
            </w:r>
            <w:r w:rsidRPr="005263F6" w:rsidDel="00F852E0">
              <w:rPr>
                <w:rFonts w:ascii="Arial" w:eastAsia="Times New Roman" w:hAnsi="Arial" w:cs="Times New Roman"/>
                <w:sz w:val="24"/>
                <w:szCs w:val="24"/>
              </w:rPr>
              <w:t xml:space="preserve"> </w:t>
            </w:r>
            <w:r w:rsidRPr="005263F6">
              <w:rPr>
                <w:rFonts w:ascii="Arial" w:eastAsia="Times New Roman" w:hAnsi="Arial" w:cs="Times New Roman"/>
                <w:sz w:val="24"/>
                <w:szCs w:val="24"/>
              </w:rPr>
              <w:t xml:space="preserve">any differences of opinion arising under this Agreement, including any that </w:t>
            </w:r>
            <w:r w:rsidRPr="005263F6">
              <w:rPr>
                <w:rFonts w:ascii="Arial" w:eastAsia="Times New Roman" w:hAnsi="Arial" w:cs="Times New Roman"/>
                <w:sz w:val="24"/>
                <w:szCs w:val="24"/>
              </w:rPr>
              <w:lastRenderedPageBreak/>
              <w:t>should arise subsequent to its termination. If this is not possible, then the exclusive place of jurisdiction of disputes shall be Düsseldorf, Germany.</w:t>
            </w:r>
          </w:p>
          <w:p w14:paraId="4487C471" w14:textId="27880416" w:rsidR="007B3634" w:rsidRDefault="007B3634" w:rsidP="007B3634">
            <w:pPr>
              <w:widowControl w:val="0"/>
              <w:spacing w:line="360" w:lineRule="exact"/>
              <w:jc w:val="both"/>
              <w:rPr>
                <w:rFonts w:ascii="Arial" w:eastAsia="Times New Roman" w:hAnsi="Arial" w:cs="Times New Roman"/>
                <w:sz w:val="24"/>
                <w:szCs w:val="24"/>
              </w:rPr>
            </w:pPr>
          </w:p>
          <w:p w14:paraId="28117C16" w14:textId="41D22565" w:rsidR="007B3634" w:rsidRDefault="007B3634" w:rsidP="007B3634">
            <w:pPr>
              <w:widowControl w:val="0"/>
              <w:spacing w:line="360" w:lineRule="exact"/>
              <w:jc w:val="both"/>
              <w:rPr>
                <w:rFonts w:ascii="Arial" w:eastAsia="Times New Roman" w:hAnsi="Arial" w:cs="Times New Roman"/>
                <w:sz w:val="24"/>
                <w:szCs w:val="24"/>
              </w:rPr>
            </w:pPr>
          </w:p>
          <w:p w14:paraId="35F15F85" w14:textId="77777777" w:rsidR="007B3634" w:rsidRPr="005263F6" w:rsidRDefault="007B3634" w:rsidP="007B3634">
            <w:pPr>
              <w:widowControl w:val="0"/>
              <w:spacing w:line="360" w:lineRule="exact"/>
              <w:jc w:val="both"/>
              <w:rPr>
                <w:rFonts w:ascii="Arial" w:eastAsia="Times New Roman" w:hAnsi="Arial" w:cs="Times New Roman"/>
                <w:sz w:val="24"/>
                <w:szCs w:val="24"/>
              </w:rPr>
            </w:pPr>
          </w:p>
          <w:p w14:paraId="0B05665F" w14:textId="77777777" w:rsidR="005263F6" w:rsidRP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This Agreement shall be governed and construed in accordance with the laws of the Federal Republic of Germany.</w:t>
            </w:r>
          </w:p>
          <w:p w14:paraId="6934FC7D" w14:textId="77777777" w:rsidR="005263F6" w:rsidRPr="005263F6" w:rsidRDefault="005263F6" w:rsidP="005263F6">
            <w:pPr>
              <w:widowControl w:val="0"/>
              <w:numPr>
                <w:ilvl w:val="1"/>
                <w:numId w:val="3"/>
              </w:numPr>
              <w:spacing w:line="360" w:lineRule="exact"/>
              <w:ind w:left="1251"/>
              <w:jc w:val="both"/>
              <w:rPr>
                <w:rFonts w:ascii="Arial" w:eastAsia="Times New Roman" w:hAnsi="Arial" w:cs="Times New Roman"/>
                <w:sz w:val="24"/>
                <w:szCs w:val="24"/>
              </w:rPr>
            </w:pPr>
            <w:r w:rsidRPr="005263F6">
              <w:rPr>
                <w:rFonts w:ascii="Arial" w:eastAsia="Times New Roman" w:hAnsi="Arial" w:cs="Times New Roman"/>
                <w:sz w:val="24"/>
                <w:szCs w:val="24"/>
              </w:rPr>
              <w:t>If this Agreement is translated into German, the English version shall prevail.</w:t>
            </w:r>
          </w:p>
          <w:p w14:paraId="30C7272B" w14:textId="77777777" w:rsidR="005263F6" w:rsidRPr="005263F6" w:rsidRDefault="005263F6" w:rsidP="005263F6">
            <w:pPr>
              <w:widowControl w:val="0"/>
              <w:tabs>
                <w:tab w:val="left" w:pos="567"/>
                <w:tab w:val="left" w:pos="1134"/>
              </w:tabs>
              <w:spacing w:line="360" w:lineRule="exact"/>
              <w:ind w:left="1134" w:hanging="567"/>
              <w:jc w:val="both"/>
              <w:rPr>
                <w:rFonts w:ascii="Arial" w:eastAsia="Times New Roman" w:hAnsi="Arial" w:cs="Times New Roman"/>
                <w:sz w:val="24"/>
                <w:szCs w:val="24"/>
              </w:rPr>
            </w:pPr>
          </w:p>
          <w:p w14:paraId="63367BB4" w14:textId="77777777" w:rsidR="005263F6" w:rsidRPr="005263F6" w:rsidRDefault="005263F6" w:rsidP="005263F6">
            <w:pPr>
              <w:widowControl w:val="0"/>
              <w:tabs>
                <w:tab w:val="left" w:pos="567"/>
                <w:tab w:val="left" w:pos="1134"/>
              </w:tabs>
              <w:spacing w:line="360" w:lineRule="exact"/>
              <w:ind w:left="1134" w:hanging="567"/>
              <w:jc w:val="both"/>
              <w:rPr>
                <w:rFonts w:ascii="Arial" w:eastAsia="Times New Roman" w:hAnsi="Arial" w:cs="Times New Roman"/>
                <w:sz w:val="24"/>
                <w:szCs w:val="24"/>
              </w:rPr>
            </w:pPr>
          </w:p>
          <w:p w14:paraId="3C34957D" w14:textId="77777777" w:rsidR="005263F6" w:rsidRPr="005263F6" w:rsidRDefault="005263F6" w:rsidP="005263F6">
            <w:pPr>
              <w:widowControl w:val="0"/>
              <w:tabs>
                <w:tab w:val="left" w:pos="567"/>
                <w:tab w:val="left" w:pos="1134"/>
              </w:tabs>
              <w:spacing w:line="360" w:lineRule="exact"/>
              <w:ind w:left="1134" w:hanging="567"/>
              <w:jc w:val="both"/>
              <w:rPr>
                <w:rFonts w:ascii="Arial" w:eastAsia="Times New Roman" w:hAnsi="Arial" w:cs="Times New Roman"/>
                <w:sz w:val="24"/>
                <w:szCs w:val="24"/>
              </w:rPr>
            </w:pPr>
          </w:p>
          <w:p w14:paraId="4857A1DE" w14:textId="77777777" w:rsidR="005263F6" w:rsidRPr="005263F6" w:rsidRDefault="005263F6" w:rsidP="005263F6">
            <w:pPr>
              <w:widowControl w:val="0"/>
              <w:tabs>
                <w:tab w:val="left" w:pos="567"/>
                <w:tab w:val="left" w:pos="1134"/>
              </w:tabs>
              <w:spacing w:line="360" w:lineRule="exact"/>
              <w:ind w:left="1134" w:hanging="567"/>
              <w:jc w:val="both"/>
              <w:rPr>
                <w:rFonts w:ascii="Arial" w:eastAsia="Times New Roman" w:hAnsi="Arial" w:cs="Times New Roman"/>
                <w:sz w:val="24"/>
                <w:szCs w:val="24"/>
              </w:rPr>
            </w:pPr>
          </w:p>
          <w:p w14:paraId="64E9AA19" w14:textId="77777777" w:rsidR="005263F6" w:rsidRPr="005263F6" w:rsidRDefault="005263F6" w:rsidP="005263F6">
            <w:pPr>
              <w:widowControl w:val="0"/>
              <w:tabs>
                <w:tab w:val="left" w:pos="567"/>
                <w:tab w:val="left" w:pos="1134"/>
              </w:tabs>
              <w:spacing w:line="360" w:lineRule="exact"/>
              <w:ind w:left="1134" w:hanging="567"/>
              <w:jc w:val="both"/>
              <w:rPr>
                <w:rFonts w:ascii="Arial" w:eastAsia="Times New Roman" w:hAnsi="Arial" w:cs="Times New Roman"/>
                <w:sz w:val="24"/>
                <w:szCs w:val="24"/>
              </w:rPr>
            </w:pPr>
          </w:p>
          <w:p w14:paraId="686BC64A" w14:textId="77777777" w:rsidR="005263F6" w:rsidRDefault="005263F6"/>
        </w:tc>
        <w:tc>
          <w:tcPr>
            <w:tcW w:w="7694" w:type="dxa"/>
          </w:tcPr>
          <w:p w14:paraId="72B1BEE5" w14:textId="77777777" w:rsidR="005263F6" w:rsidRPr="00730CEE" w:rsidRDefault="005263F6" w:rsidP="005263F6">
            <w:pPr>
              <w:pStyle w:val="Absatzallgemein"/>
              <w:widowControl w:val="0"/>
              <w:tabs>
                <w:tab w:val="clear" w:pos="567"/>
              </w:tabs>
              <w:ind w:left="1251"/>
              <w:rPr>
                <w:lang w:val="en-GB"/>
              </w:rPr>
            </w:pPr>
          </w:p>
          <w:p w14:paraId="27F53D9F" w14:textId="77777777" w:rsidR="005263F6" w:rsidRPr="00730CEE" w:rsidRDefault="005263F6" w:rsidP="005263F6">
            <w:pPr>
              <w:pStyle w:val="Heading1"/>
              <w:keepNext w:val="0"/>
              <w:widowControl w:val="0"/>
              <w:numPr>
                <w:ilvl w:val="0"/>
                <w:numId w:val="2"/>
              </w:numPr>
              <w:tabs>
                <w:tab w:val="left" w:pos="3757"/>
              </w:tabs>
              <w:outlineLvl w:val="0"/>
            </w:pPr>
            <w:r>
              <w:t>Allgemeine Bestimmungen</w:t>
            </w:r>
          </w:p>
          <w:p w14:paraId="0649BBEE" w14:textId="77777777" w:rsidR="005263F6" w:rsidRPr="00730CEE" w:rsidRDefault="005263F6" w:rsidP="005263F6">
            <w:pPr>
              <w:pStyle w:val="Absatzallgemein"/>
              <w:widowControl w:val="0"/>
              <w:numPr>
                <w:ilvl w:val="1"/>
                <w:numId w:val="2"/>
              </w:numPr>
              <w:tabs>
                <w:tab w:val="clear" w:pos="567"/>
              </w:tabs>
              <w:ind w:left="1251"/>
            </w:pPr>
            <w:r>
              <w:t xml:space="preserve">Die Einbeziehung weiterer Parteien in die Zusammenarbeit bedarf der vorherigen schriftlichen Zustimmung aller </w:t>
            </w:r>
            <w:commentRangeStart w:id="8"/>
            <w:r>
              <w:t>Vertrags</w:t>
            </w:r>
            <w:commentRangeEnd w:id="8"/>
            <w:r>
              <w:rPr>
                <w:rStyle w:val="CommentReference"/>
              </w:rPr>
              <w:commentReference w:id="8"/>
            </w:r>
            <w:r>
              <w:t xml:space="preserve">parteien. Die aus dieser Vereinbarung erwachsenden Rechte und Pflichten sind nur nach vorheriger Zustimmung der Parteien oder im Falle einer Gesamtrechtsnachfolge übertragbar. </w:t>
            </w:r>
          </w:p>
          <w:p w14:paraId="55BB51A8" w14:textId="77777777" w:rsidR="005263F6" w:rsidRPr="00730CEE" w:rsidRDefault="005263F6" w:rsidP="005263F6">
            <w:pPr>
              <w:pStyle w:val="Absatzallgemein"/>
              <w:widowControl w:val="0"/>
              <w:numPr>
                <w:ilvl w:val="1"/>
                <w:numId w:val="2"/>
              </w:numPr>
              <w:tabs>
                <w:tab w:val="clear" w:pos="567"/>
              </w:tabs>
              <w:ind w:left="1251"/>
            </w:pPr>
            <w:r>
              <w:t>Die Rechte und Pflichten der Parteien aufgrund allgemeiner gesetzlicher Vorschriften bleiben hiervon, sofern in dieser Vereinbarung nichts anderes festgelegt wurde, unberührt.</w:t>
            </w:r>
          </w:p>
          <w:p w14:paraId="0E387CB7" w14:textId="77777777" w:rsidR="005263F6" w:rsidRPr="00730CEE" w:rsidRDefault="005263F6" w:rsidP="005263F6">
            <w:pPr>
              <w:pStyle w:val="Absatzallgemein"/>
              <w:widowControl w:val="0"/>
              <w:numPr>
                <w:ilvl w:val="1"/>
                <w:numId w:val="2"/>
              </w:numPr>
              <w:tabs>
                <w:tab w:val="clear" w:pos="567"/>
              </w:tabs>
              <w:ind w:left="1251"/>
            </w:pPr>
            <w:r>
              <w:t>Es bestehen keinerlei (mündliche) Nebenabreden. Änderungen oder Ergänzungen dieser Vereinbarung sind als solche zu kennzeichnen und bedürfen zu ihrer Rechtswirksamkeit der Schriftform. Ein Verzicht auf dieses Schriftformerfordernis bedarf ebenfalls der Schriftform.</w:t>
            </w:r>
          </w:p>
          <w:p w14:paraId="2815346D" w14:textId="77777777" w:rsidR="005263F6" w:rsidRPr="00730CEE" w:rsidRDefault="005263F6" w:rsidP="005263F6">
            <w:pPr>
              <w:pStyle w:val="Absatzallgemein"/>
              <w:widowControl w:val="0"/>
              <w:numPr>
                <w:ilvl w:val="1"/>
                <w:numId w:val="2"/>
              </w:numPr>
              <w:tabs>
                <w:tab w:val="clear" w:pos="567"/>
              </w:tabs>
              <w:ind w:left="1251"/>
            </w:pPr>
            <w:r>
              <w:t>Sollte sich eine Bestimmung dieser Vereinbarung als unwirksam oder undurchsetzbar erweisen, so bleibt die Wirksamkeit der übrigen Bestimmungen hiervon unberührt. Zudem ist eine solche unwirksame oder undurchsetzbare Bestimmung durch eine andere, rechtlich zulässige und den ursprünglichen wirtschaftlichen Zwecken möglichst nahe kommende zu ersetzen.</w:t>
            </w:r>
          </w:p>
          <w:p w14:paraId="5088F910" w14:textId="77777777" w:rsidR="005263F6" w:rsidRPr="00730CEE" w:rsidRDefault="005263F6" w:rsidP="005263F6">
            <w:pPr>
              <w:pStyle w:val="Absatzallgemein"/>
              <w:widowControl w:val="0"/>
              <w:numPr>
                <w:ilvl w:val="1"/>
                <w:numId w:val="2"/>
              </w:numPr>
              <w:tabs>
                <w:tab w:val="clear" w:pos="567"/>
              </w:tabs>
              <w:ind w:left="1251"/>
            </w:pPr>
            <w:r>
              <w:t xml:space="preserve">Die Parteien haben sich um eine </w:t>
            </w:r>
            <w:r w:rsidRPr="005751F7">
              <w:t>gütliche Beilegung</w:t>
            </w:r>
            <w:r>
              <w:t xml:space="preserve"> </w:t>
            </w:r>
            <w:r>
              <w:lastRenderedPageBreak/>
              <w:t>gegebenenfalls aus oder im Zusammenhang mit dieser Vereinbarung entstehende Meinungsverschiedenheiten zu bemühen, selbst wenn diese erst nach Beendigung der Zusammenarbeit auftreten sollten. Für den Fall, dass dies nicht möglich ist, wir als ausschließlicher Gerichtsstand Düsseldorf, Deutschland, festgelegt.</w:t>
            </w:r>
          </w:p>
          <w:p w14:paraId="31C7AEE2" w14:textId="77777777" w:rsidR="005263F6" w:rsidRPr="00730CEE" w:rsidRDefault="005263F6" w:rsidP="005263F6">
            <w:pPr>
              <w:pStyle w:val="Absatzallgemein"/>
              <w:widowControl w:val="0"/>
              <w:numPr>
                <w:ilvl w:val="1"/>
                <w:numId w:val="2"/>
              </w:numPr>
              <w:tabs>
                <w:tab w:val="clear" w:pos="567"/>
              </w:tabs>
              <w:ind w:left="1251"/>
            </w:pPr>
            <w:r>
              <w:t>Diese Vereinbarung unterliegt den Gesetzen der Bundesrepublik Deutschland und ist gemäß diesen auszulegen.</w:t>
            </w:r>
          </w:p>
          <w:p w14:paraId="548CE64C" w14:textId="77777777" w:rsidR="005263F6" w:rsidRPr="00730CEE" w:rsidRDefault="005263F6" w:rsidP="005263F6">
            <w:pPr>
              <w:pStyle w:val="Absatzallgemein"/>
              <w:widowControl w:val="0"/>
              <w:numPr>
                <w:ilvl w:val="1"/>
                <w:numId w:val="2"/>
              </w:numPr>
              <w:tabs>
                <w:tab w:val="clear" w:pos="567"/>
              </w:tabs>
              <w:ind w:left="1251"/>
            </w:pPr>
            <w:r>
              <w:t>Wird diese Vereinbarung in die deutsche Sprache übersetzt, so ist bei Unstimmigkeiten jedenfalls die englische Fassung maßgeblich.</w:t>
            </w:r>
          </w:p>
          <w:p w14:paraId="50AC7202" w14:textId="77777777" w:rsidR="005263F6" w:rsidRPr="00730CEE" w:rsidRDefault="005263F6" w:rsidP="005263F6">
            <w:pPr>
              <w:pStyle w:val="Absatz2Ebene"/>
              <w:widowControl w:val="0"/>
              <w:rPr>
                <w:lang w:val="en-GB"/>
              </w:rPr>
            </w:pPr>
          </w:p>
          <w:p w14:paraId="029E8FD2" w14:textId="77777777" w:rsidR="005263F6" w:rsidRPr="00730CEE" w:rsidRDefault="005263F6" w:rsidP="005263F6">
            <w:pPr>
              <w:pStyle w:val="Absatz2Ebene"/>
              <w:widowControl w:val="0"/>
              <w:rPr>
                <w:lang w:val="en-GB"/>
              </w:rPr>
            </w:pPr>
          </w:p>
          <w:p w14:paraId="18001DA5" w14:textId="77777777" w:rsidR="005263F6" w:rsidRPr="00730CEE" w:rsidRDefault="005263F6" w:rsidP="005263F6">
            <w:pPr>
              <w:pStyle w:val="Absatz2Ebene"/>
              <w:widowControl w:val="0"/>
              <w:rPr>
                <w:lang w:val="en-GB"/>
              </w:rPr>
            </w:pPr>
          </w:p>
          <w:p w14:paraId="577DF8D1" w14:textId="77777777" w:rsidR="005263F6" w:rsidRPr="00730CEE" w:rsidRDefault="005263F6" w:rsidP="005263F6">
            <w:pPr>
              <w:pStyle w:val="Absatz2Ebene"/>
              <w:widowControl w:val="0"/>
              <w:rPr>
                <w:lang w:val="en-GB"/>
              </w:rPr>
            </w:pPr>
          </w:p>
          <w:p w14:paraId="16BF4B69" w14:textId="77777777" w:rsidR="005263F6" w:rsidRPr="00730CEE" w:rsidRDefault="005263F6" w:rsidP="005263F6">
            <w:pPr>
              <w:pStyle w:val="Absatz2Ebene"/>
              <w:widowControl w:val="0"/>
              <w:rPr>
                <w:lang w:val="en-GB"/>
              </w:rPr>
            </w:pPr>
          </w:p>
          <w:p w14:paraId="09A2F833" w14:textId="77777777" w:rsidR="005263F6" w:rsidRDefault="005263F6"/>
        </w:tc>
      </w:tr>
      <w:tr w:rsidR="005263F6" w14:paraId="1C8215FB" w14:textId="77777777" w:rsidTr="005263F6">
        <w:tc>
          <w:tcPr>
            <w:tcW w:w="7694" w:type="dxa"/>
          </w:tcPr>
          <w:p w14:paraId="35F614A6" w14:textId="77777777" w:rsidR="005263F6" w:rsidRPr="005263F6" w:rsidRDefault="005263F6" w:rsidP="005263F6">
            <w:pPr>
              <w:widowControl w:val="0"/>
              <w:tabs>
                <w:tab w:val="left" w:pos="567"/>
                <w:tab w:val="left" w:pos="1134"/>
              </w:tabs>
              <w:spacing w:line="360" w:lineRule="exact"/>
              <w:ind w:left="4956" w:hanging="4389"/>
              <w:jc w:val="both"/>
              <w:rPr>
                <w:rFonts w:ascii="Arial" w:eastAsia="Times New Roman" w:hAnsi="Arial" w:cs="Times New Roman"/>
                <w:sz w:val="24"/>
                <w:szCs w:val="24"/>
              </w:rPr>
            </w:pPr>
            <w:r w:rsidRPr="005263F6">
              <w:rPr>
                <w:rFonts w:ascii="Arial" w:eastAsia="Times New Roman" w:hAnsi="Arial" w:cs="Times New Roman"/>
                <w:sz w:val="24"/>
                <w:szCs w:val="24"/>
              </w:rPr>
              <w:lastRenderedPageBreak/>
              <w:t>Düsseldorf, [date]</w:t>
            </w:r>
            <w:r w:rsidRPr="005263F6">
              <w:rPr>
                <w:rFonts w:ascii="Arial" w:eastAsia="Times New Roman" w:hAnsi="Arial" w:cs="Times New Roman"/>
                <w:sz w:val="24"/>
                <w:szCs w:val="24"/>
              </w:rPr>
              <w:tab/>
              <w:t>Berlin, [date]</w:t>
            </w:r>
          </w:p>
          <w:p w14:paraId="3C82F767" w14:textId="77777777" w:rsidR="005263F6" w:rsidRPr="005263F6" w:rsidRDefault="005263F6" w:rsidP="005263F6">
            <w:pPr>
              <w:widowControl w:val="0"/>
              <w:tabs>
                <w:tab w:val="left" w:pos="567"/>
                <w:tab w:val="left" w:pos="1134"/>
              </w:tabs>
              <w:spacing w:line="360" w:lineRule="exact"/>
              <w:ind w:left="4956" w:hanging="4389"/>
              <w:jc w:val="both"/>
              <w:rPr>
                <w:rFonts w:ascii="Arial" w:eastAsia="Times New Roman" w:hAnsi="Arial" w:cs="Times New Roman"/>
                <w:sz w:val="24"/>
                <w:szCs w:val="24"/>
              </w:rPr>
            </w:pPr>
          </w:p>
          <w:p w14:paraId="075A05C2" w14:textId="77777777" w:rsidR="005263F6" w:rsidRPr="005263F6" w:rsidRDefault="005263F6" w:rsidP="005263F6">
            <w:pPr>
              <w:widowControl w:val="0"/>
              <w:tabs>
                <w:tab w:val="left" w:pos="567"/>
                <w:tab w:val="left" w:pos="1134"/>
              </w:tabs>
              <w:spacing w:line="360" w:lineRule="exact"/>
              <w:ind w:left="4956" w:hanging="4389"/>
              <w:jc w:val="both"/>
              <w:rPr>
                <w:rFonts w:ascii="Arial" w:eastAsia="Times New Roman" w:hAnsi="Arial" w:cs="Times New Roman"/>
                <w:sz w:val="24"/>
                <w:szCs w:val="24"/>
              </w:rPr>
            </w:pPr>
          </w:p>
          <w:p w14:paraId="239BA710" w14:textId="77777777" w:rsidR="005263F6" w:rsidRPr="005263F6" w:rsidRDefault="005263F6" w:rsidP="005263F6">
            <w:pPr>
              <w:widowControl w:val="0"/>
              <w:tabs>
                <w:tab w:val="left" w:pos="567"/>
                <w:tab w:val="left" w:pos="1134"/>
              </w:tabs>
              <w:spacing w:line="360" w:lineRule="exact"/>
              <w:ind w:left="4956" w:hanging="4389"/>
              <w:rPr>
                <w:rFonts w:ascii="Arial" w:eastAsia="Times New Roman" w:hAnsi="Arial" w:cs="Arial"/>
                <w:sz w:val="24"/>
                <w:szCs w:val="24"/>
              </w:rPr>
            </w:pPr>
            <w:r w:rsidRPr="005263F6">
              <w:rPr>
                <w:rFonts w:ascii="Arial" w:eastAsia="Times New Roman" w:hAnsi="Arial" w:cs="Arial"/>
                <w:b/>
                <w:bCs/>
                <w:sz w:val="24"/>
                <w:szCs w:val="24"/>
              </w:rPr>
              <w:t>Mobileye Deutschland GmbH</w:t>
            </w:r>
            <w:r w:rsidRPr="005263F6">
              <w:rPr>
                <w:rFonts w:ascii="Arial" w:eastAsia="Times New Roman" w:hAnsi="Arial" w:cs="Arial"/>
                <w:sz w:val="24"/>
                <w:szCs w:val="24"/>
              </w:rPr>
              <w:tab/>
            </w:r>
            <w:r w:rsidRPr="005263F6">
              <w:rPr>
                <w:rFonts w:ascii="Arial" w:eastAsia="Times New Roman" w:hAnsi="Arial" w:cs="Arial"/>
                <w:b/>
                <w:bCs/>
                <w:sz w:val="24"/>
                <w:szCs w:val="24"/>
              </w:rPr>
              <w:t xml:space="preserve">VIA IMC GmbH </w:t>
            </w:r>
            <w:proofErr w:type="spellStart"/>
            <w:r w:rsidRPr="005263F6">
              <w:rPr>
                <w:rFonts w:ascii="Arial" w:eastAsia="Times New Roman" w:hAnsi="Arial" w:cs="Arial"/>
                <w:b/>
                <w:bCs/>
                <w:sz w:val="24"/>
                <w:szCs w:val="24"/>
              </w:rPr>
              <w:t>Infrastruktur</w:t>
            </w:r>
            <w:proofErr w:type="spellEnd"/>
            <w:r w:rsidRPr="005263F6">
              <w:rPr>
                <w:rFonts w:ascii="Arial" w:eastAsia="Times New Roman" w:hAnsi="Arial" w:cs="Arial"/>
                <w:b/>
                <w:bCs/>
                <w:sz w:val="24"/>
                <w:szCs w:val="24"/>
              </w:rPr>
              <w:t xml:space="preserve"> Management Consulting</w:t>
            </w:r>
          </w:p>
          <w:p w14:paraId="43C5FF49" w14:textId="77777777" w:rsidR="005263F6" w:rsidRDefault="005263F6"/>
        </w:tc>
        <w:tc>
          <w:tcPr>
            <w:tcW w:w="7694" w:type="dxa"/>
          </w:tcPr>
          <w:p w14:paraId="702E2B04" w14:textId="77777777" w:rsidR="005263F6" w:rsidRPr="00730CEE" w:rsidRDefault="005263F6" w:rsidP="005263F6">
            <w:pPr>
              <w:pStyle w:val="Absatz2Ebene"/>
              <w:widowControl w:val="0"/>
              <w:ind w:left="4956" w:hanging="4389"/>
            </w:pPr>
            <w:r>
              <w:t>Düsseldorf, [Datum]</w:t>
            </w:r>
            <w:r>
              <w:tab/>
              <w:t>Berlin, [Datum]</w:t>
            </w:r>
          </w:p>
          <w:p w14:paraId="3635319D" w14:textId="77777777" w:rsidR="005263F6" w:rsidRPr="00730CEE" w:rsidRDefault="005263F6" w:rsidP="005263F6">
            <w:pPr>
              <w:pStyle w:val="Absatz2Ebene"/>
              <w:widowControl w:val="0"/>
              <w:ind w:left="4956" w:hanging="4389"/>
              <w:rPr>
                <w:lang w:val="en-GB"/>
              </w:rPr>
            </w:pPr>
          </w:p>
          <w:p w14:paraId="31BD22F0" w14:textId="77777777" w:rsidR="005263F6" w:rsidRPr="00730CEE" w:rsidRDefault="005263F6" w:rsidP="005263F6">
            <w:pPr>
              <w:pStyle w:val="Absatz2Ebene"/>
              <w:widowControl w:val="0"/>
              <w:ind w:left="4956" w:hanging="4389"/>
              <w:rPr>
                <w:lang w:val="en-GB"/>
              </w:rPr>
            </w:pPr>
          </w:p>
          <w:p w14:paraId="3FF20EEE" w14:textId="77777777" w:rsidR="005263F6" w:rsidRPr="00730CEE" w:rsidRDefault="005263F6" w:rsidP="005263F6">
            <w:pPr>
              <w:pStyle w:val="Absatz2Ebene"/>
              <w:widowControl w:val="0"/>
              <w:ind w:left="4956" w:hanging="4389"/>
              <w:jc w:val="left"/>
              <w:rPr>
                <w:rFonts w:cs="Arial"/>
              </w:rPr>
            </w:pPr>
            <w:r w:rsidRPr="00617A7D">
              <w:rPr>
                <w:b/>
                <w:bCs/>
              </w:rPr>
              <w:t>Mobileye</w:t>
            </w:r>
            <w:r>
              <w:rPr>
                <w:b/>
                <w:bCs/>
              </w:rPr>
              <w:t xml:space="preserve"> Deutschland GmbH</w:t>
            </w:r>
            <w:r>
              <w:tab/>
            </w:r>
            <w:r>
              <w:rPr>
                <w:b/>
                <w:bCs/>
              </w:rPr>
              <w:t xml:space="preserve">VIA </w:t>
            </w:r>
            <w:r w:rsidRPr="00617A7D">
              <w:rPr>
                <w:b/>
                <w:bCs/>
              </w:rPr>
              <w:t>IMC</w:t>
            </w:r>
            <w:r>
              <w:rPr>
                <w:b/>
                <w:bCs/>
              </w:rPr>
              <w:t xml:space="preserve"> GmbH Infrastruktur Management Consulting</w:t>
            </w:r>
            <w:bookmarkStart w:id="9" w:name="_DV_M4"/>
            <w:bookmarkStart w:id="10" w:name="_DV_M5"/>
            <w:bookmarkStart w:id="11" w:name="_DV_M6"/>
            <w:bookmarkStart w:id="12" w:name="_DV_M7"/>
            <w:bookmarkStart w:id="13" w:name="_DV_M8"/>
            <w:bookmarkStart w:id="14" w:name="_Toc7704991"/>
            <w:bookmarkEnd w:id="9"/>
            <w:bookmarkEnd w:id="10"/>
            <w:bookmarkEnd w:id="11"/>
            <w:bookmarkEnd w:id="12"/>
            <w:bookmarkEnd w:id="13"/>
            <w:bookmarkEnd w:id="14"/>
          </w:p>
          <w:p w14:paraId="1DDF59BB" w14:textId="77777777" w:rsidR="005263F6" w:rsidRDefault="005263F6"/>
        </w:tc>
      </w:tr>
    </w:tbl>
    <w:p w14:paraId="32001B8C" w14:textId="77777777" w:rsidR="001A50F3" w:rsidRDefault="001A50F3"/>
    <w:sectPr w:rsidR="001A50F3" w:rsidSect="005263F6">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1FF0E578" w14:textId="53908C4E" w:rsidR="005263F6" w:rsidRDefault="005263F6" w:rsidP="005263F6">
      <w:pPr>
        <w:pStyle w:val="CommentText"/>
      </w:pPr>
      <w:r>
        <w:rPr>
          <w:rStyle w:val="CommentReference"/>
        </w:rPr>
        <w:annotationRef/>
      </w:r>
      <w:r>
        <w:t>The EN version says "have been or will be" - I cannot see the logic for  the first part "have been", as the sentence starts with "subsequent", so there can actually not be a "before". Therefore I *</w:t>
      </w:r>
      <w:r w:rsidR="00B50CC6">
        <w:t>e</w:t>
      </w:r>
      <w:bookmarkStart w:id="4" w:name="_GoBack"/>
      <w:bookmarkEnd w:id="4"/>
      <w:r w:rsidR="00B50CC6">
        <w:t>liminated</w:t>
      </w:r>
      <w:r>
        <w:t>* the past tense in GER.</w:t>
      </w:r>
    </w:p>
  </w:comment>
  <w:comment w:id="6" w:author="Author" w:initials="A">
    <w:p w14:paraId="46BD4300" w14:textId="77777777" w:rsidR="005263F6" w:rsidRDefault="005263F6" w:rsidP="005263F6">
      <w:pPr>
        <w:pStyle w:val="CommentText"/>
      </w:pPr>
      <w:r>
        <w:rPr>
          <w:rStyle w:val="CommentReference"/>
        </w:rPr>
        <w:annotationRef/>
      </w:r>
      <w:r>
        <w:t xml:space="preserve">I </w:t>
      </w:r>
      <w:r>
        <w:t>am sticking to the term Supplementary Agreement in German, even though I would - based on what is written here - prefer to call it Succession Agreement (because here it really is described as an Agreement that 'follows' after expiry of the Corporate Venture Agreement.</w:t>
      </w:r>
    </w:p>
  </w:comment>
  <w:comment w:id="7" w:author="Author" w:initials="A">
    <w:p w14:paraId="65C02DB1" w14:textId="77777777" w:rsidR="005263F6" w:rsidRDefault="005263F6" w:rsidP="005263F6">
      <w:pPr>
        <w:pStyle w:val="CommentText"/>
      </w:pPr>
      <w:r>
        <w:rPr>
          <w:rStyle w:val="CommentReference"/>
        </w:rPr>
        <w:annotationRef/>
      </w:r>
      <w:r>
        <w:t xml:space="preserve">I </w:t>
      </w:r>
      <w:r>
        <w:t>left out "reasond notice to the other Party" as this fits more nicely into the next sentence.</w:t>
      </w:r>
    </w:p>
  </w:comment>
  <w:comment w:id="8" w:author="Author" w:initials="A">
    <w:p w14:paraId="0FE71B41" w14:textId="77777777" w:rsidR="005263F6" w:rsidRDefault="005263F6" w:rsidP="005263F6">
      <w:pPr>
        <w:pStyle w:val="CommentText"/>
      </w:pPr>
      <w:r>
        <w:rPr>
          <w:rStyle w:val="CommentReference"/>
        </w:rPr>
        <w:annotationRef/>
      </w:r>
      <w:r>
        <w:t xml:space="preserve">"contracting" </w:t>
      </w:r>
      <w:r>
        <w:t>parties - contract being a "Vertrag" an absolutely binding legal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0E578" w15:done="0"/>
  <w15:commentEx w15:paraId="46BD4300" w15:done="0"/>
  <w15:commentEx w15:paraId="65C02DB1" w15:done="0"/>
  <w15:commentEx w15:paraId="0FE71B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0E578" w16cid:durableId="2466DD9F"/>
  <w16cid:commentId w16cid:paraId="46BD4300" w16cid:durableId="2466DDA0"/>
  <w16cid:commentId w16cid:paraId="65C02DB1" w16cid:durableId="2466DDA1"/>
  <w16cid:commentId w16cid:paraId="0FE71B41" w16cid:durableId="2466D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97CC7" w14:textId="77777777" w:rsidR="00FD0304" w:rsidRDefault="00FD0304" w:rsidP="00FD0304">
      <w:pPr>
        <w:spacing w:after="0" w:line="240" w:lineRule="auto"/>
      </w:pPr>
      <w:r>
        <w:separator/>
      </w:r>
    </w:p>
  </w:endnote>
  <w:endnote w:type="continuationSeparator" w:id="0">
    <w:p w14:paraId="2C879183" w14:textId="77777777" w:rsidR="00FD0304" w:rsidRDefault="00FD0304" w:rsidP="00FD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D6AAB" w14:textId="77777777" w:rsidR="00FD0304" w:rsidRDefault="00FD0304" w:rsidP="00FD0304">
      <w:pPr>
        <w:spacing w:after="0" w:line="240" w:lineRule="auto"/>
      </w:pPr>
      <w:r>
        <w:separator/>
      </w:r>
    </w:p>
  </w:footnote>
  <w:footnote w:type="continuationSeparator" w:id="0">
    <w:p w14:paraId="3EC2B97D" w14:textId="77777777" w:rsidR="00FD0304" w:rsidRDefault="00FD0304" w:rsidP="00FD0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233"/>
    <w:multiLevelType w:val="multilevel"/>
    <w:tmpl w:val="A7C4B26A"/>
    <w:lvl w:ilvl="0">
      <w:start w:val="1"/>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1" w15:restartNumberingAfterBreak="0">
    <w:nsid w:val="272E370B"/>
    <w:multiLevelType w:val="multilevel"/>
    <w:tmpl w:val="CD5E1E72"/>
    <w:lvl w:ilvl="0">
      <w:start w:val="5"/>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2" w15:restartNumberingAfterBreak="0">
    <w:nsid w:val="2BD7238C"/>
    <w:multiLevelType w:val="multilevel"/>
    <w:tmpl w:val="D35ACFFA"/>
    <w:lvl w:ilvl="0">
      <w:start w:val="8"/>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3" w15:restartNumberingAfterBreak="0">
    <w:nsid w:val="419F3774"/>
    <w:multiLevelType w:val="multilevel"/>
    <w:tmpl w:val="F68AD3C4"/>
    <w:lvl w:ilvl="0">
      <w:start w:val="1"/>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4" w15:restartNumberingAfterBreak="0">
    <w:nsid w:val="4C3D7CB0"/>
    <w:multiLevelType w:val="multilevel"/>
    <w:tmpl w:val="0EF42778"/>
    <w:lvl w:ilvl="0">
      <w:start w:val="4"/>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5" w15:restartNumberingAfterBreak="0">
    <w:nsid w:val="62C27251"/>
    <w:multiLevelType w:val="multilevel"/>
    <w:tmpl w:val="908CEF58"/>
    <w:lvl w:ilvl="0">
      <w:start w:val="6"/>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6" w15:restartNumberingAfterBreak="0">
    <w:nsid w:val="6BA60995"/>
    <w:multiLevelType w:val="multilevel"/>
    <w:tmpl w:val="EF009490"/>
    <w:lvl w:ilvl="0">
      <w:start w:val="3"/>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7" w15:restartNumberingAfterBreak="0">
    <w:nsid w:val="6FED1A2D"/>
    <w:multiLevelType w:val="multilevel"/>
    <w:tmpl w:val="C9D2192A"/>
    <w:lvl w:ilvl="0">
      <w:start w:val="7"/>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8" w15:restartNumberingAfterBreak="0">
    <w:nsid w:val="794D6150"/>
    <w:multiLevelType w:val="multilevel"/>
    <w:tmpl w:val="931629CC"/>
    <w:lvl w:ilvl="0">
      <w:start w:val="2"/>
      <w:numFmt w:val="decimal"/>
      <w:lvlText w:val="%1"/>
      <w:lvlJc w:val="left"/>
      <w:pPr>
        <w:ind w:left="430" w:hanging="430"/>
      </w:pPr>
      <w:rPr>
        <w:rFonts w:hint="default"/>
      </w:rPr>
    </w:lvl>
    <w:lvl w:ilvl="1">
      <w:start w:val="1"/>
      <w:numFmt w:val="decimal"/>
      <w:isLgl/>
      <w:lvlText w:val="%1.%2"/>
      <w:lvlJc w:val="left"/>
      <w:pPr>
        <w:ind w:left="607" w:hanging="40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F3"/>
    <w:rsid w:val="0002320A"/>
    <w:rsid w:val="001A50F3"/>
    <w:rsid w:val="001F233C"/>
    <w:rsid w:val="005263F6"/>
    <w:rsid w:val="007B3634"/>
    <w:rsid w:val="009C3CE1"/>
    <w:rsid w:val="00A952AF"/>
    <w:rsid w:val="00B50CC6"/>
    <w:rsid w:val="00FD030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8C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63F6"/>
    <w:pPr>
      <w:keepNext/>
      <w:tabs>
        <w:tab w:val="left" w:pos="425"/>
      </w:tabs>
      <w:spacing w:before="240" w:after="180" w:line="360" w:lineRule="exact"/>
      <w:ind w:left="425" w:hanging="425"/>
      <w:jc w:val="both"/>
      <w:outlineLvl w:val="0"/>
    </w:pPr>
    <w:rPr>
      <w:rFonts w:ascii="Arial" w:eastAsia="Times New Roman" w:hAnsi="Arial" w:cs="Arial"/>
      <w:b/>
      <w:bCs/>
      <w:kern w:val="32"/>
      <w:sz w:val="28"/>
      <w:szCs w:val="3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allgemein">
    <w:name w:val="Absatz allgemein"/>
    <w:basedOn w:val="Normal"/>
    <w:link w:val="AbsatzallgemeinChar"/>
    <w:rsid w:val="005263F6"/>
    <w:pPr>
      <w:tabs>
        <w:tab w:val="left" w:pos="567"/>
      </w:tabs>
      <w:spacing w:after="0" w:line="360" w:lineRule="exact"/>
      <w:jc w:val="both"/>
    </w:pPr>
    <w:rPr>
      <w:rFonts w:ascii="Arial" w:eastAsia="Times New Roman" w:hAnsi="Arial" w:cs="Times New Roman"/>
      <w:sz w:val="24"/>
      <w:szCs w:val="24"/>
      <w:lang w:val="de-DE"/>
    </w:rPr>
  </w:style>
  <w:style w:type="paragraph" w:customStyle="1" w:styleId="Absatzeingerckt">
    <w:name w:val="Absatz eingerückt"/>
    <w:basedOn w:val="Absatzallgemein"/>
    <w:link w:val="AbsatzeingercktChar"/>
    <w:rsid w:val="005263F6"/>
    <w:pPr>
      <w:ind w:left="567"/>
    </w:pPr>
  </w:style>
  <w:style w:type="paragraph" w:customStyle="1" w:styleId="AbsatzNummer">
    <w:name w:val="Absatz Nummer"/>
    <w:basedOn w:val="Absatzeingerckt"/>
    <w:link w:val="AbsatzNummerChar"/>
    <w:rsid w:val="005263F6"/>
    <w:pPr>
      <w:ind w:hanging="567"/>
    </w:pPr>
  </w:style>
  <w:style w:type="character" w:customStyle="1" w:styleId="AbsatzallgemeinChar">
    <w:name w:val="Absatz allgemein Char"/>
    <w:link w:val="Absatzallgemein"/>
    <w:rsid w:val="005263F6"/>
    <w:rPr>
      <w:rFonts w:ascii="Arial" w:eastAsia="Times New Roman" w:hAnsi="Arial" w:cs="Times New Roman"/>
      <w:sz w:val="24"/>
      <w:szCs w:val="24"/>
      <w:lang w:val="de-DE"/>
    </w:rPr>
  </w:style>
  <w:style w:type="character" w:customStyle="1" w:styleId="AbsatzeingercktChar">
    <w:name w:val="Absatz eingerückt Char"/>
    <w:basedOn w:val="AbsatzallgemeinChar"/>
    <w:link w:val="Absatzeingerckt"/>
    <w:rsid w:val="005263F6"/>
    <w:rPr>
      <w:rFonts w:ascii="Arial" w:eastAsia="Times New Roman" w:hAnsi="Arial" w:cs="Times New Roman"/>
      <w:sz w:val="24"/>
      <w:szCs w:val="24"/>
      <w:lang w:val="de-DE"/>
    </w:rPr>
  </w:style>
  <w:style w:type="character" w:customStyle="1" w:styleId="AbsatzNummerChar">
    <w:name w:val="Absatz Nummer Char"/>
    <w:basedOn w:val="AbsatzeingercktChar"/>
    <w:link w:val="AbsatzNummer"/>
    <w:rsid w:val="005263F6"/>
    <w:rPr>
      <w:rFonts w:ascii="Arial" w:eastAsia="Times New Roman" w:hAnsi="Arial" w:cs="Times New Roman"/>
      <w:sz w:val="24"/>
      <w:szCs w:val="24"/>
      <w:lang w:val="de-DE"/>
    </w:rPr>
  </w:style>
  <w:style w:type="character" w:styleId="CommentReference">
    <w:name w:val="annotation reference"/>
    <w:uiPriority w:val="99"/>
    <w:semiHidden/>
    <w:unhideWhenUsed/>
    <w:rsid w:val="005263F6"/>
    <w:rPr>
      <w:sz w:val="16"/>
      <w:szCs w:val="16"/>
    </w:rPr>
  </w:style>
  <w:style w:type="paragraph" w:styleId="CommentText">
    <w:name w:val="annotation text"/>
    <w:link w:val="CommentTextChar"/>
    <w:uiPriority w:val="99"/>
    <w:semiHidden/>
    <w:unhideWhenUsed/>
    <w:rsid w:val="005263F6"/>
    <w:pPr>
      <w:spacing w:after="0" w:line="240" w:lineRule="auto"/>
      <w:jc w:val="both"/>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rsid w:val="005263F6"/>
    <w:rPr>
      <w:rFonts w:ascii="Times New Roman" w:eastAsia="Times New Roman" w:hAnsi="Times New Roman" w:cs="Times New Roman"/>
      <w:sz w:val="20"/>
      <w:szCs w:val="20"/>
      <w:lang w:val="de-DE" w:eastAsia="de-DE"/>
    </w:rPr>
  </w:style>
  <w:style w:type="character" w:customStyle="1" w:styleId="Heading1Char">
    <w:name w:val="Heading 1 Char"/>
    <w:basedOn w:val="DefaultParagraphFont"/>
    <w:link w:val="Heading1"/>
    <w:rsid w:val="005263F6"/>
    <w:rPr>
      <w:rFonts w:ascii="Arial" w:eastAsia="Times New Roman" w:hAnsi="Arial" w:cs="Arial"/>
      <w:b/>
      <w:bCs/>
      <w:kern w:val="32"/>
      <w:sz w:val="28"/>
      <w:szCs w:val="32"/>
      <w:lang w:val="de-DE"/>
    </w:rPr>
  </w:style>
  <w:style w:type="paragraph" w:customStyle="1" w:styleId="Absatz2Ebene">
    <w:name w:val="Absatz 2. Ebene"/>
    <w:basedOn w:val="Absatzallgemein"/>
    <w:link w:val="Absatz2EbeneChar"/>
    <w:rsid w:val="005263F6"/>
    <w:pPr>
      <w:tabs>
        <w:tab w:val="left" w:pos="1134"/>
      </w:tabs>
      <w:ind w:left="1134" w:hanging="567"/>
    </w:pPr>
  </w:style>
  <w:style w:type="character" w:customStyle="1" w:styleId="Absatz2EbeneChar">
    <w:name w:val="Absatz 2. Ebene Char"/>
    <w:basedOn w:val="AbsatzallgemeinChar"/>
    <w:link w:val="Absatz2Ebene"/>
    <w:rsid w:val="005263F6"/>
    <w:rPr>
      <w:rFonts w:ascii="Arial" w:eastAsia="Times New Roman" w:hAnsi="Arial" w:cs="Times New Roman"/>
      <w:sz w:val="24"/>
      <w:szCs w:val="24"/>
      <w:lang w:val="de-DE"/>
    </w:rPr>
  </w:style>
  <w:style w:type="paragraph" w:styleId="ListParagraph">
    <w:name w:val="List Paragraph"/>
    <w:basedOn w:val="Normal"/>
    <w:uiPriority w:val="34"/>
    <w:qFormat/>
    <w:rsid w:val="007B3634"/>
    <w:pPr>
      <w:ind w:left="720"/>
      <w:contextualSpacing/>
    </w:pPr>
  </w:style>
  <w:style w:type="paragraph" w:styleId="BalloonText">
    <w:name w:val="Balloon Text"/>
    <w:basedOn w:val="Normal"/>
    <w:link w:val="BalloonTextChar"/>
    <w:uiPriority w:val="99"/>
    <w:semiHidden/>
    <w:unhideWhenUsed/>
    <w:rsid w:val="009C3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E1"/>
    <w:rPr>
      <w:rFonts w:ascii="Segoe UI" w:hAnsi="Segoe UI" w:cs="Segoe UI"/>
      <w:sz w:val="18"/>
      <w:szCs w:val="18"/>
    </w:rPr>
  </w:style>
  <w:style w:type="paragraph" w:styleId="Header">
    <w:name w:val="header"/>
    <w:basedOn w:val="Normal"/>
    <w:link w:val="HeaderChar"/>
    <w:uiPriority w:val="99"/>
    <w:unhideWhenUsed/>
    <w:rsid w:val="00FD03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0304"/>
  </w:style>
  <w:style w:type="paragraph" w:styleId="Footer">
    <w:name w:val="footer"/>
    <w:basedOn w:val="Normal"/>
    <w:link w:val="FooterChar"/>
    <w:uiPriority w:val="99"/>
    <w:unhideWhenUsed/>
    <w:rsid w:val="00FD03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4369</Words>
  <Characters>21239</Characters>
  <Application>Microsoft Office Word</Application>
  <DocSecurity>0</DocSecurity>
  <Lines>732</Lines>
  <Paragraphs>457</Paragraphs>
  <ScaleCrop>false</ScaleCrop>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2021-06-06T09:55:00Z</dcterms:created>
  <dcterms:modified xsi:type="dcterms:W3CDTF">2021-06-06T09:55:00Z</dcterms:modified>
</cp:coreProperties>
</file>