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1A1C1" w14:textId="77777777" w:rsidR="00CE4D6E" w:rsidRPr="003C5907" w:rsidRDefault="00CE4D6E" w:rsidP="00CE4D6E">
      <w:pPr>
        <w:jc w:val="center"/>
        <w:rPr>
          <w:rFonts w:ascii="Times" w:hAnsi="Times"/>
          <w:b/>
          <w:bCs/>
          <w:lang w:val="en-GB"/>
        </w:rPr>
      </w:pPr>
      <w:r w:rsidRPr="003C5907">
        <w:rPr>
          <w:rFonts w:ascii="Times" w:hAnsi="Times"/>
          <w:b/>
          <w:bCs/>
          <w:lang w:val="en-GB"/>
        </w:rPr>
        <w:t>Exploring contemporary forms of aid in dying: An ethnography of euthanasia in Belgium and assisted suicide in Switzerland</w:t>
      </w:r>
    </w:p>
    <w:p w14:paraId="1F271A58" w14:textId="77777777" w:rsidR="00CE4D6E" w:rsidRPr="003C5907" w:rsidRDefault="00CE4D6E" w:rsidP="00CE4D6E">
      <w:pPr>
        <w:jc w:val="center"/>
        <w:rPr>
          <w:rFonts w:ascii="Times" w:hAnsi="Times"/>
          <w:lang w:val="en-GB"/>
        </w:rPr>
      </w:pPr>
    </w:p>
    <w:p w14:paraId="3A2A6268" w14:textId="77777777" w:rsidR="00CE4D6E" w:rsidRPr="003C5907" w:rsidRDefault="00CE4D6E" w:rsidP="00CE4D6E">
      <w:pPr>
        <w:jc w:val="center"/>
        <w:rPr>
          <w:rFonts w:ascii="Times" w:hAnsi="Times"/>
          <w:lang w:val="en-GB"/>
        </w:rPr>
      </w:pPr>
    </w:p>
    <w:p w14:paraId="070E11B7" w14:textId="77777777" w:rsidR="00CE4D6E" w:rsidRPr="003C5907" w:rsidRDefault="00CE4D6E" w:rsidP="00CE4D6E">
      <w:pPr>
        <w:jc w:val="center"/>
        <w:rPr>
          <w:rFonts w:ascii="Times" w:hAnsi="Times"/>
          <w:lang w:val="en-CA"/>
        </w:rPr>
      </w:pPr>
      <w:r w:rsidRPr="003C5907">
        <w:rPr>
          <w:rFonts w:ascii="Times" w:hAnsi="Times"/>
          <w:lang w:val="en-CA"/>
        </w:rPr>
        <w:t>Hamarat N., Pillonel A., Berthod M. A., Castelli Dransart D. A., &amp; Lebeer G.</w:t>
      </w:r>
    </w:p>
    <w:p w14:paraId="41CA5C77" w14:textId="77777777" w:rsidR="00CE4D6E" w:rsidRPr="003C5907" w:rsidRDefault="00CE4D6E" w:rsidP="00CE4D6E">
      <w:pPr>
        <w:jc w:val="center"/>
        <w:rPr>
          <w:rFonts w:ascii="Times" w:hAnsi="Times"/>
          <w:lang w:val="en-CA"/>
        </w:rPr>
      </w:pPr>
    </w:p>
    <w:p w14:paraId="0B4A29E9" w14:textId="77777777" w:rsidR="00CE4D6E" w:rsidRPr="003C5907" w:rsidRDefault="00CE4D6E" w:rsidP="00CE4D6E">
      <w:pPr>
        <w:spacing w:line="276" w:lineRule="auto"/>
        <w:jc w:val="both"/>
        <w:rPr>
          <w:rFonts w:ascii="Times" w:hAnsi="Times" w:cs="Arial"/>
          <w:lang w:val="en-CA"/>
        </w:rPr>
      </w:pPr>
    </w:p>
    <w:p w14:paraId="3736799B" w14:textId="77777777" w:rsidR="00CE4D6E" w:rsidRPr="003C5907" w:rsidRDefault="00CE4D6E" w:rsidP="00CE4D6E">
      <w:pPr>
        <w:spacing w:line="360" w:lineRule="auto"/>
        <w:jc w:val="both"/>
        <w:rPr>
          <w:rFonts w:ascii="Times" w:hAnsi="Times" w:cs="Arial"/>
          <w:b/>
          <w:lang w:val="en-CA"/>
        </w:rPr>
      </w:pPr>
      <w:r w:rsidRPr="003C5907">
        <w:rPr>
          <w:rFonts w:ascii="Times" w:hAnsi="Times" w:cs="Arial"/>
          <w:b/>
          <w:lang w:val="en-CA"/>
        </w:rPr>
        <w:t xml:space="preserve">Abstract </w:t>
      </w:r>
    </w:p>
    <w:p w14:paraId="3FE3FE5C" w14:textId="77777777" w:rsidR="00CE4D6E" w:rsidRPr="003C5907" w:rsidRDefault="00CE4D6E" w:rsidP="00CE4D6E">
      <w:pPr>
        <w:spacing w:line="360" w:lineRule="auto"/>
        <w:jc w:val="both"/>
        <w:rPr>
          <w:rFonts w:ascii="Times" w:hAnsi="Times" w:cs="Arial"/>
          <w:lang w:val="en-GB"/>
        </w:rPr>
      </w:pPr>
    </w:p>
    <w:p w14:paraId="28A1DB1A" w14:textId="7E5DBA2E" w:rsidR="00CE4D6E" w:rsidRPr="003C5907" w:rsidRDefault="00CE4D6E" w:rsidP="00A804F9">
      <w:pPr>
        <w:spacing w:line="360" w:lineRule="auto"/>
        <w:jc w:val="both"/>
        <w:rPr>
          <w:rFonts w:ascii="Times" w:hAnsi="Times" w:cs="Arial"/>
          <w:lang w:val="en-GB"/>
        </w:rPr>
      </w:pPr>
      <w:r w:rsidRPr="003C5907">
        <w:rPr>
          <w:rFonts w:ascii="Times" w:hAnsi="Times" w:cs="Arial"/>
          <w:lang w:val="en-GB"/>
        </w:rPr>
        <w:t xml:space="preserve">Drawing on two case studies from large-scale fieldwork carried out on assisted dying in Belgium and Switzerland, this article seeks to shed light on a set of critical points regarding the concrete implementation of these forms of aid in dying. By highlighting the various apparatuses and regulatory modes that constitute these practices, we will see that aid in dying is embodied in a broad range of norms that can only be </w:t>
      </w:r>
      <w:r w:rsidR="00A804F9" w:rsidRPr="003C5907">
        <w:rPr>
          <w:rFonts w:ascii="Times" w:hAnsi="Times" w:cs="Arial"/>
          <w:lang w:val="en-GB"/>
        </w:rPr>
        <w:t xml:space="preserve">partially </w:t>
      </w:r>
      <w:r w:rsidRPr="003C5907">
        <w:rPr>
          <w:rFonts w:ascii="Times" w:hAnsi="Times" w:cs="Arial"/>
          <w:lang w:val="en-GB"/>
        </w:rPr>
        <w:t>deduced from current legislation. These norms are situated at the intersection of several kinds of rationality taken from medicine, other professional bodies, lay associations, and healthcare organizations. The role of the dying person herself throughout the process also takes on great importance.</w:t>
      </w:r>
    </w:p>
    <w:p w14:paraId="645F3974" w14:textId="77777777" w:rsidR="00CE4D6E" w:rsidRPr="003C5907" w:rsidRDefault="00CE4D6E" w:rsidP="00CE4D6E">
      <w:pPr>
        <w:spacing w:line="360" w:lineRule="auto"/>
        <w:jc w:val="both"/>
        <w:rPr>
          <w:rFonts w:ascii="Times" w:hAnsi="Times"/>
          <w:lang w:val="en-GB"/>
        </w:rPr>
      </w:pPr>
    </w:p>
    <w:p w14:paraId="342BFC25" w14:textId="77777777" w:rsidR="00CE4D6E" w:rsidRPr="003C5907" w:rsidRDefault="00CE4D6E" w:rsidP="00CE4D6E">
      <w:pPr>
        <w:spacing w:line="360" w:lineRule="auto"/>
        <w:jc w:val="both"/>
        <w:rPr>
          <w:rFonts w:ascii="Times" w:hAnsi="Times"/>
          <w:lang w:val="en-GB"/>
        </w:rPr>
      </w:pPr>
      <w:r w:rsidRPr="003C5907">
        <w:rPr>
          <w:rFonts w:ascii="Times" w:hAnsi="Times"/>
          <w:b/>
          <w:bCs/>
          <w:lang w:val="en-GB"/>
        </w:rPr>
        <w:t>Keywords</w:t>
      </w:r>
      <w:r w:rsidRPr="003C5907">
        <w:rPr>
          <w:rFonts w:ascii="Times" w:hAnsi="Times"/>
          <w:lang w:val="en-GB"/>
        </w:rPr>
        <w:t>: aid in dying, ethnography, apparatus, Belgium, Switzerland</w:t>
      </w:r>
    </w:p>
    <w:p w14:paraId="1674EB97" w14:textId="77777777" w:rsidR="00CE4D6E" w:rsidRPr="003C5907" w:rsidRDefault="00CE4D6E" w:rsidP="00CE4D6E">
      <w:pPr>
        <w:spacing w:line="276" w:lineRule="auto"/>
        <w:jc w:val="both"/>
        <w:rPr>
          <w:rFonts w:ascii="Times" w:hAnsi="Times" w:cs="Arial"/>
          <w:lang w:val="en-GB"/>
        </w:rPr>
      </w:pPr>
    </w:p>
    <w:p w14:paraId="1E7EB2A9" w14:textId="77777777" w:rsidR="00CE4D6E" w:rsidRPr="003C5907" w:rsidRDefault="00CE4D6E" w:rsidP="00CE4D6E">
      <w:pPr>
        <w:pStyle w:val="ListParagraph"/>
        <w:numPr>
          <w:ilvl w:val="0"/>
          <w:numId w:val="12"/>
        </w:numPr>
        <w:spacing w:line="276" w:lineRule="auto"/>
        <w:jc w:val="both"/>
        <w:rPr>
          <w:rFonts w:ascii="Times" w:hAnsi="Times" w:cs="Arial"/>
          <w:b/>
          <w:i/>
          <w:lang w:val="en-CA"/>
        </w:rPr>
      </w:pPr>
      <w:r w:rsidRPr="003C5907">
        <w:rPr>
          <w:rFonts w:ascii="Times" w:hAnsi="Times" w:cs="Arial"/>
          <w:b/>
          <w:bCs/>
          <w:i/>
          <w:iCs/>
          <w:lang w:val="en-CA"/>
        </w:rPr>
        <w:t xml:space="preserve">Introduction: Choosing </w:t>
      </w:r>
      <w:r w:rsidRPr="003C5907">
        <w:rPr>
          <w:rFonts w:ascii="Times" w:hAnsi="Times" w:cs="Arial"/>
          <w:b/>
          <w:i/>
          <w:lang w:val="en-CA"/>
        </w:rPr>
        <w:t>one’s own death</w:t>
      </w:r>
      <w:r w:rsidRPr="003C5907">
        <w:rPr>
          <w:rFonts w:ascii="Times" w:hAnsi="Times" w:cs="Arial"/>
          <w:b/>
          <w:bCs/>
          <w:i/>
          <w:iCs/>
          <w:lang w:val="en-CA"/>
        </w:rPr>
        <w:t>, providing assistance in dying</w:t>
      </w:r>
    </w:p>
    <w:p w14:paraId="7D98B6B6" w14:textId="77777777" w:rsidR="00CE4D6E" w:rsidRPr="003C5907" w:rsidRDefault="00CE4D6E" w:rsidP="00CE4D6E">
      <w:pPr>
        <w:spacing w:line="276" w:lineRule="auto"/>
        <w:jc w:val="both"/>
        <w:rPr>
          <w:rFonts w:ascii="Times" w:hAnsi="Times" w:cs="Arial"/>
          <w:b/>
          <w:i/>
          <w:lang w:val="en-CA"/>
        </w:rPr>
      </w:pPr>
    </w:p>
    <w:p w14:paraId="66A66298" w14:textId="77777777" w:rsidR="00CE4D6E" w:rsidRPr="003C5907" w:rsidRDefault="00CE4D6E" w:rsidP="00CE4D6E">
      <w:pPr>
        <w:spacing w:line="360" w:lineRule="auto"/>
        <w:jc w:val="both"/>
        <w:rPr>
          <w:rFonts w:ascii="Times" w:hAnsi="Times" w:cs="Arial"/>
          <w:lang w:val="en-GB"/>
        </w:rPr>
      </w:pPr>
      <w:r w:rsidRPr="003C5907">
        <w:rPr>
          <w:rFonts w:ascii="Times" w:hAnsi="Times" w:cs="Arial"/>
          <w:lang w:val="en-CA"/>
        </w:rPr>
        <w:t xml:space="preserve">“Assistance in dying” represents the institutionalization, or socially regulated fulfilment, of a very old idea: being able to choose one’s own death, to decide the end of one’s life according to one’s own plans for existence. This notion has wound its way into the legislative apparatus of several countries and has stirred up political debate in many others (Stark, 2018). It is frequently seen as the emblematic embodiment of the principles of autonomy and self-determination, whose definitions vary from context to context (Horn, 2010). Furthermore, this embodiment cannot be reduced to applying, or submitting to, legal rules, even if such rules offer a broad framework and help define its boundaries. In each context, practices follow a set of specific, differentiated rules, an array of norms that can only be deduced to a very limited extent from laws. In practice, these norms are situated at the intersection of several kinds of rationality (Mol, 2002) </w:t>
      </w:r>
      <w:r w:rsidRPr="003C5907">
        <w:rPr>
          <w:rFonts w:ascii="Times" w:hAnsi="Times" w:cs="Arial"/>
          <w:lang w:val="en-GB"/>
        </w:rPr>
        <w:t>taken from medicine, other professional bodies, lay associations, and healthcare organizations. The role of the dying person herself throughout the process also takes on great importance</w:t>
      </w:r>
      <w:r w:rsidRPr="003C5907">
        <w:rPr>
          <w:rFonts w:ascii="Times" w:hAnsi="Times" w:cs="Arial"/>
          <w:lang w:val="en-CA"/>
        </w:rPr>
        <w:t xml:space="preserve"> (Berthod et al., 2019; Hamarat &amp; Lebeer, 2019).</w:t>
      </w:r>
    </w:p>
    <w:p w14:paraId="18215270" w14:textId="77777777" w:rsidR="00CE4D6E" w:rsidRPr="003C5907" w:rsidRDefault="00CE4D6E" w:rsidP="00CE4D6E">
      <w:pPr>
        <w:spacing w:line="360" w:lineRule="auto"/>
        <w:jc w:val="both"/>
        <w:rPr>
          <w:rFonts w:ascii="Times" w:hAnsi="Times" w:cs="Arial"/>
          <w:lang w:val="en-CA"/>
        </w:rPr>
      </w:pPr>
    </w:p>
    <w:p w14:paraId="516457C5" w14:textId="77777777" w:rsidR="00CE4D6E" w:rsidRPr="003C5907" w:rsidRDefault="00CE4D6E" w:rsidP="00CE4D6E">
      <w:pPr>
        <w:spacing w:line="360" w:lineRule="auto"/>
        <w:jc w:val="both"/>
        <w:rPr>
          <w:rFonts w:ascii="Times" w:hAnsi="Times" w:cs="Arial"/>
          <w:lang w:val="en-GB"/>
        </w:rPr>
      </w:pPr>
      <w:r w:rsidRPr="003C5907">
        <w:rPr>
          <w:rFonts w:ascii="Times" w:hAnsi="Times" w:cs="Arial"/>
          <w:lang w:val="en-GB"/>
        </w:rPr>
        <w:lastRenderedPageBreak/>
        <w:t>Assistance in dying is thus an institution, generically speaking. It is framed, bound, and structured by norms. Assistance in dying – and, more generally, dying itself – is an object of social control, operating on different levels. It is a political object, one over which power is exerted. Michel Foucault set out to thematize this power, which he felt was primarily a technology that allowed for implementing an apparatus, defined as follows:</w:t>
      </w:r>
    </w:p>
    <w:p w14:paraId="11880C8B" w14:textId="77777777" w:rsidR="00CE4D6E" w:rsidRPr="003C5907" w:rsidRDefault="00CE4D6E" w:rsidP="00CE4D6E">
      <w:pPr>
        <w:ind w:left="567" w:right="561"/>
        <w:jc w:val="both"/>
        <w:rPr>
          <w:rFonts w:ascii="Times" w:hAnsi="Times" w:cs="Arial"/>
          <w:lang w:val="en-CA"/>
        </w:rPr>
      </w:pPr>
    </w:p>
    <w:p w14:paraId="2B55DA28" w14:textId="77777777" w:rsidR="00CE4D6E" w:rsidRPr="003C5907" w:rsidRDefault="00CE4D6E" w:rsidP="00CE4D6E">
      <w:pPr>
        <w:ind w:left="567" w:right="561"/>
        <w:jc w:val="both"/>
        <w:rPr>
          <w:rFonts w:ascii="Times" w:hAnsi="Times" w:cs="Arial"/>
          <w:lang w:val="en-CA"/>
        </w:rPr>
      </w:pPr>
      <w:r w:rsidRPr="003C5907">
        <w:rPr>
          <w:rFonts w:ascii="Times" w:hAnsi="Times" w:cs="Arial"/>
          <w:lang w:val="en-CA"/>
        </w:rPr>
        <w:t>What I am trying to pick out with this term is, firstly, a thoroughly heterogeneous ensemble of discourses, institutions, architectural forms, regulatory decisions, laws, administrative measures, scientific statements, philosophical, moral, and philanthropic propositions – in short, the said as much as the unsaid. Such are the elements of the apparatus. The apparatus itself is the system of relations that can be established between these elements (…) I understand by the term ‘apparatus’ a sort of – shall we say – formation which has a major function at a given historical moment, that of responding to an urgent need. The apparatus thus has a dominant strategic function (…) I said that the apparatus is essentially of a strategic nature, which means assuming that it is a matter of a certain manipulation of relations of forces, of a rational and concerted intervention in these relations of forces (…) The apparatus is thus always inscribed in a play of power, but it is also linked to certain coordinates of knowledge which issue from it but, to an equal degree, condition it (…) (Foucault, cited in Gordon, 1980, pp. 195-196).</w:t>
      </w:r>
    </w:p>
    <w:p w14:paraId="179F0A13" w14:textId="77777777" w:rsidR="00CE4D6E" w:rsidRPr="003C5907" w:rsidRDefault="00CE4D6E" w:rsidP="00CE4D6E">
      <w:pPr>
        <w:spacing w:line="360" w:lineRule="auto"/>
        <w:jc w:val="both"/>
        <w:rPr>
          <w:rFonts w:ascii="Times" w:hAnsi="Times"/>
          <w:i/>
          <w:lang w:val="en-CA"/>
        </w:rPr>
      </w:pPr>
    </w:p>
    <w:p w14:paraId="4B5230B3" w14:textId="3E62EA9F" w:rsidR="00CE4D6E" w:rsidRPr="003C5907" w:rsidRDefault="00CE4D6E" w:rsidP="00CE4D6E">
      <w:pPr>
        <w:spacing w:line="360" w:lineRule="auto"/>
        <w:jc w:val="both"/>
        <w:rPr>
          <w:rFonts w:ascii="Times" w:hAnsi="Times"/>
          <w:lang w:val="en-CA"/>
        </w:rPr>
      </w:pPr>
      <w:r w:rsidRPr="003C5907">
        <w:rPr>
          <w:rFonts w:ascii="Times" w:hAnsi="Times" w:cs="Arial"/>
          <w:lang w:val="en-CA"/>
        </w:rPr>
        <w:t>Medicine, for example, has developed such an apparatus, which involve</w:t>
      </w:r>
      <w:r w:rsidR="00AE0855" w:rsidRPr="003C5907">
        <w:rPr>
          <w:rFonts w:ascii="Times" w:hAnsi="Times" w:cs="Arial"/>
          <w:lang w:val="en-CA"/>
        </w:rPr>
        <w:t>s</w:t>
      </w:r>
      <w:r w:rsidRPr="003C5907">
        <w:rPr>
          <w:rFonts w:ascii="Times" w:hAnsi="Times" w:cs="Arial"/>
          <w:lang w:val="en-CA"/>
        </w:rPr>
        <w:t xml:space="preserve"> discourses, forms of organizational logic, scientific statements, laws, and moral propositions, which define a time-specific normativity. From this perspective, one needs to take into consideration the role of medicine in assisted dying, whether it be primary as in Belgium or ‘required by default’ as in Switzerland. What place does the medical occupy in ethical controversies? What legitimacy does it hold, and what missions does it have in fulfilling these end-of-life plans? How does the medical come to be articulated around professional and lay actors, and around other apparatuses, those of other professional bodies for example? How do the different apparatuses, in concrete terms, come to configure themselves to bring about, or allow to emerge, a process of assistance in dying that may be interpreted as </w:t>
      </w:r>
      <w:r w:rsidRPr="003C5907">
        <w:rPr>
          <w:rStyle w:val="CommentReference"/>
          <w:rFonts w:ascii="Times" w:hAnsi="Times"/>
          <w:sz w:val="24"/>
          <w:szCs w:val="24"/>
          <w:lang w:val="en-CA"/>
        </w:rPr>
        <w:t>an apparatus of a</w:t>
      </w:r>
      <w:r w:rsidRPr="003C5907">
        <w:rPr>
          <w:rFonts w:ascii="Times" w:hAnsi="Times" w:cs="Arial"/>
          <w:lang w:val="en-CA"/>
        </w:rPr>
        <w:t>pparatuses?</w:t>
      </w:r>
    </w:p>
    <w:p w14:paraId="2B232CE7" w14:textId="77777777" w:rsidR="00CE4D6E" w:rsidRPr="003C5907" w:rsidRDefault="00CE4D6E" w:rsidP="00CE4D6E">
      <w:pPr>
        <w:spacing w:line="360" w:lineRule="auto"/>
        <w:jc w:val="both"/>
        <w:rPr>
          <w:rFonts w:ascii="Times" w:hAnsi="Times"/>
          <w:lang w:val="en-GB"/>
        </w:rPr>
      </w:pPr>
    </w:p>
    <w:p w14:paraId="7F7E66A4" w14:textId="77777777" w:rsidR="00CE4D6E" w:rsidRPr="003C5907" w:rsidRDefault="00CE4D6E" w:rsidP="00CE4D6E">
      <w:pPr>
        <w:spacing w:line="360" w:lineRule="auto"/>
        <w:jc w:val="both"/>
        <w:rPr>
          <w:rFonts w:ascii="Times" w:hAnsi="Times"/>
          <w:lang w:val="en-CA"/>
        </w:rPr>
      </w:pPr>
      <w:r w:rsidRPr="003C5907">
        <w:rPr>
          <w:rFonts w:ascii="Times" w:hAnsi="Times"/>
          <w:lang w:val="en-GB"/>
        </w:rPr>
        <w:t xml:space="preserve">These questions have taken centre stage from around the 1990s, with the arrival of new actors in dying, who have helped change the relationships between different normative registers </w:t>
      </w:r>
      <w:r w:rsidRPr="003C5907">
        <w:rPr>
          <w:rFonts w:ascii="Times" w:hAnsi="Times" w:cs="Arial"/>
          <w:lang w:val="en-CA"/>
        </w:rPr>
        <w:t xml:space="preserve">(Déchaux, 2001; Castra, 2003; Memmi &amp; Taieb, 2009; Wolf 2012). End-of-life support persons, funeral agents, coroners, and healthcare workers “have been propelled, instead of the repressive State, to the forefront of regulation on practices” (Memmi, 2014, p. 261). This trend has been all the more pronounced in a context of “making the experience of death more </w:t>
      </w:r>
      <w:r w:rsidRPr="003C5907">
        <w:rPr>
          <w:rFonts w:ascii="Times" w:hAnsi="Times" w:cs="Arial"/>
          <w:lang w:val="en-CA"/>
        </w:rPr>
        <w:lastRenderedPageBreak/>
        <w:t>intimate,” where “the symbolic order is no longer guaranteed by universal and transcendental norms, but rather constructed contingently and intersubjectively” (Déchaux, 2001, p. 93). Individuals are summoned to embark on an introspective quest, where the issue of values and the goal of a ‘good death’ derive to a considerable extent from one’s own subjectivity or, more accurately, from the intersubjectivity that has been constructed around the provision of support and assistance in dying.</w:t>
      </w:r>
    </w:p>
    <w:p w14:paraId="2F34A1C8" w14:textId="77777777" w:rsidR="00CE4D6E" w:rsidRPr="003C5907" w:rsidRDefault="00CE4D6E" w:rsidP="00CE4D6E">
      <w:pPr>
        <w:spacing w:line="360" w:lineRule="auto"/>
        <w:jc w:val="both"/>
        <w:rPr>
          <w:rFonts w:ascii="Times" w:hAnsi="Times"/>
          <w:lang w:val="en-CA"/>
        </w:rPr>
      </w:pPr>
    </w:p>
    <w:p w14:paraId="112F4768" w14:textId="3C2BE5F9" w:rsidR="00CE4D6E" w:rsidRPr="003C5907" w:rsidRDefault="00CE4D6E" w:rsidP="00CE4D6E">
      <w:pPr>
        <w:spacing w:line="360" w:lineRule="auto"/>
        <w:jc w:val="both"/>
        <w:rPr>
          <w:rFonts w:ascii="Times" w:hAnsi="Times"/>
          <w:lang w:val="en-CA"/>
        </w:rPr>
      </w:pPr>
      <w:r w:rsidRPr="003C5907">
        <w:rPr>
          <w:rFonts w:ascii="Times" w:hAnsi="Times"/>
          <w:lang w:val="en-GB"/>
        </w:rPr>
        <w:t xml:space="preserve">In truth, the issue of subjectivity is historically anchored. In Foucault’s writings, it is embedded in the time of what he calls “governmentality,” where control is seen as inseparable from subjectivation. Our constitution as subjects is intrinsically tied to contemporary forms of coercion: “Each of us, when we are required to investigate who we are and express the rules we give ourselves, is not only constructing an individual capable of creativity but also, within the very same indivisible movement, creating a subordinated individual, subordinated to that very injunction to work on oneself. </w:t>
      </w:r>
      <w:r w:rsidRPr="003C5907">
        <w:rPr>
          <w:rFonts w:ascii="Times" w:hAnsi="Times"/>
          <w:lang w:val="en-CA"/>
        </w:rPr>
        <w:t>It is (…) a mode of governance based on self-surveillance” (Lebeer, 2016</w:t>
      </w:r>
      <w:r w:rsidRPr="003C5907">
        <w:rPr>
          <w:rFonts w:ascii="Times" w:hAnsi="Times"/>
          <w:i/>
          <w:lang w:val="en-CA"/>
        </w:rPr>
        <w:t xml:space="preserve">, </w:t>
      </w:r>
      <w:r w:rsidRPr="003C5907">
        <w:rPr>
          <w:rFonts w:ascii="Times" w:hAnsi="Times"/>
          <w:lang w:val="en-CA"/>
        </w:rPr>
        <w:t xml:space="preserve">p. 9). In </w:t>
      </w:r>
      <w:r w:rsidRPr="003C5907">
        <w:rPr>
          <w:rFonts w:ascii="Times" w:hAnsi="Times"/>
          <w:i/>
          <w:lang w:val="en-CA"/>
        </w:rPr>
        <w:t>Faire vivre et laisser mourir</w:t>
      </w:r>
      <w:r w:rsidRPr="003C5907">
        <w:rPr>
          <w:rFonts w:ascii="Times" w:hAnsi="Times"/>
          <w:lang w:val="en-CA"/>
        </w:rPr>
        <w:t xml:space="preserve"> (</w:t>
      </w:r>
      <w:r w:rsidR="00AE0855" w:rsidRPr="003C5907">
        <w:rPr>
          <w:rFonts w:ascii="Times" w:hAnsi="Times"/>
          <w:i/>
          <w:iCs/>
          <w:lang w:val="en-CA"/>
        </w:rPr>
        <w:t>Making one live</w:t>
      </w:r>
      <w:r w:rsidRPr="003C5907">
        <w:rPr>
          <w:rFonts w:ascii="Times" w:hAnsi="Times"/>
          <w:i/>
          <w:iCs/>
          <w:lang w:val="en-CA"/>
        </w:rPr>
        <w:t xml:space="preserve"> and Letting One Die</w:t>
      </w:r>
      <w:r w:rsidRPr="003C5907">
        <w:rPr>
          <w:rFonts w:ascii="Times" w:hAnsi="Times"/>
          <w:lang w:val="en-CA"/>
        </w:rPr>
        <w:t>), Dominique Memmi shows that the self-control of the patient entails complete “enlightened” awareness, requires adhering to waiting periods for decision-making often imposed by the law, and asks the patient to describe the reasons behind her choice and to talk about her relationship to her body and her self. By contrast, self-control for healthcare workers and support staff entails demonstrating reflexivity to avoid imposing their point of view, while carrying out, with a clear “ethical” conscience, the role of authority conferred upon them by legislators (Memmi, 2003, pp. 49-51).</w:t>
      </w:r>
    </w:p>
    <w:p w14:paraId="5DD31AC6" w14:textId="77777777" w:rsidR="00CE4D6E" w:rsidRPr="003C5907" w:rsidRDefault="00CE4D6E" w:rsidP="00CE4D6E">
      <w:pPr>
        <w:spacing w:line="360" w:lineRule="auto"/>
        <w:jc w:val="both"/>
        <w:rPr>
          <w:rFonts w:ascii="Times" w:hAnsi="Times"/>
          <w:lang w:val="en-GB"/>
        </w:rPr>
      </w:pPr>
    </w:p>
    <w:p w14:paraId="06B70E67" w14:textId="45C42900" w:rsidR="00CE4D6E" w:rsidRPr="003C5907" w:rsidRDefault="00CE4D6E" w:rsidP="00A804F9">
      <w:pPr>
        <w:spacing w:line="360" w:lineRule="auto"/>
        <w:jc w:val="both"/>
        <w:rPr>
          <w:rFonts w:ascii="Times" w:hAnsi="Times" w:cs="Arial"/>
          <w:lang w:val="en-CA"/>
        </w:rPr>
      </w:pPr>
      <w:r w:rsidRPr="003C5907">
        <w:rPr>
          <w:rFonts w:ascii="Times" w:hAnsi="Times" w:cs="Arial"/>
          <w:lang w:val="en-CA"/>
        </w:rPr>
        <w:t xml:space="preserve">Taken together, the practical implementation of assistance in dying lies at the juncture of many “normalizing” bodies, including the law, medicine, psychology, social work, and associations. We are thus faced with a context where different sets of norms combine and reinforce one another, overlap and occasionally </w:t>
      </w:r>
      <w:r w:rsidR="00A804F9" w:rsidRPr="003C5907">
        <w:rPr>
          <w:rFonts w:ascii="Times" w:hAnsi="Times" w:cs="Arial"/>
          <w:lang w:val="en-CA"/>
        </w:rPr>
        <w:t>contrast</w:t>
      </w:r>
      <w:r w:rsidRPr="003C5907">
        <w:rPr>
          <w:rFonts w:ascii="Times" w:hAnsi="Times" w:cs="Arial"/>
          <w:lang w:val="en-CA"/>
        </w:rPr>
        <w:t xml:space="preserve">, are discussed and negotiated, and sometimes turn into rules of law. In a generally restrictive normative framework, professionals, volunteers, and loved ones as much as the person they are assisting – through their interactions and an ongoing reflexive </w:t>
      </w:r>
      <w:r w:rsidR="00AE0855" w:rsidRPr="003C5907">
        <w:rPr>
          <w:rFonts w:ascii="Times" w:hAnsi="Times" w:cs="Arial"/>
          <w:lang w:val="en-CA"/>
        </w:rPr>
        <w:t xml:space="preserve">stance </w:t>
      </w:r>
      <w:r w:rsidRPr="003C5907">
        <w:rPr>
          <w:rFonts w:ascii="Times" w:hAnsi="Times" w:cs="Arial"/>
          <w:lang w:val="en-CA"/>
        </w:rPr>
        <w:t>– take part in transforming and reshaping the contours of the framework while at the same time being transformed by it.</w:t>
      </w:r>
    </w:p>
    <w:p w14:paraId="37B02B2F" w14:textId="77777777" w:rsidR="00CE4D6E" w:rsidRPr="003C5907" w:rsidRDefault="00CE4D6E" w:rsidP="00CE4D6E">
      <w:pPr>
        <w:spacing w:line="360" w:lineRule="auto"/>
        <w:jc w:val="both"/>
        <w:rPr>
          <w:rFonts w:ascii="Times" w:hAnsi="Times" w:cs="Arial"/>
          <w:lang w:val="en-GB"/>
        </w:rPr>
      </w:pPr>
    </w:p>
    <w:p w14:paraId="7C757287" w14:textId="77777777" w:rsidR="00CE4D6E" w:rsidRPr="003C5907" w:rsidRDefault="00CE4D6E" w:rsidP="00CE4D6E">
      <w:pPr>
        <w:spacing w:line="360" w:lineRule="auto"/>
        <w:jc w:val="both"/>
        <w:rPr>
          <w:rFonts w:ascii="Times" w:hAnsi="Times" w:cs="Arial"/>
          <w:lang w:val="en-CA"/>
        </w:rPr>
      </w:pPr>
      <w:r w:rsidRPr="003C5907">
        <w:rPr>
          <w:rFonts w:ascii="Times" w:hAnsi="Times" w:cs="Arial"/>
          <w:lang w:val="en-CA"/>
        </w:rPr>
        <w:t xml:space="preserve">Apparatuses of assistance in dying thus seem to be “composite objects” (Dodier &amp; Stavrianakis, 2018), which deserve to be documented and studied as such. The point of view </w:t>
      </w:r>
      <w:r w:rsidRPr="003C5907">
        <w:rPr>
          <w:rFonts w:ascii="Times" w:hAnsi="Times" w:cs="Arial"/>
          <w:lang w:val="en-CA"/>
        </w:rPr>
        <w:lastRenderedPageBreak/>
        <w:t xml:space="preserve">adopted here in no way implies that the apparatus, on the one hand, and the actors’ reflexivity, on the other, should be treated separately (Dodier &amp; Barbot, 2016). The apparatus owes its form of existence and its very implementation to the actors’ positions and, especially, that of the person seeking assistance in dying. What is more, the apparatus weighs with all its normative force on these positions which, in turn, may bring about their own unexpected bifurcations (Tsing, 2015). This perspective, deeply rooted in the experience of self-determined, assisted death, opens up a field of research that can account for both the reflexive and political dimensions of these “composite objects.” In so doing, it represents a solid foundation for developing comparative – particularly international – analyses, without succumbing to the temptation of ‘culturalizing’ or ‘psychologizing’ practices of assistance in dying. </w:t>
      </w:r>
    </w:p>
    <w:p w14:paraId="40B797AF" w14:textId="77777777" w:rsidR="00CE4D6E" w:rsidRPr="003C5907" w:rsidRDefault="00CE4D6E" w:rsidP="00CE4D6E">
      <w:pPr>
        <w:spacing w:line="360" w:lineRule="auto"/>
        <w:jc w:val="both"/>
        <w:rPr>
          <w:rFonts w:ascii="Times" w:hAnsi="Times"/>
          <w:lang w:val="en-CA"/>
        </w:rPr>
      </w:pPr>
    </w:p>
    <w:p w14:paraId="5E42EB1D" w14:textId="26F86B9A" w:rsidR="00CE4D6E" w:rsidRPr="003C5907" w:rsidRDefault="00CE4D6E" w:rsidP="00CE4D6E">
      <w:pPr>
        <w:spacing w:line="360" w:lineRule="auto"/>
        <w:jc w:val="both"/>
        <w:rPr>
          <w:rFonts w:ascii="Times" w:hAnsi="Times"/>
          <w:lang w:val="en-CA"/>
        </w:rPr>
      </w:pPr>
      <w:r w:rsidRPr="003C5907">
        <w:rPr>
          <w:rFonts w:ascii="Times" w:hAnsi="Times"/>
          <w:lang w:val="en-CA"/>
        </w:rPr>
        <w:t>Following this approach, this article examines two different national contexts – Belgium and Switzerland – while seeking to put their corresponding regulations and types of normativity of assisted suicide and euthanasia into perspective</w:t>
      </w:r>
      <w:r w:rsidRPr="003C5907">
        <w:rPr>
          <w:rStyle w:val="FootnoteReference"/>
          <w:rFonts w:ascii="Times" w:hAnsi="Times"/>
          <w:lang w:val="en-CA"/>
        </w:rPr>
        <w:footnoteReference w:id="1"/>
      </w:r>
      <w:r w:rsidRPr="003C5907">
        <w:rPr>
          <w:rFonts w:ascii="Times" w:hAnsi="Times"/>
          <w:lang w:val="en-CA"/>
        </w:rPr>
        <w:t>. Based on fieldwork conducted by our two research teams</w:t>
      </w:r>
      <w:r w:rsidRPr="003C5907">
        <w:rPr>
          <w:rStyle w:val="FootnoteReference"/>
          <w:rFonts w:ascii="Times" w:hAnsi="Times"/>
          <w:lang w:val="en-CA"/>
        </w:rPr>
        <w:footnoteReference w:id="2"/>
      </w:r>
      <w:r w:rsidRPr="003C5907">
        <w:rPr>
          <w:rFonts w:ascii="Times" w:hAnsi="Times"/>
          <w:lang w:val="en-CA"/>
        </w:rPr>
        <w:t>, our goal here is to describe for each country a set of critical points about the practical implementation of this assistance in order to comment on several constituent elements of the socio-moral order that underpin it. We will analyze, as a result, the ways in which experiences, expert knowledge, and perspectives come to be discussed</w:t>
      </w:r>
      <w:ins w:id="0" w:author="Author">
        <w:r w:rsidR="00B04906" w:rsidRPr="003C5907">
          <w:rPr>
            <w:rFonts w:ascii="Times" w:hAnsi="Times"/>
            <w:lang w:val="en-CA"/>
          </w:rPr>
          <w:t>,</w:t>
        </w:r>
      </w:ins>
      <w:r w:rsidRPr="003C5907">
        <w:rPr>
          <w:rFonts w:ascii="Times" w:hAnsi="Times"/>
          <w:lang w:val="en-CA"/>
        </w:rPr>
        <w:t xml:space="preserve"> as end-of-life plans gradually take shape. Each request for assistance in dying, in this sense, represents a </w:t>
      </w:r>
      <w:r w:rsidRPr="003C5907">
        <w:rPr>
          <w:rFonts w:ascii="Times" w:hAnsi="Times"/>
          <w:lang w:val="en-CA"/>
        </w:rPr>
        <w:lastRenderedPageBreak/>
        <w:t xml:space="preserve">“public arena” that dictates a specific reflexivity and symbolization from all actors who take part in the process (Dodier, 1999). To describe these phenomena, we will look at three different moments in the request for assistance in dying: initial contact with those people authorized to help carry out the request; discussion of, and preparation for, the </w:t>
      </w:r>
      <w:r w:rsidR="00AE0855" w:rsidRPr="003C5907">
        <w:rPr>
          <w:rFonts w:ascii="Times" w:hAnsi="Times"/>
          <w:lang w:val="en-CA"/>
        </w:rPr>
        <w:t>final gesture</w:t>
      </w:r>
      <w:r w:rsidRPr="003C5907">
        <w:rPr>
          <w:rFonts w:ascii="Times" w:hAnsi="Times"/>
          <w:lang w:val="en-CA"/>
        </w:rPr>
        <w:t xml:space="preserve"> itself; and, finally, its completion. These moments will be analyzed according to the personal trajectories of two women: Annabell from Belgium, who requested euthanasia, and Germaine from Switzerland, who requested assisted suicide.</w:t>
      </w:r>
    </w:p>
    <w:p w14:paraId="4842AFDF" w14:textId="77777777" w:rsidR="00CE4D6E" w:rsidRPr="003C5907" w:rsidRDefault="00CE4D6E" w:rsidP="00CE4D6E">
      <w:pPr>
        <w:spacing w:line="360" w:lineRule="auto"/>
        <w:jc w:val="both"/>
        <w:rPr>
          <w:rFonts w:ascii="Times" w:hAnsi="Times"/>
          <w:lang w:val="en-GB"/>
        </w:rPr>
      </w:pPr>
    </w:p>
    <w:p w14:paraId="4161CCE9" w14:textId="77777777" w:rsidR="00CE4D6E" w:rsidRPr="003C5907" w:rsidRDefault="00CE4D6E" w:rsidP="00CE4D6E">
      <w:pPr>
        <w:spacing w:line="360" w:lineRule="auto"/>
        <w:jc w:val="both"/>
        <w:rPr>
          <w:rFonts w:ascii="Times" w:hAnsi="Times" w:cs="Arial"/>
          <w:i/>
          <w:lang w:val="en-CA"/>
        </w:rPr>
      </w:pPr>
      <w:r w:rsidRPr="003C5907">
        <w:rPr>
          <w:rFonts w:ascii="Times" w:hAnsi="Times"/>
          <w:lang w:val="en-CA"/>
        </w:rPr>
        <w:t xml:space="preserve">In so doing, we postulate that by investigating the apparatuses, regulatory modes, and normative principles of assistance in dying and their dynamics, we can shed light on some of the socio-anthropological issues related to dying and death in contemporary societies. In each context, these regulatory modes shape a particular socio-moral order surrounding death, more or less attached to the principle of autonomy, an understanding of self-determination, questions of vulnerability, dignity, integrity of conscience, and concern for the welfare of others. </w:t>
      </w:r>
    </w:p>
    <w:p w14:paraId="5FFEEABF" w14:textId="77777777" w:rsidR="00CE4D6E" w:rsidRPr="003C5907" w:rsidRDefault="00CE4D6E" w:rsidP="00CE4D6E">
      <w:pPr>
        <w:spacing w:line="276" w:lineRule="auto"/>
        <w:jc w:val="both"/>
        <w:rPr>
          <w:rFonts w:ascii="Times" w:hAnsi="Times" w:cs="Arial"/>
          <w:i/>
          <w:lang w:val="en-CA"/>
        </w:rPr>
      </w:pPr>
    </w:p>
    <w:p w14:paraId="51809500" w14:textId="77777777" w:rsidR="00CE4D6E" w:rsidRPr="003C5907" w:rsidRDefault="00CE4D6E" w:rsidP="00CE4D6E">
      <w:pPr>
        <w:pStyle w:val="ListParagraph"/>
        <w:numPr>
          <w:ilvl w:val="0"/>
          <w:numId w:val="12"/>
        </w:numPr>
        <w:jc w:val="both"/>
        <w:rPr>
          <w:rFonts w:ascii="Times" w:hAnsi="Times" w:cs="Arial"/>
          <w:b/>
          <w:i/>
          <w:iCs/>
          <w:lang w:val="en-CA"/>
        </w:rPr>
      </w:pPr>
      <w:r w:rsidRPr="003C5907">
        <w:rPr>
          <w:rFonts w:ascii="Times" w:hAnsi="Times" w:cs="Arial"/>
          <w:b/>
          <w:bCs/>
          <w:i/>
          <w:iCs/>
          <w:lang w:val="en-CA"/>
        </w:rPr>
        <w:t xml:space="preserve">Euthanasia in Belgium: Adjusting multiple determinations and deeply held beliefs </w:t>
      </w:r>
    </w:p>
    <w:p w14:paraId="4CE10541" w14:textId="77777777" w:rsidR="00CE4D6E" w:rsidRPr="003C5907" w:rsidRDefault="00CE4D6E" w:rsidP="00CE4D6E">
      <w:pPr>
        <w:spacing w:line="360" w:lineRule="auto"/>
        <w:jc w:val="both"/>
        <w:rPr>
          <w:rFonts w:ascii="Times" w:hAnsi="Times"/>
          <w:lang w:val="en-CA"/>
        </w:rPr>
      </w:pPr>
    </w:p>
    <w:p w14:paraId="6F9369CC" w14:textId="2344AAEB" w:rsidR="00CE4D6E" w:rsidRPr="003C5907" w:rsidRDefault="00CE4D6E" w:rsidP="00CE4D6E">
      <w:pPr>
        <w:spacing w:line="360" w:lineRule="auto"/>
        <w:jc w:val="both"/>
        <w:rPr>
          <w:rFonts w:ascii="Times" w:hAnsi="Times"/>
          <w:lang w:val="en-CA"/>
        </w:rPr>
      </w:pPr>
      <w:r w:rsidRPr="003C5907">
        <w:rPr>
          <w:rFonts w:ascii="Times" w:hAnsi="Times"/>
          <w:lang w:val="en-CA"/>
        </w:rPr>
        <w:t xml:space="preserve">The legal and political framework is especially important when accounting for the social and political regulatory modes for practices of assistance in dying, particularly when considering the roles assigned to different actors and the nature of their expertise in debates surrounding end-of-life plans. In point of fact, unlike the situation in Switzerland where the legal framework for assistance in dying falls within a set of norms regulated by </w:t>
      </w:r>
      <w:r w:rsidR="00AE0855" w:rsidRPr="003C5907">
        <w:rPr>
          <w:rFonts w:ascii="Times" w:hAnsi="Times"/>
          <w:lang w:val="en-CA"/>
        </w:rPr>
        <w:t xml:space="preserve">positive </w:t>
      </w:r>
      <w:r w:rsidRPr="003C5907">
        <w:rPr>
          <w:rFonts w:ascii="Times" w:hAnsi="Times"/>
          <w:lang w:val="en-CA"/>
        </w:rPr>
        <w:t>law (Mauron, 2018)</w:t>
      </w:r>
      <w:r w:rsidRPr="003C5907">
        <w:rPr>
          <w:rStyle w:val="FootnoteReference"/>
          <w:rFonts w:ascii="Times" w:hAnsi="Times"/>
          <w:lang w:val="en-CA"/>
        </w:rPr>
        <w:footnoteReference w:id="3"/>
      </w:r>
      <w:r w:rsidRPr="003C5907">
        <w:rPr>
          <w:rFonts w:ascii="Times" w:hAnsi="Times"/>
          <w:lang w:val="en-CA"/>
        </w:rPr>
        <w:t>, Belgian law, in addition to defining euthanasia as “the act, performed by a third party, which intentionally ends the life of a person on the person’s request” (art. 2)</w:t>
      </w:r>
      <w:r w:rsidRPr="003C5907">
        <w:rPr>
          <w:rStyle w:val="FootnoteReference"/>
          <w:rFonts w:ascii="Times" w:hAnsi="Times"/>
          <w:lang w:val="en-CA"/>
        </w:rPr>
        <w:footnoteReference w:id="4"/>
      </w:r>
      <w:r w:rsidRPr="003C5907">
        <w:rPr>
          <w:rFonts w:ascii="Times" w:hAnsi="Times"/>
          <w:lang w:val="en-CA"/>
        </w:rPr>
        <w:t xml:space="preserve">, sets </w:t>
      </w:r>
      <w:r w:rsidRPr="003C5907">
        <w:rPr>
          <w:rFonts w:ascii="Times" w:hAnsi="Times"/>
          <w:lang w:val="en-CA"/>
        </w:rPr>
        <w:lastRenderedPageBreak/>
        <w:t xml:space="preserve">out a number of conditions and procedures, and thereby formalizes the relationship between protagonists. </w:t>
      </w:r>
    </w:p>
    <w:p w14:paraId="054EB97D" w14:textId="77777777" w:rsidR="00CE4D6E" w:rsidRPr="003C5907" w:rsidRDefault="00CE4D6E" w:rsidP="00CE4D6E">
      <w:pPr>
        <w:spacing w:line="360" w:lineRule="auto"/>
        <w:jc w:val="both"/>
        <w:rPr>
          <w:rFonts w:ascii="Times" w:hAnsi="Times"/>
          <w:lang w:val="en-CA"/>
        </w:rPr>
      </w:pPr>
    </w:p>
    <w:p w14:paraId="382EA5FC" w14:textId="77777777" w:rsidR="00CE4D6E" w:rsidRPr="003C5907" w:rsidRDefault="00CE4D6E" w:rsidP="00CE4D6E">
      <w:pPr>
        <w:spacing w:line="360" w:lineRule="auto"/>
        <w:jc w:val="both"/>
        <w:rPr>
          <w:rFonts w:ascii="Times" w:hAnsi="Times" w:cs="Arial"/>
          <w:lang w:val="en-CA"/>
        </w:rPr>
      </w:pPr>
      <w:r w:rsidRPr="003C5907">
        <w:rPr>
          <w:rFonts w:ascii="Times" w:hAnsi="Times" w:cs="Arial"/>
          <w:lang w:val="en-CA"/>
        </w:rPr>
        <w:t>In terms of practices, a request for euthanasia must be made “voluntarily, thoughtfully, and repeatedly,” and must not result from outside pressure. It must come from a “patient who is able and aware when making the request</w:t>
      </w:r>
      <w:r w:rsidRPr="003C5907">
        <w:rPr>
          <w:rStyle w:val="FootnoteReference"/>
          <w:rFonts w:ascii="Times" w:hAnsi="Times" w:cs="Arial"/>
          <w:lang w:val="en-CA"/>
        </w:rPr>
        <w:footnoteReference w:id="5"/>
      </w:r>
      <w:r w:rsidRPr="003C5907">
        <w:rPr>
          <w:rFonts w:ascii="Times" w:hAnsi="Times" w:cs="Arial"/>
          <w:lang w:val="en-CA"/>
        </w:rPr>
        <w:t xml:space="preserve">” (art. 3§1). To ensure these conditions are met, the physician conducts several interviews with the patient “within a reasonable timespan in view of the development of the patient’s condition” </w:t>
      </w:r>
      <w:r w:rsidRPr="003C5907">
        <w:rPr>
          <w:rFonts w:ascii="Times" w:hAnsi="Times" w:cs="Arial"/>
          <w:spacing w:val="-2"/>
          <w:lang w:val="en-CA"/>
        </w:rPr>
        <w:t>(</w:t>
      </w:r>
      <w:r w:rsidRPr="003C5907">
        <w:rPr>
          <w:rFonts w:ascii="Times" w:hAnsi="Times" w:cs="Arial"/>
          <w:lang w:val="en-CA"/>
        </w:rPr>
        <w:t>art. 3§2.2). The patient must “have reached a medical impasse” and be experiencing “constant and unbearable physical or mental pain that cannot be relieved and results from a serious and incurable condition that is accidental or pathological in nature”</w:t>
      </w:r>
      <w:r w:rsidRPr="003C5907">
        <w:rPr>
          <w:rFonts w:ascii="Times" w:hAnsi="Times" w:cs="Arial"/>
          <w:spacing w:val="-2"/>
          <w:lang w:val="en-CA"/>
        </w:rPr>
        <w:t xml:space="preserve"> (</w:t>
      </w:r>
      <w:r w:rsidRPr="003C5907">
        <w:rPr>
          <w:rFonts w:ascii="Times" w:hAnsi="Times" w:cs="Arial"/>
          <w:lang w:val="en-CA"/>
        </w:rPr>
        <w:t xml:space="preserve">art. 3§1). The physician must inform the patient of her condition and life expectancy, as well as her therapeutic and palliative options and consequences. Following these conversations, the physician and patient, together, must arrive at “the conviction that there is no other reasonable solution” and that the request is indeed voluntary </w:t>
      </w:r>
      <w:r w:rsidRPr="003C5907">
        <w:rPr>
          <w:rFonts w:ascii="Times" w:hAnsi="Times" w:cs="Arial"/>
          <w:spacing w:val="-2"/>
          <w:lang w:val="en-CA"/>
        </w:rPr>
        <w:t>(</w:t>
      </w:r>
      <w:r w:rsidRPr="003C5907">
        <w:rPr>
          <w:rFonts w:ascii="Times" w:hAnsi="Times" w:cs="Arial"/>
          <w:lang w:val="en-CA"/>
        </w:rPr>
        <w:t>art. 3§2.1)</w:t>
      </w:r>
      <w:r w:rsidRPr="003C5907">
        <w:rPr>
          <w:rFonts w:ascii="Times" w:hAnsi="Times"/>
          <w:lang w:val="en-CA"/>
        </w:rPr>
        <w:t>. Regarding the expected time of occurrence of death</w:t>
      </w:r>
      <w:r w:rsidRPr="003C5907">
        <w:rPr>
          <w:rStyle w:val="FootnoteReference"/>
          <w:rFonts w:ascii="Times" w:hAnsi="Times"/>
          <w:lang w:val="en-CA"/>
        </w:rPr>
        <w:footnoteReference w:id="6"/>
      </w:r>
      <w:r w:rsidRPr="003C5907">
        <w:rPr>
          <w:rFonts w:ascii="Times" w:hAnsi="Times"/>
          <w:lang w:val="en-CA"/>
        </w:rPr>
        <w:t>, one or two physicians unaffiliated with the attending physician and the patient, and knowledgeable of the medical condition in question, will also be consulted (</w:t>
      </w:r>
      <w:r w:rsidRPr="003C5907">
        <w:rPr>
          <w:rFonts w:ascii="Times" w:hAnsi="Times" w:cs="Arial"/>
          <w:lang w:val="en-CA"/>
        </w:rPr>
        <w:t xml:space="preserve">art. 3§2.3). It must also be noted that a conscience-exemption clause ensures the physician’s freedom of therapeutic practice. However, “if the attending physician, on the basis of freedom of conscience, refuses to practise euthanasia, the physician must promptly inform the patient or trusted representative, no later than seven days after the initial request, of the reasons for the refusal and refer the patient or trusted representative to another physician the latter has chosen” (art. 14). </w:t>
      </w:r>
    </w:p>
    <w:p w14:paraId="70A28983" w14:textId="77777777" w:rsidR="00CE4D6E" w:rsidRPr="003C5907" w:rsidRDefault="00CE4D6E" w:rsidP="00CE4D6E">
      <w:pPr>
        <w:spacing w:line="360" w:lineRule="auto"/>
        <w:jc w:val="both"/>
        <w:rPr>
          <w:rFonts w:ascii="Times" w:hAnsi="Times" w:cs="Arial"/>
          <w:lang w:val="en-CA"/>
        </w:rPr>
      </w:pPr>
    </w:p>
    <w:p w14:paraId="2682660B" w14:textId="0E622BB6" w:rsidR="00CE4D6E" w:rsidRPr="003C5907" w:rsidRDefault="00CE4D6E" w:rsidP="00A20992">
      <w:pPr>
        <w:spacing w:line="360" w:lineRule="auto"/>
        <w:jc w:val="both"/>
        <w:rPr>
          <w:rFonts w:ascii="Times" w:hAnsi="Times"/>
          <w:lang w:val="en-GB"/>
        </w:rPr>
      </w:pPr>
      <w:r w:rsidRPr="003C5907">
        <w:rPr>
          <w:rFonts w:ascii="Times" w:hAnsi="Times"/>
          <w:lang w:val="en-CA"/>
        </w:rPr>
        <w:t xml:space="preserve">While some might be tempted to see in these procedural conditions an intent to limit the room </w:t>
      </w:r>
      <w:r w:rsidR="00026AD4" w:rsidRPr="003C5907">
        <w:rPr>
          <w:rFonts w:ascii="Times" w:hAnsi="Times"/>
          <w:lang w:val="en-CA"/>
        </w:rPr>
        <w:t xml:space="preserve">for </w:t>
      </w:r>
      <w:r w:rsidRPr="003C5907">
        <w:rPr>
          <w:rFonts w:ascii="Times" w:hAnsi="Times"/>
          <w:lang w:val="en-CA"/>
        </w:rPr>
        <w:t xml:space="preserve">manoeuvre for those individuals directly concerned, it must be noted that the Belgian legal framework, nonetheless, does, as a central tenet, affirm the irreducible nature of the </w:t>
      </w:r>
      <w:r w:rsidR="00A20992" w:rsidRPr="003C5907">
        <w:rPr>
          <w:rFonts w:ascii="Times" w:hAnsi="Times"/>
          <w:lang w:val="en-CA"/>
        </w:rPr>
        <w:t xml:space="preserve">singular doctor-patient relationship (the </w:t>
      </w:r>
      <w:r w:rsidR="00A20992" w:rsidRPr="003C5907">
        <w:rPr>
          <w:rFonts w:ascii="Times" w:hAnsi="Times"/>
          <w:i/>
          <w:iCs/>
          <w:lang w:val="en-CA"/>
        </w:rPr>
        <w:t>colloque singulier</w:t>
      </w:r>
      <w:r w:rsidR="00A20992" w:rsidRPr="003C5907">
        <w:rPr>
          <w:rFonts w:ascii="Times" w:hAnsi="Times"/>
          <w:lang w:val="en-CA"/>
        </w:rPr>
        <w:t>)</w:t>
      </w:r>
      <w:r w:rsidRPr="003C5907">
        <w:rPr>
          <w:rFonts w:ascii="Times" w:hAnsi="Times"/>
          <w:lang w:val="en-CA"/>
        </w:rPr>
        <w:t xml:space="preserve">, specifically “the meeting of conscience and trust,” to quote the often-used phrase from political and practice-oriented debates. For its </w:t>
      </w:r>
      <w:r w:rsidRPr="003C5907">
        <w:rPr>
          <w:rFonts w:ascii="Times" w:hAnsi="Times"/>
          <w:lang w:val="en-CA"/>
        </w:rPr>
        <w:lastRenderedPageBreak/>
        <w:t>defenders, the advantage of this relational configuration is that it avoids “turning the way the request is handled into a court proceeding.”</w:t>
      </w:r>
      <w:r w:rsidRPr="003C5907">
        <w:rPr>
          <w:rStyle w:val="FootnoteReference"/>
          <w:rFonts w:ascii="Times" w:hAnsi="Times"/>
          <w:lang w:val="en-CA"/>
        </w:rPr>
        <w:footnoteReference w:id="7"/>
      </w:r>
      <w:r w:rsidRPr="003C5907">
        <w:rPr>
          <w:rFonts w:ascii="Times" w:hAnsi="Times"/>
          <w:lang w:val="en-CA"/>
        </w:rPr>
        <w:t xml:space="preserve"> Indeed, while all the actors involved are consulted, they do not interfere in the </w:t>
      </w:r>
      <w:r w:rsidR="00A20992" w:rsidRPr="003C5907">
        <w:rPr>
          <w:rFonts w:ascii="Times" w:hAnsi="Times"/>
          <w:i/>
          <w:iCs/>
          <w:lang w:val="en-CA"/>
        </w:rPr>
        <w:t>colloque singulier</w:t>
      </w:r>
      <w:r w:rsidRPr="003C5907">
        <w:rPr>
          <w:rFonts w:ascii="Times" w:hAnsi="Times"/>
          <w:lang w:val="en-CA"/>
        </w:rPr>
        <w:t xml:space="preserve"> between physician and patient. Thus, the law stipulates that if a healthcare team is in regular contact with the patient, the attending physician must talk to the team or at least some of its members </w:t>
      </w:r>
      <w:r w:rsidRPr="003C5907">
        <w:rPr>
          <w:rFonts w:ascii="Times" w:hAnsi="Times"/>
          <w:lang w:val="en-GB"/>
        </w:rPr>
        <w:t>(</w:t>
      </w:r>
      <w:r w:rsidRPr="003C5907">
        <w:rPr>
          <w:rFonts w:ascii="Times" w:hAnsi="Times" w:cs="Arial"/>
          <w:lang w:val="en-GB"/>
        </w:rPr>
        <w:t>art.3§1.4</w:t>
      </w:r>
      <w:r w:rsidRPr="003C5907">
        <w:rPr>
          <w:rFonts w:ascii="Times" w:hAnsi="Times"/>
          <w:lang w:val="en-GB"/>
        </w:rPr>
        <w:t>). If the patient so wishes, the physician should also speak with relatives or friends designated by the patient (</w:t>
      </w:r>
      <w:r w:rsidRPr="003C5907">
        <w:rPr>
          <w:rFonts w:ascii="Times" w:hAnsi="Times" w:cs="Arial"/>
          <w:lang w:val="en-GB"/>
        </w:rPr>
        <w:t>ar</w:t>
      </w:r>
      <w:r w:rsidRPr="003C5907">
        <w:rPr>
          <w:rFonts w:ascii="Times" w:hAnsi="Times" w:cs="Arial"/>
          <w:lang w:val="en-CA"/>
        </w:rPr>
        <w:t>t. 3§1.5</w:t>
      </w:r>
      <w:r w:rsidRPr="003C5907">
        <w:rPr>
          <w:rFonts w:ascii="Times" w:hAnsi="Times"/>
          <w:lang w:val="en-CA"/>
        </w:rPr>
        <w:t>).</w:t>
      </w:r>
    </w:p>
    <w:p w14:paraId="73918CC9" w14:textId="77777777" w:rsidR="00CE4D6E" w:rsidRPr="003C5907" w:rsidRDefault="00CE4D6E" w:rsidP="00CE4D6E">
      <w:pPr>
        <w:spacing w:line="360" w:lineRule="auto"/>
        <w:jc w:val="both"/>
        <w:rPr>
          <w:rFonts w:ascii="Times" w:hAnsi="Times"/>
          <w:lang w:val="en-CA"/>
        </w:rPr>
      </w:pPr>
    </w:p>
    <w:p w14:paraId="31D2DE3A" w14:textId="1C426BC4" w:rsidR="00CE4D6E" w:rsidRPr="003C5907" w:rsidRDefault="00CE4D6E" w:rsidP="00A20992">
      <w:pPr>
        <w:spacing w:line="360" w:lineRule="auto"/>
        <w:jc w:val="both"/>
        <w:rPr>
          <w:rFonts w:ascii="Times" w:hAnsi="Times"/>
          <w:bCs/>
          <w:lang w:val="en-CA"/>
        </w:rPr>
      </w:pPr>
      <w:r w:rsidRPr="003C5907">
        <w:rPr>
          <w:rFonts w:ascii="Times" w:hAnsi="Times"/>
          <w:bCs/>
          <w:lang w:val="en-CA"/>
        </w:rPr>
        <w:t xml:space="preserve">The </w:t>
      </w:r>
      <w:r w:rsidR="00A20992" w:rsidRPr="003C5907">
        <w:rPr>
          <w:rFonts w:ascii="Times" w:hAnsi="Times"/>
          <w:bCs/>
          <w:i/>
          <w:iCs/>
          <w:lang w:val="en-CA"/>
        </w:rPr>
        <w:t>colloque singulier</w:t>
      </w:r>
      <w:r w:rsidRPr="003C5907">
        <w:rPr>
          <w:rFonts w:ascii="Times" w:hAnsi="Times"/>
          <w:bCs/>
          <w:lang w:val="en-CA"/>
        </w:rPr>
        <w:t xml:space="preserve">, however, does not preclude the generally explicit intervention of conflictual norms and power relations, especially around the task of objectifying the request. </w:t>
      </w:r>
      <w:r w:rsidR="00CE6976" w:rsidRPr="003C5907">
        <w:rPr>
          <w:rFonts w:ascii="Times" w:hAnsi="Times"/>
          <w:bCs/>
          <w:lang w:val="en-CA"/>
        </w:rPr>
        <w:t>Indeed</w:t>
      </w:r>
      <w:r w:rsidRPr="003C5907">
        <w:rPr>
          <w:rFonts w:ascii="Times" w:hAnsi="Times"/>
          <w:bCs/>
          <w:lang w:val="en-CA"/>
        </w:rPr>
        <w:t xml:space="preserve">, healthcare staff call upon patients requesting euthanasia and their loved ones to objectivate their situation by locating the request within a coherent, time-bound narrative in light of their experience with severe illness. As a result, patients and their families are expected to reveal publicly, for the most part, the ambivalence inherent in their decision, particularly in the case of psychological conflicts that may arise between the wish for the pain, suffering and illness “to be over” but not necessarily life, or where conflicts of loyalty occur within the family. The professionals, in turn, are called upon to take action in order to facilitate these end-of-life plans, which go beyond the general call of medical duty while re-examining the boundaries of the doctor/patient relationship, professional arrangements, and the contexts in which they take place. By exploring the situation of Annabell, whom we met during a two-year socio-ethnographic study conducted in two Belgian continuing and palliative care hospital units, we will show that these requests – always humanly, relationally, and medically complex – call upon everyone involved not only to debate and deliberate among themselves, but also to grapple with their own moral sentiments, doing away with a harmonious and unequivocal view of deliberation while still striving to reach unique forms of conciliation. </w:t>
      </w:r>
    </w:p>
    <w:p w14:paraId="01A41D6F" w14:textId="77777777" w:rsidR="00CE4D6E" w:rsidRPr="003C5907" w:rsidRDefault="00CE4D6E" w:rsidP="00CE4D6E">
      <w:pPr>
        <w:spacing w:line="360" w:lineRule="auto"/>
        <w:jc w:val="both"/>
        <w:rPr>
          <w:rFonts w:ascii="Times" w:hAnsi="Times" w:cs="Calibri"/>
          <w:lang w:val="en-CA"/>
        </w:rPr>
      </w:pPr>
    </w:p>
    <w:p w14:paraId="1009CDF2" w14:textId="77777777" w:rsidR="00CE4D6E" w:rsidRPr="003C5907" w:rsidRDefault="00CE4D6E" w:rsidP="00CE4D6E">
      <w:pPr>
        <w:spacing w:line="360" w:lineRule="auto"/>
        <w:jc w:val="both"/>
        <w:rPr>
          <w:rFonts w:ascii="Times" w:hAnsi="Times" w:cs="Calibri"/>
          <w:lang w:val="en-CA"/>
        </w:rPr>
      </w:pPr>
      <w:r w:rsidRPr="003C5907">
        <w:rPr>
          <w:rFonts w:ascii="Times" w:hAnsi="Times"/>
          <w:lang w:val="en-GB"/>
        </w:rPr>
        <w:t xml:space="preserve">In her fifties and having worked in the financial sector for many years, Annabell told us repeatedly that she had “led a very full life, as if I were 75 years old.” However, she has had to go at a slower pace more recently. Diagnosed with invasive cervical cancer, she suffered in particular from peritoneal diffusion of the neoplastic mass. In one of our conversations, she spoke of how much pain she had endured after several surgeries, chemotherapy and </w:t>
      </w:r>
      <w:r w:rsidRPr="003C5907">
        <w:rPr>
          <w:rFonts w:ascii="Times" w:hAnsi="Times"/>
          <w:lang w:val="en-GB"/>
        </w:rPr>
        <w:lastRenderedPageBreak/>
        <w:t xml:space="preserve">radiotherapy treatments: “They saw that things did not go well (…). The cells grew a little bit, and now they are very aggressive. I have a lot of problems when I need to go to the bathroom </w:t>
      </w:r>
      <w:r w:rsidRPr="003C5907">
        <w:rPr>
          <w:rFonts w:ascii="Times" w:hAnsi="Times" w:cs="Calibri"/>
        </w:rPr>
        <w:sym w:font="Symbol" w:char="F05B"/>
      </w:r>
      <w:r w:rsidRPr="003C5907">
        <w:rPr>
          <w:rFonts w:ascii="Times" w:hAnsi="Times" w:cs="Calibri"/>
          <w:lang w:val="en-CA"/>
        </w:rPr>
        <w:t xml:space="preserve">specifically due to a narrowing of the anal canal </w:t>
      </w:r>
      <w:r w:rsidRPr="003C5907">
        <w:rPr>
          <w:rFonts w:ascii="Times" w:hAnsi="Times" w:cs="Calibri"/>
          <w:iCs/>
          <w:lang w:val="en-CA"/>
        </w:rPr>
        <w:t>(</w:t>
      </w:r>
      <w:r w:rsidRPr="003C5907">
        <w:rPr>
          <w:rFonts w:ascii="Times" w:hAnsi="Times" w:cs="Calibri"/>
          <w:i/>
          <w:lang w:val="en-CA"/>
        </w:rPr>
        <w:t>author’s note</w:t>
      </w:r>
      <w:r w:rsidRPr="003C5907">
        <w:rPr>
          <w:rFonts w:ascii="Times" w:hAnsi="Times" w:cs="Calibri"/>
          <w:i/>
          <w:iCs/>
          <w:lang w:val="en-CA"/>
        </w:rPr>
        <w:t>)</w:t>
      </w:r>
      <w:r w:rsidRPr="003C5907">
        <w:rPr>
          <w:rFonts w:ascii="Times" w:hAnsi="Times" w:cs="Calibri"/>
        </w:rPr>
        <w:sym w:font="Symbol" w:char="F05D"/>
      </w:r>
      <w:r w:rsidRPr="003C5907">
        <w:rPr>
          <w:rFonts w:ascii="Times" w:hAnsi="Times" w:cs="Calibri"/>
          <w:lang w:val="en-CA"/>
        </w:rPr>
        <w:t xml:space="preserve"> (…). They tried to operate on me. But apparently when you have an injury down there and you have had radiation, it never heals up. The pain is unbearable. If I have to suffer to have a future, okay, but not if there is no future. I have suffered enough” (interview excerpt). </w:t>
      </w:r>
    </w:p>
    <w:p w14:paraId="632E6D3E" w14:textId="77777777" w:rsidR="00CE4D6E" w:rsidRPr="003C5907" w:rsidRDefault="00CE4D6E" w:rsidP="00CE4D6E">
      <w:pPr>
        <w:spacing w:line="360" w:lineRule="auto"/>
        <w:jc w:val="both"/>
        <w:rPr>
          <w:rFonts w:ascii="Times" w:hAnsi="Times" w:cs="Calibri"/>
          <w:lang w:val="en-CA"/>
        </w:rPr>
      </w:pPr>
    </w:p>
    <w:p w14:paraId="0721CEF0" w14:textId="77777777" w:rsidR="00CE4D6E" w:rsidRPr="003C5907" w:rsidRDefault="00CE4D6E" w:rsidP="00CE4D6E">
      <w:pPr>
        <w:spacing w:line="360" w:lineRule="auto"/>
        <w:jc w:val="both"/>
        <w:rPr>
          <w:rFonts w:ascii="Times" w:hAnsi="Times"/>
          <w:lang w:val="en-GB"/>
        </w:rPr>
      </w:pPr>
      <w:r w:rsidRPr="003C5907">
        <w:rPr>
          <w:rFonts w:ascii="Times" w:hAnsi="Times"/>
          <w:lang w:val="en-GB"/>
        </w:rPr>
        <w:t xml:space="preserve">Filled with unbearable pain and suffering, Annabell came from abroad to Belgium to request euthanasia. Cases of foreign patients do come up since the law contains no specific clause restricting euthanasia access to those of Belgian nationality or with Belgian residence. While Annabell may have been foreign, though, her experience was emblematic of the path which many Belgian patients follow, particularly the variety of norms that come into play and the key role of medical practice in these arrangements. The only feature specific to Annabell’s case was that her request, perhaps more so than usual, required her to wait anxiously for an extended period before the euthanasic act could be carried out. The different stages of the procedure called for the patient to be regularly monitored over a fairly long time, which could represent a considerable obstacle for those living or being treated abroad. </w:t>
      </w:r>
    </w:p>
    <w:p w14:paraId="370C7C18" w14:textId="77777777" w:rsidR="00CE4D6E" w:rsidRPr="003C5907" w:rsidRDefault="00CE4D6E" w:rsidP="00CE4D6E">
      <w:pPr>
        <w:spacing w:line="360" w:lineRule="auto"/>
        <w:jc w:val="both"/>
        <w:rPr>
          <w:rFonts w:ascii="Times" w:hAnsi="Times" w:cs="Calibri"/>
          <w:lang w:val="en-CA"/>
        </w:rPr>
      </w:pPr>
    </w:p>
    <w:p w14:paraId="75017351" w14:textId="67EB6A86" w:rsidR="00CE4D6E" w:rsidRPr="003C5907" w:rsidRDefault="00CE4D6E" w:rsidP="00CE4D6E">
      <w:pPr>
        <w:spacing w:line="360" w:lineRule="auto"/>
        <w:jc w:val="both"/>
        <w:rPr>
          <w:rFonts w:ascii="Times" w:hAnsi="Times"/>
          <w:lang w:val="en-CA"/>
        </w:rPr>
      </w:pPr>
      <w:r w:rsidRPr="003C5907">
        <w:rPr>
          <w:rFonts w:ascii="Times" w:hAnsi="Times"/>
          <w:lang w:val="en-CA"/>
        </w:rPr>
        <w:t xml:space="preserve">For several months, Annabell met with the Belgian doctor in charge of her case and discussed end-of-life plans. These consultations are offered in several Belgian hospitals and give patients, who are wondering about future provisions, the chance to share their thoughts with a doctor. They may last up to an hour, which is rather long considering the pace of daily hospital activity, and are open to all patients and their loved ones, regardless of their health condition, medical trajectory, or place of treatment. Patients initiating the process of requesting euthanasia often come to these meetings to </w:t>
      </w:r>
      <w:r w:rsidR="0045211C" w:rsidRPr="003C5907">
        <w:rPr>
          <w:rFonts w:ascii="Times" w:hAnsi="Times"/>
          <w:lang w:val="en-CA"/>
        </w:rPr>
        <w:t xml:space="preserve">obtain </w:t>
      </w:r>
      <w:r w:rsidRPr="003C5907">
        <w:rPr>
          <w:rFonts w:ascii="Times" w:hAnsi="Times"/>
          <w:lang w:val="en-CA"/>
        </w:rPr>
        <w:t xml:space="preserve">information about the legalities surrounding their decision or to ask for a second opinion, as required by law. The physician who </w:t>
      </w:r>
      <w:r w:rsidR="00084107" w:rsidRPr="003C5907">
        <w:rPr>
          <w:rFonts w:ascii="Times" w:hAnsi="Times"/>
          <w:lang w:val="en-CA"/>
        </w:rPr>
        <w:t>undertook</w:t>
      </w:r>
      <w:r w:rsidRPr="003C5907">
        <w:rPr>
          <w:rFonts w:ascii="Times" w:hAnsi="Times"/>
          <w:lang w:val="en-CA"/>
        </w:rPr>
        <w:t>these consultations in the hospital where Annabell was staying summarized his approach in the following way, thus clearly showing how deliberations involving a request for assistance in dying are not simply based on a discussion of clinical concerns, but fully engage one’s self-conception and the beliefs of those concerned:</w:t>
      </w:r>
    </w:p>
    <w:p w14:paraId="53B1D905" w14:textId="77777777" w:rsidR="00CE4D6E" w:rsidRPr="003C5907" w:rsidRDefault="00CE4D6E" w:rsidP="00CE4D6E">
      <w:pPr>
        <w:autoSpaceDE w:val="0"/>
        <w:autoSpaceDN w:val="0"/>
        <w:adjustRightInd w:val="0"/>
        <w:ind w:left="708" w:right="561"/>
        <w:jc w:val="both"/>
        <w:rPr>
          <w:rFonts w:ascii="Times" w:eastAsia="Calibri" w:hAnsi="Times"/>
          <w:lang w:val="en-CA"/>
        </w:rPr>
      </w:pPr>
    </w:p>
    <w:p w14:paraId="68DF728D" w14:textId="77777777" w:rsidR="00CE4D6E" w:rsidRPr="003C5907" w:rsidRDefault="00CE4D6E" w:rsidP="00CE4D6E">
      <w:pPr>
        <w:autoSpaceDE w:val="0"/>
        <w:autoSpaceDN w:val="0"/>
        <w:adjustRightInd w:val="0"/>
        <w:ind w:left="708" w:right="561"/>
        <w:jc w:val="both"/>
        <w:rPr>
          <w:rFonts w:ascii="Times" w:eastAsia="Calibri" w:hAnsi="Times"/>
          <w:lang w:val="en-CA"/>
        </w:rPr>
      </w:pPr>
      <w:r w:rsidRPr="003C5907">
        <w:rPr>
          <w:rFonts w:ascii="Times" w:eastAsia="Calibri" w:hAnsi="Times"/>
          <w:lang w:val="en-CA"/>
        </w:rPr>
        <w:t xml:space="preserve">“When you need to discuss ethical matters, you </w:t>
      </w:r>
      <w:r w:rsidRPr="003C5907">
        <w:rPr>
          <w:rFonts w:ascii="Times" w:eastAsia="Calibri" w:hAnsi="Times"/>
          <w:i/>
          <w:iCs/>
          <w:lang w:val="en-CA"/>
        </w:rPr>
        <w:t>must</w:t>
      </w:r>
      <w:r w:rsidRPr="003C5907">
        <w:rPr>
          <w:rFonts w:ascii="Times" w:eastAsia="Calibri" w:hAnsi="Times"/>
          <w:lang w:val="en-CA"/>
        </w:rPr>
        <w:t xml:space="preserve"> have excellent case documentation. You can’t simply go on a clinical vignette along the lines of ‘a patient of such and such an age, at an advanced stage of cancer, with this or that metastasis, refuses Phase 1, and so requests euthanasia…’ You can’t give a </w:t>
      </w:r>
      <w:r w:rsidRPr="003C5907">
        <w:rPr>
          <w:rFonts w:ascii="Times" w:eastAsia="Calibri" w:hAnsi="Times"/>
          <w:lang w:val="en-CA"/>
        </w:rPr>
        <w:lastRenderedPageBreak/>
        <w:t>Reader’s Digest version. You have to listen to the patients. (…) If the patient says, ‘I’d like you to help me die, but I want it to be as late as possible,’ that’s how I write it in the file. (…) We ask the patients to tell us about themselves: who they are, whether they have children and families, what their beliefs are, things we don’t know much about in medicine. Generally, in a medical case file, it just says for the lifestyle category: alcohol 0 or tobacco 0. Or alcohol ++. If you don’t smoke and don’t drink, your lifestyle is zero (laughs).” (excerpt from a field notebook kept during an end-of-life training session for medical staff)</w:t>
      </w:r>
    </w:p>
    <w:p w14:paraId="5F3A6DFA" w14:textId="77777777" w:rsidR="00CE4D6E" w:rsidRPr="003C5907" w:rsidRDefault="00CE4D6E" w:rsidP="00CE4D6E">
      <w:pPr>
        <w:autoSpaceDE w:val="0"/>
        <w:autoSpaceDN w:val="0"/>
        <w:adjustRightInd w:val="0"/>
        <w:ind w:left="708" w:right="561"/>
        <w:jc w:val="both"/>
        <w:rPr>
          <w:rFonts w:ascii="Times" w:eastAsia="Calibri" w:hAnsi="Times"/>
          <w:lang w:val="en-CA"/>
        </w:rPr>
      </w:pPr>
    </w:p>
    <w:p w14:paraId="5F99F918" w14:textId="08609F97" w:rsidR="00CE4D6E" w:rsidRPr="003C5907" w:rsidRDefault="00CE4D6E" w:rsidP="00CE4D6E">
      <w:pPr>
        <w:pStyle w:val="NoSpacing"/>
        <w:spacing w:line="360" w:lineRule="auto"/>
        <w:rPr>
          <w:rFonts w:ascii="Times" w:eastAsiaTheme="minorHAnsi" w:hAnsi="Times" w:cs="Didot"/>
          <w:szCs w:val="24"/>
          <w:lang w:val="en-GB"/>
        </w:rPr>
      </w:pPr>
      <w:r w:rsidRPr="003C5907">
        <w:rPr>
          <w:rFonts w:ascii="Times" w:eastAsiaTheme="minorHAnsi" w:hAnsi="Times" w:cs="Didot"/>
          <w:szCs w:val="24"/>
          <w:lang w:val="en-GB"/>
        </w:rPr>
        <w:t xml:space="preserve">During these consultations, in addition to collecting objective data on the patient’s clinical condition and discussing the unbearable nature of their suffering, </w:t>
      </w:r>
      <w:r w:rsidR="009173E5" w:rsidRPr="003C5907">
        <w:rPr>
          <w:rFonts w:ascii="Times" w:eastAsiaTheme="minorHAnsi" w:hAnsi="Times" w:cs="Didot"/>
          <w:szCs w:val="24"/>
          <w:lang w:val="en-GB"/>
        </w:rPr>
        <w:t>the physician offers the patient a socialisation to the formal and informal norms governing their request for euthanasia, as well as a potential challenge to these norms</w:t>
      </w:r>
      <w:r w:rsidRPr="003C5907">
        <w:rPr>
          <w:rFonts w:ascii="Times" w:eastAsiaTheme="minorHAnsi" w:hAnsi="Times" w:cs="Didot"/>
          <w:szCs w:val="24"/>
          <w:lang w:val="en-GB"/>
        </w:rPr>
        <w:t>. This holds true for the institutional aspect of the request (discussing how the timeframe fits together with the patient’s motives, the healthcare professionals’ motives, and the legislative context) as well as its implications for the relationships with loved ones and respecting the personal choices of the patient (deciding on the date, location, persons in attendance, and so on).</w:t>
      </w:r>
    </w:p>
    <w:p w14:paraId="30F5EF6D" w14:textId="77777777" w:rsidR="00CE4D6E" w:rsidRPr="003C5907" w:rsidRDefault="00CE4D6E" w:rsidP="00CE4D6E">
      <w:pPr>
        <w:pStyle w:val="NoSpacing"/>
        <w:spacing w:line="360" w:lineRule="auto"/>
        <w:rPr>
          <w:rFonts w:ascii="Times" w:hAnsi="Times"/>
          <w:szCs w:val="24"/>
          <w:lang w:val="en-GB"/>
        </w:rPr>
      </w:pPr>
    </w:p>
    <w:p w14:paraId="65EEFD0A" w14:textId="54327DC1" w:rsidR="00CE4D6E" w:rsidRPr="003C5907" w:rsidRDefault="009173E5" w:rsidP="00A20992">
      <w:pPr>
        <w:pStyle w:val="NoSpacing"/>
        <w:spacing w:line="360" w:lineRule="auto"/>
        <w:rPr>
          <w:rFonts w:ascii="Times" w:hAnsi="Times" w:cs="Calibri"/>
          <w:szCs w:val="24"/>
          <w:lang w:val="en-CA"/>
        </w:rPr>
      </w:pPr>
      <w:r w:rsidRPr="003C5907">
        <w:rPr>
          <w:rFonts w:ascii="Times" w:hAnsi="Times" w:cs="Calibri"/>
          <w:szCs w:val="24"/>
          <w:lang w:val="en-CA"/>
        </w:rPr>
        <w:t>In the course of these meetings</w:t>
      </w:r>
      <w:r w:rsidR="00CE4D6E" w:rsidRPr="003C5907">
        <w:rPr>
          <w:rFonts w:ascii="Times" w:hAnsi="Times" w:cs="Calibri"/>
          <w:szCs w:val="24"/>
          <w:lang w:val="en-CA"/>
        </w:rPr>
        <w:t xml:space="preserve">, the physician explained to Annabel the sequence of medico-legal stages that she would have to go through, </w:t>
      </w:r>
      <w:r w:rsidR="00A20992" w:rsidRPr="003C5907">
        <w:rPr>
          <w:rFonts w:ascii="Times" w:hAnsi="Times" w:cs="Calibri"/>
          <w:szCs w:val="24"/>
          <w:lang w:val="en-CA"/>
        </w:rPr>
        <w:t>some of which were liable to cause her distress or discomfort</w:t>
      </w:r>
      <w:r w:rsidR="00CE4D6E" w:rsidRPr="003C5907">
        <w:rPr>
          <w:rFonts w:ascii="Times" w:hAnsi="Times" w:cs="Calibri"/>
          <w:szCs w:val="24"/>
          <w:lang w:val="en-CA"/>
        </w:rPr>
        <w:t xml:space="preserve">. </w:t>
      </w:r>
      <w:r w:rsidRPr="003C5907">
        <w:rPr>
          <w:rFonts w:ascii="Times" w:hAnsi="Times" w:cs="Calibri"/>
          <w:szCs w:val="24"/>
          <w:lang w:val="en-CA"/>
        </w:rPr>
        <w:t>Indeed</w:t>
      </w:r>
      <w:r w:rsidR="00CE4D6E" w:rsidRPr="003C5907">
        <w:rPr>
          <w:rFonts w:ascii="Times" w:hAnsi="Times" w:cs="Calibri"/>
          <w:szCs w:val="24"/>
          <w:lang w:val="en-CA"/>
        </w:rPr>
        <w:t>, although Annabell emphasized the “humanizing” nature of her contact with the Belgian physicians, her physical condition exhausted her and bolstered the urgency of her request. In this kind of situation, the patient and the physician may hold quite different assessments of the “right” timing for carrying out the request:</w:t>
      </w:r>
    </w:p>
    <w:p w14:paraId="1C6E5DAC" w14:textId="77777777" w:rsidR="00CE4D6E" w:rsidRPr="003C5907" w:rsidRDefault="00CE4D6E" w:rsidP="00CE4D6E">
      <w:pPr>
        <w:pStyle w:val="NoSpacing"/>
        <w:spacing w:line="360" w:lineRule="auto"/>
        <w:rPr>
          <w:rFonts w:ascii="Times" w:hAnsi="Times" w:cs="Calibri"/>
          <w:szCs w:val="24"/>
          <w:lang w:val="en-CA"/>
        </w:rPr>
      </w:pPr>
    </w:p>
    <w:p w14:paraId="510C5EAF" w14:textId="77777777" w:rsidR="00CE4D6E" w:rsidRPr="003C5907" w:rsidRDefault="00CE4D6E" w:rsidP="00CE4D6E">
      <w:pPr>
        <w:ind w:left="708"/>
        <w:jc w:val="both"/>
        <w:rPr>
          <w:rFonts w:ascii="Times" w:hAnsi="Times"/>
          <w:lang w:val="en-CA"/>
        </w:rPr>
      </w:pPr>
      <w:r w:rsidRPr="003C5907">
        <w:rPr>
          <w:rFonts w:ascii="Times" w:hAnsi="Times" w:cs="Calibri"/>
          <w:lang w:val="en-CA"/>
        </w:rPr>
        <w:t>“It’s a very humane way to die. I think that dying any other way would be dehumanized. (…). The only thing is (…) that you have to see one doctor, then you have to see another. Many doctors saw me before finally making the decision. But I’ve been ready for a long time. I’m ready for tomorrow, but tomorrow, for example, is Saturday, so it can’t happen here</w:t>
      </w:r>
      <w:r w:rsidRPr="003C5907">
        <w:rPr>
          <w:rStyle w:val="FootnoteReference"/>
          <w:rFonts w:ascii="Times" w:hAnsi="Times" w:cs="Calibri"/>
          <w:lang w:val="en-CA"/>
        </w:rPr>
        <w:footnoteReference w:id="8"/>
      </w:r>
      <w:r w:rsidRPr="003C5907">
        <w:rPr>
          <w:rFonts w:ascii="Times" w:hAnsi="Times" w:cs="Calibri"/>
          <w:lang w:val="en-CA"/>
        </w:rPr>
        <w:t xml:space="preserve"> (…). But I’ve been ready for a long time.” (interview excerpt)</w:t>
      </w:r>
    </w:p>
    <w:p w14:paraId="62993930" w14:textId="77777777" w:rsidR="00CE4D6E" w:rsidRPr="003C5907" w:rsidRDefault="00CE4D6E" w:rsidP="00CE4D6E">
      <w:pPr>
        <w:pStyle w:val="NoSpacing"/>
        <w:spacing w:line="360" w:lineRule="auto"/>
        <w:rPr>
          <w:rFonts w:ascii="Times" w:eastAsia="Calibri" w:hAnsi="Times"/>
          <w:szCs w:val="24"/>
          <w:lang w:val="en-CA"/>
        </w:rPr>
      </w:pPr>
    </w:p>
    <w:p w14:paraId="2B33C992" w14:textId="77777777" w:rsidR="00CE4D6E" w:rsidRPr="003C5907" w:rsidRDefault="00CE4D6E" w:rsidP="00CE4D6E">
      <w:pPr>
        <w:pStyle w:val="NoSpacing"/>
        <w:spacing w:line="360" w:lineRule="auto"/>
        <w:rPr>
          <w:rFonts w:ascii="Times" w:hAnsi="Times" w:cs="Calibri"/>
          <w:szCs w:val="24"/>
          <w:lang w:val="en-CA"/>
        </w:rPr>
      </w:pPr>
      <w:r w:rsidRPr="003C5907">
        <w:rPr>
          <w:rFonts w:ascii="Times" w:hAnsi="Times" w:cs="Calibri"/>
          <w:szCs w:val="24"/>
          <w:lang w:val="en-CA"/>
        </w:rPr>
        <w:t xml:space="preserve">While Annabell developed a very strong relationship with her attending physician and also had the opportunity to discuss her situation with other doctors in Belgium specializing in her condition, she never met the members of the healthcare team in the hospital where the euthanasia would be performed some ten days following her admission. During their rounds </w:t>
      </w:r>
      <w:r w:rsidRPr="003C5907">
        <w:rPr>
          <w:rFonts w:ascii="Times" w:hAnsi="Times" w:cs="Calibri"/>
          <w:szCs w:val="24"/>
          <w:lang w:val="en-CA"/>
        </w:rPr>
        <w:lastRenderedPageBreak/>
        <w:t xml:space="preserve">and clinical meetings in previous days, staff members may have occasionally discussed the difficulties they experienced with these transfers from abroad. However, the following excerpt focuses more on the personality of the patient, who refused the pain relief and relational support the nurses had offered her. This provides some insight into the issue of late transfers arranged specifically for cases of euthanasia (whose stakes go well beyond the individual situations of patients coming from abroad, since similar discussions also occur in the case of patients transferred from other units or other hospitals within Belgium). It further highlights the tensions surrounding professional cooperation in the care preceding the actual euthanasia. The team complained about not having had the opportunity to “get to know” the patient, at least not for as long as the attending physician, who had met with her on a number of occasions in the preceding months. </w:t>
      </w:r>
    </w:p>
    <w:p w14:paraId="7CC8A56D" w14:textId="77777777" w:rsidR="00CE4D6E" w:rsidRPr="003C5907" w:rsidRDefault="00CE4D6E" w:rsidP="00CE4D6E">
      <w:pPr>
        <w:pStyle w:val="ListParagraph"/>
        <w:autoSpaceDE w:val="0"/>
        <w:autoSpaceDN w:val="0"/>
        <w:adjustRightInd w:val="0"/>
        <w:ind w:right="561"/>
        <w:jc w:val="both"/>
        <w:rPr>
          <w:rFonts w:ascii="Times" w:hAnsi="Times" w:cs="Calibri"/>
          <w:iCs/>
          <w:lang w:val="en-CA"/>
        </w:rPr>
      </w:pPr>
    </w:p>
    <w:p w14:paraId="2D88D124" w14:textId="77777777" w:rsidR="00126CF1" w:rsidRPr="003C5907" w:rsidRDefault="00126CF1" w:rsidP="00126CF1">
      <w:pPr>
        <w:autoSpaceDE w:val="0"/>
        <w:autoSpaceDN w:val="0"/>
        <w:adjustRightInd w:val="0"/>
        <w:ind w:left="720" w:right="561"/>
        <w:contextualSpacing/>
        <w:jc w:val="both"/>
        <w:rPr>
          <w:rFonts w:ascii="Times" w:eastAsia="Calibri" w:hAnsi="Times" w:cs="Times"/>
          <w:lang w:val="en-US" w:eastAsia="en-US"/>
        </w:rPr>
      </w:pPr>
      <w:r w:rsidRPr="003C5907">
        <w:rPr>
          <w:rFonts w:ascii="Times" w:eastAsia="Calibri" w:hAnsi="Times" w:cs="Calibri"/>
          <w:i/>
          <w:lang w:val="en-CA" w:eastAsia="en-US"/>
        </w:rPr>
        <w:t>Head nurse</w:t>
      </w:r>
      <w:r w:rsidRPr="003C5907">
        <w:rPr>
          <w:rFonts w:ascii="Times" w:eastAsia="Calibri" w:hAnsi="Times" w:cs="Calibri"/>
          <w:iCs/>
          <w:lang w:val="en-CA" w:eastAsia="en-US"/>
        </w:rPr>
        <w:t xml:space="preserve">: This lady, she doesn’t let us in. People don’t all open up in the same way (…), but she doesn’t open up at all. She’s just here for her euthanasia. She hasn’t come for anything else. You even have to negotiate for her pain relief medication. </w:t>
      </w:r>
      <w:r w:rsidRPr="003C5907">
        <w:rPr>
          <w:rFonts w:ascii="Times" w:eastAsia="Calibri" w:hAnsi="Times" w:cs="Calibri"/>
          <w:iCs/>
          <w:lang w:val="en-US" w:eastAsia="en-US"/>
        </w:rPr>
        <w:t>(…). She’s quite an odd personality</w:t>
      </w:r>
      <w:r w:rsidRPr="003C5907">
        <w:rPr>
          <w:rFonts w:ascii="Times" w:eastAsia="Calibri" w:hAnsi="Times" w:cs="Calibri"/>
          <w:lang w:val="en-US" w:eastAsia="en-US"/>
        </w:rPr>
        <w:t>.</w:t>
      </w:r>
    </w:p>
    <w:p w14:paraId="74CC0A7F" w14:textId="77777777" w:rsidR="00126CF1" w:rsidRPr="003C5907" w:rsidRDefault="00126CF1" w:rsidP="00126CF1">
      <w:pPr>
        <w:autoSpaceDE w:val="0"/>
        <w:autoSpaceDN w:val="0"/>
        <w:adjustRightInd w:val="0"/>
        <w:ind w:left="720" w:right="561"/>
        <w:contextualSpacing/>
        <w:jc w:val="both"/>
        <w:rPr>
          <w:rFonts w:ascii="Times" w:eastAsia="Calibri" w:hAnsi="Times" w:cs="Calibri"/>
          <w:lang w:val="en-GB" w:eastAsia="en-US"/>
        </w:rPr>
      </w:pPr>
      <w:r w:rsidRPr="003C5907">
        <w:rPr>
          <w:rFonts w:ascii="Times" w:eastAsia="Calibri" w:hAnsi="Times" w:cs="Calibri"/>
          <w:i/>
          <w:lang w:val="en-CA" w:eastAsia="en-US"/>
        </w:rPr>
        <w:t>Attending physician</w:t>
      </w:r>
      <w:r w:rsidRPr="003C5907">
        <w:rPr>
          <w:rFonts w:ascii="Times" w:eastAsia="Calibri" w:hAnsi="Times" w:cs="Calibri"/>
          <w:iCs/>
          <w:lang w:val="en-CA" w:eastAsia="en-US"/>
        </w:rPr>
        <w:t xml:space="preserve">: We’re all odd, including you and me. Her situation’s been like this for months. It goes on, it gets worse, she has no way out. If we don’t </w:t>
      </w:r>
      <w:r w:rsidRPr="003C5907">
        <w:rPr>
          <w:rFonts w:ascii="Times" w:eastAsia="Calibri" w:hAnsi="Times" w:cs="Calibri"/>
          <w:lang w:val="en-GB" w:eastAsia="en-US"/>
        </w:rPr>
        <w:t>[help her], then who will, in her situation?</w:t>
      </w:r>
    </w:p>
    <w:p w14:paraId="52BBA1B9" w14:textId="77777777" w:rsidR="00126CF1" w:rsidRPr="003C5907" w:rsidRDefault="00126CF1" w:rsidP="00126CF1">
      <w:pPr>
        <w:autoSpaceDE w:val="0"/>
        <w:autoSpaceDN w:val="0"/>
        <w:adjustRightInd w:val="0"/>
        <w:ind w:left="720" w:right="561"/>
        <w:contextualSpacing/>
        <w:jc w:val="both"/>
        <w:rPr>
          <w:rFonts w:ascii="Times" w:eastAsia="Calibri" w:hAnsi="Times" w:cs="Calibri"/>
          <w:iCs/>
          <w:lang w:val="en-GB" w:eastAsia="en-US"/>
        </w:rPr>
      </w:pPr>
      <w:r w:rsidRPr="003C5907">
        <w:rPr>
          <w:rFonts w:ascii="Times" w:eastAsia="Calibri" w:hAnsi="Times" w:cs="Calibri"/>
          <w:i/>
          <w:lang w:val="en-GB" w:eastAsia="en-US"/>
        </w:rPr>
        <w:t>Head nurse</w:t>
      </w:r>
      <w:r w:rsidRPr="003C5907">
        <w:rPr>
          <w:rFonts w:ascii="Times" w:eastAsia="Calibri" w:hAnsi="Times" w:cs="Calibri"/>
          <w:iCs/>
          <w:lang w:val="en-GB" w:eastAsia="en-US"/>
        </w:rPr>
        <w:t>: So we’re here to do what she wants. She’s manipulative.</w:t>
      </w:r>
    </w:p>
    <w:p w14:paraId="03380C27" w14:textId="77777777" w:rsidR="00126CF1" w:rsidRPr="003C5907" w:rsidRDefault="00126CF1" w:rsidP="00126CF1">
      <w:pPr>
        <w:autoSpaceDE w:val="0"/>
        <w:autoSpaceDN w:val="0"/>
        <w:adjustRightInd w:val="0"/>
        <w:ind w:left="720" w:right="561"/>
        <w:contextualSpacing/>
        <w:jc w:val="both"/>
        <w:rPr>
          <w:rFonts w:ascii="Times" w:eastAsia="Calibri" w:hAnsi="Times" w:cs="Calibri"/>
          <w:iCs/>
          <w:lang w:val="en-CA" w:eastAsia="en-US"/>
        </w:rPr>
      </w:pPr>
      <w:r w:rsidRPr="003C5907">
        <w:rPr>
          <w:rFonts w:ascii="Times" w:eastAsia="Calibri" w:hAnsi="Times" w:cs="Calibri"/>
          <w:i/>
          <w:lang w:val="en-CA" w:eastAsia="en-US"/>
        </w:rPr>
        <w:t>Attending physician</w:t>
      </w:r>
      <w:r w:rsidRPr="003C5907">
        <w:rPr>
          <w:rFonts w:ascii="Times" w:eastAsia="Calibri" w:hAnsi="Times" w:cs="Calibri"/>
          <w:iCs/>
          <w:lang w:val="en-CA" w:eastAsia="en-US"/>
        </w:rPr>
        <w:t>: You don’t have to feel sympathy for her. As a female lawyer friend of mine used to say, ‘If I had to feel sympathy for all the clients I defend, I wouldn’t have very many (smiles)…</w:t>
      </w:r>
    </w:p>
    <w:p w14:paraId="1836F4C2" w14:textId="77777777" w:rsidR="00126CF1" w:rsidRPr="003C5907" w:rsidRDefault="00126CF1" w:rsidP="00126CF1">
      <w:pPr>
        <w:autoSpaceDE w:val="0"/>
        <w:autoSpaceDN w:val="0"/>
        <w:adjustRightInd w:val="0"/>
        <w:ind w:left="720" w:right="561"/>
        <w:contextualSpacing/>
        <w:jc w:val="both"/>
        <w:rPr>
          <w:rFonts w:ascii="Times" w:eastAsia="Calibri" w:hAnsi="Times" w:cs="Calibri"/>
          <w:iCs/>
          <w:lang w:val="en-CA" w:eastAsia="en-US"/>
        </w:rPr>
      </w:pPr>
      <w:r w:rsidRPr="003C5907">
        <w:rPr>
          <w:rFonts w:ascii="Times" w:eastAsia="Calibri" w:hAnsi="Times" w:cs="Calibri"/>
          <w:i/>
          <w:lang w:val="en-CA" w:eastAsia="en-US"/>
        </w:rPr>
        <w:t>Another physician from the team</w:t>
      </w:r>
      <w:r w:rsidRPr="003C5907">
        <w:rPr>
          <w:rFonts w:ascii="Times" w:eastAsia="Calibri" w:hAnsi="Times" w:cs="Calibri"/>
          <w:iCs/>
          <w:lang w:val="en-CA" w:eastAsia="en-US"/>
        </w:rPr>
        <w:t>: I think this woman, she has no energy left to invest in anything. But it’s true that we have to avoid these kinds of situations from repeating themselves too often, because it’s hard on the team.</w:t>
      </w:r>
    </w:p>
    <w:p w14:paraId="0F587FFD" w14:textId="77777777" w:rsidR="00126CF1" w:rsidRPr="003C5907" w:rsidRDefault="00126CF1" w:rsidP="00126CF1">
      <w:pPr>
        <w:autoSpaceDE w:val="0"/>
        <w:autoSpaceDN w:val="0"/>
        <w:adjustRightInd w:val="0"/>
        <w:ind w:left="720" w:right="561"/>
        <w:contextualSpacing/>
        <w:jc w:val="both"/>
        <w:rPr>
          <w:rFonts w:ascii="Times" w:eastAsia="Calibri" w:hAnsi="Times" w:cs="Calibri"/>
          <w:iCs/>
          <w:lang w:val="en-CA" w:eastAsia="en-US"/>
        </w:rPr>
      </w:pPr>
      <w:r w:rsidRPr="003C5907">
        <w:rPr>
          <w:rFonts w:ascii="Times" w:eastAsia="Calibri" w:hAnsi="Times" w:cs="Calibri"/>
          <w:i/>
          <w:lang w:val="en-CA" w:eastAsia="en-US"/>
        </w:rPr>
        <w:t>Attending physician</w:t>
      </w:r>
      <w:r w:rsidRPr="003C5907">
        <w:rPr>
          <w:rFonts w:ascii="Times" w:eastAsia="Calibri" w:hAnsi="Times" w:cs="Calibri"/>
          <w:iCs/>
          <w:lang w:val="en-CA" w:eastAsia="en-US"/>
        </w:rPr>
        <w:t>: It’s exceptional, you know that. These are exceptional situations. Also, nobody’s forced to stay on…</w:t>
      </w:r>
    </w:p>
    <w:p w14:paraId="5132B84B" w14:textId="77777777" w:rsidR="00126CF1" w:rsidRPr="003C5907" w:rsidRDefault="00126CF1" w:rsidP="00126CF1">
      <w:pPr>
        <w:autoSpaceDE w:val="0"/>
        <w:autoSpaceDN w:val="0"/>
        <w:adjustRightInd w:val="0"/>
        <w:ind w:left="720" w:right="561"/>
        <w:contextualSpacing/>
        <w:jc w:val="both"/>
        <w:rPr>
          <w:rFonts w:ascii="Times" w:eastAsia="Calibri" w:hAnsi="Times" w:cs="Calibri"/>
          <w:iCs/>
          <w:lang w:val="en-CA" w:eastAsia="en-US"/>
        </w:rPr>
      </w:pPr>
      <w:r w:rsidRPr="003C5907">
        <w:rPr>
          <w:rFonts w:ascii="Times" w:eastAsia="Calibri" w:hAnsi="Times" w:cs="Calibri"/>
          <w:i/>
          <w:lang w:val="en-CA" w:eastAsia="en-US"/>
        </w:rPr>
        <w:t>Head nurse</w:t>
      </w:r>
      <w:r w:rsidRPr="003C5907">
        <w:rPr>
          <w:rFonts w:ascii="Times" w:eastAsia="Calibri" w:hAnsi="Times" w:cs="Calibri"/>
          <w:iCs/>
          <w:lang w:val="en-CA" w:eastAsia="en-US"/>
        </w:rPr>
        <w:t xml:space="preserve"> (interrupting): We’re still going to have to handle the body!</w:t>
      </w:r>
    </w:p>
    <w:p w14:paraId="21D4F59B" w14:textId="77777777" w:rsidR="00126CF1" w:rsidRPr="003C5907" w:rsidRDefault="00126CF1" w:rsidP="00126CF1">
      <w:pPr>
        <w:autoSpaceDE w:val="0"/>
        <w:autoSpaceDN w:val="0"/>
        <w:adjustRightInd w:val="0"/>
        <w:ind w:left="720" w:right="561"/>
        <w:contextualSpacing/>
        <w:jc w:val="both"/>
        <w:rPr>
          <w:rFonts w:ascii="Times" w:eastAsia="Calibri" w:hAnsi="Times" w:cs="Calibri"/>
          <w:iCs/>
          <w:lang w:val="en-CA" w:eastAsia="en-US"/>
        </w:rPr>
      </w:pPr>
      <w:r w:rsidRPr="003C5907">
        <w:rPr>
          <w:rFonts w:ascii="Times" w:eastAsia="Calibri" w:hAnsi="Times" w:cs="Calibri"/>
          <w:i/>
          <w:lang w:val="en-CA" w:eastAsia="en-US"/>
        </w:rPr>
        <w:t>Another physician on the team</w:t>
      </w:r>
      <w:r w:rsidRPr="003C5907">
        <w:rPr>
          <w:rFonts w:ascii="Times" w:eastAsia="Calibri" w:hAnsi="Times" w:cs="Calibri"/>
          <w:iCs/>
          <w:lang w:val="en-CA" w:eastAsia="en-US"/>
        </w:rPr>
        <w:t>: Yes, well, the physicians perform the act itself. You’re lucky to be spared that!</w:t>
      </w:r>
    </w:p>
    <w:p w14:paraId="01DF056B" w14:textId="77777777" w:rsidR="00126CF1" w:rsidRPr="003C5907" w:rsidRDefault="00126CF1" w:rsidP="00126CF1">
      <w:pPr>
        <w:autoSpaceDE w:val="0"/>
        <w:autoSpaceDN w:val="0"/>
        <w:adjustRightInd w:val="0"/>
        <w:ind w:left="720" w:right="561"/>
        <w:contextualSpacing/>
        <w:jc w:val="both"/>
        <w:rPr>
          <w:rFonts w:ascii="Times" w:eastAsia="Calibri" w:hAnsi="Times" w:cs="Calibri"/>
          <w:iCs/>
          <w:lang w:val="en-CA" w:eastAsia="en-US"/>
        </w:rPr>
      </w:pPr>
      <w:r w:rsidRPr="003C5907">
        <w:rPr>
          <w:rFonts w:ascii="Times" w:eastAsia="Calibri" w:hAnsi="Times" w:cs="Calibri"/>
          <w:i/>
          <w:lang w:val="en-CA" w:eastAsia="en-US"/>
        </w:rPr>
        <w:t>Attending physician</w:t>
      </w:r>
      <w:r w:rsidRPr="003C5907">
        <w:rPr>
          <w:rFonts w:ascii="Times" w:eastAsia="Calibri" w:hAnsi="Times" w:cs="Calibri"/>
          <w:iCs/>
          <w:lang w:val="en-CA" w:eastAsia="en-US"/>
        </w:rPr>
        <w:t>: It’s true that cleaning the body after death is, anyway, different from euthanasia…</w:t>
      </w:r>
    </w:p>
    <w:p w14:paraId="63DF7FA2" w14:textId="77777777" w:rsidR="00126CF1" w:rsidRPr="003C5907" w:rsidRDefault="00126CF1" w:rsidP="00126CF1">
      <w:pPr>
        <w:autoSpaceDE w:val="0"/>
        <w:autoSpaceDN w:val="0"/>
        <w:adjustRightInd w:val="0"/>
        <w:ind w:left="720" w:right="561"/>
        <w:contextualSpacing/>
        <w:jc w:val="both"/>
        <w:rPr>
          <w:rFonts w:ascii="Times" w:eastAsia="Calibri" w:hAnsi="Times" w:cs="Calibri"/>
          <w:iCs/>
          <w:lang w:val="en-CA" w:eastAsia="en-US"/>
        </w:rPr>
      </w:pPr>
      <w:r w:rsidRPr="003C5907">
        <w:rPr>
          <w:rFonts w:ascii="Times" w:eastAsia="Calibri" w:hAnsi="Times" w:cs="Calibri"/>
          <w:i/>
          <w:lang w:val="en-CA" w:eastAsia="en-US"/>
        </w:rPr>
        <w:t>Head nurse</w:t>
      </w:r>
      <w:r w:rsidRPr="003C5907">
        <w:rPr>
          <w:rFonts w:ascii="Times" w:eastAsia="Calibri" w:hAnsi="Times" w:cs="Calibri"/>
          <w:iCs/>
          <w:lang w:val="en-CA" w:eastAsia="en-US"/>
        </w:rPr>
        <w:t>: It’s hard on the team. You can’t do anything for her. She’s just here for her euthanasia.</w:t>
      </w:r>
    </w:p>
    <w:p w14:paraId="103058AD" w14:textId="440AB34D" w:rsidR="00126CF1" w:rsidRPr="003C5907" w:rsidRDefault="00126CF1" w:rsidP="00126CF1">
      <w:pPr>
        <w:autoSpaceDE w:val="0"/>
        <w:autoSpaceDN w:val="0"/>
        <w:adjustRightInd w:val="0"/>
        <w:ind w:left="720" w:right="561"/>
        <w:contextualSpacing/>
        <w:jc w:val="both"/>
        <w:rPr>
          <w:rFonts w:ascii="Times" w:eastAsia="Calibri" w:hAnsi="Times" w:cs="Calibri"/>
          <w:iCs/>
          <w:lang w:val="en-CA" w:eastAsia="en-US"/>
        </w:rPr>
      </w:pPr>
      <w:r w:rsidRPr="003C5907">
        <w:rPr>
          <w:rFonts w:ascii="Times" w:eastAsia="Calibri" w:hAnsi="Times" w:cs="Calibri"/>
          <w:i/>
          <w:lang w:val="en-CA" w:eastAsia="en-US"/>
        </w:rPr>
        <w:t>Attending physician</w:t>
      </w:r>
      <w:r w:rsidRPr="003C5907">
        <w:rPr>
          <w:rFonts w:ascii="Times" w:eastAsia="Calibri" w:hAnsi="Times" w:cs="Calibri"/>
          <w:iCs/>
          <w:lang w:val="en-CA" w:eastAsia="en-US"/>
        </w:rPr>
        <w:t>: We’re not going to debate this all over again. It’s exceptional. We’ll talk about it more later at the team meeting. (Excerpt from field notebook)</w:t>
      </w:r>
    </w:p>
    <w:p w14:paraId="0C4F4F0E" w14:textId="77777777" w:rsidR="00CE4D6E" w:rsidRPr="003C5907" w:rsidRDefault="00CE4D6E" w:rsidP="00CE4D6E">
      <w:pPr>
        <w:pStyle w:val="ListParagraph"/>
        <w:autoSpaceDE w:val="0"/>
        <w:autoSpaceDN w:val="0"/>
        <w:adjustRightInd w:val="0"/>
        <w:ind w:right="561"/>
        <w:jc w:val="both"/>
        <w:rPr>
          <w:rFonts w:ascii="Times" w:hAnsi="Times" w:cs="Calibri"/>
          <w:iCs/>
          <w:lang w:val="en-CA"/>
        </w:rPr>
      </w:pPr>
      <w:r w:rsidRPr="003C5907">
        <w:rPr>
          <w:rFonts w:ascii="Times" w:hAnsi="Times" w:cs="Calibri"/>
          <w:iCs/>
          <w:lang w:val="en-CA"/>
        </w:rPr>
        <w:t xml:space="preserve"> </w:t>
      </w:r>
    </w:p>
    <w:p w14:paraId="599878E4" w14:textId="77777777" w:rsidR="00CE4D6E" w:rsidRPr="003C5907" w:rsidRDefault="00CE4D6E" w:rsidP="00CE4D6E">
      <w:pPr>
        <w:spacing w:line="360" w:lineRule="auto"/>
        <w:jc w:val="both"/>
        <w:rPr>
          <w:rFonts w:ascii="Times" w:eastAsia="Calibri" w:hAnsi="Times"/>
          <w:lang w:val="en-CA"/>
        </w:rPr>
      </w:pPr>
      <w:r w:rsidRPr="003C5907">
        <w:rPr>
          <w:rFonts w:ascii="Times" w:eastAsia="Calibri" w:hAnsi="Times"/>
          <w:lang w:val="en-CA"/>
        </w:rPr>
        <w:t xml:space="preserve">This exchange also shows how these tensions persist through the division of care work, “otherwise people are left with their frustrations, even if I do know that it’s hard on the doctor, it’s hard on everybody,” as the head nurse told us at the end of the meeting. The attending physician would be challenged by the healthcare team about its weak relationship </w:t>
      </w:r>
      <w:r w:rsidRPr="003C5907">
        <w:rPr>
          <w:rFonts w:ascii="Times" w:eastAsia="Calibri" w:hAnsi="Times"/>
          <w:lang w:val="en-CA"/>
        </w:rPr>
        <w:lastRenderedPageBreak/>
        <w:t xml:space="preserve">with the patient up until the day before the procedure. For example, some nurses believed that the patient had children, who had not been informed of her decision. </w:t>
      </w:r>
    </w:p>
    <w:p w14:paraId="4962B47E" w14:textId="77777777" w:rsidR="00CE4D6E" w:rsidRPr="003C5907" w:rsidRDefault="00CE4D6E" w:rsidP="00CE4D6E">
      <w:pPr>
        <w:autoSpaceDE w:val="0"/>
        <w:autoSpaceDN w:val="0"/>
        <w:adjustRightInd w:val="0"/>
        <w:ind w:left="708" w:right="561"/>
        <w:jc w:val="both"/>
        <w:rPr>
          <w:rFonts w:ascii="Times" w:hAnsi="Times" w:cs="Calibri"/>
          <w:lang w:val="en-CA"/>
        </w:rPr>
      </w:pPr>
    </w:p>
    <w:p w14:paraId="6AB334AA" w14:textId="77777777" w:rsidR="00CE4D6E" w:rsidRPr="003C5907" w:rsidRDefault="00CE4D6E" w:rsidP="00CE4D6E">
      <w:pPr>
        <w:autoSpaceDE w:val="0"/>
        <w:autoSpaceDN w:val="0"/>
        <w:adjustRightInd w:val="0"/>
        <w:ind w:left="708" w:right="561"/>
        <w:jc w:val="both"/>
        <w:rPr>
          <w:rFonts w:ascii="Times" w:hAnsi="Times" w:cs="Calibri"/>
          <w:lang w:val="en-CA"/>
        </w:rPr>
      </w:pPr>
      <w:r w:rsidRPr="003C5907">
        <w:rPr>
          <w:rFonts w:ascii="Times" w:hAnsi="Times" w:cs="Calibri"/>
          <w:lang w:val="en-CA"/>
        </w:rPr>
        <w:t xml:space="preserve">“My parents have not been informed. They’re too old. They’ll learn the news when they have to. (…). Fortunately, I’ve got my husband who can make this decision. I don’t know if there are people who come here on their own to make this decision. Are there people on their own here? </w:t>
      </w:r>
      <w:r w:rsidRPr="003C5907">
        <w:rPr>
          <w:rFonts w:ascii="Times" w:hAnsi="Times" w:cs="Calibri"/>
          <w:i/>
          <w:iCs/>
          <w:lang w:val="en-CA"/>
        </w:rPr>
        <w:t>That</w:t>
      </w:r>
      <w:r w:rsidRPr="003C5907">
        <w:rPr>
          <w:rFonts w:ascii="Times" w:hAnsi="Times" w:cs="Calibri"/>
          <w:lang w:val="en-CA"/>
        </w:rPr>
        <w:t xml:space="preserve"> must be hard. I feel very protected, it really helps to calm me down. At night he stays here. Before he used to stay with his friends, but now it helps me to know that he’s here. He’ll be all alone in the end. I also had my in-laws who were going to come, but they </w:t>
      </w:r>
      <w:r w:rsidRPr="003C5907">
        <w:rPr>
          <w:rFonts w:ascii="Times" w:hAnsi="Times" w:cs="Calibri"/>
          <w:lang w:val="en-GB"/>
        </w:rPr>
        <w:t>[can’t at that time] (…). I said I don’t want to change the date, I’ve got it already. So it’ll just be the two of us (…). It’ll be a good date.” (interview excerpt)</w:t>
      </w:r>
    </w:p>
    <w:p w14:paraId="77F8575D" w14:textId="77777777" w:rsidR="00CE4D6E" w:rsidRPr="003C5907" w:rsidRDefault="00CE4D6E" w:rsidP="00CE4D6E">
      <w:pPr>
        <w:jc w:val="both"/>
        <w:rPr>
          <w:rFonts w:ascii="Times" w:eastAsia="Calibri" w:hAnsi="Times"/>
          <w:lang w:val="en-CA"/>
        </w:rPr>
      </w:pPr>
    </w:p>
    <w:p w14:paraId="0D3C836C" w14:textId="3F85D5A2" w:rsidR="00CE4D6E" w:rsidRPr="003C5907" w:rsidRDefault="00CE4D6E" w:rsidP="00CE4D6E">
      <w:pPr>
        <w:spacing w:line="360" w:lineRule="auto"/>
        <w:jc w:val="both"/>
        <w:rPr>
          <w:rFonts w:ascii="Times" w:eastAsia="Calibri" w:hAnsi="Times"/>
          <w:lang w:val="en-GB"/>
        </w:rPr>
      </w:pPr>
      <w:r w:rsidRPr="003C5907">
        <w:rPr>
          <w:rFonts w:ascii="Times" w:eastAsia="Calibri" w:hAnsi="Times"/>
          <w:lang w:val="en-GB"/>
        </w:rPr>
        <w:t>The issue of getting the family ready for bereavement is here questioned by the team</w:t>
      </w:r>
      <w:r w:rsidR="00126CF1" w:rsidRPr="003C5907">
        <w:rPr>
          <w:rFonts w:ascii="Times" w:eastAsia="Calibri" w:hAnsi="Times"/>
          <w:lang w:val="en-GB"/>
        </w:rPr>
        <w:t xml:space="preserve"> </w:t>
      </w:r>
      <w:r w:rsidR="00111A45" w:rsidRPr="003C5907">
        <w:rPr>
          <w:rFonts w:ascii="Times" w:eastAsia="Calibri" w:hAnsi="Times"/>
          <w:lang w:val="en-GB"/>
        </w:rPr>
        <w:t>who had only been able to meet Annabell’s husband</w:t>
      </w:r>
      <w:r w:rsidRPr="003C5907">
        <w:rPr>
          <w:rFonts w:ascii="Times" w:eastAsia="Calibri" w:hAnsi="Times"/>
          <w:lang w:val="en-GB"/>
        </w:rPr>
        <w:t xml:space="preserve">: “Euthanasia is never a cheerful time, but it’s easier, so to speak, when you know the family; but here the team was afraid there might be family secrets” (nurse, field notes). For his part, the doctor regretted having to bring this up all over again with the patient and her spouse until the very day of the euthanasia, mostly to ease tensions in the healthcare team: </w:t>
      </w:r>
    </w:p>
    <w:p w14:paraId="658A8ACB" w14:textId="77777777" w:rsidR="00CE4D6E" w:rsidRPr="003C5907" w:rsidRDefault="00CE4D6E" w:rsidP="00CE4D6E">
      <w:pPr>
        <w:pStyle w:val="NoSpacing"/>
        <w:rPr>
          <w:rFonts w:ascii="Times" w:eastAsia="Calibri" w:hAnsi="Times"/>
          <w:szCs w:val="24"/>
          <w:lang w:val="en-CA"/>
        </w:rPr>
      </w:pPr>
    </w:p>
    <w:p w14:paraId="0EFB6F4E" w14:textId="5268CB6F" w:rsidR="00CE4D6E" w:rsidRPr="003C5907" w:rsidRDefault="00CE4D6E" w:rsidP="00CE4D6E">
      <w:pPr>
        <w:pStyle w:val="NoSpacing"/>
        <w:ind w:left="708"/>
        <w:rPr>
          <w:rFonts w:ascii="Times" w:eastAsia="Calibri" w:hAnsi="Times"/>
          <w:szCs w:val="24"/>
          <w:lang w:val="en-CA"/>
        </w:rPr>
      </w:pPr>
      <w:r w:rsidRPr="003C5907">
        <w:rPr>
          <w:rFonts w:ascii="Times" w:eastAsia="Calibri" w:hAnsi="Times"/>
          <w:szCs w:val="24"/>
          <w:lang w:val="en-CA"/>
        </w:rPr>
        <w:t xml:space="preserve">“I had to go see them this morning to discuss </w:t>
      </w:r>
      <w:r w:rsidR="00111A45" w:rsidRPr="003C5907">
        <w:rPr>
          <w:rFonts w:ascii="Times" w:eastAsia="Calibri" w:hAnsi="Times"/>
          <w:szCs w:val="24"/>
          <w:lang w:val="en-CA"/>
        </w:rPr>
        <w:t xml:space="preserve">information </w:t>
      </w:r>
      <w:r w:rsidR="00126CF1" w:rsidRPr="003C5907">
        <w:rPr>
          <w:rFonts w:ascii="Times" w:eastAsia="Calibri" w:hAnsi="Times"/>
          <w:szCs w:val="24"/>
          <w:lang w:val="en-CA"/>
        </w:rPr>
        <w:t xml:space="preserve">to be </w:t>
      </w:r>
      <w:r w:rsidR="00111A45" w:rsidRPr="003C5907">
        <w:rPr>
          <w:rFonts w:ascii="Times" w:eastAsia="Calibri" w:hAnsi="Times"/>
          <w:szCs w:val="24"/>
          <w:lang w:val="en-CA"/>
        </w:rPr>
        <w:t>provided to any children</w:t>
      </w:r>
      <w:r w:rsidRPr="003C5907">
        <w:rPr>
          <w:rFonts w:ascii="Times" w:eastAsia="Calibri" w:hAnsi="Times"/>
          <w:szCs w:val="24"/>
          <w:lang w:val="en-CA"/>
        </w:rPr>
        <w:t xml:space="preserve">. I knew very well that she didn’t have any children, she’d told me so, but I had to check because, clearly, I would’ve been embarrassed if that’d been the case. Well, it turns out they’re the children of her partner, and she’s entitled to talk about it to whomever she wants (…). It’s a good example of all the ways to discourage going through with the act. Her husband was stunned that I brought this up again, and that I understand” (field notes). </w:t>
      </w:r>
    </w:p>
    <w:p w14:paraId="5EE9C9D8" w14:textId="77777777" w:rsidR="00CE4D6E" w:rsidRPr="003C5907" w:rsidRDefault="00CE4D6E" w:rsidP="00CE4D6E">
      <w:pPr>
        <w:spacing w:line="360" w:lineRule="auto"/>
        <w:jc w:val="both"/>
        <w:rPr>
          <w:rFonts w:ascii="Times" w:hAnsi="Times"/>
          <w:lang w:val="en-CA"/>
        </w:rPr>
      </w:pPr>
    </w:p>
    <w:p w14:paraId="49F13A63" w14:textId="77777777" w:rsidR="00CE4D6E" w:rsidRPr="003C5907" w:rsidRDefault="00CE4D6E" w:rsidP="00CE4D6E">
      <w:pPr>
        <w:spacing w:line="360" w:lineRule="auto"/>
        <w:jc w:val="both"/>
        <w:rPr>
          <w:rFonts w:ascii="Times" w:eastAsia="Calibri" w:hAnsi="Times"/>
          <w:lang w:val="en-CA"/>
        </w:rPr>
      </w:pPr>
      <w:r w:rsidRPr="003C5907">
        <w:rPr>
          <w:rFonts w:ascii="Times" w:eastAsia="Calibri" w:hAnsi="Times"/>
          <w:lang w:val="en-CA"/>
        </w:rPr>
        <w:t xml:space="preserve">The psychologist who worked with Annabell was also present to offer support during team debates. She continued to be monitored by a psychologist in her own country with whom she kept in touch by phone, while the psychologist in Belgium met with her several times and stated that he had “no problem” with Annabell’s request, which he considered to have been “well-thought-out for quite some time and had been discussed with her husband for months. He, however, may need some help because he is right on the edge” (field notes). The psychologist would be present in the room during the euthanasia to support Annabell’s spouse. After carrying through with the gesture, consisting of an anaesthetic overdose of barbiturates – and, in some cases, if death had not occurred in a few minutes, the injection of a paralyzing neuromuscular agent to cause a cardio-respiratory arrest, – the nurses then washed Annabell’s body for the last time before it was transported to the hospital morgue. It </w:t>
      </w:r>
      <w:r w:rsidRPr="003C5907">
        <w:rPr>
          <w:rFonts w:ascii="Times" w:eastAsia="Calibri" w:hAnsi="Times"/>
          <w:lang w:val="en-CA"/>
        </w:rPr>
        <w:lastRenderedPageBreak/>
        <w:t xml:space="preserve">would be incinerated thereafter, and the ashes transported to her home country, according to her wishes. </w:t>
      </w:r>
    </w:p>
    <w:p w14:paraId="4659B66A" w14:textId="77777777" w:rsidR="00CE4D6E" w:rsidRPr="003C5907" w:rsidRDefault="00CE4D6E" w:rsidP="00CE4D6E">
      <w:pPr>
        <w:spacing w:line="360" w:lineRule="auto"/>
        <w:jc w:val="both"/>
        <w:rPr>
          <w:rFonts w:ascii="Times" w:eastAsia="Calibri" w:hAnsi="Times"/>
          <w:lang w:val="en-CA"/>
        </w:rPr>
      </w:pPr>
    </w:p>
    <w:p w14:paraId="7AB7E129" w14:textId="77777777" w:rsidR="00CE4D6E" w:rsidRPr="003C5907" w:rsidRDefault="00CE4D6E" w:rsidP="00CE4D6E">
      <w:pPr>
        <w:spacing w:line="360" w:lineRule="auto"/>
        <w:jc w:val="both"/>
        <w:rPr>
          <w:rFonts w:ascii="Times" w:eastAsia="Calibri" w:hAnsi="Times"/>
          <w:lang w:val="en-CA"/>
        </w:rPr>
      </w:pPr>
      <w:r w:rsidRPr="003C5907">
        <w:rPr>
          <w:rFonts w:ascii="Times" w:eastAsia="Calibri" w:hAnsi="Times"/>
          <w:lang w:val="en-CA"/>
        </w:rPr>
        <w:t>Unlike the Swiss case described below, no coroner’s report is necessary in the case of euthanasia. The usual declaration of death indicates “natural causes” and identifies the pathology justifying the use of euthanasia</w:t>
      </w:r>
      <w:r w:rsidRPr="003C5907">
        <w:rPr>
          <w:rStyle w:val="FootnoteReference"/>
          <w:rFonts w:ascii="Times" w:eastAsia="Calibri" w:hAnsi="Times"/>
          <w:lang w:val="en-CA"/>
        </w:rPr>
        <w:footnoteReference w:id="9"/>
      </w:r>
      <w:r w:rsidRPr="003C5907">
        <w:rPr>
          <w:rFonts w:ascii="Times" w:eastAsia="Calibri" w:hAnsi="Times"/>
          <w:lang w:val="en-CA"/>
        </w:rPr>
        <w:t>. A “euthanasia registry document,” comprised of a first confidential report (only to be opened in case of requests for further information) and a second anonymized fact sheet, must be completed by the physician and sent within four working days to the Federal Commission for Control and Evaluation of Euthanasia (CFCEE). The commission is responsible for checking for any irregularities and, if necessary, sending reports to the Crown prosecutor</w:t>
      </w:r>
      <w:r w:rsidRPr="003C5907">
        <w:rPr>
          <w:rStyle w:val="FootnoteReference"/>
          <w:rFonts w:ascii="Times" w:eastAsia="Calibri" w:hAnsi="Times"/>
          <w:lang w:val="en-CA"/>
        </w:rPr>
        <w:footnoteReference w:id="10"/>
      </w:r>
      <w:r w:rsidRPr="003C5907">
        <w:rPr>
          <w:rFonts w:ascii="Times" w:eastAsia="Calibri" w:hAnsi="Times"/>
          <w:lang w:val="en-CA"/>
        </w:rPr>
        <w:t xml:space="preserve">. </w:t>
      </w:r>
    </w:p>
    <w:p w14:paraId="7B45EE3B" w14:textId="77777777" w:rsidR="00CE4D6E" w:rsidRPr="003C5907" w:rsidRDefault="00CE4D6E" w:rsidP="00CE4D6E">
      <w:pPr>
        <w:spacing w:line="360" w:lineRule="auto"/>
        <w:jc w:val="both"/>
        <w:rPr>
          <w:rFonts w:ascii="Times" w:eastAsia="Calibri" w:hAnsi="Times"/>
          <w:lang w:val="en-CA"/>
        </w:rPr>
      </w:pPr>
    </w:p>
    <w:p w14:paraId="44D155E1" w14:textId="11018D4B" w:rsidR="00CE4D6E" w:rsidRPr="003C5907" w:rsidRDefault="00CE4D6E" w:rsidP="00511DBE">
      <w:pPr>
        <w:spacing w:line="360" w:lineRule="auto"/>
        <w:jc w:val="both"/>
        <w:rPr>
          <w:rFonts w:ascii="Times" w:hAnsi="Times"/>
          <w:lang w:val="en-CA"/>
        </w:rPr>
      </w:pPr>
      <w:r w:rsidRPr="003C5907">
        <w:rPr>
          <w:rFonts w:ascii="Times" w:hAnsi="Times" w:cs="Didot"/>
          <w:lang w:val="en-CA"/>
        </w:rPr>
        <w:t xml:space="preserve">This report represents the final act in the relationship between doctor and patient, </w:t>
      </w:r>
      <w:r w:rsidR="000D0738" w:rsidRPr="003C5907">
        <w:rPr>
          <w:rFonts w:ascii="Times" w:hAnsi="Times" w:cs="Didot"/>
          <w:lang w:val="en-CA"/>
        </w:rPr>
        <w:t>and</w:t>
      </w:r>
      <w:r w:rsidRPr="003C5907">
        <w:rPr>
          <w:rFonts w:ascii="Times" w:hAnsi="Times" w:cs="Didot"/>
          <w:lang w:val="en-CA"/>
        </w:rPr>
        <w:t xml:space="preserve"> brings closure to the deliberations within the healthcare team and the exchanges with family members. Euthanasia has, in fact, been the subject of much debate in that it fully engages one’s conception of self and the innermost convictions of all professionals and non-professionals concerned. This debate unfolds in the context of “making the experience of death more intimate,” put forth by Déchaux (2001), where one’s subjective experience is central to achieving a “good” death. However, it can also be viewed from the perspective of Foucault’s analysis of contemporary governmentality, where the patient moves through the expression of subjectivities that are constructed within very </w:t>
      </w:r>
      <w:r w:rsidR="00511DBE" w:rsidRPr="003C5907">
        <w:rPr>
          <w:rFonts w:ascii="Times" w:hAnsi="Times" w:cs="Didot"/>
          <w:lang w:val="en-CA"/>
        </w:rPr>
        <w:t>active</w:t>
      </w:r>
      <w:r w:rsidRPr="003C5907">
        <w:rPr>
          <w:rFonts w:ascii="Times" w:hAnsi="Times" w:cs="Didot"/>
          <w:lang w:val="en-CA"/>
        </w:rPr>
        <w:t xml:space="preserve"> normative apparatuses. </w:t>
      </w:r>
    </w:p>
    <w:p w14:paraId="2DD869BD" w14:textId="77777777" w:rsidR="00CE4D6E" w:rsidRPr="003C5907" w:rsidRDefault="00CE4D6E" w:rsidP="00CE4D6E">
      <w:pPr>
        <w:spacing w:line="360" w:lineRule="auto"/>
        <w:jc w:val="both"/>
        <w:rPr>
          <w:rFonts w:ascii="Times" w:hAnsi="Times"/>
          <w:lang w:val="en-CA"/>
        </w:rPr>
      </w:pPr>
    </w:p>
    <w:p w14:paraId="625D38B2" w14:textId="7D6996B3" w:rsidR="00CE4D6E" w:rsidRPr="003C5907" w:rsidRDefault="00CE4D6E" w:rsidP="00511DBE">
      <w:pPr>
        <w:pStyle w:val="ListParagraph"/>
        <w:numPr>
          <w:ilvl w:val="0"/>
          <w:numId w:val="12"/>
        </w:numPr>
        <w:spacing w:line="360" w:lineRule="auto"/>
        <w:jc w:val="both"/>
        <w:rPr>
          <w:rFonts w:ascii="Times" w:hAnsi="Times"/>
          <w:b/>
          <w:i/>
          <w:lang w:val="en-CA"/>
        </w:rPr>
      </w:pPr>
      <w:r w:rsidRPr="003C5907">
        <w:rPr>
          <w:rFonts w:ascii="Times" w:hAnsi="Times"/>
          <w:b/>
          <w:bCs/>
          <w:i/>
          <w:iCs/>
          <w:lang w:val="en-CA"/>
        </w:rPr>
        <w:t xml:space="preserve">Assisted suicide in Switzerland: </w:t>
      </w:r>
      <w:r w:rsidR="00511DBE" w:rsidRPr="003C5907">
        <w:rPr>
          <w:rFonts w:ascii="Times" w:hAnsi="Times"/>
          <w:b/>
          <w:bCs/>
          <w:i/>
          <w:iCs/>
          <w:lang w:val="en-CA"/>
        </w:rPr>
        <w:t>A</w:t>
      </w:r>
      <w:r w:rsidR="00FE5D9A" w:rsidRPr="003C5907">
        <w:rPr>
          <w:rFonts w:ascii="Times" w:hAnsi="Times"/>
          <w:b/>
          <w:bCs/>
          <w:i/>
          <w:iCs/>
          <w:lang w:val="en-CA"/>
        </w:rPr>
        <w:t xml:space="preserve"> pedagogical process towards death</w:t>
      </w:r>
      <w:r w:rsidRPr="003C5907">
        <w:rPr>
          <w:rFonts w:ascii="Times" w:hAnsi="Times"/>
          <w:b/>
          <w:bCs/>
          <w:i/>
          <w:iCs/>
          <w:lang w:val="en-CA"/>
        </w:rPr>
        <w:t xml:space="preserve">  </w:t>
      </w:r>
    </w:p>
    <w:p w14:paraId="2D54F7FB" w14:textId="77777777" w:rsidR="00CE4D6E" w:rsidRPr="003C5907" w:rsidRDefault="00CE4D6E" w:rsidP="00CE4D6E">
      <w:pPr>
        <w:spacing w:line="360" w:lineRule="auto"/>
        <w:jc w:val="both"/>
        <w:rPr>
          <w:rFonts w:ascii="Times" w:hAnsi="Times"/>
          <w:bCs/>
          <w:iCs/>
          <w:lang w:val="en-CA"/>
        </w:rPr>
      </w:pPr>
    </w:p>
    <w:p w14:paraId="2FBA2091" w14:textId="61E5193A" w:rsidR="00CE4D6E" w:rsidRPr="003C5907" w:rsidRDefault="00CE4D6E" w:rsidP="00CE4D6E">
      <w:pPr>
        <w:spacing w:line="360" w:lineRule="auto"/>
        <w:jc w:val="both"/>
        <w:rPr>
          <w:rFonts w:ascii="Times" w:hAnsi="Times"/>
          <w:lang w:val="en-CA"/>
        </w:rPr>
      </w:pPr>
      <w:r w:rsidRPr="003C5907">
        <w:rPr>
          <w:rFonts w:ascii="Times" w:hAnsi="Times"/>
          <w:lang w:val="en-CA"/>
        </w:rPr>
        <w:t>To illustrate how various apparatuses interlock or overlap in carrying out an assisted suicide in Switzerland, we will describe – among a much larger number of possibilities – three moments in a specific request: the first appointment with a</w:t>
      </w:r>
      <w:r w:rsidR="00511DBE" w:rsidRPr="003C5907">
        <w:rPr>
          <w:rFonts w:ascii="Times" w:hAnsi="Times"/>
          <w:lang w:val="en-CA"/>
        </w:rPr>
        <w:t>n assistant</w:t>
      </w:r>
      <w:r w:rsidRPr="003C5907">
        <w:rPr>
          <w:rFonts w:ascii="Times" w:hAnsi="Times"/>
          <w:lang w:val="en-CA"/>
        </w:rPr>
        <w:t xml:space="preserve"> volunteer, the preparation of an assisted suicide, and the day on which the act itself takes place. Through this </w:t>
      </w:r>
      <w:r w:rsidRPr="003C5907">
        <w:rPr>
          <w:rFonts w:ascii="Times" w:hAnsi="Times"/>
          <w:lang w:val="en-CA"/>
        </w:rPr>
        <w:lastRenderedPageBreak/>
        <w:t xml:space="preserve">narrative, we aim to highlight a set of normative issues that underlie these arrangements in order to serve as a basis of comparison with the empirical material presented in the section above on Belgium. </w:t>
      </w:r>
    </w:p>
    <w:p w14:paraId="12801FFD" w14:textId="77777777" w:rsidR="00CE4D6E" w:rsidRPr="003C5907" w:rsidRDefault="00CE4D6E" w:rsidP="00CE4D6E">
      <w:pPr>
        <w:spacing w:line="360" w:lineRule="auto"/>
        <w:jc w:val="both"/>
        <w:rPr>
          <w:rFonts w:ascii="Times" w:hAnsi="Times"/>
          <w:lang w:val="en-CA"/>
        </w:rPr>
      </w:pPr>
    </w:p>
    <w:p w14:paraId="5857E10F" w14:textId="21675E66" w:rsidR="00CE4D6E" w:rsidRPr="003C5907" w:rsidRDefault="00CE4D6E" w:rsidP="00511DBE">
      <w:pPr>
        <w:spacing w:line="360" w:lineRule="auto"/>
        <w:jc w:val="both"/>
        <w:rPr>
          <w:rFonts w:ascii="Times" w:hAnsi="Times"/>
          <w:lang w:val="en-CA"/>
        </w:rPr>
      </w:pPr>
      <w:r w:rsidRPr="003C5907">
        <w:rPr>
          <w:rFonts w:ascii="Times" w:hAnsi="Times"/>
          <w:lang w:val="en-CA"/>
        </w:rPr>
        <w:t>In Switzerland, assisted suicide is generally provided by private non-profit associations</w:t>
      </w:r>
      <w:r w:rsidRPr="003C5907">
        <w:rPr>
          <w:rStyle w:val="FootnoteReference"/>
          <w:rFonts w:ascii="Times" w:hAnsi="Times"/>
          <w:lang w:val="en-CA"/>
        </w:rPr>
        <w:footnoteReference w:id="11"/>
      </w:r>
      <w:r w:rsidRPr="003C5907">
        <w:rPr>
          <w:rFonts w:ascii="Times" w:hAnsi="Times"/>
          <w:lang w:val="en-CA"/>
        </w:rPr>
        <w:t xml:space="preserve">. Asking for such an association to intervene, however, is not required since an attending physician can also offer this assistance on an individual basis. Essentially, the unique character of Swiss assisted suicide, in contrast with direct active euthanasia that is still illegal in doctrine, resides in the fact that it is exempt from criminal prosecution if – and only if – persons requesting assistance carry out the final act themselves and are mentally competent. </w:t>
      </w:r>
      <w:r w:rsidR="00511DBE" w:rsidRPr="003C5907">
        <w:rPr>
          <w:rFonts w:ascii="Times" w:hAnsi="Times"/>
          <w:lang w:val="en-CA"/>
        </w:rPr>
        <w:t>Therefore</w:t>
      </w:r>
      <w:r w:rsidRPr="003C5907">
        <w:rPr>
          <w:rFonts w:ascii="Times" w:hAnsi="Times"/>
          <w:lang w:val="en-CA"/>
        </w:rPr>
        <w:t>, persons or organizations offering assistance should not be motivated for selfish reasons, such as the prospect of financial gain. If any one of these criteria is not met, then Article 115 of the Penal Code states that the person who provided assistance, “should the suicide be committed or attempted, will be liable for a custodial sentence of up to five years or a fine.” This means that requesting assisted suicide is not a right regulated by the federal State</w:t>
      </w:r>
      <w:r w:rsidRPr="003C5907">
        <w:rPr>
          <w:rStyle w:val="FootnoteReference"/>
          <w:rFonts w:ascii="Times" w:hAnsi="Times"/>
          <w:lang w:val="en-CA"/>
        </w:rPr>
        <w:footnoteReference w:id="12"/>
      </w:r>
      <w:r w:rsidRPr="003C5907">
        <w:rPr>
          <w:rFonts w:ascii="Times" w:hAnsi="Times"/>
          <w:lang w:val="en-CA"/>
        </w:rPr>
        <w:t xml:space="preserve">, but rather a practice that may be considered illegal under certain circumstances. </w:t>
      </w:r>
    </w:p>
    <w:p w14:paraId="3E61E679" w14:textId="77777777" w:rsidR="00CE4D6E" w:rsidRPr="003C5907" w:rsidRDefault="00CE4D6E" w:rsidP="00CE4D6E">
      <w:pPr>
        <w:spacing w:line="360" w:lineRule="auto"/>
        <w:jc w:val="both"/>
        <w:rPr>
          <w:rFonts w:ascii="Times" w:hAnsi="Times"/>
          <w:lang w:val="en-CA"/>
        </w:rPr>
      </w:pPr>
    </w:p>
    <w:p w14:paraId="4CD38A9F" w14:textId="7F57ACAE" w:rsidR="00CE4D6E" w:rsidRPr="003C5907" w:rsidRDefault="00CE4D6E" w:rsidP="00511DBE">
      <w:pPr>
        <w:spacing w:line="360" w:lineRule="auto"/>
        <w:jc w:val="both"/>
        <w:rPr>
          <w:rFonts w:ascii="Times" w:hAnsi="Times"/>
          <w:lang w:val="en-GB"/>
        </w:rPr>
      </w:pPr>
      <w:r w:rsidRPr="003C5907">
        <w:rPr>
          <w:rFonts w:ascii="Times" w:hAnsi="Times"/>
          <w:lang w:val="en-CA"/>
        </w:rPr>
        <w:t xml:space="preserve">While not going into great, formal detail about the medico- and politico-legal context surrounding the practice of assisted suicide in Switzerland, we can nonetheless highlight a few of its salient characteristics useful for comparing the two countries. First, assisted suicide takes place in the vast majority of cases in the intimacy of one’s home. This is the first reason why we have chosen to present a situation occurring outside of an institutional setting. Second, the participation of doctors is indirect and sometimes rather understated throughout the process. It is, however, necessary to issue a certificate of mental competence, to attest to the medical condition of the person and to prescribe the lethal substance. No representative of the medical profession need be present during the preparatory stages leading up to, or at the time of, the suicide itself. Yet, it must be noted that physicians, ethics committees, and healthcare professionals are more directly involved in organizing an assisted suicide when it takes place within the walls of a healthcare institution. This is the second reason that led us to choose the case presented here, since it more strongly reveals the differences between the </w:t>
      </w:r>
      <w:r w:rsidRPr="003C5907">
        <w:rPr>
          <w:rFonts w:ascii="Times" w:hAnsi="Times"/>
          <w:lang w:val="en-CA"/>
        </w:rPr>
        <w:lastRenderedPageBreak/>
        <w:t xml:space="preserve">Belgian and Swiss models in terms of the role played by physicians in voluntary death. To that end, the centrality of a vertical relationship between physician and patient, which typifies the apparatus of euthanasia in Belgium, is replaced with a more horizontal relationship between the two individuals in Switzerland. This latter case, however, is not devoid of a certain authority exerted by the volunteer, who has in-depth knowledge of the apparatus and, in particular, the protocol for carrying out the assisted suicide. It must be noted that the criteria for access are not completely formalized and – as we will outline below – are left in part to the judgement </w:t>
      </w:r>
      <w:r w:rsidRPr="003C5907">
        <w:rPr>
          <w:rFonts w:ascii="Times" w:hAnsi="Times"/>
          <w:lang w:val="en-GB"/>
        </w:rPr>
        <w:t>of volunteers from associations who provide assistance in dying. Also worth emphasizing is that these individuals serve as volunteers and hold no specific qualifications. Depending on their previous professional activity, seniority within the association, and former experience as volunteers, they may display a broad range of sensibilities towards how the practice of assisted suicide should be overseen in Switzerland.</w:t>
      </w:r>
    </w:p>
    <w:p w14:paraId="6A79C75B" w14:textId="77777777" w:rsidR="00CE4D6E" w:rsidRPr="003C5907" w:rsidRDefault="00CE4D6E" w:rsidP="00CE4D6E">
      <w:pPr>
        <w:spacing w:line="360" w:lineRule="auto"/>
        <w:jc w:val="both"/>
        <w:rPr>
          <w:rFonts w:ascii="Times" w:hAnsi="Times"/>
          <w:lang w:val="en-GB"/>
        </w:rPr>
      </w:pPr>
    </w:p>
    <w:p w14:paraId="5CE1E6D7" w14:textId="45B822BB" w:rsidR="00CE4D6E" w:rsidRPr="003C5907" w:rsidRDefault="00CE4D6E" w:rsidP="00CE4D6E">
      <w:pPr>
        <w:spacing w:line="360" w:lineRule="auto"/>
        <w:jc w:val="both"/>
        <w:rPr>
          <w:rFonts w:ascii="Times" w:hAnsi="Times"/>
          <w:lang w:val="en-CA"/>
        </w:rPr>
      </w:pPr>
      <w:r w:rsidRPr="003C5907">
        <w:rPr>
          <w:rFonts w:ascii="Times" w:hAnsi="Times"/>
          <w:lang w:val="en-CA"/>
        </w:rPr>
        <w:t>Harboring doubts about the patient’s decision or assuming a conflict exists among family members may be reason enough for a volunteer to refuse to assist or withdraw from the process altogether in the same way as the patient not having an incurable disease or experiencing unbearable suffering</w:t>
      </w:r>
      <w:r w:rsidRPr="003C5907">
        <w:rPr>
          <w:rStyle w:val="FootnoteReference"/>
          <w:rFonts w:ascii="Times" w:hAnsi="Times"/>
          <w:lang w:val="en-CA"/>
        </w:rPr>
        <w:footnoteReference w:id="13"/>
      </w:r>
      <w:r w:rsidRPr="003C5907">
        <w:rPr>
          <w:rFonts w:ascii="Times" w:hAnsi="Times"/>
          <w:lang w:val="en-CA"/>
        </w:rPr>
        <w:t xml:space="preserve">. This is why we will illustrate these aspects through a situation that highlights normative adjustments. This process – guided by a horizon of compromise </w:t>
      </w:r>
      <w:r w:rsidR="00416D1C" w:rsidRPr="003C5907">
        <w:rPr>
          <w:rFonts w:ascii="Times" w:hAnsi="Times"/>
          <w:lang w:val="en-CA"/>
        </w:rPr>
        <w:t xml:space="preserve">– </w:t>
      </w:r>
      <w:r w:rsidR="00416D1C" w:rsidRPr="003C5907">
        <w:rPr>
          <w:lang w:val="en-GB"/>
        </w:rPr>
        <w:t xml:space="preserve">is part of </w:t>
      </w:r>
      <w:r w:rsidR="00677760" w:rsidRPr="003C5907">
        <w:rPr>
          <w:lang w:val="en-GB"/>
        </w:rPr>
        <w:t>the construction of</w:t>
      </w:r>
      <w:r w:rsidR="00416D1C" w:rsidRPr="003C5907">
        <w:rPr>
          <w:lang w:val="en-GB"/>
        </w:rPr>
        <w:t xml:space="preserve"> the legitimacy of a request, and </w:t>
      </w:r>
      <w:r w:rsidR="00677760" w:rsidRPr="003C5907">
        <w:rPr>
          <w:lang w:val="en-GB"/>
        </w:rPr>
        <w:t>the assurance</w:t>
      </w:r>
      <w:r w:rsidR="00416D1C" w:rsidRPr="003C5907">
        <w:rPr>
          <w:lang w:val="en-GB"/>
        </w:rPr>
        <w:t xml:space="preserve"> that the volition of both patient and volunteer is founded</w:t>
      </w:r>
      <w:r w:rsidRPr="003C5907">
        <w:rPr>
          <w:rFonts w:ascii="Times" w:hAnsi="Times"/>
          <w:lang w:val="en-CA"/>
        </w:rPr>
        <w:t>. We will show how the apparatus of assisted suicide brings about ‘soft’ forms of controversy that, in one way or another, must be overcome during the support process for the suicide to be carried through to completion.</w:t>
      </w:r>
    </w:p>
    <w:p w14:paraId="6161BED0" w14:textId="77777777" w:rsidR="00CE4D6E" w:rsidRPr="003C5907" w:rsidRDefault="00CE4D6E" w:rsidP="00CE4D6E">
      <w:pPr>
        <w:spacing w:line="360" w:lineRule="auto"/>
        <w:jc w:val="both"/>
        <w:rPr>
          <w:rFonts w:ascii="Times" w:hAnsi="Times"/>
          <w:lang w:val="en-CA"/>
        </w:rPr>
      </w:pPr>
    </w:p>
    <w:p w14:paraId="7DE2234D" w14:textId="105E3587" w:rsidR="00CE4D6E" w:rsidRPr="003C5907" w:rsidRDefault="00CE4D6E" w:rsidP="00CE4D6E">
      <w:pPr>
        <w:spacing w:line="360" w:lineRule="auto"/>
        <w:jc w:val="both"/>
        <w:rPr>
          <w:rFonts w:ascii="Times" w:hAnsi="Times"/>
          <w:lang w:val="en-CA"/>
        </w:rPr>
      </w:pPr>
      <w:r w:rsidRPr="003C5907">
        <w:rPr>
          <w:rFonts w:ascii="Times" w:hAnsi="Times"/>
          <w:lang w:val="en-GB"/>
        </w:rPr>
        <w:t xml:space="preserve">Germaine is in her seventies. In addition to undergoing a urinary diversion for a diagnosis of carcinoma in 2014, she has had Alzheimer’s disease for the last three years. Because of this second diagnosis, she became a member of EXIT A.D.M.D. in French-speaking Switzerland. In March 2018, Germaine decided to initiate the process of assisted suicide and contacted the association secretariat. </w:t>
      </w:r>
      <w:r w:rsidRPr="003C5907">
        <w:rPr>
          <w:rFonts w:ascii="Times" w:hAnsi="Times"/>
          <w:lang w:val="en-CA"/>
        </w:rPr>
        <w:t xml:space="preserve">She was asked to put together a file, including confirmation of her status as a member of the association; her handwritten, or otherwise notarized, request for assistance; documents attesting to her physical and medical condition; and, ideally at this stage, certification of her mental competence. The file was then sent to one of the association’s medical advisors, who assessed the request. In the case of a favourable </w:t>
      </w:r>
      <w:r w:rsidRPr="003C5907">
        <w:rPr>
          <w:rFonts w:ascii="Times" w:hAnsi="Times"/>
          <w:lang w:val="en-CA"/>
        </w:rPr>
        <w:lastRenderedPageBreak/>
        <w:t xml:space="preserve">assessment, the secretariat would contact a volunteer, who then received the file. This represented the first step in constructing the association’s </w:t>
      </w:r>
      <w:r w:rsidR="00740459" w:rsidRPr="003C5907">
        <w:rPr>
          <w:rFonts w:ascii="Times" w:hAnsi="Times"/>
          <w:lang w:val="en-CA"/>
        </w:rPr>
        <w:t xml:space="preserve">resolve </w:t>
      </w:r>
      <w:r w:rsidRPr="003C5907">
        <w:rPr>
          <w:rFonts w:ascii="Times" w:hAnsi="Times"/>
          <w:lang w:val="en-CA"/>
        </w:rPr>
        <w:t>to plan for the assistance.</w:t>
      </w:r>
    </w:p>
    <w:p w14:paraId="677136D5" w14:textId="77777777" w:rsidR="00CE4D6E" w:rsidRPr="003C5907" w:rsidRDefault="00CE4D6E" w:rsidP="00CE4D6E">
      <w:pPr>
        <w:spacing w:line="360" w:lineRule="auto"/>
        <w:jc w:val="both"/>
        <w:rPr>
          <w:rFonts w:ascii="Times" w:hAnsi="Times"/>
          <w:lang w:val="en-CA"/>
        </w:rPr>
      </w:pPr>
    </w:p>
    <w:p w14:paraId="7D517EF0" w14:textId="4A5EA02E" w:rsidR="00CE4D6E" w:rsidRPr="003C5907" w:rsidRDefault="00CE4D6E" w:rsidP="00CE4D6E">
      <w:pPr>
        <w:spacing w:line="360" w:lineRule="auto"/>
        <w:jc w:val="both"/>
        <w:rPr>
          <w:rFonts w:ascii="Times" w:hAnsi="Times"/>
          <w:lang w:val="en-CA"/>
        </w:rPr>
      </w:pPr>
      <w:r w:rsidRPr="003C5907">
        <w:rPr>
          <w:rFonts w:ascii="Times" w:hAnsi="Times"/>
          <w:lang w:val="en-CA"/>
        </w:rPr>
        <w:t xml:space="preserve">Next, Hélène agreed to meet with Germaine and called her to arrange an appointment. This is the first moment we would like to describe and discuss. This initial exchange was vitally important because it represented the only space for reaching an </w:t>
      </w:r>
      <w:r w:rsidR="00F82AB6" w:rsidRPr="003C5907">
        <w:rPr>
          <w:rFonts w:ascii="Times" w:hAnsi="Times"/>
          <w:lang w:val="en-CA"/>
        </w:rPr>
        <w:t xml:space="preserve">understanding </w:t>
      </w:r>
      <w:r w:rsidRPr="003C5907">
        <w:rPr>
          <w:rFonts w:ascii="Times" w:hAnsi="Times"/>
          <w:lang w:val="en-CA"/>
        </w:rPr>
        <w:t>between the volunteer and the patient. Thus, by the end of the exchange, the volunteer needed to decide whether or not she would accept to provide the requested support.</w:t>
      </w:r>
    </w:p>
    <w:p w14:paraId="3A7FBD2A" w14:textId="77777777" w:rsidR="00CE4D6E" w:rsidRPr="003C5907" w:rsidRDefault="00CE4D6E" w:rsidP="00CE4D6E">
      <w:pPr>
        <w:spacing w:line="360" w:lineRule="auto"/>
        <w:jc w:val="both"/>
        <w:rPr>
          <w:rFonts w:ascii="Times" w:hAnsi="Times"/>
          <w:lang w:val="en-CA"/>
        </w:rPr>
      </w:pPr>
    </w:p>
    <w:p w14:paraId="5188D763" w14:textId="7A5D48B3" w:rsidR="00CE4D6E" w:rsidRPr="003C5907" w:rsidRDefault="00CE4D6E" w:rsidP="00CE4D6E">
      <w:pPr>
        <w:spacing w:line="360" w:lineRule="auto"/>
        <w:jc w:val="both"/>
        <w:rPr>
          <w:rFonts w:ascii="Times" w:hAnsi="Times"/>
          <w:lang w:val="en-CA"/>
        </w:rPr>
      </w:pPr>
      <w:r w:rsidRPr="003C5907">
        <w:rPr>
          <w:rFonts w:ascii="Times" w:hAnsi="Times"/>
          <w:lang w:val="en-GB"/>
        </w:rPr>
        <w:t xml:space="preserve">During this discussion that we attended, Hélène first made sure by referring to the medical file that Germaine understood the possibilities and legal limitations of assisted suicide. </w:t>
      </w:r>
      <w:r w:rsidRPr="003C5907">
        <w:rPr>
          <w:rFonts w:ascii="Times" w:hAnsi="Times"/>
          <w:lang w:val="en-CA"/>
        </w:rPr>
        <w:t xml:space="preserve">She checked that the patient was aware that, should her mental competence be compromised as a result of her Alzheimer’s disease, the assisted suicide could not then be carried out. After this reminder, Hélène invited Germaine to introduce herself by telling her life story. This allowed the volunteer to assess several criteria in turn, without ever having to mention them explicitly: a clear, informed consent; freedom from </w:t>
      </w:r>
      <w:r w:rsidR="00F82AB6" w:rsidRPr="003C5907">
        <w:rPr>
          <w:rFonts w:ascii="Times" w:hAnsi="Times"/>
          <w:lang w:val="en-CA"/>
        </w:rPr>
        <w:t>undue pressure</w:t>
      </w:r>
      <w:r w:rsidRPr="003C5907">
        <w:rPr>
          <w:rFonts w:ascii="Times" w:hAnsi="Times"/>
          <w:lang w:val="en-CA"/>
        </w:rPr>
        <w:t xml:space="preserve"> in her decision; her ability, on the day, to ingest the lethal substance by herself; her attending physician’s stance on her request; and the persistence of her decision over time. This discussion revealed how regulation operated in the practice of support: violation of legal provisions could open up the risk of being prosecuted. In fact, any suicide in Switzerland is considered a ‘violent death,’ setting in motion an inquest by the public prosecutor. </w:t>
      </w:r>
    </w:p>
    <w:p w14:paraId="09BBD6B9" w14:textId="77777777" w:rsidR="00CE4D6E" w:rsidRPr="003C5907" w:rsidRDefault="00CE4D6E" w:rsidP="00CE4D6E">
      <w:pPr>
        <w:spacing w:line="360" w:lineRule="auto"/>
        <w:jc w:val="both"/>
        <w:rPr>
          <w:rFonts w:ascii="Times" w:hAnsi="Times"/>
          <w:lang w:val="en-CA"/>
        </w:rPr>
      </w:pPr>
    </w:p>
    <w:p w14:paraId="06291DF3" w14:textId="67BAE25A" w:rsidR="00CE4D6E" w:rsidRPr="003C5907" w:rsidRDefault="00CE4D6E" w:rsidP="00CE4D6E">
      <w:pPr>
        <w:spacing w:line="360" w:lineRule="auto"/>
        <w:jc w:val="both"/>
        <w:rPr>
          <w:rFonts w:ascii="Times" w:hAnsi="Times"/>
          <w:lang w:val="en-GB"/>
        </w:rPr>
      </w:pPr>
      <w:r w:rsidRPr="003C5907">
        <w:rPr>
          <w:rFonts w:ascii="Times" w:hAnsi="Times"/>
          <w:lang w:val="en-GB"/>
        </w:rPr>
        <w:t>This is largely why Hélène negotiated with, and obtained permission from, Germaine to contact her attending physician, if necessary, in order to renew her certificate of mental competence</w:t>
      </w:r>
      <w:r w:rsidRPr="003C5907">
        <w:rPr>
          <w:rStyle w:val="FootnoteReference"/>
          <w:rFonts w:ascii="Times" w:hAnsi="Times"/>
          <w:lang w:val="en-GB"/>
        </w:rPr>
        <w:footnoteReference w:id="14"/>
      </w:r>
      <w:r w:rsidRPr="003C5907">
        <w:rPr>
          <w:rFonts w:ascii="Times" w:hAnsi="Times"/>
          <w:lang w:val="en-GB"/>
        </w:rPr>
        <w:t xml:space="preserve"> or to check whether he would prescribe the lethal substance when the time came</w:t>
      </w:r>
      <w:r w:rsidRPr="003C5907">
        <w:rPr>
          <w:rStyle w:val="FootnoteReference"/>
          <w:rFonts w:ascii="Times" w:hAnsi="Times"/>
          <w:lang w:val="en-GB"/>
        </w:rPr>
        <w:footnoteReference w:id="15"/>
      </w:r>
      <w:r w:rsidRPr="003C5907">
        <w:rPr>
          <w:rFonts w:ascii="Times" w:hAnsi="Times"/>
          <w:lang w:val="en-GB"/>
        </w:rPr>
        <w:t xml:space="preserve">. This last point takes on considerable importance because, unlike in Belgium, medical professionals in Switzerland are only partly responsible for </w:t>
      </w:r>
      <w:r w:rsidR="00802401" w:rsidRPr="003C5907">
        <w:rPr>
          <w:rFonts w:ascii="Times" w:hAnsi="Times"/>
          <w:lang w:val="en-GB"/>
        </w:rPr>
        <w:t xml:space="preserve">overseeing/supervising </w:t>
      </w:r>
      <w:r w:rsidRPr="003C5907">
        <w:rPr>
          <w:rFonts w:ascii="Times" w:hAnsi="Times"/>
          <w:lang w:val="en-GB"/>
        </w:rPr>
        <w:t xml:space="preserve">assisted suicide. Hélène, who has no medical training and is not a healthcare professional, must therefore appreciate the position and influence of medical authority in the process, while not assuming it is necessarily homogeneous among practitioners. </w:t>
      </w:r>
    </w:p>
    <w:p w14:paraId="726EA33B" w14:textId="77777777" w:rsidR="00CE4D6E" w:rsidRPr="003C5907" w:rsidRDefault="00CE4D6E" w:rsidP="00CE4D6E">
      <w:pPr>
        <w:spacing w:line="360" w:lineRule="auto"/>
        <w:jc w:val="both"/>
        <w:rPr>
          <w:rFonts w:ascii="Times" w:hAnsi="Times"/>
          <w:lang w:val="en-CA"/>
        </w:rPr>
      </w:pPr>
    </w:p>
    <w:p w14:paraId="1978F1DE" w14:textId="77777777" w:rsidR="00CE4D6E" w:rsidRPr="003C5907" w:rsidRDefault="00CE4D6E" w:rsidP="00CE4D6E">
      <w:pPr>
        <w:spacing w:line="360" w:lineRule="auto"/>
        <w:jc w:val="both"/>
        <w:rPr>
          <w:rFonts w:ascii="Times" w:hAnsi="Times"/>
          <w:lang w:val="en-CA"/>
        </w:rPr>
      </w:pPr>
      <w:r w:rsidRPr="003C5907">
        <w:rPr>
          <w:rFonts w:ascii="Times" w:hAnsi="Times"/>
          <w:lang w:val="en-GB"/>
        </w:rPr>
        <w:t xml:space="preserve">This assessment process gives Hélène the chance to verify whether the assistance to be provided is in keeping with legal provisions, existing recommendations, and the criteria set forth by her association: a whole host of factors that very frequently escape those who request assistance in dying. At the same time, the volunteer seeks to position herself as a mediator in a process that involves actors with differing interests and feelings. She has to discuss the very practical aspects of carrying out assisted suicide. </w:t>
      </w:r>
      <w:r w:rsidRPr="003C5907">
        <w:rPr>
          <w:rFonts w:ascii="Times" w:hAnsi="Times"/>
          <w:lang w:val="en-CA"/>
        </w:rPr>
        <w:t>Other norms then come into play. The issue is no longer to be viewed primarily through a medico-legal lens; instead, actions are reconceptualized as a ‘pedagogical’ endeavor about death. Such a ‘pedagogy’ stems from the subjectivity of actors, their relationship to death and degree of acceptance of it, as demonstrated through broad, open discussions concerning an array of more or less socially accepted reasons and legitimate provisions that can contribute to understanding, or providing an even stronger basis for, a decision</w:t>
      </w:r>
      <w:r w:rsidRPr="003C5907">
        <w:rPr>
          <w:rStyle w:val="FootnoteReference"/>
          <w:rFonts w:ascii="Times" w:hAnsi="Times"/>
          <w:lang w:val="en-CA"/>
        </w:rPr>
        <w:footnoteReference w:id="16"/>
      </w:r>
      <w:r w:rsidRPr="003C5907">
        <w:rPr>
          <w:rFonts w:ascii="Times" w:hAnsi="Times"/>
          <w:lang w:val="en-CA"/>
        </w:rPr>
        <w:t>.</w:t>
      </w:r>
    </w:p>
    <w:p w14:paraId="4FE3869F" w14:textId="77777777" w:rsidR="00CE4D6E" w:rsidRPr="003C5907" w:rsidRDefault="00CE4D6E" w:rsidP="00CE4D6E">
      <w:pPr>
        <w:spacing w:line="360" w:lineRule="auto"/>
        <w:jc w:val="both"/>
        <w:rPr>
          <w:rFonts w:ascii="Times" w:hAnsi="Times"/>
          <w:lang w:val="en-CA"/>
        </w:rPr>
      </w:pPr>
    </w:p>
    <w:p w14:paraId="66B06BB5" w14:textId="078A831F" w:rsidR="00CE4D6E" w:rsidRPr="003C5907" w:rsidRDefault="00CE4D6E" w:rsidP="00CE4D6E">
      <w:pPr>
        <w:spacing w:line="360" w:lineRule="auto"/>
        <w:jc w:val="both"/>
        <w:rPr>
          <w:rFonts w:ascii="Times" w:hAnsi="Times"/>
          <w:lang w:val="en-CA"/>
        </w:rPr>
      </w:pPr>
      <w:r w:rsidRPr="003C5907">
        <w:rPr>
          <w:rFonts w:ascii="Times" w:hAnsi="Times"/>
          <w:lang w:val="en-CA"/>
        </w:rPr>
        <w:t xml:space="preserve">Discussions between Hélène and Germaine thus lend themselves to narrating the journey of one’s life, exploring those aspects justifying a particular decision, and gaining confidence. They shed light on the importance of being able to express and display one’s </w:t>
      </w:r>
      <w:r w:rsidR="00E31DD8" w:rsidRPr="003C5907">
        <w:rPr>
          <w:rFonts w:ascii="Times" w:hAnsi="Times"/>
          <w:lang w:val="en-CA"/>
        </w:rPr>
        <w:t>‘</w:t>
      </w:r>
      <w:r w:rsidR="00F82AB6" w:rsidRPr="003C5907">
        <w:rPr>
          <w:rFonts w:ascii="Times" w:hAnsi="Times"/>
          <w:lang w:val="en-CA"/>
        </w:rPr>
        <w:t>resolve</w:t>
      </w:r>
      <w:r w:rsidR="00E31DD8" w:rsidRPr="003C5907">
        <w:rPr>
          <w:rFonts w:ascii="Times" w:hAnsi="Times"/>
          <w:lang w:val="en-CA"/>
        </w:rPr>
        <w:t>’</w:t>
      </w:r>
      <w:r w:rsidRPr="003C5907">
        <w:rPr>
          <w:rFonts w:ascii="Times" w:hAnsi="Times"/>
          <w:lang w:val="en-CA"/>
        </w:rPr>
        <w:t xml:space="preserve">and of building a trusting relationship. In talking about her life journey, Germaine spontaneously brought up a number of reasons, which allowed Hélène to get a better idea of the person. Hélène sorted through and ranked these reasons, occasionally probing a few details while offering her opinion on certain statements. Hélène put Germaine’s words into perspective when Germaine defined herself as “no longer good for anything” or claimed to be “a burden to others.” By the same token, she considered that the fear expressed by Germaine to end her life in a care home was borne out of a negative representation based more on fantasy than reality. This fear would not constitute sufficient grounds for requesting an assisted suicide. Throughout the narration, the legitimacy of the will to resort to assisted suicide was constructed and, in turn, strengthened the volunteer’s own determination to perform aid in dying that few people, at bottom, would agree to carry out. </w:t>
      </w:r>
    </w:p>
    <w:p w14:paraId="1920F8D1" w14:textId="77777777" w:rsidR="00CE4D6E" w:rsidRPr="003C5907" w:rsidRDefault="00CE4D6E" w:rsidP="00CE4D6E">
      <w:pPr>
        <w:spacing w:line="360" w:lineRule="auto"/>
        <w:jc w:val="both"/>
        <w:rPr>
          <w:rFonts w:ascii="Times" w:hAnsi="Times"/>
          <w:lang w:val="en-CA"/>
        </w:rPr>
      </w:pPr>
    </w:p>
    <w:p w14:paraId="20F61948" w14:textId="77777777" w:rsidR="00CE4D6E" w:rsidRPr="003C5907" w:rsidRDefault="00CE4D6E" w:rsidP="00CE4D6E">
      <w:pPr>
        <w:spacing w:line="360" w:lineRule="auto"/>
        <w:jc w:val="both"/>
        <w:rPr>
          <w:rFonts w:ascii="Times" w:hAnsi="Times"/>
          <w:lang w:val="en-CA"/>
        </w:rPr>
      </w:pPr>
      <w:r w:rsidRPr="003C5907">
        <w:rPr>
          <w:rFonts w:ascii="Times" w:hAnsi="Times"/>
          <w:lang w:val="en-CA"/>
        </w:rPr>
        <w:t xml:space="preserve">These various clarifications, which might have otherwise limited Hélène’s willingness to provide support, led her to recognize the validity of Germaine’s request. The volunteer thus </w:t>
      </w:r>
      <w:r w:rsidRPr="003C5907">
        <w:rPr>
          <w:rFonts w:ascii="Times" w:hAnsi="Times"/>
          <w:lang w:val="en-CA"/>
        </w:rPr>
        <w:lastRenderedPageBreak/>
        <w:t xml:space="preserve">confirmed her acceptance to provide support to the patient right to the very end. In Hélène’s eyes, the conditions had been fulfilled: there was the presence of a potentially fatal illness and intolerable suffering (that did not constitute a legal criterion </w:t>
      </w:r>
      <w:r w:rsidRPr="003C5907">
        <w:rPr>
          <w:rFonts w:ascii="Times" w:hAnsi="Times"/>
          <w:i/>
          <w:iCs/>
          <w:lang w:val="en-CA"/>
        </w:rPr>
        <w:t>per se</w:t>
      </w:r>
      <w:r w:rsidRPr="003C5907">
        <w:rPr>
          <w:rFonts w:ascii="Times" w:hAnsi="Times"/>
          <w:lang w:val="en-CA"/>
        </w:rPr>
        <w:t>); mental competence; sufficient motor coordination to perform the final gesture; and in more subjective terms, the feeling of having lived a full, even accomplished, life; acceptance of death and evidence that family members had been adequately informed of her intentions. Hélène also made sure that Germaine’s negative self-perceptions did not contradict with her expressed feeling of having lived “a full life” or that these self-perceptions did not appear to be the only ‘good reasons’ to resort to assisted suicide. The negative aspects were thus taken into consideration but ‘neutralized’ in the exchanges between the women</w:t>
      </w:r>
      <w:r w:rsidRPr="003C5907">
        <w:rPr>
          <w:rStyle w:val="FootnoteReference"/>
          <w:rFonts w:ascii="Times" w:hAnsi="Times"/>
          <w:lang w:val="en-CA"/>
        </w:rPr>
        <w:footnoteReference w:id="17"/>
      </w:r>
      <w:r w:rsidRPr="003C5907">
        <w:rPr>
          <w:rFonts w:ascii="Times" w:hAnsi="Times"/>
          <w:lang w:val="en-CA"/>
        </w:rPr>
        <w:t xml:space="preserve">. </w:t>
      </w:r>
    </w:p>
    <w:p w14:paraId="1C34B135" w14:textId="77777777" w:rsidR="00CE4D6E" w:rsidRPr="003C5907" w:rsidRDefault="00CE4D6E" w:rsidP="00CE4D6E">
      <w:pPr>
        <w:spacing w:line="360" w:lineRule="auto"/>
        <w:jc w:val="both"/>
        <w:rPr>
          <w:rFonts w:ascii="Times" w:hAnsi="Times"/>
          <w:lang w:val="en-CA"/>
        </w:rPr>
      </w:pPr>
    </w:p>
    <w:p w14:paraId="2C7EEDC3" w14:textId="77777777" w:rsidR="00CE4D6E" w:rsidRPr="003C5907" w:rsidRDefault="00CE4D6E" w:rsidP="00CE4D6E">
      <w:pPr>
        <w:spacing w:line="360" w:lineRule="auto"/>
        <w:jc w:val="both"/>
        <w:rPr>
          <w:rFonts w:ascii="Times" w:hAnsi="Times"/>
          <w:lang w:val="en-CA"/>
        </w:rPr>
      </w:pPr>
      <w:r w:rsidRPr="003C5907">
        <w:rPr>
          <w:rFonts w:ascii="Times" w:hAnsi="Times"/>
          <w:lang w:val="en-CA"/>
        </w:rPr>
        <w:t>This pedagogy seems to follow a double logic: the idea of befriending death and constructing meaning. Germaine stated that she was “not afraid of death.” She explained that she had already buried her mother, her father, her son, and two of her husbands. She was ready to accept death because she had the feeling of having lived a full life, with plenty of joy and suffering: “Oh, my life, from moments of rage to moments of happiness!” In describing her hard life and proclaiming her satisfaction from its richness, Germaine more strongly impressed upon Hélène her determination. Her daughter Marie, who also attended this first meeting, reaffirmed this impression by commenting on her mother’s character: “She’s a strong-willed woman […]. She does what she wants.”</w:t>
      </w:r>
    </w:p>
    <w:p w14:paraId="1C740B76" w14:textId="77777777" w:rsidR="00CE4D6E" w:rsidRPr="003C5907" w:rsidRDefault="00CE4D6E" w:rsidP="00CE4D6E">
      <w:pPr>
        <w:spacing w:line="360" w:lineRule="auto"/>
        <w:jc w:val="both"/>
        <w:rPr>
          <w:rFonts w:ascii="Times" w:hAnsi="Times"/>
          <w:lang w:val="en-CA"/>
        </w:rPr>
      </w:pPr>
    </w:p>
    <w:p w14:paraId="2AE87B7F" w14:textId="77777777" w:rsidR="00CE4D6E" w:rsidRPr="003C5907" w:rsidRDefault="00CE4D6E" w:rsidP="00CE4D6E">
      <w:pPr>
        <w:spacing w:line="360" w:lineRule="auto"/>
        <w:jc w:val="both"/>
        <w:rPr>
          <w:rFonts w:ascii="Times" w:hAnsi="Times"/>
          <w:lang w:val="en-CA"/>
        </w:rPr>
      </w:pPr>
      <w:r w:rsidRPr="003C5907">
        <w:rPr>
          <w:rFonts w:ascii="Times" w:hAnsi="Times"/>
          <w:lang w:val="en-CA"/>
        </w:rPr>
        <w:t xml:space="preserve">After agreeing to be involved in Germaine’s case, Hélène then brought up practical matters of planning the assisted suicide – the second moment that we wish to highlight. She now had to take into account another instance with its own normativity: the group of family members and its internal dynamics (Gamondi et al. 2018 ; </w:t>
      </w:r>
      <w:r w:rsidRPr="003C5907">
        <w:rPr>
          <w:rFonts w:ascii="Times" w:hAnsi="Times"/>
          <w:shd w:val="clear" w:color="auto" w:fill="FFFFFF"/>
          <w:lang w:val="en-CA"/>
        </w:rPr>
        <w:t xml:space="preserve">Pott et al., </w:t>
      </w:r>
      <w:r w:rsidRPr="003C5907">
        <w:rPr>
          <w:rFonts w:ascii="Times" w:hAnsi="Times"/>
          <w:lang w:val="en-CA"/>
        </w:rPr>
        <w:t>2013). To attest that ‘best practices’ were followed, volunteers avoided providing assistance on their own. They asked for a third party to be present – usually a family member, sometimes a friend or a neighbour – who could bear witness to the events taking place</w:t>
      </w:r>
      <w:r w:rsidRPr="003C5907">
        <w:rPr>
          <w:rStyle w:val="FootnoteReference"/>
          <w:rFonts w:ascii="Times" w:hAnsi="Times"/>
          <w:lang w:val="en-CA"/>
        </w:rPr>
        <w:footnoteReference w:id="18"/>
      </w:r>
      <w:r w:rsidRPr="003C5907">
        <w:rPr>
          <w:rFonts w:ascii="Times" w:hAnsi="Times"/>
          <w:lang w:val="en-CA"/>
        </w:rPr>
        <w:t xml:space="preserve">. This is why Hélène enquired about the presence and </w:t>
      </w:r>
      <w:r w:rsidRPr="003C5907">
        <w:rPr>
          <w:rFonts w:ascii="Times" w:hAnsi="Times"/>
          <w:lang w:val="en-CA"/>
        </w:rPr>
        <w:lastRenderedPageBreak/>
        <w:t>role of loved ones regarding Germaine’s wish to receive assistance. She therefore took care in updating the information Germaine’s family had and tried to learn how they viewed her plans in order to integrate them as best as possible into the preparations. She made sure to emphasize that the act required courage and explained that their presence then would be beneficial for their own grieving process. The existence of conflict or long-held discord among family members could also be reason enough not to assist or to interrupt the ongoing support process.</w:t>
      </w:r>
    </w:p>
    <w:p w14:paraId="33D67182" w14:textId="77777777" w:rsidR="00CE4D6E" w:rsidRPr="003C5907" w:rsidRDefault="00CE4D6E" w:rsidP="00CE4D6E">
      <w:pPr>
        <w:spacing w:line="360" w:lineRule="auto"/>
        <w:jc w:val="both"/>
        <w:rPr>
          <w:rFonts w:ascii="Times" w:hAnsi="Times"/>
          <w:lang w:val="en-CA"/>
        </w:rPr>
      </w:pPr>
    </w:p>
    <w:p w14:paraId="44CD4ECF" w14:textId="02A52891" w:rsidR="00CE4D6E" w:rsidRPr="003C5907" w:rsidRDefault="00CE4D6E" w:rsidP="00CE4D6E">
      <w:pPr>
        <w:spacing w:line="360" w:lineRule="auto"/>
        <w:jc w:val="both"/>
        <w:rPr>
          <w:rFonts w:ascii="Times" w:hAnsi="Times"/>
          <w:lang w:val="en-CA"/>
        </w:rPr>
      </w:pPr>
      <w:r w:rsidRPr="003C5907">
        <w:rPr>
          <w:rFonts w:ascii="Times" w:hAnsi="Times"/>
          <w:lang w:val="en-CA"/>
        </w:rPr>
        <w:t xml:space="preserve">Germaine’s situation demonstrates that the volunteer did not impose a pre-existing normative framework in the support process. Instead, Hélène drew on a disparate set of norms she had gradually made her own, based on medico-legal recommendations, procedures enacted by her membership association, and her cumulative experiences of suicide support. This combination of norms grounded her ‘pedagogy’ of support and enabled her to assess the </w:t>
      </w:r>
      <w:r w:rsidR="00F82AB6" w:rsidRPr="003C5907">
        <w:rPr>
          <w:rFonts w:ascii="Times" w:hAnsi="Times"/>
          <w:lang w:val="en-CA"/>
        </w:rPr>
        <w:t xml:space="preserve">acceptability </w:t>
      </w:r>
      <w:r w:rsidRPr="003C5907">
        <w:rPr>
          <w:rFonts w:ascii="Times" w:hAnsi="Times"/>
          <w:lang w:val="en-CA"/>
        </w:rPr>
        <w:t>of a request for assistance. Committing to provide such assistance meant assessing the varied normative instances, which must fit together as adequately as possible to prevent legal prosecutions and complications with family members from occurring following the death. The importance of this assessment could clearly be seen on the day the suicide was carried out, the third moment that we wish to highlight. The action of the different actors and professional bodies – the patient, the volunteer, family members, police officers, doctors, coroners, prosecutors, and funeral staff members – fit into a pattern and timeframe that arise from previous practice but are uniquely configured on every occasion.</w:t>
      </w:r>
    </w:p>
    <w:p w14:paraId="13553916" w14:textId="77777777" w:rsidR="00CE4D6E" w:rsidRPr="003C5907" w:rsidRDefault="00CE4D6E" w:rsidP="00CE4D6E">
      <w:pPr>
        <w:spacing w:line="360" w:lineRule="auto"/>
        <w:jc w:val="both"/>
        <w:rPr>
          <w:rFonts w:ascii="Times" w:hAnsi="Times"/>
          <w:lang w:val="en-CA"/>
        </w:rPr>
      </w:pPr>
    </w:p>
    <w:p w14:paraId="477BCB52" w14:textId="77777777" w:rsidR="00CE4D6E" w:rsidRPr="003C5907" w:rsidRDefault="00CE4D6E" w:rsidP="00CE4D6E">
      <w:pPr>
        <w:spacing w:line="360" w:lineRule="auto"/>
        <w:jc w:val="both"/>
        <w:rPr>
          <w:rFonts w:ascii="Times" w:hAnsi="Times"/>
          <w:lang w:val="en-CA"/>
        </w:rPr>
      </w:pPr>
      <w:r w:rsidRPr="003C5907">
        <w:rPr>
          <w:rFonts w:ascii="Times" w:hAnsi="Times"/>
          <w:lang w:val="en-CA"/>
        </w:rPr>
        <w:t>Even though the choice of time, date, and location of the assisted suicide is left up to the key players, it also depends on a set of practical considerations as to how these key players will coordinate themselves. This synchronization, to a greater or lesser extent successful depending on the circumstances, occurs based on the needs and interests of the different professionals involved</w:t>
      </w:r>
      <w:r w:rsidRPr="003C5907">
        <w:rPr>
          <w:rStyle w:val="FootnoteReference"/>
          <w:rFonts w:ascii="Times" w:hAnsi="Times"/>
          <w:lang w:val="en-CA"/>
        </w:rPr>
        <w:footnoteReference w:id="19"/>
      </w:r>
      <w:r w:rsidRPr="003C5907">
        <w:rPr>
          <w:rFonts w:ascii="Times" w:hAnsi="Times"/>
          <w:lang w:val="en-CA"/>
        </w:rPr>
        <w:t xml:space="preserve">. In the end, it is the result of a unique combination of normative apparatuses organizationally (the availability of certain professionals), relationally (the presence of certain family members), and socially (significant for the individuals concerned through the expression of their subjectivity): for example, associating the date of one’s death with an important event in one’s life, such as an anniversary or, as in Germaine’s case, the </w:t>
      </w:r>
      <w:r w:rsidRPr="003C5907">
        <w:rPr>
          <w:rFonts w:ascii="Times" w:hAnsi="Times"/>
          <w:lang w:val="en-CA"/>
        </w:rPr>
        <w:lastRenderedPageBreak/>
        <w:t>end of the summer, her favourite season. Hélène’s support involved creating the conditions for a compromise among these different normative registers or, in other words, preventing conflict from occurring, which could disrupt how the assisted suicide progressed. Hélène attempted to adapt, as much as procedures would allow, to the wishes of Germaine and her loved ones.</w:t>
      </w:r>
    </w:p>
    <w:p w14:paraId="7333E9D2" w14:textId="77777777" w:rsidR="00CE4D6E" w:rsidRPr="003C5907" w:rsidRDefault="00CE4D6E" w:rsidP="00CE4D6E">
      <w:pPr>
        <w:spacing w:line="360" w:lineRule="auto"/>
        <w:jc w:val="both"/>
        <w:rPr>
          <w:rFonts w:ascii="Times" w:hAnsi="Times"/>
          <w:lang w:val="en-CA"/>
        </w:rPr>
      </w:pPr>
    </w:p>
    <w:p w14:paraId="299DFFBF" w14:textId="77777777" w:rsidR="00CE4D6E" w:rsidRPr="003C5907" w:rsidRDefault="00CE4D6E" w:rsidP="00CE4D6E">
      <w:pPr>
        <w:spacing w:line="360" w:lineRule="auto"/>
        <w:jc w:val="both"/>
        <w:rPr>
          <w:rFonts w:ascii="Times" w:hAnsi="Times"/>
          <w:lang w:val="en-CA"/>
        </w:rPr>
      </w:pPr>
      <w:r w:rsidRPr="003C5907">
        <w:rPr>
          <w:rFonts w:ascii="Times" w:hAnsi="Times"/>
          <w:lang w:val="en-CA"/>
        </w:rPr>
        <w:t>This may be why the adjustments between different, or even opposing, normative constructions underlying the intervention and representations of the various actors mostly surface in public debates and the media, or within the structures, associations, and institutions responsible for defining the boundaries of, and procedures for, assisted suicide. These divisions, nonetheless, are mainly implicit in the realm of actual support, at least in the cases we had the opportunity to observe directly. In short, open conflicts and divided opinions over assistance in dying are mostly expressed in critiques “about” the apparatus, yet are somewhat rare “within” the apparatus.</w:t>
      </w:r>
    </w:p>
    <w:p w14:paraId="2D690FF0" w14:textId="77777777" w:rsidR="00CE4D6E" w:rsidRPr="003C5907" w:rsidRDefault="00CE4D6E" w:rsidP="00CE4D6E">
      <w:pPr>
        <w:spacing w:line="360" w:lineRule="auto"/>
        <w:jc w:val="both"/>
        <w:rPr>
          <w:rFonts w:ascii="Times" w:hAnsi="Times"/>
          <w:lang w:val="en-GB"/>
        </w:rPr>
      </w:pPr>
    </w:p>
    <w:p w14:paraId="329543F4" w14:textId="430E92EF" w:rsidR="00CE4D6E" w:rsidRPr="003C5907" w:rsidRDefault="00CE4D6E" w:rsidP="00CE4D6E">
      <w:pPr>
        <w:spacing w:line="360" w:lineRule="auto"/>
        <w:jc w:val="both"/>
        <w:rPr>
          <w:rFonts w:ascii="Times" w:hAnsi="Times"/>
          <w:lang w:val="en-CA"/>
        </w:rPr>
      </w:pPr>
      <w:r w:rsidRPr="003C5907">
        <w:rPr>
          <w:rFonts w:ascii="Times" w:hAnsi="Times"/>
          <w:lang w:val="en-CA"/>
        </w:rPr>
        <w:t xml:space="preserve">The day of the suicide itself, the third moment we would like to examine, gives us an opportunity to draw attention to these aspects. While Hélène had emphasized to family members the benefits of being present at this final moment for the sake of their own grieving, some had questioned the soundness of this norm, </w:t>
      </w:r>
      <w:r w:rsidR="007878EB" w:rsidRPr="003C5907">
        <w:rPr>
          <w:rFonts w:ascii="Times" w:hAnsi="Times"/>
          <w:lang w:val="en-CA"/>
        </w:rPr>
        <w:t xml:space="preserve">with regard to </w:t>
      </w:r>
      <w:r w:rsidRPr="003C5907">
        <w:rPr>
          <w:rFonts w:ascii="Times" w:hAnsi="Times"/>
          <w:lang w:val="en-CA"/>
        </w:rPr>
        <w:t>Germaine’s brother, the last surviving sibling, who was very close to his sister. Here, the freedom to decide to end one’s life collided with the freedom for family members to decide whether or not they would attend the suicide, an issue that Hélène no longer questioned at this stage of the assistance.</w:t>
      </w:r>
      <w:r w:rsidRPr="003C5907">
        <w:rPr>
          <w:rFonts w:ascii="Times" w:hAnsi="Times"/>
          <w:lang w:val="en-GB"/>
        </w:rPr>
        <w:t xml:space="preserve"> </w:t>
      </w:r>
    </w:p>
    <w:p w14:paraId="235CB259" w14:textId="77777777" w:rsidR="00CE4D6E" w:rsidRPr="003C5907" w:rsidRDefault="00CE4D6E" w:rsidP="00CE4D6E">
      <w:pPr>
        <w:spacing w:line="360" w:lineRule="auto"/>
        <w:jc w:val="both"/>
        <w:rPr>
          <w:rFonts w:ascii="Times" w:hAnsi="Times"/>
          <w:lang w:val="en-CA"/>
        </w:rPr>
      </w:pPr>
    </w:p>
    <w:p w14:paraId="3632B77B" w14:textId="77777777" w:rsidR="00CE4D6E" w:rsidRPr="003C5907" w:rsidRDefault="00CE4D6E" w:rsidP="00CE4D6E">
      <w:pPr>
        <w:spacing w:line="360" w:lineRule="auto"/>
        <w:jc w:val="both"/>
        <w:rPr>
          <w:rFonts w:ascii="Times" w:hAnsi="Times"/>
          <w:lang w:val="en-CA"/>
        </w:rPr>
      </w:pPr>
      <w:r w:rsidRPr="003C5907">
        <w:rPr>
          <w:rFonts w:ascii="Times" w:hAnsi="Times"/>
          <w:lang w:val="en-GB"/>
        </w:rPr>
        <w:t>Similarly, all those present during the final act may be summoned as witnesses and are strictly required to wait for the police to arrive before leaving the premises</w:t>
      </w:r>
      <w:r w:rsidRPr="003C5907">
        <w:rPr>
          <w:rStyle w:val="FootnoteReference"/>
          <w:rFonts w:ascii="Times" w:hAnsi="Times"/>
          <w:lang w:val="en-GB"/>
        </w:rPr>
        <w:footnoteReference w:id="20"/>
      </w:r>
      <w:r w:rsidRPr="003C5907">
        <w:rPr>
          <w:rFonts w:ascii="Times" w:hAnsi="Times"/>
          <w:lang w:val="en-GB"/>
        </w:rPr>
        <w:t xml:space="preserve">. After Germaine’s assisted suicide, one of her sons in attendance refused to stay, despite Hélène’s entreaties. He told her, “If they’re looking for me, well – I’ll be over at Bobby’s having a pint.” While Hélène did have to mention the son’s early departure to the police officer, he did not pursue the matter. He approached those family members still there and enquired about Germaine’s medical condition. Sarah, one of Germaine’s granddaughters, promptly replied, “But Grandma wasn’t really sick!” This comment met with the disapproval of her parents, who were aware not only of its inaccuracy but also of the undesirable consequences it could have </w:t>
      </w:r>
      <w:r w:rsidRPr="003C5907">
        <w:rPr>
          <w:rFonts w:ascii="Times" w:hAnsi="Times"/>
          <w:lang w:val="en-GB"/>
        </w:rPr>
        <w:lastRenderedPageBreak/>
        <w:t xml:space="preserve">for the assessment of medical reasons justifying assisted suicide. </w:t>
      </w:r>
      <w:r w:rsidRPr="003C5907">
        <w:rPr>
          <w:rFonts w:ascii="Times" w:hAnsi="Times"/>
          <w:lang w:val="en-CA"/>
        </w:rPr>
        <w:t>This discordant note, neutralized by the support volunteer’s explanations of the medical reasons behind the assisted suicide, drew no reaction whatsoever from the police officer.</w:t>
      </w:r>
    </w:p>
    <w:p w14:paraId="52B5B789" w14:textId="77777777" w:rsidR="00CE4D6E" w:rsidRPr="003C5907" w:rsidRDefault="00CE4D6E" w:rsidP="00CE4D6E">
      <w:pPr>
        <w:spacing w:line="360" w:lineRule="auto"/>
        <w:jc w:val="both"/>
        <w:rPr>
          <w:rFonts w:ascii="Times" w:hAnsi="Times"/>
          <w:lang w:val="en-CA"/>
        </w:rPr>
      </w:pPr>
    </w:p>
    <w:p w14:paraId="204ED20C" w14:textId="77777777" w:rsidR="00CE4D6E" w:rsidRPr="003C5907" w:rsidRDefault="00CE4D6E" w:rsidP="00CE4D6E">
      <w:pPr>
        <w:spacing w:line="360" w:lineRule="auto"/>
        <w:jc w:val="both"/>
        <w:rPr>
          <w:rFonts w:ascii="Times" w:hAnsi="Times"/>
          <w:lang w:val="en-GB"/>
        </w:rPr>
      </w:pPr>
      <w:r w:rsidRPr="003C5907">
        <w:rPr>
          <w:rFonts w:ascii="Times" w:hAnsi="Times"/>
          <w:lang w:val="en-GB"/>
        </w:rPr>
        <w:t>The arrival of the funeral director provides one last example of this search for compromise. In cases of assisted suicide, funeral arrangements are often made well in advance. In Germaine’s case, her final wish was to have her ashes scattered in the valley where she grew up; she did not want a tombstone, a ceremony, or an urn. This wish ran completely counter to her daughter’s, who, nonetheless, bided by her mother’s choice, almost down to the last detail.</w:t>
      </w:r>
    </w:p>
    <w:p w14:paraId="0ADCD095" w14:textId="77777777" w:rsidR="00CE4D6E" w:rsidRPr="003C5907" w:rsidRDefault="00CE4D6E" w:rsidP="00CE4D6E">
      <w:pPr>
        <w:spacing w:line="360" w:lineRule="auto"/>
        <w:jc w:val="both"/>
        <w:rPr>
          <w:rFonts w:ascii="Times" w:hAnsi="Times"/>
          <w:lang w:val="en-CA"/>
        </w:rPr>
      </w:pPr>
    </w:p>
    <w:p w14:paraId="543A9CC6" w14:textId="6582BF85" w:rsidR="00CE4D6E" w:rsidRPr="003C5907" w:rsidRDefault="00CE4D6E" w:rsidP="007B4A01">
      <w:pPr>
        <w:spacing w:line="360" w:lineRule="auto"/>
        <w:jc w:val="both"/>
        <w:rPr>
          <w:rFonts w:ascii="Times" w:hAnsi="Times"/>
          <w:lang w:val="en-CA"/>
        </w:rPr>
      </w:pPr>
      <w:r w:rsidRPr="003C5907">
        <w:rPr>
          <w:rFonts w:ascii="Times" w:hAnsi="Times"/>
          <w:lang w:val="en-CA"/>
        </w:rPr>
        <w:t xml:space="preserve">This brief illustration, emphasizes the importance of a plurality of norms that underlie assisted suicide in practice when it is carried out by associations. These norms are not all formally instituted or codified in the Swiss state and biomedical apparatuses. Rather, they have been developed and are continually adapted in line with the experience of these associations and their interactions with other professional bodies and other actors involved in these situations. In this way, they set the parameters for the volunteers’ assessment when they receive a request for assisted suicide. They help define the arrangements for support based on an understanding of the family context and the person’s life history. Developed over the course of volunteers’ experiences, </w:t>
      </w:r>
      <w:r w:rsidR="007B4A01" w:rsidRPr="003C5907">
        <w:rPr>
          <w:rFonts w:ascii="Times" w:hAnsi="Times"/>
          <w:lang w:val="en-CA"/>
        </w:rPr>
        <w:t xml:space="preserve">these norms fundamentally come to overlap the legal apparatus. They are flexible enough to be appropriated and give rise </w:t>
      </w:r>
      <w:r w:rsidRPr="003C5907">
        <w:rPr>
          <w:rFonts w:ascii="Times" w:hAnsi="Times"/>
          <w:lang w:val="en-CA"/>
        </w:rPr>
        <w:t xml:space="preserve">– </w:t>
      </w:r>
      <w:r w:rsidRPr="003C5907">
        <w:rPr>
          <w:rFonts w:ascii="Times" w:hAnsi="Times"/>
          <w:i/>
          <w:iCs/>
          <w:lang w:val="en-CA"/>
        </w:rPr>
        <w:t>a priori</w:t>
      </w:r>
      <w:r w:rsidRPr="003C5907">
        <w:rPr>
          <w:rFonts w:ascii="Times" w:hAnsi="Times"/>
          <w:lang w:val="en-CA"/>
        </w:rPr>
        <w:t xml:space="preserve"> – to a ‘pedagogy of support,’ but also rigid enough to require – </w:t>
      </w:r>
      <w:r w:rsidRPr="003C5907">
        <w:rPr>
          <w:rFonts w:ascii="Times" w:hAnsi="Times"/>
          <w:i/>
          <w:iCs/>
          <w:lang w:val="en-CA"/>
        </w:rPr>
        <w:t>a posteriori</w:t>
      </w:r>
      <w:r w:rsidRPr="003C5907">
        <w:rPr>
          <w:rFonts w:ascii="Times" w:hAnsi="Times"/>
          <w:lang w:val="en-CA"/>
        </w:rPr>
        <w:t xml:space="preserve"> – a chain of actors to ensure that medico-legal criteria are met. </w:t>
      </w:r>
    </w:p>
    <w:p w14:paraId="679D3E0E" w14:textId="77777777" w:rsidR="00CE4D6E" w:rsidRPr="003C5907" w:rsidRDefault="00CE4D6E" w:rsidP="00CE4D6E">
      <w:pPr>
        <w:spacing w:line="360" w:lineRule="auto"/>
        <w:jc w:val="both"/>
        <w:rPr>
          <w:rFonts w:ascii="Times" w:hAnsi="Times"/>
          <w:lang w:val="en-CA"/>
        </w:rPr>
      </w:pPr>
    </w:p>
    <w:p w14:paraId="16628F08" w14:textId="77777777" w:rsidR="00CE4D6E" w:rsidRPr="003C5907" w:rsidRDefault="00CE4D6E" w:rsidP="00CE4D6E">
      <w:pPr>
        <w:pStyle w:val="ListParagraph"/>
        <w:numPr>
          <w:ilvl w:val="0"/>
          <w:numId w:val="14"/>
        </w:numPr>
        <w:spacing w:line="360" w:lineRule="auto"/>
        <w:jc w:val="both"/>
        <w:rPr>
          <w:rFonts w:ascii="Times" w:hAnsi="Times" w:cs="Arial"/>
          <w:b/>
          <w:i/>
          <w:lang w:val="en-CA"/>
        </w:rPr>
      </w:pPr>
      <w:r w:rsidRPr="003C5907">
        <w:rPr>
          <w:rFonts w:ascii="Times" w:hAnsi="Times" w:cs="Arial"/>
          <w:b/>
          <w:i/>
          <w:lang w:val="en-CA"/>
        </w:rPr>
        <w:t>Subjectivities and norms for assistance in dying: A dialectic to be spelled out for every situation</w:t>
      </w:r>
    </w:p>
    <w:p w14:paraId="5E15E79E" w14:textId="77777777" w:rsidR="00CE4D6E" w:rsidRPr="003C5907" w:rsidRDefault="00CE4D6E" w:rsidP="00CE4D6E">
      <w:pPr>
        <w:spacing w:line="360" w:lineRule="auto"/>
        <w:jc w:val="both"/>
        <w:rPr>
          <w:rFonts w:ascii="Times" w:hAnsi="Times" w:cs="Arial"/>
          <w:lang w:val="en-CA"/>
        </w:rPr>
      </w:pPr>
    </w:p>
    <w:p w14:paraId="09637DB5" w14:textId="33918F2A" w:rsidR="00CE4D6E" w:rsidRPr="003C5907" w:rsidRDefault="00CE4D6E" w:rsidP="00CE4D6E">
      <w:pPr>
        <w:spacing w:line="360" w:lineRule="auto"/>
        <w:jc w:val="both"/>
        <w:rPr>
          <w:rFonts w:ascii="Times" w:hAnsi="Times" w:cs="Arial"/>
          <w:lang w:val="en-CA"/>
        </w:rPr>
      </w:pPr>
      <w:r w:rsidRPr="003C5907">
        <w:rPr>
          <w:rFonts w:ascii="Times" w:hAnsi="Times" w:cs="Arial"/>
          <w:lang w:val="en-CA"/>
        </w:rPr>
        <w:t xml:space="preserve">The cases of Annabell and Germaine have been reported in somewhat different styles, with varied emphasis on analytical elements drawn, respectively, from observation and research interviews. These differences are, in part, due to the specific features of each field and the ways of accessing it, and, in part, to the traditions and research ethos of the research teams involved. These unique qualities might present difficulties when doing a comparative analysis, but they do not prevent such an analysis. On the contrary, the diversity of approaches they reveal may pave the way for unexpected in-depth analyses, </w:t>
      </w:r>
      <w:r w:rsidR="00526217" w:rsidRPr="003C5907">
        <w:rPr>
          <w:rFonts w:ascii="Times" w:hAnsi="Times" w:cs="Arial"/>
          <w:lang w:val="en-CA"/>
        </w:rPr>
        <w:t xml:space="preserve">most of </w:t>
      </w:r>
      <w:r w:rsidRPr="003C5907">
        <w:rPr>
          <w:rFonts w:ascii="Times" w:hAnsi="Times" w:cs="Arial"/>
          <w:lang w:val="en-CA"/>
        </w:rPr>
        <w:t xml:space="preserve">which have not been taken up here at all. This article is grounded in very limited empirical data, </w:t>
      </w:r>
      <w:r w:rsidRPr="003C5907">
        <w:rPr>
          <w:rFonts w:ascii="Times" w:hAnsi="Times" w:cs="Arial"/>
          <w:lang w:val="en-CA"/>
        </w:rPr>
        <w:lastRenderedPageBreak/>
        <w:t>clearly meaningful to the different contexts in which it was collected but in no way ideal-typical of these contexts. The comparison we conducted, in our view, should primarily be seen as the opening chapter of a broader research project, to which other local experiences, both epistemological and empirical, might now contribute.</w:t>
      </w:r>
    </w:p>
    <w:p w14:paraId="48DA2C0C" w14:textId="77777777" w:rsidR="00CE4D6E" w:rsidRPr="003C5907" w:rsidRDefault="00CE4D6E" w:rsidP="00CE4D6E">
      <w:pPr>
        <w:spacing w:line="360" w:lineRule="auto"/>
        <w:jc w:val="both"/>
        <w:rPr>
          <w:rFonts w:ascii="Times" w:hAnsi="Times" w:cs="Arial"/>
          <w:lang w:val="en-CA"/>
        </w:rPr>
      </w:pPr>
    </w:p>
    <w:p w14:paraId="74D89109" w14:textId="77777777" w:rsidR="00CE4D6E" w:rsidRPr="003C5907" w:rsidRDefault="00CE4D6E" w:rsidP="00CE4D6E">
      <w:pPr>
        <w:spacing w:line="360" w:lineRule="auto"/>
        <w:jc w:val="both"/>
        <w:rPr>
          <w:rFonts w:ascii="Times" w:hAnsi="Times"/>
          <w:lang w:val="en-GB"/>
        </w:rPr>
      </w:pPr>
      <w:r w:rsidRPr="003C5907">
        <w:rPr>
          <w:rFonts w:ascii="Times" w:hAnsi="Times"/>
          <w:lang w:val="en-GB"/>
        </w:rPr>
        <w:t>Whether we consider the apparatus of euthanasia in Belgium or that of assisted suicide in Switzerland, we can identify a series of similarities in the politico-legal framing of practices, which include the need to have unimpaired mental competence; to be diagnosed with an incurable disease, or to experience intolerable and unbearable suffering on a daily basis; to have tried unsuccessfully and used up all available therapeutic options</w:t>
      </w:r>
      <w:r w:rsidRPr="003C5907">
        <w:rPr>
          <w:rStyle w:val="FootnoteReference"/>
          <w:rFonts w:ascii="Times" w:hAnsi="Times"/>
          <w:lang w:val="en-GB"/>
        </w:rPr>
        <w:footnoteReference w:id="21"/>
      </w:r>
      <w:r w:rsidRPr="003C5907">
        <w:rPr>
          <w:rFonts w:ascii="Times" w:hAnsi="Times"/>
          <w:lang w:val="en-GB"/>
        </w:rPr>
        <w:t>; to not have been unduly influenced by third parties when making the decision, which must be consistent and hold over time. Far from being exhaustive, this list allows us to assess a certain normative coherence that we will need to examine more closely in this conclusion, while also accounting for the specific features of the contexts in which these practices take place.</w:t>
      </w:r>
    </w:p>
    <w:p w14:paraId="33410DD1" w14:textId="77777777" w:rsidR="00CE4D6E" w:rsidRPr="003C5907" w:rsidRDefault="00CE4D6E" w:rsidP="00CE4D6E">
      <w:pPr>
        <w:spacing w:line="360" w:lineRule="auto"/>
        <w:jc w:val="both"/>
        <w:rPr>
          <w:rFonts w:ascii="Times" w:hAnsi="Times"/>
          <w:lang w:val="en-CA"/>
        </w:rPr>
      </w:pPr>
    </w:p>
    <w:p w14:paraId="61BBD507" w14:textId="77777777" w:rsidR="00CE4D6E" w:rsidRPr="003C5907" w:rsidRDefault="00CE4D6E" w:rsidP="00CE4D6E">
      <w:pPr>
        <w:spacing w:line="360" w:lineRule="auto"/>
        <w:jc w:val="both"/>
        <w:rPr>
          <w:rFonts w:ascii="Times" w:hAnsi="Times"/>
          <w:lang w:val="en-CA"/>
        </w:rPr>
      </w:pPr>
      <w:r w:rsidRPr="003C5907">
        <w:rPr>
          <w:rFonts w:ascii="Times" w:hAnsi="Times"/>
          <w:lang w:val="en-CA"/>
        </w:rPr>
        <w:t xml:space="preserve">Yet despite their many similarities, these apparatuses are clearly different from each other, firstly concerning the moment in the process where the normative constraint acts most strongly: while in both cases the medico-legal criteria are examined before the suicide is carried out, the relatively blurred view on whether these criteria in Switzerland are, in fact, binding leads to the need for a medico-legal validation at the end of the process, justified on the grounds that an assisted suicide is considered a “violent death”; unlike in Belgium, this qualification requires anticipated normative processes regarding the support, and it involves the intervention of actors, who are not called upon in the case of Belgium (where controls are only made </w:t>
      </w:r>
      <w:r w:rsidRPr="003C5907">
        <w:rPr>
          <w:rFonts w:ascii="Times" w:hAnsi="Times"/>
          <w:i/>
          <w:iCs/>
          <w:lang w:val="en-CA"/>
        </w:rPr>
        <w:t>a posteriori</w:t>
      </w:r>
      <w:r w:rsidRPr="003C5907">
        <w:rPr>
          <w:rFonts w:ascii="Times" w:hAnsi="Times"/>
          <w:lang w:val="en-CA"/>
        </w:rPr>
        <w:t xml:space="preserve"> by a committee of experts), such as police officers and coroners. </w:t>
      </w:r>
    </w:p>
    <w:p w14:paraId="7DE86008" w14:textId="77777777" w:rsidR="00CE4D6E" w:rsidRPr="003C5907" w:rsidRDefault="00CE4D6E" w:rsidP="00CE4D6E">
      <w:pPr>
        <w:spacing w:line="360" w:lineRule="auto"/>
        <w:jc w:val="both"/>
        <w:rPr>
          <w:rFonts w:ascii="Times" w:hAnsi="Times"/>
          <w:lang w:val="en-CA"/>
        </w:rPr>
      </w:pPr>
    </w:p>
    <w:p w14:paraId="56B901B9" w14:textId="0AE0B28A" w:rsidR="00CE4D6E" w:rsidRPr="003C5907" w:rsidRDefault="00CE4D6E" w:rsidP="00704D59">
      <w:pPr>
        <w:spacing w:line="360" w:lineRule="auto"/>
        <w:jc w:val="both"/>
        <w:rPr>
          <w:rFonts w:ascii="Times" w:hAnsi="Times"/>
          <w:lang w:val="en-CA"/>
        </w:rPr>
      </w:pPr>
      <w:r w:rsidRPr="003C5907">
        <w:rPr>
          <w:rFonts w:ascii="Times" w:hAnsi="Times"/>
          <w:lang w:val="en-CA"/>
        </w:rPr>
        <w:t>Next, these apparatuses differ from each other in the extent to which the medical professions are involved</w:t>
      </w:r>
      <w:r w:rsidRPr="003C5907">
        <w:rPr>
          <w:rStyle w:val="FootnoteReference"/>
          <w:rFonts w:ascii="Times" w:hAnsi="Times"/>
          <w:lang w:val="en-CA"/>
        </w:rPr>
        <w:footnoteReference w:id="22"/>
      </w:r>
      <w:r w:rsidRPr="003C5907">
        <w:rPr>
          <w:rFonts w:ascii="Times" w:hAnsi="Times"/>
          <w:lang w:val="en-CA"/>
        </w:rPr>
        <w:t xml:space="preserve">. In Belgium, the physician </w:t>
      </w:r>
      <w:r w:rsidR="00A6381E" w:rsidRPr="003C5907">
        <w:rPr>
          <w:rFonts w:ascii="Times" w:hAnsi="Times"/>
          <w:lang w:val="en-CA"/>
        </w:rPr>
        <w:t>plays a crucial role</w:t>
      </w:r>
      <w:r w:rsidRPr="003C5907">
        <w:rPr>
          <w:rFonts w:ascii="Times" w:hAnsi="Times"/>
          <w:lang w:val="en-CA"/>
        </w:rPr>
        <w:t xml:space="preserve"> in euthanasia, as </w:t>
      </w:r>
      <w:r w:rsidR="00704D59" w:rsidRPr="003C5907">
        <w:rPr>
          <w:rFonts w:ascii="Times" w:hAnsi="Times"/>
          <w:lang w:val="en-CA"/>
        </w:rPr>
        <w:t>evidenced</w:t>
      </w:r>
      <w:r w:rsidRPr="003C5907">
        <w:rPr>
          <w:rFonts w:ascii="Times" w:hAnsi="Times"/>
          <w:lang w:val="en-CA"/>
        </w:rPr>
        <w:t xml:space="preserve"> by the central importance of the </w:t>
      </w:r>
      <w:r w:rsidR="00704D59" w:rsidRPr="003C5907">
        <w:rPr>
          <w:rFonts w:ascii="Times" w:hAnsi="Times"/>
          <w:i/>
          <w:iCs/>
          <w:lang w:val="en-CA"/>
        </w:rPr>
        <w:t>colloque singulier</w:t>
      </w:r>
      <w:r w:rsidRPr="003C5907">
        <w:rPr>
          <w:rFonts w:ascii="Times" w:hAnsi="Times"/>
          <w:lang w:val="en-CA"/>
        </w:rPr>
        <w:t xml:space="preserve"> between the physician and patient, and how </w:t>
      </w:r>
      <w:r w:rsidRPr="003C5907">
        <w:rPr>
          <w:rFonts w:ascii="Times" w:hAnsi="Times"/>
          <w:lang w:val="en-CA"/>
        </w:rPr>
        <w:lastRenderedPageBreak/>
        <w:t xml:space="preserve">the physician is involved in carrying out the final death-inducing gesture. In Switzerland, physicians play a </w:t>
      </w:r>
      <w:r w:rsidR="00704D59" w:rsidRPr="003C5907">
        <w:rPr>
          <w:rFonts w:ascii="Times" w:hAnsi="Times"/>
          <w:lang w:val="en-CA"/>
        </w:rPr>
        <w:t xml:space="preserve">key </w:t>
      </w:r>
      <w:r w:rsidRPr="003C5907">
        <w:rPr>
          <w:rFonts w:ascii="Times" w:hAnsi="Times"/>
          <w:lang w:val="en-CA"/>
        </w:rPr>
        <w:t xml:space="preserve">role </w:t>
      </w:r>
      <w:r w:rsidR="008C66FC" w:rsidRPr="003C5907">
        <w:rPr>
          <w:rFonts w:ascii="Times" w:hAnsi="Times"/>
          <w:lang w:val="en-CA"/>
        </w:rPr>
        <w:t>from</w:t>
      </w:r>
      <w:r w:rsidR="00FE16D9" w:rsidRPr="003C5907">
        <w:rPr>
          <w:rFonts w:ascii="Times" w:hAnsi="Times"/>
          <w:lang w:val="en-CA"/>
        </w:rPr>
        <w:t xml:space="preserve"> the initial stages</w:t>
      </w:r>
      <w:r w:rsidRPr="003C5907">
        <w:rPr>
          <w:rFonts w:ascii="Times" w:hAnsi="Times"/>
          <w:lang w:val="en-CA"/>
        </w:rPr>
        <w:t xml:space="preserve"> by certifying the patient’s mental competence and prescribing the lethal substance, but they are not directly involved in the fatal gesture. The doctor-patient relationship is replaced by one between a support volunteer and a person wishing to end her life. The physician then intervenes </w:t>
      </w:r>
      <w:r w:rsidR="008C66FC" w:rsidRPr="003C5907">
        <w:rPr>
          <w:rFonts w:ascii="Times" w:hAnsi="Times"/>
          <w:lang w:val="en-CA"/>
        </w:rPr>
        <w:t>in the latter stages</w:t>
      </w:r>
      <w:r w:rsidRPr="003C5907">
        <w:rPr>
          <w:rFonts w:ascii="Times" w:hAnsi="Times"/>
          <w:lang w:val="en-CA"/>
        </w:rPr>
        <w:t>, as part of the medico-legal investigative procedure.</w:t>
      </w:r>
    </w:p>
    <w:p w14:paraId="128408ED" w14:textId="77777777" w:rsidR="00CE4D6E" w:rsidRPr="003C5907" w:rsidRDefault="00CE4D6E" w:rsidP="00CE4D6E">
      <w:pPr>
        <w:spacing w:line="360" w:lineRule="auto"/>
        <w:jc w:val="both"/>
        <w:rPr>
          <w:rFonts w:ascii="Times" w:hAnsi="Times"/>
          <w:lang w:val="en-CA"/>
        </w:rPr>
      </w:pPr>
    </w:p>
    <w:p w14:paraId="6E572318" w14:textId="61D360E9" w:rsidR="00CE4D6E" w:rsidRPr="003C5907" w:rsidRDefault="00CE4D6E" w:rsidP="00CE4D6E">
      <w:pPr>
        <w:spacing w:line="360" w:lineRule="auto"/>
        <w:jc w:val="both"/>
        <w:rPr>
          <w:rFonts w:ascii="Times" w:hAnsi="Times"/>
          <w:lang w:val="en-GB"/>
        </w:rPr>
      </w:pPr>
      <w:r w:rsidRPr="003C5907">
        <w:rPr>
          <w:rFonts w:ascii="Times" w:hAnsi="Times"/>
          <w:lang w:val="en-GB"/>
        </w:rPr>
        <w:t xml:space="preserve">These two relational configurations condition the arrangement of several registers of normativity. In Annabell’s case in Belgium, the central role played by the medical profession in carrying out her request for assistance in dying likely explains that a </w:t>
      </w:r>
      <w:r w:rsidR="00C532C8" w:rsidRPr="003C5907">
        <w:rPr>
          <w:rFonts w:ascii="Times" w:hAnsi="Times"/>
          <w:lang w:val="en-GB"/>
        </w:rPr>
        <w:t xml:space="preserve">confrontation </w:t>
      </w:r>
      <w:r w:rsidRPr="003C5907">
        <w:rPr>
          <w:rFonts w:ascii="Times" w:hAnsi="Times"/>
          <w:lang w:val="en-GB"/>
        </w:rPr>
        <w:t xml:space="preserve">between normative stances arises, much more clearly than in Germaine’s case in Switzerland. This </w:t>
      </w:r>
      <w:r w:rsidR="00C532C8" w:rsidRPr="003C5907">
        <w:rPr>
          <w:rFonts w:ascii="Times" w:hAnsi="Times"/>
          <w:lang w:val="en-GB"/>
        </w:rPr>
        <w:t xml:space="preserve">confrontation </w:t>
      </w:r>
      <w:r w:rsidRPr="003C5907">
        <w:rPr>
          <w:rFonts w:ascii="Times" w:hAnsi="Times"/>
          <w:lang w:val="en-GB"/>
        </w:rPr>
        <w:t xml:space="preserve">is first observed between the physician, nurses, and psychologist, and then between the nurses and the person requesting euthanasia. The primacy of the relationship between Annabell and her doctor, and the relative exclusion of nurses who, in this particular situation, only take part at the very end of the process, point to a </w:t>
      </w:r>
      <w:r w:rsidR="00C532C8" w:rsidRPr="003C5907">
        <w:rPr>
          <w:rFonts w:ascii="Times" w:hAnsi="Times"/>
          <w:lang w:val="en-GB"/>
        </w:rPr>
        <w:t>divergence in</w:t>
      </w:r>
      <w:r w:rsidRPr="003C5907">
        <w:rPr>
          <w:rFonts w:ascii="Times" w:hAnsi="Times"/>
          <w:lang w:val="en-GB"/>
        </w:rPr>
        <w:t xml:space="preserve"> normative stances in how “care” is defined and what relational timeframe is involved. In keeping with their professional ethos, the nurses express the need to locate the suicidal gesture in the context of a relationship that develops over time. </w:t>
      </w:r>
      <w:r w:rsidR="00C532C8" w:rsidRPr="003C5907">
        <w:rPr>
          <w:rFonts w:ascii="Times" w:hAnsi="Times"/>
          <w:lang w:val="en-GB"/>
        </w:rPr>
        <w:t>Put to the test in the organisational phase, these are therefore different and even oppositional norms when it comes to relational engagement</w:t>
      </w:r>
      <w:r w:rsidR="00637775" w:rsidRPr="003C5907">
        <w:rPr>
          <w:rFonts w:ascii="Times" w:hAnsi="Times"/>
          <w:lang w:val="en-GB"/>
        </w:rPr>
        <w:t xml:space="preserve">: </w:t>
      </w:r>
      <w:r w:rsidRPr="003C5907">
        <w:rPr>
          <w:rFonts w:ascii="Times" w:hAnsi="Times"/>
          <w:lang w:val="en-GB"/>
        </w:rPr>
        <w:t xml:space="preserve">thus, the patient’s decision comes, variously, up against the physician’s particular ethics of engagement, the psychologist’s ethics of professional support, and the nurses’ ethics of relation. </w:t>
      </w:r>
    </w:p>
    <w:p w14:paraId="1FEA3600" w14:textId="77777777" w:rsidR="00CE4D6E" w:rsidRPr="003C5907" w:rsidRDefault="00CE4D6E" w:rsidP="00CE4D6E">
      <w:pPr>
        <w:spacing w:line="360" w:lineRule="auto"/>
        <w:jc w:val="both"/>
        <w:rPr>
          <w:rFonts w:ascii="Times" w:hAnsi="Times"/>
          <w:lang w:val="en-CA"/>
        </w:rPr>
      </w:pPr>
    </w:p>
    <w:p w14:paraId="77264F3A" w14:textId="7A3198EB" w:rsidR="00CE4D6E" w:rsidRPr="003C5907" w:rsidRDefault="00CE4D6E" w:rsidP="00DF6272">
      <w:pPr>
        <w:spacing w:line="360" w:lineRule="auto"/>
        <w:jc w:val="both"/>
        <w:rPr>
          <w:rFonts w:ascii="Times" w:hAnsi="Times"/>
          <w:lang w:val="en-CA"/>
        </w:rPr>
      </w:pPr>
      <w:r w:rsidRPr="003C5907">
        <w:rPr>
          <w:rFonts w:ascii="Times" w:hAnsi="Times"/>
          <w:lang w:val="en-CA"/>
        </w:rPr>
        <w:t>This dimension is not at all apparent in the Swiss case, although it may surface in assisted suicides that take place in care homes or hospital settings. This is mainly due to the limited involvement of medical professionals. In</w:t>
      </w:r>
      <w:r w:rsidR="008C66FC" w:rsidRPr="003C5907">
        <w:rPr>
          <w:rFonts w:ascii="Times" w:hAnsi="Times"/>
          <w:lang w:val="en-CA"/>
        </w:rPr>
        <w:t>deed, in</w:t>
      </w:r>
      <w:r w:rsidRPr="003C5907">
        <w:rPr>
          <w:rFonts w:ascii="Times" w:hAnsi="Times"/>
          <w:lang w:val="en-CA"/>
        </w:rPr>
        <w:t xml:space="preserve"> Switzerland, the relationship primarily unfolds between a support volunteer from an association and the person wishing to commit suicide. This form of intersubjectivity leads to a process of adapting not only to other normativities, but also to other models of confrontation. As it happens, associations also bring to bear their own normativity: Hélène, the support volunteer, assesses the experiences of the person she is supporting, especially “the feeling of having lived a full life” and “having discussed her plans with her loved ones.” Moreover, she dismisses any of Germaine’s statements about “having become useless” or “being a burden to others.” These discussions thus demonstrate a rapport that fosters trust and sharing, during which life experiences can be </w:t>
      </w:r>
      <w:r w:rsidRPr="003C5907">
        <w:rPr>
          <w:rFonts w:ascii="Times" w:hAnsi="Times"/>
          <w:lang w:val="en-CA"/>
        </w:rPr>
        <w:lastRenderedPageBreak/>
        <w:t>exchanged. In Belgium, by contrast, for a euthanasia request to be accepted, the patient</w:t>
      </w:r>
      <w:r w:rsidR="00C532C8" w:rsidRPr="003C5907">
        <w:rPr>
          <w:rFonts w:ascii="Times" w:hAnsi="Times"/>
          <w:lang w:val="en-CA"/>
        </w:rPr>
        <w:t>, who is never sure to obtain satisfaction,</w:t>
      </w:r>
      <w:r w:rsidRPr="003C5907">
        <w:rPr>
          <w:rFonts w:ascii="Times" w:hAnsi="Times"/>
          <w:lang w:val="en-CA"/>
        </w:rPr>
        <w:t xml:space="preserve"> must, first and foremost, convince the attending physician and frame the request in medical terms, bearing in mind the strict legal and ethical boundaries. In Switzerland, the support process is more clearly separate from the institutionalized power structure, which in no way precludes a </w:t>
      </w:r>
      <w:r w:rsidR="00DF6272" w:rsidRPr="003C5907">
        <w:rPr>
          <w:rFonts w:ascii="Times" w:hAnsi="Times"/>
          <w:lang w:val="en-CA"/>
        </w:rPr>
        <w:t xml:space="preserve">“diffuse” </w:t>
      </w:r>
      <w:r w:rsidRPr="003C5907">
        <w:rPr>
          <w:rFonts w:ascii="Times" w:hAnsi="Times"/>
          <w:lang w:val="en-CA"/>
        </w:rPr>
        <w:t>form of normativity from filtering in</w:t>
      </w:r>
      <w:r w:rsidR="00DF6272" w:rsidRPr="003C5907">
        <w:rPr>
          <w:rFonts w:ascii="Times" w:hAnsi="Times"/>
          <w:lang w:val="en-CA"/>
        </w:rPr>
        <w:t xml:space="preserve"> </w:t>
      </w:r>
      <w:r w:rsidR="00DF6272" w:rsidRPr="003C5907">
        <w:rPr>
          <w:rFonts w:ascii="Times" w:hAnsi="Times"/>
          <w:lang w:val="en-CA"/>
        </w:rPr>
        <w:t>(Memmi, 2003, p. 268)</w:t>
      </w:r>
      <w:r w:rsidRPr="003C5907">
        <w:rPr>
          <w:rFonts w:ascii="Times" w:hAnsi="Times"/>
          <w:lang w:val="en-CA"/>
        </w:rPr>
        <w:t xml:space="preserve">, perhaps even more </w:t>
      </w:r>
      <w:r w:rsidR="00DF6272" w:rsidRPr="003C5907">
        <w:rPr>
          <w:rFonts w:ascii="Times" w:hAnsi="Times"/>
          <w:lang w:val="en-CA"/>
        </w:rPr>
        <w:t xml:space="preserve">so </w:t>
      </w:r>
      <w:r w:rsidRPr="003C5907">
        <w:rPr>
          <w:rFonts w:ascii="Times" w:hAnsi="Times"/>
          <w:lang w:val="en-CA"/>
        </w:rPr>
        <w:t xml:space="preserve">than through institutional bodies, with no guarantee either that the suicide request will be granted. </w:t>
      </w:r>
    </w:p>
    <w:p w14:paraId="13BA4AE0" w14:textId="77777777" w:rsidR="00CE4D6E" w:rsidRPr="003C5907" w:rsidRDefault="00CE4D6E" w:rsidP="00CE4D6E">
      <w:pPr>
        <w:spacing w:line="360" w:lineRule="auto"/>
        <w:jc w:val="both"/>
        <w:rPr>
          <w:rFonts w:ascii="Times" w:hAnsi="Times"/>
          <w:lang w:val="en-CA"/>
        </w:rPr>
      </w:pPr>
    </w:p>
    <w:p w14:paraId="6CD72EF1" w14:textId="5CB4FE26" w:rsidR="00CE4D6E" w:rsidRPr="003C5907" w:rsidRDefault="00CE4D6E" w:rsidP="00CE4D6E">
      <w:pPr>
        <w:spacing w:line="360" w:lineRule="auto"/>
        <w:jc w:val="both"/>
        <w:rPr>
          <w:rFonts w:ascii="Times" w:hAnsi="Times"/>
          <w:lang w:val="en-CA"/>
        </w:rPr>
      </w:pPr>
      <w:r w:rsidRPr="003C5907">
        <w:rPr>
          <w:rFonts w:ascii="Times" w:hAnsi="Times"/>
          <w:lang w:val="en-CA"/>
        </w:rPr>
        <w:t xml:space="preserve">In Belgium and Switzerland, we observe processes that may be different but still pertain to forms of ‘pacifying’ death. The dynamics of these apparatuses, as such, give rise to what might be called forms of conversion, both individual and collective, of tensions in the face of death. In Belgium, the medical establishment is omnipresent, wielding its authority and roster of specialists, </w:t>
      </w:r>
      <w:r w:rsidR="00C532C8" w:rsidRPr="003C5907">
        <w:rPr>
          <w:rFonts w:ascii="Times" w:hAnsi="Times"/>
          <w:lang w:val="en-CA"/>
        </w:rPr>
        <w:t>while the law provides a constant backdrop</w:t>
      </w:r>
      <w:r w:rsidRPr="003C5907">
        <w:rPr>
          <w:rFonts w:ascii="Times" w:hAnsi="Times"/>
          <w:lang w:val="en-CA"/>
        </w:rPr>
        <w:t>. Management of the process is deeply affected by the institutional order and its many and varied actors. Here, pacifying entails a sequence of rather complex micro-level power plays – a “micro-physics” of relationships. The situation is different in Switzerland, though, where the relationship is legally framed from the beginning of the process but then “filtered out” of a context seen as overly institutional so that it can develop in a less hierarchical, less heterogeneous space. As a result, the family would remain the only source of normative discord.</w:t>
      </w:r>
    </w:p>
    <w:p w14:paraId="1630BCE7" w14:textId="77777777" w:rsidR="00CE4D6E" w:rsidRPr="003C5907" w:rsidRDefault="00CE4D6E" w:rsidP="00CE4D6E">
      <w:pPr>
        <w:spacing w:line="360" w:lineRule="auto"/>
        <w:jc w:val="both"/>
        <w:rPr>
          <w:rFonts w:ascii="Times" w:hAnsi="Times" w:cs="Arial"/>
          <w:lang w:val="en-CA"/>
        </w:rPr>
      </w:pPr>
    </w:p>
    <w:p w14:paraId="66CBAC61" w14:textId="77777777" w:rsidR="00CE4D6E" w:rsidRPr="003C5907" w:rsidRDefault="00CE4D6E" w:rsidP="00CE4D6E">
      <w:pPr>
        <w:spacing w:line="360" w:lineRule="auto"/>
        <w:jc w:val="both"/>
        <w:rPr>
          <w:rFonts w:ascii="Times" w:hAnsi="Times" w:cs="Arial"/>
          <w:lang w:val="en-CA"/>
        </w:rPr>
      </w:pPr>
      <w:r w:rsidRPr="003C5907">
        <w:rPr>
          <w:rFonts w:ascii="Times" w:hAnsi="Times" w:cs="Arial"/>
          <w:lang w:val="en-CA"/>
        </w:rPr>
        <w:t xml:space="preserve">We have attempted here to draw comparisons between micro-systems of normalization and to analyze what they reflexively elicit in order to understand their unique features better and to identify their broadly common traits. The sociology of aid in dying that we are proposing takes as its primary focus the processes of normalization that structure this kind of assistance. Normalization takes place through a set of apparatuses, which we can, at least in part, categorize as follows: State normativity (the legal framework); the normativity of various professional bodies; organizational normativity; discursive normativity – aid in dying having its own specific vocabulary and performativity, while being grounded in, yet revealing, its own anthropology; the normativity of the relationship to the body; technical normativity; relational normativity, which underlies the relationships that develop between those requesting assistance in dying, healthcare staff, and support volunteers, not to mention family members and friends. These normative sets fit together and adjust to each other. The resulting arrangements are specific to each national context and design a specific normativity of death, which could be defined as </w:t>
      </w:r>
      <w:r w:rsidRPr="003C5907">
        <w:rPr>
          <w:lang w:val="en-CA"/>
        </w:rPr>
        <w:t>an apparatus of apparat</w:t>
      </w:r>
      <w:r w:rsidRPr="003C5907">
        <w:rPr>
          <w:rFonts w:ascii="Times" w:hAnsi="Times" w:cs="Arial"/>
          <w:lang w:val="en-CA"/>
        </w:rPr>
        <w:t xml:space="preserve">uses. By analyzing these designs, the </w:t>
      </w:r>
      <w:r w:rsidRPr="003C5907">
        <w:rPr>
          <w:rFonts w:ascii="Times" w:hAnsi="Times" w:cs="Arial"/>
          <w:lang w:val="en-CA"/>
        </w:rPr>
        <w:lastRenderedPageBreak/>
        <w:t>ultimate goal of this research program would be to define the new paradigmatic forms taken by aid in dying in the contemporary era.</w:t>
      </w:r>
    </w:p>
    <w:p w14:paraId="2EA0E380" w14:textId="77777777" w:rsidR="00CE4D6E" w:rsidRPr="003C5907" w:rsidRDefault="00CE4D6E" w:rsidP="00CE4D6E">
      <w:pPr>
        <w:spacing w:line="360" w:lineRule="auto"/>
        <w:jc w:val="both"/>
        <w:rPr>
          <w:rFonts w:ascii="Times" w:hAnsi="Times"/>
          <w:lang w:val="en-CA"/>
        </w:rPr>
      </w:pPr>
    </w:p>
    <w:p w14:paraId="6D446C4E" w14:textId="77777777" w:rsidR="00CE4D6E" w:rsidRPr="003C5907" w:rsidRDefault="00CE4D6E" w:rsidP="00CE4D6E">
      <w:pPr>
        <w:jc w:val="both"/>
        <w:rPr>
          <w:rFonts w:ascii="Times" w:hAnsi="Times"/>
          <w:b/>
          <w:i/>
          <w:lang w:val="nl-BE"/>
        </w:rPr>
      </w:pPr>
      <w:r w:rsidRPr="003C5907">
        <w:rPr>
          <w:rFonts w:ascii="Times" w:hAnsi="Times"/>
          <w:b/>
          <w:i/>
          <w:lang w:val="nl-BE"/>
        </w:rPr>
        <w:t>References</w:t>
      </w:r>
    </w:p>
    <w:p w14:paraId="74FBDF20" w14:textId="77777777" w:rsidR="00CE4D6E" w:rsidRPr="003C5907" w:rsidRDefault="00CE4D6E" w:rsidP="00CE4D6E">
      <w:pPr>
        <w:jc w:val="both"/>
        <w:rPr>
          <w:rFonts w:ascii="Times" w:hAnsi="Times"/>
          <w:lang w:val="nl-BE"/>
        </w:rPr>
      </w:pPr>
    </w:p>
    <w:p w14:paraId="7DABB2F3" w14:textId="77777777" w:rsidR="00CE4D6E" w:rsidRPr="003C5907" w:rsidRDefault="00CE4D6E" w:rsidP="00CE4D6E">
      <w:pPr>
        <w:widowControl w:val="0"/>
        <w:autoSpaceDE w:val="0"/>
        <w:autoSpaceDN w:val="0"/>
        <w:adjustRightInd w:val="0"/>
        <w:jc w:val="both"/>
        <w:rPr>
          <w:rStyle w:val="element-citation"/>
          <w:rFonts w:ascii="Times" w:hAnsi="Times"/>
          <w:lang w:val="en-US"/>
        </w:rPr>
      </w:pPr>
      <w:r w:rsidRPr="003C5907">
        <w:rPr>
          <w:rStyle w:val="element-citation"/>
          <w:rFonts w:ascii="Times" w:hAnsi="Times"/>
          <w:lang w:val="de-CH"/>
        </w:rPr>
        <w:t xml:space="preserve">Bernheim, J. L., Deschepper, R., Distelmans, W., Mullie, A., Bilsen, J., &amp; Deliens, L. (2008). </w:t>
      </w:r>
      <w:r w:rsidRPr="003C5907">
        <w:rPr>
          <w:rStyle w:val="element-citation"/>
          <w:rFonts w:ascii="Times" w:hAnsi="Times"/>
          <w:lang w:val="en-US"/>
        </w:rPr>
        <w:t xml:space="preserve">Development of palliative care and legalisation of euthanasia: Antagonism or synergy? </w:t>
      </w:r>
      <w:r w:rsidRPr="003C5907">
        <w:rPr>
          <w:rStyle w:val="ref-journal"/>
          <w:rFonts w:ascii="Times" w:hAnsi="Times"/>
          <w:i/>
          <w:lang w:val="en-US"/>
        </w:rPr>
        <w:t>British Medical Journal</w:t>
      </w:r>
      <w:r w:rsidRPr="003C5907">
        <w:rPr>
          <w:rStyle w:val="ref-journal"/>
          <w:rFonts w:ascii="Times" w:hAnsi="Times"/>
          <w:lang w:val="en-US"/>
        </w:rPr>
        <w:t xml:space="preserve">, </w:t>
      </w:r>
      <w:r w:rsidRPr="003C5907">
        <w:rPr>
          <w:rStyle w:val="ref-vol"/>
          <w:rFonts w:ascii="Times" w:hAnsi="Times"/>
          <w:i/>
          <w:lang w:val="en-US"/>
        </w:rPr>
        <w:t>336</w:t>
      </w:r>
      <w:r w:rsidRPr="003C5907">
        <w:rPr>
          <w:rStyle w:val="element-citation"/>
          <w:rFonts w:ascii="Times" w:hAnsi="Times"/>
          <w:lang w:val="en-US"/>
        </w:rPr>
        <w:t>(7649), 864–867.</w:t>
      </w:r>
    </w:p>
    <w:p w14:paraId="3EFD1CDF" w14:textId="77777777" w:rsidR="00CE4D6E" w:rsidRPr="003C5907" w:rsidRDefault="00CE4D6E" w:rsidP="00CE4D6E">
      <w:pPr>
        <w:widowControl w:val="0"/>
        <w:autoSpaceDE w:val="0"/>
        <w:autoSpaceDN w:val="0"/>
        <w:adjustRightInd w:val="0"/>
        <w:jc w:val="both"/>
        <w:rPr>
          <w:rStyle w:val="element-citation"/>
          <w:rFonts w:ascii="Times" w:hAnsi="Times"/>
          <w:lang w:val="en-US"/>
        </w:rPr>
      </w:pPr>
    </w:p>
    <w:p w14:paraId="0F4975F3" w14:textId="4457FCD5" w:rsidR="00CE4D6E" w:rsidRPr="003C5907" w:rsidRDefault="00CE4D6E" w:rsidP="003C5907">
      <w:pPr>
        <w:widowControl w:val="0"/>
        <w:autoSpaceDE w:val="0"/>
        <w:autoSpaceDN w:val="0"/>
        <w:adjustRightInd w:val="0"/>
        <w:jc w:val="both"/>
        <w:rPr>
          <w:rFonts w:ascii="Times" w:hAnsi="Times"/>
          <w:lang w:val="en-US"/>
        </w:rPr>
      </w:pPr>
      <w:r w:rsidRPr="003C5907">
        <w:rPr>
          <w:rFonts w:ascii="Times" w:hAnsi="Times"/>
          <w:lang w:val="en-US"/>
        </w:rPr>
        <w:t xml:space="preserve">Berthod, M.-A., Stavrianakis, A., Pillonel, A., &amp; Castelli Dransart, D.A. (2019). Imagining Terminality. Anticipations of Suicide with Assistance in Switzerland, </w:t>
      </w:r>
      <w:r w:rsidRPr="003C5907">
        <w:rPr>
          <w:rFonts w:ascii="Times" w:hAnsi="Times"/>
          <w:i/>
          <w:lang w:val="en-US"/>
        </w:rPr>
        <w:t>Revista M. Estudos sobre o morte os mortos o morrer</w:t>
      </w:r>
      <w:r w:rsidRPr="003C5907">
        <w:rPr>
          <w:rFonts w:ascii="Times" w:hAnsi="Times"/>
          <w:lang w:val="en-US"/>
        </w:rPr>
        <w:t xml:space="preserve">, </w:t>
      </w:r>
      <w:r w:rsidRPr="003C5907">
        <w:rPr>
          <w:rFonts w:ascii="Times" w:hAnsi="Times"/>
          <w:i/>
          <w:lang w:val="en-US"/>
        </w:rPr>
        <w:t>4</w:t>
      </w:r>
      <w:r w:rsidRPr="003C5907">
        <w:rPr>
          <w:rFonts w:ascii="Times" w:hAnsi="Times"/>
          <w:lang w:val="en-US"/>
        </w:rPr>
        <w:t>(7), 45</w:t>
      </w:r>
      <w:r w:rsidR="003C5907">
        <w:rPr>
          <w:rFonts w:ascii="Times" w:hAnsi="Times"/>
          <w:lang w:val="en-US"/>
        </w:rPr>
        <w:t>–</w:t>
      </w:r>
      <w:r w:rsidRPr="003C5907">
        <w:rPr>
          <w:rFonts w:ascii="Times" w:hAnsi="Times"/>
          <w:lang w:val="en-US"/>
        </w:rPr>
        <w:t xml:space="preserve">59. </w:t>
      </w:r>
    </w:p>
    <w:p w14:paraId="103EA414" w14:textId="77777777" w:rsidR="00CE4D6E" w:rsidRPr="003C5907" w:rsidRDefault="00CE4D6E" w:rsidP="00CE4D6E">
      <w:pPr>
        <w:widowControl w:val="0"/>
        <w:autoSpaceDE w:val="0"/>
        <w:autoSpaceDN w:val="0"/>
        <w:adjustRightInd w:val="0"/>
        <w:jc w:val="both"/>
        <w:rPr>
          <w:rFonts w:ascii="Times" w:hAnsi="Times"/>
          <w:lang w:val="en-US"/>
        </w:rPr>
      </w:pPr>
    </w:p>
    <w:p w14:paraId="4E293A9A" w14:textId="77777777" w:rsidR="00CE4D6E" w:rsidRPr="003C5907" w:rsidRDefault="00CE4D6E" w:rsidP="00CE4D6E">
      <w:pPr>
        <w:jc w:val="both"/>
        <w:rPr>
          <w:rFonts w:ascii="Times" w:hAnsi="Times" w:cs="Arial"/>
          <w:lang w:val="en-US"/>
        </w:rPr>
      </w:pPr>
      <w:r w:rsidRPr="003C5907">
        <w:rPr>
          <w:rFonts w:ascii="Times" w:hAnsi="Times" w:cs="Arial"/>
          <w:lang w:val="en-US"/>
        </w:rPr>
        <w:t xml:space="preserve">Castelli Dransart, D.A., Scozzari, E., &amp; Voélin, S. (2017). Stances on Assisted Suicide of Health and Social Care Professionals Working in Organizations or Institutions for the Elderly in Switzerland. </w:t>
      </w:r>
      <w:r w:rsidRPr="003C5907">
        <w:rPr>
          <w:rFonts w:ascii="Times" w:hAnsi="Times" w:cs="Arial"/>
          <w:i/>
          <w:lang w:val="en-US"/>
        </w:rPr>
        <w:t>Ethics &amp; Behavior</w:t>
      </w:r>
      <w:r w:rsidRPr="003C5907">
        <w:rPr>
          <w:rFonts w:ascii="Times" w:hAnsi="Times" w:cs="Arial"/>
          <w:lang w:val="en-US"/>
        </w:rPr>
        <w:t xml:space="preserve">, </w:t>
      </w:r>
      <w:r w:rsidRPr="003C5907">
        <w:rPr>
          <w:rFonts w:ascii="Times" w:hAnsi="Times" w:cs="Arial"/>
          <w:i/>
          <w:lang w:val="en-US"/>
        </w:rPr>
        <w:t>27</w:t>
      </w:r>
      <w:r w:rsidRPr="003C5907">
        <w:rPr>
          <w:rFonts w:ascii="Times" w:hAnsi="Times" w:cs="Arial"/>
          <w:lang w:val="en-US"/>
        </w:rPr>
        <w:t>(7), 599</w:t>
      </w:r>
      <w:r w:rsidRPr="003C5907">
        <w:rPr>
          <w:rStyle w:val="element-citation"/>
          <w:rFonts w:ascii="Times" w:hAnsi="Times"/>
          <w:lang w:val="en-US"/>
        </w:rPr>
        <w:t>–</w:t>
      </w:r>
      <w:r w:rsidRPr="003C5907">
        <w:rPr>
          <w:rFonts w:ascii="Times" w:hAnsi="Times" w:cs="Arial"/>
          <w:lang w:val="en-US"/>
        </w:rPr>
        <w:t xml:space="preserve">614. </w:t>
      </w:r>
    </w:p>
    <w:p w14:paraId="1EBA0DA6" w14:textId="77777777" w:rsidR="00CE4D6E" w:rsidRPr="003C5907" w:rsidRDefault="00CE4D6E" w:rsidP="00CE4D6E">
      <w:pPr>
        <w:jc w:val="both"/>
        <w:rPr>
          <w:rFonts w:ascii="Times" w:hAnsi="Times" w:cs="Arial"/>
          <w:lang w:val="en-US"/>
        </w:rPr>
      </w:pPr>
    </w:p>
    <w:p w14:paraId="62AA5BC4" w14:textId="77777777" w:rsidR="00CE4D6E" w:rsidRPr="003C5907" w:rsidRDefault="00CE4D6E" w:rsidP="00CE4D6E">
      <w:pPr>
        <w:jc w:val="both"/>
        <w:rPr>
          <w:rFonts w:ascii="Times" w:hAnsi="Times" w:cs="Arial"/>
        </w:rPr>
      </w:pPr>
      <w:r w:rsidRPr="003C5907">
        <w:rPr>
          <w:rFonts w:ascii="Times" w:hAnsi="Times" w:cs="Arial"/>
          <w:lang w:val="en-US"/>
        </w:rPr>
        <w:t xml:space="preserve">Castelli Dransart, D.A., Voélin S., &amp; Scozzari E. (2015). </w:t>
      </w:r>
      <w:r w:rsidRPr="003C5907">
        <w:rPr>
          <w:rFonts w:ascii="Times" w:hAnsi="Times" w:cs="Arial"/>
        </w:rPr>
        <w:t xml:space="preserve">Comment la marge peut-elle déplacer le centre en matière d’accompagnement de fin de vie? L’exemple de l’assistance au suicide au sein d’établissements médico-sociaux (EMS) en Suisse </w:t>
      </w:r>
      <w:r w:rsidRPr="003C5907">
        <w:rPr>
          <w:rFonts w:ascii="Times" w:hAnsi="Times" w:cstheme="minorHAnsi"/>
        </w:rPr>
        <w:t xml:space="preserve">[How can the margin move the centre in terms of end-of-life support? </w:t>
      </w:r>
      <w:r w:rsidRPr="003C5907">
        <w:rPr>
          <w:rFonts w:ascii="Times" w:hAnsi="Times" w:cstheme="minorHAnsi"/>
          <w:lang w:val="en-US"/>
        </w:rPr>
        <w:t>The example of assisted suicide within medico-social institutions (EMS) in Switzerland]</w:t>
      </w:r>
      <w:r w:rsidRPr="003C5907">
        <w:rPr>
          <w:rFonts w:ascii="Times" w:hAnsi="Times" w:cs="Arial"/>
          <w:lang w:val="en-US"/>
        </w:rPr>
        <w:t xml:space="preserve">. </w:t>
      </w:r>
      <w:r w:rsidRPr="003C5907">
        <w:rPr>
          <w:rFonts w:ascii="Times" w:hAnsi="Times" w:cs="Arial"/>
          <w:i/>
        </w:rPr>
        <w:t>Nouvelles Pratiques sociales</w:t>
      </w:r>
      <w:r w:rsidRPr="003C5907">
        <w:rPr>
          <w:rFonts w:ascii="Times" w:hAnsi="Times" w:cs="Arial"/>
        </w:rPr>
        <w:t xml:space="preserve">, </w:t>
      </w:r>
      <w:r w:rsidRPr="003C5907">
        <w:rPr>
          <w:rFonts w:ascii="Times" w:hAnsi="Times" w:cs="Arial"/>
          <w:i/>
        </w:rPr>
        <w:t>27</w:t>
      </w:r>
      <w:r w:rsidRPr="003C5907">
        <w:rPr>
          <w:rFonts w:ascii="Times" w:hAnsi="Times" w:cs="Arial"/>
        </w:rPr>
        <w:t>(2), 129</w:t>
      </w:r>
      <w:r w:rsidRPr="003C5907">
        <w:rPr>
          <w:rStyle w:val="element-citation"/>
          <w:rFonts w:ascii="Times" w:hAnsi="Times"/>
        </w:rPr>
        <w:t>–</w:t>
      </w:r>
      <w:r w:rsidRPr="003C5907">
        <w:rPr>
          <w:rFonts w:ascii="Times" w:hAnsi="Times" w:cs="Arial"/>
        </w:rPr>
        <w:t xml:space="preserve">144. </w:t>
      </w:r>
    </w:p>
    <w:p w14:paraId="3C8F4C77" w14:textId="77777777" w:rsidR="00CE4D6E" w:rsidRPr="003C5907" w:rsidRDefault="00CE4D6E" w:rsidP="00CE4D6E">
      <w:pPr>
        <w:jc w:val="both"/>
        <w:rPr>
          <w:rFonts w:ascii="Times" w:hAnsi="Times"/>
        </w:rPr>
      </w:pPr>
    </w:p>
    <w:p w14:paraId="60753809" w14:textId="77777777" w:rsidR="00CE4D6E" w:rsidRPr="003C5907" w:rsidRDefault="00CE4D6E" w:rsidP="00CE4D6E">
      <w:pPr>
        <w:jc w:val="both"/>
        <w:rPr>
          <w:rFonts w:ascii="Times" w:hAnsi="Times"/>
        </w:rPr>
      </w:pPr>
      <w:r w:rsidRPr="003C5907">
        <w:rPr>
          <w:rFonts w:ascii="Times" w:hAnsi="Times"/>
        </w:rPr>
        <w:t xml:space="preserve">Castra, M. (2003). </w:t>
      </w:r>
      <w:r w:rsidRPr="003C5907">
        <w:rPr>
          <w:rFonts w:ascii="Times" w:hAnsi="Times"/>
          <w:i/>
        </w:rPr>
        <w:t xml:space="preserve">Bien mourir. Sociologie des soins palliatifs </w:t>
      </w:r>
      <w:r w:rsidRPr="003C5907">
        <w:rPr>
          <w:rFonts w:ascii="Times" w:hAnsi="Times" w:cstheme="minorHAnsi"/>
        </w:rPr>
        <w:t>[Dying well. Sociology of palliative care]</w:t>
      </w:r>
      <w:r w:rsidRPr="003C5907">
        <w:rPr>
          <w:rFonts w:ascii="Times" w:hAnsi="Times"/>
        </w:rPr>
        <w:t>. Paris: Presses universitaires de France.</w:t>
      </w:r>
    </w:p>
    <w:p w14:paraId="0BF3A410" w14:textId="77777777" w:rsidR="00CE4D6E" w:rsidRPr="003C5907" w:rsidRDefault="00CE4D6E" w:rsidP="00CE4D6E">
      <w:pPr>
        <w:jc w:val="both"/>
        <w:rPr>
          <w:rFonts w:ascii="Times" w:hAnsi="Times"/>
        </w:rPr>
      </w:pPr>
    </w:p>
    <w:p w14:paraId="1CE9B7C8" w14:textId="7BFC153E" w:rsidR="00CE4D6E" w:rsidRPr="003C5907" w:rsidRDefault="00CE4D6E" w:rsidP="00DF6272">
      <w:pPr>
        <w:jc w:val="both"/>
        <w:rPr>
          <w:rFonts w:ascii="Times" w:hAnsi="Times"/>
          <w:i/>
          <w:lang w:val="en-US"/>
        </w:rPr>
      </w:pPr>
      <w:r w:rsidRPr="003C5907">
        <w:rPr>
          <w:rFonts w:ascii="Times" w:hAnsi="Times"/>
        </w:rPr>
        <w:t>Déchaux, J.-H. (2001). « Un nouvel âge du mourir : ‘</w:t>
      </w:r>
      <w:r w:rsidRPr="003C5907">
        <w:rPr>
          <w:rFonts w:ascii="Times" w:hAnsi="Times"/>
        </w:rPr>
        <w:t>la mort en soi</w:t>
      </w:r>
      <w:r w:rsidRPr="003C5907">
        <w:rPr>
          <w:rFonts w:ascii="Times" w:hAnsi="Times"/>
        </w:rPr>
        <w:t xml:space="preserve">’ » </w:t>
      </w:r>
      <w:r w:rsidRPr="003C5907">
        <w:rPr>
          <w:rFonts w:ascii="Times" w:hAnsi="Times" w:cstheme="minorHAnsi"/>
        </w:rPr>
        <w:t xml:space="preserve">[A new age of dying : </w:t>
      </w:r>
      <w:r w:rsidR="00DF6272" w:rsidRPr="003C5907">
        <w:rPr>
          <w:rFonts w:ascii="Times" w:hAnsi="Times" w:cstheme="minorHAnsi"/>
          <w:lang w:val="fr-FR"/>
        </w:rPr>
        <w:t>‘death in itself’</w:t>
      </w:r>
      <w:r w:rsidRPr="003C5907">
        <w:rPr>
          <w:rFonts w:ascii="Times" w:hAnsi="Times" w:cstheme="minorHAnsi"/>
        </w:rPr>
        <w:t>]</w:t>
      </w:r>
      <w:r w:rsidRPr="003C5907">
        <w:rPr>
          <w:rFonts w:ascii="Times" w:hAnsi="Times"/>
        </w:rPr>
        <w:t xml:space="preserve">. </w:t>
      </w:r>
      <w:r w:rsidRPr="003C5907">
        <w:rPr>
          <w:rFonts w:ascii="Times" w:hAnsi="Times"/>
          <w:i/>
          <w:lang w:val="en-US"/>
        </w:rPr>
        <w:t>Recherches Sociologiques, 32</w:t>
      </w:r>
      <w:r w:rsidRPr="003C5907">
        <w:rPr>
          <w:rFonts w:ascii="Times" w:hAnsi="Times"/>
          <w:lang w:val="en-US"/>
        </w:rPr>
        <w:t>(2), 79</w:t>
      </w:r>
      <w:r w:rsidRPr="003C5907">
        <w:rPr>
          <w:rStyle w:val="element-citation"/>
          <w:rFonts w:ascii="Times" w:hAnsi="Times"/>
          <w:lang w:val="en-US"/>
        </w:rPr>
        <w:t>–</w:t>
      </w:r>
      <w:r w:rsidRPr="003C5907">
        <w:rPr>
          <w:rFonts w:ascii="Times" w:hAnsi="Times"/>
          <w:lang w:val="en-US"/>
        </w:rPr>
        <w:t>100.</w:t>
      </w:r>
      <w:r w:rsidRPr="003C5907">
        <w:rPr>
          <w:rFonts w:ascii="Times" w:hAnsi="Times"/>
          <w:i/>
          <w:lang w:val="en-US"/>
        </w:rPr>
        <w:t xml:space="preserve"> </w:t>
      </w:r>
    </w:p>
    <w:p w14:paraId="4D3C2F73" w14:textId="77777777" w:rsidR="00CE4D6E" w:rsidRPr="003C5907" w:rsidRDefault="00CE4D6E" w:rsidP="00CE4D6E">
      <w:pPr>
        <w:jc w:val="both"/>
        <w:rPr>
          <w:rFonts w:ascii="Times" w:hAnsi="Times"/>
          <w:lang w:val="en-US"/>
        </w:rPr>
      </w:pPr>
    </w:p>
    <w:p w14:paraId="18F526AC" w14:textId="77777777" w:rsidR="00CE4D6E" w:rsidRPr="003C5907" w:rsidRDefault="00CE4D6E" w:rsidP="00CE4D6E">
      <w:pPr>
        <w:widowControl w:val="0"/>
        <w:autoSpaceDE w:val="0"/>
        <w:autoSpaceDN w:val="0"/>
        <w:adjustRightInd w:val="0"/>
        <w:jc w:val="both"/>
        <w:rPr>
          <w:rStyle w:val="element-citation"/>
          <w:rFonts w:ascii="Times" w:hAnsi="Times"/>
        </w:rPr>
      </w:pPr>
      <w:r w:rsidRPr="003C5907">
        <w:rPr>
          <w:rStyle w:val="element-citation"/>
          <w:rFonts w:ascii="Times" w:hAnsi="Times"/>
          <w:lang w:val="en-US"/>
        </w:rPr>
        <w:t xml:space="preserve">Dobbelaere, K., &amp; Voyé L. (2015). Euthanasia and the Belgian Catholic World. In K. Dobbelaere, &amp; A. Pérez-Agote (Eds.), </w:t>
      </w:r>
      <w:r w:rsidRPr="003C5907">
        <w:rPr>
          <w:rStyle w:val="element-citation"/>
          <w:rFonts w:ascii="Times" w:hAnsi="Times"/>
          <w:i/>
          <w:lang w:val="en-US"/>
        </w:rPr>
        <w:t xml:space="preserve">The Intimate. Polity and the Catholic Church – Laws about Life, Death and the Family in So-called Catholic Countries </w:t>
      </w:r>
      <w:r w:rsidRPr="003C5907">
        <w:rPr>
          <w:rStyle w:val="element-citation"/>
          <w:rFonts w:ascii="Times" w:hAnsi="Times"/>
          <w:lang w:val="en-US"/>
        </w:rPr>
        <w:t xml:space="preserve">(pp. 13–54). </w:t>
      </w:r>
      <w:r w:rsidRPr="003C5907">
        <w:rPr>
          <w:rStyle w:val="element-citation"/>
          <w:rFonts w:ascii="Times" w:hAnsi="Times"/>
        </w:rPr>
        <w:t>Leuven: Leuven University Press.</w:t>
      </w:r>
    </w:p>
    <w:p w14:paraId="0FD94A70" w14:textId="77777777" w:rsidR="00CE4D6E" w:rsidRPr="003C5907" w:rsidRDefault="00CE4D6E" w:rsidP="00CE4D6E">
      <w:pPr>
        <w:jc w:val="both"/>
        <w:rPr>
          <w:rFonts w:ascii="Times" w:hAnsi="Times"/>
        </w:rPr>
      </w:pPr>
    </w:p>
    <w:p w14:paraId="1E0955C6" w14:textId="77777777" w:rsidR="00CE4D6E" w:rsidRPr="003C5907" w:rsidRDefault="00CE4D6E" w:rsidP="00CE4D6E">
      <w:pPr>
        <w:jc w:val="both"/>
        <w:rPr>
          <w:rFonts w:ascii="Times" w:hAnsi="Times"/>
        </w:rPr>
      </w:pPr>
      <w:r w:rsidRPr="003C5907">
        <w:rPr>
          <w:rFonts w:ascii="Times" w:hAnsi="Times"/>
        </w:rPr>
        <w:t>Dodier, N., &amp; Stavrianakis, A. (Eds.) (2018</w:t>
      </w:r>
      <w:r w:rsidRPr="003C5907">
        <w:rPr>
          <w:rFonts w:ascii="Times" w:hAnsi="Times"/>
          <w:i/>
        </w:rPr>
        <w:t>).</w:t>
      </w:r>
      <w:r w:rsidRPr="003C5907">
        <w:rPr>
          <w:rStyle w:val="Emphasis"/>
          <w:rFonts w:ascii="Times" w:hAnsi="Times"/>
        </w:rPr>
        <w:t xml:space="preserve"> </w:t>
      </w:r>
      <w:r w:rsidRPr="003C5907">
        <w:rPr>
          <w:rFonts w:ascii="Times" w:hAnsi="Times"/>
          <w:i/>
        </w:rPr>
        <w:t>Les objets composés. Agencements, dispositifs, assemblages</w:t>
      </w:r>
      <w:r w:rsidRPr="003C5907">
        <w:rPr>
          <w:rFonts w:ascii="Times" w:hAnsi="Times"/>
        </w:rPr>
        <w:t xml:space="preserve"> </w:t>
      </w:r>
      <w:r w:rsidRPr="003C5907">
        <w:rPr>
          <w:rFonts w:ascii="Times" w:hAnsi="Times" w:cstheme="minorHAnsi"/>
        </w:rPr>
        <w:t>[Composite objects: Agencements, dispositifs, assemblages]</w:t>
      </w:r>
      <w:r w:rsidRPr="003C5907">
        <w:rPr>
          <w:rFonts w:ascii="Times" w:hAnsi="Times"/>
        </w:rPr>
        <w:t>. Paris : École des hautes études en sciences sociales.</w:t>
      </w:r>
    </w:p>
    <w:p w14:paraId="672C5169" w14:textId="77777777" w:rsidR="00CE4D6E" w:rsidRPr="003C5907" w:rsidRDefault="00CE4D6E" w:rsidP="00CE4D6E">
      <w:pPr>
        <w:jc w:val="both"/>
        <w:rPr>
          <w:rFonts w:ascii="Times" w:hAnsi="Times"/>
        </w:rPr>
      </w:pPr>
    </w:p>
    <w:p w14:paraId="2A3C2A19" w14:textId="77777777" w:rsidR="00CE4D6E" w:rsidRPr="003C5907" w:rsidRDefault="00CE4D6E" w:rsidP="00CE4D6E">
      <w:pPr>
        <w:jc w:val="both"/>
        <w:rPr>
          <w:rFonts w:ascii="Times" w:hAnsi="Times" w:cstheme="minorHAnsi"/>
        </w:rPr>
      </w:pPr>
      <w:r w:rsidRPr="003C5907">
        <w:rPr>
          <w:rFonts w:ascii="Times" w:hAnsi="Times"/>
        </w:rPr>
        <w:t>Dodier, N., &amp; Barbot, J. (2016).</w:t>
      </w:r>
      <w:r w:rsidRPr="003C5907" w:rsidDel="0056285F">
        <w:rPr>
          <w:rFonts w:ascii="Times" w:hAnsi="Times"/>
        </w:rPr>
        <w:t xml:space="preserve"> </w:t>
      </w:r>
      <w:r w:rsidRPr="003C5907">
        <w:rPr>
          <w:rFonts w:ascii="Times" w:hAnsi="Times"/>
        </w:rPr>
        <w:t xml:space="preserve">La force des dispositifs </w:t>
      </w:r>
      <w:r w:rsidRPr="003C5907">
        <w:rPr>
          <w:rFonts w:ascii="Times" w:hAnsi="Times" w:cstheme="minorHAnsi"/>
        </w:rPr>
        <w:t>[The force of dispositifs]</w:t>
      </w:r>
      <w:r w:rsidRPr="003C5907">
        <w:rPr>
          <w:rFonts w:ascii="Times" w:hAnsi="Times"/>
          <w:i/>
        </w:rPr>
        <w:t>. Annales. Histoire, sciences sociales</w:t>
      </w:r>
      <w:r w:rsidRPr="003C5907">
        <w:rPr>
          <w:rFonts w:ascii="Times" w:hAnsi="Times"/>
        </w:rPr>
        <w:t xml:space="preserve">, </w:t>
      </w:r>
      <w:r w:rsidRPr="003C5907">
        <w:rPr>
          <w:rFonts w:ascii="Times" w:hAnsi="Times"/>
          <w:i/>
          <w:shd w:val="clear" w:color="auto" w:fill="FFFFFF"/>
        </w:rPr>
        <w:t>71</w:t>
      </w:r>
      <w:r w:rsidRPr="003C5907">
        <w:rPr>
          <w:rFonts w:ascii="Times" w:hAnsi="Times"/>
          <w:shd w:val="clear" w:color="auto" w:fill="FFFFFF"/>
        </w:rPr>
        <w:t>(2), 421</w:t>
      </w:r>
      <w:r w:rsidRPr="003C5907">
        <w:rPr>
          <w:rStyle w:val="element-citation"/>
          <w:rFonts w:ascii="Times" w:hAnsi="Times"/>
        </w:rPr>
        <w:t>–</w:t>
      </w:r>
      <w:r w:rsidRPr="003C5907">
        <w:rPr>
          <w:rFonts w:ascii="Times" w:hAnsi="Times"/>
          <w:shd w:val="clear" w:color="auto" w:fill="FFFFFF"/>
        </w:rPr>
        <w:t>450.</w:t>
      </w:r>
    </w:p>
    <w:p w14:paraId="6127CBB5" w14:textId="77777777" w:rsidR="00CE4D6E" w:rsidRPr="003C5907" w:rsidRDefault="00CE4D6E" w:rsidP="00CE4D6E">
      <w:pPr>
        <w:jc w:val="both"/>
        <w:rPr>
          <w:rFonts w:ascii="Times" w:hAnsi="Times"/>
        </w:rPr>
      </w:pPr>
    </w:p>
    <w:p w14:paraId="4EBEDBA9" w14:textId="77777777" w:rsidR="00CE4D6E" w:rsidRPr="003C5907" w:rsidRDefault="00CE4D6E" w:rsidP="00CE4D6E">
      <w:pPr>
        <w:widowControl w:val="0"/>
        <w:autoSpaceDE w:val="0"/>
        <w:autoSpaceDN w:val="0"/>
        <w:adjustRightInd w:val="0"/>
        <w:jc w:val="both"/>
        <w:rPr>
          <w:rFonts w:ascii="Times" w:hAnsi="Times"/>
        </w:rPr>
      </w:pPr>
      <w:r w:rsidRPr="003C5907">
        <w:rPr>
          <w:rFonts w:ascii="Times" w:hAnsi="Times"/>
        </w:rPr>
        <w:t xml:space="preserve">Dodier, N. (1999). L’espace public de la recherche médicale. </w:t>
      </w:r>
      <w:r w:rsidRPr="003C5907">
        <w:rPr>
          <w:rFonts w:ascii="Times" w:hAnsi="Times"/>
          <w:lang w:val="en-US"/>
        </w:rPr>
        <w:t xml:space="preserve">Autour de l’affaire de la ciclosporine </w:t>
      </w:r>
      <w:r w:rsidRPr="003C5907">
        <w:rPr>
          <w:rFonts w:ascii="Times" w:hAnsi="Times" w:cstheme="minorHAnsi"/>
          <w:lang w:val="en-US"/>
        </w:rPr>
        <w:t>[The public space of medical research: On the controversy around cyclosporin]</w:t>
      </w:r>
      <w:r w:rsidRPr="003C5907">
        <w:rPr>
          <w:rFonts w:ascii="Times" w:hAnsi="Times"/>
          <w:lang w:val="en-US"/>
        </w:rPr>
        <w:t xml:space="preserve">. </w:t>
      </w:r>
      <w:r w:rsidRPr="003C5907">
        <w:rPr>
          <w:rStyle w:val="Emphasis"/>
          <w:rFonts w:ascii="Times" w:hAnsi="Times"/>
        </w:rPr>
        <w:t>Réseaux. Communication, technologie, société</w:t>
      </w:r>
      <w:r w:rsidRPr="003C5907">
        <w:rPr>
          <w:rFonts w:ascii="Times" w:hAnsi="Times"/>
        </w:rPr>
        <w:t>, 95, 107</w:t>
      </w:r>
      <w:r w:rsidRPr="003C5907">
        <w:rPr>
          <w:rStyle w:val="element-citation"/>
          <w:rFonts w:ascii="Times" w:hAnsi="Times"/>
        </w:rPr>
        <w:t>–</w:t>
      </w:r>
      <w:r w:rsidRPr="003C5907">
        <w:rPr>
          <w:rFonts w:ascii="Times" w:hAnsi="Times"/>
        </w:rPr>
        <w:t xml:space="preserve">154.  </w:t>
      </w:r>
    </w:p>
    <w:p w14:paraId="0AFDB45F" w14:textId="77777777" w:rsidR="00CE4D6E" w:rsidRPr="003C5907" w:rsidRDefault="00CE4D6E" w:rsidP="00CE4D6E">
      <w:pPr>
        <w:jc w:val="both"/>
        <w:rPr>
          <w:rFonts w:ascii="Times" w:hAnsi="Times"/>
        </w:rPr>
      </w:pPr>
    </w:p>
    <w:p w14:paraId="41FD490C" w14:textId="77777777" w:rsidR="00CE4D6E" w:rsidRPr="003C5907" w:rsidRDefault="00CE4D6E" w:rsidP="00CE4D6E">
      <w:pPr>
        <w:pStyle w:val="NoSpacing"/>
        <w:rPr>
          <w:rFonts w:ascii="Times" w:hAnsi="Times"/>
          <w:szCs w:val="24"/>
        </w:rPr>
      </w:pPr>
      <w:r w:rsidRPr="003C5907">
        <w:rPr>
          <w:rFonts w:ascii="Times" w:eastAsiaTheme="minorHAnsi" w:hAnsi="Times"/>
          <w:szCs w:val="24"/>
        </w:rPr>
        <w:t xml:space="preserve">Englert, M. (2015). Le contrôle de la pratique légale de l’euthanasie en Belgique </w:t>
      </w:r>
      <w:r w:rsidRPr="003C5907">
        <w:rPr>
          <w:rFonts w:ascii="Times" w:hAnsi="Times" w:cstheme="minorHAnsi"/>
          <w:szCs w:val="24"/>
        </w:rPr>
        <w:t>[</w:t>
      </w:r>
      <w:r w:rsidRPr="003C5907">
        <w:rPr>
          <w:rFonts w:ascii="Times" w:eastAsiaTheme="minorHAnsi" w:hAnsi="Times"/>
          <w:szCs w:val="24"/>
        </w:rPr>
        <w:t>Control of the legal practice of euthanasia in Belgium</w:t>
      </w:r>
      <w:r w:rsidRPr="003C5907">
        <w:rPr>
          <w:rFonts w:ascii="Times" w:hAnsi="Times" w:cstheme="minorHAnsi"/>
          <w:szCs w:val="24"/>
        </w:rPr>
        <w:t>]</w:t>
      </w:r>
      <w:r w:rsidRPr="003C5907">
        <w:rPr>
          <w:rFonts w:ascii="Times" w:eastAsiaTheme="minorHAnsi" w:hAnsi="Times"/>
          <w:szCs w:val="24"/>
        </w:rPr>
        <w:t xml:space="preserve">. </w:t>
      </w:r>
      <w:r w:rsidRPr="003C5907">
        <w:rPr>
          <w:rFonts w:ascii="Times" w:eastAsiaTheme="minorHAnsi" w:hAnsi="Times"/>
          <w:i/>
          <w:szCs w:val="24"/>
        </w:rPr>
        <w:t>Revue Médicale de Bruxelles</w:t>
      </w:r>
      <w:r w:rsidRPr="003C5907">
        <w:rPr>
          <w:rFonts w:ascii="Times" w:eastAsiaTheme="minorHAnsi" w:hAnsi="Times"/>
          <w:szCs w:val="24"/>
        </w:rPr>
        <w:t>, 36, 45</w:t>
      </w:r>
      <w:r w:rsidRPr="003C5907">
        <w:rPr>
          <w:rStyle w:val="element-citation"/>
          <w:rFonts w:ascii="Times" w:hAnsi="Times"/>
          <w:szCs w:val="24"/>
          <w:lang w:val="fr-CH"/>
        </w:rPr>
        <w:t>–</w:t>
      </w:r>
      <w:r w:rsidRPr="003C5907">
        <w:rPr>
          <w:rFonts w:ascii="Times" w:eastAsiaTheme="minorHAnsi" w:hAnsi="Times"/>
          <w:szCs w:val="24"/>
        </w:rPr>
        <w:t>51.</w:t>
      </w:r>
    </w:p>
    <w:p w14:paraId="2CE83577" w14:textId="77777777" w:rsidR="00CE4D6E" w:rsidRPr="003C5907" w:rsidRDefault="00CE4D6E" w:rsidP="00CE4D6E">
      <w:pPr>
        <w:jc w:val="both"/>
        <w:rPr>
          <w:rFonts w:ascii="Times" w:hAnsi="Times"/>
        </w:rPr>
      </w:pPr>
    </w:p>
    <w:p w14:paraId="6357E37B" w14:textId="77777777" w:rsidR="00CE4D6E" w:rsidRPr="003C5907" w:rsidRDefault="00CE4D6E" w:rsidP="00CE4D6E">
      <w:pPr>
        <w:jc w:val="both"/>
        <w:rPr>
          <w:rFonts w:ascii="Times" w:hAnsi="Times"/>
        </w:rPr>
      </w:pPr>
      <w:r w:rsidRPr="003C5907">
        <w:rPr>
          <w:rFonts w:ascii="Times" w:hAnsi="Times"/>
          <w:lang w:val="fr-CA"/>
        </w:rPr>
        <w:lastRenderedPageBreak/>
        <w:t xml:space="preserve">Fassin, D., &amp; Memmi, D. (Eds.) </w:t>
      </w:r>
      <w:r w:rsidRPr="003C5907">
        <w:rPr>
          <w:rFonts w:ascii="Times" w:hAnsi="Times"/>
        </w:rPr>
        <w:t xml:space="preserve">(2004). </w:t>
      </w:r>
      <w:r w:rsidRPr="003C5907">
        <w:rPr>
          <w:rFonts w:ascii="Times" w:hAnsi="Times"/>
          <w:i/>
        </w:rPr>
        <w:t>Le gouvernement des corps</w:t>
      </w:r>
      <w:r w:rsidRPr="003C5907">
        <w:rPr>
          <w:rFonts w:ascii="Times" w:hAnsi="Times"/>
        </w:rPr>
        <w:t xml:space="preserve"> </w:t>
      </w:r>
      <w:r w:rsidRPr="003C5907">
        <w:rPr>
          <w:rFonts w:ascii="Times" w:hAnsi="Times" w:cstheme="minorHAnsi"/>
        </w:rPr>
        <w:t>[</w:t>
      </w:r>
      <w:r w:rsidRPr="003C5907">
        <w:rPr>
          <w:rFonts w:ascii="Times" w:eastAsiaTheme="minorHAnsi" w:hAnsi="Times"/>
        </w:rPr>
        <w:t>The government of bodies</w:t>
      </w:r>
      <w:r w:rsidRPr="003C5907">
        <w:rPr>
          <w:rFonts w:ascii="Times" w:hAnsi="Times" w:cstheme="minorHAnsi"/>
        </w:rPr>
        <w:t>]</w:t>
      </w:r>
      <w:r w:rsidRPr="003C5907">
        <w:rPr>
          <w:rFonts w:ascii="Times" w:hAnsi="Times"/>
        </w:rPr>
        <w:t xml:space="preserve">. Paris: École des hautes études en sciences sociales. </w:t>
      </w:r>
    </w:p>
    <w:p w14:paraId="3DBEC9F0" w14:textId="77777777" w:rsidR="00CE4D6E" w:rsidRPr="003C5907" w:rsidRDefault="00CE4D6E" w:rsidP="00CE4D6E">
      <w:pPr>
        <w:jc w:val="both"/>
        <w:rPr>
          <w:rFonts w:ascii="Times" w:hAnsi="Times"/>
        </w:rPr>
      </w:pPr>
    </w:p>
    <w:p w14:paraId="5B55D760" w14:textId="77777777" w:rsidR="00CE4D6E" w:rsidRPr="003C5907" w:rsidRDefault="00CE4D6E" w:rsidP="00CE4D6E">
      <w:pPr>
        <w:jc w:val="both"/>
        <w:rPr>
          <w:rFonts w:ascii="Times" w:hAnsi="Times"/>
          <w:lang w:val="en-US"/>
        </w:rPr>
      </w:pPr>
      <w:r w:rsidRPr="003C5907">
        <w:rPr>
          <w:rFonts w:ascii="Times" w:hAnsi="Times"/>
        </w:rPr>
        <w:t xml:space="preserve">Foucault, M. (2001). </w:t>
      </w:r>
      <w:r w:rsidRPr="003C5907">
        <w:rPr>
          <w:rFonts w:ascii="Times" w:hAnsi="Times"/>
          <w:i/>
          <w:lang w:val="en-US"/>
        </w:rPr>
        <w:t xml:space="preserve">Dits et Écrits II – 1976-1988 </w:t>
      </w:r>
      <w:r w:rsidRPr="003C5907">
        <w:rPr>
          <w:rFonts w:ascii="Times" w:hAnsi="Times" w:cstheme="minorHAnsi"/>
          <w:lang w:val="en-US"/>
        </w:rPr>
        <w:t>[Essential Works of Michel Foucault 1976-1988]</w:t>
      </w:r>
      <w:r w:rsidRPr="003C5907">
        <w:rPr>
          <w:rFonts w:ascii="Times" w:hAnsi="Times"/>
          <w:lang w:val="en-US"/>
        </w:rPr>
        <w:t xml:space="preserve">. Paris: Gallimard. </w:t>
      </w:r>
    </w:p>
    <w:p w14:paraId="073459E4" w14:textId="77777777" w:rsidR="00CE4D6E" w:rsidRPr="003C5907" w:rsidRDefault="00CE4D6E" w:rsidP="00CE4D6E">
      <w:pPr>
        <w:jc w:val="both"/>
        <w:rPr>
          <w:rFonts w:ascii="Times" w:hAnsi="Times"/>
          <w:lang w:val="en-US"/>
        </w:rPr>
      </w:pPr>
    </w:p>
    <w:p w14:paraId="7E693566" w14:textId="75B6B21E" w:rsidR="00CE4D6E" w:rsidRPr="003C5907" w:rsidRDefault="00CE4D6E" w:rsidP="003C5907">
      <w:pPr>
        <w:jc w:val="both"/>
        <w:rPr>
          <w:rFonts w:ascii="Times" w:hAnsi="Times"/>
        </w:rPr>
      </w:pPr>
      <w:r w:rsidRPr="003C5907">
        <w:rPr>
          <w:rFonts w:ascii="Times" w:hAnsi="Times"/>
          <w:lang w:val="en-US"/>
        </w:rPr>
        <w:t xml:space="preserve">Foucault, M. (1997). </w:t>
      </w:r>
      <w:r w:rsidRPr="003C5907">
        <w:rPr>
          <w:rFonts w:ascii="Times" w:hAnsi="Times" w:cs="Arial"/>
          <w:i/>
        </w:rPr>
        <w:t>Il faut défendre la société. Cours au Collège de France 1975-1976</w:t>
      </w:r>
      <w:r w:rsidRPr="003C5907">
        <w:rPr>
          <w:rFonts w:ascii="Times" w:eastAsiaTheme="minorHAnsi" w:hAnsi="Times"/>
        </w:rPr>
        <w:t xml:space="preserve"> </w:t>
      </w:r>
      <w:r w:rsidRPr="003C5907">
        <w:rPr>
          <w:rFonts w:ascii="Times" w:hAnsi="Times" w:cstheme="minorHAnsi"/>
        </w:rPr>
        <w:t>[</w:t>
      </w:r>
      <w:r w:rsidRPr="003C5907">
        <w:rPr>
          <w:rFonts w:ascii="Times" w:eastAsiaTheme="minorHAnsi" w:hAnsi="Times"/>
        </w:rPr>
        <w:t xml:space="preserve">Society </w:t>
      </w:r>
      <w:r w:rsidR="003C5907">
        <w:rPr>
          <w:rFonts w:ascii="Times" w:eastAsiaTheme="minorHAnsi" w:hAnsi="Times"/>
        </w:rPr>
        <w:t>m</w:t>
      </w:r>
      <w:r w:rsidRPr="003C5907">
        <w:rPr>
          <w:rFonts w:ascii="Times" w:eastAsiaTheme="minorHAnsi" w:hAnsi="Times"/>
        </w:rPr>
        <w:t xml:space="preserve">ust </w:t>
      </w:r>
      <w:r w:rsidR="003C5907">
        <w:rPr>
          <w:rFonts w:ascii="Times" w:eastAsiaTheme="minorHAnsi" w:hAnsi="Times"/>
        </w:rPr>
        <w:t>b</w:t>
      </w:r>
      <w:r w:rsidRPr="003C5907">
        <w:rPr>
          <w:rFonts w:ascii="Times" w:eastAsiaTheme="minorHAnsi" w:hAnsi="Times"/>
        </w:rPr>
        <w:t xml:space="preserve">e </w:t>
      </w:r>
      <w:r w:rsidR="003C5907">
        <w:rPr>
          <w:rFonts w:ascii="Times" w:eastAsiaTheme="minorHAnsi" w:hAnsi="Times"/>
        </w:rPr>
        <w:t>d</w:t>
      </w:r>
      <w:r w:rsidRPr="003C5907">
        <w:rPr>
          <w:rFonts w:ascii="Times" w:eastAsiaTheme="minorHAnsi" w:hAnsi="Times"/>
        </w:rPr>
        <w:t>efended: Lectures at the College de France, 1975-1976</w:t>
      </w:r>
      <w:r w:rsidRPr="003C5907">
        <w:rPr>
          <w:rFonts w:ascii="Times" w:hAnsi="Times" w:cstheme="minorHAnsi"/>
        </w:rPr>
        <w:t>]</w:t>
      </w:r>
      <w:r w:rsidRPr="003C5907">
        <w:rPr>
          <w:rFonts w:ascii="Times" w:hAnsi="Times" w:cs="Arial"/>
          <w:i/>
        </w:rPr>
        <w:t>.</w:t>
      </w:r>
      <w:r w:rsidRPr="003C5907">
        <w:rPr>
          <w:rFonts w:ascii="Times" w:hAnsi="Times" w:cs="Arial"/>
        </w:rPr>
        <w:t xml:space="preserve"> Paris: </w:t>
      </w:r>
      <w:r w:rsidRPr="003C5907">
        <w:rPr>
          <w:rFonts w:ascii="Times" w:hAnsi="Times"/>
        </w:rPr>
        <w:t>École des hautes études en sciences sociales</w:t>
      </w:r>
      <w:r w:rsidRPr="003C5907">
        <w:rPr>
          <w:rFonts w:ascii="Times" w:hAnsi="Times" w:cs="Arial"/>
        </w:rPr>
        <w:t>, Gallimard, &amp; Seuil.</w:t>
      </w:r>
    </w:p>
    <w:p w14:paraId="25328563" w14:textId="77777777" w:rsidR="00CE4D6E" w:rsidRPr="003C5907" w:rsidRDefault="00CE4D6E" w:rsidP="00CE4D6E">
      <w:pPr>
        <w:jc w:val="both"/>
        <w:rPr>
          <w:rFonts w:ascii="Times" w:hAnsi="Times"/>
        </w:rPr>
      </w:pPr>
      <w:bookmarkStart w:id="1" w:name="_GoBack"/>
      <w:bookmarkEnd w:id="1"/>
    </w:p>
    <w:p w14:paraId="1E340035" w14:textId="77777777" w:rsidR="00CE4D6E" w:rsidRPr="003C5907" w:rsidRDefault="00CE4D6E" w:rsidP="00CE4D6E">
      <w:pPr>
        <w:widowControl w:val="0"/>
        <w:autoSpaceDE w:val="0"/>
        <w:autoSpaceDN w:val="0"/>
        <w:adjustRightInd w:val="0"/>
        <w:jc w:val="both"/>
        <w:rPr>
          <w:rFonts w:ascii="Times" w:hAnsi="Times"/>
          <w:lang w:val="en-US"/>
        </w:rPr>
      </w:pPr>
      <w:r w:rsidRPr="003C5907">
        <w:rPr>
          <w:rFonts w:ascii="Times" w:hAnsi="Times"/>
          <w:lang w:val="en-US"/>
        </w:rPr>
        <w:t xml:space="preserve">Gamondi, C., Pott, M., Preston, N., &amp; Paine S. (2018). Family Caregivers’ Reflections on Experiences of Assisted Suicide in Switzerland: A Qualitative Interview Study. </w:t>
      </w:r>
      <w:r w:rsidRPr="003C5907">
        <w:rPr>
          <w:rFonts w:ascii="Times" w:hAnsi="Times"/>
          <w:i/>
          <w:lang w:val="en-US"/>
        </w:rPr>
        <w:t>Journal of Pain and Symptom Management</w:t>
      </w:r>
      <w:r w:rsidRPr="003C5907">
        <w:rPr>
          <w:rFonts w:ascii="Times" w:hAnsi="Times"/>
          <w:lang w:val="en-US"/>
        </w:rPr>
        <w:t xml:space="preserve">, </w:t>
      </w:r>
      <w:r w:rsidRPr="003C5907">
        <w:rPr>
          <w:rFonts w:ascii="Times" w:hAnsi="Times"/>
          <w:i/>
          <w:lang w:val="en-US"/>
        </w:rPr>
        <w:t>55</w:t>
      </w:r>
      <w:r w:rsidRPr="003C5907">
        <w:rPr>
          <w:rFonts w:ascii="Times" w:hAnsi="Times"/>
          <w:lang w:val="en-US"/>
        </w:rPr>
        <w:t>(4), 1085</w:t>
      </w:r>
      <w:r w:rsidRPr="003C5907">
        <w:rPr>
          <w:rStyle w:val="element-citation"/>
          <w:rFonts w:ascii="Times" w:hAnsi="Times"/>
          <w:lang w:val="en-US"/>
        </w:rPr>
        <w:t>–</w:t>
      </w:r>
      <w:r w:rsidRPr="003C5907">
        <w:rPr>
          <w:rFonts w:ascii="Times" w:hAnsi="Times"/>
          <w:lang w:val="en-US"/>
        </w:rPr>
        <w:t>1094.</w:t>
      </w:r>
    </w:p>
    <w:p w14:paraId="4BF8B18B" w14:textId="77777777" w:rsidR="00CE4D6E" w:rsidRPr="003C5907" w:rsidRDefault="00CE4D6E" w:rsidP="00CE4D6E">
      <w:pPr>
        <w:pStyle w:val="NoSpacing"/>
        <w:rPr>
          <w:rFonts w:ascii="Times" w:hAnsi="Times"/>
          <w:szCs w:val="24"/>
          <w:lang w:val="en-US"/>
        </w:rPr>
      </w:pPr>
    </w:p>
    <w:p w14:paraId="1EBFF57E" w14:textId="77777777" w:rsidR="00CE4D6E" w:rsidRPr="003C5907" w:rsidRDefault="00CE4D6E" w:rsidP="00CE4D6E">
      <w:pPr>
        <w:pStyle w:val="NoSpacing"/>
        <w:rPr>
          <w:rFonts w:ascii="Times" w:hAnsi="Times"/>
          <w:szCs w:val="24"/>
          <w:lang w:val="en-US"/>
        </w:rPr>
      </w:pPr>
      <w:r w:rsidRPr="003C5907">
        <w:rPr>
          <w:rFonts w:ascii="Times" w:hAnsi="Times"/>
          <w:szCs w:val="24"/>
          <w:lang w:val="en-US"/>
        </w:rPr>
        <w:t xml:space="preserve">Genicot, G. (2010). </w:t>
      </w:r>
      <w:r w:rsidRPr="003C5907">
        <w:rPr>
          <w:rFonts w:ascii="Times" w:hAnsi="Times"/>
          <w:i/>
          <w:szCs w:val="24"/>
          <w:lang w:val="en-US"/>
        </w:rPr>
        <w:t xml:space="preserve">Droit médical et biomédical </w:t>
      </w:r>
      <w:r w:rsidRPr="003C5907">
        <w:rPr>
          <w:rFonts w:ascii="Times" w:hAnsi="Times" w:cstheme="minorHAnsi"/>
          <w:szCs w:val="24"/>
          <w:lang w:val="en-US"/>
        </w:rPr>
        <w:t>[</w:t>
      </w:r>
      <w:r w:rsidRPr="003C5907">
        <w:rPr>
          <w:rFonts w:ascii="Times" w:eastAsiaTheme="minorHAnsi" w:hAnsi="Times"/>
          <w:lang w:val="en-US"/>
        </w:rPr>
        <w:t>Medical and biomedical law</w:t>
      </w:r>
      <w:r w:rsidRPr="003C5907">
        <w:rPr>
          <w:rFonts w:ascii="Times" w:hAnsi="Times" w:cstheme="minorHAnsi"/>
          <w:szCs w:val="24"/>
          <w:lang w:val="en-US"/>
        </w:rPr>
        <w:t>]</w:t>
      </w:r>
      <w:r w:rsidRPr="003C5907">
        <w:rPr>
          <w:rFonts w:ascii="Times" w:hAnsi="Times"/>
          <w:szCs w:val="24"/>
          <w:lang w:val="en-US"/>
        </w:rPr>
        <w:t>. Bruxelles: Larcier.</w:t>
      </w:r>
    </w:p>
    <w:p w14:paraId="4539AE00" w14:textId="77777777" w:rsidR="00CE4D6E" w:rsidRPr="003C5907" w:rsidRDefault="00CE4D6E" w:rsidP="00CE4D6E">
      <w:pPr>
        <w:jc w:val="both"/>
        <w:rPr>
          <w:rFonts w:ascii="Times" w:hAnsi="Times"/>
          <w:lang w:val="en-US"/>
        </w:rPr>
      </w:pPr>
    </w:p>
    <w:p w14:paraId="50D51DED" w14:textId="2187EBF0" w:rsidR="00CE4D6E" w:rsidRPr="003C5907" w:rsidRDefault="003C5907" w:rsidP="00CE4D6E">
      <w:pPr>
        <w:jc w:val="both"/>
        <w:rPr>
          <w:rFonts w:ascii="Times" w:hAnsi="Times"/>
          <w:lang w:val="en-US"/>
        </w:rPr>
      </w:pPr>
      <w:r>
        <w:rPr>
          <w:rFonts w:ascii="Times" w:hAnsi="Times"/>
          <w:lang w:val="en-US"/>
        </w:rPr>
        <w:t>Gordon, C. (Ed</w:t>
      </w:r>
      <w:r w:rsidR="00CE4D6E" w:rsidRPr="003C5907">
        <w:rPr>
          <w:rFonts w:ascii="Times" w:hAnsi="Times"/>
          <w:lang w:val="en-US"/>
        </w:rPr>
        <w:t xml:space="preserve">.) (1980), </w:t>
      </w:r>
      <w:r w:rsidR="00CE4D6E" w:rsidRPr="003C5907">
        <w:rPr>
          <w:rFonts w:ascii="Times" w:hAnsi="Times"/>
          <w:i/>
          <w:lang w:val="en-US"/>
        </w:rPr>
        <w:t>Power/knowledge. Selected Interviews and Other Writings 1972-1977 by Michel Foucault</w:t>
      </w:r>
      <w:r w:rsidR="00CE4D6E" w:rsidRPr="003C5907">
        <w:rPr>
          <w:rFonts w:ascii="Times" w:hAnsi="Times"/>
          <w:lang w:val="en-US"/>
        </w:rPr>
        <w:t xml:space="preserve">. New York : Pantheon Books. </w:t>
      </w:r>
    </w:p>
    <w:p w14:paraId="1AE9E477" w14:textId="77777777" w:rsidR="00CE4D6E" w:rsidRPr="003C5907" w:rsidRDefault="00CE4D6E" w:rsidP="00CE4D6E">
      <w:pPr>
        <w:jc w:val="both"/>
        <w:rPr>
          <w:rFonts w:ascii="Times" w:hAnsi="Times"/>
          <w:lang w:val="en-US"/>
        </w:rPr>
      </w:pPr>
    </w:p>
    <w:p w14:paraId="19EE7B21" w14:textId="10C7D8B2" w:rsidR="00CE4D6E" w:rsidRPr="003C5907" w:rsidRDefault="00CE4D6E" w:rsidP="00CE4D6E">
      <w:pPr>
        <w:jc w:val="both"/>
        <w:rPr>
          <w:rFonts w:ascii="Times" w:hAnsi="Times"/>
        </w:rPr>
      </w:pPr>
      <w:r w:rsidRPr="003C5907">
        <w:rPr>
          <w:rFonts w:ascii="Times" w:hAnsi="Times"/>
          <w:color w:val="000000"/>
          <w:lang w:val="en-US"/>
        </w:rPr>
        <w:t xml:space="preserve">Hamarat N., &amp; Lebeer G. (2019). </w:t>
      </w:r>
      <w:r w:rsidRPr="003C5907">
        <w:rPr>
          <w:rFonts w:ascii="Times" w:hAnsi="Times"/>
          <w:color w:val="000000"/>
          <w:lang w:val="fr-FR"/>
        </w:rPr>
        <w:t xml:space="preserve">Parler de l’euthanasie : controverses publiques et dissidences internes </w:t>
      </w:r>
      <w:r w:rsidRPr="003C5907">
        <w:rPr>
          <w:rFonts w:ascii="Times" w:hAnsi="Times" w:cstheme="minorHAnsi"/>
          <w:lang w:val="fr-FR"/>
        </w:rPr>
        <w:t>[</w:t>
      </w:r>
      <w:r w:rsidRPr="003C5907">
        <w:rPr>
          <w:rFonts w:ascii="Times" w:eastAsiaTheme="minorHAnsi" w:hAnsi="Times"/>
          <w:lang w:val="fr-FR"/>
        </w:rPr>
        <w:t xml:space="preserve">Addressing euthanasia : Public controversies and internal </w:t>
      </w:r>
      <w:r w:rsidR="003822D3" w:rsidRPr="003C5907">
        <w:rPr>
          <w:rFonts w:ascii="Times" w:eastAsiaTheme="minorHAnsi" w:hAnsi="Times"/>
          <w:lang w:val="fr-FR"/>
        </w:rPr>
        <w:t>dissent</w:t>
      </w:r>
      <w:r w:rsidRPr="003C5907">
        <w:rPr>
          <w:rFonts w:ascii="Times" w:hAnsi="Times" w:cstheme="minorHAnsi"/>
          <w:lang w:val="fr-FR"/>
        </w:rPr>
        <w:t>]</w:t>
      </w:r>
      <w:r w:rsidRPr="003C5907">
        <w:rPr>
          <w:rFonts w:ascii="Times" w:hAnsi="Times"/>
          <w:color w:val="000000"/>
          <w:lang w:val="fr-FR"/>
        </w:rPr>
        <w:t xml:space="preserve">. </w:t>
      </w:r>
      <w:r w:rsidRPr="003C5907">
        <w:rPr>
          <w:rFonts w:ascii="Times" w:hAnsi="Times"/>
          <w:color w:val="000000"/>
        </w:rPr>
        <w:t>Un regard sur les piliers. In Bruyère L., Crosetti A.-S., Faniel J., &amp; Sagesser C., </w:t>
      </w:r>
      <w:r w:rsidRPr="003C5907">
        <w:rPr>
          <w:rFonts w:ascii="Times" w:hAnsi="Times"/>
          <w:i/>
          <w:iCs/>
          <w:color w:val="000000"/>
        </w:rPr>
        <w:t xml:space="preserve">Piliers, dépilarisation et clivage philosophique en Belgique </w:t>
      </w:r>
      <w:r w:rsidRPr="003C5907">
        <w:rPr>
          <w:rFonts w:ascii="Times" w:hAnsi="Times"/>
          <w:color w:val="000000"/>
        </w:rPr>
        <w:t xml:space="preserve">(pp. 265-280). Bruxelles: CRISP. </w:t>
      </w:r>
    </w:p>
    <w:p w14:paraId="6CF668EB" w14:textId="77777777" w:rsidR="00CE4D6E" w:rsidRPr="003C5907" w:rsidRDefault="00CE4D6E" w:rsidP="00CE4D6E">
      <w:pPr>
        <w:jc w:val="both"/>
        <w:rPr>
          <w:rFonts w:ascii="Times" w:hAnsi="Times"/>
        </w:rPr>
      </w:pPr>
    </w:p>
    <w:p w14:paraId="4423E799" w14:textId="77777777" w:rsidR="00CE4D6E" w:rsidRPr="003C5907" w:rsidRDefault="00CE4D6E" w:rsidP="00CE4D6E">
      <w:pPr>
        <w:pStyle w:val="Heading3"/>
        <w:jc w:val="both"/>
        <w:rPr>
          <w:rFonts w:ascii="Times" w:hAnsi="Times"/>
        </w:rPr>
      </w:pPr>
      <w:r w:rsidRPr="003C5907">
        <w:rPr>
          <w:rFonts w:ascii="Times" w:hAnsi="Times"/>
          <w:color w:val="auto"/>
        </w:rPr>
        <w:t>Horn</w:t>
      </w:r>
      <w:r w:rsidRPr="003C5907">
        <w:rPr>
          <w:rFonts w:ascii="Times" w:hAnsi="Times"/>
          <w:color w:val="auto"/>
          <w:shd w:val="clear" w:color="auto" w:fill="FFFFFF"/>
        </w:rPr>
        <w:t xml:space="preserve">, R. (2010). Le débat sur l'euthanasie et ses répercussions sur les pratiques médicales en fin de vie. </w:t>
      </w:r>
      <w:r w:rsidRPr="003C5907">
        <w:rPr>
          <w:rFonts w:ascii="Times" w:hAnsi="Times"/>
          <w:color w:val="auto"/>
          <w:shd w:val="clear" w:color="auto" w:fill="FFFFFF"/>
          <w:lang w:val="en-US"/>
        </w:rPr>
        <w:t xml:space="preserve">Un regard comparatif : France-Allemagne </w:t>
      </w:r>
      <w:r w:rsidRPr="003C5907">
        <w:rPr>
          <w:rFonts w:ascii="Times" w:hAnsi="Times" w:cstheme="minorHAnsi"/>
          <w:color w:val="auto"/>
          <w:lang w:val="en-US"/>
        </w:rPr>
        <w:t>[</w:t>
      </w:r>
      <w:r w:rsidRPr="003C5907">
        <w:rPr>
          <w:rFonts w:ascii="Times" w:hAnsi="Times"/>
          <w:color w:val="auto"/>
          <w:lang w:val="en-US"/>
        </w:rPr>
        <w:t xml:space="preserve">The debate about euthanasia and its echo on end-of-life practices. </w:t>
      </w:r>
      <w:r w:rsidRPr="003C5907">
        <w:rPr>
          <w:rFonts w:ascii="Times" w:hAnsi="Times"/>
          <w:color w:val="auto"/>
        </w:rPr>
        <w:t>A comparative view: France-Germany</w:t>
      </w:r>
      <w:r w:rsidRPr="003C5907">
        <w:rPr>
          <w:rFonts w:ascii="Times" w:hAnsi="Times" w:cstheme="minorHAnsi"/>
          <w:color w:val="auto"/>
        </w:rPr>
        <w:t>]</w:t>
      </w:r>
      <w:r w:rsidRPr="003C5907">
        <w:rPr>
          <w:rFonts w:ascii="Times" w:hAnsi="Times"/>
          <w:color w:val="auto"/>
          <w:shd w:val="clear" w:color="auto" w:fill="FFFFFF"/>
        </w:rPr>
        <w:t>. </w:t>
      </w:r>
      <w:r w:rsidRPr="003C5907">
        <w:rPr>
          <w:rFonts w:ascii="Times" w:hAnsi="Times"/>
          <w:i/>
          <w:iCs/>
          <w:color w:val="auto"/>
        </w:rPr>
        <w:t>Pratiques et Organisation des Soins</w:t>
      </w:r>
      <w:r w:rsidRPr="003C5907">
        <w:rPr>
          <w:rFonts w:ascii="Times" w:hAnsi="Times"/>
          <w:color w:val="auto"/>
          <w:shd w:val="clear" w:color="auto" w:fill="FFFFFF"/>
        </w:rPr>
        <w:t xml:space="preserve">, </w:t>
      </w:r>
      <w:r w:rsidRPr="003C5907">
        <w:rPr>
          <w:rFonts w:ascii="Times" w:hAnsi="Times"/>
          <w:i/>
          <w:color w:val="auto"/>
          <w:shd w:val="clear" w:color="auto" w:fill="FFFFFF"/>
        </w:rPr>
        <w:t>41</w:t>
      </w:r>
      <w:r w:rsidRPr="003C5907">
        <w:rPr>
          <w:rFonts w:ascii="Times" w:hAnsi="Times"/>
          <w:color w:val="auto"/>
          <w:shd w:val="clear" w:color="auto" w:fill="FFFFFF"/>
        </w:rPr>
        <w:t>(4), 323</w:t>
      </w:r>
      <w:r w:rsidRPr="003C5907">
        <w:rPr>
          <w:rStyle w:val="element-citation"/>
          <w:rFonts w:ascii="Times" w:hAnsi="Times"/>
          <w:color w:val="auto"/>
        </w:rPr>
        <w:t>–</w:t>
      </w:r>
      <w:r w:rsidRPr="003C5907">
        <w:rPr>
          <w:rFonts w:ascii="Times" w:hAnsi="Times"/>
          <w:color w:val="auto"/>
          <w:shd w:val="clear" w:color="auto" w:fill="FFFFFF"/>
        </w:rPr>
        <w:t>330.</w:t>
      </w:r>
    </w:p>
    <w:p w14:paraId="3078A589" w14:textId="77777777" w:rsidR="00CE4D6E" w:rsidRPr="003C5907" w:rsidRDefault="00CE4D6E" w:rsidP="00CE4D6E">
      <w:pPr>
        <w:jc w:val="both"/>
        <w:rPr>
          <w:rFonts w:ascii="Times" w:hAnsi="Times"/>
        </w:rPr>
      </w:pPr>
    </w:p>
    <w:p w14:paraId="1F734127" w14:textId="77777777" w:rsidR="00CE4D6E" w:rsidRPr="003C5907" w:rsidRDefault="00CE4D6E" w:rsidP="00CE4D6E">
      <w:pPr>
        <w:jc w:val="both"/>
        <w:rPr>
          <w:rFonts w:ascii="Times" w:hAnsi="Times"/>
        </w:rPr>
      </w:pPr>
      <w:r w:rsidRPr="003C5907">
        <w:rPr>
          <w:rFonts w:ascii="Times" w:hAnsi="Times"/>
        </w:rPr>
        <w:t xml:space="preserve">Lebeer, G. (2016). Retour sur la politique des subjectivités </w:t>
      </w:r>
      <w:r w:rsidRPr="003C5907">
        <w:rPr>
          <w:rFonts w:ascii="Times" w:hAnsi="Times" w:cstheme="minorHAnsi"/>
        </w:rPr>
        <w:t>[</w:t>
      </w:r>
      <w:r w:rsidRPr="003C5907">
        <w:rPr>
          <w:rFonts w:ascii="Times" w:hAnsi="Times"/>
        </w:rPr>
        <w:t>On the politics of subjectivities</w:t>
      </w:r>
      <w:r w:rsidRPr="003C5907">
        <w:rPr>
          <w:rFonts w:ascii="Times" w:hAnsi="Times" w:cstheme="minorHAnsi"/>
        </w:rPr>
        <w:t>]</w:t>
      </w:r>
      <w:r w:rsidRPr="003C5907">
        <w:rPr>
          <w:rFonts w:ascii="Times" w:hAnsi="Times"/>
        </w:rPr>
        <w:t xml:space="preserve">. Préface. In B. Derbez, N. Hamarat, &amp; H. Marche (Eds.), </w:t>
      </w:r>
      <w:r w:rsidRPr="003C5907">
        <w:rPr>
          <w:rFonts w:ascii="Times" w:hAnsi="Times"/>
          <w:i/>
        </w:rPr>
        <w:t>La dynamique sociale des subjectivités en cancérologie</w:t>
      </w:r>
      <w:r w:rsidRPr="003C5907">
        <w:rPr>
          <w:rFonts w:ascii="Times" w:hAnsi="Times"/>
        </w:rPr>
        <w:t xml:space="preserve"> (pp. 7</w:t>
      </w:r>
      <w:r w:rsidRPr="003C5907">
        <w:rPr>
          <w:rStyle w:val="element-citation"/>
          <w:rFonts w:ascii="Times" w:hAnsi="Times"/>
        </w:rPr>
        <w:t>–11)</w:t>
      </w:r>
      <w:r w:rsidRPr="003C5907">
        <w:rPr>
          <w:rFonts w:ascii="Times" w:hAnsi="Times"/>
        </w:rPr>
        <w:t>. Toulouse: érès.</w:t>
      </w:r>
    </w:p>
    <w:p w14:paraId="23973A7B" w14:textId="77777777" w:rsidR="00CE4D6E" w:rsidRPr="003C5907" w:rsidRDefault="00CE4D6E" w:rsidP="00CE4D6E">
      <w:pPr>
        <w:jc w:val="both"/>
        <w:rPr>
          <w:rFonts w:ascii="Times" w:hAnsi="Times"/>
        </w:rPr>
      </w:pPr>
    </w:p>
    <w:p w14:paraId="7BAB34D5" w14:textId="77777777" w:rsidR="00CE4D6E" w:rsidRPr="003C5907" w:rsidRDefault="00CE4D6E" w:rsidP="00CE4D6E">
      <w:pPr>
        <w:jc w:val="both"/>
        <w:rPr>
          <w:rFonts w:ascii="Times" w:hAnsi="Times"/>
        </w:rPr>
      </w:pPr>
      <w:r w:rsidRPr="003C5907">
        <w:rPr>
          <w:rFonts w:ascii="Times" w:hAnsi="Times"/>
        </w:rPr>
        <w:t xml:space="preserve">Lossignol, D. (2014). </w:t>
      </w:r>
      <w:r w:rsidRPr="003C5907">
        <w:rPr>
          <w:rFonts w:ascii="Times" w:hAnsi="Times"/>
          <w:i/>
        </w:rPr>
        <w:t xml:space="preserve">En notre âme et conscience. Fin de vie et éthique médicale </w:t>
      </w:r>
      <w:r w:rsidRPr="003C5907">
        <w:rPr>
          <w:rFonts w:ascii="Times" w:hAnsi="Times" w:cstheme="minorHAnsi"/>
        </w:rPr>
        <w:t>[</w:t>
      </w:r>
      <w:r w:rsidRPr="003C5907">
        <w:rPr>
          <w:rFonts w:ascii="Times" w:hAnsi="Times"/>
        </w:rPr>
        <w:t>In our soul and conscience. End of life and medical ethics</w:t>
      </w:r>
      <w:r w:rsidRPr="003C5907">
        <w:rPr>
          <w:rFonts w:ascii="Times" w:hAnsi="Times" w:cstheme="minorHAnsi"/>
        </w:rPr>
        <w:t>]</w:t>
      </w:r>
      <w:r w:rsidRPr="003C5907">
        <w:rPr>
          <w:rFonts w:ascii="Times" w:hAnsi="Times"/>
        </w:rPr>
        <w:t xml:space="preserve">. Bruxelles: Éditions Espace de libertés. </w:t>
      </w:r>
    </w:p>
    <w:p w14:paraId="7216B966" w14:textId="77777777" w:rsidR="00CE4D6E" w:rsidRPr="003C5907" w:rsidRDefault="00CE4D6E" w:rsidP="00CE4D6E">
      <w:pPr>
        <w:jc w:val="both"/>
        <w:rPr>
          <w:rFonts w:ascii="Times" w:hAnsi="Times"/>
        </w:rPr>
      </w:pPr>
    </w:p>
    <w:p w14:paraId="6CD37F27" w14:textId="77777777" w:rsidR="00CE4D6E" w:rsidRPr="003C5907" w:rsidRDefault="00CE4D6E" w:rsidP="00CE4D6E">
      <w:pPr>
        <w:jc w:val="both"/>
        <w:rPr>
          <w:rFonts w:ascii="Times" w:hAnsi="Times"/>
        </w:rPr>
      </w:pPr>
      <w:r w:rsidRPr="003C5907">
        <w:rPr>
          <w:rStyle w:val="familyname"/>
          <w:rFonts w:ascii="Times" w:hAnsi="Times"/>
        </w:rPr>
        <w:t>Mauron</w:t>
      </w:r>
      <w:r w:rsidRPr="003C5907">
        <w:rPr>
          <w:rFonts w:ascii="Times" w:hAnsi="Times"/>
        </w:rPr>
        <w:t>, A. (2018). L’assistance au suicide en Suisse : ses particularités éthiques et historiques.</w:t>
      </w:r>
      <w:r w:rsidRPr="003C5907">
        <w:rPr>
          <w:rStyle w:val="apple-converted-space"/>
          <w:rFonts w:ascii="Times" w:hAnsi="Times"/>
        </w:rPr>
        <w:t xml:space="preserve"> </w:t>
      </w:r>
      <w:r w:rsidRPr="003C5907">
        <w:rPr>
          <w:rStyle w:val="Emphasis"/>
          <w:rFonts w:ascii="Times" w:hAnsi="Times"/>
          <w:lang w:val="en-US"/>
        </w:rPr>
        <w:t xml:space="preserve">Droit et cultures </w:t>
      </w:r>
      <w:r w:rsidRPr="003C5907">
        <w:rPr>
          <w:rFonts w:ascii="Times" w:hAnsi="Times"/>
          <w:shd w:val="clear" w:color="auto" w:fill="FFFFFF"/>
          <w:lang w:val="en-US"/>
        </w:rPr>
        <w:t>[</w:t>
      </w:r>
      <w:r w:rsidRPr="003C5907">
        <w:rPr>
          <w:rFonts w:ascii="Times" w:hAnsi="Times"/>
          <w:iCs/>
          <w:shd w:val="clear" w:color="auto" w:fill="FFFFFF"/>
          <w:lang w:val="en-US"/>
        </w:rPr>
        <w:t>Assisted Suicide in Switzerland: Its Ethical and Historical Specificities</w:t>
      </w:r>
      <w:r w:rsidRPr="003C5907">
        <w:rPr>
          <w:rFonts w:ascii="Times" w:hAnsi="Times"/>
          <w:shd w:val="clear" w:color="auto" w:fill="FFFFFF"/>
          <w:lang w:val="en-US"/>
        </w:rPr>
        <w:t>] [Online]</w:t>
      </w:r>
      <w:r w:rsidRPr="003C5907">
        <w:rPr>
          <w:rFonts w:ascii="Times" w:hAnsi="Times"/>
          <w:lang w:val="en-US"/>
        </w:rPr>
        <w:t xml:space="preserve">, 75. </w:t>
      </w:r>
      <w:r w:rsidRPr="003C5907">
        <w:rPr>
          <w:rFonts w:ascii="Times" w:hAnsi="Times"/>
        </w:rPr>
        <w:t>Retrieved from http://journals.openedition.org/droitcultures/4424</w:t>
      </w:r>
    </w:p>
    <w:p w14:paraId="08C1FA2D" w14:textId="77777777" w:rsidR="00CE4D6E" w:rsidRPr="003C5907" w:rsidRDefault="00CE4D6E" w:rsidP="00CE4D6E">
      <w:pPr>
        <w:jc w:val="both"/>
        <w:rPr>
          <w:rFonts w:ascii="Times" w:hAnsi="Times"/>
        </w:rPr>
      </w:pPr>
    </w:p>
    <w:p w14:paraId="314D95CA" w14:textId="77777777" w:rsidR="003C5907" w:rsidRPr="003C5907" w:rsidRDefault="003C5907" w:rsidP="003C5907">
      <w:pPr>
        <w:jc w:val="both"/>
        <w:rPr>
          <w:rFonts w:ascii="Times" w:hAnsi="Times"/>
          <w:lang w:val="en-US"/>
        </w:rPr>
      </w:pPr>
      <w:r w:rsidRPr="003C5907">
        <w:rPr>
          <w:rFonts w:ascii="Times" w:hAnsi="Times"/>
        </w:rPr>
        <w:t xml:space="preserve">Memmi, D. (2003). </w:t>
      </w:r>
      <w:r w:rsidRPr="003C5907">
        <w:rPr>
          <w:rFonts w:ascii="Times" w:hAnsi="Times"/>
          <w:i/>
        </w:rPr>
        <w:t xml:space="preserve">Faire vivre et laisser mourir </w:t>
      </w:r>
      <w:r w:rsidRPr="003C5907">
        <w:rPr>
          <w:rFonts w:ascii="Times" w:hAnsi="Times" w:cstheme="minorHAnsi"/>
        </w:rPr>
        <w:t>[</w:t>
      </w:r>
      <w:r w:rsidRPr="003C5907">
        <w:t>Making One Live and Letting One Die</w:t>
      </w:r>
      <w:r w:rsidRPr="003C5907">
        <w:rPr>
          <w:rFonts w:ascii="Times" w:hAnsi="Times" w:cstheme="minorHAnsi"/>
        </w:rPr>
        <w:t>]</w:t>
      </w:r>
      <w:r w:rsidRPr="003C5907">
        <w:rPr>
          <w:rFonts w:ascii="Times" w:hAnsi="Times"/>
        </w:rPr>
        <w:t xml:space="preserve">. </w:t>
      </w:r>
      <w:r w:rsidRPr="003C5907">
        <w:rPr>
          <w:rFonts w:ascii="Times" w:hAnsi="Times"/>
          <w:lang w:val="en-US"/>
        </w:rPr>
        <w:t xml:space="preserve">Paris: La Découverte. </w:t>
      </w:r>
    </w:p>
    <w:p w14:paraId="087825B4" w14:textId="77777777" w:rsidR="003C5907" w:rsidRPr="003C5907" w:rsidRDefault="003C5907" w:rsidP="003C5907">
      <w:pPr>
        <w:jc w:val="both"/>
        <w:rPr>
          <w:rFonts w:ascii="Times" w:hAnsi="Times"/>
          <w:lang w:val="en-US"/>
        </w:rPr>
      </w:pPr>
    </w:p>
    <w:p w14:paraId="14A73F55" w14:textId="5DD0F12A" w:rsidR="00CE4D6E" w:rsidRPr="003C5907" w:rsidRDefault="00CE4D6E" w:rsidP="00CE4D6E">
      <w:pPr>
        <w:jc w:val="both"/>
        <w:rPr>
          <w:rFonts w:ascii="Times" w:hAnsi="Times"/>
          <w:lang w:val="en-GB"/>
        </w:rPr>
      </w:pPr>
      <w:r w:rsidRPr="003C5907">
        <w:rPr>
          <w:rFonts w:ascii="Times" w:hAnsi="Times"/>
        </w:rPr>
        <w:t>Memmi, D</w:t>
      </w:r>
      <w:r w:rsidRPr="003C5907">
        <w:rPr>
          <w:rFonts w:ascii="Times" w:hAnsi="Times"/>
          <w:i/>
        </w:rPr>
        <w:t xml:space="preserve">. </w:t>
      </w:r>
      <w:r w:rsidRPr="003C5907">
        <w:rPr>
          <w:rFonts w:ascii="Times" w:hAnsi="Times"/>
        </w:rPr>
        <w:t>(2014)</w:t>
      </w:r>
      <w:r w:rsidRPr="003C5907">
        <w:rPr>
          <w:rFonts w:ascii="Times" w:hAnsi="Times"/>
          <w:i/>
        </w:rPr>
        <w:t xml:space="preserve">. La revanche de la chair. Essai sur les nouveaux supports de l’identité </w:t>
      </w:r>
      <w:r w:rsidRPr="003C5907">
        <w:rPr>
          <w:rFonts w:ascii="Times" w:hAnsi="Times" w:cstheme="minorHAnsi"/>
        </w:rPr>
        <w:t>[</w:t>
      </w:r>
      <w:r w:rsidRPr="003C5907">
        <w:rPr>
          <w:rFonts w:ascii="Times" w:hAnsi="Times"/>
        </w:rPr>
        <w:t xml:space="preserve">The revenge of the </w:t>
      </w:r>
      <w:r w:rsidR="00A04CC5" w:rsidRPr="003C5907">
        <w:rPr>
          <w:rFonts w:ascii="Times" w:hAnsi="Times"/>
        </w:rPr>
        <w:t>flesh</w:t>
      </w:r>
      <w:r w:rsidRPr="003C5907">
        <w:rPr>
          <w:rFonts w:ascii="Times" w:hAnsi="Times"/>
        </w:rPr>
        <w:t xml:space="preserve">. </w:t>
      </w:r>
      <w:r w:rsidRPr="003C5907">
        <w:rPr>
          <w:rFonts w:ascii="Times" w:hAnsi="Times"/>
          <w:lang w:val="en-GB"/>
        </w:rPr>
        <w:t>Essay on the new supports of identity</w:t>
      </w:r>
      <w:r w:rsidRPr="003C5907">
        <w:rPr>
          <w:rFonts w:ascii="Times" w:hAnsi="Times" w:cstheme="minorHAnsi"/>
          <w:lang w:val="en-GB"/>
        </w:rPr>
        <w:t>]</w:t>
      </w:r>
      <w:r w:rsidRPr="003C5907">
        <w:rPr>
          <w:rFonts w:ascii="Times" w:hAnsi="Times"/>
          <w:lang w:val="en-GB"/>
        </w:rPr>
        <w:t>. Paris: Seuil.</w:t>
      </w:r>
    </w:p>
    <w:p w14:paraId="6F354F15" w14:textId="77777777" w:rsidR="00CE4D6E" w:rsidRPr="003C5907" w:rsidRDefault="00CE4D6E" w:rsidP="00CE4D6E">
      <w:pPr>
        <w:jc w:val="both"/>
        <w:rPr>
          <w:rFonts w:ascii="Times" w:hAnsi="Times"/>
          <w:lang w:val="en-GB"/>
        </w:rPr>
      </w:pPr>
    </w:p>
    <w:p w14:paraId="6B27C31A" w14:textId="77777777" w:rsidR="00CE4D6E" w:rsidRPr="003C5907" w:rsidRDefault="00CE4D6E" w:rsidP="00CE4D6E">
      <w:pPr>
        <w:jc w:val="both"/>
        <w:rPr>
          <w:rFonts w:ascii="Times" w:hAnsi="Times"/>
          <w:shd w:val="clear" w:color="auto" w:fill="FFFFFF"/>
        </w:rPr>
      </w:pPr>
      <w:r w:rsidRPr="003C5907">
        <w:rPr>
          <w:rFonts w:ascii="Times" w:hAnsi="Times"/>
          <w:lang w:val="en-GB"/>
        </w:rPr>
        <w:t>Memmi</w:t>
      </w:r>
      <w:r w:rsidRPr="003C5907">
        <w:rPr>
          <w:rFonts w:ascii="Times" w:hAnsi="Times"/>
          <w:shd w:val="clear" w:color="auto" w:fill="FFFFFF"/>
          <w:lang w:val="en-GB"/>
        </w:rPr>
        <w:t>, D., &amp; </w:t>
      </w:r>
      <w:r w:rsidRPr="003C5907">
        <w:rPr>
          <w:rFonts w:ascii="Times" w:hAnsi="Times"/>
          <w:lang w:val="en-GB"/>
        </w:rPr>
        <w:t>Taïeb</w:t>
      </w:r>
      <w:r w:rsidRPr="003C5907">
        <w:rPr>
          <w:rFonts w:ascii="Times" w:hAnsi="Times"/>
          <w:shd w:val="clear" w:color="auto" w:fill="FFFFFF"/>
          <w:lang w:val="en-GB"/>
        </w:rPr>
        <w:t xml:space="preserve">, E. (2009). Les recompositions du « faire mourir » : vers une biopolitique d'institution </w:t>
      </w:r>
      <w:r w:rsidRPr="003C5907">
        <w:rPr>
          <w:rFonts w:ascii="Times" w:hAnsi="Times" w:cstheme="minorHAnsi"/>
          <w:lang w:val="en-GB"/>
        </w:rPr>
        <w:t>[</w:t>
      </w:r>
      <w:r w:rsidRPr="003C5907">
        <w:rPr>
          <w:rFonts w:ascii="Times" w:hAnsi="Times"/>
          <w:lang w:val="en-GB"/>
        </w:rPr>
        <w:t>The recompositions of the “making one die”: Towards a biopolitics of institution</w:t>
      </w:r>
      <w:r w:rsidRPr="003C5907">
        <w:rPr>
          <w:rFonts w:ascii="Times" w:hAnsi="Times" w:cstheme="minorHAnsi"/>
          <w:lang w:val="en-GB"/>
        </w:rPr>
        <w:t>]</w:t>
      </w:r>
      <w:r w:rsidRPr="003C5907">
        <w:rPr>
          <w:rFonts w:ascii="Times" w:hAnsi="Times"/>
          <w:shd w:val="clear" w:color="auto" w:fill="FFFFFF"/>
          <w:lang w:val="en-GB"/>
        </w:rPr>
        <w:t xml:space="preserve">. </w:t>
      </w:r>
      <w:r w:rsidRPr="003C5907">
        <w:rPr>
          <w:rFonts w:ascii="Times" w:hAnsi="Times"/>
          <w:i/>
          <w:iCs/>
        </w:rPr>
        <w:t>Sociétés contemporaines</w:t>
      </w:r>
      <w:r w:rsidRPr="003C5907">
        <w:rPr>
          <w:rFonts w:ascii="Times" w:hAnsi="Times"/>
          <w:shd w:val="clear" w:color="auto" w:fill="FFFFFF"/>
        </w:rPr>
        <w:t xml:space="preserve">, </w:t>
      </w:r>
      <w:r w:rsidRPr="003C5907">
        <w:rPr>
          <w:rFonts w:ascii="Times" w:hAnsi="Times"/>
          <w:i/>
          <w:shd w:val="clear" w:color="auto" w:fill="FFFFFF"/>
        </w:rPr>
        <w:t>75</w:t>
      </w:r>
      <w:r w:rsidRPr="003C5907">
        <w:rPr>
          <w:rFonts w:ascii="Times" w:hAnsi="Times"/>
          <w:shd w:val="clear" w:color="auto" w:fill="FFFFFF"/>
        </w:rPr>
        <w:t>(3), 5</w:t>
      </w:r>
      <w:r w:rsidRPr="003C5907">
        <w:rPr>
          <w:rStyle w:val="element-citation"/>
          <w:rFonts w:ascii="Times" w:hAnsi="Times"/>
        </w:rPr>
        <w:t>–</w:t>
      </w:r>
      <w:r w:rsidRPr="003C5907">
        <w:rPr>
          <w:rFonts w:ascii="Times" w:hAnsi="Times"/>
          <w:shd w:val="clear" w:color="auto" w:fill="FFFFFF"/>
        </w:rPr>
        <w:t>15.</w:t>
      </w:r>
    </w:p>
    <w:p w14:paraId="6F749AA1" w14:textId="77777777" w:rsidR="00CE4D6E" w:rsidRPr="003C5907" w:rsidRDefault="00CE4D6E" w:rsidP="00CE4D6E">
      <w:pPr>
        <w:jc w:val="both"/>
        <w:rPr>
          <w:rFonts w:ascii="Times" w:hAnsi="Times"/>
          <w:shd w:val="clear" w:color="auto" w:fill="FFFFFF"/>
        </w:rPr>
      </w:pPr>
    </w:p>
    <w:p w14:paraId="74C04ECB" w14:textId="77777777" w:rsidR="00CE4D6E" w:rsidRPr="003C5907" w:rsidRDefault="00CE4D6E" w:rsidP="00CE4D6E">
      <w:pPr>
        <w:jc w:val="both"/>
        <w:rPr>
          <w:rFonts w:ascii="Times" w:hAnsi="Times"/>
          <w:lang w:val="en-US"/>
        </w:rPr>
      </w:pPr>
    </w:p>
    <w:p w14:paraId="109BA88D" w14:textId="77777777" w:rsidR="00CE4D6E" w:rsidRPr="003C5907" w:rsidRDefault="00CE4D6E" w:rsidP="00CE4D6E">
      <w:pPr>
        <w:jc w:val="both"/>
        <w:rPr>
          <w:rFonts w:ascii="Times" w:hAnsi="Times"/>
          <w:shd w:val="clear" w:color="auto" w:fill="FFFFFF"/>
          <w:lang w:val="en-US"/>
        </w:rPr>
      </w:pPr>
      <w:r w:rsidRPr="003C5907">
        <w:rPr>
          <w:rFonts w:ascii="Times" w:hAnsi="Times"/>
          <w:shd w:val="clear" w:color="auto" w:fill="FFFFFF"/>
          <w:lang w:val="en-CA"/>
        </w:rPr>
        <w:t xml:space="preserve">Mol, A. (2002). </w:t>
      </w:r>
      <w:r w:rsidRPr="003C5907">
        <w:rPr>
          <w:rFonts w:ascii="Times" w:hAnsi="Times"/>
          <w:i/>
          <w:shd w:val="clear" w:color="auto" w:fill="FFFFFF"/>
          <w:lang w:val="en-US"/>
        </w:rPr>
        <w:t>The Body Multiple: Ontology in Medical Practice</w:t>
      </w:r>
      <w:r w:rsidRPr="003C5907">
        <w:rPr>
          <w:rFonts w:ascii="Times" w:hAnsi="Times"/>
          <w:shd w:val="clear" w:color="auto" w:fill="FFFFFF"/>
          <w:lang w:val="en-US"/>
        </w:rPr>
        <w:t xml:space="preserve">. Durham: Duke University Press. </w:t>
      </w:r>
    </w:p>
    <w:p w14:paraId="3E9DE4CB" w14:textId="77777777" w:rsidR="00CE4D6E" w:rsidRPr="003C5907" w:rsidRDefault="00CE4D6E" w:rsidP="00CE4D6E">
      <w:pPr>
        <w:jc w:val="both"/>
        <w:rPr>
          <w:rFonts w:ascii="Times" w:hAnsi="Times"/>
          <w:shd w:val="clear" w:color="auto" w:fill="FFFFFF"/>
          <w:lang w:val="en-US"/>
        </w:rPr>
      </w:pPr>
    </w:p>
    <w:p w14:paraId="4A5F02BB" w14:textId="539A94A6" w:rsidR="00CE4D6E" w:rsidRPr="003C5907" w:rsidRDefault="00CE4D6E" w:rsidP="003C5907">
      <w:pPr>
        <w:widowControl w:val="0"/>
        <w:autoSpaceDE w:val="0"/>
        <w:autoSpaceDN w:val="0"/>
        <w:adjustRightInd w:val="0"/>
        <w:jc w:val="both"/>
        <w:rPr>
          <w:rFonts w:ascii="Times" w:hAnsi="Times"/>
          <w:lang w:val="fr-CH"/>
        </w:rPr>
      </w:pPr>
      <w:r w:rsidRPr="003C5907">
        <w:rPr>
          <w:rFonts w:ascii="Times" w:hAnsi="Times"/>
          <w:lang w:val="en-US"/>
        </w:rPr>
        <w:t xml:space="preserve">Pillonel, A., Berthod, M-A., &amp; Castelli Dransart, D.A (2019). </w:t>
      </w:r>
      <w:r w:rsidRPr="003C5907">
        <w:rPr>
          <w:rFonts w:ascii="Times" w:hAnsi="Times"/>
          <w:i/>
          <w:lang w:val="fr-FR"/>
        </w:rPr>
        <w:t xml:space="preserve">Le temps de mourir. </w:t>
      </w:r>
      <w:r w:rsidRPr="003C5907">
        <w:rPr>
          <w:rFonts w:ascii="Times" w:hAnsi="Times"/>
          <w:i/>
        </w:rPr>
        <w:t xml:space="preserve">Réflexions sur les usages de la notion d’accélération en lien avec l’assistance au suicide </w:t>
      </w:r>
      <w:r w:rsidRPr="003C5907">
        <w:rPr>
          <w:rFonts w:ascii="Times" w:hAnsi="Times" w:cstheme="minorHAnsi"/>
        </w:rPr>
        <w:t>[</w:t>
      </w:r>
      <w:r w:rsidR="00A04CC5" w:rsidRPr="003C5907">
        <w:rPr>
          <w:rFonts w:ascii="Times" w:hAnsi="Times" w:cstheme="minorHAnsi"/>
        </w:rPr>
        <w:t>The time to die</w:t>
      </w:r>
      <w:r w:rsidRPr="003C5907">
        <w:rPr>
          <w:rFonts w:ascii="Times" w:hAnsi="Times" w:cstheme="minorHAnsi"/>
        </w:rPr>
        <w:t xml:space="preserve">. </w:t>
      </w:r>
      <w:r w:rsidRPr="003C5907">
        <w:rPr>
          <w:rFonts w:ascii="Times" w:hAnsi="Times" w:cstheme="minorHAnsi"/>
          <w:lang w:val="en-US"/>
        </w:rPr>
        <w:t>Reflection on the various uses of acceleration associated with assisted suicide]</w:t>
      </w:r>
      <w:r w:rsidRPr="003C5907">
        <w:rPr>
          <w:rFonts w:ascii="Times" w:hAnsi="Times"/>
          <w:i/>
          <w:lang w:val="en-US"/>
        </w:rPr>
        <w:t xml:space="preserve">. </w:t>
      </w:r>
      <w:r w:rsidRPr="003C5907">
        <w:rPr>
          <w:rFonts w:ascii="Times" w:hAnsi="Times"/>
          <w:i/>
        </w:rPr>
        <w:t>Revue suisse de travail social</w:t>
      </w:r>
      <w:r w:rsidRPr="003C5907">
        <w:rPr>
          <w:rFonts w:ascii="Times" w:hAnsi="Times"/>
        </w:rPr>
        <w:t xml:space="preserve">, </w:t>
      </w:r>
      <w:r w:rsidRPr="003C5907">
        <w:rPr>
          <w:rFonts w:ascii="Times" w:hAnsi="Times"/>
          <w:i/>
        </w:rPr>
        <w:t>25</w:t>
      </w:r>
      <w:r w:rsidRPr="003C5907">
        <w:rPr>
          <w:rFonts w:ascii="Times" w:hAnsi="Times"/>
        </w:rPr>
        <w:t>(19), 122</w:t>
      </w:r>
      <w:r w:rsidR="003C5907">
        <w:rPr>
          <w:rFonts w:ascii="Times" w:hAnsi="Times"/>
        </w:rPr>
        <w:t>–</w:t>
      </w:r>
      <w:r w:rsidRPr="003C5907">
        <w:rPr>
          <w:rFonts w:ascii="Times" w:hAnsi="Times"/>
        </w:rPr>
        <w:t>138</w:t>
      </w:r>
      <w:r w:rsidRPr="003C5907">
        <w:rPr>
          <w:rFonts w:ascii="Times" w:hAnsi="Times"/>
          <w:lang w:val="fr-CH"/>
        </w:rPr>
        <w:t xml:space="preserve">. </w:t>
      </w:r>
    </w:p>
    <w:p w14:paraId="39F8A89C" w14:textId="77777777" w:rsidR="00CE4D6E" w:rsidRPr="003C5907" w:rsidRDefault="00CE4D6E" w:rsidP="00CE4D6E">
      <w:pPr>
        <w:jc w:val="both"/>
        <w:rPr>
          <w:rFonts w:ascii="Times" w:hAnsi="Times"/>
          <w:shd w:val="clear" w:color="auto" w:fill="FFFFFF"/>
          <w:lang w:val="fr-CH"/>
        </w:rPr>
      </w:pPr>
    </w:p>
    <w:p w14:paraId="13693900" w14:textId="77777777" w:rsidR="00CE4D6E" w:rsidRPr="003C5907" w:rsidRDefault="00CE4D6E" w:rsidP="00CE4D6E">
      <w:pPr>
        <w:pStyle w:val="Heading1"/>
        <w:spacing w:before="0"/>
        <w:jc w:val="both"/>
        <w:rPr>
          <w:rFonts w:ascii="Times" w:hAnsi="Times"/>
          <w:lang w:val="en-US"/>
        </w:rPr>
      </w:pPr>
      <w:r w:rsidRPr="003C5907">
        <w:rPr>
          <w:rFonts w:ascii="Times" w:hAnsi="Times"/>
          <w:color w:val="auto"/>
          <w:sz w:val="24"/>
          <w:szCs w:val="24"/>
          <w:shd w:val="clear" w:color="auto" w:fill="FFFFFF"/>
          <w:lang w:val="fr-CH"/>
        </w:rPr>
        <w:t xml:space="preserve">Pott, M., Von Ballmoos, C., Dubois, J., &amp; Gamondi, C. (2013). </w:t>
      </w:r>
      <w:r w:rsidRPr="003C5907">
        <w:rPr>
          <w:rFonts w:ascii="Times" w:hAnsi="Times"/>
          <w:color w:val="auto"/>
          <w:sz w:val="24"/>
          <w:szCs w:val="24"/>
          <w:shd w:val="clear" w:color="auto" w:fill="FFFFFF"/>
        </w:rPr>
        <w:t xml:space="preserve">Négocier sa participation à une assistance au suicide en Suisse </w:t>
      </w:r>
      <w:r w:rsidRPr="003C5907">
        <w:rPr>
          <w:rFonts w:ascii="Times" w:hAnsi="Times" w:cstheme="minorHAnsi"/>
          <w:color w:val="auto"/>
          <w:sz w:val="24"/>
          <w:szCs w:val="24"/>
          <w:lang w:val="fr-BE"/>
        </w:rPr>
        <w:t>[</w:t>
      </w:r>
      <w:r w:rsidRPr="003C5907">
        <w:rPr>
          <w:rStyle w:val="article-alt-title"/>
          <w:rFonts w:ascii="Times" w:hAnsi="Times"/>
          <w:color w:val="auto"/>
          <w:sz w:val="24"/>
          <w:szCs w:val="24"/>
          <w:lang w:val="fr-BE"/>
        </w:rPr>
        <w:t>Family negotiations in assisted suicide in Switzerland</w:t>
      </w:r>
      <w:r w:rsidRPr="003C5907">
        <w:rPr>
          <w:rFonts w:ascii="Times" w:hAnsi="Times" w:cstheme="minorHAnsi"/>
          <w:color w:val="auto"/>
          <w:sz w:val="24"/>
          <w:szCs w:val="24"/>
          <w:lang w:val="fr-BE"/>
        </w:rPr>
        <w:t>]</w:t>
      </w:r>
      <w:r w:rsidRPr="003C5907">
        <w:rPr>
          <w:rFonts w:ascii="Times" w:hAnsi="Times"/>
          <w:color w:val="auto"/>
          <w:sz w:val="24"/>
          <w:szCs w:val="24"/>
          <w:shd w:val="clear" w:color="auto" w:fill="FFFFFF"/>
          <w:lang w:val="fr-BE"/>
        </w:rPr>
        <w:t xml:space="preserve">. </w:t>
      </w:r>
      <w:r w:rsidRPr="003C5907">
        <w:rPr>
          <w:rFonts w:ascii="Times" w:hAnsi="Times"/>
          <w:i/>
          <w:color w:val="auto"/>
          <w:sz w:val="24"/>
          <w:szCs w:val="24"/>
          <w:shd w:val="clear" w:color="auto" w:fill="FFFFFF"/>
          <w:lang w:val="en-US"/>
        </w:rPr>
        <w:t>Médecine palliative</w:t>
      </w:r>
      <w:r w:rsidRPr="003C5907">
        <w:rPr>
          <w:rFonts w:ascii="Times" w:hAnsi="Times"/>
          <w:color w:val="auto"/>
          <w:sz w:val="24"/>
          <w:szCs w:val="24"/>
          <w:shd w:val="clear" w:color="auto" w:fill="FFFFFF"/>
          <w:lang w:val="en-US"/>
        </w:rPr>
        <w:t xml:space="preserve">, </w:t>
      </w:r>
      <w:r w:rsidRPr="003C5907">
        <w:rPr>
          <w:rFonts w:ascii="Times" w:hAnsi="Times"/>
          <w:i/>
          <w:color w:val="auto"/>
          <w:sz w:val="24"/>
          <w:szCs w:val="24"/>
          <w:shd w:val="clear" w:color="auto" w:fill="FFFFFF"/>
          <w:lang w:val="en-US"/>
        </w:rPr>
        <w:t>13</w:t>
      </w:r>
      <w:r w:rsidRPr="003C5907">
        <w:rPr>
          <w:rFonts w:ascii="Times" w:hAnsi="Times"/>
          <w:color w:val="auto"/>
          <w:sz w:val="24"/>
          <w:szCs w:val="24"/>
          <w:shd w:val="clear" w:color="auto" w:fill="FFFFFF"/>
          <w:lang w:val="en-US"/>
        </w:rPr>
        <w:t>, 68</w:t>
      </w:r>
      <w:r w:rsidRPr="003C5907">
        <w:rPr>
          <w:rStyle w:val="element-citation"/>
          <w:rFonts w:ascii="Times" w:hAnsi="Times"/>
          <w:color w:val="auto"/>
          <w:sz w:val="24"/>
          <w:szCs w:val="24"/>
          <w:lang w:val="en-US"/>
        </w:rPr>
        <w:t>–</w:t>
      </w:r>
      <w:r w:rsidRPr="003C5907">
        <w:rPr>
          <w:rFonts w:ascii="Times" w:hAnsi="Times"/>
          <w:color w:val="auto"/>
          <w:sz w:val="24"/>
          <w:szCs w:val="24"/>
          <w:shd w:val="clear" w:color="auto" w:fill="FFFFFF"/>
          <w:lang w:val="en-US"/>
        </w:rPr>
        <w:t>76.</w:t>
      </w:r>
    </w:p>
    <w:p w14:paraId="46BC5DB0" w14:textId="77777777" w:rsidR="00CE4D6E" w:rsidRPr="003C5907" w:rsidRDefault="00CE4D6E" w:rsidP="00CE4D6E">
      <w:pPr>
        <w:jc w:val="both"/>
        <w:rPr>
          <w:rFonts w:ascii="Times" w:hAnsi="Times"/>
          <w:lang w:val="en-US"/>
        </w:rPr>
      </w:pPr>
    </w:p>
    <w:p w14:paraId="4362F49D" w14:textId="77777777" w:rsidR="00CE4D6E" w:rsidRPr="003C5907" w:rsidRDefault="00CE4D6E" w:rsidP="00CE4D6E">
      <w:pPr>
        <w:jc w:val="both"/>
        <w:rPr>
          <w:rFonts w:ascii="Times" w:hAnsi="Times"/>
          <w:lang w:val="en-US"/>
        </w:rPr>
      </w:pPr>
      <w:r w:rsidRPr="003C5907">
        <w:rPr>
          <w:rFonts w:ascii="Times" w:hAnsi="Times"/>
          <w:lang w:val="en-US"/>
        </w:rPr>
        <w:t xml:space="preserve">Stark, J. (2018). </w:t>
      </w:r>
      <w:r w:rsidRPr="003C5907">
        <w:rPr>
          <w:rFonts w:ascii="Times" w:hAnsi="Times"/>
          <w:i/>
          <w:lang w:val="en-US"/>
        </w:rPr>
        <w:t>A Death of One’s Own. Literature, Law, and the Right to Die</w:t>
      </w:r>
      <w:r w:rsidRPr="003C5907">
        <w:rPr>
          <w:rFonts w:ascii="Times" w:hAnsi="Times"/>
          <w:lang w:val="en-US"/>
        </w:rPr>
        <w:t>. Evanston: Northwestern University Press.</w:t>
      </w:r>
    </w:p>
    <w:p w14:paraId="464F1668" w14:textId="77777777" w:rsidR="00CE4D6E" w:rsidRPr="003C5907" w:rsidRDefault="00CE4D6E" w:rsidP="00CE4D6E">
      <w:pPr>
        <w:jc w:val="both"/>
        <w:rPr>
          <w:rFonts w:ascii="Times" w:hAnsi="Times"/>
          <w:lang w:val="en-US"/>
        </w:rPr>
      </w:pPr>
    </w:p>
    <w:p w14:paraId="631B78C8" w14:textId="77777777" w:rsidR="00CE4D6E" w:rsidRPr="003C5907" w:rsidRDefault="00CE4D6E" w:rsidP="00CE4D6E">
      <w:pPr>
        <w:jc w:val="both"/>
        <w:rPr>
          <w:rFonts w:ascii="Times" w:hAnsi="Times"/>
          <w:lang w:val="en-US"/>
        </w:rPr>
      </w:pPr>
      <w:r w:rsidRPr="003C5907">
        <w:rPr>
          <w:rFonts w:ascii="Times" w:hAnsi="Times"/>
          <w:lang w:val="en-US"/>
        </w:rPr>
        <w:t xml:space="preserve">Tsing, A. L. (2015). </w:t>
      </w:r>
      <w:r w:rsidRPr="003C5907">
        <w:rPr>
          <w:rFonts w:ascii="Times" w:hAnsi="Times"/>
          <w:i/>
          <w:lang w:val="en-US"/>
        </w:rPr>
        <w:t>The</w:t>
      </w:r>
      <w:r w:rsidRPr="003C5907">
        <w:rPr>
          <w:rStyle w:val="Emphasis"/>
          <w:rFonts w:ascii="Times" w:hAnsi="Times"/>
          <w:color w:val="000000"/>
          <w:lang w:val="en-US"/>
        </w:rPr>
        <w:t xml:space="preserve"> Mushroom at the End of the World. On the Possibility of Life in Capitalist Ruins. </w:t>
      </w:r>
      <w:r w:rsidRPr="003C5907">
        <w:rPr>
          <w:rStyle w:val="Emphasis"/>
          <w:rFonts w:ascii="Times" w:hAnsi="Times"/>
          <w:i w:val="0"/>
          <w:color w:val="000000"/>
          <w:lang w:val="en-US"/>
        </w:rPr>
        <w:t>Princeton</w:t>
      </w:r>
      <w:r w:rsidRPr="003C5907">
        <w:rPr>
          <w:rStyle w:val="Emphasis"/>
          <w:rFonts w:ascii="Times" w:hAnsi="Times"/>
          <w:color w:val="000000"/>
          <w:lang w:val="en-US"/>
        </w:rPr>
        <w:t xml:space="preserve">: Princeton University Press. </w:t>
      </w:r>
    </w:p>
    <w:p w14:paraId="2FF58B2A" w14:textId="77777777" w:rsidR="00CE4D6E" w:rsidRPr="003C5907" w:rsidRDefault="00CE4D6E" w:rsidP="00CE4D6E">
      <w:pPr>
        <w:jc w:val="both"/>
        <w:rPr>
          <w:rFonts w:ascii="Times" w:hAnsi="Times"/>
          <w:lang w:val="en-US"/>
        </w:rPr>
      </w:pPr>
    </w:p>
    <w:p w14:paraId="79E8A36B" w14:textId="77777777" w:rsidR="00CE4D6E" w:rsidRPr="00BD110C" w:rsidRDefault="00CE4D6E" w:rsidP="00CE4D6E">
      <w:pPr>
        <w:jc w:val="both"/>
        <w:rPr>
          <w:rFonts w:ascii="Times" w:hAnsi="Times"/>
        </w:rPr>
      </w:pPr>
      <w:r w:rsidRPr="003C5907">
        <w:rPr>
          <w:rFonts w:ascii="Times" w:hAnsi="Times"/>
          <w:lang w:val="en-US"/>
        </w:rPr>
        <w:t xml:space="preserve">Wolf, J. (2012). Le travail en chambre mortuaire : invisibilité et gestion en huis clos </w:t>
      </w:r>
      <w:r w:rsidRPr="003C5907">
        <w:rPr>
          <w:rFonts w:ascii="Times" w:hAnsi="Times" w:cstheme="minorHAnsi"/>
          <w:lang w:val="en-US"/>
        </w:rPr>
        <w:t>[</w:t>
      </w:r>
      <w:r w:rsidRPr="003C5907">
        <w:rPr>
          <w:rFonts w:ascii="Times" w:hAnsi="Times"/>
          <w:iCs/>
          <w:shd w:val="clear" w:color="auto" w:fill="FFFFFF"/>
          <w:lang w:val="en-US"/>
        </w:rPr>
        <w:t>Working in the mortuary: Invisibility and management behind closed doors</w:t>
      </w:r>
      <w:r w:rsidRPr="003C5907">
        <w:rPr>
          <w:rFonts w:ascii="Times" w:hAnsi="Times" w:cstheme="minorHAnsi"/>
          <w:lang w:val="en-US"/>
        </w:rPr>
        <w:t>]</w:t>
      </w:r>
      <w:r w:rsidRPr="003C5907">
        <w:rPr>
          <w:rFonts w:ascii="Times" w:hAnsi="Times"/>
          <w:lang w:val="en-US"/>
        </w:rPr>
        <w:t xml:space="preserve">. </w:t>
      </w:r>
      <w:r w:rsidRPr="003C5907">
        <w:rPr>
          <w:rFonts w:ascii="Times" w:hAnsi="Times"/>
          <w:i/>
        </w:rPr>
        <w:t>Sociologie du travail</w:t>
      </w:r>
      <w:r w:rsidRPr="003C5907">
        <w:rPr>
          <w:rFonts w:ascii="Times" w:hAnsi="Times"/>
        </w:rPr>
        <w:t xml:space="preserve">, </w:t>
      </w:r>
      <w:r w:rsidRPr="003C5907">
        <w:rPr>
          <w:rFonts w:ascii="Times" w:hAnsi="Times"/>
          <w:i/>
        </w:rPr>
        <w:t>54</w:t>
      </w:r>
      <w:r w:rsidRPr="003C5907">
        <w:rPr>
          <w:rFonts w:ascii="Times" w:hAnsi="Times"/>
        </w:rPr>
        <w:t xml:space="preserve">(2), </w:t>
      </w:r>
      <w:r w:rsidRPr="003C5907">
        <w:rPr>
          <w:rFonts w:ascii="Times" w:hAnsi="Times"/>
          <w:shd w:val="clear" w:color="auto" w:fill="FFFFFF"/>
        </w:rPr>
        <w:t>157</w:t>
      </w:r>
      <w:r w:rsidRPr="003C5907">
        <w:rPr>
          <w:rStyle w:val="element-citation"/>
          <w:rFonts w:ascii="Times" w:hAnsi="Times"/>
        </w:rPr>
        <w:t>–</w:t>
      </w:r>
      <w:r w:rsidRPr="003C5907">
        <w:rPr>
          <w:rFonts w:ascii="Times" w:hAnsi="Times"/>
          <w:shd w:val="clear" w:color="auto" w:fill="FFFFFF"/>
        </w:rPr>
        <w:t>177.</w:t>
      </w:r>
      <w:r w:rsidRPr="00BD110C">
        <w:rPr>
          <w:rFonts w:ascii="Times" w:hAnsi="Times"/>
          <w:shd w:val="clear" w:color="auto" w:fill="FFFFFF"/>
        </w:rPr>
        <w:t xml:space="preserve"> </w:t>
      </w:r>
    </w:p>
    <w:p w14:paraId="6CD245EA" w14:textId="77777777" w:rsidR="00CE4D6E" w:rsidRPr="00BD110C" w:rsidRDefault="00CE4D6E" w:rsidP="00CE4D6E">
      <w:pPr>
        <w:jc w:val="both"/>
        <w:rPr>
          <w:rFonts w:ascii="Times" w:hAnsi="Times"/>
        </w:rPr>
      </w:pPr>
    </w:p>
    <w:p w14:paraId="59D1208F" w14:textId="77777777" w:rsidR="00FB7BE2" w:rsidRDefault="00FB7BE2"/>
    <w:sectPr w:rsidR="00FB7BE2" w:rsidSect="00566167">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417" w:left="1417" w:header="708" w:footer="708"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5F528B" w15:done="0"/>
  <w15:commentEx w15:paraId="6B8ED78C" w15:done="0"/>
  <w15:commentEx w15:paraId="39B7F160" w15:done="0"/>
  <w15:commentEx w15:paraId="020D2696" w15:done="0"/>
  <w15:commentEx w15:paraId="461FE9F6" w15:done="0"/>
  <w15:commentEx w15:paraId="2D94DED9" w15:done="0"/>
  <w15:commentEx w15:paraId="508B8530" w15:done="0"/>
  <w15:commentEx w15:paraId="3E9AC149" w15:done="0"/>
  <w15:commentEx w15:paraId="75B399D0" w15:done="0"/>
  <w15:commentEx w15:paraId="7512A91E" w15:done="0"/>
  <w15:commentEx w15:paraId="10DB5946" w15:done="0"/>
  <w15:commentEx w15:paraId="5EBB5C1D" w15:done="0"/>
  <w15:commentEx w15:paraId="2578D53D" w15:done="0"/>
  <w15:commentEx w15:paraId="788A739C" w15:done="0"/>
  <w15:commentEx w15:paraId="722E1519" w15:done="0"/>
  <w15:commentEx w15:paraId="7149A9FE" w15:done="0"/>
  <w15:commentEx w15:paraId="6126B9F7" w15:done="0"/>
  <w15:commentEx w15:paraId="3098F40C" w15:done="0"/>
  <w15:commentEx w15:paraId="08C6BB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1D83ED" w16cex:dateUtc="2021-04-11T12:18:00Z"/>
  <w16cex:commentExtensible w16cex:durableId="241C0461" w16cex:dateUtc="2021-04-10T09:02:00Z"/>
  <w16cex:commentExtensible w16cex:durableId="241D9AFB" w16cex:dateUtc="2021-04-11T13:57:00Z"/>
  <w16cex:commentExtensible w16cex:durableId="241C0E34" w16cex:dateUtc="2021-04-10T09:44:00Z"/>
  <w16cex:commentExtensible w16cex:durableId="241C0F3B" w16cex:dateUtc="2021-04-10T09:49:00Z"/>
  <w16cex:commentExtensible w16cex:durableId="241D9C3F" w16cex:dateUtc="2021-04-11T14:03:00Z"/>
  <w16cex:commentExtensible w16cex:durableId="241C0EF1" w16cex:dateUtc="2021-04-10T09:48:00Z"/>
  <w16cex:commentExtensible w16cex:durableId="241D9D18" w16cex:dateUtc="2021-04-11T14:06:00Z"/>
  <w16cex:commentExtensible w16cex:durableId="241C1107" w16cex:dateUtc="2021-04-10T09:56:00Z"/>
  <w16cex:commentExtensible w16cex:durableId="241E00FA" w16cex:dateUtc="2021-04-11T21:12:00Z"/>
  <w16cex:commentExtensible w16cex:durableId="241C1185" w16cex:dateUtc="2021-04-10T09:59:00Z"/>
  <w16cex:commentExtensible w16cex:durableId="241E021A" w16cex:dateUtc="2021-04-11T21:17:00Z"/>
  <w16cex:commentExtensible w16cex:durableId="241C16B0" w16cex:dateUtc="2021-04-10T10:21:00Z"/>
  <w16cex:commentExtensible w16cex:durableId="241C19E1" w16cex:dateUtc="2021-04-10T10:34:00Z"/>
  <w16cex:commentExtensible w16cex:durableId="241D430D" w16cex:dateUtc="2021-04-11T07:42:00Z"/>
  <w16cex:commentExtensible w16cex:durableId="241D4474" w16cex:dateUtc="2021-04-11T07:48:00Z"/>
  <w16cex:commentExtensible w16cex:durableId="241E0E88" w16cex:dateUtc="2021-04-11T22:10:00Z"/>
  <w16cex:commentExtensible w16cex:durableId="241D4816" w16cex:dateUtc="2021-04-11T08:04:00Z"/>
  <w16cex:commentExtensible w16cex:durableId="241E12F2" w16cex:dateUtc="2021-04-11T2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5F528B" w16cid:durableId="241D83ED"/>
  <w16cid:commentId w16cid:paraId="6B8ED78C" w16cid:durableId="241C0461"/>
  <w16cid:commentId w16cid:paraId="39B7F160" w16cid:durableId="241D9AFB"/>
  <w16cid:commentId w16cid:paraId="020D2696" w16cid:durableId="241C0E34"/>
  <w16cid:commentId w16cid:paraId="461FE9F6" w16cid:durableId="241C0F3B"/>
  <w16cid:commentId w16cid:paraId="2D94DED9" w16cid:durableId="241D9C3F"/>
  <w16cid:commentId w16cid:paraId="508B8530" w16cid:durableId="241C0EF1"/>
  <w16cid:commentId w16cid:paraId="3E9AC149" w16cid:durableId="241D9D18"/>
  <w16cid:commentId w16cid:paraId="75B399D0" w16cid:durableId="241C1107"/>
  <w16cid:commentId w16cid:paraId="7512A91E" w16cid:durableId="241E00FA"/>
  <w16cid:commentId w16cid:paraId="10DB5946" w16cid:durableId="241C1185"/>
  <w16cid:commentId w16cid:paraId="5EBB5C1D" w16cid:durableId="241E021A"/>
  <w16cid:commentId w16cid:paraId="2578D53D" w16cid:durableId="241C16B0"/>
  <w16cid:commentId w16cid:paraId="788A739C" w16cid:durableId="241C19E1"/>
  <w16cid:commentId w16cid:paraId="722E1519" w16cid:durableId="241D430D"/>
  <w16cid:commentId w16cid:paraId="7149A9FE" w16cid:durableId="241D4474"/>
  <w16cid:commentId w16cid:paraId="6126B9F7" w16cid:durableId="241E0E88"/>
  <w16cid:commentId w16cid:paraId="3098F40C" w16cid:durableId="241D4816"/>
  <w16cid:commentId w16cid:paraId="08C6BBD3" w16cid:durableId="241E12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82B9F" w14:textId="77777777" w:rsidR="0097495C" w:rsidRDefault="0097495C" w:rsidP="00CE4D6E">
      <w:r>
        <w:separator/>
      </w:r>
    </w:p>
  </w:endnote>
  <w:endnote w:type="continuationSeparator" w:id="0">
    <w:p w14:paraId="7A1B32ED" w14:textId="77777777" w:rsidR="0097495C" w:rsidRDefault="0097495C" w:rsidP="00CE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idot">
    <w:charset w:val="B1"/>
    <w:family w:val="auto"/>
    <w:pitch w:val="variable"/>
    <w:sig w:usb0="80000867" w:usb1="00000000" w:usb2="00000000" w:usb3="00000000" w:csb0="000001F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958070246"/>
      <w:docPartObj>
        <w:docPartGallery w:val="Page Numbers (Bottom of Page)"/>
        <w:docPartUnique/>
      </w:docPartObj>
    </w:sdtPr>
    <w:sdtEndPr>
      <w:rPr>
        <w:rStyle w:val="PageNumber"/>
      </w:rPr>
    </w:sdtEndPr>
    <w:sdtContent>
      <w:p w14:paraId="2DD4CC75" w14:textId="77777777" w:rsidR="00F03965" w:rsidRDefault="0097495C" w:rsidP="00566167">
        <w:pPr>
          <w:pStyle w:val="Footer"/>
          <w:framePr w:wrap="none" w:vAnchor="text" w:hAnchor="margin" w:xAlign="right" w:y="1"/>
          <w:rPr>
            <w:rStyle w:val="PageNumber"/>
          </w:rPr>
        </w:pPr>
      </w:p>
    </w:sdtContent>
  </w:sdt>
  <w:p w14:paraId="57B46504" w14:textId="77777777" w:rsidR="00F03965" w:rsidRDefault="0097495C" w:rsidP="0056616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008751291"/>
      <w:docPartObj>
        <w:docPartGallery w:val="Page Numbers (Bottom of Page)"/>
        <w:docPartUnique/>
      </w:docPartObj>
    </w:sdtPr>
    <w:sdtEndPr>
      <w:rPr>
        <w:rStyle w:val="PageNumber"/>
        <w:rFonts w:ascii="Times" w:hAnsi="Times"/>
      </w:rPr>
    </w:sdtEndPr>
    <w:sdtContent>
      <w:p w14:paraId="5682E8EC" w14:textId="77777777" w:rsidR="00F03965" w:rsidRPr="00F350D1" w:rsidRDefault="0042655E" w:rsidP="00566167">
        <w:pPr>
          <w:pStyle w:val="Footer"/>
          <w:framePr w:wrap="none" w:vAnchor="text" w:hAnchor="margin" w:xAlign="right" w:y="1"/>
          <w:rPr>
            <w:rStyle w:val="PageNumber"/>
            <w:rFonts w:ascii="Times" w:hAnsi="Times"/>
          </w:rPr>
        </w:pPr>
        <w:r>
          <w:rPr>
            <w:rStyle w:val="PageNumber"/>
            <w:rFonts w:ascii="Times" w:hAnsi="Times"/>
            <w:noProof/>
          </w:rPr>
          <w:t>28</w:t>
        </w:r>
      </w:p>
    </w:sdtContent>
  </w:sdt>
  <w:p w14:paraId="772E8EC8" w14:textId="77777777" w:rsidR="00F03965" w:rsidRDefault="0097495C" w:rsidP="0056616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D060F" w14:textId="77777777" w:rsidR="00A804F9" w:rsidRDefault="00A804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EC7EC2" w14:textId="77777777" w:rsidR="0097495C" w:rsidRDefault="0097495C" w:rsidP="00CE4D6E">
      <w:r>
        <w:separator/>
      </w:r>
    </w:p>
  </w:footnote>
  <w:footnote w:type="continuationSeparator" w:id="0">
    <w:p w14:paraId="478D3E99" w14:textId="77777777" w:rsidR="0097495C" w:rsidRDefault="0097495C" w:rsidP="00CE4D6E">
      <w:r>
        <w:continuationSeparator/>
      </w:r>
    </w:p>
  </w:footnote>
  <w:footnote w:id="1">
    <w:p w14:paraId="25700A81" w14:textId="77777777" w:rsidR="00CE4D6E" w:rsidRPr="003C5907" w:rsidRDefault="00CE4D6E" w:rsidP="00CE4D6E">
      <w:pPr>
        <w:pStyle w:val="FootnoteText"/>
        <w:jc w:val="both"/>
        <w:rPr>
          <w:rFonts w:ascii="Times" w:hAnsi="Times"/>
          <w:lang w:val="en-CA"/>
        </w:rPr>
      </w:pPr>
      <w:r w:rsidRPr="00BD110C">
        <w:rPr>
          <w:rStyle w:val="FootnoteReference"/>
          <w:rFonts w:ascii="Times" w:hAnsi="Times"/>
        </w:rPr>
        <w:footnoteRef/>
      </w:r>
      <w:r w:rsidRPr="00BD110C">
        <w:rPr>
          <w:rFonts w:ascii="Times" w:hAnsi="Times"/>
          <w:lang w:val="en-CA"/>
        </w:rPr>
        <w:t xml:space="preserve"> </w:t>
      </w:r>
      <w:r w:rsidRPr="003C5907">
        <w:rPr>
          <w:rFonts w:ascii="Times" w:hAnsi="Times"/>
          <w:lang w:val="en-CA"/>
        </w:rPr>
        <w:t>To account for the specific features of each political/legal context, we adopt the terminology used in each country for our ethnographic descriptions (i.e., “assisted suicide” in Switzerland and “euthanasia” in Belgium). When we put national practices into perspective and/or do not differentiate between them, we use the preferred generic term, “assistance in dying,” which is also used in the other articles of this special issue.</w:t>
      </w:r>
    </w:p>
  </w:footnote>
  <w:footnote w:id="2">
    <w:p w14:paraId="564FCC81" w14:textId="77777777" w:rsidR="00CE4D6E" w:rsidRPr="00BD110C" w:rsidRDefault="00CE4D6E" w:rsidP="00CE4D6E">
      <w:pPr>
        <w:pStyle w:val="FootnoteText"/>
        <w:jc w:val="both"/>
        <w:rPr>
          <w:rFonts w:ascii="Times" w:hAnsi="Times"/>
          <w:lang w:val="en-CA"/>
        </w:rPr>
      </w:pPr>
      <w:r w:rsidRPr="003C5907">
        <w:rPr>
          <w:rStyle w:val="FootnoteReference"/>
          <w:rFonts w:ascii="Times" w:hAnsi="Times"/>
        </w:rPr>
        <w:footnoteRef/>
      </w:r>
      <w:r w:rsidRPr="003C5907">
        <w:rPr>
          <w:rFonts w:ascii="Times" w:hAnsi="Times"/>
          <w:lang w:val="en-CA"/>
        </w:rPr>
        <w:t xml:space="preserve"> </w:t>
      </w:r>
      <w:r w:rsidRPr="003C5907">
        <w:rPr>
          <w:rFonts w:ascii="Times" w:hAnsi="Times" w:cs="Arial"/>
          <w:lang w:val="en-CA"/>
        </w:rPr>
        <w:t xml:space="preserve">For Switzerland, the research team included Marc-Antoine Berthod, </w:t>
      </w:r>
      <w:r w:rsidRPr="003C5907">
        <w:rPr>
          <w:rFonts w:ascii="Times" w:hAnsi="Times"/>
          <w:lang w:val="en-CA"/>
        </w:rPr>
        <w:t xml:space="preserve">Dolores Angela Castelli Dransart, Alexandre Pillonel, and Anthony Stavrianakis. It conducted the study, </w:t>
      </w:r>
      <w:r w:rsidRPr="003C5907">
        <w:rPr>
          <w:rFonts w:ascii="Times" w:hAnsi="Times"/>
          <w:i/>
          <w:iCs/>
          <w:lang w:val="en-CA"/>
        </w:rPr>
        <w:t>Appreciating Death: An ethnography of assisted suicide in Switzerland</w:t>
      </w:r>
      <w:r w:rsidRPr="003C5907">
        <w:rPr>
          <w:rFonts w:ascii="Times" w:hAnsi="Times"/>
          <w:lang w:val="en-CA"/>
        </w:rPr>
        <w:t xml:space="preserve">, funded by the Swiss National Research Foundation (Project </w:t>
      </w:r>
      <w:r w:rsidRPr="003C5907">
        <w:rPr>
          <w:rFonts w:ascii="Times" w:hAnsi="Times"/>
          <w:lang w:val="en-GB"/>
        </w:rPr>
        <w:t xml:space="preserve">n° 169367, September 2017-August 2020). For the Swiss case presented here, we had the opportunity to meet Germaine through the EXIT A.D.M.D. Association for French-Speaking Switzerland. In April 2018, we followed her support volunteer, Hélène, and the researchers were able to attend Hélène’s first meeting with Germaine and her daughter, who were living together. We later negotiated the following arrangements with Germaine: first, to conduct several interviews and exchanges with her (twice), her daughter (twice), and other members of her family (once); and second, during these different meetings, with the consent of everyone involved, to be present at the actual assisted suicide (in August 2018). For Belgium, the team included Guy Lebeer, a sociologist specializing in the study of the political structure of medicine through new democratic practices and medical ethics, and Natasia Hamarat, working under Dr. Lebeer’s direction and conducting a socio-ethnographic inquiry into the construction of the practical legitimacy of requests for euthanasia in hospitals. Her doctoral research was funded by an aspiring-researcher contract from the Belgian Scientific Research Foundation (F.R.S.-FNRS), </w:t>
      </w:r>
      <w:r w:rsidRPr="003C5907">
        <w:rPr>
          <w:rFonts w:ascii="Times" w:hAnsi="Times"/>
          <w:i/>
          <w:iCs/>
          <w:lang w:val="en-GB"/>
        </w:rPr>
        <w:t>Euthanasia “in action”: A sociological analysis of a practice under debate</w:t>
      </w:r>
      <w:r w:rsidRPr="003C5907">
        <w:rPr>
          <w:rFonts w:ascii="Times" w:hAnsi="Times"/>
          <w:lang w:val="en-GB"/>
        </w:rPr>
        <w:t xml:space="preserve"> (METICES Center, Université libre de Bruxelles). In the context of this 24-month inquiry, carried out in two Belgian continuing and palliative care hospital units, Hamarat interviewed and conversed with Annabell during her hospital stay in 2017. The researcher observed and documented discussions in the healthcare team about Annabell’s medical condition throughout her hospitalization up until the day she died.</w:t>
      </w:r>
      <w:r w:rsidRPr="00BD110C">
        <w:rPr>
          <w:rFonts w:ascii="Times" w:hAnsi="Times"/>
          <w:lang w:val="en-GB"/>
        </w:rPr>
        <w:t xml:space="preserve"> </w:t>
      </w:r>
    </w:p>
  </w:footnote>
  <w:footnote w:id="3">
    <w:p w14:paraId="4E65624E" w14:textId="77777777" w:rsidR="00CE4D6E" w:rsidRPr="00236CFD" w:rsidRDefault="00CE4D6E" w:rsidP="00CE4D6E">
      <w:pPr>
        <w:jc w:val="both"/>
        <w:rPr>
          <w:lang w:val="en-CA"/>
        </w:rPr>
      </w:pPr>
      <w:r w:rsidRPr="00BD110C">
        <w:rPr>
          <w:rStyle w:val="FootnoteReference"/>
          <w:rFonts w:ascii="Times" w:hAnsi="Times"/>
        </w:rPr>
        <w:footnoteRef/>
      </w:r>
      <w:r w:rsidRPr="00BD110C">
        <w:rPr>
          <w:rFonts w:ascii="Times" w:hAnsi="Times"/>
          <w:sz w:val="20"/>
          <w:szCs w:val="20"/>
          <w:lang w:val="en-CA"/>
        </w:rPr>
        <w:t xml:space="preserve"> Importantly, Swiss federal law “does not include the existence of ‘a right to’ assisted suicide” (Mauron, 2018), whereas in Belgium, euthanasia legislation stems from a process of putting the issue of patients’ rights on the political agenda. In fact, the Law of 28 May 2002 on euthanasia, the Law of 14 June 2002 on palliative care, and the Law of 22 August 2002 on patients’ rights must be analyzed together in how they were developed in a context of institutionalizing a more democratic management of bio-medicine, identifiable at all levels of the healthcare system (Genicot, 2010). In the end-of-life realm, social demands are mainly focused on rejecting therapeutic obstinacy and come from both the palliative care movement and the assistance-in-dying movement (Bernheim et al., 2008). At that time, the issue of euthanasia was placed on the agenda by various organized medical, legal, association, and political actors, in particular, from 1982, the A.D.M.D. (Association for the Right to Die in Dignity) of Belgium and from 1983, its Flemish counterpart, Recht op Waardig Sterven (R.W.S.). Following the federal elections of 13 June 1999, the setback of the Social Christian parties, relegated to the opposition for the first time since 1958, presented a real opportunity to initiate the legislative process on this issue (Dobbelaere &amp; Voyé, 2015; Hamarat &amp; Lebeer, 2019).</w:t>
      </w:r>
    </w:p>
  </w:footnote>
  <w:footnote w:id="4">
    <w:p w14:paraId="22792454" w14:textId="77777777" w:rsidR="00CE4D6E" w:rsidRPr="00BD110C" w:rsidRDefault="00CE4D6E" w:rsidP="00CE4D6E">
      <w:pPr>
        <w:pStyle w:val="FootnoteText"/>
        <w:jc w:val="both"/>
        <w:rPr>
          <w:rStyle w:val="Hyperlink"/>
          <w:rFonts w:ascii="Times" w:hAnsi="Times"/>
          <w:bCs/>
          <w:lang w:val="en-CA"/>
        </w:rPr>
      </w:pPr>
      <w:r w:rsidRPr="00BD110C">
        <w:rPr>
          <w:rStyle w:val="FootnoteReference"/>
          <w:rFonts w:ascii="Times" w:hAnsi="Times"/>
        </w:rPr>
        <w:footnoteRef/>
      </w:r>
      <w:r w:rsidRPr="00BD110C">
        <w:rPr>
          <w:rFonts w:ascii="Times" w:hAnsi="Times"/>
          <w:lang w:val="en-CA"/>
        </w:rPr>
        <w:t xml:space="preserve"> </w:t>
      </w:r>
      <w:r w:rsidRPr="00BD110C">
        <w:rPr>
          <w:rStyle w:val="Hyperlink"/>
          <w:rFonts w:ascii="Times" w:hAnsi="Times"/>
          <w:bCs/>
          <w:lang w:val="en-CA"/>
        </w:rPr>
        <w:t xml:space="preserve">Law of 28 May 2002 on euthanasia, </w:t>
      </w:r>
      <w:r w:rsidRPr="00BD110C">
        <w:rPr>
          <w:rStyle w:val="Hyperlink"/>
          <w:rFonts w:ascii="Times" w:hAnsi="Times"/>
          <w:bCs/>
          <w:i/>
          <w:iCs/>
          <w:lang w:val="en-CA"/>
        </w:rPr>
        <w:t>Moniteur belge</w:t>
      </w:r>
      <w:r w:rsidRPr="00BD110C">
        <w:rPr>
          <w:rStyle w:val="Hyperlink"/>
          <w:rFonts w:ascii="Times" w:hAnsi="Times"/>
          <w:bCs/>
          <w:lang w:val="en-CA"/>
        </w:rPr>
        <w:t>: http://www.ejustice.just.fgov.be/cgi_loi/change_</w:t>
      </w:r>
    </w:p>
    <w:p w14:paraId="1C7363C3" w14:textId="77777777" w:rsidR="00CE4D6E" w:rsidRPr="00BD110C" w:rsidRDefault="0097495C" w:rsidP="00CE4D6E">
      <w:pPr>
        <w:pStyle w:val="FootnoteText"/>
        <w:jc w:val="both"/>
        <w:rPr>
          <w:rFonts w:ascii="Times" w:hAnsi="Times"/>
          <w:lang w:val="fr-CA"/>
        </w:rPr>
      </w:pPr>
      <w:hyperlink r:id="rId1" w:history="1">
        <w:r w:rsidR="00CE4D6E" w:rsidRPr="00BD110C">
          <w:rPr>
            <w:rStyle w:val="Hyperlink"/>
            <w:rFonts w:ascii="Times" w:hAnsi="Times"/>
            <w:bCs/>
            <w:lang w:val="fr-CA"/>
          </w:rPr>
          <w:t>lg.pl?language=fr&amp;la=F&amp;cn=2002052837&amp;table_name=loi</w:t>
        </w:r>
      </w:hyperlink>
    </w:p>
  </w:footnote>
  <w:footnote w:id="5">
    <w:p w14:paraId="11C700FE" w14:textId="77777777" w:rsidR="00CE4D6E" w:rsidRPr="00BD110C" w:rsidRDefault="00CE4D6E" w:rsidP="00CE4D6E">
      <w:pPr>
        <w:pStyle w:val="FootnoteText"/>
        <w:jc w:val="both"/>
        <w:rPr>
          <w:rFonts w:ascii="Times" w:hAnsi="Times"/>
          <w:lang w:val="en-CA"/>
        </w:rPr>
      </w:pPr>
      <w:r w:rsidRPr="00BD110C">
        <w:rPr>
          <w:rStyle w:val="FootnoteReference"/>
          <w:rFonts w:ascii="Times" w:hAnsi="Times"/>
        </w:rPr>
        <w:footnoteRef/>
      </w:r>
      <w:r w:rsidRPr="00BD110C">
        <w:rPr>
          <w:rFonts w:ascii="Times" w:hAnsi="Times"/>
          <w:lang w:val="en-CA"/>
        </w:rPr>
        <w:t xml:space="preserve"> </w:t>
      </w:r>
      <w:r w:rsidRPr="00BD110C">
        <w:rPr>
          <w:rFonts w:ascii="Times" w:hAnsi="Times"/>
          <w:lang w:val="en-GB"/>
        </w:rPr>
        <w:t xml:space="preserve">Since 2014, the law has been extended to minors (without any age limit), only in situations of constant and unbearable physical pain; the youngsters must be “mentally competent,” as attested by a child psychiatrist or psychologist, and the legal guardians must have agreed for the act to be carried out </w:t>
      </w:r>
      <w:r w:rsidRPr="00BD110C">
        <w:rPr>
          <w:rFonts w:ascii="Times" w:hAnsi="Times"/>
          <w:bCs/>
          <w:lang w:val="en-CA"/>
        </w:rPr>
        <w:t>(art.</w:t>
      </w:r>
      <w:r w:rsidRPr="00BD110C">
        <w:rPr>
          <w:rFonts w:ascii="Times" w:hAnsi="Times" w:cs="Arial"/>
          <w:lang w:val="en-CA"/>
        </w:rPr>
        <w:t xml:space="preserve"> 3§</w:t>
      </w:r>
      <w:r w:rsidRPr="00BD110C">
        <w:rPr>
          <w:rFonts w:ascii="Times" w:hAnsi="Times"/>
          <w:bCs/>
          <w:lang w:val="en-CA"/>
        </w:rPr>
        <w:t>7).</w:t>
      </w:r>
    </w:p>
  </w:footnote>
  <w:footnote w:id="6">
    <w:p w14:paraId="1A7DB8E3" w14:textId="77777777" w:rsidR="00CE4D6E" w:rsidRPr="00BD110C" w:rsidRDefault="00CE4D6E" w:rsidP="00CE4D6E">
      <w:pPr>
        <w:pStyle w:val="FootnoteText"/>
        <w:jc w:val="both"/>
        <w:rPr>
          <w:rFonts w:ascii="Times" w:hAnsi="Times"/>
          <w:lang w:val="en-CA"/>
        </w:rPr>
      </w:pPr>
      <w:r w:rsidRPr="00BD110C">
        <w:rPr>
          <w:rStyle w:val="FootnoteReference"/>
          <w:rFonts w:ascii="Times" w:hAnsi="Times"/>
        </w:rPr>
        <w:footnoteRef/>
      </w:r>
      <w:r w:rsidRPr="00BD110C">
        <w:rPr>
          <w:rFonts w:ascii="Times" w:hAnsi="Times"/>
          <w:lang w:val="en-CA"/>
        </w:rPr>
        <w:t xml:space="preserve"> The attending physician must also assess whether or not the death will occur “in the short term/brève échéance” (art.3§3). While the law does not define “short term,” leaving it up to the medical practitioner to decide, a short term is not the case if death is clearly not expected in the coming months. If death will not occur “in the short term,” a second independent physician, psychiatrist, or specialist of the pathology in question must be consulted (art.3§3.1) and a waiting period of at least one month must be observed between the time when the patient’s written request is made and the time when the euthanasia is carried out (art.3§3.2).</w:t>
      </w:r>
    </w:p>
  </w:footnote>
  <w:footnote w:id="7">
    <w:p w14:paraId="642AA12C" w14:textId="77777777" w:rsidR="00CE4D6E" w:rsidRPr="00BD110C" w:rsidRDefault="00CE4D6E" w:rsidP="00CE4D6E">
      <w:pPr>
        <w:pStyle w:val="FootnoteText"/>
        <w:rPr>
          <w:rFonts w:ascii="Times" w:hAnsi="Times"/>
          <w:lang w:val="en-CA"/>
        </w:rPr>
      </w:pPr>
      <w:r w:rsidRPr="00BD110C">
        <w:rPr>
          <w:rStyle w:val="FootnoteReference"/>
          <w:rFonts w:ascii="Times" w:hAnsi="Times"/>
        </w:rPr>
        <w:footnoteRef/>
      </w:r>
      <w:r w:rsidRPr="00BD110C">
        <w:rPr>
          <w:rFonts w:ascii="Times" w:hAnsi="Times"/>
          <w:lang w:val="en-CA"/>
        </w:rPr>
        <w:t xml:space="preserve"> See especially Lossignol (2014) and Englert (2015).</w:t>
      </w:r>
    </w:p>
  </w:footnote>
  <w:footnote w:id="8">
    <w:p w14:paraId="5276047A" w14:textId="77777777" w:rsidR="00CE4D6E" w:rsidRPr="00BD110C" w:rsidRDefault="00CE4D6E" w:rsidP="00CE4D6E">
      <w:pPr>
        <w:pStyle w:val="FootnoteText"/>
        <w:jc w:val="both"/>
        <w:rPr>
          <w:rFonts w:ascii="Times" w:hAnsi="Times"/>
          <w:lang w:val="en-CA"/>
        </w:rPr>
      </w:pPr>
      <w:r w:rsidRPr="00BD110C">
        <w:rPr>
          <w:rStyle w:val="FootnoteReference"/>
          <w:rFonts w:ascii="Times" w:hAnsi="Times"/>
        </w:rPr>
        <w:footnoteRef/>
      </w:r>
      <w:r w:rsidRPr="00BD110C">
        <w:rPr>
          <w:rFonts w:ascii="Times" w:hAnsi="Times"/>
          <w:lang w:val="en-CA"/>
        </w:rPr>
        <w:t xml:space="preserve"> Although euthanasia can be carried out on weekends, particularly in the patient’s home, by general practitioners who might prefer to be free of their regular professional duties, this is not the norm in hospital settings, where euthanasia is generally performed on weekdays.</w:t>
      </w:r>
    </w:p>
  </w:footnote>
  <w:footnote w:id="9">
    <w:p w14:paraId="6D264FAC" w14:textId="77777777" w:rsidR="00CE4D6E" w:rsidRPr="00BD110C" w:rsidRDefault="00CE4D6E" w:rsidP="00CE4D6E">
      <w:pPr>
        <w:pStyle w:val="FootnoteText"/>
        <w:rPr>
          <w:rFonts w:ascii="Times" w:hAnsi="Times"/>
          <w:lang w:val="en-CA"/>
        </w:rPr>
      </w:pPr>
      <w:r w:rsidRPr="00BD110C">
        <w:rPr>
          <w:rStyle w:val="FootnoteReference"/>
          <w:rFonts w:ascii="Times" w:hAnsi="Times"/>
        </w:rPr>
        <w:footnoteRef/>
      </w:r>
      <w:r w:rsidRPr="00BD110C">
        <w:rPr>
          <w:rFonts w:ascii="Times" w:hAnsi="Times"/>
          <w:lang w:val="en-CA"/>
        </w:rPr>
        <w:t xml:space="preserve"> Unlike suicide, this category does not jeopardize life insurance payments.</w:t>
      </w:r>
    </w:p>
  </w:footnote>
  <w:footnote w:id="10">
    <w:p w14:paraId="71CB6A2C" w14:textId="77777777" w:rsidR="00CE4D6E" w:rsidRPr="00BD110C" w:rsidRDefault="00CE4D6E" w:rsidP="00CE4D6E">
      <w:pPr>
        <w:jc w:val="both"/>
        <w:rPr>
          <w:rFonts w:ascii="Times" w:hAnsi="Times"/>
          <w:sz w:val="20"/>
          <w:szCs w:val="20"/>
          <w:u w:val="single"/>
          <w:lang w:val="en-GB"/>
        </w:rPr>
      </w:pPr>
      <w:r w:rsidRPr="00BD110C">
        <w:rPr>
          <w:rStyle w:val="FootnoteReference"/>
          <w:rFonts w:ascii="Times" w:hAnsi="Times"/>
        </w:rPr>
        <w:footnoteRef/>
      </w:r>
      <w:r w:rsidRPr="00BD110C">
        <w:rPr>
          <w:rFonts w:ascii="Times" w:hAnsi="Times"/>
          <w:sz w:val="20"/>
          <w:szCs w:val="20"/>
          <w:lang w:val="en-CA"/>
        </w:rPr>
        <w:t xml:space="preserve"> </w:t>
      </w:r>
      <w:r w:rsidRPr="00BD110C">
        <w:rPr>
          <w:rFonts w:ascii="Times" w:hAnsi="Times"/>
          <w:sz w:val="20"/>
          <w:szCs w:val="20"/>
          <w:lang w:val="en-GB"/>
        </w:rPr>
        <w:t>The CFCEE is comprised of 16 members (eight physicians, four of whom are university professors, four jurists, and four members “from settings dealing with issues of severely ill patients”). Linguistic parity and pluralistic representation must be ensured. Every two years, this Commission is supposed to provide the Belgian Parliament with a descriptive report and, if applicable, recommendations for practice. These reports are available at: https://organesdeconcertation.sante.belgique.be/fr/organe-d%27avis-et-de-</w:t>
      </w:r>
    </w:p>
    <w:p w14:paraId="23B52162" w14:textId="77777777" w:rsidR="00CE4D6E" w:rsidRPr="00BD110C" w:rsidRDefault="00CE4D6E" w:rsidP="00CE4D6E">
      <w:pPr>
        <w:jc w:val="both"/>
        <w:rPr>
          <w:rStyle w:val="Hyperlink"/>
          <w:rFonts w:ascii="Times" w:hAnsi="Times"/>
          <w:sz w:val="20"/>
          <w:szCs w:val="20"/>
          <w:lang w:val="fr-CA"/>
        </w:rPr>
      </w:pPr>
      <w:r w:rsidRPr="00BD110C">
        <w:rPr>
          <w:rFonts w:ascii="Times" w:hAnsi="Times"/>
          <w:sz w:val="20"/>
          <w:szCs w:val="20"/>
          <w:lang w:val="fr-CA"/>
        </w:rPr>
        <w:t>concertation/commission-federale-de-controle-et-devaluation-de-leuthanasie</w:t>
      </w:r>
      <w:r w:rsidRPr="00BD110C">
        <w:rPr>
          <w:rStyle w:val="Hyperlink"/>
          <w:rFonts w:ascii="Times" w:hAnsi="Times"/>
          <w:sz w:val="20"/>
          <w:szCs w:val="20"/>
          <w:lang w:val="fr-CA"/>
        </w:rPr>
        <w:t xml:space="preserve"> (retrieved 1 April 2019)</w:t>
      </w:r>
      <w:r w:rsidRPr="00BD110C">
        <w:rPr>
          <w:rFonts w:ascii="Times" w:hAnsi="Times"/>
          <w:sz w:val="20"/>
          <w:szCs w:val="20"/>
          <w:lang w:val="fr-CA"/>
        </w:rPr>
        <w:t>.</w:t>
      </w:r>
    </w:p>
    <w:p w14:paraId="76CE68C4" w14:textId="77777777" w:rsidR="00CE4D6E" w:rsidRPr="00BD110C" w:rsidRDefault="00CE4D6E" w:rsidP="00CE4D6E">
      <w:pPr>
        <w:pStyle w:val="FootnoteText"/>
        <w:rPr>
          <w:rFonts w:ascii="Times" w:hAnsi="Times"/>
          <w:lang w:val="fr-CA"/>
        </w:rPr>
      </w:pPr>
    </w:p>
  </w:footnote>
  <w:footnote w:id="11">
    <w:p w14:paraId="679621EF" w14:textId="77777777" w:rsidR="00CE4D6E" w:rsidRPr="00BD110C" w:rsidRDefault="00CE4D6E" w:rsidP="00CE4D6E">
      <w:pPr>
        <w:pStyle w:val="FootnoteText"/>
        <w:jc w:val="both"/>
        <w:rPr>
          <w:rFonts w:ascii="Times" w:hAnsi="Times"/>
          <w:lang w:val="en-CA"/>
        </w:rPr>
      </w:pPr>
      <w:r w:rsidRPr="00BD110C">
        <w:rPr>
          <w:rStyle w:val="FootnoteReference"/>
          <w:rFonts w:ascii="Times" w:hAnsi="Times"/>
        </w:rPr>
        <w:footnoteRef/>
      </w:r>
      <w:r w:rsidRPr="00BD110C">
        <w:rPr>
          <w:rFonts w:ascii="Times" w:hAnsi="Times"/>
          <w:lang w:val="en-CA"/>
        </w:rPr>
        <w:t xml:space="preserve"> These associations are statutorily non-political and non-religious. In French-speaking Switzerland, the association with the largest number of members is </w:t>
      </w:r>
      <w:r w:rsidRPr="00BD110C">
        <w:rPr>
          <w:rFonts w:ascii="Times" w:hAnsi="Times"/>
          <w:i/>
          <w:iCs/>
          <w:lang w:val="en-CA"/>
        </w:rPr>
        <w:t>EXIT A.D.M.D. Suisse romande</w:t>
      </w:r>
      <w:r w:rsidRPr="00BD110C">
        <w:rPr>
          <w:rFonts w:ascii="Times" w:hAnsi="Times"/>
          <w:lang w:val="en-CA"/>
        </w:rPr>
        <w:t>.</w:t>
      </w:r>
    </w:p>
  </w:footnote>
  <w:footnote w:id="12">
    <w:p w14:paraId="05A0BC0C" w14:textId="77777777" w:rsidR="00CE4D6E" w:rsidRPr="00BD110C" w:rsidRDefault="00CE4D6E" w:rsidP="00CE4D6E">
      <w:pPr>
        <w:jc w:val="both"/>
        <w:rPr>
          <w:rFonts w:ascii="Times" w:hAnsi="Times"/>
          <w:sz w:val="20"/>
          <w:szCs w:val="20"/>
          <w:lang w:val="en-CA"/>
        </w:rPr>
      </w:pPr>
      <w:r w:rsidRPr="00BD110C">
        <w:rPr>
          <w:rStyle w:val="FootnoteReference"/>
          <w:rFonts w:ascii="Times" w:hAnsi="Times"/>
        </w:rPr>
        <w:footnoteRef/>
      </w:r>
      <w:r w:rsidRPr="00BD110C">
        <w:rPr>
          <w:rFonts w:ascii="Times" w:hAnsi="Times"/>
          <w:sz w:val="20"/>
          <w:szCs w:val="20"/>
          <w:lang w:val="en-CA"/>
        </w:rPr>
        <w:t xml:space="preserve"> Some French-speaking cantons, such as Vaud, Neuchâtel, and Geneva, nevertheless, have enacted legislation related to these matters, although not with a view to guaranteeing a right, but rather to defining conditions of access to assisted suicide for residents in publicly subsidized care homes. </w:t>
      </w:r>
    </w:p>
    <w:p w14:paraId="025AD342" w14:textId="77777777" w:rsidR="00CE4D6E" w:rsidRPr="00BD110C" w:rsidRDefault="00CE4D6E" w:rsidP="00CE4D6E">
      <w:pPr>
        <w:pStyle w:val="FootnoteText"/>
        <w:rPr>
          <w:rFonts w:ascii="Times" w:hAnsi="Times"/>
          <w:lang w:val="en-CA"/>
        </w:rPr>
      </w:pPr>
    </w:p>
  </w:footnote>
  <w:footnote w:id="13">
    <w:p w14:paraId="7167359C" w14:textId="77777777" w:rsidR="00CE4D6E" w:rsidRPr="00BD110C" w:rsidRDefault="00CE4D6E" w:rsidP="00CE4D6E">
      <w:pPr>
        <w:pStyle w:val="FootnoteText"/>
        <w:jc w:val="both"/>
        <w:rPr>
          <w:rFonts w:ascii="Times" w:hAnsi="Times"/>
          <w:lang w:val="en-CA"/>
        </w:rPr>
      </w:pPr>
      <w:r w:rsidRPr="00BD110C">
        <w:rPr>
          <w:rStyle w:val="FootnoteReference"/>
          <w:rFonts w:ascii="Times" w:hAnsi="Times"/>
        </w:rPr>
        <w:footnoteRef/>
      </w:r>
      <w:r w:rsidRPr="00BD110C">
        <w:rPr>
          <w:rFonts w:ascii="Times" w:hAnsi="Times"/>
          <w:lang w:val="en-CA"/>
        </w:rPr>
        <w:t xml:space="preserve"> The situation is more complex when professionals are involved, in particular if the suicide must take place in a care home (Castelli Dransart et al., 2015; Castelli Dransart et al., 2017; and Pillonel et al., 2019).</w:t>
      </w:r>
    </w:p>
  </w:footnote>
  <w:footnote w:id="14">
    <w:p w14:paraId="1F808914" w14:textId="77777777" w:rsidR="00CE4D6E" w:rsidRPr="00BD110C" w:rsidRDefault="00CE4D6E" w:rsidP="00CE4D6E">
      <w:pPr>
        <w:pStyle w:val="FootnoteText"/>
        <w:jc w:val="both"/>
        <w:rPr>
          <w:rFonts w:ascii="Times" w:hAnsi="Times"/>
          <w:lang w:val="en-CA"/>
        </w:rPr>
      </w:pPr>
      <w:r w:rsidRPr="00BD110C">
        <w:rPr>
          <w:rStyle w:val="FootnoteReference"/>
          <w:rFonts w:ascii="Times" w:hAnsi="Times"/>
        </w:rPr>
        <w:footnoteRef/>
      </w:r>
      <w:r w:rsidRPr="00BD110C">
        <w:rPr>
          <w:rFonts w:ascii="Times" w:hAnsi="Times"/>
          <w:lang w:val="en-CA"/>
        </w:rPr>
        <w:t xml:space="preserve"> The lack of clear guidelines concerning the period of validity for assessments of mental competence (from six months to one year, depending on the information source) is a typical example of a norm coming to be constituted, a fluctuating definition constructed according to forms of logic and interests specific to each professional body involved in the apparatus of assisted suicide.</w:t>
      </w:r>
    </w:p>
  </w:footnote>
  <w:footnote w:id="15">
    <w:p w14:paraId="211781EF" w14:textId="77777777" w:rsidR="00CE4D6E" w:rsidRPr="00BD110C" w:rsidRDefault="00CE4D6E" w:rsidP="00CE4D6E">
      <w:pPr>
        <w:pStyle w:val="FootnoteText"/>
        <w:jc w:val="both"/>
        <w:rPr>
          <w:rFonts w:ascii="Times" w:hAnsi="Times"/>
          <w:lang w:val="en-CA"/>
        </w:rPr>
      </w:pPr>
      <w:r w:rsidRPr="00BD110C">
        <w:rPr>
          <w:rStyle w:val="FootnoteReference"/>
          <w:rFonts w:ascii="Times" w:hAnsi="Times"/>
        </w:rPr>
        <w:footnoteRef/>
      </w:r>
      <w:r w:rsidRPr="00BD110C">
        <w:rPr>
          <w:rFonts w:ascii="Times" w:hAnsi="Times"/>
          <w:lang w:val="en-CA"/>
        </w:rPr>
        <w:t xml:space="preserve"> Assisted suicide is most often practiced by ingesting a lethal substance taken either orally or intravenously.</w:t>
      </w:r>
    </w:p>
  </w:footnote>
  <w:footnote w:id="16">
    <w:p w14:paraId="1DE0741C" w14:textId="77777777" w:rsidR="00CE4D6E" w:rsidRPr="00BD110C" w:rsidRDefault="00CE4D6E" w:rsidP="00CE4D6E">
      <w:pPr>
        <w:pStyle w:val="FootnoteText"/>
        <w:jc w:val="both"/>
        <w:rPr>
          <w:rFonts w:ascii="Times" w:hAnsi="Times"/>
          <w:lang w:val="en-CA"/>
        </w:rPr>
      </w:pPr>
      <w:r w:rsidRPr="00BD110C">
        <w:rPr>
          <w:rStyle w:val="FootnoteReference"/>
          <w:rFonts w:ascii="Times" w:hAnsi="Times"/>
        </w:rPr>
        <w:footnoteRef/>
      </w:r>
      <w:r w:rsidRPr="00BD110C">
        <w:rPr>
          <w:rFonts w:ascii="Times" w:hAnsi="Times"/>
          <w:lang w:val="en-CA"/>
        </w:rPr>
        <w:t xml:space="preserve"> It should be noted that there is a range of stances within the assistance-in-dying associations themselves. Some support volunteers do not consider either the medico-legal recommendations or the importance of forming a relationship with the person as necessary. Conversely, others emphasize the importance of either or both factors as absolutely essential for assistance to be provided.</w:t>
      </w:r>
    </w:p>
  </w:footnote>
  <w:footnote w:id="17">
    <w:p w14:paraId="46D3182F" w14:textId="77777777" w:rsidR="00CE4D6E" w:rsidRPr="00BD110C" w:rsidRDefault="00CE4D6E" w:rsidP="00CE4D6E">
      <w:pPr>
        <w:pStyle w:val="FootnoteText"/>
        <w:jc w:val="both"/>
        <w:rPr>
          <w:rFonts w:ascii="Times" w:hAnsi="Times"/>
          <w:lang w:val="en-CA"/>
        </w:rPr>
      </w:pPr>
      <w:r w:rsidRPr="00BD110C">
        <w:rPr>
          <w:rStyle w:val="FootnoteReference"/>
          <w:rFonts w:ascii="Times" w:hAnsi="Times"/>
        </w:rPr>
        <w:footnoteRef/>
      </w:r>
      <w:r w:rsidRPr="00BD110C">
        <w:rPr>
          <w:rFonts w:ascii="Times" w:hAnsi="Times"/>
          <w:lang w:val="en-CA"/>
        </w:rPr>
        <w:t xml:space="preserve"> While this was not a problem in Germaine’s case, it has arisen in other situations. Vinciane, an 88-year-old woman living in a care home in the canton of Vaud, had her request for assistance turned down following an initial interview because the support volunteer assessed that the woman did not have an incurable disease and was not experiencing unbearable pain, therefore did not qualify for an assisted suicide. The association’s medical advisor, however, had given the green light for assisted suicide in this case.</w:t>
      </w:r>
    </w:p>
  </w:footnote>
  <w:footnote w:id="18">
    <w:p w14:paraId="2B539DE4" w14:textId="77777777" w:rsidR="00CE4D6E" w:rsidRPr="00BD110C" w:rsidRDefault="00CE4D6E" w:rsidP="00CE4D6E">
      <w:pPr>
        <w:jc w:val="both"/>
        <w:rPr>
          <w:rFonts w:ascii="Times" w:hAnsi="Times"/>
          <w:sz w:val="20"/>
          <w:szCs w:val="20"/>
          <w:lang w:val="en-CA"/>
        </w:rPr>
      </w:pPr>
      <w:r w:rsidRPr="00BD110C">
        <w:rPr>
          <w:rStyle w:val="FootnoteReference"/>
          <w:rFonts w:ascii="Times" w:hAnsi="Times"/>
        </w:rPr>
        <w:footnoteRef/>
      </w:r>
      <w:r w:rsidRPr="00BD110C">
        <w:rPr>
          <w:rFonts w:ascii="Times" w:hAnsi="Times"/>
          <w:sz w:val="20"/>
          <w:szCs w:val="20"/>
          <w:lang w:val="en-CA"/>
        </w:rPr>
        <w:t xml:space="preserve"> In some cases, depending on the association, volunteers who find themselves alone are able to film the suicide to demonstrate to the judicial authorities that the assistance provided was in keeping with legal requirements. </w:t>
      </w:r>
    </w:p>
    <w:p w14:paraId="41DCED00" w14:textId="77777777" w:rsidR="00CE4D6E" w:rsidRPr="00BD110C" w:rsidRDefault="00CE4D6E" w:rsidP="00CE4D6E">
      <w:pPr>
        <w:pStyle w:val="FootnoteText"/>
        <w:rPr>
          <w:rFonts w:ascii="Times" w:hAnsi="Times"/>
          <w:lang w:val="en-CA"/>
        </w:rPr>
      </w:pPr>
    </w:p>
  </w:footnote>
  <w:footnote w:id="19">
    <w:p w14:paraId="537CE32E" w14:textId="77777777" w:rsidR="00CE4D6E" w:rsidRPr="00BD110C" w:rsidRDefault="00CE4D6E" w:rsidP="00CE4D6E">
      <w:pPr>
        <w:pStyle w:val="FootnoteText"/>
        <w:jc w:val="both"/>
        <w:rPr>
          <w:rFonts w:ascii="Times" w:hAnsi="Times"/>
          <w:lang w:val="en-CA"/>
        </w:rPr>
      </w:pPr>
      <w:r w:rsidRPr="00BD110C">
        <w:rPr>
          <w:rStyle w:val="FootnoteReference"/>
          <w:rFonts w:ascii="Times" w:hAnsi="Times"/>
        </w:rPr>
        <w:footnoteRef/>
      </w:r>
      <w:r w:rsidRPr="00BD110C">
        <w:rPr>
          <w:rFonts w:ascii="Times" w:hAnsi="Times"/>
          <w:lang w:val="en-CA"/>
        </w:rPr>
        <w:t xml:space="preserve"> For example, police officers may waste time if they have to return to the police station to change into civilian clothing before coming in to release the body. In the canton of Vaud, it was thus decided to ask those family members present, when they were called, whether they would mind if police officers intervened in uniform.</w:t>
      </w:r>
    </w:p>
  </w:footnote>
  <w:footnote w:id="20">
    <w:p w14:paraId="79242ECE" w14:textId="77777777" w:rsidR="00CE4D6E" w:rsidRPr="00BD110C" w:rsidRDefault="00CE4D6E" w:rsidP="00CE4D6E">
      <w:pPr>
        <w:pStyle w:val="FootnoteText"/>
        <w:jc w:val="both"/>
        <w:rPr>
          <w:rFonts w:ascii="Times" w:hAnsi="Times"/>
          <w:lang w:val="en-CA"/>
        </w:rPr>
      </w:pPr>
      <w:r w:rsidRPr="00BD110C">
        <w:rPr>
          <w:rStyle w:val="FootnoteReference"/>
          <w:rFonts w:ascii="Times" w:hAnsi="Times"/>
        </w:rPr>
        <w:footnoteRef/>
      </w:r>
      <w:r w:rsidRPr="00BD110C">
        <w:rPr>
          <w:rFonts w:ascii="Times" w:hAnsi="Times"/>
          <w:lang w:val="en-CA"/>
        </w:rPr>
        <w:t xml:space="preserve"> A family member in the home, but standing in a room next to the one where the lethal substance was being ingested, would not be held to the obligation of taking part in a police interview.</w:t>
      </w:r>
    </w:p>
  </w:footnote>
  <w:footnote w:id="21">
    <w:p w14:paraId="7C247F88" w14:textId="77777777" w:rsidR="00CE4D6E" w:rsidRPr="00BD110C" w:rsidRDefault="00CE4D6E" w:rsidP="00CE4D6E">
      <w:pPr>
        <w:jc w:val="both"/>
        <w:rPr>
          <w:rFonts w:ascii="Times" w:hAnsi="Times"/>
          <w:sz w:val="20"/>
          <w:szCs w:val="20"/>
          <w:lang w:val="en-CA"/>
        </w:rPr>
      </w:pPr>
      <w:r w:rsidRPr="00BD110C">
        <w:rPr>
          <w:rStyle w:val="FootnoteReference"/>
          <w:rFonts w:ascii="Times" w:hAnsi="Times"/>
        </w:rPr>
        <w:footnoteRef/>
      </w:r>
      <w:r w:rsidRPr="00BD110C">
        <w:rPr>
          <w:rFonts w:ascii="Times" w:hAnsi="Times"/>
          <w:sz w:val="20"/>
          <w:szCs w:val="20"/>
          <w:lang w:val="en-CA"/>
        </w:rPr>
        <w:t xml:space="preserve"> This point must be observed when the person requesting assisted suicide is residing in an institution subject to cantonal legislation that stipulates it. However, when the person is living at home, the exploration of therapeutic options will depend on conversations held with the association volunteers.</w:t>
      </w:r>
    </w:p>
    <w:p w14:paraId="1F3D776C" w14:textId="77777777" w:rsidR="00CE4D6E" w:rsidRPr="00BD110C" w:rsidRDefault="00CE4D6E" w:rsidP="00CE4D6E">
      <w:pPr>
        <w:pStyle w:val="FootnoteText"/>
        <w:rPr>
          <w:rFonts w:ascii="Times" w:hAnsi="Times"/>
          <w:lang w:val="en-CA"/>
        </w:rPr>
      </w:pPr>
    </w:p>
  </w:footnote>
  <w:footnote w:id="22">
    <w:p w14:paraId="141B3D2F" w14:textId="77777777" w:rsidR="00CE4D6E" w:rsidRPr="00BD110C" w:rsidRDefault="00CE4D6E" w:rsidP="00CE4D6E">
      <w:pPr>
        <w:pStyle w:val="FootnoteText"/>
        <w:jc w:val="both"/>
        <w:rPr>
          <w:rFonts w:ascii="Times" w:hAnsi="Times"/>
          <w:lang w:val="en-CA"/>
        </w:rPr>
      </w:pPr>
      <w:r w:rsidRPr="00BD110C">
        <w:rPr>
          <w:rStyle w:val="FootnoteReference"/>
          <w:rFonts w:ascii="Times" w:hAnsi="Times"/>
        </w:rPr>
        <w:footnoteRef/>
      </w:r>
      <w:r w:rsidRPr="00BD110C">
        <w:rPr>
          <w:rFonts w:ascii="Times" w:hAnsi="Times"/>
          <w:lang w:val="en-CA"/>
        </w:rPr>
        <w:t xml:space="preserve"> This medicalization also has an impact on where these practices take place. The Swiss model promotes assisted suicide in one’s home. By contrast, the Belgian model looks to the health care institution for carrying out euthanasia. The hospital thus becomes the very site of dominant normativity – even though more and more acts of euthanasia are taking place in patients’ homes.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987286707"/>
      <w:docPartObj>
        <w:docPartGallery w:val="Page Numbers (Top of Page)"/>
        <w:docPartUnique/>
      </w:docPartObj>
    </w:sdtPr>
    <w:sdtEndPr>
      <w:rPr>
        <w:rStyle w:val="PageNumber"/>
      </w:rPr>
    </w:sdtEndPr>
    <w:sdtContent>
      <w:p w14:paraId="6323BC95" w14:textId="77777777" w:rsidR="00F03965" w:rsidRDefault="0097495C" w:rsidP="00566167">
        <w:pPr>
          <w:pStyle w:val="Header"/>
          <w:framePr w:wrap="none" w:vAnchor="text" w:hAnchor="margin" w:xAlign="right" w:y="1"/>
          <w:rPr>
            <w:rStyle w:val="PageNumber"/>
          </w:rPr>
        </w:pPr>
      </w:p>
    </w:sdtContent>
  </w:sdt>
  <w:p w14:paraId="6D0692D7" w14:textId="77777777" w:rsidR="00F03965" w:rsidRDefault="0097495C" w:rsidP="0056616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FBC72" w14:textId="77777777" w:rsidR="00F03965" w:rsidRDefault="0042655E">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9CC76" w14:textId="77777777" w:rsidR="00A804F9" w:rsidRDefault="00A804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9DF"/>
    <w:multiLevelType w:val="hybridMultilevel"/>
    <w:tmpl w:val="A0381106"/>
    <w:lvl w:ilvl="0" w:tplc="02085156">
      <w:numFmt w:val="bullet"/>
      <w:lvlText w:val="-"/>
      <w:lvlJc w:val="left"/>
      <w:pPr>
        <w:ind w:left="720" w:hanging="360"/>
      </w:pPr>
      <w:rPr>
        <w:rFonts w:ascii="Times" w:eastAsiaTheme="minorHAnsi" w:hAnsi="Times"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D0431C"/>
    <w:multiLevelType w:val="hybridMultilevel"/>
    <w:tmpl w:val="0F7EABD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039A576B"/>
    <w:multiLevelType w:val="hybridMultilevel"/>
    <w:tmpl w:val="0A4E9E46"/>
    <w:lvl w:ilvl="0" w:tplc="ADEEFE1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457280C"/>
    <w:multiLevelType w:val="hybridMultilevel"/>
    <w:tmpl w:val="2772BE0C"/>
    <w:lvl w:ilvl="0" w:tplc="8DC8BF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A6440B"/>
    <w:multiLevelType w:val="hybridMultilevel"/>
    <w:tmpl w:val="4838EA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19B5E43"/>
    <w:multiLevelType w:val="hybridMultilevel"/>
    <w:tmpl w:val="2D021C46"/>
    <w:lvl w:ilvl="0" w:tplc="040C000F">
      <w:start w:val="4"/>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267D5164"/>
    <w:multiLevelType w:val="hybridMultilevel"/>
    <w:tmpl w:val="4FB66E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AC80754"/>
    <w:multiLevelType w:val="hybridMultilevel"/>
    <w:tmpl w:val="B2F85CF4"/>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nsid w:val="2B1E5A20"/>
    <w:multiLevelType w:val="multilevel"/>
    <w:tmpl w:val="775C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3FB5D86"/>
    <w:multiLevelType w:val="multilevel"/>
    <w:tmpl w:val="5196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A8829F4"/>
    <w:multiLevelType w:val="hybridMultilevel"/>
    <w:tmpl w:val="9F4C9E74"/>
    <w:lvl w:ilvl="0" w:tplc="040C000F">
      <w:start w:val="4"/>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3A895811"/>
    <w:multiLevelType w:val="multilevel"/>
    <w:tmpl w:val="ED8842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42766E29"/>
    <w:multiLevelType w:val="hybridMultilevel"/>
    <w:tmpl w:val="BF0CE8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6F453B4"/>
    <w:multiLevelType w:val="hybridMultilevel"/>
    <w:tmpl w:val="FA8696C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517C4D13"/>
    <w:multiLevelType w:val="hybridMultilevel"/>
    <w:tmpl w:val="79A651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3D56609"/>
    <w:multiLevelType w:val="multilevel"/>
    <w:tmpl w:val="BC2A441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eastAsia="Calibri" w:cs="Arial" w:hint="default"/>
      </w:rPr>
    </w:lvl>
    <w:lvl w:ilvl="2">
      <w:start w:val="1"/>
      <w:numFmt w:val="decimal"/>
      <w:isLgl/>
      <w:lvlText w:val="%1.%2.%3."/>
      <w:lvlJc w:val="left"/>
      <w:pPr>
        <w:ind w:left="1080" w:hanging="720"/>
      </w:pPr>
      <w:rPr>
        <w:rFonts w:eastAsia="Calibri" w:cs="Arial" w:hint="default"/>
      </w:rPr>
    </w:lvl>
    <w:lvl w:ilvl="3">
      <w:start w:val="1"/>
      <w:numFmt w:val="decimal"/>
      <w:isLgl/>
      <w:lvlText w:val="%1.%2.%3.%4."/>
      <w:lvlJc w:val="left"/>
      <w:pPr>
        <w:ind w:left="1440" w:hanging="1080"/>
      </w:pPr>
      <w:rPr>
        <w:rFonts w:eastAsia="Calibri" w:cs="Arial" w:hint="default"/>
      </w:rPr>
    </w:lvl>
    <w:lvl w:ilvl="4">
      <w:start w:val="1"/>
      <w:numFmt w:val="decimal"/>
      <w:isLgl/>
      <w:lvlText w:val="%1.%2.%3.%4.%5."/>
      <w:lvlJc w:val="left"/>
      <w:pPr>
        <w:ind w:left="1440" w:hanging="1080"/>
      </w:pPr>
      <w:rPr>
        <w:rFonts w:eastAsia="Calibri" w:cs="Arial" w:hint="default"/>
      </w:rPr>
    </w:lvl>
    <w:lvl w:ilvl="5">
      <w:start w:val="1"/>
      <w:numFmt w:val="decimal"/>
      <w:isLgl/>
      <w:lvlText w:val="%1.%2.%3.%4.%5.%6."/>
      <w:lvlJc w:val="left"/>
      <w:pPr>
        <w:ind w:left="1800" w:hanging="1440"/>
      </w:pPr>
      <w:rPr>
        <w:rFonts w:eastAsia="Calibri" w:cs="Arial" w:hint="default"/>
      </w:rPr>
    </w:lvl>
    <w:lvl w:ilvl="6">
      <w:start w:val="1"/>
      <w:numFmt w:val="decimal"/>
      <w:isLgl/>
      <w:lvlText w:val="%1.%2.%3.%4.%5.%6.%7."/>
      <w:lvlJc w:val="left"/>
      <w:pPr>
        <w:ind w:left="1800" w:hanging="1440"/>
      </w:pPr>
      <w:rPr>
        <w:rFonts w:eastAsia="Calibri" w:cs="Arial" w:hint="default"/>
      </w:rPr>
    </w:lvl>
    <w:lvl w:ilvl="7">
      <w:start w:val="1"/>
      <w:numFmt w:val="decimal"/>
      <w:isLgl/>
      <w:lvlText w:val="%1.%2.%3.%4.%5.%6.%7.%8."/>
      <w:lvlJc w:val="left"/>
      <w:pPr>
        <w:ind w:left="2160" w:hanging="1800"/>
      </w:pPr>
      <w:rPr>
        <w:rFonts w:eastAsia="Calibri" w:cs="Arial" w:hint="default"/>
      </w:rPr>
    </w:lvl>
    <w:lvl w:ilvl="8">
      <w:start w:val="1"/>
      <w:numFmt w:val="decimal"/>
      <w:isLgl/>
      <w:lvlText w:val="%1.%2.%3.%4.%5.%6.%7.%8.%9."/>
      <w:lvlJc w:val="left"/>
      <w:pPr>
        <w:ind w:left="2520" w:hanging="2160"/>
      </w:pPr>
      <w:rPr>
        <w:rFonts w:eastAsia="Calibri" w:cs="Arial" w:hint="default"/>
      </w:rPr>
    </w:lvl>
  </w:abstractNum>
  <w:abstractNum w:abstractNumId="16">
    <w:nsid w:val="582674A1"/>
    <w:multiLevelType w:val="hybridMultilevel"/>
    <w:tmpl w:val="DFA699B4"/>
    <w:lvl w:ilvl="0" w:tplc="F6E8AA0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9A12B91"/>
    <w:multiLevelType w:val="hybridMultilevel"/>
    <w:tmpl w:val="D68E8816"/>
    <w:lvl w:ilvl="0" w:tplc="19A894D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0"/>
  </w:num>
  <w:num w:numId="4">
    <w:abstractNumId w:val="15"/>
  </w:num>
  <w:num w:numId="5">
    <w:abstractNumId w:val="11"/>
  </w:num>
  <w:num w:numId="6">
    <w:abstractNumId w:val="12"/>
  </w:num>
  <w:num w:numId="7">
    <w:abstractNumId w:val="13"/>
  </w:num>
  <w:num w:numId="8">
    <w:abstractNumId w:val="3"/>
  </w:num>
  <w:num w:numId="9">
    <w:abstractNumId w:val="4"/>
  </w:num>
  <w:num w:numId="10">
    <w:abstractNumId w:val="14"/>
  </w:num>
  <w:num w:numId="11">
    <w:abstractNumId w:val="6"/>
  </w:num>
  <w:num w:numId="12">
    <w:abstractNumId w:val="1"/>
  </w:num>
  <w:num w:numId="13">
    <w:abstractNumId w:val="5"/>
  </w:num>
  <w:num w:numId="14">
    <w:abstractNumId w:val="10"/>
  </w:num>
  <w:num w:numId="15">
    <w:abstractNumId w:val="8"/>
  </w:num>
  <w:num w:numId="16">
    <w:abstractNumId w:val="9"/>
  </w:num>
  <w:num w:numId="17">
    <w:abstractNumId w:val="16"/>
  </w:num>
  <w:num w:numId="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rise">
    <w15:presenceInfo w15:providerId="Windows Live" w15:userId="40af0ae43fae30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D6E"/>
    <w:rsid w:val="00014F60"/>
    <w:rsid w:val="00026AD4"/>
    <w:rsid w:val="00084107"/>
    <w:rsid w:val="000B7592"/>
    <w:rsid w:val="000D0738"/>
    <w:rsid w:val="00102EB0"/>
    <w:rsid w:val="00111A45"/>
    <w:rsid w:val="00126CF1"/>
    <w:rsid w:val="001752E7"/>
    <w:rsid w:val="001A0A94"/>
    <w:rsid w:val="001C22AD"/>
    <w:rsid w:val="002133E2"/>
    <w:rsid w:val="002B0305"/>
    <w:rsid w:val="003822D3"/>
    <w:rsid w:val="003C5907"/>
    <w:rsid w:val="00416D1C"/>
    <w:rsid w:val="0042655E"/>
    <w:rsid w:val="0045211C"/>
    <w:rsid w:val="004A70BC"/>
    <w:rsid w:val="00511DBE"/>
    <w:rsid w:val="00526217"/>
    <w:rsid w:val="00545C36"/>
    <w:rsid w:val="00637775"/>
    <w:rsid w:val="00677760"/>
    <w:rsid w:val="006B6A95"/>
    <w:rsid w:val="00704D59"/>
    <w:rsid w:val="00740459"/>
    <w:rsid w:val="007878EB"/>
    <w:rsid w:val="007B4A01"/>
    <w:rsid w:val="00802401"/>
    <w:rsid w:val="00832745"/>
    <w:rsid w:val="00897A7A"/>
    <w:rsid w:val="008C66FC"/>
    <w:rsid w:val="009173E5"/>
    <w:rsid w:val="009561BE"/>
    <w:rsid w:val="0097495C"/>
    <w:rsid w:val="009E5CC1"/>
    <w:rsid w:val="00A04CC5"/>
    <w:rsid w:val="00A20992"/>
    <w:rsid w:val="00A6381E"/>
    <w:rsid w:val="00A804F9"/>
    <w:rsid w:val="00AE0855"/>
    <w:rsid w:val="00B04906"/>
    <w:rsid w:val="00B44EB1"/>
    <w:rsid w:val="00B47AE9"/>
    <w:rsid w:val="00BA081A"/>
    <w:rsid w:val="00C532C8"/>
    <w:rsid w:val="00C97A21"/>
    <w:rsid w:val="00CE4D6E"/>
    <w:rsid w:val="00CE6976"/>
    <w:rsid w:val="00D04501"/>
    <w:rsid w:val="00D75860"/>
    <w:rsid w:val="00DE4C34"/>
    <w:rsid w:val="00DF6272"/>
    <w:rsid w:val="00E31DD8"/>
    <w:rsid w:val="00F82AB6"/>
    <w:rsid w:val="00F97854"/>
    <w:rsid w:val="00FB7BE2"/>
    <w:rsid w:val="00FD6868"/>
    <w:rsid w:val="00FE16D9"/>
    <w:rsid w:val="00FE5D9A"/>
  </w:rsids>
  <m:mathPr>
    <m:mathFont m:val="Cambria Math"/>
    <m:brkBin m:val="before"/>
    <m:brkBinSub m:val="--"/>
    <m:smallFrac m:val="0"/>
    <m:dispDef/>
    <m:lMargin m:val="0"/>
    <m:rMargin m:val="0"/>
    <m:defJc m:val="centerGroup"/>
    <m:wrapIndent m:val="1440"/>
    <m:intLim m:val="subSup"/>
    <m:naryLim m:val="undOvr"/>
  </m:mathPr>
  <w:themeFontLang w:val="fr-B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09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D6E"/>
    <w:rPr>
      <w:rFonts w:ascii="Times New Roman" w:eastAsia="Times New Roman" w:hAnsi="Times New Roman" w:cs="Times New Roman"/>
      <w:lang w:eastAsia="fr-FR"/>
    </w:rPr>
  </w:style>
  <w:style w:type="paragraph" w:styleId="Heading1">
    <w:name w:val="heading 1"/>
    <w:basedOn w:val="Normal"/>
    <w:next w:val="Normal"/>
    <w:link w:val="Heading1Char"/>
    <w:uiPriority w:val="9"/>
    <w:qFormat/>
    <w:rsid w:val="00CE4D6E"/>
    <w:pPr>
      <w:keepNext/>
      <w:keepLines/>
      <w:spacing w:before="240"/>
      <w:outlineLvl w:val="0"/>
    </w:pPr>
    <w:rPr>
      <w:rFonts w:asciiTheme="majorHAnsi" w:eastAsiaTheme="majorEastAsia" w:hAnsiTheme="majorHAnsi" w:cstheme="majorBidi"/>
      <w:color w:val="2F5496" w:themeColor="accent1" w:themeShade="BF"/>
      <w:sz w:val="32"/>
      <w:szCs w:val="32"/>
      <w:lang w:val="fr-FR" w:eastAsia="en-US"/>
    </w:rPr>
  </w:style>
  <w:style w:type="paragraph" w:styleId="Heading2">
    <w:name w:val="heading 2"/>
    <w:basedOn w:val="Normal"/>
    <w:link w:val="Heading2Char"/>
    <w:uiPriority w:val="9"/>
    <w:qFormat/>
    <w:rsid w:val="00CE4D6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CE4D6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D6E"/>
    <w:rPr>
      <w:rFonts w:asciiTheme="majorHAnsi" w:eastAsiaTheme="majorEastAsia" w:hAnsiTheme="majorHAnsi" w:cstheme="majorBidi"/>
      <w:color w:val="2F5496" w:themeColor="accent1" w:themeShade="BF"/>
      <w:sz w:val="32"/>
      <w:szCs w:val="32"/>
      <w:lang w:val="fr-FR"/>
    </w:rPr>
  </w:style>
  <w:style w:type="character" w:customStyle="1" w:styleId="Heading2Char">
    <w:name w:val="Heading 2 Char"/>
    <w:basedOn w:val="DefaultParagraphFont"/>
    <w:link w:val="Heading2"/>
    <w:uiPriority w:val="9"/>
    <w:rsid w:val="00CE4D6E"/>
    <w:rPr>
      <w:rFonts w:ascii="Times New Roman" w:eastAsia="Times New Roman" w:hAnsi="Times New Roman" w:cs="Times New Roman"/>
      <w:b/>
      <w:bCs/>
      <w:sz w:val="36"/>
      <w:szCs w:val="36"/>
      <w:lang w:eastAsia="fr-FR"/>
    </w:rPr>
  </w:style>
  <w:style w:type="character" w:customStyle="1" w:styleId="Heading3Char">
    <w:name w:val="Heading 3 Char"/>
    <w:basedOn w:val="DefaultParagraphFont"/>
    <w:link w:val="Heading3"/>
    <w:uiPriority w:val="9"/>
    <w:rsid w:val="00CE4D6E"/>
    <w:rPr>
      <w:rFonts w:asciiTheme="majorHAnsi" w:eastAsiaTheme="majorEastAsia" w:hAnsiTheme="majorHAnsi" w:cstheme="majorBidi"/>
      <w:color w:val="1F3763" w:themeColor="accent1" w:themeShade="7F"/>
      <w:lang w:eastAsia="fr-FR"/>
    </w:rPr>
  </w:style>
  <w:style w:type="paragraph" w:styleId="ListParagraph">
    <w:name w:val="List Paragraph"/>
    <w:basedOn w:val="Normal"/>
    <w:uiPriority w:val="34"/>
    <w:qFormat/>
    <w:rsid w:val="00CE4D6E"/>
    <w:pPr>
      <w:ind w:left="720"/>
      <w:contextualSpacing/>
    </w:pPr>
    <w:rPr>
      <w:rFonts w:asciiTheme="minorHAnsi" w:eastAsiaTheme="minorHAnsi" w:hAnsiTheme="minorHAnsi" w:cstheme="minorBidi"/>
      <w:lang w:val="fr-FR" w:eastAsia="en-US"/>
    </w:rPr>
  </w:style>
  <w:style w:type="paragraph" w:styleId="Header">
    <w:name w:val="header"/>
    <w:basedOn w:val="Normal"/>
    <w:link w:val="HeaderChar"/>
    <w:uiPriority w:val="99"/>
    <w:unhideWhenUsed/>
    <w:rsid w:val="00CE4D6E"/>
    <w:pPr>
      <w:tabs>
        <w:tab w:val="center" w:pos="4536"/>
        <w:tab w:val="right" w:pos="9072"/>
      </w:tabs>
    </w:pPr>
    <w:rPr>
      <w:rFonts w:asciiTheme="minorHAnsi" w:eastAsiaTheme="minorHAnsi" w:hAnsiTheme="minorHAnsi" w:cstheme="minorBidi"/>
      <w:lang w:val="fr-FR" w:eastAsia="en-US"/>
    </w:rPr>
  </w:style>
  <w:style w:type="character" w:customStyle="1" w:styleId="HeaderChar">
    <w:name w:val="Header Char"/>
    <w:basedOn w:val="DefaultParagraphFont"/>
    <w:link w:val="Header"/>
    <w:uiPriority w:val="99"/>
    <w:rsid w:val="00CE4D6E"/>
    <w:rPr>
      <w:lang w:val="fr-FR"/>
    </w:rPr>
  </w:style>
  <w:style w:type="character" w:styleId="PageNumber">
    <w:name w:val="page number"/>
    <w:basedOn w:val="DefaultParagraphFont"/>
    <w:uiPriority w:val="99"/>
    <w:semiHidden/>
    <w:unhideWhenUsed/>
    <w:rsid w:val="00CE4D6E"/>
  </w:style>
  <w:style w:type="paragraph" w:styleId="NoSpacing">
    <w:name w:val="No Spacing"/>
    <w:link w:val="NoSpacingChar"/>
    <w:uiPriority w:val="1"/>
    <w:qFormat/>
    <w:rsid w:val="00CE4D6E"/>
    <w:pPr>
      <w:jc w:val="both"/>
    </w:pPr>
    <w:rPr>
      <w:rFonts w:ascii="Arial" w:eastAsia="Times New Roman" w:hAnsi="Arial" w:cs="Times New Roman"/>
      <w:szCs w:val="22"/>
    </w:rPr>
  </w:style>
  <w:style w:type="character" w:customStyle="1" w:styleId="NoSpacingChar">
    <w:name w:val="No Spacing Char"/>
    <w:link w:val="NoSpacing"/>
    <w:uiPriority w:val="1"/>
    <w:rsid w:val="00CE4D6E"/>
    <w:rPr>
      <w:rFonts w:ascii="Arial" w:eastAsia="Times New Roman" w:hAnsi="Arial" w:cs="Times New Roman"/>
      <w:szCs w:val="22"/>
    </w:rPr>
  </w:style>
  <w:style w:type="paragraph" w:styleId="FootnoteText">
    <w:name w:val="footnote text"/>
    <w:aliases w:val="Note de bas de page Car1 Car,Note de bas de page Car Car Car,Note de bas de page Car3 Car Car Car,Note de bas de page Car Car Car1 Car Car,Note de bas de page Car3 Car Car Car1 Car Car,Note de bas de page Car3"/>
    <w:basedOn w:val="Normal"/>
    <w:link w:val="FootnoteTextChar"/>
    <w:uiPriority w:val="99"/>
    <w:unhideWhenUsed/>
    <w:rsid w:val="00CE4D6E"/>
    <w:rPr>
      <w:sz w:val="20"/>
      <w:szCs w:val="20"/>
      <w:lang w:val="fr-FR" w:eastAsia="en-US"/>
    </w:rPr>
  </w:style>
  <w:style w:type="character" w:customStyle="1" w:styleId="FootnoteTextChar">
    <w:name w:val="Footnote Text Char"/>
    <w:aliases w:val="Note de bas de page Car1 Car Char,Note de bas de page Car Car Car Char,Note de bas de page Car3 Car Car Car Char,Note de bas de page Car Car Car1 Car Car Char,Note de bas de page Car3 Car Car Car1 Car Car Char"/>
    <w:basedOn w:val="DefaultParagraphFont"/>
    <w:link w:val="FootnoteText"/>
    <w:uiPriority w:val="99"/>
    <w:rsid w:val="00CE4D6E"/>
    <w:rPr>
      <w:rFonts w:ascii="Times New Roman" w:eastAsia="Times New Roman" w:hAnsi="Times New Roman" w:cs="Times New Roman"/>
      <w:sz w:val="20"/>
      <w:szCs w:val="20"/>
      <w:lang w:val="fr-FR"/>
    </w:rPr>
  </w:style>
  <w:style w:type="character" w:styleId="FootnoteReference">
    <w:name w:val="footnote reference"/>
    <w:basedOn w:val="DefaultParagraphFont"/>
    <w:uiPriority w:val="99"/>
    <w:unhideWhenUsed/>
    <w:rsid w:val="00CE4D6E"/>
    <w:rPr>
      <w:vertAlign w:val="superscript"/>
    </w:rPr>
  </w:style>
  <w:style w:type="paragraph" w:styleId="Footer">
    <w:name w:val="footer"/>
    <w:basedOn w:val="Normal"/>
    <w:link w:val="FooterChar"/>
    <w:uiPriority w:val="99"/>
    <w:unhideWhenUsed/>
    <w:rsid w:val="00CE4D6E"/>
    <w:pPr>
      <w:tabs>
        <w:tab w:val="center" w:pos="4536"/>
        <w:tab w:val="right" w:pos="9072"/>
      </w:tabs>
    </w:pPr>
    <w:rPr>
      <w:rFonts w:asciiTheme="minorHAnsi" w:eastAsiaTheme="minorHAnsi" w:hAnsiTheme="minorHAnsi" w:cstheme="minorBidi"/>
      <w:lang w:val="fr-FR" w:eastAsia="en-US"/>
    </w:rPr>
  </w:style>
  <w:style w:type="character" w:customStyle="1" w:styleId="FooterChar">
    <w:name w:val="Footer Char"/>
    <w:basedOn w:val="DefaultParagraphFont"/>
    <w:link w:val="Footer"/>
    <w:uiPriority w:val="99"/>
    <w:rsid w:val="00CE4D6E"/>
    <w:rPr>
      <w:lang w:val="fr-FR"/>
    </w:rPr>
  </w:style>
  <w:style w:type="character" w:styleId="Emphasis">
    <w:name w:val="Emphasis"/>
    <w:basedOn w:val="DefaultParagraphFont"/>
    <w:uiPriority w:val="20"/>
    <w:qFormat/>
    <w:rsid w:val="00CE4D6E"/>
    <w:rPr>
      <w:i/>
      <w:iCs/>
    </w:rPr>
  </w:style>
  <w:style w:type="character" w:styleId="Hyperlink">
    <w:name w:val="Hyperlink"/>
    <w:basedOn w:val="DefaultParagraphFont"/>
    <w:unhideWhenUsed/>
    <w:rsid w:val="00CE4D6E"/>
    <w:rPr>
      <w:color w:val="0000FF"/>
      <w:u w:val="single"/>
    </w:rPr>
  </w:style>
  <w:style w:type="character" w:styleId="CommentReference">
    <w:name w:val="annotation reference"/>
    <w:basedOn w:val="DefaultParagraphFont"/>
    <w:uiPriority w:val="99"/>
    <w:semiHidden/>
    <w:unhideWhenUsed/>
    <w:rsid w:val="00CE4D6E"/>
    <w:rPr>
      <w:sz w:val="16"/>
      <w:szCs w:val="16"/>
    </w:rPr>
  </w:style>
  <w:style w:type="paragraph" w:styleId="CommentText">
    <w:name w:val="annotation text"/>
    <w:basedOn w:val="Normal"/>
    <w:link w:val="CommentTextChar"/>
    <w:uiPriority w:val="99"/>
    <w:unhideWhenUsed/>
    <w:rsid w:val="00CE4D6E"/>
    <w:rPr>
      <w:rFonts w:asciiTheme="minorHAnsi" w:eastAsiaTheme="minorHAnsi" w:hAnsiTheme="minorHAnsi" w:cstheme="minorBidi"/>
      <w:sz w:val="20"/>
      <w:szCs w:val="20"/>
      <w:lang w:val="fr-FR" w:eastAsia="en-US"/>
    </w:rPr>
  </w:style>
  <w:style w:type="character" w:customStyle="1" w:styleId="CommentTextChar">
    <w:name w:val="Comment Text Char"/>
    <w:basedOn w:val="DefaultParagraphFont"/>
    <w:link w:val="CommentText"/>
    <w:uiPriority w:val="99"/>
    <w:rsid w:val="00CE4D6E"/>
    <w:rPr>
      <w:sz w:val="20"/>
      <w:szCs w:val="20"/>
      <w:lang w:val="fr-FR"/>
    </w:rPr>
  </w:style>
  <w:style w:type="paragraph" w:styleId="BalloonText">
    <w:name w:val="Balloon Text"/>
    <w:basedOn w:val="Normal"/>
    <w:link w:val="BalloonTextChar"/>
    <w:uiPriority w:val="99"/>
    <w:semiHidden/>
    <w:unhideWhenUsed/>
    <w:rsid w:val="00CE4D6E"/>
    <w:rPr>
      <w:rFonts w:eastAsiaTheme="minorHAnsi"/>
      <w:sz w:val="18"/>
      <w:szCs w:val="18"/>
      <w:lang w:val="fr-FR" w:eastAsia="en-US"/>
    </w:rPr>
  </w:style>
  <w:style w:type="character" w:customStyle="1" w:styleId="BalloonTextChar">
    <w:name w:val="Balloon Text Char"/>
    <w:basedOn w:val="DefaultParagraphFont"/>
    <w:link w:val="BalloonText"/>
    <w:uiPriority w:val="99"/>
    <w:semiHidden/>
    <w:rsid w:val="00CE4D6E"/>
    <w:rPr>
      <w:rFonts w:ascii="Times New Roman" w:hAnsi="Times New Roman" w:cs="Times New Roman"/>
      <w:sz w:val="18"/>
      <w:szCs w:val="18"/>
      <w:lang w:val="fr-FR"/>
    </w:rPr>
  </w:style>
  <w:style w:type="character" w:customStyle="1" w:styleId="apple-converted-space">
    <w:name w:val="apple-converted-space"/>
    <w:basedOn w:val="DefaultParagraphFont"/>
    <w:rsid w:val="00CE4D6E"/>
  </w:style>
  <w:style w:type="character" w:customStyle="1" w:styleId="Mentionnonrsolue1">
    <w:name w:val="Mention non résolue1"/>
    <w:basedOn w:val="DefaultParagraphFont"/>
    <w:uiPriority w:val="99"/>
    <w:rsid w:val="00CE4D6E"/>
    <w:rPr>
      <w:color w:val="605E5C"/>
      <w:shd w:val="clear" w:color="auto" w:fill="E1DFDD"/>
    </w:rPr>
  </w:style>
  <w:style w:type="paragraph" w:styleId="NormalWeb">
    <w:name w:val="Normal (Web)"/>
    <w:basedOn w:val="Normal"/>
    <w:uiPriority w:val="99"/>
    <w:unhideWhenUsed/>
    <w:rsid w:val="00CE4D6E"/>
    <w:pPr>
      <w:spacing w:before="100" w:beforeAutospacing="1" w:after="100" w:afterAutospacing="1"/>
    </w:pPr>
    <w:rPr>
      <w:rFonts w:eastAsiaTheme="minorHAnsi"/>
      <w:lang w:val="fr-FR"/>
    </w:rPr>
  </w:style>
  <w:style w:type="character" w:styleId="FollowedHyperlink">
    <w:name w:val="FollowedHyperlink"/>
    <w:basedOn w:val="DefaultParagraphFont"/>
    <w:uiPriority w:val="99"/>
    <w:semiHidden/>
    <w:unhideWhenUsed/>
    <w:rsid w:val="00CE4D6E"/>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CE4D6E"/>
    <w:rPr>
      <w:b/>
      <w:bCs/>
    </w:rPr>
  </w:style>
  <w:style w:type="character" w:customStyle="1" w:styleId="CommentSubjectChar">
    <w:name w:val="Comment Subject Char"/>
    <w:basedOn w:val="CommentTextChar"/>
    <w:link w:val="CommentSubject"/>
    <w:uiPriority w:val="99"/>
    <w:semiHidden/>
    <w:rsid w:val="00CE4D6E"/>
    <w:rPr>
      <w:b/>
      <w:bCs/>
      <w:sz w:val="20"/>
      <w:szCs w:val="20"/>
      <w:lang w:val="fr-FR"/>
    </w:rPr>
  </w:style>
  <w:style w:type="paragraph" w:styleId="Revision">
    <w:name w:val="Revision"/>
    <w:hidden/>
    <w:uiPriority w:val="99"/>
    <w:semiHidden/>
    <w:rsid w:val="00CE4D6E"/>
    <w:rPr>
      <w:lang w:val="fr-FR"/>
    </w:rPr>
  </w:style>
  <w:style w:type="character" w:customStyle="1" w:styleId="uppercase">
    <w:name w:val="uppercase"/>
    <w:basedOn w:val="DefaultParagraphFont"/>
    <w:rsid w:val="00CE4D6E"/>
  </w:style>
  <w:style w:type="character" w:customStyle="1" w:styleId="journal-title">
    <w:name w:val="journal-title"/>
    <w:rsid w:val="00CE4D6E"/>
  </w:style>
  <w:style w:type="character" w:customStyle="1" w:styleId="issue-meta-volume-issue1">
    <w:name w:val="issue-meta-volume-issue1"/>
    <w:rsid w:val="00CE4D6E"/>
    <w:rPr>
      <w:vanish w:val="0"/>
      <w:webHidden w:val="0"/>
      <w:specVanish w:val="0"/>
    </w:rPr>
  </w:style>
  <w:style w:type="character" w:customStyle="1" w:styleId="Mentionnonrsolue2">
    <w:name w:val="Mention non résolue2"/>
    <w:basedOn w:val="DefaultParagraphFont"/>
    <w:uiPriority w:val="99"/>
    <w:rsid w:val="00CE4D6E"/>
    <w:rPr>
      <w:color w:val="605E5C"/>
      <w:shd w:val="clear" w:color="auto" w:fill="E1DFDD"/>
    </w:rPr>
  </w:style>
  <w:style w:type="character" w:customStyle="1" w:styleId="element-citation">
    <w:name w:val="element-citation"/>
    <w:basedOn w:val="DefaultParagraphFont"/>
    <w:rsid w:val="00CE4D6E"/>
  </w:style>
  <w:style w:type="character" w:customStyle="1" w:styleId="ref-journal">
    <w:name w:val="ref-journal"/>
    <w:basedOn w:val="DefaultParagraphFont"/>
    <w:rsid w:val="00CE4D6E"/>
  </w:style>
  <w:style w:type="character" w:customStyle="1" w:styleId="ref-vol">
    <w:name w:val="ref-vol"/>
    <w:basedOn w:val="DefaultParagraphFont"/>
    <w:rsid w:val="00CE4D6E"/>
  </w:style>
  <w:style w:type="character" w:customStyle="1" w:styleId="familyname">
    <w:name w:val="familyname"/>
    <w:basedOn w:val="DefaultParagraphFont"/>
    <w:rsid w:val="00CE4D6E"/>
  </w:style>
  <w:style w:type="character" w:styleId="Strong">
    <w:name w:val="Strong"/>
    <w:basedOn w:val="DefaultParagraphFont"/>
    <w:uiPriority w:val="22"/>
    <w:qFormat/>
    <w:rsid w:val="00CE4D6E"/>
    <w:rPr>
      <w:b/>
      <w:bCs/>
    </w:rPr>
  </w:style>
  <w:style w:type="character" w:customStyle="1" w:styleId="Mentionnonrsolue3">
    <w:name w:val="Mention non résolue3"/>
    <w:basedOn w:val="DefaultParagraphFont"/>
    <w:uiPriority w:val="99"/>
    <w:semiHidden/>
    <w:unhideWhenUsed/>
    <w:rsid w:val="00CE4D6E"/>
    <w:rPr>
      <w:color w:val="605E5C"/>
      <w:shd w:val="clear" w:color="auto" w:fill="E1DFDD"/>
    </w:rPr>
  </w:style>
  <w:style w:type="character" w:customStyle="1" w:styleId="UnresolvedMention">
    <w:name w:val="Unresolved Mention"/>
    <w:basedOn w:val="DefaultParagraphFont"/>
    <w:uiPriority w:val="99"/>
    <w:rsid w:val="00CE4D6E"/>
    <w:rPr>
      <w:color w:val="605E5C"/>
      <w:shd w:val="clear" w:color="auto" w:fill="E1DFDD"/>
    </w:rPr>
  </w:style>
  <w:style w:type="paragraph" w:styleId="HTMLPreformatted">
    <w:name w:val="HTML Preformatted"/>
    <w:basedOn w:val="Normal"/>
    <w:link w:val="HTMLPreformattedChar"/>
    <w:uiPriority w:val="99"/>
    <w:unhideWhenUsed/>
    <w:rsid w:val="00CE4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E4D6E"/>
    <w:rPr>
      <w:rFonts w:ascii="Courier New" w:eastAsia="Times New Roman" w:hAnsi="Courier New" w:cs="Courier New"/>
      <w:sz w:val="20"/>
      <w:szCs w:val="20"/>
      <w:lang w:eastAsia="fr-FR"/>
    </w:rPr>
  </w:style>
  <w:style w:type="character" w:customStyle="1" w:styleId="article-alt-title">
    <w:name w:val="article-alt-title"/>
    <w:basedOn w:val="DefaultParagraphFont"/>
    <w:rsid w:val="00CE4D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D6E"/>
    <w:rPr>
      <w:rFonts w:ascii="Times New Roman" w:eastAsia="Times New Roman" w:hAnsi="Times New Roman" w:cs="Times New Roman"/>
      <w:lang w:eastAsia="fr-FR"/>
    </w:rPr>
  </w:style>
  <w:style w:type="paragraph" w:styleId="Heading1">
    <w:name w:val="heading 1"/>
    <w:basedOn w:val="Normal"/>
    <w:next w:val="Normal"/>
    <w:link w:val="Heading1Char"/>
    <w:uiPriority w:val="9"/>
    <w:qFormat/>
    <w:rsid w:val="00CE4D6E"/>
    <w:pPr>
      <w:keepNext/>
      <w:keepLines/>
      <w:spacing w:before="240"/>
      <w:outlineLvl w:val="0"/>
    </w:pPr>
    <w:rPr>
      <w:rFonts w:asciiTheme="majorHAnsi" w:eastAsiaTheme="majorEastAsia" w:hAnsiTheme="majorHAnsi" w:cstheme="majorBidi"/>
      <w:color w:val="2F5496" w:themeColor="accent1" w:themeShade="BF"/>
      <w:sz w:val="32"/>
      <w:szCs w:val="32"/>
      <w:lang w:val="fr-FR" w:eastAsia="en-US"/>
    </w:rPr>
  </w:style>
  <w:style w:type="paragraph" w:styleId="Heading2">
    <w:name w:val="heading 2"/>
    <w:basedOn w:val="Normal"/>
    <w:link w:val="Heading2Char"/>
    <w:uiPriority w:val="9"/>
    <w:qFormat/>
    <w:rsid w:val="00CE4D6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CE4D6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D6E"/>
    <w:rPr>
      <w:rFonts w:asciiTheme="majorHAnsi" w:eastAsiaTheme="majorEastAsia" w:hAnsiTheme="majorHAnsi" w:cstheme="majorBidi"/>
      <w:color w:val="2F5496" w:themeColor="accent1" w:themeShade="BF"/>
      <w:sz w:val="32"/>
      <w:szCs w:val="32"/>
      <w:lang w:val="fr-FR"/>
    </w:rPr>
  </w:style>
  <w:style w:type="character" w:customStyle="1" w:styleId="Heading2Char">
    <w:name w:val="Heading 2 Char"/>
    <w:basedOn w:val="DefaultParagraphFont"/>
    <w:link w:val="Heading2"/>
    <w:uiPriority w:val="9"/>
    <w:rsid w:val="00CE4D6E"/>
    <w:rPr>
      <w:rFonts w:ascii="Times New Roman" w:eastAsia="Times New Roman" w:hAnsi="Times New Roman" w:cs="Times New Roman"/>
      <w:b/>
      <w:bCs/>
      <w:sz w:val="36"/>
      <w:szCs w:val="36"/>
      <w:lang w:eastAsia="fr-FR"/>
    </w:rPr>
  </w:style>
  <w:style w:type="character" w:customStyle="1" w:styleId="Heading3Char">
    <w:name w:val="Heading 3 Char"/>
    <w:basedOn w:val="DefaultParagraphFont"/>
    <w:link w:val="Heading3"/>
    <w:uiPriority w:val="9"/>
    <w:rsid w:val="00CE4D6E"/>
    <w:rPr>
      <w:rFonts w:asciiTheme="majorHAnsi" w:eastAsiaTheme="majorEastAsia" w:hAnsiTheme="majorHAnsi" w:cstheme="majorBidi"/>
      <w:color w:val="1F3763" w:themeColor="accent1" w:themeShade="7F"/>
      <w:lang w:eastAsia="fr-FR"/>
    </w:rPr>
  </w:style>
  <w:style w:type="paragraph" w:styleId="ListParagraph">
    <w:name w:val="List Paragraph"/>
    <w:basedOn w:val="Normal"/>
    <w:uiPriority w:val="34"/>
    <w:qFormat/>
    <w:rsid w:val="00CE4D6E"/>
    <w:pPr>
      <w:ind w:left="720"/>
      <w:contextualSpacing/>
    </w:pPr>
    <w:rPr>
      <w:rFonts w:asciiTheme="minorHAnsi" w:eastAsiaTheme="minorHAnsi" w:hAnsiTheme="minorHAnsi" w:cstheme="minorBidi"/>
      <w:lang w:val="fr-FR" w:eastAsia="en-US"/>
    </w:rPr>
  </w:style>
  <w:style w:type="paragraph" w:styleId="Header">
    <w:name w:val="header"/>
    <w:basedOn w:val="Normal"/>
    <w:link w:val="HeaderChar"/>
    <w:uiPriority w:val="99"/>
    <w:unhideWhenUsed/>
    <w:rsid w:val="00CE4D6E"/>
    <w:pPr>
      <w:tabs>
        <w:tab w:val="center" w:pos="4536"/>
        <w:tab w:val="right" w:pos="9072"/>
      </w:tabs>
    </w:pPr>
    <w:rPr>
      <w:rFonts w:asciiTheme="minorHAnsi" w:eastAsiaTheme="minorHAnsi" w:hAnsiTheme="minorHAnsi" w:cstheme="minorBidi"/>
      <w:lang w:val="fr-FR" w:eastAsia="en-US"/>
    </w:rPr>
  </w:style>
  <w:style w:type="character" w:customStyle="1" w:styleId="HeaderChar">
    <w:name w:val="Header Char"/>
    <w:basedOn w:val="DefaultParagraphFont"/>
    <w:link w:val="Header"/>
    <w:uiPriority w:val="99"/>
    <w:rsid w:val="00CE4D6E"/>
    <w:rPr>
      <w:lang w:val="fr-FR"/>
    </w:rPr>
  </w:style>
  <w:style w:type="character" w:styleId="PageNumber">
    <w:name w:val="page number"/>
    <w:basedOn w:val="DefaultParagraphFont"/>
    <w:uiPriority w:val="99"/>
    <w:semiHidden/>
    <w:unhideWhenUsed/>
    <w:rsid w:val="00CE4D6E"/>
  </w:style>
  <w:style w:type="paragraph" w:styleId="NoSpacing">
    <w:name w:val="No Spacing"/>
    <w:link w:val="NoSpacingChar"/>
    <w:uiPriority w:val="1"/>
    <w:qFormat/>
    <w:rsid w:val="00CE4D6E"/>
    <w:pPr>
      <w:jc w:val="both"/>
    </w:pPr>
    <w:rPr>
      <w:rFonts w:ascii="Arial" w:eastAsia="Times New Roman" w:hAnsi="Arial" w:cs="Times New Roman"/>
      <w:szCs w:val="22"/>
    </w:rPr>
  </w:style>
  <w:style w:type="character" w:customStyle="1" w:styleId="NoSpacingChar">
    <w:name w:val="No Spacing Char"/>
    <w:link w:val="NoSpacing"/>
    <w:uiPriority w:val="1"/>
    <w:rsid w:val="00CE4D6E"/>
    <w:rPr>
      <w:rFonts w:ascii="Arial" w:eastAsia="Times New Roman" w:hAnsi="Arial" w:cs="Times New Roman"/>
      <w:szCs w:val="22"/>
    </w:rPr>
  </w:style>
  <w:style w:type="paragraph" w:styleId="FootnoteText">
    <w:name w:val="footnote text"/>
    <w:aliases w:val="Note de bas de page Car1 Car,Note de bas de page Car Car Car,Note de bas de page Car3 Car Car Car,Note de bas de page Car Car Car1 Car Car,Note de bas de page Car3 Car Car Car1 Car Car,Note de bas de page Car3"/>
    <w:basedOn w:val="Normal"/>
    <w:link w:val="FootnoteTextChar"/>
    <w:uiPriority w:val="99"/>
    <w:unhideWhenUsed/>
    <w:rsid w:val="00CE4D6E"/>
    <w:rPr>
      <w:sz w:val="20"/>
      <w:szCs w:val="20"/>
      <w:lang w:val="fr-FR" w:eastAsia="en-US"/>
    </w:rPr>
  </w:style>
  <w:style w:type="character" w:customStyle="1" w:styleId="FootnoteTextChar">
    <w:name w:val="Footnote Text Char"/>
    <w:aliases w:val="Note de bas de page Car1 Car Char,Note de bas de page Car Car Car Char,Note de bas de page Car3 Car Car Car Char,Note de bas de page Car Car Car1 Car Car Char,Note de bas de page Car3 Car Car Car1 Car Car Char"/>
    <w:basedOn w:val="DefaultParagraphFont"/>
    <w:link w:val="FootnoteText"/>
    <w:uiPriority w:val="99"/>
    <w:rsid w:val="00CE4D6E"/>
    <w:rPr>
      <w:rFonts w:ascii="Times New Roman" w:eastAsia="Times New Roman" w:hAnsi="Times New Roman" w:cs="Times New Roman"/>
      <w:sz w:val="20"/>
      <w:szCs w:val="20"/>
      <w:lang w:val="fr-FR"/>
    </w:rPr>
  </w:style>
  <w:style w:type="character" w:styleId="FootnoteReference">
    <w:name w:val="footnote reference"/>
    <w:basedOn w:val="DefaultParagraphFont"/>
    <w:uiPriority w:val="99"/>
    <w:unhideWhenUsed/>
    <w:rsid w:val="00CE4D6E"/>
    <w:rPr>
      <w:vertAlign w:val="superscript"/>
    </w:rPr>
  </w:style>
  <w:style w:type="paragraph" w:styleId="Footer">
    <w:name w:val="footer"/>
    <w:basedOn w:val="Normal"/>
    <w:link w:val="FooterChar"/>
    <w:uiPriority w:val="99"/>
    <w:unhideWhenUsed/>
    <w:rsid w:val="00CE4D6E"/>
    <w:pPr>
      <w:tabs>
        <w:tab w:val="center" w:pos="4536"/>
        <w:tab w:val="right" w:pos="9072"/>
      </w:tabs>
    </w:pPr>
    <w:rPr>
      <w:rFonts w:asciiTheme="minorHAnsi" w:eastAsiaTheme="minorHAnsi" w:hAnsiTheme="minorHAnsi" w:cstheme="minorBidi"/>
      <w:lang w:val="fr-FR" w:eastAsia="en-US"/>
    </w:rPr>
  </w:style>
  <w:style w:type="character" w:customStyle="1" w:styleId="FooterChar">
    <w:name w:val="Footer Char"/>
    <w:basedOn w:val="DefaultParagraphFont"/>
    <w:link w:val="Footer"/>
    <w:uiPriority w:val="99"/>
    <w:rsid w:val="00CE4D6E"/>
    <w:rPr>
      <w:lang w:val="fr-FR"/>
    </w:rPr>
  </w:style>
  <w:style w:type="character" w:styleId="Emphasis">
    <w:name w:val="Emphasis"/>
    <w:basedOn w:val="DefaultParagraphFont"/>
    <w:uiPriority w:val="20"/>
    <w:qFormat/>
    <w:rsid w:val="00CE4D6E"/>
    <w:rPr>
      <w:i/>
      <w:iCs/>
    </w:rPr>
  </w:style>
  <w:style w:type="character" w:styleId="Hyperlink">
    <w:name w:val="Hyperlink"/>
    <w:basedOn w:val="DefaultParagraphFont"/>
    <w:unhideWhenUsed/>
    <w:rsid w:val="00CE4D6E"/>
    <w:rPr>
      <w:color w:val="0000FF"/>
      <w:u w:val="single"/>
    </w:rPr>
  </w:style>
  <w:style w:type="character" w:styleId="CommentReference">
    <w:name w:val="annotation reference"/>
    <w:basedOn w:val="DefaultParagraphFont"/>
    <w:uiPriority w:val="99"/>
    <w:semiHidden/>
    <w:unhideWhenUsed/>
    <w:rsid w:val="00CE4D6E"/>
    <w:rPr>
      <w:sz w:val="16"/>
      <w:szCs w:val="16"/>
    </w:rPr>
  </w:style>
  <w:style w:type="paragraph" w:styleId="CommentText">
    <w:name w:val="annotation text"/>
    <w:basedOn w:val="Normal"/>
    <w:link w:val="CommentTextChar"/>
    <w:uiPriority w:val="99"/>
    <w:unhideWhenUsed/>
    <w:rsid w:val="00CE4D6E"/>
    <w:rPr>
      <w:rFonts w:asciiTheme="minorHAnsi" w:eastAsiaTheme="minorHAnsi" w:hAnsiTheme="minorHAnsi" w:cstheme="minorBidi"/>
      <w:sz w:val="20"/>
      <w:szCs w:val="20"/>
      <w:lang w:val="fr-FR" w:eastAsia="en-US"/>
    </w:rPr>
  </w:style>
  <w:style w:type="character" w:customStyle="1" w:styleId="CommentTextChar">
    <w:name w:val="Comment Text Char"/>
    <w:basedOn w:val="DefaultParagraphFont"/>
    <w:link w:val="CommentText"/>
    <w:uiPriority w:val="99"/>
    <w:rsid w:val="00CE4D6E"/>
    <w:rPr>
      <w:sz w:val="20"/>
      <w:szCs w:val="20"/>
      <w:lang w:val="fr-FR"/>
    </w:rPr>
  </w:style>
  <w:style w:type="paragraph" w:styleId="BalloonText">
    <w:name w:val="Balloon Text"/>
    <w:basedOn w:val="Normal"/>
    <w:link w:val="BalloonTextChar"/>
    <w:uiPriority w:val="99"/>
    <w:semiHidden/>
    <w:unhideWhenUsed/>
    <w:rsid w:val="00CE4D6E"/>
    <w:rPr>
      <w:rFonts w:eastAsiaTheme="minorHAnsi"/>
      <w:sz w:val="18"/>
      <w:szCs w:val="18"/>
      <w:lang w:val="fr-FR" w:eastAsia="en-US"/>
    </w:rPr>
  </w:style>
  <w:style w:type="character" w:customStyle="1" w:styleId="BalloonTextChar">
    <w:name w:val="Balloon Text Char"/>
    <w:basedOn w:val="DefaultParagraphFont"/>
    <w:link w:val="BalloonText"/>
    <w:uiPriority w:val="99"/>
    <w:semiHidden/>
    <w:rsid w:val="00CE4D6E"/>
    <w:rPr>
      <w:rFonts w:ascii="Times New Roman" w:hAnsi="Times New Roman" w:cs="Times New Roman"/>
      <w:sz w:val="18"/>
      <w:szCs w:val="18"/>
      <w:lang w:val="fr-FR"/>
    </w:rPr>
  </w:style>
  <w:style w:type="character" w:customStyle="1" w:styleId="apple-converted-space">
    <w:name w:val="apple-converted-space"/>
    <w:basedOn w:val="DefaultParagraphFont"/>
    <w:rsid w:val="00CE4D6E"/>
  </w:style>
  <w:style w:type="character" w:customStyle="1" w:styleId="Mentionnonrsolue1">
    <w:name w:val="Mention non résolue1"/>
    <w:basedOn w:val="DefaultParagraphFont"/>
    <w:uiPriority w:val="99"/>
    <w:rsid w:val="00CE4D6E"/>
    <w:rPr>
      <w:color w:val="605E5C"/>
      <w:shd w:val="clear" w:color="auto" w:fill="E1DFDD"/>
    </w:rPr>
  </w:style>
  <w:style w:type="paragraph" w:styleId="NormalWeb">
    <w:name w:val="Normal (Web)"/>
    <w:basedOn w:val="Normal"/>
    <w:uiPriority w:val="99"/>
    <w:unhideWhenUsed/>
    <w:rsid w:val="00CE4D6E"/>
    <w:pPr>
      <w:spacing w:before="100" w:beforeAutospacing="1" w:after="100" w:afterAutospacing="1"/>
    </w:pPr>
    <w:rPr>
      <w:rFonts w:eastAsiaTheme="minorHAnsi"/>
      <w:lang w:val="fr-FR"/>
    </w:rPr>
  </w:style>
  <w:style w:type="character" w:styleId="FollowedHyperlink">
    <w:name w:val="FollowedHyperlink"/>
    <w:basedOn w:val="DefaultParagraphFont"/>
    <w:uiPriority w:val="99"/>
    <w:semiHidden/>
    <w:unhideWhenUsed/>
    <w:rsid w:val="00CE4D6E"/>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CE4D6E"/>
    <w:rPr>
      <w:b/>
      <w:bCs/>
    </w:rPr>
  </w:style>
  <w:style w:type="character" w:customStyle="1" w:styleId="CommentSubjectChar">
    <w:name w:val="Comment Subject Char"/>
    <w:basedOn w:val="CommentTextChar"/>
    <w:link w:val="CommentSubject"/>
    <w:uiPriority w:val="99"/>
    <w:semiHidden/>
    <w:rsid w:val="00CE4D6E"/>
    <w:rPr>
      <w:b/>
      <w:bCs/>
      <w:sz w:val="20"/>
      <w:szCs w:val="20"/>
      <w:lang w:val="fr-FR"/>
    </w:rPr>
  </w:style>
  <w:style w:type="paragraph" w:styleId="Revision">
    <w:name w:val="Revision"/>
    <w:hidden/>
    <w:uiPriority w:val="99"/>
    <w:semiHidden/>
    <w:rsid w:val="00CE4D6E"/>
    <w:rPr>
      <w:lang w:val="fr-FR"/>
    </w:rPr>
  </w:style>
  <w:style w:type="character" w:customStyle="1" w:styleId="uppercase">
    <w:name w:val="uppercase"/>
    <w:basedOn w:val="DefaultParagraphFont"/>
    <w:rsid w:val="00CE4D6E"/>
  </w:style>
  <w:style w:type="character" w:customStyle="1" w:styleId="journal-title">
    <w:name w:val="journal-title"/>
    <w:rsid w:val="00CE4D6E"/>
  </w:style>
  <w:style w:type="character" w:customStyle="1" w:styleId="issue-meta-volume-issue1">
    <w:name w:val="issue-meta-volume-issue1"/>
    <w:rsid w:val="00CE4D6E"/>
    <w:rPr>
      <w:vanish w:val="0"/>
      <w:webHidden w:val="0"/>
      <w:specVanish w:val="0"/>
    </w:rPr>
  </w:style>
  <w:style w:type="character" w:customStyle="1" w:styleId="Mentionnonrsolue2">
    <w:name w:val="Mention non résolue2"/>
    <w:basedOn w:val="DefaultParagraphFont"/>
    <w:uiPriority w:val="99"/>
    <w:rsid w:val="00CE4D6E"/>
    <w:rPr>
      <w:color w:val="605E5C"/>
      <w:shd w:val="clear" w:color="auto" w:fill="E1DFDD"/>
    </w:rPr>
  </w:style>
  <w:style w:type="character" w:customStyle="1" w:styleId="element-citation">
    <w:name w:val="element-citation"/>
    <w:basedOn w:val="DefaultParagraphFont"/>
    <w:rsid w:val="00CE4D6E"/>
  </w:style>
  <w:style w:type="character" w:customStyle="1" w:styleId="ref-journal">
    <w:name w:val="ref-journal"/>
    <w:basedOn w:val="DefaultParagraphFont"/>
    <w:rsid w:val="00CE4D6E"/>
  </w:style>
  <w:style w:type="character" w:customStyle="1" w:styleId="ref-vol">
    <w:name w:val="ref-vol"/>
    <w:basedOn w:val="DefaultParagraphFont"/>
    <w:rsid w:val="00CE4D6E"/>
  </w:style>
  <w:style w:type="character" w:customStyle="1" w:styleId="familyname">
    <w:name w:val="familyname"/>
    <w:basedOn w:val="DefaultParagraphFont"/>
    <w:rsid w:val="00CE4D6E"/>
  </w:style>
  <w:style w:type="character" w:styleId="Strong">
    <w:name w:val="Strong"/>
    <w:basedOn w:val="DefaultParagraphFont"/>
    <w:uiPriority w:val="22"/>
    <w:qFormat/>
    <w:rsid w:val="00CE4D6E"/>
    <w:rPr>
      <w:b/>
      <w:bCs/>
    </w:rPr>
  </w:style>
  <w:style w:type="character" w:customStyle="1" w:styleId="Mentionnonrsolue3">
    <w:name w:val="Mention non résolue3"/>
    <w:basedOn w:val="DefaultParagraphFont"/>
    <w:uiPriority w:val="99"/>
    <w:semiHidden/>
    <w:unhideWhenUsed/>
    <w:rsid w:val="00CE4D6E"/>
    <w:rPr>
      <w:color w:val="605E5C"/>
      <w:shd w:val="clear" w:color="auto" w:fill="E1DFDD"/>
    </w:rPr>
  </w:style>
  <w:style w:type="character" w:customStyle="1" w:styleId="UnresolvedMention">
    <w:name w:val="Unresolved Mention"/>
    <w:basedOn w:val="DefaultParagraphFont"/>
    <w:uiPriority w:val="99"/>
    <w:rsid w:val="00CE4D6E"/>
    <w:rPr>
      <w:color w:val="605E5C"/>
      <w:shd w:val="clear" w:color="auto" w:fill="E1DFDD"/>
    </w:rPr>
  </w:style>
  <w:style w:type="paragraph" w:styleId="HTMLPreformatted">
    <w:name w:val="HTML Preformatted"/>
    <w:basedOn w:val="Normal"/>
    <w:link w:val="HTMLPreformattedChar"/>
    <w:uiPriority w:val="99"/>
    <w:unhideWhenUsed/>
    <w:rsid w:val="00CE4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E4D6E"/>
    <w:rPr>
      <w:rFonts w:ascii="Courier New" w:eastAsia="Times New Roman" w:hAnsi="Courier New" w:cs="Courier New"/>
      <w:sz w:val="20"/>
      <w:szCs w:val="20"/>
      <w:lang w:eastAsia="fr-FR"/>
    </w:rPr>
  </w:style>
  <w:style w:type="character" w:customStyle="1" w:styleId="article-alt-title">
    <w:name w:val="article-alt-title"/>
    <w:basedOn w:val="DefaultParagraphFont"/>
    <w:rsid w:val="00CE4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8/08/relationships/commentsExtensible" Target="commentsExtensi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AF53A-5C97-4C14-95C0-60DA2BC07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9653</Words>
  <Characters>55026</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2021-04-15T13:08:00Z</dcterms:created>
  <dcterms:modified xsi:type="dcterms:W3CDTF">2021-04-16T07:35:00Z</dcterms:modified>
</cp:coreProperties>
</file>