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9760A" w14:textId="46D5E94A" w:rsidR="000271D4" w:rsidRDefault="003B65CB" w:rsidP="003B65CB">
      <w:pPr>
        <w:jc w:val="center"/>
        <w:rPr>
          <w:i/>
          <w:iCs/>
          <w:sz w:val="24"/>
          <w:szCs w:val="24"/>
        </w:rPr>
      </w:pPr>
      <w:r>
        <w:rPr>
          <w:i/>
          <w:iCs/>
          <w:sz w:val="24"/>
          <w:szCs w:val="24"/>
          <w:lang w:val="en-US"/>
        </w:rPr>
        <w:t>“</w:t>
      </w:r>
      <w:r w:rsidR="00E46BE8">
        <w:rPr>
          <w:i/>
          <w:iCs/>
          <w:sz w:val="24"/>
          <w:szCs w:val="24"/>
          <w:lang w:val="en-US"/>
        </w:rPr>
        <w:t xml:space="preserve">Unjustly </w:t>
      </w:r>
      <w:r>
        <w:rPr>
          <w:i/>
          <w:iCs/>
          <w:sz w:val="24"/>
          <w:szCs w:val="24"/>
          <w:lang w:val="en-US"/>
        </w:rPr>
        <w:t>T</w:t>
      </w:r>
      <w:r w:rsidR="00E46BE8">
        <w:rPr>
          <w:i/>
          <w:iCs/>
          <w:sz w:val="24"/>
          <w:szCs w:val="24"/>
          <w:lang w:val="en-US"/>
        </w:rPr>
        <w:t>ormented by Love</w:t>
      </w:r>
      <w:r>
        <w:rPr>
          <w:i/>
          <w:iCs/>
          <w:sz w:val="24"/>
          <w:szCs w:val="24"/>
          <w:lang w:val="en-US"/>
        </w:rPr>
        <w:t>”</w:t>
      </w:r>
      <w:r w:rsidR="00E46BE8">
        <w:rPr>
          <w:i/>
          <w:iCs/>
          <w:sz w:val="24"/>
          <w:szCs w:val="24"/>
          <w:lang w:val="en-US"/>
        </w:rPr>
        <w:t>:</w:t>
      </w:r>
      <w:r w:rsidR="00E46BE8">
        <w:rPr>
          <w:iCs/>
          <w:sz w:val="24"/>
          <w:szCs w:val="24"/>
          <w:lang w:val="en-US"/>
        </w:rPr>
        <w:t xml:space="preserve"> </w:t>
      </w:r>
    </w:p>
    <w:p w14:paraId="0F8F2685" w14:textId="11F3771D" w:rsidR="00E015F8" w:rsidRPr="007C5A79" w:rsidRDefault="00E46BE8" w:rsidP="003B65CB">
      <w:pPr>
        <w:jc w:val="center"/>
        <w:rPr>
          <w:i/>
          <w:iCs/>
          <w:sz w:val="24"/>
          <w:szCs w:val="24"/>
        </w:rPr>
      </w:pPr>
      <w:r>
        <w:rPr>
          <w:i/>
          <w:iCs/>
          <w:sz w:val="24"/>
          <w:szCs w:val="24"/>
          <w:lang w:val="en-US"/>
        </w:rPr>
        <w:t xml:space="preserve">Eros as a source of artistic inspiration in an unpublished poem </w:t>
      </w:r>
      <w:r w:rsidR="003B65CB">
        <w:rPr>
          <w:i/>
          <w:iCs/>
          <w:sz w:val="24"/>
          <w:szCs w:val="24"/>
          <w:lang w:val="en-US"/>
        </w:rPr>
        <w:t>for</w:t>
      </w:r>
      <w:r>
        <w:rPr>
          <w:i/>
          <w:iCs/>
          <w:sz w:val="24"/>
          <w:szCs w:val="24"/>
          <w:lang w:val="en-US"/>
        </w:rPr>
        <w:t xml:space="preserve"> Gian Giorgio Lascaris, alias </w:t>
      </w:r>
      <w:r w:rsidR="003B65CB">
        <w:rPr>
          <w:i/>
          <w:iCs/>
          <w:sz w:val="24"/>
          <w:szCs w:val="24"/>
          <w:lang w:val="en-US"/>
        </w:rPr>
        <w:t>“</w:t>
      </w:r>
      <w:r>
        <w:rPr>
          <w:i/>
          <w:iCs/>
          <w:sz w:val="24"/>
          <w:szCs w:val="24"/>
          <w:lang w:val="en-US"/>
        </w:rPr>
        <w:t>Pyrgoteles</w:t>
      </w:r>
      <w:r w:rsidR="003B65CB">
        <w:rPr>
          <w:i/>
          <w:iCs/>
          <w:sz w:val="24"/>
          <w:szCs w:val="24"/>
          <w:lang w:val="en-US"/>
        </w:rPr>
        <w:t>”</w:t>
      </w:r>
      <w:r>
        <w:rPr>
          <w:iCs/>
          <w:sz w:val="24"/>
          <w:szCs w:val="24"/>
          <w:lang w:val="en-US"/>
        </w:rPr>
        <w:t xml:space="preserve"> </w:t>
      </w:r>
    </w:p>
    <w:p w14:paraId="21E2A239" w14:textId="77777777" w:rsidR="007C5A79" w:rsidRDefault="007C5A79" w:rsidP="007C5A79">
      <w:pPr>
        <w:jc w:val="center"/>
        <w:rPr>
          <w:sz w:val="24"/>
          <w:szCs w:val="24"/>
        </w:rPr>
      </w:pPr>
    </w:p>
    <w:p w14:paraId="0D0D6826" w14:textId="2A8DBD9F" w:rsidR="00794F45" w:rsidRDefault="00E46BE8" w:rsidP="003B65CB">
      <w:pPr>
        <w:rPr>
          <w:sz w:val="24"/>
          <w:szCs w:val="24"/>
        </w:rPr>
      </w:pPr>
      <w:r>
        <w:rPr>
          <w:sz w:val="24"/>
          <w:szCs w:val="24"/>
          <w:lang w:val="en-US"/>
        </w:rPr>
        <w:t>An artist in the tradition of the classical-inspired sculpture that flourished in the Po Valley and the Veneto from the fifteenth century to the mid-sixteenth century, Gian Giorgio Lascaris (c. 1458–1531) is now less known to scholars than figures such as Pietro, Antonio and Tullio Lombardo, Giovan Maria Mosca, or Antonio Minello, the other main exponents of the same artistic current.</w:t>
      </w:r>
      <w:r>
        <w:rPr>
          <w:rStyle w:val="FootnoteReference"/>
          <w:sz w:val="24"/>
          <w:szCs w:val="24"/>
        </w:rPr>
        <w:footnoteReference w:id="1"/>
      </w:r>
      <w:r>
        <w:rPr>
          <w:sz w:val="24"/>
          <w:szCs w:val="24"/>
          <w:lang w:val="en-US"/>
        </w:rPr>
        <w:t xml:space="preserve"> While much of the sculptor's relative obscurity </w:t>
      </w:r>
      <w:r w:rsidR="003B65CB">
        <w:rPr>
          <w:sz w:val="24"/>
          <w:szCs w:val="24"/>
          <w:lang w:val="en-US"/>
        </w:rPr>
        <w:t>is owed</w:t>
      </w:r>
      <w:r>
        <w:rPr>
          <w:sz w:val="24"/>
          <w:szCs w:val="24"/>
          <w:lang w:val="en-US"/>
        </w:rPr>
        <w:t xml:space="preserve"> to the fact that Giorgio Vasari's </w:t>
      </w:r>
      <w:r>
        <w:rPr>
          <w:i/>
          <w:iCs/>
          <w:sz w:val="24"/>
          <w:szCs w:val="24"/>
          <w:lang w:val="en-US"/>
        </w:rPr>
        <w:t>Vite</w:t>
      </w:r>
      <w:r>
        <w:rPr>
          <w:sz w:val="24"/>
          <w:szCs w:val="24"/>
          <w:lang w:val="en-US"/>
        </w:rPr>
        <w:t xml:space="preserve"> makes no mention of him, the greatest obstacle </w:t>
      </w:r>
      <w:r w:rsidR="00CB2B4F">
        <w:rPr>
          <w:sz w:val="24"/>
          <w:szCs w:val="24"/>
          <w:lang w:val="en-US"/>
        </w:rPr>
        <w:t xml:space="preserve">to </w:t>
      </w:r>
      <w:r w:rsidR="003B65CB">
        <w:rPr>
          <w:sz w:val="24"/>
          <w:szCs w:val="24"/>
          <w:lang w:val="en-US"/>
        </w:rPr>
        <w:t xml:space="preserve">general </w:t>
      </w:r>
      <w:r w:rsidR="00CB2B4F">
        <w:rPr>
          <w:sz w:val="24"/>
          <w:szCs w:val="24"/>
          <w:lang w:val="en-US"/>
        </w:rPr>
        <w:t xml:space="preserve">familiarity </w:t>
      </w:r>
      <w:r>
        <w:rPr>
          <w:sz w:val="24"/>
          <w:szCs w:val="24"/>
          <w:lang w:val="en-US"/>
        </w:rPr>
        <w:t xml:space="preserve">with his work is the nearly complete </w:t>
      </w:r>
      <w:r w:rsidR="00CB2B4F">
        <w:rPr>
          <w:sz w:val="24"/>
          <w:szCs w:val="24"/>
          <w:lang w:val="en-US"/>
        </w:rPr>
        <w:t>loss</w:t>
      </w:r>
      <w:r>
        <w:rPr>
          <w:sz w:val="24"/>
          <w:szCs w:val="24"/>
          <w:lang w:val="en-US"/>
        </w:rPr>
        <w:t xml:space="preserve"> of his output. Of </w:t>
      </w:r>
      <w:r w:rsidR="003B65CB">
        <w:rPr>
          <w:sz w:val="24"/>
          <w:szCs w:val="24"/>
          <w:lang w:val="en-US"/>
        </w:rPr>
        <w:t>the</w:t>
      </w:r>
      <w:r>
        <w:rPr>
          <w:sz w:val="24"/>
          <w:szCs w:val="24"/>
          <w:lang w:val="en-US"/>
        </w:rPr>
        <w:t xml:space="preserve"> seven creations that sources attribute to him, </w:t>
      </w:r>
      <w:r w:rsidR="00CB2B4F">
        <w:rPr>
          <w:sz w:val="24"/>
          <w:szCs w:val="24"/>
          <w:lang w:val="en-US"/>
        </w:rPr>
        <w:t xml:space="preserve">only </w:t>
      </w:r>
      <w:r>
        <w:rPr>
          <w:sz w:val="24"/>
          <w:szCs w:val="24"/>
          <w:lang w:val="en-US"/>
        </w:rPr>
        <w:t xml:space="preserve">one has survived and been identified </w:t>
      </w:r>
      <w:r w:rsidR="003B65CB">
        <w:rPr>
          <w:sz w:val="24"/>
          <w:szCs w:val="24"/>
          <w:lang w:val="en-US"/>
        </w:rPr>
        <w:t>with certainty</w:t>
      </w:r>
      <w:r>
        <w:rPr>
          <w:sz w:val="24"/>
          <w:szCs w:val="24"/>
          <w:lang w:val="en-US"/>
        </w:rPr>
        <w:t xml:space="preserve">: the marble </w:t>
      </w:r>
      <w:r>
        <w:rPr>
          <w:i/>
          <w:iCs/>
          <w:sz w:val="24"/>
          <w:szCs w:val="24"/>
          <w:lang w:val="en-US"/>
        </w:rPr>
        <w:t xml:space="preserve">Madonna with Child </w:t>
      </w:r>
      <w:r>
        <w:rPr>
          <w:sz w:val="24"/>
          <w:szCs w:val="24"/>
          <w:lang w:val="en-US"/>
        </w:rPr>
        <w:t>on the façade of the Chiesa di Santa Maria dei Miracoli in Venice (Fig. 1).</w:t>
      </w:r>
      <w:r>
        <w:rPr>
          <w:rStyle w:val="FootnoteReference"/>
          <w:sz w:val="24"/>
          <w:szCs w:val="24"/>
        </w:rPr>
        <w:footnoteReference w:id="2"/>
      </w:r>
      <w:r>
        <w:rPr>
          <w:sz w:val="24"/>
          <w:szCs w:val="24"/>
          <w:lang w:val="en-US"/>
        </w:rPr>
        <w:t xml:space="preserve"> </w:t>
      </w:r>
    </w:p>
    <w:p w14:paraId="7B076A96" w14:textId="5B5FC257" w:rsidR="003013BE" w:rsidRDefault="003B65CB" w:rsidP="003B65CB">
      <w:pPr>
        <w:rPr>
          <w:sz w:val="24"/>
          <w:szCs w:val="24"/>
        </w:rPr>
      </w:pPr>
      <w:r>
        <w:rPr>
          <w:sz w:val="24"/>
          <w:szCs w:val="24"/>
          <w:lang w:val="en-US"/>
        </w:rPr>
        <w:t xml:space="preserve">Yet despite the </w:t>
      </w:r>
      <w:r w:rsidR="00E46BE8">
        <w:rPr>
          <w:sz w:val="24"/>
          <w:szCs w:val="24"/>
          <w:lang w:val="en-US"/>
        </w:rPr>
        <w:t xml:space="preserve">little </w:t>
      </w:r>
      <w:r>
        <w:rPr>
          <w:sz w:val="24"/>
          <w:szCs w:val="24"/>
          <w:lang w:val="en-US"/>
        </w:rPr>
        <w:t>physical</w:t>
      </w:r>
      <w:r w:rsidR="00E46BE8">
        <w:rPr>
          <w:sz w:val="24"/>
          <w:szCs w:val="24"/>
          <w:lang w:val="en-US"/>
        </w:rPr>
        <w:t xml:space="preserve"> evidence remain</w:t>
      </w:r>
      <w:r>
        <w:rPr>
          <w:sz w:val="24"/>
          <w:szCs w:val="24"/>
          <w:lang w:val="en-US"/>
        </w:rPr>
        <w:t>ing</w:t>
      </w:r>
      <w:r w:rsidR="00E46BE8">
        <w:rPr>
          <w:sz w:val="24"/>
          <w:szCs w:val="24"/>
          <w:lang w:val="en-US"/>
        </w:rPr>
        <w:t xml:space="preserve"> of his work, we have ample written </w:t>
      </w:r>
      <w:r>
        <w:rPr>
          <w:sz w:val="24"/>
          <w:szCs w:val="24"/>
          <w:lang w:val="en-US"/>
        </w:rPr>
        <w:t>proof</w:t>
      </w:r>
      <w:r w:rsidR="00E46BE8">
        <w:rPr>
          <w:sz w:val="24"/>
          <w:szCs w:val="24"/>
          <w:lang w:val="en-US"/>
        </w:rPr>
        <w:t xml:space="preserve"> of the popularity Lascaris enjoyed among </w:t>
      </w:r>
      <w:r>
        <w:rPr>
          <w:sz w:val="24"/>
          <w:szCs w:val="24"/>
          <w:lang w:val="en-US"/>
        </w:rPr>
        <w:t>the</w:t>
      </w:r>
      <w:r w:rsidR="00E46BE8">
        <w:rPr>
          <w:sz w:val="24"/>
          <w:szCs w:val="24"/>
          <w:lang w:val="en-US"/>
        </w:rPr>
        <w:t xml:space="preserve"> humanists of his time, whose </w:t>
      </w:r>
      <w:r w:rsidR="00CB2B4F">
        <w:rPr>
          <w:sz w:val="24"/>
          <w:szCs w:val="24"/>
          <w:lang w:val="en-US"/>
        </w:rPr>
        <w:t>rooms</w:t>
      </w:r>
      <w:r w:rsidR="00E46BE8">
        <w:rPr>
          <w:sz w:val="24"/>
          <w:szCs w:val="24"/>
          <w:lang w:val="en-US"/>
        </w:rPr>
        <w:t xml:space="preserve"> must have been decorated with his output. </w:t>
      </w:r>
      <w:r>
        <w:rPr>
          <w:sz w:val="24"/>
          <w:szCs w:val="24"/>
          <w:lang w:val="en-US"/>
        </w:rPr>
        <w:t>T</w:t>
      </w:r>
      <w:r w:rsidR="00E46BE8">
        <w:rPr>
          <w:sz w:val="24"/>
          <w:szCs w:val="24"/>
          <w:lang w:val="en-US"/>
        </w:rPr>
        <w:t>he</w:t>
      </w:r>
      <w:r>
        <w:rPr>
          <w:sz w:val="24"/>
          <w:szCs w:val="24"/>
          <w:lang w:val="en-US"/>
        </w:rPr>
        <w:t>ir</w:t>
      </w:r>
      <w:r w:rsidR="00E46BE8">
        <w:rPr>
          <w:sz w:val="24"/>
          <w:szCs w:val="24"/>
          <w:lang w:val="en-US"/>
        </w:rPr>
        <w:t xml:space="preserve"> treatises, epistles, and poems </w:t>
      </w:r>
      <w:r>
        <w:rPr>
          <w:sz w:val="24"/>
          <w:szCs w:val="24"/>
          <w:lang w:val="en-US"/>
        </w:rPr>
        <w:t xml:space="preserve">nearly always </w:t>
      </w:r>
      <w:r w:rsidR="00E46BE8">
        <w:rPr>
          <w:sz w:val="24"/>
          <w:szCs w:val="24"/>
          <w:lang w:val="en-US"/>
        </w:rPr>
        <w:t>pay homage to the sculptor using the pseudonym “</w:t>
      </w:r>
      <w:r w:rsidR="00CB2B4F">
        <w:rPr>
          <w:sz w:val="24"/>
          <w:szCs w:val="24"/>
          <w:lang w:val="en-US"/>
        </w:rPr>
        <w:t>Pyrgoteles</w:t>
      </w:r>
      <w:r w:rsidR="00E46BE8">
        <w:rPr>
          <w:sz w:val="24"/>
          <w:szCs w:val="24"/>
          <w:lang w:val="en-US"/>
        </w:rPr>
        <w:t>” – a reference to Alexander the Great</w:t>
      </w:r>
      <w:r>
        <w:rPr>
          <w:sz w:val="24"/>
          <w:szCs w:val="24"/>
          <w:lang w:val="en-US"/>
        </w:rPr>
        <w:t>’</w:t>
      </w:r>
      <w:r w:rsidR="00E46BE8">
        <w:rPr>
          <w:sz w:val="24"/>
          <w:szCs w:val="24"/>
          <w:lang w:val="en-US"/>
        </w:rPr>
        <w:t xml:space="preserve">s gem engraver, whom the artist proudly invoked to demonstrate his study of the ancients, </w:t>
      </w:r>
      <w:r>
        <w:rPr>
          <w:sz w:val="24"/>
          <w:szCs w:val="24"/>
          <w:lang w:val="en-US"/>
        </w:rPr>
        <w:t xml:space="preserve">as well as </w:t>
      </w:r>
      <w:r w:rsidR="00E46BE8">
        <w:rPr>
          <w:sz w:val="24"/>
          <w:szCs w:val="24"/>
          <w:lang w:val="en-US"/>
        </w:rPr>
        <w:t>perhaps his own Greek heritage and possible secondary occupation in glyptics.</w:t>
      </w:r>
      <w:r w:rsidR="00E46BE8">
        <w:rPr>
          <w:rStyle w:val="FootnoteReference"/>
          <w:sz w:val="24"/>
          <w:szCs w:val="24"/>
        </w:rPr>
        <w:footnoteReference w:id="3"/>
      </w:r>
      <w:r w:rsidR="00E46BE8">
        <w:rPr>
          <w:sz w:val="24"/>
          <w:szCs w:val="24"/>
          <w:lang w:val="en-US"/>
        </w:rPr>
        <w:t xml:space="preserve"> While the most eminent of Venetian intellectuals, Pietro Bembo, lauded a marble bust of Christ that he had probably </w:t>
      </w:r>
      <w:r w:rsidR="00E46BE8">
        <w:rPr>
          <w:sz w:val="24"/>
          <w:szCs w:val="24"/>
          <w:lang w:val="en-US"/>
        </w:rPr>
        <w:lastRenderedPageBreak/>
        <w:t>commissioned from Lascaris himself (c. 1519?),</w:t>
      </w:r>
      <w:r w:rsidR="00E46BE8">
        <w:rPr>
          <w:rStyle w:val="FootnoteReference"/>
          <w:sz w:val="24"/>
          <w:szCs w:val="24"/>
        </w:rPr>
        <w:footnoteReference w:id="4"/>
      </w:r>
      <w:r w:rsidR="00E46BE8">
        <w:rPr>
          <w:sz w:val="24"/>
          <w:szCs w:val="24"/>
          <w:lang w:val="en-US"/>
        </w:rPr>
        <w:t xml:space="preserve"> it was a different sculpture by Pyrgoteles that attracted most of the contemporary humanists</w:t>
      </w:r>
      <w:r>
        <w:rPr>
          <w:sz w:val="24"/>
          <w:szCs w:val="24"/>
          <w:lang w:val="en-US"/>
        </w:rPr>
        <w:t>’</w:t>
      </w:r>
      <w:r w:rsidR="00E46BE8">
        <w:rPr>
          <w:sz w:val="24"/>
          <w:szCs w:val="24"/>
          <w:lang w:val="en-US"/>
        </w:rPr>
        <w:t xml:space="preserve"> praise in prose and verse. This was the so-called </w:t>
      </w:r>
      <w:r w:rsidR="00E46BE8">
        <w:rPr>
          <w:i/>
          <w:iCs/>
          <w:sz w:val="24"/>
          <w:szCs w:val="24"/>
          <w:lang w:val="en-US"/>
        </w:rPr>
        <w:t xml:space="preserve">Venere Mastigophora </w:t>
      </w:r>
      <w:r w:rsidR="00E46BE8">
        <w:rPr>
          <w:sz w:val="24"/>
          <w:szCs w:val="24"/>
          <w:lang w:val="en-US"/>
        </w:rPr>
        <w:t>o</w:t>
      </w:r>
      <w:r w:rsidR="00E46BE8">
        <w:rPr>
          <w:i/>
          <w:iCs/>
          <w:sz w:val="24"/>
          <w:szCs w:val="24"/>
          <w:lang w:val="en-US"/>
        </w:rPr>
        <w:t xml:space="preserve"> Flag</w:t>
      </w:r>
      <w:r>
        <w:rPr>
          <w:i/>
          <w:iCs/>
          <w:sz w:val="24"/>
          <w:szCs w:val="24"/>
          <w:lang w:val="en-US"/>
        </w:rPr>
        <w:t>e</w:t>
      </w:r>
      <w:r w:rsidR="00E46BE8">
        <w:rPr>
          <w:i/>
          <w:iCs/>
          <w:sz w:val="24"/>
          <w:szCs w:val="24"/>
          <w:lang w:val="en-US"/>
        </w:rPr>
        <w:t>llifera</w:t>
      </w:r>
      <w:r w:rsidR="00E46BE8">
        <w:rPr>
          <w:sz w:val="24"/>
          <w:szCs w:val="24"/>
          <w:lang w:val="en-US"/>
        </w:rPr>
        <w:t>,</w:t>
      </w:r>
      <w:r w:rsidR="00E46BE8">
        <w:rPr>
          <w:i/>
          <w:iCs/>
          <w:sz w:val="24"/>
          <w:szCs w:val="24"/>
          <w:lang w:val="en-US"/>
        </w:rPr>
        <w:t xml:space="preserve"> </w:t>
      </w:r>
      <w:r w:rsidR="00E46BE8">
        <w:rPr>
          <w:sz w:val="24"/>
          <w:szCs w:val="24"/>
          <w:lang w:val="en-US"/>
        </w:rPr>
        <w:t xml:space="preserve">which </w:t>
      </w:r>
      <w:r w:rsidR="00CB2B4F">
        <w:rPr>
          <w:sz w:val="24"/>
          <w:szCs w:val="24"/>
          <w:lang w:val="en-US"/>
        </w:rPr>
        <w:t>probably</w:t>
      </w:r>
      <w:r w:rsidR="00E46BE8">
        <w:rPr>
          <w:sz w:val="24"/>
          <w:szCs w:val="24"/>
          <w:lang w:val="en-US"/>
        </w:rPr>
        <w:t xml:space="preserve"> represented the utmost expression of his learned </w:t>
      </w:r>
      <w:r w:rsidR="00CB2B4F">
        <w:rPr>
          <w:sz w:val="24"/>
          <w:szCs w:val="24"/>
          <w:lang w:val="en-US"/>
        </w:rPr>
        <w:t xml:space="preserve">sculptural </w:t>
      </w:r>
      <w:r w:rsidR="00E46BE8">
        <w:rPr>
          <w:sz w:val="24"/>
          <w:szCs w:val="24"/>
          <w:lang w:val="en-US"/>
        </w:rPr>
        <w:t xml:space="preserve">classicism. </w:t>
      </w:r>
    </w:p>
    <w:p w14:paraId="20E00F3A" w14:textId="069727E0" w:rsidR="00394AB1" w:rsidRDefault="00E46BE8" w:rsidP="00697B24">
      <w:pPr>
        <w:rPr>
          <w:sz w:val="24"/>
          <w:szCs w:val="24"/>
        </w:rPr>
      </w:pPr>
      <w:r>
        <w:rPr>
          <w:sz w:val="24"/>
          <w:szCs w:val="24"/>
          <w:lang w:val="en-US"/>
        </w:rPr>
        <w:t xml:space="preserve">The probable inspiration for two bronze plates by Andrea Riccio of </w:t>
      </w:r>
      <w:r>
        <w:rPr>
          <w:i/>
          <w:iCs/>
          <w:sz w:val="24"/>
          <w:szCs w:val="24"/>
          <w:lang w:val="en-US"/>
        </w:rPr>
        <w:t>Venere che punisce Cupido</w:t>
      </w:r>
      <w:r>
        <w:rPr>
          <w:sz w:val="24"/>
          <w:szCs w:val="24"/>
          <w:lang w:val="en-US"/>
        </w:rPr>
        <w:t xml:space="preserve"> (c. 1510–1520, Fig. 2), this work was in all likelihood a small marble sculpture that immortalized the goddess of beauty as she prepared to strike her divine son with a whip. According to the author of one of the most thorough studies of the work and literary </w:t>
      </w:r>
      <w:r w:rsidR="00CB2B4F">
        <w:rPr>
          <w:sz w:val="24"/>
          <w:szCs w:val="24"/>
          <w:lang w:val="en-US"/>
        </w:rPr>
        <w:t>mentions</w:t>
      </w:r>
      <w:r>
        <w:rPr>
          <w:sz w:val="24"/>
          <w:szCs w:val="24"/>
          <w:lang w:val="en-US"/>
        </w:rPr>
        <w:t xml:space="preserve"> of Lascaris, the sculpture</w:t>
      </w:r>
      <w:r w:rsidR="00697B24">
        <w:rPr>
          <w:sz w:val="24"/>
          <w:szCs w:val="24"/>
          <w:lang w:val="en-US"/>
        </w:rPr>
        <w:t>’</w:t>
      </w:r>
      <w:r>
        <w:rPr>
          <w:sz w:val="24"/>
          <w:szCs w:val="24"/>
          <w:lang w:val="en-US"/>
        </w:rPr>
        <w:t xml:space="preserve">s iconography did not reference a specific ancient figurative precedent, but combined suggestions from classical art with </w:t>
      </w:r>
      <w:r w:rsidR="00697B24">
        <w:rPr>
          <w:sz w:val="24"/>
          <w:szCs w:val="24"/>
          <w:lang w:val="en-US"/>
        </w:rPr>
        <w:t>literary allusions</w:t>
      </w:r>
      <w:r>
        <w:rPr>
          <w:sz w:val="24"/>
          <w:szCs w:val="24"/>
          <w:lang w:val="en-US"/>
        </w:rPr>
        <w:t>.</w:t>
      </w:r>
      <w:r>
        <w:rPr>
          <w:rStyle w:val="FootnoteReference"/>
          <w:sz w:val="24"/>
          <w:szCs w:val="24"/>
        </w:rPr>
        <w:footnoteReference w:id="5"/>
      </w:r>
      <w:r>
        <w:rPr>
          <w:sz w:val="24"/>
          <w:szCs w:val="24"/>
          <w:lang w:val="en-US"/>
        </w:rPr>
        <w:t xml:space="preserve"> Specifically, the choice to portray the whipping of Eros </w:t>
      </w:r>
      <w:r w:rsidR="00697B24">
        <w:rPr>
          <w:sz w:val="24"/>
          <w:szCs w:val="24"/>
          <w:lang w:val="en-US"/>
        </w:rPr>
        <w:t>makes</w:t>
      </w:r>
      <w:r w:rsidR="00FB7606">
        <w:rPr>
          <w:sz w:val="24"/>
          <w:szCs w:val="24"/>
          <w:lang w:val="en-US"/>
        </w:rPr>
        <w:t xml:space="preserve"> </w:t>
      </w:r>
      <w:r>
        <w:rPr>
          <w:sz w:val="24"/>
          <w:szCs w:val="24"/>
          <w:lang w:val="en-US"/>
        </w:rPr>
        <w:t xml:space="preserve">the </w:t>
      </w:r>
      <w:r>
        <w:rPr>
          <w:i/>
          <w:iCs/>
          <w:sz w:val="24"/>
          <w:szCs w:val="24"/>
          <w:lang w:val="en-US"/>
        </w:rPr>
        <w:t>Flagillifera</w:t>
      </w:r>
      <w:r w:rsidR="00FB7606">
        <w:rPr>
          <w:sz w:val="24"/>
          <w:szCs w:val="24"/>
          <w:lang w:val="en-US"/>
        </w:rPr>
        <w:t xml:space="preserve"> akin to Hellenistic-</w:t>
      </w:r>
      <w:r>
        <w:rPr>
          <w:sz w:val="24"/>
          <w:szCs w:val="24"/>
          <w:lang w:val="en-US"/>
        </w:rPr>
        <w:t xml:space="preserve">age statues and reliefs </w:t>
      </w:r>
      <w:r w:rsidR="00FB7606">
        <w:rPr>
          <w:sz w:val="24"/>
          <w:szCs w:val="24"/>
          <w:lang w:val="en-US"/>
        </w:rPr>
        <w:t>showing</w:t>
      </w:r>
      <w:r>
        <w:rPr>
          <w:sz w:val="24"/>
          <w:szCs w:val="24"/>
          <w:lang w:val="en-US"/>
        </w:rPr>
        <w:t xml:space="preserve"> Venus</w:t>
      </w:r>
      <w:r w:rsidR="00FB7606">
        <w:rPr>
          <w:sz w:val="24"/>
          <w:szCs w:val="24"/>
          <w:lang w:val="en-US"/>
        </w:rPr>
        <w:t xml:space="preserve"> about</w:t>
      </w:r>
      <w:r>
        <w:rPr>
          <w:sz w:val="24"/>
          <w:szCs w:val="24"/>
          <w:lang w:val="en-US"/>
        </w:rPr>
        <w:t xml:space="preserve"> to beat the god of love with a sandal. The main textual </w:t>
      </w:r>
      <w:r w:rsidR="00FB7606">
        <w:rPr>
          <w:sz w:val="24"/>
          <w:szCs w:val="24"/>
          <w:lang w:val="en-US"/>
        </w:rPr>
        <w:t>inspiration</w:t>
      </w:r>
      <w:r>
        <w:rPr>
          <w:sz w:val="24"/>
          <w:szCs w:val="24"/>
          <w:lang w:val="en-US"/>
        </w:rPr>
        <w:t xml:space="preserve"> for Pyrgoteles</w:t>
      </w:r>
      <w:r w:rsidR="00697B24">
        <w:rPr>
          <w:sz w:val="24"/>
          <w:szCs w:val="24"/>
          <w:lang w:val="en-US"/>
        </w:rPr>
        <w:t>’s</w:t>
      </w:r>
      <w:r>
        <w:rPr>
          <w:sz w:val="24"/>
          <w:szCs w:val="24"/>
          <w:lang w:val="en-US"/>
        </w:rPr>
        <w:t xml:space="preserve"> creation </w:t>
      </w:r>
      <w:r w:rsidR="00FB7606">
        <w:rPr>
          <w:sz w:val="24"/>
          <w:szCs w:val="24"/>
          <w:lang w:val="en-US"/>
        </w:rPr>
        <w:t xml:space="preserve">was likely </w:t>
      </w:r>
      <w:r>
        <w:rPr>
          <w:sz w:val="24"/>
          <w:szCs w:val="24"/>
          <w:lang w:val="en-US"/>
        </w:rPr>
        <w:t>Ausonio</w:t>
      </w:r>
      <w:r w:rsidR="00697B24">
        <w:rPr>
          <w:sz w:val="24"/>
          <w:szCs w:val="24"/>
          <w:lang w:val="en-US"/>
        </w:rPr>
        <w:t>’</w:t>
      </w:r>
      <w:r>
        <w:rPr>
          <w:sz w:val="24"/>
          <w:szCs w:val="24"/>
          <w:lang w:val="en-US"/>
        </w:rPr>
        <w:t xml:space="preserve">s poem </w:t>
      </w:r>
      <w:r>
        <w:rPr>
          <w:i/>
          <w:iCs/>
          <w:sz w:val="24"/>
          <w:szCs w:val="24"/>
          <w:lang w:val="en-US"/>
        </w:rPr>
        <w:t>Cupido cruciatus</w:t>
      </w:r>
      <w:r>
        <w:rPr>
          <w:sz w:val="24"/>
          <w:szCs w:val="24"/>
          <w:lang w:val="en-US"/>
        </w:rPr>
        <w:t xml:space="preserve">, an ekphrasis in verse of a mural painting in which the goddess of beauty punishes the </w:t>
      </w:r>
      <w:r>
        <w:rPr>
          <w:i/>
          <w:iCs/>
          <w:sz w:val="24"/>
          <w:szCs w:val="24"/>
          <w:lang w:val="en-US"/>
        </w:rPr>
        <w:t>enfant terrible</w:t>
      </w:r>
      <w:r>
        <w:rPr>
          <w:sz w:val="24"/>
          <w:szCs w:val="24"/>
          <w:lang w:val="en-US"/>
        </w:rPr>
        <w:t xml:space="preserve"> of Olympus, striking him wit</w:t>
      </w:r>
      <w:r w:rsidR="00697B24">
        <w:rPr>
          <w:sz w:val="24"/>
          <w:szCs w:val="24"/>
          <w:lang w:val="en-US"/>
        </w:rPr>
        <w:t>h a wreath of intertwined roses</w:t>
      </w:r>
      <w:r>
        <w:rPr>
          <w:sz w:val="24"/>
          <w:szCs w:val="24"/>
          <w:lang w:val="en-US"/>
        </w:rPr>
        <w:t xml:space="preserve"> for the cruelty and tricks </w:t>
      </w:r>
      <w:r w:rsidR="00697B24">
        <w:rPr>
          <w:sz w:val="24"/>
          <w:szCs w:val="24"/>
          <w:lang w:val="en-US"/>
        </w:rPr>
        <w:t>to which</w:t>
      </w:r>
      <w:r>
        <w:rPr>
          <w:sz w:val="24"/>
          <w:szCs w:val="24"/>
          <w:lang w:val="en-US"/>
        </w:rPr>
        <w:t xml:space="preserve"> even she herself </w:t>
      </w:r>
      <w:r w:rsidR="00697B24">
        <w:rPr>
          <w:sz w:val="24"/>
          <w:szCs w:val="24"/>
          <w:lang w:val="en-US"/>
        </w:rPr>
        <w:t>has fallen victim</w:t>
      </w:r>
      <w:r>
        <w:rPr>
          <w:sz w:val="24"/>
          <w:szCs w:val="24"/>
          <w:lang w:val="en-US"/>
        </w:rPr>
        <w:t xml:space="preserve"> (lines 79–92). </w:t>
      </w:r>
    </w:p>
    <w:p w14:paraId="61446189" w14:textId="7B77BF82" w:rsidR="00E015F8" w:rsidRDefault="00E46BE8" w:rsidP="00175B20">
      <w:pPr>
        <w:rPr>
          <w:sz w:val="24"/>
          <w:szCs w:val="24"/>
        </w:rPr>
      </w:pPr>
      <w:r>
        <w:rPr>
          <w:sz w:val="24"/>
          <w:szCs w:val="24"/>
          <w:lang w:val="en-US"/>
        </w:rPr>
        <w:t xml:space="preserve">The </w:t>
      </w:r>
      <w:r>
        <w:rPr>
          <w:i/>
          <w:iCs/>
          <w:sz w:val="24"/>
          <w:szCs w:val="24"/>
          <w:lang w:val="en-US"/>
        </w:rPr>
        <w:t xml:space="preserve">Flagillifera </w:t>
      </w:r>
      <w:r w:rsidR="00FB7606">
        <w:rPr>
          <w:sz w:val="24"/>
          <w:szCs w:val="24"/>
          <w:lang w:val="en-US"/>
        </w:rPr>
        <w:t>might</w:t>
      </w:r>
      <w:r>
        <w:rPr>
          <w:sz w:val="24"/>
          <w:szCs w:val="24"/>
          <w:lang w:val="en-US"/>
        </w:rPr>
        <w:t xml:space="preserve"> be the subject of a </w:t>
      </w:r>
      <w:r w:rsidR="00FB7606">
        <w:rPr>
          <w:sz w:val="24"/>
          <w:szCs w:val="24"/>
          <w:lang w:val="en-US"/>
        </w:rPr>
        <w:t>pair</w:t>
      </w:r>
      <w:r>
        <w:rPr>
          <w:sz w:val="24"/>
          <w:szCs w:val="24"/>
          <w:lang w:val="en-US"/>
        </w:rPr>
        <w:t xml:space="preserve"> of encomiastic references in the erotic antiquarian tale </w:t>
      </w:r>
      <w:r>
        <w:rPr>
          <w:i/>
          <w:iCs/>
          <w:sz w:val="24"/>
          <w:szCs w:val="24"/>
          <w:lang w:val="en-US"/>
        </w:rPr>
        <w:t xml:space="preserve">Hypnerotomachia Poliphili </w:t>
      </w:r>
      <w:r>
        <w:rPr>
          <w:sz w:val="24"/>
          <w:szCs w:val="24"/>
          <w:lang w:val="en-US"/>
        </w:rPr>
        <w:t xml:space="preserve">(1499), and Pomponio Gaurico mentions it in the chapter on famous sculptors of </w:t>
      </w:r>
      <w:r>
        <w:rPr>
          <w:i/>
          <w:iCs/>
          <w:sz w:val="24"/>
          <w:szCs w:val="24"/>
          <w:lang w:val="en-US"/>
        </w:rPr>
        <w:t>De Sculptura</w:t>
      </w:r>
      <w:r w:rsidR="00FB7606">
        <w:rPr>
          <w:sz w:val="24"/>
          <w:szCs w:val="24"/>
          <w:lang w:val="en-US"/>
        </w:rPr>
        <w:t xml:space="preserve"> (1504)</w:t>
      </w:r>
      <w:r>
        <w:rPr>
          <w:sz w:val="24"/>
          <w:szCs w:val="24"/>
          <w:lang w:val="en-US"/>
        </w:rPr>
        <w:t xml:space="preserve"> as a work that brought fame to its creator. However, the earliest known mention of the sculpture </w:t>
      </w:r>
      <w:r w:rsidR="00FB7606">
        <w:rPr>
          <w:sz w:val="24"/>
          <w:szCs w:val="24"/>
          <w:lang w:val="en-US"/>
        </w:rPr>
        <w:t>is</w:t>
      </w:r>
      <w:r>
        <w:rPr>
          <w:sz w:val="24"/>
          <w:szCs w:val="24"/>
          <w:lang w:val="en-US"/>
        </w:rPr>
        <w:t xml:space="preserve"> from a poem in elegiac couplets by the Ferrarese humanist Battista Guarini, first printed in Modena in 1496 as part of his collection of Latin verse, </w:t>
      </w:r>
      <w:r>
        <w:rPr>
          <w:i/>
          <w:iCs/>
          <w:sz w:val="24"/>
          <w:szCs w:val="24"/>
          <w:lang w:val="en-US"/>
        </w:rPr>
        <w:t>Poema divo Herculi Ferrariensium duci dicatum. Bucolicum carmen.</w:t>
      </w:r>
      <w:r>
        <w:rPr>
          <w:rStyle w:val="FootnoteReference"/>
          <w:sz w:val="24"/>
          <w:szCs w:val="24"/>
        </w:rPr>
        <w:footnoteReference w:id="6"/>
      </w:r>
      <w:r>
        <w:rPr>
          <w:sz w:val="24"/>
          <w:szCs w:val="24"/>
          <w:lang w:val="en-US"/>
        </w:rPr>
        <w:t xml:space="preserve"> In the epigram, entitled </w:t>
      </w:r>
      <w:r>
        <w:rPr>
          <w:i/>
          <w:iCs/>
          <w:sz w:val="24"/>
          <w:szCs w:val="24"/>
          <w:lang w:val="en-US"/>
        </w:rPr>
        <w:t>Signum Veneris Cupidinem verberantis</w:t>
      </w:r>
      <w:r>
        <w:rPr>
          <w:sz w:val="24"/>
          <w:szCs w:val="24"/>
          <w:lang w:val="en-US"/>
        </w:rPr>
        <w:t xml:space="preserve">, the voice of the </w:t>
      </w:r>
      <w:r w:rsidR="00FB7606">
        <w:rPr>
          <w:sz w:val="24"/>
          <w:szCs w:val="24"/>
          <w:lang w:val="en-US"/>
        </w:rPr>
        <w:t>viewer</w:t>
      </w:r>
      <w:r>
        <w:rPr>
          <w:sz w:val="24"/>
          <w:szCs w:val="24"/>
          <w:lang w:val="en-US"/>
        </w:rPr>
        <w:t>-poet raise</w:t>
      </w:r>
      <w:r w:rsidR="00697B24">
        <w:rPr>
          <w:sz w:val="24"/>
          <w:szCs w:val="24"/>
          <w:lang w:val="en-US"/>
        </w:rPr>
        <w:t>s</w:t>
      </w:r>
      <w:r>
        <w:rPr>
          <w:sz w:val="24"/>
          <w:szCs w:val="24"/>
          <w:lang w:val="en-US"/>
        </w:rPr>
        <w:t xml:space="preserve"> a series of questions as to why Venus </w:t>
      </w:r>
      <w:r w:rsidR="00697B24">
        <w:rPr>
          <w:sz w:val="24"/>
          <w:szCs w:val="24"/>
          <w:lang w:val="en-US"/>
        </w:rPr>
        <w:t>would want</w:t>
      </w:r>
      <w:r>
        <w:rPr>
          <w:sz w:val="24"/>
          <w:szCs w:val="24"/>
          <w:lang w:val="en-US"/>
        </w:rPr>
        <w:t xml:space="preserve"> to whip the naked body of little Cupid. Without reaching a </w:t>
      </w:r>
      <w:r>
        <w:rPr>
          <w:sz w:val="24"/>
          <w:szCs w:val="24"/>
          <w:lang w:val="en-US"/>
        </w:rPr>
        <w:lastRenderedPageBreak/>
        <w:t>definitive answer, the author suggest</w:t>
      </w:r>
      <w:r w:rsidR="00697B24">
        <w:rPr>
          <w:sz w:val="24"/>
          <w:szCs w:val="24"/>
          <w:lang w:val="en-US"/>
        </w:rPr>
        <w:t>s</w:t>
      </w:r>
      <w:r>
        <w:rPr>
          <w:sz w:val="24"/>
          <w:szCs w:val="24"/>
          <w:lang w:val="en-US"/>
        </w:rPr>
        <w:t xml:space="preserve"> various possible explanations </w:t>
      </w:r>
      <w:r w:rsidR="00697B24">
        <w:rPr>
          <w:sz w:val="24"/>
          <w:szCs w:val="24"/>
          <w:lang w:val="en-US"/>
        </w:rPr>
        <w:t>for</w:t>
      </w:r>
      <w:r>
        <w:rPr>
          <w:sz w:val="24"/>
          <w:szCs w:val="24"/>
          <w:lang w:val="en-US"/>
        </w:rPr>
        <w:t xml:space="preserve"> the statue</w:t>
      </w:r>
      <w:r w:rsidR="00697B24">
        <w:rPr>
          <w:sz w:val="24"/>
          <w:szCs w:val="24"/>
          <w:lang w:val="en-US"/>
        </w:rPr>
        <w:t>’</w:t>
      </w:r>
      <w:r>
        <w:rPr>
          <w:sz w:val="24"/>
          <w:szCs w:val="24"/>
          <w:lang w:val="en-US"/>
        </w:rPr>
        <w:t>s iconography. He hypothesize</w:t>
      </w:r>
      <w:r w:rsidR="00697B24">
        <w:rPr>
          <w:sz w:val="24"/>
          <w:szCs w:val="24"/>
          <w:lang w:val="en-US"/>
        </w:rPr>
        <w:t>s</w:t>
      </w:r>
      <w:r w:rsidR="00FB7606">
        <w:rPr>
          <w:sz w:val="24"/>
          <w:szCs w:val="24"/>
          <w:lang w:val="en-US"/>
        </w:rPr>
        <w:t>,</w:t>
      </w:r>
      <w:r>
        <w:rPr>
          <w:sz w:val="24"/>
          <w:szCs w:val="24"/>
          <w:lang w:val="en-US"/>
        </w:rPr>
        <w:t xml:space="preserve"> for example</w:t>
      </w:r>
      <w:r w:rsidR="00FB7606">
        <w:rPr>
          <w:sz w:val="24"/>
          <w:szCs w:val="24"/>
          <w:lang w:val="en-US"/>
        </w:rPr>
        <w:t>,</w:t>
      </w:r>
      <w:r>
        <w:rPr>
          <w:sz w:val="24"/>
          <w:szCs w:val="24"/>
          <w:lang w:val="en-US"/>
        </w:rPr>
        <w:t xml:space="preserve"> that the goddess want</w:t>
      </w:r>
      <w:r w:rsidR="00697B24">
        <w:rPr>
          <w:sz w:val="24"/>
          <w:szCs w:val="24"/>
          <w:lang w:val="en-US"/>
        </w:rPr>
        <w:t>s</w:t>
      </w:r>
      <w:r>
        <w:rPr>
          <w:sz w:val="24"/>
          <w:szCs w:val="24"/>
          <w:lang w:val="en-US"/>
        </w:rPr>
        <w:t xml:space="preserve"> to punish her son for having played </w:t>
      </w:r>
      <w:r w:rsidR="00175B20">
        <w:rPr>
          <w:sz w:val="24"/>
          <w:szCs w:val="24"/>
          <w:lang w:val="en-US"/>
        </w:rPr>
        <w:t>some</w:t>
      </w:r>
      <w:r>
        <w:rPr>
          <w:sz w:val="24"/>
          <w:szCs w:val="24"/>
          <w:lang w:val="en-US"/>
        </w:rPr>
        <w:t xml:space="preserve"> role in having her and her lover Mars caught in the act and captured in her jealous husband Vulcan</w:t>
      </w:r>
      <w:r w:rsidR="00175B20">
        <w:rPr>
          <w:sz w:val="24"/>
          <w:szCs w:val="24"/>
          <w:lang w:val="en-US"/>
        </w:rPr>
        <w:t>’</w:t>
      </w:r>
      <w:r>
        <w:rPr>
          <w:sz w:val="24"/>
          <w:szCs w:val="24"/>
          <w:lang w:val="en-US"/>
        </w:rPr>
        <w:t>s net,</w:t>
      </w:r>
      <w:r>
        <w:rPr>
          <w:rStyle w:val="FootnoteReference"/>
          <w:sz w:val="24"/>
          <w:szCs w:val="24"/>
        </w:rPr>
        <w:footnoteReference w:id="7"/>
      </w:r>
      <w:r w:rsidR="00FB7606">
        <w:rPr>
          <w:sz w:val="24"/>
          <w:szCs w:val="24"/>
          <w:lang w:val="en-US"/>
        </w:rPr>
        <w:t xml:space="preserve"> </w:t>
      </w:r>
      <w:r>
        <w:rPr>
          <w:sz w:val="24"/>
          <w:szCs w:val="24"/>
          <w:lang w:val="en-US"/>
        </w:rPr>
        <w:t>or</w:t>
      </w:r>
      <w:r w:rsidR="00175B20">
        <w:rPr>
          <w:sz w:val="24"/>
          <w:szCs w:val="24"/>
          <w:lang w:val="en-US"/>
        </w:rPr>
        <w:t xml:space="preserve"> alternatively,</w:t>
      </w:r>
      <w:r>
        <w:rPr>
          <w:sz w:val="24"/>
          <w:szCs w:val="24"/>
          <w:lang w:val="en-US"/>
        </w:rPr>
        <w:t xml:space="preserve"> that she </w:t>
      </w:r>
      <w:r w:rsidR="00175B20">
        <w:rPr>
          <w:sz w:val="24"/>
          <w:szCs w:val="24"/>
          <w:lang w:val="en-US"/>
        </w:rPr>
        <w:t>is</w:t>
      </w:r>
      <w:r>
        <w:rPr>
          <w:sz w:val="24"/>
          <w:szCs w:val="24"/>
          <w:lang w:val="en-US"/>
        </w:rPr>
        <w:t xml:space="preserve"> trying to prove how a whipping </w:t>
      </w:r>
      <w:r w:rsidR="00FB7606">
        <w:rPr>
          <w:sz w:val="24"/>
          <w:szCs w:val="24"/>
          <w:lang w:val="en-US"/>
        </w:rPr>
        <w:t xml:space="preserve">could alleviate </w:t>
      </w:r>
      <w:r>
        <w:rPr>
          <w:sz w:val="24"/>
          <w:szCs w:val="24"/>
          <w:lang w:val="en-US"/>
        </w:rPr>
        <w:t xml:space="preserve">heartache. Whatever the </w:t>
      </w:r>
      <w:r w:rsidR="00FB7606">
        <w:rPr>
          <w:sz w:val="24"/>
          <w:szCs w:val="24"/>
          <w:lang w:val="en-US"/>
        </w:rPr>
        <w:t>rationale</w:t>
      </w:r>
      <w:r>
        <w:rPr>
          <w:sz w:val="24"/>
          <w:szCs w:val="24"/>
          <w:lang w:val="en-US"/>
        </w:rPr>
        <w:t xml:space="preserve"> for the subject matter, the author add</w:t>
      </w:r>
      <w:r w:rsidR="00175B20">
        <w:rPr>
          <w:sz w:val="24"/>
          <w:szCs w:val="24"/>
          <w:lang w:val="en-US"/>
        </w:rPr>
        <w:t>s</w:t>
      </w:r>
      <w:r>
        <w:rPr>
          <w:sz w:val="24"/>
          <w:szCs w:val="24"/>
          <w:lang w:val="en-US"/>
        </w:rPr>
        <w:t xml:space="preserve"> that he fear</w:t>
      </w:r>
      <w:r w:rsidR="00175B20">
        <w:rPr>
          <w:sz w:val="24"/>
          <w:szCs w:val="24"/>
          <w:lang w:val="en-US"/>
        </w:rPr>
        <w:t>s</w:t>
      </w:r>
      <w:r>
        <w:rPr>
          <w:sz w:val="24"/>
          <w:szCs w:val="24"/>
          <w:lang w:val="en-US"/>
        </w:rPr>
        <w:t xml:space="preserve"> the wrath of Venus</w:t>
      </w:r>
      <w:r w:rsidR="00FB7606">
        <w:rPr>
          <w:sz w:val="24"/>
          <w:szCs w:val="24"/>
          <w:lang w:val="en-US"/>
        </w:rPr>
        <w:t>,</w:t>
      </w:r>
      <w:r>
        <w:rPr>
          <w:sz w:val="24"/>
          <w:szCs w:val="24"/>
          <w:lang w:val="en-US"/>
        </w:rPr>
        <w:t xml:space="preserve"> and still burn</w:t>
      </w:r>
      <w:r w:rsidR="00175B20">
        <w:rPr>
          <w:sz w:val="24"/>
          <w:szCs w:val="24"/>
          <w:lang w:val="en-US"/>
        </w:rPr>
        <w:t>s</w:t>
      </w:r>
      <w:r>
        <w:rPr>
          <w:sz w:val="24"/>
          <w:szCs w:val="24"/>
          <w:lang w:val="en-US"/>
        </w:rPr>
        <w:t xml:space="preserve"> with the love </w:t>
      </w:r>
      <w:r w:rsidR="00175B20">
        <w:rPr>
          <w:sz w:val="24"/>
          <w:szCs w:val="24"/>
          <w:lang w:val="en-US"/>
        </w:rPr>
        <w:t xml:space="preserve">unleashed by Cupid, </w:t>
      </w:r>
      <w:r>
        <w:rPr>
          <w:sz w:val="24"/>
          <w:szCs w:val="24"/>
          <w:lang w:val="en-US"/>
        </w:rPr>
        <w:t>despite the blows inflicted upon him. H</w:t>
      </w:r>
      <w:r w:rsidR="00FB7606">
        <w:rPr>
          <w:sz w:val="24"/>
          <w:szCs w:val="24"/>
          <w:lang w:val="en-US"/>
        </w:rPr>
        <w:t>e end</w:t>
      </w:r>
      <w:r w:rsidR="00175B20">
        <w:rPr>
          <w:sz w:val="24"/>
          <w:szCs w:val="24"/>
          <w:lang w:val="en-US"/>
        </w:rPr>
        <w:t>s</w:t>
      </w:r>
      <w:r w:rsidR="00FB7606">
        <w:rPr>
          <w:sz w:val="24"/>
          <w:szCs w:val="24"/>
          <w:lang w:val="en-US"/>
        </w:rPr>
        <w:t xml:space="preserve"> the </w:t>
      </w:r>
      <w:r>
        <w:rPr>
          <w:sz w:val="24"/>
          <w:szCs w:val="24"/>
          <w:lang w:val="en-US"/>
        </w:rPr>
        <w:t>poem canonically with praise for the modern artist</w:t>
      </w:r>
      <w:r w:rsidR="00FB7606">
        <w:rPr>
          <w:sz w:val="24"/>
          <w:szCs w:val="24"/>
          <w:lang w:val="en-US"/>
        </w:rPr>
        <w:t xml:space="preserve">, superior </w:t>
      </w:r>
      <w:r>
        <w:rPr>
          <w:sz w:val="24"/>
          <w:szCs w:val="24"/>
          <w:lang w:val="en-US"/>
        </w:rPr>
        <w:t xml:space="preserve">to the ancients, in lines that </w:t>
      </w:r>
      <w:r w:rsidR="00175B20">
        <w:rPr>
          <w:sz w:val="24"/>
          <w:szCs w:val="24"/>
          <w:lang w:val="en-US"/>
        </w:rPr>
        <w:t>describe</w:t>
      </w:r>
      <w:r>
        <w:rPr>
          <w:sz w:val="24"/>
          <w:szCs w:val="24"/>
          <w:lang w:val="en-US"/>
        </w:rPr>
        <w:t xml:space="preserve"> Pyrgoteles</w:t>
      </w:r>
      <w:r w:rsidR="00175B20">
        <w:rPr>
          <w:sz w:val="24"/>
          <w:szCs w:val="24"/>
          <w:lang w:val="en-US"/>
        </w:rPr>
        <w:t>’s</w:t>
      </w:r>
      <w:r>
        <w:rPr>
          <w:sz w:val="24"/>
          <w:szCs w:val="24"/>
          <w:lang w:val="en-US"/>
        </w:rPr>
        <w:t xml:space="preserve"> work as better than both the </w:t>
      </w:r>
      <w:r>
        <w:rPr>
          <w:i/>
          <w:iCs/>
          <w:sz w:val="24"/>
          <w:szCs w:val="24"/>
          <w:lang w:val="en-US"/>
        </w:rPr>
        <w:t xml:space="preserve">Aphrodite Anadyomene </w:t>
      </w:r>
      <w:r>
        <w:rPr>
          <w:sz w:val="24"/>
          <w:szCs w:val="24"/>
          <w:lang w:val="en-US"/>
        </w:rPr>
        <w:t xml:space="preserve">painted by Apelles and the </w:t>
      </w:r>
      <w:r>
        <w:rPr>
          <w:i/>
          <w:iCs/>
          <w:sz w:val="24"/>
          <w:szCs w:val="24"/>
          <w:lang w:val="en-US"/>
        </w:rPr>
        <w:t xml:space="preserve">Aphrodite of Knidos </w:t>
      </w:r>
      <w:r>
        <w:rPr>
          <w:sz w:val="24"/>
          <w:szCs w:val="24"/>
          <w:lang w:val="en-US"/>
        </w:rPr>
        <w:t xml:space="preserve">sculpted by Praxiteles. </w:t>
      </w:r>
    </w:p>
    <w:p w14:paraId="5A2623EB" w14:textId="342F091C" w:rsidR="003E6E32" w:rsidRDefault="00E46BE8" w:rsidP="00175B20">
      <w:pPr>
        <w:rPr>
          <w:sz w:val="24"/>
          <w:szCs w:val="24"/>
        </w:rPr>
      </w:pPr>
      <w:r>
        <w:rPr>
          <w:sz w:val="24"/>
          <w:szCs w:val="24"/>
          <w:lang w:val="en-US"/>
        </w:rPr>
        <w:t xml:space="preserve">The </w:t>
      </w:r>
      <w:r w:rsidR="0074789C">
        <w:rPr>
          <w:sz w:val="24"/>
          <w:szCs w:val="24"/>
          <w:lang w:val="en-US"/>
        </w:rPr>
        <w:t>format</w:t>
      </w:r>
      <w:r>
        <w:rPr>
          <w:sz w:val="24"/>
          <w:szCs w:val="24"/>
          <w:lang w:val="en-US"/>
        </w:rPr>
        <w:t xml:space="preserve"> of </w:t>
      </w:r>
      <w:r w:rsidR="00F772AF">
        <w:rPr>
          <w:sz w:val="24"/>
          <w:szCs w:val="24"/>
          <w:lang w:val="en-US"/>
        </w:rPr>
        <w:t xml:space="preserve">a series of </w:t>
      </w:r>
      <w:r>
        <w:rPr>
          <w:sz w:val="24"/>
          <w:szCs w:val="24"/>
          <w:lang w:val="en-US"/>
        </w:rPr>
        <w:t xml:space="preserve">questions </w:t>
      </w:r>
      <w:r w:rsidR="00175B20">
        <w:rPr>
          <w:sz w:val="24"/>
          <w:szCs w:val="24"/>
          <w:lang w:val="en-US"/>
        </w:rPr>
        <w:t>arising</w:t>
      </w:r>
      <w:r>
        <w:rPr>
          <w:sz w:val="24"/>
          <w:szCs w:val="24"/>
          <w:lang w:val="en-US"/>
        </w:rPr>
        <w:t xml:space="preserve"> in </w:t>
      </w:r>
      <w:r w:rsidR="00175B20">
        <w:rPr>
          <w:sz w:val="24"/>
          <w:szCs w:val="24"/>
          <w:lang w:val="en-US"/>
        </w:rPr>
        <w:t>the</w:t>
      </w:r>
      <w:r>
        <w:rPr>
          <w:sz w:val="24"/>
          <w:szCs w:val="24"/>
          <w:lang w:val="en-US"/>
        </w:rPr>
        <w:t xml:space="preserve"> </w:t>
      </w:r>
      <w:r w:rsidR="00FB7606">
        <w:rPr>
          <w:sz w:val="24"/>
          <w:szCs w:val="24"/>
          <w:lang w:val="en-US"/>
        </w:rPr>
        <w:t>viewer</w:t>
      </w:r>
      <w:r w:rsidR="00175B20">
        <w:rPr>
          <w:sz w:val="24"/>
          <w:szCs w:val="24"/>
          <w:lang w:val="en-US"/>
        </w:rPr>
        <w:t>’</w:t>
      </w:r>
      <w:r>
        <w:rPr>
          <w:sz w:val="24"/>
          <w:szCs w:val="24"/>
          <w:lang w:val="en-US"/>
        </w:rPr>
        <w:t xml:space="preserve">s mind </w:t>
      </w:r>
      <w:r w:rsidR="00175B20">
        <w:rPr>
          <w:sz w:val="24"/>
          <w:szCs w:val="24"/>
          <w:lang w:val="en-US"/>
        </w:rPr>
        <w:t>while</w:t>
      </w:r>
      <w:r>
        <w:rPr>
          <w:sz w:val="24"/>
          <w:szCs w:val="24"/>
          <w:lang w:val="en-US"/>
        </w:rPr>
        <w:t xml:space="preserve"> viewing an artwork of unusual iconography, which underlies Battista Guarini</w:t>
      </w:r>
      <w:r w:rsidR="00175B20">
        <w:rPr>
          <w:sz w:val="24"/>
          <w:szCs w:val="24"/>
          <w:lang w:val="en-US"/>
        </w:rPr>
        <w:t>’</w:t>
      </w:r>
      <w:r>
        <w:rPr>
          <w:sz w:val="24"/>
          <w:szCs w:val="24"/>
          <w:lang w:val="en-US"/>
        </w:rPr>
        <w:t xml:space="preserve">s poem and is rooted in </w:t>
      </w:r>
      <w:r w:rsidR="00175B20">
        <w:rPr>
          <w:sz w:val="24"/>
          <w:szCs w:val="24"/>
          <w:lang w:val="en-US"/>
        </w:rPr>
        <w:t>the</w:t>
      </w:r>
      <w:r>
        <w:rPr>
          <w:sz w:val="24"/>
          <w:szCs w:val="24"/>
          <w:lang w:val="en-US"/>
        </w:rPr>
        <w:t xml:space="preserve"> ancient Greek epigrams of the </w:t>
      </w:r>
      <w:r>
        <w:rPr>
          <w:i/>
          <w:iCs/>
          <w:sz w:val="24"/>
          <w:szCs w:val="24"/>
          <w:lang w:val="en-US"/>
        </w:rPr>
        <w:t>Planudean Anthology</w:t>
      </w:r>
      <w:r w:rsidR="00FB7606">
        <w:rPr>
          <w:i/>
          <w:iCs/>
          <w:sz w:val="24"/>
          <w:szCs w:val="24"/>
          <w:lang w:val="en-US"/>
        </w:rPr>
        <w:t>,</w:t>
      </w:r>
      <w:r>
        <w:rPr>
          <w:rStyle w:val="FootnoteReference"/>
          <w:sz w:val="24"/>
          <w:szCs w:val="24"/>
        </w:rPr>
        <w:footnoteReference w:id="8"/>
      </w:r>
      <w:r>
        <w:rPr>
          <w:i/>
          <w:iCs/>
          <w:sz w:val="24"/>
          <w:szCs w:val="24"/>
          <w:lang w:val="en-US"/>
        </w:rPr>
        <w:t xml:space="preserve"> </w:t>
      </w:r>
      <w:r>
        <w:rPr>
          <w:sz w:val="24"/>
          <w:szCs w:val="24"/>
          <w:lang w:val="en-US"/>
        </w:rPr>
        <w:t xml:space="preserve">also </w:t>
      </w:r>
      <w:r w:rsidR="00F772AF">
        <w:rPr>
          <w:sz w:val="24"/>
          <w:szCs w:val="24"/>
          <w:lang w:val="en-US"/>
        </w:rPr>
        <w:t xml:space="preserve">characterizes </w:t>
      </w:r>
      <w:r>
        <w:rPr>
          <w:sz w:val="24"/>
          <w:szCs w:val="24"/>
          <w:lang w:val="en-US"/>
        </w:rPr>
        <w:t xml:space="preserve">an unpublished Latin poem that Antonio Tebaldeo dedicated to the </w:t>
      </w:r>
      <w:r>
        <w:rPr>
          <w:i/>
          <w:iCs/>
          <w:sz w:val="24"/>
          <w:szCs w:val="24"/>
          <w:lang w:val="en-US"/>
        </w:rPr>
        <w:t>Venere Flagillifera.</w:t>
      </w:r>
      <w:r>
        <w:rPr>
          <w:sz w:val="24"/>
          <w:szCs w:val="24"/>
          <w:lang w:val="en-US"/>
        </w:rPr>
        <w:t xml:space="preserve"> We find </w:t>
      </w:r>
      <w:r w:rsidR="00F772AF">
        <w:rPr>
          <w:sz w:val="24"/>
          <w:szCs w:val="24"/>
          <w:lang w:val="en-US"/>
        </w:rPr>
        <w:t>the poem</w:t>
      </w:r>
      <w:r>
        <w:rPr>
          <w:sz w:val="24"/>
          <w:szCs w:val="24"/>
          <w:lang w:val="en-US"/>
        </w:rPr>
        <w:t xml:space="preserve"> in a section containing works by Guarini in one of Angelo Colocci's </w:t>
      </w:r>
      <w:r>
        <w:rPr>
          <w:i/>
          <w:iCs/>
          <w:sz w:val="24"/>
          <w:szCs w:val="24"/>
          <w:lang w:val="en-US"/>
        </w:rPr>
        <w:t>Epigrammatari</w:t>
      </w:r>
      <w:r>
        <w:rPr>
          <w:sz w:val="24"/>
          <w:szCs w:val="24"/>
          <w:lang w:val="en-US"/>
        </w:rPr>
        <w:t>, that is, one of the monumental manuscript collections of ancient and modern verse that this central figure of Roman cultural life in the early Cinquecento assemble</w:t>
      </w:r>
      <w:r w:rsidR="00175B20">
        <w:rPr>
          <w:sz w:val="24"/>
          <w:szCs w:val="24"/>
          <w:lang w:val="en-US"/>
        </w:rPr>
        <w:t>d</w:t>
      </w:r>
      <w:r>
        <w:rPr>
          <w:sz w:val="24"/>
          <w:szCs w:val="24"/>
          <w:lang w:val="en-US"/>
        </w:rPr>
        <w:t xml:space="preserve"> in the 1530s as a sort of all-time </w:t>
      </w:r>
      <w:r w:rsidR="00175B20">
        <w:rPr>
          <w:sz w:val="24"/>
          <w:szCs w:val="24"/>
          <w:lang w:val="en-US"/>
        </w:rPr>
        <w:t>“greatest hits” of Latin epigrammatic poetry:</w:t>
      </w:r>
      <w:r>
        <w:rPr>
          <w:rStyle w:val="FootnoteReference"/>
          <w:sz w:val="24"/>
          <w:szCs w:val="24"/>
        </w:rPr>
        <w:footnoteReference w:id="9"/>
      </w:r>
      <w:r>
        <w:rPr>
          <w:sz w:val="24"/>
          <w:szCs w:val="24"/>
          <w:lang w:val="en-US"/>
        </w:rPr>
        <w:t xml:space="preserve"> </w:t>
      </w:r>
    </w:p>
    <w:p w14:paraId="0A788075" w14:textId="343C1BB5" w:rsidR="000271D4" w:rsidRPr="00175B20" w:rsidRDefault="00E46BE8" w:rsidP="005567B7">
      <w:pPr>
        <w:spacing w:line="360" w:lineRule="auto"/>
        <w:ind w:left="708" w:firstLine="0"/>
        <w:rPr>
          <w:rFonts w:eastAsia="Times New Roman"/>
          <w:color w:val="000000"/>
          <w:sz w:val="24"/>
          <w:szCs w:val="24"/>
          <w:lang w:val="fr-FR" w:eastAsia="it-IT"/>
        </w:rPr>
      </w:pPr>
      <w:r w:rsidRPr="00175B20">
        <w:rPr>
          <w:rFonts w:eastAsia="Times New Roman"/>
          <w:color w:val="000000"/>
          <w:sz w:val="24"/>
          <w:szCs w:val="24"/>
          <w:lang w:val="fr-FR" w:eastAsia="it-IT"/>
        </w:rPr>
        <w:t xml:space="preserve">“Quae cedit Venus est, </w:t>
      </w:r>
      <w:sdt>
        <w:sdtPr>
          <w:rPr>
            <w:rFonts w:eastAsia="Times New Roman"/>
            <w:color w:val="00000A"/>
            <w:sz w:val="24"/>
            <w:szCs w:val="24"/>
            <w:lang w:eastAsia="it-IT"/>
          </w:rPr>
          <w:tag w:val="goog_rdk_39"/>
          <w:id w:val="1699271515"/>
        </w:sdtPr>
        <w:sdtEndPr/>
        <w:sdtContent/>
      </w:sdt>
      <w:r w:rsidRPr="00175B20">
        <w:rPr>
          <w:rFonts w:eastAsia="Times New Roman"/>
          <w:color w:val="000000"/>
          <w:sz w:val="24"/>
          <w:szCs w:val="24"/>
          <w:lang w:val="fr-FR" w:eastAsia="it-IT"/>
        </w:rPr>
        <w:t>Amor est qui vapulat, auctor</w:t>
      </w:r>
    </w:p>
    <w:p w14:paraId="4BE4BCCE" w14:textId="181827B5" w:rsidR="000271D4" w:rsidRPr="00175B20" w:rsidRDefault="00E46BE8" w:rsidP="005567B7">
      <w:pPr>
        <w:spacing w:line="360" w:lineRule="auto"/>
        <w:ind w:left="708" w:firstLine="0"/>
        <w:rPr>
          <w:rFonts w:eastAsia="Times New Roman"/>
          <w:color w:val="000000"/>
          <w:sz w:val="24"/>
          <w:szCs w:val="24"/>
          <w:lang w:val="es-CO" w:eastAsia="it-IT"/>
        </w:rPr>
      </w:pPr>
      <w:r w:rsidRPr="00175B20">
        <w:rPr>
          <w:rFonts w:eastAsia="Times New Roman"/>
          <w:color w:val="00000A"/>
          <w:sz w:val="24"/>
          <w:szCs w:val="24"/>
          <w:lang w:val="fr-FR" w:eastAsia="it-IT"/>
        </w:rPr>
        <w:t xml:space="preserve">  </w:t>
      </w:r>
      <w:r w:rsidRPr="00175B20">
        <w:rPr>
          <w:rFonts w:eastAsia="Times New Roman"/>
          <w:color w:val="000000"/>
          <w:sz w:val="24"/>
          <w:szCs w:val="24"/>
          <w:lang w:val="es-CO" w:eastAsia="it-IT"/>
        </w:rPr>
        <w:t xml:space="preserve">Pirgoteles; causam si petis, ira fuit: </w:t>
      </w:r>
    </w:p>
    <w:p w14:paraId="212BFC6F" w14:textId="77777777" w:rsidR="000271D4" w:rsidRPr="00175B20" w:rsidRDefault="00E46BE8" w:rsidP="005567B7">
      <w:pPr>
        <w:spacing w:line="360" w:lineRule="auto"/>
        <w:ind w:left="708" w:firstLine="0"/>
        <w:rPr>
          <w:rFonts w:eastAsia="Times New Roman"/>
          <w:color w:val="000000"/>
          <w:sz w:val="24"/>
          <w:szCs w:val="24"/>
          <w:lang w:val="es-CO" w:eastAsia="it-IT"/>
        </w:rPr>
      </w:pPr>
      <w:r w:rsidRPr="00175B20">
        <w:rPr>
          <w:rFonts w:eastAsia="Times New Roman"/>
          <w:color w:val="000000"/>
          <w:sz w:val="24"/>
          <w:szCs w:val="24"/>
          <w:lang w:val="es-CO" w:eastAsia="it-IT"/>
        </w:rPr>
        <w:t>Sculptor enim, inmerito vexatus Amore (videret</w:t>
      </w:r>
    </w:p>
    <w:p w14:paraId="2F8000BF" w14:textId="3B3C281F" w:rsidR="000271D4" w:rsidRPr="00175B20" w:rsidRDefault="00E46BE8" w:rsidP="005567B7">
      <w:pPr>
        <w:spacing w:line="360" w:lineRule="auto"/>
        <w:ind w:left="708" w:firstLine="0"/>
        <w:rPr>
          <w:rFonts w:eastAsia="Times New Roman"/>
          <w:color w:val="000000"/>
          <w:sz w:val="24"/>
          <w:szCs w:val="24"/>
          <w:lang w:eastAsia="it-IT"/>
        </w:rPr>
      </w:pPr>
      <w:r w:rsidRPr="00175B20">
        <w:rPr>
          <w:rFonts w:eastAsia="Times New Roman"/>
          <w:color w:val="000000"/>
          <w:sz w:val="24"/>
          <w:szCs w:val="24"/>
          <w:lang w:val="es-CO" w:eastAsia="it-IT"/>
        </w:rPr>
        <w:t xml:space="preserve">  </w:t>
      </w:r>
      <w:r w:rsidRPr="00175B20">
        <w:rPr>
          <w:rFonts w:eastAsia="Times New Roman"/>
          <w:color w:val="000000"/>
          <w:sz w:val="24"/>
          <w:szCs w:val="24"/>
          <w:lang w:val="fr-FR" w:eastAsia="it-IT"/>
        </w:rPr>
        <w:t>Dum se non illi viribus esse parem)</w:t>
      </w:r>
    </w:p>
    <w:p w14:paraId="5CA971BB" w14:textId="77777777" w:rsidR="000271D4" w:rsidRPr="00175B20" w:rsidRDefault="00E46BE8" w:rsidP="005567B7">
      <w:pPr>
        <w:spacing w:line="360" w:lineRule="auto"/>
        <w:ind w:left="708" w:firstLine="0"/>
        <w:rPr>
          <w:rFonts w:eastAsia="Times New Roman"/>
          <w:color w:val="000000"/>
          <w:sz w:val="24"/>
          <w:szCs w:val="24"/>
          <w:lang w:eastAsia="it-IT"/>
        </w:rPr>
      </w:pPr>
      <w:r w:rsidRPr="00175B20">
        <w:rPr>
          <w:rFonts w:eastAsia="Times New Roman"/>
          <w:color w:val="000000"/>
          <w:sz w:val="24"/>
          <w:szCs w:val="24"/>
          <w:lang w:val="fr-FR" w:eastAsia="it-IT"/>
        </w:rPr>
        <w:lastRenderedPageBreak/>
        <w:t>Opprobrium hoc finxit, puero quod convenit, et quod</w:t>
      </w:r>
    </w:p>
    <w:p w14:paraId="6B7D04AC" w14:textId="6C936813" w:rsidR="000271D4" w:rsidRPr="00175B20" w:rsidRDefault="00E46BE8" w:rsidP="005567B7">
      <w:pPr>
        <w:spacing w:line="360" w:lineRule="auto"/>
        <w:ind w:left="708" w:firstLine="0"/>
        <w:rPr>
          <w:rFonts w:eastAsia="Times New Roman"/>
          <w:color w:val="000000"/>
          <w:sz w:val="24"/>
          <w:szCs w:val="24"/>
          <w:lang w:eastAsia="it-IT"/>
        </w:rPr>
      </w:pPr>
      <w:r w:rsidRPr="00175B20">
        <w:rPr>
          <w:rFonts w:eastAsia="Times New Roman"/>
          <w:color w:val="000000"/>
          <w:sz w:val="24"/>
          <w:szCs w:val="24"/>
          <w:lang w:val="fr-FR" w:eastAsia="it-IT"/>
        </w:rPr>
        <w:t xml:space="preserve">  Verum.” Haec dixissem, ni tibi credideras.</w:t>
      </w:r>
    </w:p>
    <w:p w14:paraId="0DB8FD13" w14:textId="77777777" w:rsidR="00D17162" w:rsidRPr="00175B20" w:rsidRDefault="00D17162" w:rsidP="005567B7">
      <w:pPr>
        <w:spacing w:line="360" w:lineRule="auto"/>
        <w:ind w:left="708" w:firstLine="0"/>
        <w:rPr>
          <w:rFonts w:eastAsia="Times New Roman"/>
          <w:color w:val="000000"/>
          <w:sz w:val="24"/>
          <w:szCs w:val="24"/>
          <w:lang w:eastAsia="it-IT"/>
        </w:rPr>
      </w:pPr>
    </w:p>
    <w:p w14:paraId="0CA89E28" w14:textId="7EF38904" w:rsidR="0020378C" w:rsidRPr="0020378C" w:rsidRDefault="0020378C" w:rsidP="002F73E5">
      <w:pPr>
        <w:spacing w:line="360" w:lineRule="auto"/>
        <w:ind w:left="720" w:firstLine="0"/>
        <w:rPr>
          <w:rFonts w:eastAsia="Times New Roman"/>
          <w:color w:val="000000"/>
          <w:sz w:val="24"/>
          <w:szCs w:val="24"/>
          <w:lang w:val="en-US" w:eastAsia="it-IT"/>
        </w:rPr>
      </w:pPr>
      <w:r>
        <w:rPr>
          <w:rFonts w:eastAsia="Times New Roman"/>
          <w:color w:val="000000"/>
          <w:sz w:val="24"/>
          <w:szCs w:val="24"/>
          <w:lang w:val="en-US" w:eastAsia="it-IT"/>
        </w:rPr>
        <w:t>(</w:t>
      </w:r>
      <w:r w:rsidRPr="0020378C">
        <w:rPr>
          <w:rFonts w:eastAsia="Times New Roman"/>
          <w:color w:val="000000"/>
          <w:sz w:val="24"/>
          <w:szCs w:val="24"/>
          <w:lang w:val="en-US" w:eastAsia="it-IT"/>
        </w:rPr>
        <w:t xml:space="preserve">“She who </w:t>
      </w:r>
      <w:r w:rsidR="002F73E5">
        <w:rPr>
          <w:rFonts w:eastAsia="Times New Roman"/>
          <w:color w:val="000000"/>
          <w:sz w:val="24"/>
          <w:szCs w:val="24"/>
          <w:lang w:val="en-US" w:eastAsia="it-IT"/>
        </w:rPr>
        <w:t>strikes</w:t>
      </w:r>
      <w:r w:rsidRPr="0020378C">
        <w:rPr>
          <w:rFonts w:eastAsia="Times New Roman"/>
          <w:color w:val="000000"/>
          <w:sz w:val="24"/>
          <w:szCs w:val="24"/>
          <w:lang w:val="en-US" w:eastAsia="it-IT"/>
        </w:rPr>
        <w:t xml:space="preserve"> is Venus, Love is </w:t>
      </w:r>
      <w:r w:rsidR="00092529">
        <w:rPr>
          <w:rFonts w:eastAsia="Times New Roman"/>
          <w:color w:val="000000"/>
          <w:sz w:val="24"/>
          <w:szCs w:val="24"/>
          <w:lang w:val="en-US" w:eastAsia="it-IT"/>
        </w:rPr>
        <w:t xml:space="preserve">the one </w:t>
      </w:r>
      <w:r w:rsidR="002F73E5">
        <w:rPr>
          <w:rFonts w:eastAsia="Times New Roman"/>
          <w:color w:val="000000"/>
          <w:sz w:val="24"/>
          <w:szCs w:val="24"/>
          <w:lang w:val="en-US" w:eastAsia="it-IT"/>
        </w:rPr>
        <w:t>beaten</w:t>
      </w:r>
      <w:r w:rsidRPr="0020378C">
        <w:rPr>
          <w:rFonts w:eastAsia="Times New Roman"/>
          <w:color w:val="000000"/>
          <w:sz w:val="24"/>
          <w:szCs w:val="24"/>
          <w:lang w:val="en-US" w:eastAsia="it-IT"/>
        </w:rPr>
        <w:t>, the creator Pyrgoteles; if you ask the reason [for the work], it was anger: indeed, the sculptor, unjustly tormented by Love (because he saw he was not equal to him in strength), represented this anguish, because it befits a child, and because it is real.” I would hav</w:t>
      </w:r>
      <w:bookmarkStart w:id="1" w:name="_GoBack"/>
      <w:bookmarkEnd w:id="1"/>
      <w:r w:rsidRPr="0020378C">
        <w:rPr>
          <w:rFonts w:eastAsia="Times New Roman"/>
          <w:color w:val="000000"/>
          <w:sz w:val="24"/>
          <w:szCs w:val="24"/>
          <w:lang w:val="en-US" w:eastAsia="it-IT"/>
        </w:rPr>
        <w:t>e told you these things, if you had not believed your eyes.</w:t>
      </w:r>
      <w:r>
        <w:rPr>
          <w:rFonts w:eastAsia="Times New Roman"/>
          <w:color w:val="000000"/>
          <w:sz w:val="24"/>
          <w:szCs w:val="24"/>
          <w:lang w:val="en-US" w:eastAsia="it-IT"/>
        </w:rPr>
        <w:t>)</w:t>
      </w:r>
      <w:r w:rsidRPr="0020378C">
        <w:rPr>
          <w:rFonts w:eastAsia="Times New Roman"/>
          <w:color w:val="000000"/>
          <w:sz w:val="24"/>
          <w:szCs w:val="24"/>
          <w:lang w:val="en-US" w:eastAsia="it-IT"/>
        </w:rPr>
        <w:t xml:space="preserve">  </w:t>
      </w:r>
    </w:p>
    <w:p w14:paraId="23A10AC5" w14:textId="77777777" w:rsidR="00626A3D" w:rsidRPr="0020378C" w:rsidRDefault="00626A3D" w:rsidP="000271D4">
      <w:pPr>
        <w:spacing w:line="360" w:lineRule="auto"/>
        <w:ind w:firstLine="0"/>
        <w:rPr>
          <w:rFonts w:eastAsia="Times New Roman"/>
          <w:color w:val="000000"/>
          <w:lang w:val="en-US" w:eastAsia="it-IT"/>
        </w:rPr>
      </w:pPr>
    </w:p>
    <w:p w14:paraId="5BB4F9CC" w14:textId="4E7662E5" w:rsidR="00616833" w:rsidRDefault="00E46BE8" w:rsidP="00907412">
      <w:pPr>
        <w:rPr>
          <w:sz w:val="24"/>
          <w:szCs w:val="24"/>
        </w:rPr>
      </w:pPr>
      <w:r>
        <w:rPr>
          <w:sz w:val="24"/>
          <w:szCs w:val="24"/>
          <w:lang w:val="en-US"/>
        </w:rPr>
        <w:t xml:space="preserve">If, as the </w:t>
      </w:r>
      <w:r w:rsidR="00F772AF">
        <w:rPr>
          <w:sz w:val="24"/>
          <w:szCs w:val="24"/>
          <w:lang w:val="en-US"/>
        </w:rPr>
        <w:t>inclusion</w:t>
      </w:r>
      <w:r>
        <w:rPr>
          <w:sz w:val="24"/>
          <w:szCs w:val="24"/>
          <w:lang w:val="en-US"/>
        </w:rPr>
        <w:t xml:space="preserve"> of Battista Guarini</w:t>
      </w:r>
      <w:r w:rsidR="00175B20">
        <w:rPr>
          <w:sz w:val="24"/>
          <w:szCs w:val="24"/>
          <w:lang w:val="en-US"/>
        </w:rPr>
        <w:t>’</w:t>
      </w:r>
      <w:r>
        <w:rPr>
          <w:sz w:val="24"/>
          <w:szCs w:val="24"/>
          <w:lang w:val="en-US"/>
        </w:rPr>
        <w:t>s poem in a volume dedicated to Ercole d'Este suggest</w:t>
      </w:r>
      <w:r w:rsidR="00175B20">
        <w:rPr>
          <w:sz w:val="24"/>
          <w:szCs w:val="24"/>
          <w:lang w:val="en-US"/>
        </w:rPr>
        <w:t>s</w:t>
      </w:r>
      <w:r>
        <w:rPr>
          <w:sz w:val="24"/>
          <w:szCs w:val="24"/>
          <w:lang w:val="en-US"/>
        </w:rPr>
        <w:t>, Pyrgoteles conceivably sculpted the work during an otherwise undocumented stay in the court of Ferrara,</w:t>
      </w:r>
      <w:r>
        <w:rPr>
          <w:rStyle w:val="FootnoteReference"/>
          <w:sz w:val="24"/>
          <w:szCs w:val="24"/>
        </w:rPr>
        <w:footnoteReference w:id="10"/>
      </w:r>
      <w:r>
        <w:rPr>
          <w:sz w:val="24"/>
          <w:szCs w:val="24"/>
          <w:lang w:val="en-US"/>
        </w:rPr>
        <w:t xml:space="preserve"> we can be fairly sure this occurred </w:t>
      </w:r>
      <w:r w:rsidR="00175B20">
        <w:rPr>
          <w:sz w:val="24"/>
          <w:szCs w:val="24"/>
          <w:lang w:val="en-US"/>
        </w:rPr>
        <w:t>before</w:t>
      </w:r>
      <w:r>
        <w:rPr>
          <w:sz w:val="24"/>
          <w:szCs w:val="24"/>
          <w:lang w:val="en-US"/>
        </w:rPr>
        <w:t xml:space="preserve"> the summer of 1493. In July of that year</w:t>
      </w:r>
      <w:r w:rsidR="00175B20">
        <w:rPr>
          <w:sz w:val="24"/>
          <w:szCs w:val="24"/>
          <w:lang w:val="en-US"/>
        </w:rPr>
        <w:t>,</w:t>
      </w:r>
      <w:r>
        <w:rPr>
          <w:sz w:val="24"/>
          <w:szCs w:val="24"/>
          <w:lang w:val="en-US"/>
        </w:rPr>
        <w:t xml:space="preserve"> Tebaldeo left his native city, not to return until five years later, and we know that </w:t>
      </w:r>
      <w:r w:rsidR="00907412">
        <w:rPr>
          <w:sz w:val="24"/>
          <w:szCs w:val="24"/>
          <w:lang w:val="en-US"/>
        </w:rPr>
        <w:t>it was his enduring habit</w:t>
      </w:r>
      <w:r>
        <w:rPr>
          <w:sz w:val="24"/>
          <w:szCs w:val="24"/>
          <w:lang w:val="en-US"/>
        </w:rPr>
        <w:t xml:space="preserve"> to write </w:t>
      </w:r>
      <w:r w:rsidR="00175B20">
        <w:rPr>
          <w:sz w:val="24"/>
          <w:szCs w:val="24"/>
          <w:lang w:val="en-US"/>
        </w:rPr>
        <w:t>“</w:t>
      </w:r>
      <w:r>
        <w:rPr>
          <w:sz w:val="24"/>
          <w:szCs w:val="24"/>
          <w:lang w:val="en-US"/>
        </w:rPr>
        <w:t>spur of the moment</w:t>
      </w:r>
      <w:r w:rsidR="00175B20">
        <w:rPr>
          <w:sz w:val="24"/>
          <w:szCs w:val="24"/>
          <w:lang w:val="en-US"/>
        </w:rPr>
        <w:t>”</w:t>
      </w:r>
      <w:r>
        <w:rPr>
          <w:sz w:val="24"/>
          <w:szCs w:val="24"/>
          <w:lang w:val="en-US"/>
        </w:rPr>
        <w:t xml:space="preserve"> commentary in verse on major events in the contemporary artistic scene.</w:t>
      </w:r>
      <w:r>
        <w:rPr>
          <w:rStyle w:val="FootnoteReference"/>
          <w:sz w:val="24"/>
          <w:szCs w:val="24"/>
        </w:rPr>
        <w:footnoteReference w:id="11"/>
      </w:r>
      <w:r>
        <w:rPr>
          <w:sz w:val="24"/>
          <w:szCs w:val="24"/>
          <w:lang w:val="en-US"/>
        </w:rPr>
        <w:t xml:space="preserve"> Whatever the exact chronology of the </w:t>
      </w:r>
      <w:r>
        <w:rPr>
          <w:i/>
          <w:iCs/>
          <w:sz w:val="24"/>
          <w:szCs w:val="24"/>
          <w:lang w:val="en-US"/>
        </w:rPr>
        <w:t>Flagillifera</w:t>
      </w:r>
      <w:r>
        <w:rPr>
          <w:sz w:val="24"/>
          <w:szCs w:val="24"/>
          <w:lang w:val="en-US"/>
        </w:rPr>
        <w:t xml:space="preserve"> and of the epigram published here, Tebaldeo</w:t>
      </w:r>
      <w:r w:rsidR="00907412">
        <w:rPr>
          <w:sz w:val="24"/>
          <w:szCs w:val="24"/>
          <w:lang w:val="en-US"/>
        </w:rPr>
        <w:t>’</w:t>
      </w:r>
      <w:r>
        <w:rPr>
          <w:sz w:val="24"/>
          <w:szCs w:val="24"/>
          <w:lang w:val="en-US"/>
        </w:rPr>
        <w:t>s couplets show that they are modeled, like Guarini</w:t>
      </w:r>
      <w:r w:rsidR="00907412">
        <w:rPr>
          <w:sz w:val="24"/>
          <w:szCs w:val="24"/>
          <w:lang w:val="en-US"/>
        </w:rPr>
        <w:t>’</w:t>
      </w:r>
      <w:r>
        <w:rPr>
          <w:sz w:val="24"/>
          <w:szCs w:val="24"/>
          <w:lang w:val="en-US"/>
        </w:rPr>
        <w:t xml:space="preserve">s, on various texts in the </w:t>
      </w:r>
      <w:r>
        <w:rPr>
          <w:i/>
          <w:iCs/>
          <w:sz w:val="24"/>
          <w:szCs w:val="24"/>
          <w:lang w:val="en-US"/>
        </w:rPr>
        <w:t>Paludean Anthology.</w:t>
      </w:r>
      <w:r>
        <w:rPr>
          <w:sz w:val="24"/>
          <w:szCs w:val="24"/>
          <w:lang w:val="en-US"/>
        </w:rPr>
        <w:t xml:space="preserve"> </w:t>
      </w:r>
    </w:p>
    <w:p w14:paraId="7D7DC5C7" w14:textId="419BC510" w:rsidR="00ED7E7C" w:rsidRDefault="00E46BE8" w:rsidP="00907412">
      <w:pPr>
        <w:rPr>
          <w:sz w:val="24"/>
          <w:szCs w:val="24"/>
        </w:rPr>
      </w:pPr>
      <w:r>
        <w:rPr>
          <w:sz w:val="24"/>
          <w:szCs w:val="24"/>
          <w:lang w:val="en-US"/>
        </w:rPr>
        <w:t xml:space="preserve">In particular, the ancient epigrammatic style of posing questions about the iconography of the artwork in question is combined here with the memory of four Hellenistic or Byzantine poems on various depictions of the cruel son of Venus. On the one hand, the theme of punishing the god of love </w:t>
      </w:r>
      <w:r w:rsidR="00907412">
        <w:rPr>
          <w:sz w:val="24"/>
          <w:szCs w:val="24"/>
          <w:lang w:val="en-US"/>
        </w:rPr>
        <w:t>“</w:t>
      </w:r>
      <w:r>
        <w:rPr>
          <w:sz w:val="24"/>
          <w:szCs w:val="24"/>
          <w:lang w:val="en-US"/>
        </w:rPr>
        <w:t>in effigy</w:t>
      </w:r>
      <w:r w:rsidR="00907412">
        <w:rPr>
          <w:sz w:val="24"/>
          <w:szCs w:val="24"/>
          <w:lang w:val="en-US"/>
        </w:rPr>
        <w:t>”</w:t>
      </w:r>
      <w:r>
        <w:rPr>
          <w:sz w:val="24"/>
          <w:szCs w:val="24"/>
          <w:lang w:val="en-US"/>
        </w:rPr>
        <w:t xml:space="preserve"> is highly reminiscent of the texts now cataloged as </w:t>
      </w:r>
      <w:r>
        <w:rPr>
          <w:i/>
          <w:iCs/>
          <w:sz w:val="24"/>
          <w:szCs w:val="24"/>
          <w:lang w:val="en-US"/>
        </w:rPr>
        <w:t xml:space="preserve">Greek Anthology </w:t>
      </w:r>
      <w:r>
        <w:rPr>
          <w:sz w:val="24"/>
          <w:szCs w:val="24"/>
          <w:lang w:val="en-US"/>
        </w:rPr>
        <w:t>16.194</w:t>
      </w:r>
      <w:r w:rsidR="00907412">
        <w:rPr>
          <w:sz w:val="24"/>
          <w:szCs w:val="24"/>
          <w:lang w:val="en-US"/>
        </w:rPr>
        <w:t xml:space="preserve"> –</w:t>
      </w:r>
      <w:r>
        <w:rPr>
          <w:sz w:val="24"/>
          <w:szCs w:val="24"/>
          <w:lang w:val="en-US"/>
        </w:rPr>
        <w:t xml:space="preserve"> an anonymous couplet describing the transformation of a bronze statuette of Eros into a frying pan as </w:t>
      </w:r>
      <w:r w:rsidR="00907412">
        <w:rPr>
          <w:sz w:val="24"/>
          <w:szCs w:val="24"/>
          <w:lang w:val="en-US"/>
        </w:rPr>
        <w:t xml:space="preserve">a </w:t>
      </w:r>
      <w:r>
        <w:rPr>
          <w:sz w:val="24"/>
          <w:szCs w:val="24"/>
          <w:lang w:val="en-US"/>
        </w:rPr>
        <w:t xml:space="preserve">fitting punishment for one who </w:t>
      </w:r>
      <w:r w:rsidR="00F772AF">
        <w:rPr>
          <w:sz w:val="24"/>
          <w:szCs w:val="24"/>
          <w:lang w:val="en-US"/>
        </w:rPr>
        <w:t xml:space="preserve">inflames </w:t>
      </w:r>
      <w:r>
        <w:rPr>
          <w:sz w:val="24"/>
          <w:szCs w:val="24"/>
          <w:lang w:val="en-US"/>
        </w:rPr>
        <w:t xml:space="preserve">hearts with destructive passions, and 195, by a certain </w:t>
      </w:r>
      <w:r w:rsidR="00907412">
        <w:rPr>
          <w:sz w:val="24"/>
          <w:szCs w:val="24"/>
          <w:lang w:val="en-US"/>
        </w:rPr>
        <w:t>Satyrus</w:t>
      </w:r>
      <w:r>
        <w:rPr>
          <w:sz w:val="24"/>
          <w:szCs w:val="24"/>
          <w:lang w:val="en-US"/>
        </w:rPr>
        <w:t xml:space="preserve"> who</w:t>
      </w:r>
      <w:r w:rsidR="00907412">
        <w:rPr>
          <w:sz w:val="24"/>
          <w:szCs w:val="24"/>
          <w:lang w:val="en-US"/>
        </w:rPr>
        <w:t>,</w:t>
      </w:r>
      <w:r>
        <w:rPr>
          <w:sz w:val="24"/>
          <w:szCs w:val="24"/>
          <w:lang w:val="en-US"/>
        </w:rPr>
        <w:t xml:space="preserve"> on the subject of a depiction of Eros chained to a column</w:t>
      </w:r>
      <w:r w:rsidR="00907412">
        <w:rPr>
          <w:sz w:val="24"/>
          <w:szCs w:val="24"/>
          <w:lang w:val="en-US"/>
        </w:rPr>
        <w:t>,</w:t>
      </w:r>
      <w:r>
        <w:rPr>
          <w:sz w:val="24"/>
          <w:szCs w:val="24"/>
          <w:lang w:val="en-US"/>
        </w:rPr>
        <w:t xml:space="preserve"> argued that the powerful god had already irremediably </w:t>
      </w:r>
      <w:r w:rsidR="00F772AF">
        <w:rPr>
          <w:sz w:val="24"/>
          <w:szCs w:val="24"/>
          <w:lang w:val="en-US"/>
        </w:rPr>
        <w:t>enchained</w:t>
      </w:r>
      <w:r>
        <w:rPr>
          <w:sz w:val="24"/>
          <w:szCs w:val="24"/>
          <w:lang w:val="en-US"/>
        </w:rPr>
        <w:t xml:space="preserve"> the artist</w:t>
      </w:r>
      <w:r w:rsidR="00907412">
        <w:rPr>
          <w:sz w:val="24"/>
          <w:szCs w:val="24"/>
          <w:lang w:val="en-US"/>
        </w:rPr>
        <w:t>’</w:t>
      </w:r>
      <w:r>
        <w:rPr>
          <w:sz w:val="24"/>
          <w:szCs w:val="24"/>
          <w:lang w:val="en-US"/>
        </w:rPr>
        <w:t xml:space="preserve">s heart. On the other hand, the motif of an </w:t>
      </w:r>
      <w:r>
        <w:rPr>
          <w:sz w:val="24"/>
          <w:szCs w:val="24"/>
          <w:lang w:val="en-US"/>
        </w:rPr>
        <w:lastRenderedPageBreak/>
        <w:t xml:space="preserve">intimate sentiment of love as the fundamental inspiration </w:t>
      </w:r>
      <w:r w:rsidR="00907412">
        <w:rPr>
          <w:sz w:val="24"/>
          <w:szCs w:val="24"/>
          <w:lang w:val="en-US"/>
        </w:rPr>
        <w:t>for</w:t>
      </w:r>
      <w:r>
        <w:rPr>
          <w:sz w:val="24"/>
          <w:szCs w:val="24"/>
          <w:lang w:val="en-US"/>
        </w:rPr>
        <w:t xml:space="preserve"> an artwork – quite popular in anecdotes and in the artistic literature of the early modern period</w:t>
      </w:r>
      <w:r>
        <w:rPr>
          <w:rStyle w:val="FootnoteReference"/>
          <w:sz w:val="24"/>
          <w:szCs w:val="24"/>
        </w:rPr>
        <w:footnoteReference w:id="12"/>
      </w:r>
      <w:r>
        <w:rPr>
          <w:sz w:val="24"/>
          <w:szCs w:val="24"/>
          <w:lang w:val="en-US"/>
        </w:rPr>
        <w:t xml:space="preserve"> – likens Tebaldeo</w:t>
      </w:r>
      <w:r w:rsidR="00907412">
        <w:rPr>
          <w:sz w:val="24"/>
          <w:szCs w:val="24"/>
          <w:lang w:val="en-US"/>
        </w:rPr>
        <w:t>’</w:t>
      </w:r>
      <w:r>
        <w:rPr>
          <w:sz w:val="24"/>
          <w:szCs w:val="24"/>
          <w:lang w:val="en-US"/>
        </w:rPr>
        <w:t xml:space="preserve">s epigram about the </w:t>
      </w:r>
      <w:r>
        <w:rPr>
          <w:i/>
          <w:iCs/>
          <w:sz w:val="24"/>
          <w:szCs w:val="24"/>
          <w:lang w:val="en-US"/>
        </w:rPr>
        <w:t>Venere Flagillifera</w:t>
      </w:r>
      <w:r>
        <w:rPr>
          <w:sz w:val="24"/>
          <w:szCs w:val="24"/>
          <w:lang w:val="en-US"/>
        </w:rPr>
        <w:t xml:space="preserve"> to two poems on </w:t>
      </w:r>
      <w:r>
        <w:rPr>
          <w:i/>
          <w:iCs/>
          <w:sz w:val="24"/>
          <w:szCs w:val="24"/>
          <w:lang w:val="en-US"/>
        </w:rPr>
        <w:t>Eros of Thespiae</w:t>
      </w:r>
      <w:r>
        <w:rPr>
          <w:sz w:val="24"/>
          <w:szCs w:val="24"/>
          <w:lang w:val="en-US"/>
        </w:rPr>
        <w:t>, attributed, respectively, to Julianus</w:t>
      </w:r>
      <w:r w:rsidR="0074789C">
        <w:rPr>
          <w:sz w:val="24"/>
          <w:szCs w:val="24"/>
          <w:lang w:val="en-US"/>
        </w:rPr>
        <w:t>,</w:t>
      </w:r>
      <w:r>
        <w:rPr>
          <w:sz w:val="24"/>
          <w:szCs w:val="24"/>
          <w:lang w:val="en-US"/>
        </w:rPr>
        <w:t xml:space="preserve"> former prefect of Egypt</w:t>
      </w:r>
      <w:r w:rsidR="00907412">
        <w:rPr>
          <w:sz w:val="24"/>
          <w:szCs w:val="24"/>
          <w:lang w:val="en-US"/>
        </w:rPr>
        <w:t>,</w:t>
      </w:r>
      <w:r>
        <w:rPr>
          <w:sz w:val="24"/>
          <w:szCs w:val="24"/>
          <w:lang w:val="en-US"/>
        </w:rPr>
        <w:t xml:space="preserve"> and to Simonides (</w:t>
      </w:r>
      <w:r>
        <w:rPr>
          <w:i/>
          <w:iCs/>
          <w:sz w:val="24"/>
          <w:szCs w:val="24"/>
          <w:lang w:val="en-US"/>
        </w:rPr>
        <w:t>Greek Anthology</w:t>
      </w:r>
      <w:r>
        <w:rPr>
          <w:sz w:val="24"/>
          <w:szCs w:val="24"/>
          <w:lang w:val="en-US"/>
        </w:rPr>
        <w:t>, 16.203 and 204). Through this literary recollection, Guarini turn</w:t>
      </w:r>
      <w:r w:rsidR="00907412">
        <w:rPr>
          <w:sz w:val="24"/>
          <w:szCs w:val="24"/>
          <w:lang w:val="en-US"/>
        </w:rPr>
        <w:t>s</w:t>
      </w:r>
      <w:r>
        <w:rPr>
          <w:sz w:val="24"/>
          <w:szCs w:val="24"/>
          <w:lang w:val="en-US"/>
        </w:rPr>
        <w:t xml:space="preserve"> his contemporary Pyrgoteles into a sort of neo-Praxiteles: the Planudean epigrammatists asserted that Praxiteles had sculpted his masterpiece as a reflection of his a</w:t>
      </w:r>
      <w:r w:rsidR="00907412">
        <w:rPr>
          <w:sz w:val="24"/>
          <w:szCs w:val="24"/>
          <w:lang w:val="en-US"/>
        </w:rPr>
        <w:t>ll-consuming passion for Phryne,</w:t>
      </w:r>
      <w:r>
        <w:rPr>
          <w:sz w:val="24"/>
          <w:szCs w:val="24"/>
          <w:lang w:val="en-US"/>
        </w:rPr>
        <w:t xml:space="preserve"> and had</w:t>
      </w:r>
      <w:r w:rsidR="00907412">
        <w:rPr>
          <w:sz w:val="24"/>
          <w:szCs w:val="24"/>
          <w:lang w:val="en-US"/>
        </w:rPr>
        <w:t>,</w:t>
      </w:r>
      <w:r>
        <w:rPr>
          <w:sz w:val="24"/>
          <w:szCs w:val="24"/>
          <w:lang w:val="en-US"/>
        </w:rPr>
        <w:t xml:space="preserve"> in fact</w:t>
      </w:r>
      <w:r w:rsidR="00907412">
        <w:rPr>
          <w:sz w:val="24"/>
          <w:szCs w:val="24"/>
          <w:lang w:val="en-US"/>
        </w:rPr>
        <w:t>,</w:t>
      </w:r>
      <w:r>
        <w:rPr>
          <w:sz w:val="24"/>
          <w:szCs w:val="24"/>
          <w:lang w:val="en-US"/>
        </w:rPr>
        <w:t xml:space="preserve"> perfectly depicted the Eros who caused his suffering, modeling him after his </w:t>
      </w:r>
      <w:r w:rsidR="0074789C">
        <w:rPr>
          <w:sz w:val="24"/>
          <w:szCs w:val="24"/>
          <w:lang w:val="en-US"/>
        </w:rPr>
        <w:t xml:space="preserve">own </w:t>
      </w:r>
      <w:r>
        <w:rPr>
          <w:sz w:val="24"/>
          <w:szCs w:val="24"/>
          <w:lang w:val="en-US"/>
        </w:rPr>
        <w:t xml:space="preserve">heart. </w:t>
      </w:r>
    </w:p>
    <w:p w14:paraId="0943A26F" w14:textId="396ABC33" w:rsidR="00F207A5" w:rsidRPr="00E015F8" w:rsidRDefault="00E46BE8" w:rsidP="00907412">
      <w:pPr>
        <w:rPr>
          <w:sz w:val="24"/>
          <w:szCs w:val="24"/>
        </w:rPr>
      </w:pPr>
      <w:r>
        <w:rPr>
          <w:sz w:val="24"/>
          <w:szCs w:val="24"/>
          <w:lang w:val="en-US"/>
        </w:rPr>
        <w:t xml:space="preserve">In a specular psychological-biographical reflection on the artwork, Tebaldeo interprets the creative act with which Pyrgoteles </w:t>
      </w:r>
      <w:r w:rsidR="00907412">
        <w:rPr>
          <w:sz w:val="24"/>
          <w:szCs w:val="24"/>
          <w:lang w:val="en-US"/>
        </w:rPr>
        <w:t>gave</w:t>
      </w:r>
      <w:r>
        <w:rPr>
          <w:sz w:val="24"/>
          <w:szCs w:val="24"/>
          <w:lang w:val="en-US"/>
        </w:rPr>
        <w:t xml:space="preserve"> form to the torment of a boy Cupid as a chance for the artist to take revenge on the god who had overwhelmed him and afflicted him with </w:t>
      </w:r>
      <w:r w:rsidR="0074789C">
        <w:rPr>
          <w:sz w:val="24"/>
          <w:szCs w:val="24"/>
          <w:lang w:val="en-US"/>
        </w:rPr>
        <w:t xml:space="preserve">great </w:t>
      </w:r>
      <w:r>
        <w:rPr>
          <w:sz w:val="24"/>
          <w:szCs w:val="24"/>
          <w:lang w:val="en-US"/>
        </w:rPr>
        <w:t xml:space="preserve">suffering. The audience for this exegesis of the </w:t>
      </w:r>
      <w:r>
        <w:rPr>
          <w:i/>
          <w:iCs/>
          <w:sz w:val="24"/>
          <w:szCs w:val="24"/>
          <w:lang w:val="en-US"/>
        </w:rPr>
        <w:t>Flagillifera</w:t>
      </w:r>
      <w:r>
        <w:rPr>
          <w:sz w:val="24"/>
          <w:szCs w:val="24"/>
          <w:lang w:val="en-US"/>
        </w:rPr>
        <w:t xml:space="preserve"> is a generic viewer of the sculpture (addressed </w:t>
      </w:r>
      <w:r w:rsidR="00907412">
        <w:rPr>
          <w:sz w:val="24"/>
          <w:szCs w:val="24"/>
          <w:lang w:val="en-US"/>
        </w:rPr>
        <w:t>in the second person singular)</w:t>
      </w:r>
      <w:r>
        <w:rPr>
          <w:sz w:val="24"/>
          <w:szCs w:val="24"/>
          <w:lang w:val="en-US"/>
        </w:rPr>
        <w:t xml:space="preserve"> who</w:t>
      </w:r>
      <w:r w:rsidR="00907412">
        <w:rPr>
          <w:sz w:val="24"/>
          <w:szCs w:val="24"/>
          <w:lang w:val="en-US"/>
        </w:rPr>
        <w:t>,</w:t>
      </w:r>
      <w:r>
        <w:rPr>
          <w:sz w:val="24"/>
          <w:szCs w:val="24"/>
          <w:lang w:val="en-US"/>
        </w:rPr>
        <w:t xml:space="preserve"> the poet imagines</w:t>
      </w:r>
      <w:r w:rsidR="00907412">
        <w:rPr>
          <w:sz w:val="24"/>
          <w:szCs w:val="24"/>
          <w:lang w:val="en-US"/>
        </w:rPr>
        <w:t>,</w:t>
      </w:r>
      <w:r>
        <w:rPr>
          <w:sz w:val="24"/>
          <w:szCs w:val="24"/>
          <w:lang w:val="en-US"/>
        </w:rPr>
        <w:t xml:space="preserve"> would otherwise be left doubting its meaning. The interrogative format regarding the iconography of a work of art thus references the author</w:t>
      </w:r>
      <w:r w:rsidR="00907412">
        <w:rPr>
          <w:sz w:val="24"/>
          <w:szCs w:val="24"/>
          <w:lang w:val="en-US"/>
        </w:rPr>
        <w:t>’</w:t>
      </w:r>
      <w:r>
        <w:rPr>
          <w:sz w:val="24"/>
          <w:szCs w:val="24"/>
          <w:lang w:val="en-US"/>
        </w:rPr>
        <w:t xml:space="preserve">s imaginary partner in conversation, while the author himself claims to have a </w:t>
      </w:r>
      <w:r w:rsidR="00907412">
        <w:rPr>
          <w:sz w:val="24"/>
          <w:szCs w:val="24"/>
          <w:lang w:val="en-US"/>
        </w:rPr>
        <w:t>“</w:t>
      </w:r>
      <w:r>
        <w:rPr>
          <w:sz w:val="24"/>
          <w:szCs w:val="24"/>
          <w:lang w:val="en-US"/>
        </w:rPr>
        <w:t>knowing eye</w:t>
      </w:r>
      <w:r w:rsidR="00907412">
        <w:rPr>
          <w:sz w:val="24"/>
          <w:szCs w:val="24"/>
          <w:lang w:val="en-US"/>
        </w:rPr>
        <w:t>”</w:t>
      </w:r>
      <w:r>
        <w:rPr>
          <w:sz w:val="24"/>
          <w:szCs w:val="24"/>
          <w:lang w:val="en-US"/>
        </w:rPr>
        <w:t xml:space="preserve"> able to decipher the </w:t>
      </w:r>
      <w:r w:rsidR="0074789C">
        <w:rPr>
          <w:sz w:val="24"/>
          <w:szCs w:val="24"/>
          <w:lang w:val="en-US"/>
        </w:rPr>
        <w:t xml:space="preserve">visual </w:t>
      </w:r>
      <w:r>
        <w:rPr>
          <w:sz w:val="24"/>
          <w:szCs w:val="24"/>
          <w:lang w:val="en-US"/>
        </w:rPr>
        <w:t>enigma</w:t>
      </w:r>
      <w:r w:rsidR="00907412">
        <w:rPr>
          <w:sz w:val="24"/>
          <w:szCs w:val="24"/>
          <w:lang w:val="en-US"/>
        </w:rPr>
        <w:t>,</w:t>
      </w:r>
      <w:r>
        <w:rPr>
          <w:sz w:val="24"/>
          <w:szCs w:val="24"/>
          <w:lang w:val="en-US"/>
        </w:rPr>
        <w:t xml:space="preserve"> </w:t>
      </w:r>
      <w:r w:rsidR="00907412">
        <w:rPr>
          <w:sz w:val="24"/>
          <w:szCs w:val="24"/>
          <w:lang w:val="en-US"/>
        </w:rPr>
        <w:t>which</w:t>
      </w:r>
      <w:r>
        <w:rPr>
          <w:sz w:val="24"/>
          <w:szCs w:val="24"/>
          <w:lang w:val="en-US"/>
        </w:rPr>
        <w:t xml:space="preserve"> we find – once again – in various epigrams of the </w:t>
      </w:r>
      <w:r>
        <w:rPr>
          <w:i/>
          <w:iCs/>
          <w:sz w:val="24"/>
          <w:szCs w:val="24"/>
          <w:lang w:val="en-US"/>
        </w:rPr>
        <w:t>Planudean Anthology</w:t>
      </w:r>
      <w:r>
        <w:rPr>
          <w:sz w:val="24"/>
          <w:szCs w:val="24"/>
          <w:lang w:val="en-US"/>
        </w:rPr>
        <w:t>.</w:t>
      </w:r>
      <w:r>
        <w:rPr>
          <w:rStyle w:val="FootnoteReference"/>
          <w:sz w:val="24"/>
          <w:szCs w:val="24"/>
        </w:rPr>
        <w:footnoteReference w:id="13"/>
      </w:r>
      <w:r>
        <w:rPr>
          <w:sz w:val="24"/>
          <w:szCs w:val="24"/>
          <w:lang w:val="en-US"/>
        </w:rPr>
        <w:t xml:space="preserve"> Indeed, while it is fair to be somewhat skeptical of the reliability of Tebaldeo's poetic reading of the </w:t>
      </w:r>
      <w:r>
        <w:rPr>
          <w:i/>
          <w:iCs/>
          <w:sz w:val="24"/>
          <w:szCs w:val="24"/>
          <w:lang w:val="en-US"/>
        </w:rPr>
        <w:t>Flagillifera</w:t>
      </w:r>
      <w:r>
        <w:rPr>
          <w:sz w:val="24"/>
          <w:szCs w:val="24"/>
          <w:lang w:val="en-US"/>
        </w:rPr>
        <w:t>, his response to Pyrgoteles</w:t>
      </w:r>
      <w:r w:rsidR="00907412">
        <w:rPr>
          <w:sz w:val="24"/>
          <w:szCs w:val="24"/>
          <w:lang w:val="en-US"/>
        </w:rPr>
        <w:t>’s</w:t>
      </w:r>
      <w:r>
        <w:rPr>
          <w:sz w:val="24"/>
          <w:szCs w:val="24"/>
          <w:lang w:val="en-US"/>
        </w:rPr>
        <w:t xml:space="preserve"> creation provides extraordinary evidence of a cultural phenomenon whose importance cannot be overstated. It </w:t>
      </w:r>
      <w:r w:rsidR="0074789C">
        <w:rPr>
          <w:sz w:val="24"/>
          <w:szCs w:val="24"/>
          <w:lang w:val="en-US"/>
        </w:rPr>
        <w:t xml:space="preserve">is </w:t>
      </w:r>
      <w:r>
        <w:rPr>
          <w:sz w:val="24"/>
          <w:szCs w:val="24"/>
          <w:lang w:val="en-US"/>
        </w:rPr>
        <w:t>an emblematic example of how the vogue for classical-</w:t>
      </w:r>
      <w:r w:rsidR="00907412">
        <w:rPr>
          <w:sz w:val="24"/>
          <w:szCs w:val="24"/>
          <w:lang w:val="en-US"/>
        </w:rPr>
        <w:t>inspired</w:t>
      </w:r>
      <w:r>
        <w:rPr>
          <w:sz w:val="24"/>
          <w:szCs w:val="24"/>
          <w:lang w:val="en-US"/>
        </w:rPr>
        <w:t xml:space="preserve"> figurative art, frequently fueled by the discovery of statues, gems, or cameos during digs taking place at the time in various places around the Italian peninsula and reflected most characteristically in the sculpture of the Po Valley and the Veneto, was tightly entwined with an aesthetic sensibility heavily conditioned by the rediscovery of epigrammatic </w:t>
      </w:r>
      <w:r>
        <w:rPr>
          <w:sz w:val="24"/>
          <w:szCs w:val="24"/>
          <w:lang w:val="en-US"/>
        </w:rPr>
        <w:lastRenderedPageBreak/>
        <w:t xml:space="preserve">poems in ancient Greek. </w:t>
      </w:r>
      <w:r w:rsidR="00907412">
        <w:rPr>
          <w:sz w:val="24"/>
          <w:szCs w:val="24"/>
          <w:lang w:val="en-US"/>
        </w:rPr>
        <w:t>As e</w:t>
      </w:r>
      <w:r>
        <w:rPr>
          <w:sz w:val="24"/>
          <w:szCs w:val="24"/>
          <w:lang w:val="en-US"/>
        </w:rPr>
        <w:t>nthusiastic readers and often translators of th</w:t>
      </w:r>
      <w:r w:rsidR="00907412">
        <w:rPr>
          <w:sz w:val="24"/>
          <w:szCs w:val="24"/>
          <w:lang w:val="en-US"/>
        </w:rPr>
        <w:t>e</w:t>
      </w:r>
      <w:r>
        <w:rPr>
          <w:sz w:val="24"/>
          <w:szCs w:val="24"/>
          <w:lang w:val="en-US"/>
        </w:rPr>
        <w:t xml:space="preserve">se writings, a great many of which were about artworks centered on themes of human passions (love, madness, and heartrending pain above all else), many humanists also found in the poems a valuable key to </w:t>
      </w:r>
      <w:r w:rsidR="0074789C">
        <w:rPr>
          <w:sz w:val="24"/>
          <w:szCs w:val="24"/>
          <w:lang w:val="en-US"/>
        </w:rPr>
        <w:t>understanding the</w:t>
      </w:r>
      <w:r>
        <w:rPr>
          <w:sz w:val="24"/>
          <w:szCs w:val="24"/>
          <w:lang w:val="en-US"/>
        </w:rPr>
        <w:t xml:space="preserve"> classical-</w:t>
      </w:r>
      <w:r w:rsidR="00907412">
        <w:rPr>
          <w:sz w:val="24"/>
          <w:szCs w:val="24"/>
          <w:lang w:val="en-US"/>
        </w:rPr>
        <w:t>inspired</w:t>
      </w:r>
      <w:r>
        <w:rPr>
          <w:sz w:val="24"/>
          <w:szCs w:val="24"/>
          <w:lang w:val="en-US"/>
        </w:rPr>
        <w:t xml:space="preserve"> creations of contemporary painters and sculptors. By celebrating these same creations in poems that closely imitated the Greek epigrams, they were shining a light on the foundations of the figurative language of contemporary artists, thereby </w:t>
      </w:r>
      <w:r w:rsidR="004B3CCA">
        <w:rPr>
          <w:sz w:val="24"/>
          <w:szCs w:val="24"/>
          <w:lang w:val="en-US"/>
        </w:rPr>
        <w:t>fostering</w:t>
      </w:r>
      <w:r>
        <w:rPr>
          <w:sz w:val="24"/>
          <w:szCs w:val="24"/>
          <w:lang w:val="en-US"/>
        </w:rPr>
        <w:t xml:space="preserve"> intellectual </w:t>
      </w:r>
      <w:r w:rsidR="00907412">
        <w:rPr>
          <w:sz w:val="24"/>
          <w:szCs w:val="24"/>
          <w:lang w:val="en-US"/>
        </w:rPr>
        <w:t>endorsement</w:t>
      </w:r>
      <w:r>
        <w:rPr>
          <w:sz w:val="24"/>
          <w:szCs w:val="24"/>
          <w:lang w:val="en-US"/>
        </w:rPr>
        <w:t xml:space="preserve"> and hence popularity of their </w:t>
      </w:r>
      <w:r w:rsidR="00907412">
        <w:rPr>
          <w:sz w:val="24"/>
          <w:szCs w:val="24"/>
          <w:lang w:val="en-US"/>
        </w:rPr>
        <w:t>take</w:t>
      </w:r>
      <w:r>
        <w:rPr>
          <w:sz w:val="24"/>
          <w:szCs w:val="24"/>
          <w:lang w:val="en-US"/>
        </w:rPr>
        <w:t xml:space="preserve"> on an</w:t>
      </w:r>
      <w:r w:rsidR="00907412">
        <w:rPr>
          <w:sz w:val="24"/>
          <w:szCs w:val="24"/>
          <w:lang w:val="en-US"/>
        </w:rPr>
        <w:t>tique</w:t>
      </w:r>
      <w:r>
        <w:rPr>
          <w:sz w:val="24"/>
          <w:szCs w:val="24"/>
          <w:lang w:val="en-US"/>
        </w:rPr>
        <w:t xml:space="preserve"> art. </w:t>
      </w:r>
    </w:p>
    <w:p w14:paraId="1FA04BA0" w14:textId="02BB3E0A" w:rsidR="000271D4" w:rsidRDefault="000271D4" w:rsidP="007C69E3">
      <w:pPr>
        <w:rPr>
          <w:sz w:val="24"/>
          <w:szCs w:val="24"/>
        </w:rPr>
      </w:pPr>
    </w:p>
    <w:p w14:paraId="64EC1941" w14:textId="77777777" w:rsidR="00F207A5" w:rsidRPr="00E015F8" w:rsidRDefault="00F207A5">
      <w:pPr>
        <w:rPr>
          <w:sz w:val="24"/>
          <w:szCs w:val="24"/>
        </w:rPr>
      </w:pPr>
    </w:p>
    <w:sectPr w:rsidR="00F207A5" w:rsidRPr="00E015F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3211E" w14:textId="77777777" w:rsidR="00C25C66" w:rsidRDefault="00C25C66">
      <w:pPr>
        <w:spacing w:line="240" w:lineRule="auto"/>
      </w:pPr>
      <w:r>
        <w:separator/>
      </w:r>
    </w:p>
  </w:endnote>
  <w:endnote w:type="continuationSeparator" w:id="0">
    <w:p w14:paraId="290EB36E" w14:textId="77777777" w:rsidR="00C25C66" w:rsidRDefault="00C25C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BDB1C" w14:textId="77777777" w:rsidR="009F66C0" w:rsidRDefault="009F66C0">
    <w:pPr>
      <w:pStyle w:val="Footer"/>
      <w:jc w:val="center"/>
    </w:pPr>
  </w:p>
  <w:sdt>
    <w:sdtPr>
      <w:id w:val="575324174"/>
      <w:docPartObj>
        <w:docPartGallery w:val="Page Numbers (Bottom of Page)"/>
        <w:docPartUnique/>
      </w:docPartObj>
    </w:sdtPr>
    <w:sdtEndPr/>
    <w:sdtContent>
      <w:p w14:paraId="3C34C4D9" w14:textId="334650F0" w:rsidR="005567B7" w:rsidRPr="005567B7" w:rsidRDefault="00E46BE8">
        <w:pPr>
          <w:pStyle w:val="Footer"/>
          <w:jc w:val="center"/>
        </w:pPr>
        <w:r w:rsidRPr="005567B7">
          <w:fldChar w:fldCharType="begin"/>
        </w:r>
        <w:r w:rsidRPr="005567B7">
          <w:instrText>PAGE   \* MERGEFORMAT</w:instrText>
        </w:r>
        <w:r w:rsidRPr="005567B7">
          <w:fldChar w:fldCharType="separate"/>
        </w:r>
        <w:r w:rsidR="002F73E5">
          <w:rPr>
            <w:noProof/>
          </w:rPr>
          <w:t>3</w:t>
        </w:r>
        <w:r w:rsidRPr="005567B7">
          <w:fldChar w:fldCharType="end"/>
        </w:r>
      </w:p>
    </w:sdtContent>
  </w:sdt>
  <w:p w14:paraId="5D60EDC5" w14:textId="77777777" w:rsidR="005567B7" w:rsidRDefault="00556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B6CD3" w14:textId="77777777" w:rsidR="00C25C66" w:rsidRDefault="00C25C66" w:rsidP="005567B7">
      <w:pPr>
        <w:spacing w:line="240" w:lineRule="auto"/>
      </w:pPr>
      <w:r>
        <w:separator/>
      </w:r>
    </w:p>
  </w:footnote>
  <w:footnote w:type="continuationSeparator" w:id="0">
    <w:p w14:paraId="7F78C2AE" w14:textId="77777777" w:rsidR="00C25C66" w:rsidRDefault="00C25C66" w:rsidP="005567B7">
      <w:pPr>
        <w:spacing w:line="240" w:lineRule="auto"/>
      </w:pPr>
      <w:r>
        <w:continuationSeparator/>
      </w:r>
    </w:p>
  </w:footnote>
  <w:footnote w:id="1">
    <w:p w14:paraId="1593B85A" w14:textId="6C1A24D7" w:rsidR="00A91772" w:rsidRPr="009F66C0" w:rsidRDefault="00E46BE8" w:rsidP="003B65CB">
      <w:pPr>
        <w:pStyle w:val="FootnoteText"/>
      </w:pPr>
      <w:r w:rsidRPr="00A826FF">
        <w:rPr>
          <w:rStyle w:val="FootnoteReference"/>
        </w:rPr>
        <w:footnoteRef/>
      </w:r>
      <w:r w:rsidRPr="00A826FF">
        <w:rPr>
          <w:lang w:val="en-US"/>
        </w:rPr>
        <w:t xml:space="preserve"> On the artist’s biography and career see at least Anne Markham Schulz, </w:t>
      </w:r>
      <w:r w:rsidRPr="00A826FF">
        <w:rPr>
          <w:i/>
          <w:iCs/>
          <w:lang w:val="en-US"/>
        </w:rPr>
        <w:t>The History of Venetian Renaissance Sculpture, ca. 1400–1530</w:t>
      </w:r>
      <w:r w:rsidRPr="00A826FF">
        <w:rPr>
          <w:lang w:val="en-US"/>
        </w:rPr>
        <w:t xml:space="preserve"> (London: Harvey Miller, 2017), 2 vols., 1, 199–202, as well as Francesco Piovan, “Notizie di Pirgotele,” in </w:t>
      </w:r>
      <w:r w:rsidRPr="00A826FF">
        <w:rPr>
          <w:i/>
          <w:iCs/>
          <w:lang w:val="en-US"/>
        </w:rPr>
        <w:t>Lontananze capovolte: nuovi scritti di amici per Raffaella Piva</w:t>
      </w:r>
      <w:r w:rsidRPr="00A826FF">
        <w:rPr>
          <w:lang w:val="en-US"/>
        </w:rPr>
        <w:t xml:space="preserve">, ed. Alessandro Pasetti Medin (Saonara [Padua]:  Il Prato, 2009), 143–51; Andrea Bacchi, “Riflessioni e novità su Pirgotele,” </w:t>
      </w:r>
      <w:r w:rsidRPr="00A826FF">
        <w:rPr>
          <w:i/>
          <w:iCs/>
          <w:lang w:val="en-US"/>
        </w:rPr>
        <w:t xml:space="preserve">Nuovi studi </w:t>
      </w:r>
      <w:r w:rsidRPr="00A826FF">
        <w:rPr>
          <w:lang w:val="en-US"/>
        </w:rPr>
        <w:t xml:space="preserve">9/10, n. 11 (2005): 105–116, and Chrysa Damianaki Romano, “Zuan Zorzi Lascaris Called Pyrgoteles: A Greek Sculptor in Renaissance Veneto,” </w:t>
      </w:r>
      <w:r w:rsidRPr="00A826FF">
        <w:rPr>
          <w:i/>
          <w:iCs/>
          <w:lang w:val="en-US"/>
        </w:rPr>
        <w:t>Thesaurismata</w:t>
      </w:r>
      <w:r w:rsidRPr="00A826FF">
        <w:rPr>
          <w:lang w:val="en-US"/>
        </w:rPr>
        <w:t xml:space="preserve"> 28 (1998): 93–125, with further references.</w:t>
      </w:r>
    </w:p>
  </w:footnote>
  <w:footnote w:id="2">
    <w:p w14:paraId="470B6ED1" w14:textId="42043574" w:rsidR="008F3035" w:rsidRPr="00417932" w:rsidRDefault="00E46BE8" w:rsidP="003B65CB">
      <w:pPr>
        <w:pStyle w:val="FootnoteText"/>
        <w:rPr>
          <w:lang w:val="en-US"/>
        </w:rPr>
      </w:pPr>
      <w:r>
        <w:rPr>
          <w:rStyle w:val="FootnoteReference"/>
        </w:rPr>
        <w:footnoteRef/>
      </w:r>
      <w:r w:rsidRPr="00417932">
        <w:rPr>
          <w:lang w:val="en-US"/>
        </w:rPr>
        <w:t xml:space="preserve"> Ibid., 98.</w:t>
      </w:r>
    </w:p>
  </w:footnote>
  <w:footnote w:id="3">
    <w:p w14:paraId="3827E0EF" w14:textId="2684EA74" w:rsidR="008F3035" w:rsidRDefault="00E46BE8">
      <w:pPr>
        <w:pStyle w:val="FootnoteText"/>
        <w:rPr>
          <w:lang w:val="en-US"/>
        </w:rPr>
      </w:pPr>
      <w:r>
        <w:rPr>
          <w:rStyle w:val="FootnoteReference"/>
        </w:rPr>
        <w:footnoteRef/>
      </w:r>
      <w:r w:rsidRPr="008455FB">
        <w:rPr>
          <w:lang w:val="en-US"/>
        </w:rPr>
        <w:t xml:space="preserve"> On the ancient Pyrgoteles see esp. Pliny the Elder, </w:t>
      </w:r>
      <w:r w:rsidRPr="008455FB">
        <w:rPr>
          <w:i/>
          <w:iCs/>
          <w:lang w:val="en-US"/>
        </w:rPr>
        <w:t>Natural History</w:t>
      </w:r>
      <w:r w:rsidRPr="008455FB">
        <w:rPr>
          <w:lang w:val="en-US"/>
        </w:rPr>
        <w:t xml:space="preserve">, 7.125 and 37.8, and Apuleius, </w:t>
      </w:r>
      <w:r w:rsidRPr="008455FB">
        <w:rPr>
          <w:i/>
          <w:iCs/>
          <w:lang w:val="en-US"/>
        </w:rPr>
        <w:t>Florida</w:t>
      </w:r>
      <w:r w:rsidRPr="008455FB">
        <w:rPr>
          <w:lang w:val="en-US"/>
        </w:rPr>
        <w:t xml:space="preserve">, 7.5–7. On the modern Pyrgoteles’s Greek origins and possible kinship with the prominent Byzantine émigré humanists Janus and Costantino Lascaris see respectively Damianaki Romano, “Zuan Zorzi Lascaris,” 93, and Raimondo Callegari, “Sculture ‘in horto Bembi,’” </w:t>
      </w:r>
      <w:r w:rsidRPr="008455FB">
        <w:rPr>
          <w:i/>
          <w:iCs/>
          <w:lang w:val="en-US"/>
        </w:rPr>
        <w:t>Nuovi studi</w:t>
      </w:r>
      <w:r w:rsidRPr="008455FB">
        <w:rPr>
          <w:lang w:val="en-US"/>
        </w:rPr>
        <w:t xml:space="preserve"> 2, no. 4 (1997): 41–62, 49. For the hypothesis that the artist was also active as a gem-engraver see Bacchi, “Riflessioni,” 108–09.</w:t>
      </w:r>
    </w:p>
    <w:p w14:paraId="6ED6DC4F" w14:textId="77777777" w:rsidR="00491388" w:rsidRPr="008455FB" w:rsidRDefault="00491388">
      <w:pPr>
        <w:pStyle w:val="FootnoteText"/>
        <w:rPr>
          <w:lang w:val="en-US"/>
        </w:rPr>
      </w:pPr>
    </w:p>
  </w:footnote>
  <w:footnote w:id="4">
    <w:p w14:paraId="1546821E" w14:textId="435BBC40" w:rsidR="001A3142" w:rsidRPr="001A3142" w:rsidRDefault="00E46BE8" w:rsidP="00697B24">
      <w:pPr>
        <w:pStyle w:val="FootnoteText"/>
        <w:rPr>
          <w:lang w:val="en-US"/>
        </w:rPr>
      </w:pPr>
      <w:r>
        <w:rPr>
          <w:rStyle w:val="FootnoteReference"/>
        </w:rPr>
        <w:footnoteRef/>
      </w:r>
      <w:r w:rsidRPr="001A3142">
        <w:rPr>
          <w:lang w:val="en-US"/>
        </w:rPr>
        <w:t xml:space="preserve"> For the poem and an hypothesis of identification of the bust see ibid., 111. </w:t>
      </w:r>
    </w:p>
  </w:footnote>
  <w:footnote w:id="5">
    <w:p w14:paraId="1E49E487" w14:textId="6D3CDF6C" w:rsidR="001A3142" w:rsidRPr="00681F9A" w:rsidRDefault="00E46BE8">
      <w:pPr>
        <w:pStyle w:val="FootnoteText"/>
      </w:pPr>
      <w:r>
        <w:rPr>
          <w:rStyle w:val="FootnoteReference"/>
        </w:rPr>
        <w:footnoteRef/>
      </w:r>
      <w:r w:rsidRPr="003B65CB">
        <w:rPr>
          <w:lang w:val="es-CO"/>
        </w:rPr>
        <w:t xml:space="preserve"> Damianaki Romano, “Zuan Zorzi Lascaris,” 114–17.</w:t>
      </w:r>
    </w:p>
  </w:footnote>
  <w:footnote w:id="6">
    <w:p w14:paraId="7EDF45FA" w14:textId="5AB58AC8" w:rsidR="009E0CCD" w:rsidRPr="00681F9A" w:rsidRDefault="00E46BE8" w:rsidP="003E1FD8">
      <w:pPr>
        <w:pStyle w:val="FootnoteText"/>
        <w:rPr>
          <w:lang w:val="en-US"/>
        </w:rPr>
      </w:pPr>
      <w:r>
        <w:rPr>
          <w:rStyle w:val="FootnoteReference"/>
        </w:rPr>
        <w:footnoteRef/>
      </w:r>
      <w:r w:rsidRPr="00681F9A">
        <w:rPr>
          <w:lang w:val="en-US"/>
        </w:rPr>
        <w:t xml:space="preserve"> These literary mentions of the work are quoted and discussed ibid. (for Gauricus and Guarini), 112</w:t>
      </w:r>
      <w:bookmarkStart w:id="0" w:name="_Hlk71986763"/>
      <w:r w:rsidRPr="00681F9A">
        <w:rPr>
          <w:lang w:val="en-US"/>
        </w:rPr>
        <w:t>–</w:t>
      </w:r>
      <w:bookmarkEnd w:id="0"/>
      <w:r w:rsidRPr="00681F9A">
        <w:rPr>
          <w:lang w:val="en-US"/>
        </w:rPr>
        <w:t xml:space="preserve">14; Callegari, “Sculture,” 162, and Bacchi, “Riflessioni,” 112, n. 3  (for the hypothesis that the sculpture was mentioned in the </w:t>
      </w:r>
      <w:r w:rsidRPr="00681F9A">
        <w:rPr>
          <w:i/>
          <w:iCs/>
          <w:lang w:val="en-US"/>
        </w:rPr>
        <w:t>Hypnerotomachia Poliphili</w:t>
      </w:r>
      <w:r w:rsidRPr="00681F9A">
        <w:rPr>
          <w:lang w:val="en-US"/>
        </w:rPr>
        <w:t xml:space="preserve">). </w:t>
      </w:r>
    </w:p>
  </w:footnote>
  <w:footnote w:id="7">
    <w:p w14:paraId="4B74EC54" w14:textId="24354308" w:rsidR="003D71DE" w:rsidRPr="003D71DE" w:rsidRDefault="00E46BE8" w:rsidP="00175B20">
      <w:pPr>
        <w:pStyle w:val="FootnoteText"/>
        <w:rPr>
          <w:lang w:val="en-US"/>
        </w:rPr>
      </w:pPr>
      <w:r>
        <w:rPr>
          <w:rStyle w:val="FootnoteReference"/>
        </w:rPr>
        <w:footnoteRef/>
      </w:r>
      <w:r w:rsidRPr="003D71DE">
        <w:rPr>
          <w:lang w:val="en-US"/>
        </w:rPr>
        <w:t xml:space="preserve"> This is the version of the famous mythologic anecdote that we read in Ausonius’s </w:t>
      </w:r>
      <w:r w:rsidRPr="003D71DE">
        <w:rPr>
          <w:i/>
          <w:iCs/>
          <w:lang w:val="en-US"/>
        </w:rPr>
        <w:t>Cupido cruciatus</w:t>
      </w:r>
      <w:r w:rsidRPr="003D71DE">
        <w:rPr>
          <w:lang w:val="en-US"/>
        </w:rPr>
        <w:t>, 84–85.</w:t>
      </w:r>
    </w:p>
  </w:footnote>
  <w:footnote w:id="8">
    <w:p w14:paraId="631D1A59" w14:textId="36A64A79" w:rsidR="009E0CCD" w:rsidRPr="00BF6CA6" w:rsidRDefault="00E46BE8">
      <w:pPr>
        <w:pStyle w:val="FootnoteText"/>
        <w:rPr>
          <w:lang w:val="en-US"/>
        </w:rPr>
      </w:pPr>
      <w:r>
        <w:rPr>
          <w:rStyle w:val="FootnoteReference"/>
        </w:rPr>
        <w:footnoteRef/>
      </w:r>
      <w:r w:rsidR="00031A52" w:rsidRPr="00031A52">
        <w:rPr>
          <w:lang w:val="en-US"/>
        </w:rPr>
        <w:t xml:space="preserve"> As a consequence of the immigration of scholars from the former territories of the Byzantine Empire, late-Quattrocento Italy had seen the critical rediscovery, widespread manuscript circulation and first edition (1494) of the </w:t>
      </w:r>
      <w:r w:rsidR="00031A52" w:rsidRPr="00031A52">
        <w:rPr>
          <w:i/>
          <w:iCs/>
          <w:lang w:val="en-US"/>
        </w:rPr>
        <w:t>Planudean Anthology</w:t>
      </w:r>
      <w:r w:rsidR="00031A52" w:rsidRPr="00031A52">
        <w:rPr>
          <w:lang w:val="en-US"/>
        </w:rPr>
        <w:t xml:space="preserve">, a poetic sylloge (assembled in Constantinople between 1299 and 1301) that at the time was the only known part of what today is the </w:t>
      </w:r>
      <w:r w:rsidR="00031A52" w:rsidRPr="00031A52">
        <w:rPr>
          <w:i/>
          <w:iCs/>
          <w:lang w:val="en-US"/>
        </w:rPr>
        <w:t>Greek Anthology</w:t>
      </w:r>
      <w:r w:rsidR="00031A52" w:rsidRPr="00031A52">
        <w:rPr>
          <w:lang w:val="en-US"/>
        </w:rPr>
        <w:t xml:space="preserve">. On this, see esp. James Hutton, </w:t>
      </w:r>
      <w:r w:rsidR="00031A52" w:rsidRPr="00031A52">
        <w:rPr>
          <w:i/>
          <w:iCs/>
          <w:lang w:val="en-US"/>
        </w:rPr>
        <w:t>The Greek Anthology in Italy to the Year 1800</w:t>
      </w:r>
      <w:r w:rsidR="00031A52" w:rsidRPr="00031A52">
        <w:rPr>
          <w:lang w:val="en-US"/>
        </w:rPr>
        <w:t xml:space="preserve"> (Ithaca, NY: Cornell University Press, 1935), 1, 29–45, and 91–150; for a list of the poems that were included in the collection see </w:t>
      </w:r>
      <w:r w:rsidR="00031A52" w:rsidRPr="00031A52">
        <w:rPr>
          <w:i/>
          <w:iCs/>
          <w:lang w:val="en-US"/>
        </w:rPr>
        <w:t>Anthologia Graeca</w:t>
      </w:r>
      <w:r w:rsidR="00031A52" w:rsidRPr="00031A52">
        <w:rPr>
          <w:lang w:val="en-US"/>
        </w:rPr>
        <w:t xml:space="preserve">, ed. Hermann Beckby (Munich: Heimeran, 1965–1967), 4 vols., 4, 576–86. For relevant examples of ekphrastic epigrams with interrogative structures see, among others, </w:t>
      </w:r>
      <w:r w:rsidR="00031A52" w:rsidRPr="00031A52">
        <w:rPr>
          <w:i/>
          <w:iCs/>
          <w:lang w:val="en-US"/>
        </w:rPr>
        <w:t>Greek Anthology</w:t>
      </w:r>
      <w:r w:rsidR="00031A52" w:rsidRPr="00031A52">
        <w:rPr>
          <w:lang w:val="en-US"/>
        </w:rPr>
        <w:t xml:space="preserve"> 7.421 and 424.  </w:t>
      </w:r>
    </w:p>
  </w:footnote>
  <w:footnote w:id="9">
    <w:p w14:paraId="00D0279B" w14:textId="019A0F79" w:rsidR="005D6521" w:rsidRPr="005C3733" w:rsidRDefault="00E46BE8" w:rsidP="003E1FD8">
      <w:pPr>
        <w:pStyle w:val="FootnoteText"/>
        <w:rPr>
          <w:lang w:val="en-US"/>
        </w:rPr>
      </w:pPr>
      <w:r>
        <w:rPr>
          <w:rStyle w:val="FootnoteReference"/>
        </w:rPr>
        <w:footnoteRef/>
      </w:r>
      <w:r w:rsidRPr="00EE03EC">
        <w:rPr>
          <w:lang w:val="en-US"/>
        </w:rPr>
        <w:t xml:space="preserve"> XXXXXX. On this manuscript and Colocci’s other </w:t>
      </w:r>
      <w:r w:rsidRPr="00EE03EC">
        <w:rPr>
          <w:i/>
          <w:iCs/>
          <w:lang w:val="en-US"/>
        </w:rPr>
        <w:t>Epigrammatari</w:t>
      </w:r>
      <w:r w:rsidRPr="00EE03EC">
        <w:rPr>
          <w:lang w:val="en-US"/>
        </w:rPr>
        <w:t xml:space="preserve"> see most recently Nadia Cannata,</w:t>
      </w:r>
      <w:r w:rsidRPr="00EE03EC">
        <w:rPr>
          <w:i/>
          <w:iCs/>
          <w:lang w:val="en-US"/>
        </w:rPr>
        <w:t xml:space="preserve"> </w:t>
      </w:r>
      <w:r w:rsidRPr="00EE03EC">
        <w:rPr>
          <w:lang w:val="en-US"/>
        </w:rPr>
        <w:t>“Building the Canon in 1530s Rome: Colocci’s Epigrammatari as a Test Case,”</w:t>
      </w:r>
      <w:r w:rsidRPr="00EE03EC">
        <w:rPr>
          <w:i/>
          <w:iCs/>
          <w:lang w:val="en-US"/>
        </w:rPr>
        <w:t xml:space="preserve"> </w:t>
      </w:r>
      <w:r w:rsidRPr="00EE03EC">
        <w:rPr>
          <w:lang w:val="en-US"/>
        </w:rPr>
        <w:t>in</w:t>
      </w:r>
      <w:r w:rsidRPr="00EE03EC">
        <w:rPr>
          <w:i/>
          <w:iCs/>
          <w:lang w:val="en-US"/>
        </w:rPr>
        <w:t xml:space="preserve"> Building the Canon through the Classics</w:t>
      </w:r>
      <w:r w:rsidRPr="00EE03EC">
        <w:rPr>
          <w:lang w:val="en-US"/>
        </w:rPr>
        <w:t xml:space="preserve">, ed. Eloisa Morra (Leiden / Boston: Brill, 2019), 146–57. </w:t>
      </w:r>
    </w:p>
  </w:footnote>
  <w:footnote w:id="10">
    <w:p w14:paraId="6AC354B0" w14:textId="0E504F41" w:rsidR="00A336DF" w:rsidRPr="00A336DF" w:rsidRDefault="00E46BE8" w:rsidP="003E1FD8">
      <w:pPr>
        <w:pStyle w:val="FootnoteText"/>
        <w:rPr>
          <w:lang w:val="en-US"/>
        </w:rPr>
      </w:pPr>
      <w:r>
        <w:rPr>
          <w:rStyle w:val="FootnoteReference"/>
        </w:rPr>
        <w:footnoteRef/>
      </w:r>
      <w:r w:rsidRPr="00EC72DE">
        <w:rPr>
          <w:lang w:val="en-US"/>
        </w:rPr>
        <w:t xml:space="preserve"> The hypothesis was first formulated in Leo Planiscig, </w:t>
      </w:r>
      <w:r w:rsidRPr="00EC72DE">
        <w:rPr>
          <w:i/>
          <w:iCs/>
          <w:lang w:val="en-US"/>
        </w:rPr>
        <w:t>Venezianische Bildhauer der Renaissance</w:t>
      </w:r>
      <w:r w:rsidRPr="00EC72DE">
        <w:rPr>
          <w:lang w:val="en-US"/>
        </w:rPr>
        <w:t xml:space="preserve"> (Vienna: Schroll, 1921), 199, and has been more recently revived in Damianaki Romano, “Zuan Zorzi Lascaris,” 120.</w:t>
      </w:r>
    </w:p>
  </w:footnote>
  <w:footnote w:id="11">
    <w:p w14:paraId="7ECBEFCC" w14:textId="39FD303B" w:rsidR="008213D4" w:rsidRPr="008213D4" w:rsidRDefault="00E46BE8" w:rsidP="003E1FD8">
      <w:pPr>
        <w:pStyle w:val="FootnoteText"/>
      </w:pPr>
      <w:r>
        <w:rPr>
          <w:rStyle w:val="FootnoteReference"/>
        </w:rPr>
        <w:footnoteRef/>
      </w:r>
      <w:r>
        <w:rPr>
          <w:lang w:val="en-US"/>
        </w:rPr>
        <w:t xml:space="preserve"> For the chronology see Matteo Largaiolli, “Tebaldi, Antonio,” in </w:t>
      </w:r>
      <w:r>
        <w:rPr>
          <w:i/>
          <w:iCs/>
          <w:lang w:val="en-US"/>
        </w:rPr>
        <w:t>Dizionario Biografico degli Italiani</w:t>
      </w:r>
      <w:r>
        <w:rPr>
          <w:lang w:val="en-US"/>
        </w:rPr>
        <w:t xml:space="preserve"> (Rome: Istituto della Enciclopedia Italiana, 2019), consulted online: </w:t>
      </w:r>
      <w:hyperlink r:id="rId1" w:history="1">
        <w:r w:rsidRPr="00F40E73">
          <w:rPr>
            <w:rStyle w:val="Hyperlink"/>
            <w:lang w:val="en-US"/>
          </w:rPr>
          <w:t>https://www.treccani.it/enciclopedia/antonio-tebaldi_%28Dizionario-Biografico%29/</w:t>
        </w:r>
      </w:hyperlink>
      <w:r>
        <w:rPr>
          <w:lang w:val="en-US"/>
        </w:rPr>
        <w:t xml:space="preserve">. On Tebaldeo’s poetry on artistic subjects see esp. Lina Bolzoni, </w:t>
      </w:r>
      <w:r>
        <w:rPr>
          <w:i/>
          <w:iCs/>
          <w:lang w:val="en-US"/>
        </w:rPr>
        <w:t>Poesia e ritratto nel Rinascimento</w:t>
      </w:r>
      <w:r>
        <w:rPr>
          <w:lang w:val="en-US"/>
        </w:rPr>
        <w:t xml:space="preserve"> (Rome / Bari: Laterza, 2008), 51–53, 142–45, 157–67, with further references.</w:t>
      </w:r>
    </w:p>
  </w:footnote>
  <w:footnote w:id="12">
    <w:p w14:paraId="67FB0CE7" w14:textId="41300E94" w:rsidR="00E922AD" w:rsidRPr="003E1FD8" w:rsidRDefault="00E46BE8" w:rsidP="003E1FD8">
      <w:pPr>
        <w:pStyle w:val="FootnoteText"/>
        <w:rPr>
          <w:color w:val="000000"/>
          <w:shd w:val="clear" w:color="auto" w:fill="FFFFFF"/>
        </w:rPr>
      </w:pPr>
      <w:r>
        <w:rPr>
          <w:rStyle w:val="FootnoteReference"/>
        </w:rPr>
        <w:footnoteRef/>
      </w:r>
      <w:r w:rsidRPr="00E922AD">
        <w:rPr>
          <w:lang w:val="en-US"/>
        </w:rPr>
        <w:t xml:space="preserve"> See Ulrich Pfisterer, </w:t>
      </w:r>
      <w:r w:rsidRPr="00E922AD">
        <w:rPr>
          <w:i/>
          <w:iCs/>
          <w:lang w:val="en-US"/>
        </w:rPr>
        <w:t>L’artista procreatore. L’amore e le arti nella prima età moderna</w:t>
      </w:r>
      <w:r w:rsidR="006A2EA5" w:rsidRPr="00E922AD">
        <w:rPr>
          <w:color w:val="000000"/>
          <w:shd w:val="clear" w:color="auto" w:fill="FFFFFF"/>
          <w:lang w:val="en-US"/>
        </w:rPr>
        <w:t xml:space="preserve"> (Rome: Campisano, 2018; original German version: Berlin: Wagenbach, 2014), 25</w:t>
      </w:r>
      <w:r w:rsidR="00E922AD" w:rsidRPr="008213D4">
        <w:rPr>
          <w:lang w:val="en-US"/>
        </w:rPr>
        <w:t>–52</w:t>
      </w:r>
      <w:r w:rsidR="006A2EA5" w:rsidRPr="00E922AD">
        <w:rPr>
          <w:color w:val="000000"/>
          <w:shd w:val="clear" w:color="auto" w:fill="FFFFFF"/>
          <w:lang w:val="en-US"/>
        </w:rPr>
        <w:t>.</w:t>
      </w:r>
    </w:p>
  </w:footnote>
  <w:footnote w:id="13">
    <w:p w14:paraId="531D2985" w14:textId="30DA7994" w:rsidR="00C06C62" w:rsidRPr="00924307" w:rsidRDefault="00E46BE8">
      <w:pPr>
        <w:pStyle w:val="FootnoteText"/>
        <w:rPr>
          <w:lang w:val="en-US"/>
        </w:rPr>
      </w:pPr>
      <w:r>
        <w:rPr>
          <w:rStyle w:val="FootnoteReference"/>
        </w:rPr>
        <w:footnoteRef/>
      </w:r>
      <w:r w:rsidRPr="00924307">
        <w:rPr>
          <w:lang w:val="en-US"/>
        </w:rPr>
        <w:t xml:space="preserve"> For a discussion of this concept as well as of relevant examples of epigrams see Simon Goldhill, “The Naïve and Knowing Eye: Ecphrasis and the Culture of Viewing in the Hellenistic World,” in </w:t>
      </w:r>
      <w:r w:rsidRPr="00924307">
        <w:rPr>
          <w:i/>
          <w:iCs/>
          <w:lang w:val="en-US"/>
        </w:rPr>
        <w:t>Art and Text in Ancient Greek Culture</w:t>
      </w:r>
      <w:r w:rsidRPr="00924307">
        <w:rPr>
          <w:lang w:val="en-US"/>
        </w:rPr>
        <w:t>, eds. Simon Goldhill and Robin Osborne (Cambridge: Cambridge University Press, 1994), 197–223.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F8"/>
    <w:rsid w:val="0000110B"/>
    <w:rsid w:val="000271D4"/>
    <w:rsid w:val="00031A52"/>
    <w:rsid w:val="00043C1B"/>
    <w:rsid w:val="0006086D"/>
    <w:rsid w:val="000679FE"/>
    <w:rsid w:val="0007565E"/>
    <w:rsid w:val="00075C02"/>
    <w:rsid w:val="00086332"/>
    <w:rsid w:val="00092529"/>
    <w:rsid w:val="00096BB6"/>
    <w:rsid w:val="000B2322"/>
    <w:rsid w:val="000C1FBA"/>
    <w:rsid w:val="001070BD"/>
    <w:rsid w:val="0012665F"/>
    <w:rsid w:val="00143978"/>
    <w:rsid w:val="00151E2A"/>
    <w:rsid w:val="00175B20"/>
    <w:rsid w:val="00175FF4"/>
    <w:rsid w:val="00190CBE"/>
    <w:rsid w:val="001A3142"/>
    <w:rsid w:val="001A5092"/>
    <w:rsid w:val="0020378C"/>
    <w:rsid w:val="002157F3"/>
    <w:rsid w:val="00220EE5"/>
    <w:rsid w:val="002343D5"/>
    <w:rsid w:val="00237512"/>
    <w:rsid w:val="00242657"/>
    <w:rsid w:val="002441FB"/>
    <w:rsid w:val="00245DC6"/>
    <w:rsid w:val="00253ADA"/>
    <w:rsid w:val="002800C8"/>
    <w:rsid w:val="00281D92"/>
    <w:rsid w:val="002838E5"/>
    <w:rsid w:val="002B1BCE"/>
    <w:rsid w:val="002D333B"/>
    <w:rsid w:val="002E0E94"/>
    <w:rsid w:val="002F73E5"/>
    <w:rsid w:val="003013BE"/>
    <w:rsid w:val="00326F0F"/>
    <w:rsid w:val="00354E5D"/>
    <w:rsid w:val="00394AB1"/>
    <w:rsid w:val="003B65CB"/>
    <w:rsid w:val="003D71DE"/>
    <w:rsid w:val="003E1FD8"/>
    <w:rsid w:val="003E319D"/>
    <w:rsid w:val="003E6E32"/>
    <w:rsid w:val="003F2CB3"/>
    <w:rsid w:val="00407097"/>
    <w:rsid w:val="0041256E"/>
    <w:rsid w:val="00417932"/>
    <w:rsid w:val="00461257"/>
    <w:rsid w:val="0049049C"/>
    <w:rsid w:val="00491388"/>
    <w:rsid w:val="0049601C"/>
    <w:rsid w:val="004B3CCA"/>
    <w:rsid w:val="004C53F4"/>
    <w:rsid w:val="004E478C"/>
    <w:rsid w:val="00500755"/>
    <w:rsid w:val="00521A6F"/>
    <w:rsid w:val="005264CE"/>
    <w:rsid w:val="0054397C"/>
    <w:rsid w:val="005567B7"/>
    <w:rsid w:val="00564653"/>
    <w:rsid w:val="00570D71"/>
    <w:rsid w:val="00572E36"/>
    <w:rsid w:val="00586B97"/>
    <w:rsid w:val="005B47CA"/>
    <w:rsid w:val="005C1A3B"/>
    <w:rsid w:val="005C2E70"/>
    <w:rsid w:val="005C3733"/>
    <w:rsid w:val="005D3A47"/>
    <w:rsid w:val="005D6521"/>
    <w:rsid w:val="005F0117"/>
    <w:rsid w:val="00601BA6"/>
    <w:rsid w:val="00616833"/>
    <w:rsid w:val="00617294"/>
    <w:rsid w:val="00624E43"/>
    <w:rsid w:val="00626A3D"/>
    <w:rsid w:val="006778ED"/>
    <w:rsid w:val="00681F9A"/>
    <w:rsid w:val="00692E48"/>
    <w:rsid w:val="00697B24"/>
    <w:rsid w:val="006A2EA5"/>
    <w:rsid w:val="006B674C"/>
    <w:rsid w:val="006D55B1"/>
    <w:rsid w:val="006F0ABC"/>
    <w:rsid w:val="0070017B"/>
    <w:rsid w:val="007014EA"/>
    <w:rsid w:val="00713232"/>
    <w:rsid w:val="0071370E"/>
    <w:rsid w:val="00714270"/>
    <w:rsid w:val="007155BD"/>
    <w:rsid w:val="00717D4C"/>
    <w:rsid w:val="007316B0"/>
    <w:rsid w:val="00732249"/>
    <w:rsid w:val="00742E8F"/>
    <w:rsid w:val="0074789C"/>
    <w:rsid w:val="00750778"/>
    <w:rsid w:val="00756D79"/>
    <w:rsid w:val="00761BF5"/>
    <w:rsid w:val="007645A1"/>
    <w:rsid w:val="00767FE4"/>
    <w:rsid w:val="00791A1B"/>
    <w:rsid w:val="00794F45"/>
    <w:rsid w:val="007A7682"/>
    <w:rsid w:val="007B162A"/>
    <w:rsid w:val="007C2F40"/>
    <w:rsid w:val="007C43A6"/>
    <w:rsid w:val="007C5A79"/>
    <w:rsid w:val="007C69E3"/>
    <w:rsid w:val="008117C1"/>
    <w:rsid w:val="008213D4"/>
    <w:rsid w:val="0083224A"/>
    <w:rsid w:val="00834913"/>
    <w:rsid w:val="008455FB"/>
    <w:rsid w:val="00860571"/>
    <w:rsid w:val="008759E9"/>
    <w:rsid w:val="00894136"/>
    <w:rsid w:val="00894437"/>
    <w:rsid w:val="008A05FD"/>
    <w:rsid w:val="008A7834"/>
    <w:rsid w:val="008D79E2"/>
    <w:rsid w:val="008F3035"/>
    <w:rsid w:val="008F309B"/>
    <w:rsid w:val="00907412"/>
    <w:rsid w:val="00924307"/>
    <w:rsid w:val="00927512"/>
    <w:rsid w:val="00931990"/>
    <w:rsid w:val="00965A5E"/>
    <w:rsid w:val="009C4F4B"/>
    <w:rsid w:val="009D340F"/>
    <w:rsid w:val="009E0CCD"/>
    <w:rsid w:val="009E1F53"/>
    <w:rsid w:val="009F0369"/>
    <w:rsid w:val="009F256D"/>
    <w:rsid w:val="009F66C0"/>
    <w:rsid w:val="00A228D4"/>
    <w:rsid w:val="00A336DF"/>
    <w:rsid w:val="00A40D3C"/>
    <w:rsid w:val="00A41887"/>
    <w:rsid w:val="00A52AEC"/>
    <w:rsid w:val="00A67302"/>
    <w:rsid w:val="00A826FF"/>
    <w:rsid w:val="00A86268"/>
    <w:rsid w:val="00A91772"/>
    <w:rsid w:val="00AA1EAD"/>
    <w:rsid w:val="00AC5394"/>
    <w:rsid w:val="00AD215C"/>
    <w:rsid w:val="00AD7168"/>
    <w:rsid w:val="00AE1AE5"/>
    <w:rsid w:val="00AE6210"/>
    <w:rsid w:val="00B21070"/>
    <w:rsid w:val="00B32A4F"/>
    <w:rsid w:val="00B352D3"/>
    <w:rsid w:val="00B427D3"/>
    <w:rsid w:val="00B66480"/>
    <w:rsid w:val="00B745BC"/>
    <w:rsid w:val="00BC19E8"/>
    <w:rsid w:val="00BC680B"/>
    <w:rsid w:val="00BD0332"/>
    <w:rsid w:val="00BE713D"/>
    <w:rsid w:val="00BE7672"/>
    <w:rsid w:val="00BF6CA6"/>
    <w:rsid w:val="00C0539B"/>
    <w:rsid w:val="00C06C62"/>
    <w:rsid w:val="00C21B63"/>
    <w:rsid w:val="00C25C66"/>
    <w:rsid w:val="00C40D69"/>
    <w:rsid w:val="00C55B5C"/>
    <w:rsid w:val="00C76C9F"/>
    <w:rsid w:val="00CA5209"/>
    <w:rsid w:val="00CB2B4F"/>
    <w:rsid w:val="00CC1D6D"/>
    <w:rsid w:val="00CD5335"/>
    <w:rsid w:val="00CF4AA0"/>
    <w:rsid w:val="00D17162"/>
    <w:rsid w:val="00D247E7"/>
    <w:rsid w:val="00D4424A"/>
    <w:rsid w:val="00D53502"/>
    <w:rsid w:val="00D55A37"/>
    <w:rsid w:val="00D67ADC"/>
    <w:rsid w:val="00D7399A"/>
    <w:rsid w:val="00D855C1"/>
    <w:rsid w:val="00D8608C"/>
    <w:rsid w:val="00D92E85"/>
    <w:rsid w:val="00D963ED"/>
    <w:rsid w:val="00DB1336"/>
    <w:rsid w:val="00DB3E94"/>
    <w:rsid w:val="00DB7110"/>
    <w:rsid w:val="00DD066F"/>
    <w:rsid w:val="00E015F8"/>
    <w:rsid w:val="00E46BE8"/>
    <w:rsid w:val="00E5755B"/>
    <w:rsid w:val="00E62C4C"/>
    <w:rsid w:val="00E80ADE"/>
    <w:rsid w:val="00E902B8"/>
    <w:rsid w:val="00E922AD"/>
    <w:rsid w:val="00E965C1"/>
    <w:rsid w:val="00EC72DE"/>
    <w:rsid w:val="00ED7E7C"/>
    <w:rsid w:val="00EE03EC"/>
    <w:rsid w:val="00EE49BA"/>
    <w:rsid w:val="00EF1500"/>
    <w:rsid w:val="00F1146B"/>
    <w:rsid w:val="00F1678C"/>
    <w:rsid w:val="00F207A5"/>
    <w:rsid w:val="00F40E73"/>
    <w:rsid w:val="00F416A5"/>
    <w:rsid w:val="00F6650B"/>
    <w:rsid w:val="00F772AF"/>
    <w:rsid w:val="00F84E5E"/>
    <w:rsid w:val="00F962A7"/>
    <w:rsid w:val="00FB28DB"/>
    <w:rsid w:val="00FB7606"/>
    <w:rsid w:val="00FF592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t-IT" w:eastAsia="en-US" w:bidi="ar-SA"/>
      </w:rPr>
    </w:rPrDefault>
    <w:pPrDefault>
      <w:pPr>
        <w:spacing w:line="48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567B7"/>
    <w:pPr>
      <w:tabs>
        <w:tab w:val="center" w:pos="4819"/>
        <w:tab w:val="right" w:pos="9638"/>
      </w:tabs>
      <w:spacing w:line="240" w:lineRule="auto"/>
    </w:pPr>
  </w:style>
  <w:style w:type="character" w:customStyle="1" w:styleId="HeaderChar">
    <w:name w:val="Header Char"/>
    <w:basedOn w:val="DefaultParagraphFont"/>
    <w:link w:val="Header"/>
    <w:uiPriority w:val="99"/>
    <w:rsid w:val="005567B7"/>
  </w:style>
  <w:style w:type="paragraph" w:styleId="Footer">
    <w:name w:val="footer"/>
    <w:basedOn w:val="Normal"/>
    <w:link w:val="FooterChar"/>
    <w:uiPriority w:val="99"/>
    <w:unhideWhenUsed/>
    <w:rsid w:val="005567B7"/>
    <w:pPr>
      <w:tabs>
        <w:tab w:val="center" w:pos="4819"/>
        <w:tab w:val="right" w:pos="9638"/>
      </w:tabs>
      <w:spacing w:line="240" w:lineRule="auto"/>
    </w:pPr>
  </w:style>
  <w:style w:type="character" w:customStyle="1" w:styleId="FooterChar">
    <w:name w:val="Footer Char"/>
    <w:basedOn w:val="DefaultParagraphFont"/>
    <w:link w:val="Footer"/>
    <w:uiPriority w:val="99"/>
    <w:rsid w:val="005567B7"/>
  </w:style>
  <w:style w:type="paragraph" w:styleId="EndnoteText">
    <w:name w:val="endnote text"/>
    <w:basedOn w:val="Normal"/>
    <w:link w:val="EndnoteTextChar"/>
    <w:uiPriority w:val="99"/>
    <w:semiHidden/>
    <w:unhideWhenUsed/>
    <w:rsid w:val="00A86268"/>
    <w:pPr>
      <w:spacing w:line="240" w:lineRule="auto"/>
    </w:pPr>
  </w:style>
  <w:style w:type="character" w:customStyle="1" w:styleId="EndnoteTextChar">
    <w:name w:val="Endnote Text Char"/>
    <w:basedOn w:val="DefaultParagraphFont"/>
    <w:link w:val="EndnoteText"/>
    <w:uiPriority w:val="99"/>
    <w:semiHidden/>
    <w:rsid w:val="00A86268"/>
    <w:rPr>
      <w:sz w:val="20"/>
      <w:szCs w:val="20"/>
    </w:rPr>
  </w:style>
  <w:style w:type="character" w:styleId="EndnoteReference">
    <w:name w:val="endnote reference"/>
    <w:basedOn w:val="DefaultParagraphFont"/>
    <w:uiPriority w:val="99"/>
    <w:semiHidden/>
    <w:unhideWhenUsed/>
    <w:rsid w:val="00A86268"/>
    <w:rPr>
      <w:vertAlign w:val="superscript"/>
    </w:rPr>
  </w:style>
  <w:style w:type="paragraph" w:styleId="FootnoteText">
    <w:name w:val="footnote text"/>
    <w:basedOn w:val="Normal"/>
    <w:link w:val="FootnoteTextChar"/>
    <w:uiPriority w:val="99"/>
    <w:semiHidden/>
    <w:unhideWhenUsed/>
    <w:rsid w:val="006F0ABC"/>
    <w:pPr>
      <w:spacing w:line="240" w:lineRule="auto"/>
    </w:pPr>
  </w:style>
  <w:style w:type="character" w:customStyle="1" w:styleId="FootnoteTextChar">
    <w:name w:val="Footnote Text Char"/>
    <w:basedOn w:val="DefaultParagraphFont"/>
    <w:link w:val="FootnoteText"/>
    <w:uiPriority w:val="99"/>
    <w:semiHidden/>
    <w:rsid w:val="006F0ABC"/>
    <w:rPr>
      <w:sz w:val="20"/>
      <w:szCs w:val="20"/>
    </w:rPr>
  </w:style>
  <w:style w:type="character" w:styleId="FootnoteReference">
    <w:name w:val="footnote reference"/>
    <w:basedOn w:val="DefaultParagraphFont"/>
    <w:uiPriority w:val="99"/>
    <w:semiHidden/>
    <w:unhideWhenUsed/>
    <w:rsid w:val="006F0ABC"/>
    <w:rPr>
      <w:vertAlign w:val="superscript"/>
    </w:rPr>
  </w:style>
  <w:style w:type="character" w:styleId="Hyperlink">
    <w:name w:val="Hyperlink"/>
    <w:basedOn w:val="DefaultParagraphFont"/>
    <w:uiPriority w:val="99"/>
    <w:unhideWhenUsed/>
    <w:rsid w:val="00A336DF"/>
    <w:rPr>
      <w:color w:val="0563C1" w:themeColor="hyperlink"/>
      <w:u w:val="single"/>
    </w:rPr>
  </w:style>
  <w:style w:type="character" w:customStyle="1" w:styleId="UnresolvedMention">
    <w:name w:val="Unresolved Mention"/>
    <w:basedOn w:val="DefaultParagraphFont"/>
    <w:uiPriority w:val="99"/>
    <w:semiHidden/>
    <w:unhideWhenUsed/>
    <w:rsid w:val="00A336DF"/>
    <w:rPr>
      <w:color w:val="605E5C"/>
      <w:shd w:val="clear" w:color="auto" w:fill="E1DFDD"/>
    </w:rPr>
  </w:style>
  <w:style w:type="paragraph" w:styleId="BalloonText">
    <w:name w:val="Balloon Text"/>
    <w:basedOn w:val="Normal"/>
    <w:link w:val="BalloonTextChar"/>
    <w:uiPriority w:val="99"/>
    <w:semiHidden/>
    <w:unhideWhenUsed/>
    <w:rsid w:val="00F772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2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t-IT" w:eastAsia="en-US" w:bidi="ar-SA"/>
      </w:rPr>
    </w:rPrDefault>
    <w:pPrDefault>
      <w:pPr>
        <w:spacing w:line="48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567B7"/>
    <w:pPr>
      <w:tabs>
        <w:tab w:val="center" w:pos="4819"/>
        <w:tab w:val="right" w:pos="9638"/>
      </w:tabs>
      <w:spacing w:line="240" w:lineRule="auto"/>
    </w:pPr>
  </w:style>
  <w:style w:type="character" w:customStyle="1" w:styleId="HeaderChar">
    <w:name w:val="Header Char"/>
    <w:basedOn w:val="DefaultParagraphFont"/>
    <w:link w:val="Header"/>
    <w:uiPriority w:val="99"/>
    <w:rsid w:val="005567B7"/>
  </w:style>
  <w:style w:type="paragraph" w:styleId="Footer">
    <w:name w:val="footer"/>
    <w:basedOn w:val="Normal"/>
    <w:link w:val="FooterChar"/>
    <w:uiPriority w:val="99"/>
    <w:unhideWhenUsed/>
    <w:rsid w:val="005567B7"/>
    <w:pPr>
      <w:tabs>
        <w:tab w:val="center" w:pos="4819"/>
        <w:tab w:val="right" w:pos="9638"/>
      </w:tabs>
      <w:spacing w:line="240" w:lineRule="auto"/>
    </w:pPr>
  </w:style>
  <w:style w:type="character" w:customStyle="1" w:styleId="FooterChar">
    <w:name w:val="Footer Char"/>
    <w:basedOn w:val="DefaultParagraphFont"/>
    <w:link w:val="Footer"/>
    <w:uiPriority w:val="99"/>
    <w:rsid w:val="005567B7"/>
  </w:style>
  <w:style w:type="paragraph" w:styleId="EndnoteText">
    <w:name w:val="endnote text"/>
    <w:basedOn w:val="Normal"/>
    <w:link w:val="EndnoteTextChar"/>
    <w:uiPriority w:val="99"/>
    <w:semiHidden/>
    <w:unhideWhenUsed/>
    <w:rsid w:val="00A86268"/>
    <w:pPr>
      <w:spacing w:line="240" w:lineRule="auto"/>
    </w:pPr>
  </w:style>
  <w:style w:type="character" w:customStyle="1" w:styleId="EndnoteTextChar">
    <w:name w:val="Endnote Text Char"/>
    <w:basedOn w:val="DefaultParagraphFont"/>
    <w:link w:val="EndnoteText"/>
    <w:uiPriority w:val="99"/>
    <w:semiHidden/>
    <w:rsid w:val="00A86268"/>
    <w:rPr>
      <w:sz w:val="20"/>
      <w:szCs w:val="20"/>
    </w:rPr>
  </w:style>
  <w:style w:type="character" w:styleId="EndnoteReference">
    <w:name w:val="endnote reference"/>
    <w:basedOn w:val="DefaultParagraphFont"/>
    <w:uiPriority w:val="99"/>
    <w:semiHidden/>
    <w:unhideWhenUsed/>
    <w:rsid w:val="00A86268"/>
    <w:rPr>
      <w:vertAlign w:val="superscript"/>
    </w:rPr>
  </w:style>
  <w:style w:type="paragraph" w:styleId="FootnoteText">
    <w:name w:val="footnote text"/>
    <w:basedOn w:val="Normal"/>
    <w:link w:val="FootnoteTextChar"/>
    <w:uiPriority w:val="99"/>
    <w:semiHidden/>
    <w:unhideWhenUsed/>
    <w:rsid w:val="006F0ABC"/>
    <w:pPr>
      <w:spacing w:line="240" w:lineRule="auto"/>
    </w:pPr>
  </w:style>
  <w:style w:type="character" w:customStyle="1" w:styleId="FootnoteTextChar">
    <w:name w:val="Footnote Text Char"/>
    <w:basedOn w:val="DefaultParagraphFont"/>
    <w:link w:val="FootnoteText"/>
    <w:uiPriority w:val="99"/>
    <w:semiHidden/>
    <w:rsid w:val="006F0ABC"/>
    <w:rPr>
      <w:sz w:val="20"/>
      <w:szCs w:val="20"/>
    </w:rPr>
  </w:style>
  <w:style w:type="character" w:styleId="FootnoteReference">
    <w:name w:val="footnote reference"/>
    <w:basedOn w:val="DefaultParagraphFont"/>
    <w:uiPriority w:val="99"/>
    <w:semiHidden/>
    <w:unhideWhenUsed/>
    <w:rsid w:val="006F0ABC"/>
    <w:rPr>
      <w:vertAlign w:val="superscript"/>
    </w:rPr>
  </w:style>
  <w:style w:type="character" w:styleId="Hyperlink">
    <w:name w:val="Hyperlink"/>
    <w:basedOn w:val="DefaultParagraphFont"/>
    <w:uiPriority w:val="99"/>
    <w:unhideWhenUsed/>
    <w:rsid w:val="00A336DF"/>
    <w:rPr>
      <w:color w:val="0563C1" w:themeColor="hyperlink"/>
      <w:u w:val="single"/>
    </w:rPr>
  </w:style>
  <w:style w:type="character" w:customStyle="1" w:styleId="UnresolvedMention">
    <w:name w:val="Unresolved Mention"/>
    <w:basedOn w:val="DefaultParagraphFont"/>
    <w:uiPriority w:val="99"/>
    <w:semiHidden/>
    <w:unhideWhenUsed/>
    <w:rsid w:val="00A336DF"/>
    <w:rPr>
      <w:color w:val="605E5C"/>
      <w:shd w:val="clear" w:color="auto" w:fill="E1DFDD"/>
    </w:rPr>
  </w:style>
  <w:style w:type="paragraph" w:styleId="BalloonText">
    <w:name w:val="Balloon Text"/>
    <w:basedOn w:val="Normal"/>
    <w:link w:val="BalloonTextChar"/>
    <w:uiPriority w:val="99"/>
    <w:semiHidden/>
    <w:unhideWhenUsed/>
    <w:rsid w:val="00F772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reccani.it/enciclopedia/antonio-tebaldi_%28Dizionario-Biografico%2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8722298-CA25-4EFB-946D-2596DB6D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1527</Words>
  <Characters>8707</Characters>
  <Application>Microsoft Office Word</Application>
  <DocSecurity>0</DocSecurity>
  <Lines>72</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Diletta Gamberini</dc:creator>
  <cp:lastModifiedBy>Avital Tsype</cp:lastModifiedBy>
  <cp:revision>9</cp:revision>
  <dcterms:created xsi:type="dcterms:W3CDTF">2021-05-27T08:22:00Z</dcterms:created>
  <dcterms:modified xsi:type="dcterms:W3CDTF">2021-05-27T09:18:00Z</dcterms:modified>
</cp:coreProperties>
</file>