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EC2F" w14:textId="1B2FF8CD" w:rsidR="00265C52" w:rsidRPr="00265C52" w:rsidRDefault="005814ED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Gentili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signore </w:t>
      </w:r>
      <w:r w:rsidR="00F27248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cari studenti,</w:t>
      </w:r>
    </w:p>
    <w:p w14:paraId="5825C7E0" w14:textId="2FD7C72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(5.275)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Oggi parl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iamo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Antropocene.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descrive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era geologica</w:t>
      </w:r>
      <w:r w:rsidR="00F2724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 cui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è diventato la più grande forza geologica </w:t>
      </w:r>
      <w:r w:rsidR="001A4408">
        <w:rPr>
          <w:rFonts w:ascii="Arial" w:eastAsia="Times New Roman" w:hAnsi="Arial" w:cs="Arial"/>
          <w:sz w:val="20"/>
          <w:szCs w:val="20"/>
          <w:lang w:val="it-IT" w:eastAsia="it-IT"/>
        </w:rPr>
        <w:t>e, perciò,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ha cambiato la terra. È caratteristico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molti attivisti 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ambient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descriv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storia come un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susseguirsi 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eventi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disastr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os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3C71BF81" w14:textId="27A2FCE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XVIII secolo può essere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considerato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inizio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ossia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Illuminismo e della Ragione. Con lo sviluppo della scienza e della tecnologia, con lo sviluppo della macchina a vapore, della ferrovia,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automobile, della rivoluzione industriale, della bomba atomica, si dice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sventura fece il suo corso. Paul J. Crutzen parla della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grande accelerazione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(Crutzen...) che l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 ha prodotto e plasmato.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misura in termini di consumo crescente e accelerato di energia, materie prime e </w:t>
      </w:r>
      <w:r w:rsidR="0075687B">
        <w:rPr>
          <w:rFonts w:ascii="Arial" w:eastAsia="Times New Roman" w:hAnsi="Arial" w:cs="Arial"/>
          <w:sz w:val="20"/>
          <w:szCs w:val="20"/>
          <w:lang w:val="it-IT" w:eastAsia="it-IT"/>
        </w:rPr>
        <w:t>suolo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72CC9D9D" w14:textId="735A16F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soprattutto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è considerata responsabile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E44AA">
        <w:rPr>
          <w:rFonts w:ascii="Arial" w:eastAsia="Times New Roman" w:hAnsi="Arial" w:cs="Arial"/>
          <w:sz w:val="20"/>
          <w:szCs w:val="20"/>
          <w:lang w:val="it-IT" w:eastAsia="it-IT"/>
        </w:rPr>
        <w:t>di questa situazione</w:t>
      </w:r>
      <w:r w:rsidR="00DD5F2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critica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Oggi, 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è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oggetto di una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forte pressione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quanto deve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giustificarsi,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essendo, solo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industria del cemento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uno dei maggiori produttori di CO2, a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prescindere dal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consumo di suolo nelle megalopoli e gli interventi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sull’ambiente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progetti infrastrutturali.</w:t>
      </w:r>
    </w:p>
    <w:p w14:paraId="2EC78380" w14:textId="4CD759B8" w:rsidR="00265C52" w:rsidRPr="00265C52" w:rsidRDefault="00A37A69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ambientale incide direttamente sulla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concezione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Infatti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può essere definita come quella pratica culturale</w:t>
      </w:r>
      <w:r w:rsidR="00D343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 la quale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crea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vivibile,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diverso dalla natura e adeguato alle sue continue e mutevoli esigenze. Marco Vitruvio Pollione,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antico autore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fornisce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prima descrizione scritta dell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e della teoria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corrispondente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racconta che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indifes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quanto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carente”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in base alla definizione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Arnold Gehlen, dev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creare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proprio ambiente, </w:t>
      </w:r>
      <w:r w:rsidR="006C4AEE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costruire edifici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la propria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sopravviv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enza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cambiare la natura. Vitruvio descrive letteralmente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come una macchina che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ha inventato per garantire la propria sopravvivenza.</w:t>
      </w:r>
    </w:p>
    <w:p w14:paraId="370C9BE5" w14:textId="722E18BB" w:rsidR="00265C52" w:rsidRPr="00265C52" w:rsidRDefault="00E61406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ora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sta diventando evidente che la necessità di creare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misura d’uomo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rischi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diventare 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opposto. L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“architettura delle buone intenzioni” (Rowe .....)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cui si può 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definire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grande progetto umano di trasformare il mondo in un Giardino dell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sembra oggi 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aver assunto un’accezione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negativa. Apparentemente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abbiamo a che fare con un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aporia o una contraddizione irrisolvibile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 secondo la quale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le persone lavorano al progetto del Giardino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Eden, più ne distruggono le fondamenta.</w:t>
      </w:r>
    </w:p>
    <w:p w14:paraId="79C56439" w14:textId="5E33F131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è la narra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ufficiale.</w:t>
      </w:r>
    </w:p>
    <w:p w14:paraId="24A2DC37" w14:textId="374D5AE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Tuttavia, oggi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voglio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offrirvi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diversa narrazione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proofErr w:type="spellStart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Forse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perfino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racconto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ampi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grande narra</w:t>
      </w:r>
      <w:r w:rsidR="002D062B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appena delineata.</w:t>
      </w:r>
    </w:p>
    <w:p w14:paraId="16E6E70D" w14:textId="32CC6B9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commentRangeStart w:id="0"/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La mia tesi è</w:t>
      </w:r>
      <w:r w:rsidR="00B30DEE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che l’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architettura moderna </w:t>
      </w:r>
      <w:r w:rsidR="009C199C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si </w:t>
      </w:r>
      <w:r w:rsidR="00810750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sia</w:t>
      </w:r>
      <w:r w:rsidR="009C199C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ripresa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solo nell</w:t>
      </w:r>
      <w:r w:rsidR="009C199C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’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Antropocene.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commentRangeEnd w:id="0"/>
      <w:r w:rsidR="00FC2B23">
        <w:rPr>
          <w:rStyle w:val="Kommentarzeichen"/>
        </w:rPr>
        <w:commentReference w:id="0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Come se l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 avesse bisogno della crisi climatica, della scarsità di risorse, come se l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 avesse 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bisogno dell</w:t>
      </w:r>
      <w:r w:rsidR="007B7830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’</w:t>
      </w:r>
      <w:r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escalation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</w:t>
      </w:r>
      <w:r w:rsidR="007B7830" w:rsidRPr="00BC2447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riprendersi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sviluppare il suo potenziale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in quanto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architettura.</w:t>
      </w:r>
    </w:p>
    <w:p w14:paraId="333A92A0" w14:textId="473C9BA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Permettetemi un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breve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descrizione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Con il motto “Non demolizione, ma </w:t>
      </w:r>
      <w:r w:rsidR="007B7830" w:rsidRPr="00FC2B23">
        <w:rPr>
          <w:rFonts w:ascii="Arial" w:eastAsia="Times New Roman" w:hAnsi="Arial" w:cs="Arial"/>
          <w:sz w:val="20"/>
          <w:szCs w:val="20"/>
          <w:lang w:val="it-IT" w:eastAsia="it-IT"/>
        </w:rPr>
        <w:t>ricostruzione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”, con l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esigenza di 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di trasformazione, di costruire nella struttura esistente, la modernità sta recuperando quella qualità che le è sempre stata negata: storia e continuità storica. La modernità è sempre stata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di fuori della storia. Laddove rinnovamento e ampliamento sono sempre più richiesti per ragioni di sostenibilità, l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moderna, per parlare con Aldo Rossi, recupera ciò che mancava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qualità della 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6917C0BD" w14:textId="6747E1C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dirla </w:t>
      </w:r>
      <w:r w:rsidR="00BA19EC">
        <w:rPr>
          <w:rFonts w:ascii="Arial" w:eastAsia="Times New Roman" w:hAnsi="Arial" w:cs="Arial"/>
          <w:sz w:val="20"/>
          <w:szCs w:val="20"/>
          <w:lang w:val="it-IT" w:eastAsia="it-IT"/>
        </w:rPr>
        <w:t>in modo più preciso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: qualsiasi grattacielo che non viene demolito, ma trasformato e 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ricostruito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può diventare un Palazzo</w:t>
      </w:r>
      <w:r w:rsidRPr="00B114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B1147D" w:rsidRPr="00B114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Ragione. Conosc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ete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esempio di Aldo Rossi, il Palazzo della Ragione a Padova. Rossi mostra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questo caso,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che la costruzione di questo edificio è continuata nel corso dei secoli e che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, 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tipo di edificio è rimasto lo stesso. Nella trasformazione del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struttura architettonica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si è caricato di storia, uno dei presupposti importanti per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identità e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autenticità della città.</w:t>
      </w:r>
    </w:p>
    <w:p w14:paraId="4F4A10D7" w14:textId="798860B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 nostro atteggiamento nei confronti delle cose sta cambiando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data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pressione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determinata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problemi di sostenibilità. La trasformazione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conferisce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moderna, come si potrebbe dire con Walter Benjamin, il suo </w:t>
      </w:r>
      <w:r w:rsidR="00431BC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(Benjamin 577). Si può parlare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 xml:space="preserve">sostenibilità culturale come condizione fondamentale per la 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D7D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città. Con 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indice storico, la città moderna ritrova la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propria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memoria culturale.</w:t>
      </w:r>
    </w:p>
    <w:p w14:paraId="6774DD72" w14:textId="2CC4431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09605A59" w14:textId="22611E2B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spiegare la mia tesi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relativa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 della modernità nell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vorrei esaminare criticamente alcuni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definiscono la modernità e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riconducono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alla sua essenza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È un tentativo di de-ideologizzare i concetti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fondamentali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modernità.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Si tratta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depurar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dalle riformulazioni funzionaliste,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moderne, strutturaliste, decostruttivist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Sarà emozionante vedere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qual è il risultato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5076CC71" w14:textId="178E76FD" w:rsidR="00265C52" w:rsidRPr="00265C52" w:rsidRDefault="00E9778B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Dato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poco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tempo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disponibile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vorrei limitarmi a quattro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fondamentali:</w:t>
      </w:r>
    </w:p>
    <w:p w14:paraId="788DE928" w14:textId="2DE6AC2C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</w:t>
      </w:r>
      <w:r w:rsidR="00F0354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</w:p>
    <w:p w14:paraId="7736A920" w14:textId="7CE542CC" w:rsidR="00265C52" w:rsidRPr="00265C52" w:rsidRDefault="00F03546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</w:t>
      </w:r>
    </w:p>
    <w:p w14:paraId="07032BBC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Resistenza materiale delle cose</w:t>
      </w:r>
    </w:p>
    <w:p w14:paraId="1FB18F8F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</w:p>
    <w:p w14:paraId="79DD26A1" w14:textId="64A0467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41FEBD8" w14:textId="48AD5F8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1 Eccentricità dell</w:t>
      </w:r>
      <w:r w:rsidR="00E915D9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uomo (3.424)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Con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atica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esiste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molta incertezza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rispetto alla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posizione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odierna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nel mond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è associato all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idea di post-umanesimo. Il termine post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sta a significare che qualcosa di fondamentale è cambiato, che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non è più al centro del mondo, come nei 500 anni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precedenti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 partire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dal Rinascimento. Si evoca una svolta o un cambio di paradigma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nell’immagine che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é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del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suo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837FA">
        <w:rPr>
          <w:rFonts w:ascii="Arial" w:eastAsia="Times New Roman" w:hAnsi="Arial" w:cs="Arial"/>
          <w:sz w:val="20"/>
          <w:szCs w:val="20"/>
          <w:lang w:val="it-IT" w:eastAsia="it-IT"/>
        </w:rPr>
        <w:t>posto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</w:t>
      </w:r>
    </w:p>
    <w:p w14:paraId="47A792F6" w14:textId="05939293" w:rsidR="00265C52" w:rsidRPr="00265C52" w:rsidRDefault="007837FA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deve essere esaminato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modo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Ritengo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 in questo caso,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CB7A8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abbia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che fare con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malinteso.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Il malinteso consiste nel fatto che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manesimo, così come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sviluppato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XV secolo, avrebbe dovuto mettere le persone al centro.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F6389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questione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un po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compless</w:t>
      </w:r>
      <w:r w:rsidR="00F63894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Con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non si sposta semplicemente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verso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centro,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al contrario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il grande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è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L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è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centro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tuttavia, 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accanto, in un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rapporto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tensione dialettica o eccentrica rispetto al mondo.</w:t>
      </w:r>
    </w:p>
    <w:p w14:paraId="02BDCAE0" w14:textId="313D84BE" w:rsidR="00265C52" w:rsidRPr="00265C52" w:rsidRDefault="00623C9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Osserv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iamo il disegno di Leonardo da Vinci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itruviano. Famoso com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rappresenta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esempio della visione del mondo umanistica.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omo vitruviano risale ai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Vitruvio. Ben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al di là 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furono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base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concezione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nel XV secolo.</w:t>
      </w:r>
    </w:p>
    <w:p w14:paraId="461CAF3E" w14:textId="22F4603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Vitruvio scrive: “Se una persona giace supina con le braccia e le gambe divaricate, e si inserisce la punta del compasso nel punto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 e si disegna un cerchio, i polpastrelli di entrambe le mani e le punte delle dita dei piedi sono toccato dal cerchio. Proprio come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si configura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cerchio sul corpo, anche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’immagine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 quadrato si troverà su di esso.”(Vitruv</w:t>
      </w:r>
      <w:r w:rsidR="00845552">
        <w:rPr>
          <w:rFonts w:ascii="Arial" w:eastAsia="Times New Roman" w:hAnsi="Arial" w:cs="Arial"/>
          <w:sz w:val="20"/>
          <w:szCs w:val="20"/>
          <w:lang w:val="it-IT" w:eastAsia="it-IT"/>
        </w:rPr>
        <w:t>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3.1) Quindi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 punti centrali del cerchio e del quadrato 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ombelico, come centro del corpo umano, coincidono in un punto.</w:t>
      </w:r>
    </w:p>
    <w:p w14:paraId="557BBC62" w14:textId="6C5FAD29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Cesare Cesariano (1475-1543) o Walther Hermann Ryff (1500-48) seguono letteralmente la descrizione vitruviana nelle loro rappresentazioni. Il centro presunto della persona,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ombelico, coincide con il centro del cerchio e del quadrato. Le tre figure sono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fissate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infilzate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) come con un ago. È discutibile se si possa effettivamente parlare di un centro occupato d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all’uomo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Si può parlare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piuttosto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un ordine schematico o, meglio, </w:t>
      </w:r>
      <w:commentRangeStart w:id="1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un </w:t>
      </w:r>
      <w:r w:rsidRPr="00B4021F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ordine meccanico o mondiale</w:t>
      </w:r>
      <w:commentRangeEnd w:id="1"/>
      <w:r w:rsidR="00FC2B23">
        <w:rPr>
          <w:rStyle w:val="Kommentarzeichen"/>
        </w:rPr>
        <w:commentReference w:id="1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06F6EACD" w14:textId="3DB6D788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tanto più sorprendente che Leonardo devii in un solo dettaglio apparentemente insignificante nella sua famosa rappresentazione. A differenza di Vitruvio, nella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celebre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rappresentazione di Leonardo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cerchio, il quadrato e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non hanno lo stesso centro. Ci sono due punti medi. L'uomo occupa il centro, ma non del tutto.</w:t>
      </w:r>
    </w:p>
    <w:p w14:paraId="499A5CDD" w14:textId="6989AE7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può parlare di ordine decentrato, dinamico e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ricorrere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all’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antropologia filosofica di Helmuth Plessner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affermare che il rapporto tra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e il mondo sta nel decentramento o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Nell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rinascimentale,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eccentrico rispetto al mondo.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Nell’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“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[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si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]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pone non solo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suo ambiente, ma anche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contro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E[g]li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v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ive in una relazione dinamica con il suo ambiente </w:t>
      </w:r>
      <w:r w:rsidR="00DF0772">
        <w:rPr>
          <w:rFonts w:ascii="Arial" w:eastAsia="Times New Roman" w:hAnsi="Arial" w:cs="Arial"/>
          <w:sz w:val="20"/>
          <w:szCs w:val="20"/>
          <w:lang w:val="it-IT" w:eastAsia="it-IT"/>
        </w:rPr>
        <w:t>ma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61F58">
        <w:rPr>
          <w:rFonts w:ascii="Arial" w:eastAsia="Times New Roman" w:hAnsi="Arial" w:cs="Arial"/>
          <w:sz w:val="20"/>
          <w:szCs w:val="20"/>
          <w:lang w:val="it-IT" w:eastAsia="it-IT"/>
        </w:rPr>
        <w:t>in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senso contrario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alla </w:t>
      </w:r>
      <w:commentRangeStart w:id="2"/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>cosa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vivente</w:t>
      </w:r>
      <w:commentRangeEnd w:id="2"/>
      <w:r w:rsidR="006A5B19">
        <w:rPr>
          <w:rStyle w:val="Kommentarzeichen"/>
        </w:rPr>
        <w:commentReference w:id="2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(Plessner 2017, 9)</w:t>
      </w:r>
    </w:p>
    <w:p w14:paraId="41E97270" w14:textId="2044DBB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3D7F899" w14:textId="1E0FCF3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2 Umanesimo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(3.664) Come si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può constatare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ora, solo l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rinascimentale ha posto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questione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tensione dialettica tra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e il mondo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rende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ndola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proficua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cultura e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 Rinascimento significa rinascita, denota il tempo della riscoperta e della riappropriazione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eredità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si adottano semplicemente le idee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antichità, e non ci si appropria semplicemente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di 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in modo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secondo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XV secolo e in un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interpretazione cristiana.</w:t>
      </w:r>
    </w:p>
    <w:p w14:paraId="7F68CB1D" w14:textId="7F8CCAB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differenza rispetto alla visione meccanica del mondo dell</w:t>
      </w:r>
      <w:r w:rsidR="0055518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era chiaramente evidente in Giovanni Pico della Mirandola, il grande umanista. Nel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De hominis dignitate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Sulla 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dignità dell</w:t>
      </w:r>
      <w:r w:rsid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fa dire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, rivolgendosi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ad Adamo: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3D5C66" w:rsidRPr="003D5C66">
        <w:rPr>
          <w:rFonts w:ascii="Arial" w:eastAsia="Times New Roman" w:hAnsi="Arial" w:cs="Arial"/>
          <w:sz w:val="20"/>
          <w:szCs w:val="20"/>
          <w:lang w:val="it-IT" w:eastAsia="it-IT"/>
        </w:rPr>
        <w:t>Ti posi nel mezzo del mondo perché di là meglio tu scorgessi tutto ciò che è nel mondo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.”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(Pico della Mirandola 2009, 9)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24506F3" w14:textId="45272BD4" w:rsidR="00265C52" w:rsidRPr="00265C52" w:rsidRDefault="007A4FEF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Pico della Mirandola, dunque,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sta al centro del mondo. Allo stesso tempo,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parte di una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genesi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organica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si sviluppa a partire da una propria logica e dinamica. Non fa più parte della meccanica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di 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mondo antico. Secondo Pico della Mirandola, Dio ha posto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in una posizione intermedia tra gli animali e Dio,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sancita per legge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irrevocabile.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può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evolversi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la direzione non è predeterminata. Può degenerare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negli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animal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oppure può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farsi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simile a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io attraverso gli stadi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purificazione (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purgatio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), lo stadio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illuminazione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(illuminatio)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perfezione (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perfectio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).</w:t>
      </w:r>
    </w:p>
    <w:p w14:paraId="5D289C60" w14:textId="5E1C796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 motivo della libertà</w:t>
      </w:r>
      <w:r w:rsidRPr="0024741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A0109F" w:rsidRPr="0024741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tipico per </w:t>
      </w:r>
      <w:r w:rsidRPr="00247410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0109F" w:rsidRPr="0024741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47410">
        <w:rPr>
          <w:rFonts w:ascii="Arial" w:eastAsia="Times New Roman" w:hAnsi="Arial" w:cs="Arial"/>
          <w:sz w:val="20"/>
          <w:szCs w:val="20"/>
          <w:lang w:val="it-IT" w:eastAsia="it-IT"/>
        </w:rPr>
        <w:t>uomo,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viene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qui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rappresentato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non è più integrato in una meccanica mondiale o in un ordine predeterminato.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fa parte di una visione dinamica del mondo. Per usare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espressione di Plessner, gli umani sono caratterizzati dall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della loro posizione nel mondo.</w:t>
      </w:r>
    </w:p>
    <w:p w14:paraId="7A03F1B4" w14:textId="607A18A0" w:rsidR="00265C52" w:rsidRPr="00265C52" w:rsidRDefault="00CE35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Sui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A0109F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Architettura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Vitruvio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grava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“potente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spinta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antica superstizione” (Thoenes 2016, 84), come ha scritto Christof Thoenes. Come potrebbe essere altrimenti. Vitruvio </w:t>
      </w:r>
      <w:r w:rsidR="00265C52" w:rsidRPr="0024741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era </w:t>
      </w:r>
      <w:r w:rsidR="00617E55" w:rsidRPr="00247410">
        <w:rPr>
          <w:rFonts w:ascii="Arial" w:eastAsia="Times New Roman" w:hAnsi="Arial" w:cs="Arial"/>
          <w:sz w:val="20"/>
          <w:szCs w:val="20"/>
          <w:lang w:val="it-IT" w:eastAsia="it-IT"/>
        </w:rPr>
        <w:t>fermo alla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sua epoca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autore francese Numa Denis Fustel de Coulanges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(1830-1889)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descri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suo libro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The Ancient State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(1864)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quanto intensamente la vita quotidiana e tutte le istituzioni sociali fossero permeate da idee e rituali religiosi pagani nell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antichità. Niente era al di fuori dei meccanismi dell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ordine divino del mondo. Nemmeno Vitruvio e 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</w:t>
      </w:r>
    </w:p>
    <w:p w14:paraId="045C76A3" w14:textId="54C19CC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solo una nota in calce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quella in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Aldo Rossi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fatto riferimento a Fustel de Coulanges e all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antica visione del mondo nel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l’ambito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delle sue considerazioni morfologiche sulla città. Nel libro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Architektur der Stadt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ha evocato anche una nuova unità di “monumento, rito e mito” (Rossi 2015, 16) ovvero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nuova unità di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struttura edilizia, rito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quotidiano e valore della memoria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per la quale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a caso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mediante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quanto tramesso da </w:t>
      </w:r>
      <w:r w:rsidR="003E78E8" w:rsidRPr="003E78E8">
        <w:rPr>
          <w:rFonts w:ascii="Arial" w:eastAsia="Times New Roman" w:hAnsi="Arial" w:cs="Arial"/>
          <w:sz w:val="20"/>
          <w:szCs w:val="20"/>
          <w:lang w:val="it-IT" w:eastAsia="it-IT"/>
        </w:rPr>
        <w:t>Fustel de Coulanges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fatto 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ricorso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>alla formazione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mondo antico.</w:t>
      </w:r>
    </w:p>
    <w:p w14:paraId="6A400296" w14:textId="3C71DD2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estremamente interessante come Rossi sia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ri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tornato all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 alla sua visione del mondo meccanico-pagano per il concetto di </w:t>
      </w:r>
      <w:r w:rsidR="000E6BA0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ermanenza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>, andando oltre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rinascimentale. Tornando indietro al XV secolo e all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umanesimo, ma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con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XX secolo, si appropria di nuovo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iventa chiaro che il concetto di permanenza non si applicava solo alla struttura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o alla tipologia. Le basi per la permanenza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sono i riti e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miti della vita quotidiana.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Tra l’altro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nel concetto di permanenza di Rossi 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traspare </w:t>
      </w:r>
      <w:r w:rsidR="00C702B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qualcosa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 concetto di Aby Warburg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riguardante 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47410">
        <w:rPr>
          <w:rFonts w:ascii="Arial" w:eastAsia="Times New Roman" w:hAnsi="Arial" w:cs="Arial"/>
          <w:strike/>
          <w:sz w:val="20"/>
          <w:szCs w:val="20"/>
          <w:lang w:val="it-IT" w:eastAsia="it-IT"/>
        </w:rPr>
        <w:t xml:space="preserve">antiche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formule di pathos e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il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relativo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ritorno nel Rinascimento e nei tempi moderni.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34B01740" w14:textId="773E047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6278B529" w14:textId="1A04FE5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3 Resistenza 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material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(4.852) Veniamo ora al terzo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concetto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chiave,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quello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La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strettamente correlata alla concezione dell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Dall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eccentricità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umana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risulta il fatto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si confronta con le cose, i manufatti e anche la natura, ma non solo, ne sperimenta anche la resistenza.</w:t>
      </w:r>
    </w:p>
    <w:p w14:paraId="4BCAC79A" w14:textId="4A1D8AF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Prima di passare 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tuttavia, vorrei fare alcune osservazioni importanti, ma più astratte,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significative,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seguito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il tema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resistenza dei materiali in architettura. </w:t>
      </w:r>
    </w:p>
    <w:p w14:paraId="3D583364" w14:textId="2F8754D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La resistenza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di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fa esperienza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grazie alle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cose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il motivo per cui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anche consapevol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proprio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La consapevolezza dell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distingue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dagli animali.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animale sta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nel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mondo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in continuo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confronto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con esso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BB85200" w14:textId="4537F8A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filosofo Arnold Gehlen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considerava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resistenza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la scintilla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riflessione critica o per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’auto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consapevolezza del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l’uomo.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Q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uando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speriment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resistenza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lle cose, diventa consapevol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se stess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Del resto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Bruno Latour parla di “resistenza” (Latour 2010 115) delle cose. Parla anche delle cose come attori, e le descrive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come ostacoli, scandali, ciò che turba l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>a 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pressione, abolisce 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dominio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ferma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chiusura e la composizione del collettivo.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(Latour 2010, 115).</w:t>
      </w:r>
    </w:p>
    <w:p w14:paraId="692EBF8F" w14:textId="55FE3DC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si imbatte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innanzitutto,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resistenza delle cose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prima di cambiarle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 funzione delle sue esigenze,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così,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le subordina. Non è un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esperienza architettonica fondamentale che 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forma di muri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ostacoli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innanzitutto, l’uomo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o, </w:t>
      </w:r>
      <w:r w:rsidR="00FA5A2B">
        <w:rPr>
          <w:rFonts w:ascii="Arial" w:eastAsia="Times New Roman" w:hAnsi="Arial" w:cs="Arial"/>
          <w:sz w:val="20"/>
          <w:szCs w:val="20"/>
          <w:lang w:val="it-IT" w:eastAsia="it-IT"/>
        </w:rPr>
        <w:t>opponendo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resistenza, blocchi la strada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>, p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er poi aprire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varco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apertura, una porta, </w:t>
      </w:r>
      <w:r w:rsidR="00113375">
        <w:rPr>
          <w:rFonts w:ascii="Arial" w:eastAsia="Times New Roman" w:hAnsi="Arial" w:cs="Arial"/>
          <w:sz w:val="20"/>
          <w:szCs w:val="20"/>
          <w:lang w:val="it-IT" w:eastAsia="it-IT"/>
        </w:rPr>
        <w:t>in termini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evento antropologico?</w:t>
      </w:r>
    </w:p>
    <w:p w14:paraId="4177D100" w14:textId="470F8C7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Innanzitutto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muro è resistente e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costituisce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 ostacolo.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un evento sociale e spaziale,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ossia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La resistenza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rimane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linea di principio, ma si apre per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svolgere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una funzione sociale. Mentre la parete separa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ciò che è davanti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 ciò che è dietro, forse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ambiente esterno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da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interno,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accessibile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porta. Diventa un evento sociale.</w:t>
      </w:r>
    </w:p>
    <w:p w14:paraId="2C99D71A" w14:textId="4DFBCDC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Lo stesso vale per altri elementi come le scale. Superano la resistenza materiale del dislivello e ne fanno un evento performativo oltre che sociale. Quindi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non è solo al servizio del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rappresenta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sempre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un impedimento sulla sua strada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24DDBBB7" w14:textId="20660010" w:rsidR="00265C52" w:rsidRPr="00265C52" w:rsidRDefault="00B40F8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Quindi,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oggi dobbiamo rivedere la concezione dell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modo che ogni insieme contenga anche un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contrasto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tra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cos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Per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poter davvero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comprendere 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essa,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le cose 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gli strumenti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devono essere pensati in termini di resistenza materiale.</w:t>
      </w:r>
    </w:p>
    <w:p w14:paraId="697728F4" w14:textId="37EE424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resistenza degli elementi architettonici si basa sulla resistenza materica del materiale. La resistenza materiale del muro ha la sua 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origine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nella resistenza materiale del mattone. E qui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nasce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: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modernità tende a ignorare, neutralizzare o addirittura distruggere la resistenza materiale delle cose.</w:t>
      </w:r>
    </w:p>
    <w:p w14:paraId="1B6B11CD" w14:textId="62899C8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era la critica di Gottfried Semper alla modernità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così come è emersa verso la metà del XIX secolo. Tutto è diventato così facile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grazie 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macchina, “il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porfido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duro e il granito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tagliano come gesso,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lucidano come cera, l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avorio è reso morbido e pressato in forme,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>il caucciù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guttaperca [gomma, </w:t>
      </w:r>
      <w:r w:rsidR="007F4852" w:rsidRPr="007F4852">
        <w:rPr>
          <w:rFonts w:ascii="Arial" w:eastAsia="Times New Roman" w:hAnsi="Arial" w:cs="Arial"/>
          <w:sz w:val="20"/>
          <w:szCs w:val="20"/>
          <w:lang w:val="it-IT" w:eastAsia="it-IT"/>
        </w:rPr>
        <w:t>N.d.A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.] v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engono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vulcanizzat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utilizzat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imitazioni di intagli in legno, metallo e pietra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tutto somiglianti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 (Semper 1966.1, 32)</w:t>
      </w:r>
    </w:p>
    <w:p w14:paraId="7596B44B" w14:textId="39EC4AA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era convinto che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avesse bisogno della resistenza della materia. La materia partecipa all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con la sua volontà, 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la sua resistenza.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emerge dalla tensione, dalla resistenza materica e dalla tensione dialettica. Pertanto, Semper non voleva </w:t>
      </w:r>
      <w:r w:rsidR="00277CA8">
        <w:rPr>
          <w:rFonts w:ascii="Arial" w:eastAsia="Times New Roman" w:hAnsi="Arial" w:cs="Arial"/>
          <w:sz w:val="20"/>
          <w:szCs w:val="20"/>
          <w:lang w:val="it-IT" w:eastAsia="it-IT"/>
        </w:rPr>
        <w:t>avere a che fare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le macchine.</w:t>
      </w:r>
    </w:p>
    <w:p w14:paraId="318FA4BF" w14:textId="24EE4310" w:rsidR="00265C52" w:rsidRPr="00265C52" w:rsidRDefault="00277C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Peraltro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con la tensione tra materia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forma,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accenniamo 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ilemorfismo o del rapporto materia-forma. Ciò significa: non ci può essere sostanza/materiale senza forma,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contrario, </w:t>
      </w:r>
      <w:r w:rsidR="005448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possibile modellare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sostanza/materiale in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qualsiasi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forma. </w:t>
      </w:r>
      <w:commentRangeStart w:id="3"/>
      <w:r w:rsidR="00265C52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Aristotele aveva già </w:t>
      </w:r>
      <w:r w:rsidR="00774F91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>trattato</w:t>
      </w:r>
      <w:r w:rsidR="00265C52" w:rsidRPr="00682B28">
        <w:rPr>
          <w:rFonts w:ascii="Arial" w:eastAsia="Times New Roman" w:hAnsi="Arial" w:cs="Arial"/>
          <w:sz w:val="20"/>
          <w:szCs w:val="20"/>
          <w:highlight w:val="yellow"/>
          <w:lang w:val="it-IT" w:eastAsia="it-IT"/>
        </w:rPr>
        <w:t xml:space="preserve"> la metafisica nel suo libro</w:t>
      </w:r>
      <w:commentRangeEnd w:id="3"/>
      <w:r w:rsidR="00247410">
        <w:rPr>
          <w:rStyle w:val="Kommentarzeichen"/>
        </w:rPr>
        <w:commentReference w:id="3"/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6EB004D5" w14:textId="3A8D737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Quindi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può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affermare</w:t>
      </w:r>
      <w:r w:rsidR="007F557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s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uperando la resistenza materi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cose, 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dell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età moderna ha abbandonato i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principi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umanistici. Se oggi prendiamo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nuovamente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sul serio la resistenza materi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–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sia pure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la pressione de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atiche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ambientali -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ha nulla a che fare con il post-umanesimo. In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tal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senso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sbagliano critici come Bruno Latour o Giorgio Agamben,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secondo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riconoscimento 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9A01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’ostinazione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delle cose significa post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umanesimo.</w:t>
      </w:r>
    </w:p>
    <w:p w14:paraId="71B64A39" w14:textId="3527C70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94A6DCE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4 Indice Storico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(4-5.000 battute)</w:t>
      </w:r>
    </w:p>
    <w:p w14:paraId="376376D7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(qui la quarta parte, la parte finale dello saggio. Avrà incirca 4.000-45.000 battute. Quest aparte la posso fornire entro lunedi. L'intero testo dovrebbe essere tradotto entro il 16 dicembre. La conferenza sarà il 17.)</w:t>
      </w:r>
    </w:p>
    <w:p w14:paraId="7DD2EB72" w14:textId="520B1CE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1F9F7059" w14:textId="0F61919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sectPr w:rsidR="00265C52" w:rsidRPr="00265C52" w:rsidSect="00413ED5">
      <w:headerReference w:type="default" r:id="rId9"/>
      <w:footerReference w:type="even" r:id="rId10"/>
      <w:footerReference w:type="default" r:id="rId11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14:paraId="65992371" w14:textId="4BE05346" w:rsidR="00FC2B23" w:rsidRDefault="00FC2B23">
      <w:pPr>
        <w:pStyle w:val="Kommentartext"/>
      </w:pPr>
      <w:r>
        <w:rPr>
          <w:rStyle w:val="Kommentarzeichen"/>
        </w:rPr>
        <w:annotationRef/>
      </w:r>
      <w:r>
        <w:t>„</w:t>
      </w:r>
      <w:r>
        <w:rPr>
          <w:rFonts w:ascii="Arial" w:hAnsi="Arial" w:cs="Arial"/>
        </w:rPr>
        <w:t>Erst</w:t>
      </w:r>
      <w:r w:rsidRPr="00074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</w:t>
      </w:r>
      <w:r w:rsidRPr="00074206">
        <w:rPr>
          <w:rFonts w:ascii="Arial" w:hAnsi="Arial" w:cs="Arial"/>
        </w:rPr>
        <w:t xml:space="preserve"> </w:t>
      </w:r>
      <w:proofErr w:type="spellStart"/>
      <w:r w:rsidRPr="00074206">
        <w:rPr>
          <w:rFonts w:ascii="Arial" w:hAnsi="Arial" w:cs="Arial"/>
        </w:rPr>
        <w:t>Anthropozän</w:t>
      </w:r>
      <w:proofErr w:type="spellEnd"/>
      <w:r w:rsidRPr="00074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kommt </w:t>
      </w:r>
      <w:r w:rsidRPr="00074206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m</w:t>
      </w:r>
      <w:r w:rsidRPr="00074206">
        <w:rPr>
          <w:rFonts w:ascii="Arial" w:hAnsi="Arial" w:cs="Arial"/>
        </w:rPr>
        <w:t>oderne</w:t>
      </w:r>
      <w:r>
        <w:rPr>
          <w:rFonts w:ascii="Arial" w:hAnsi="Arial" w:cs="Arial"/>
        </w:rPr>
        <w:t xml:space="preserve"> Architektur </w:t>
      </w:r>
      <w:r w:rsidRPr="00074206">
        <w:rPr>
          <w:rFonts w:ascii="Arial" w:hAnsi="Arial" w:cs="Arial"/>
        </w:rPr>
        <w:t>zu sich</w:t>
      </w:r>
      <w:r>
        <w:rPr>
          <w:rFonts w:ascii="Arial" w:hAnsi="Arial" w:cs="Arial"/>
        </w:rPr>
        <w:t>“ … also „zu sich kommen“ im Sinne von „sich seiner selbst bewusst werden“ … „sich des eigenen Charakters/seiner Eigenschaften bewusst werden“ … ist hier „</w:t>
      </w:r>
      <w:proofErr w:type="spellStart"/>
      <w:r>
        <w:rPr>
          <w:rFonts w:ascii="Arial" w:hAnsi="Arial" w:cs="Arial"/>
        </w:rPr>
        <w:t>riprendersi</w:t>
      </w:r>
      <w:proofErr w:type="spellEnd"/>
      <w:r>
        <w:rPr>
          <w:rFonts w:ascii="Arial" w:hAnsi="Arial" w:cs="Arial"/>
        </w:rPr>
        <w:t>“ die richtige Übersetzung?</w:t>
      </w:r>
    </w:p>
  </w:comment>
  <w:comment w:id="1" w:author="Autor" w:initials="A">
    <w:p w14:paraId="77E7914C" w14:textId="3D96D084" w:rsidR="00FC2B23" w:rsidRDefault="00FC2B23">
      <w:pPr>
        <w:pStyle w:val="Kommentartext"/>
      </w:pPr>
      <w:r>
        <w:rPr>
          <w:rStyle w:val="Kommentarzeichen"/>
        </w:rPr>
        <w:annotationRef/>
      </w:r>
      <w:proofErr w:type="spellStart"/>
      <w:r>
        <w:t>Dt</w:t>
      </w:r>
      <w:proofErr w:type="spellEnd"/>
      <w:r>
        <w:t xml:space="preserve">: „von </w:t>
      </w:r>
      <w:r>
        <w:rPr>
          <w:rFonts w:ascii="Arial" w:hAnsi="Arial" w:cs="Arial"/>
        </w:rPr>
        <w:t>einer mechanischen Ordnung oder [mechanischen] Weltordnung sprechen“ ……… könnte das bitte noch klarer übersetzt werden .... ich glaube, die Übersetzung ist im Moment nicht ganz klar?</w:t>
      </w:r>
    </w:p>
  </w:comment>
  <w:comment w:id="2" w:author="Autor" w:initials="A">
    <w:p w14:paraId="5DCA3277" w14:textId="77777777" w:rsidR="00FC2B23" w:rsidRDefault="00FC2B23">
      <w:pPr>
        <w:pStyle w:val="Kommentartext"/>
      </w:pPr>
      <w:r>
        <w:rPr>
          <w:rStyle w:val="Kommentarzeichen"/>
        </w:rPr>
        <w:annotationRef/>
      </w:r>
      <w:r>
        <w:t xml:space="preserve">I don’t understand well this expression: does it mean that the man can have a conflictual relationship with the things (lebendig Dinge) that live in the environment? Thank </w:t>
      </w:r>
      <w:proofErr w:type="spellStart"/>
      <w:r>
        <w:t>you</w:t>
      </w:r>
      <w:proofErr w:type="spellEnd"/>
    </w:p>
    <w:p w14:paraId="30FEE941" w14:textId="77777777" w:rsidR="00FC2B23" w:rsidRDefault="00FC2B23">
      <w:pPr>
        <w:pStyle w:val="Kommentartext"/>
      </w:pPr>
    </w:p>
    <w:p w14:paraId="2A5750AF" w14:textId="77777777" w:rsidR="00FC2B23" w:rsidRDefault="00FC2B23">
      <w:pPr>
        <w:pStyle w:val="Kommentartext"/>
      </w:pPr>
      <w:proofErr w:type="spellStart"/>
      <w:r>
        <w:t>It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German original,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check </w:t>
      </w:r>
      <w:proofErr w:type="spellStart"/>
      <w:r>
        <w:t>the</w:t>
      </w:r>
      <w:proofErr w:type="spellEnd"/>
      <w:r>
        <w:t xml:space="preserve"> original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witten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after – but </w:t>
      </w:r>
      <w:r w:rsidR="00247410">
        <w:t xml:space="preserve">I </w:t>
      </w:r>
      <w:proofErr w:type="spellStart"/>
      <w:r w:rsidR="00247410">
        <w:t>don’t</w:t>
      </w:r>
      <w:proofErr w:type="spellEnd"/>
      <w:r w:rsidR="00247410">
        <w:t xml:space="preserve"> </w:t>
      </w:r>
      <w:proofErr w:type="spellStart"/>
      <w:r w:rsidR="00247410">
        <w:t>have</w:t>
      </w:r>
      <w:proofErr w:type="spellEnd"/>
      <w:r w:rsidR="00247410">
        <w:t xml:space="preserve"> </w:t>
      </w:r>
      <w:proofErr w:type="spellStart"/>
      <w:r w:rsidR="00247410">
        <w:t>the</w:t>
      </w:r>
      <w:proofErr w:type="spellEnd"/>
      <w:r w:rsidR="00247410">
        <w:t xml:space="preserve"> </w:t>
      </w:r>
      <w:proofErr w:type="spellStart"/>
      <w:r w:rsidR="00247410">
        <w:t>book</w:t>
      </w:r>
      <w:proofErr w:type="spellEnd"/>
      <w:r w:rsidR="00247410">
        <w:t xml:space="preserve"> </w:t>
      </w:r>
      <w:proofErr w:type="spellStart"/>
      <w:r w:rsidR="00247410">
        <w:t>with</w:t>
      </w:r>
      <w:proofErr w:type="spellEnd"/>
      <w:r w:rsidR="00247410">
        <w:t xml:space="preserve"> </w:t>
      </w:r>
      <w:proofErr w:type="spellStart"/>
      <w:r w:rsidR="00247410">
        <w:t>me</w:t>
      </w:r>
      <w:proofErr w:type="spellEnd"/>
      <w:r w:rsidR="00247410">
        <w:t>.</w:t>
      </w:r>
    </w:p>
    <w:p w14:paraId="24B0E561" w14:textId="77777777" w:rsidR="00247410" w:rsidRDefault="00247410">
      <w:pPr>
        <w:pStyle w:val="Kommentartext"/>
      </w:pPr>
    </w:p>
    <w:p w14:paraId="491C2B81" w14:textId="336F6853" w:rsidR="00247410" w:rsidRDefault="00247410">
      <w:pPr>
        <w:pStyle w:val="Kommentartext"/>
      </w:pPr>
      <w:r>
        <w:t xml:space="preserve">But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– „dem lebendigen Ding.“ „Lebendiges Ding“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animated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</w:comment>
  <w:comment w:id="3" w:author="Autor" w:initials="A">
    <w:p w14:paraId="5401FC09" w14:textId="65AC9105" w:rsidR="00247410" w:rsidRDefault="00247410">
      <w:pPr>
        <w:pStyle w:val="Kommentartext"/>
      </w:pPr>
      <w:r>
        <w:rPr>
          <w:rStyle w:val="Kommentarzeichen"/>
        </w:rPr>
        <w:annotationRef/>
      </w:r>
      <w:r>
        <w:t>Dt.: „</w:t>
      </w:r>
      <w:r>
        <w:rPr>
          <w:rFonts w:ascii="Arial" w:hAnsi="Arial" w:cs="Arial"/>
        </w:rPr>
        <w:t xml:space="preserve">Aristoteles hatte </w:t>
      </w:r>
      <w:r>
        <w:rPr>
          <w:rFonts w:ascii="Arial" w:hAnsi="Arial" w:cs="Arial"/>
          <w:color w:val="FF0000"/>
        </w:rPr>
        <w:t xml:space="preserve">das </w:t>
      </w:r>
      <w:r>
        <w:rPr>
          <w:rFonts w:ascii="Arial" w:hAnsi="Arial" w:cs="Arial"/>
          <w:color w:val="FF0000"/>
        </w:rPr>
        <w:t>[</w:t>
      </w:r>
      <w:proofErr w:type="spellStart"/>
      <w:r>
        <w:rPr>
          <w:rFonts w:ascii="Arial" w:hAnsi="Arial" w:cs="Arial"/>
          <w:color w:val="FF0000"/>
        </w:rPr>
        <w:t>ilemorfismo</w:t>
      </w:r>
      <w:proofErr w:type="spellEnd"/>
      <w:r>
        <w:rPr>
          <w:rFonts w:ascii="Arial" w:hAnsi="Arial" w:cs="Arial"/>
          <w:color w:val="FF0000"/>
        </w:rPr>
        <w:t xml:space="preserve">] </w:t>
      </w:r>
      <w:bookmarkStart w:id="4" w:name="_GoBack"/>
      <w:bookmarkEnd w:id="4"/>
      <w:r>
        <w:rPr>
          <w:rFonts w:ascii="Arial" w:hAnsi="Arial" w:cs="Arial"/>
        </w:rPr>
        <w:t>schon in seinem Buch Metaphysik thematisiert</w:t>
      </w:r>
      <w:r>
        <w:rPr>
          <w:rFonts w:ascii="Arial" w:hAnsi="Arial" w:cs="Arial"/>
        </w:rPr>
        <w:t xml:space="preserve">.“ ...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„das“ was </w:t>
      </w:r>
      <w:proofErr w:type="spellStart"/>
      <w:r>
        <w:rPr>
          <w:rFonts w:ascii="Arial" w:hAnsi="Arial" w:cs="Arial"/>
        </w:rPr>
        <w:t>missing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</w:t>
      </w:r>
      <w:proofErr w:type="spellEnd"/>
      <w:r>
        <w:rPr>
          <w:rFonts w:ascii="Arial" w:hAnsi="Arial" w:cs="Arial"/>
        </w:rPr>
        <w:t>, sorry.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C2B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C2B81" w16cid:durableId="2564772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7EAE8" w14:textId="77777777" w:rsidR="00FC2B23" w:rsidRDefault="00FC2B23" w:rsidP="00943D5E">
      <w:pPr>
        <w:spacing w:before="0" w:line="240" w:lineRule="auto"/>
      </w:pPr>
      <w:r>
        <w:separator/>
      </w:r>
    </w:p>
  </w:endnote>
  <w:endnote w:type="continuationSeparator" w:id="0">
    <w:p w14:paraId="6935A030" w14:textId="77777777" w:rsidR="00FC2B23" w:rsidRDefault="00FC2B23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1694501014"/>
      <w:docPartObj>
        <w:docPartGallery w:val="Page Numbers (Bottom of Page)"/>
        <w:docPartUnique/>
      </w:docPartObj>
    </w:sdtPr>
    <w:sdtContent>
      <w:p w14:paraId="6D4BBF99" w14:textId="09A5A390" w:rsidR="00FC2B23" w:rsidRDefault="00FC2B23" w:rsidP="00CA6D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2590CC5" w14:textId="77777777" w:rsidR="00FC2B23" w:rsidRDefault="00FC2B23" w:rsidP="0022270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359200196"/>
      <w:docPartObj>
        <w:docPartGallery w:val="Page Numbers (Bottom of Page)"/>
        <w:docPartUnique/>
      </w:docPartObj>
    </w:sdtPr>
    <w:sdtContent>
      <w:p w14:paraId="0835FE73" w14:textId="7255E731" w:rsidR="00FC2B23" w:rsidRDefault="00FC2B23" w:rsidP="00CA6D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247410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7508CCB" w14:textId="77777777" w:rsidR="00FC2B23" w:rsidRDefault="00FC2B23" w:rsidP="0022270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AAC03" w14:textId="77777777" w:rsidR="00FC2B23" w:rsidRDefault="00FC2B23" w:rsidP="00943D5E">
      <w:pPr>
        <w:spacing w:before="0" w:line="240" w:lineRule="auto"/>
      </w:pPr>
      <w:r>
        <w:separator/>
      </w:r>
    </w:p>
  </w:footnote>
  <w:footnote w:type="continuationSeparator" w:id="0">
    <w:p w14:paraId="7AD64119" w14:textId="77777777" w:rsidR="00FC2B23" w:rsidRDefault="00FC2B23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1FB9" w14:textId="4627D9AC" w:rsidR="00FC2B23" w:rsidRDefault="00FC2B23">
    <w:pPr>
      <w:pStyle w:val="Kopfzeile"/>
    </w:pPr>
    <w:r>
      <w:t>Conferenza di Architettura – Politecnico di Milano 17 dicembre 2021</w:t>
    </w:r>
  </w:p>
  <w:p w14:paraId="3E6086B4" w14:textId="5ACDC56E" w:rsidR="00FC2B23" w:rsidRDefault="00FC2B23">
    <w:pPr>
      <w:pStyle w:val="Kopfzeile"/>
    </w:pPr>
    <w:r>
      <w:t>Architettura e l’indice storico dell’Antropocene</w:t>
    </w:r>
  </w:p>
  <w:p w14:paraId="2011F471" w14:textId="2DC6358D" w:rsidR="00FC2B23" w:rsidRDefault="00FC2B23">
    <w:pPr>
      <w:pStyle w:val="Kopfzeile"/>
    </w:pPr>
    <w:r>
      <w:t>Introduzione – parte 1-3 con la quarta parte ancora mancante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0F4"/>
    <w:multiLevelType w:val="multilevel"/>
    <w:tmpl w:val="C61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5E"/>
    <w:rsid w:val="00004E0E"/>
    <w:rsid w:val="00005850"/>
    <w:rsid w:val="0000667F"/>
    <w:rsid w:val="00014CFB"/>
    <w:rsid w:val="00017FC1"/>
    <w:rsid w:val="00025814"/>
    <w:rsid w:val="00026B2B"/>
    <w:rsid w:val="000448DC"/>
    <w:rsid w:val="0005217F"/>
    <w:rsid w:val="00060866"/>
    <w:rsid w:val="000627EC"/>
    <w:rsid w:val="0007244A"/>
    <w:rsid w:val="000727CB"/>
    <w:rsid w:val="00074206"/>
    <w:rsid w:val="00076680"/>
    <w:rsid w:val="00083070"/>
    <w:rsid w:val="00084BC5"/>
    <w:rsid w:val="00093F70"/>
    <w:rsid w:val="00095041"/>
    <w:rsid w:val="000B19F9"/>
    <w:rsid w:val="000C79EC"/>
    <w:rsid w:val="000E6BA0"/>
    <w:rsid w:val="000F640E"/>
    <w:rsid w:val="0010358E"/>
    <w:rsid w:val="00103C39"/>
    <w:rsid w:val="00113375"/>
    <w:rsid w:val="00113409"/>
    <w:rsid w:val="0013568F"/>
    <w:rsid w:val="001437F7"/>
    <w:rsid w:val="001475C7"/>
    <w:rsid w:val="00162EC6"/>
    <w:rsid w:val="00164FE7"/>
    <w:rsid w:val="001809EA"/>
    <w:rsid w:val="00182376"/>
    <w:rsid w:val="001A4408"/>
    <w:rsid w:val="001A4BCD"/>
    <w:rsid w:val="001B09BC"/>
    <w:rsid w:val="001B23FE"/>
    <w:rsid w:val="001B4769"/>
    <w:rsid w:val="001B6518"/>
    <w:rsid w:val="001C2255"/>
    <w:rsid w:val="001C67DA"/>
    <w:rsid w:val="001D3E74"/>
    <w:rsid w:val="001E5AFE"/>
    <w:rsid w:val="001E6281"/>
    <w:rsid w:val="00215762"/>
    <w:rsid w:val="00216C6F"/>
    <w:rsid w:val="0022270F"/>
    <w:rsid w:val="00234C08"/>
    <w:rsid w:val="00237982"/>
    <w:rsid w:val="0024092A"/>
    <w:rsid w:val="00247410"/>
    <w:rsid w:val="002509A9"/>
    <w:rsid w:val="00257F77"/>
    <w:rsid w:val="00263634"/>
    <w:rsid w:val="00265C52"/>
    <w:rsid w:val="00270130"/>
    <w:rsid w:val="00270D49"/>
    <w:rsid w:val="002777F9"/>
    <w:rsid w:val="00277CA8"/>
    <w:rsid w:val="00277CF8"/>
    <w:rsid w:val="002A41CB"/>
    <w:rsid w:val="002A55AE"/>
    <w:rsid w:val="002A5EC2"/>
    <w:rsid w:val="002A6E16"/>
    <w:rsid w:val="002B0094"/>
    <w:rsid w:val="002B0907"/>
    <w:rsid w:val="002B10EE"/>
    <w:rsid w:val="002C2595"/>
    <w:rsid w:val="002C4278"/>
    <w:rsid w:val="002D062B"/>
    <w:rsid w:val="002D66CF"/>
    <w:rsid w:val="002D69F5"/>
    <w:rsid w:val="002D7D66"/>
    <w:rsid w:val="002E4A99"/>
    <w:rsid w:val="002F408E"/>
    <w:rsid w:val="00307445"/>
    <w:rsid w:val="00312A95"/>
    <w:rsid w:val="00343953"/>
    <w:rsid w:val="0035491F"/>
    <w:rsid w:val="00357414"/>
    <w:rsid w:val="00361F58"/>
    <w:rsid w:val="00375246"/>
    <w:rsid w:val="00377F74"/>
    <w:rsid w:val="00381681"/>
    <w:rsid w:val="003844D6"/>
    <w:rsid w:val="003853DC"/>
    <w:rsid w:val="0038585D"/>
    <w:rsid w:val="00394699"/>
    <w:rsid w:val="003A44DE"/>
    <w:rsid w:val="003B740F"/>
    <w:rsid w:val="003C1DD2"/>
    <w:rsid w:val="003C3932"/>
    <w:rsid w:val="003D30A5"/>
    <w:rsid w:val="003D5C66"/>
    <w:rsid w:val="003E0FB7"/>
    <w:rsid w:val="003E78E8"/>
    <w:rsid w:val="003F7D8A"/>
    <w:rsid w:val="00405CA4"/>
    <w:rsid w:val="00413ED5"/>
    <w:rsid w:val="004224A6"/>
    <w:rsid w:val="004226BB"/>
    <w:rsid w:val="004318C9"/>
    <w:rsid w:val="00431BC1"/>
    <w:rsid w:val="004332A7"/>
    <w:rsid w:val="00435F8C"/>
    <w:rsid w:val="00436DFF"/>
    <w:rsid w:val="00442742"/>
    <w:rsid w:val="00451877"/>
    <w:rsid w:val="00457603"/>
    <w:rsid w:val="00457B55"/>
    <w:rsid w:val="0047508E"/>
    <w:rsid w:val="00476CB2"/>
    <w:rsid w:val="004865C0"/>
    <w:rsid w:val="004A60F4"/>
    <w:rsid w:val="004B29EF"/>
    <w:rsid w:val="004C54B7"/>
    <w:rsid w:val="004C5F1E"/>
    <w:rsid w:val="004D0874"/>
    <w:rsid w:val="004D1492"/>
    <w:rsid w:val="004E44AA"/>
    <w:rsid w:val="004E6A61"/>
    <w:rsid w:val="00510256"/>
    <w:rsid w:val="00516C6D"/>
    <w:rsid w:val="005312B7"/>
    <w:rsid w:val="00531376"/>
    <w:rsid w:val="00541CCF"/>
    <w:rsid w:val="00544817"/>
    <w:rsid w:val="00552CF5"/>
    <w:rsid w:val="0055518E"/>
    <w:rsid w:val="00557382"/>
    <w:rsid w:val="005621EC"/>
    <w:rsid w:val="005770DE"/>
    <w:rsid w:val="005814ED"/>
    <w:rsid w:val="00582652"/>
    <w:rsid w:val="00583D2D"/>
    <w:rsid w:val="00584881"/>
    <w:rsid w:val="0058611E"/>
    <w:rsid w:val="005908E1"/>
    <w:rsid w:val="005948AE"/>
    <w:rsid w:val="00594F5E"/>
    <w:rsid w:val="005B609F"/>
    <w:rsid w:val="005C55DD"/>
    <w:rsid w:val="005D547E"/>
    <w:rsid w:val="005D5AE7"/>
    <w:rsid w:val="005E201C"/>
    <w:rsid w:val="005E6315"/>
    <w:rsid w:val="00604571"/>
    <w:rsid w:val="00617E1B"/>
    <w:rsid w:val="00617E55"/>
    <w:rsid w:val="00620FFD"/>
    <w:rsid w:val="00623B68"/>
    <w:rsid w:val="00623C98"/>
    <w:rsid w:val="006338BD"/>
    <w:rsid w:val="0064389A"/>
    <w:rsid w:val="00644614"/>
    <w:rsid w:val="0065300F"/>
    <w:rsid w:val="00654AC1"/>
    <w:rsid w:val="00664505"/>
    <w:rsid w:val="00673352"/>
    <w:rsid w:val="00675B20"/>
    <w:rsid w:val="00681A92"/>
    <w:rsid w:val="00682B28"/>
    <w:rsid w:val="0068520A"/>
    <w:rsid w:val="00694A80"/>
    <w:rsid w:val="006A0A3D"/>
    <w:rsid w:val="006A0FD9"/>
    <w:rsid w:val="006A1123"/>
    <w:rsid w:val="006A13F3"/>
    <w:rsid w:val="006A228F"/>
    <w:rsid w:val="006A2E5D"/>
    <w:rsid w:val="006A357B"/>
    <w:rsid w:val="006A5B19"/>
    <w:rsid w:val="006B0582"/>
    <w:rsid w:val="006C4AEE"/>
    <w:rsid w:val="006C4CDB"/>
    <w:rsid w:val="006D0038"/>
    <w:rsid w:val="006F5A06"/>
    <w:rsid w:val="0072094B"/>
    <w:rsid w:val="00727A8B"/>
    <w:rsid w:val="00735F80"/>
    <w:rsid w:val="00736C2B"/>
    <w:rsid w:val="00741E0F"/>
    <w:rsid w:val="00744B31"/>
    <w:rsid w:val="007526A1"/>
    <w:rsid w:val="0075393C"/>
    <w:rsid w:val="0075687B"/>
    <w:rsid w:val="00774F91"/>
    <w:rsid w:val="007837FA"/>
    <w:rsid w:val="0079351A"/>
    <w:rsid w:val="0079535B"/>
    <w:rsid w:val="007A1C6D"/>
    <w:rsid w:val="007A4FEF"/>
    <w:rsid w:val="007A53B8"/>
    <w:rsid w:val="007B6473"/>
    <w:rsid w:val="007B7830"/>
    <w:rsid w:val="007C3737"/>
    <w:rsid w:val="007C5729"/>
    <w:rsid w:val="007D6AA1"/>
    <w:rsid w:val="007E0B7D"/>
    <w:rsid w:val="007E299D"/>
    <w:rsid w:val="007F0C37"/>
    <w:rsid w:val="007F3D56"/>
    <w:rsid w:val="007F4852"/>
    <w:rsid w:val="007F5574"/>
    <w:rsid w:val="00810750"/>
    <w:rsid w:val="00817E03"/>
    <w:rsid w:val="0083566D"/>
    <w:rsid w:val="0084064D"/>
    <w:rsid w:val="0084113D"/>
    <w:rsid w:val="00844F71"/>
    <w:rsid w:val="00845552"/>
    <w:rsid w:val="00845C77"/>
    <w:rsid w:val="00863B3C"/>
    <w:rsid w:val="0087567D"/>
    <w:rsid w:val="0087627A"/>
    <w:rsid w:val="0087656F"/>
    <w:rsid w:val="008A4630"/>
    <w:rsid w:val="008B3EDF"/>
    <w:rsid w:val="008E5541"/>
    <w:rsid w:val="008E5950"/>
    <w:rsid w:val="008E5B42"/>
    <w:rsid w:val="008E7477"/>
    <w:rsid w:val="008F25A0"/>
    <w:rsid w:val="008F6E9A"/>
    <w:rsid w:val="0090305C"/>
    <w:rsid w:val="00911784"/>
    <w:rsid w:val="0091509B"/>
    <w:rsid w:val="00915C98"/>
    <w:rsid w:val="00927063"/>
    <w:rsid w:val="009321ED"/>
    <w:rsid w:val="00935F37"/>
    <w:rsid w:val="00936821"/>
    <w:rsid w:val="00943D5E"/>
    <w:rsid w:val="00945B85"/>
    <w:rsid w:val="009461C1"/>
    <w:rsid w:val="00946837"/>
    <w:rsid w:val="00964B7B"/>
    <w:rsid w:val="00964D3B"/>
    <w:rsid w:val="00970A4A"/>
    <w:rsid w:val="00975AD2"/>
    <w:rsid w:val="009959DC"/>
    <w:rsid w:val="009A010B"/>
    <w:rsid w:val="009A4F06"/>
    <w:rsid w:val="009B2FE0"/>
    <w:rsid w:val="009B61B6"/>
    <w:rsid w:val="009C1070"/>
    <w:rsid w:val="009C199C"/>
    <w:rsid w:val="009C2920"/>
    <w:rsid w:val="009D26F2"/>
    <w:rsid w:val="009E5D0F"/>
    <w:rsid w:val="009F2258"/>
    <w:rsid w:val="009F521B"/>
    <w:rsid w:val="009F5BEF"/>
    <w:rsid w:val="00A0109F"/>
    <w:rsid w:val="00A11DD3"/>
    <w:rsid w:val="00A1442C"/>
    <w:rsid w:val="00A14AFB"/>
    <w:rsid w:val="00A21EBA"/>
    <w:rsid w:val="00A35082"/>
    <w:rsid w:val="00A37A69"/>
    <w:rsid w:val="00A50FD1"/>
    <w:rsid w:val="00A51689"/>
    <w:rsid w:val="00A522B5"/>
    <w:rsid w:val="00A72028"/>
    <w:rsid w:val="00A80615"/>
    <w:rsid w:val="00A841BE"/>
    <w:rsid w:val="00A8704F"/>
    <w:rsid w:val="00A87DC1"/>
    <w:rsid w:val="00A9005D"/>
    <w:rsid w:val="00A95A29"/>
    <w:rsid w:val="00AB5CD2"/>
    <w:rsid w:val="00AB5E0D"/>
    <w:rsid w:val="00AD4DC0"/>
    <w:rsid w:val="00AE0CED"/>
    <w:rsid w:val="00AF220A"/>
    <w:rsid w:val="00AF6951"/>
    <w:rsid w:val="00B0252C"/>
    <w:rsid w:val="00B06AA3"/>
    <w:rsid w:val="00B1147D"/>
    <w:rsid w:val="00B16E1E"/>
    <w:rsid w:val="00B20A2B"/>
    <w:rsid w:val="00B30DEE"/>
    <w:rsid w:val="00B4021F"/>
    <w:rsid w:val="00B40F82"/>
    <w:rsid w:val="00B45945"/>
    <w:rsid w:val="00B50722"/>
    <w:rsid w:val="00B62877"/>
    <w:rsid w:val="00B703AC"/>
    <w:rsid w:val="00B80317"/>
    <w:rsid w:val="00B84728"/>
    <w:rsid w:val="00BA19EC"/>
    <w:rsid w:val="00BA54AD"/>
    <w:rsid w:val="00BB2E06"/>
    <w:rsid w:val="00BB57A5"/>
    <w:rsid w:val="00BC0FBA"/>
    <w:rsid w:val="00BC2447"/>
    <w:rsid w:val="00BE3397"/>
    <w:rsid w:val="00C1083F"/>
    <w:rsid w:val="00C22045"/>
    <w:rsid w:val="00C220EB"/>
    <w:rsid w:val="00C22D81"/>
    <w:rsid w:val="00C24112"/>
    <w:rsid w:val="00C2435A"/>
    <w:rsid w:val="00C30A0D"/>
    <w:rsid w:val="00C3392A"/>
    <w:rsid w:val="00C35B99"/>
    <w:rsid w:val="00C43839"/>
    <w:rsid w:val="00C50F29"/>
    <w:rsid w:val="00C52197"/>
    <w:rsid w:val="00C55065"/>
    <w:rsid w:val="00C575F2"/>
    <w:rsid w:val="00C6450A"/>
    <w:rsid w:val="00C655F4"/>
    <w:rsid w:val="00C702BC"/>
    <w:rsid w:val="00C735DB"/>
    <w:rsid w:val="00C77B65"/>
    <w:rsid w:val="00C8236E"/>
    <w:rsid w:val="00C922FA"/>
    <w:rsid w:val="00C932EF"/>
    <w:rsid w:val="00CA0AC2"/>
    <w:rsid w:val="00CA6DF4"/>
    <w:rsid w:val="00CB2E3D"/>
    <w:rsid w:val="00CB5001"/>
    <w:rsid w:val="00CB7A84"/>
    <w:rsid w:val="00CC46AB"/>
    <w:rsid w:val="00CC5E65"/>
    <w:rsid w:val="00CC7016"/>
    <w:rsid w:val="00CD61B8"/>
    <w:rsid w:val="00CD7F06"/>
    <w:rsid w:val="00CE35A8"/>
    <w:rsid w:val="00CE5623"/>
    <w:rsid w:val="00CF6412"/>
    <w:rsid w:val="00D005BC"/>
    <w:rsid w:val="00D01BB2"/>
    <w:rsid w:val="00D02111"/>
    <w:rsid w:val="00D03362"/>
    <w:rsid w:val="00D15EE8"/>
    <w:rsid w:val="00D200C9"/>
    <w:rsid w:val="00D2569A"/>
    <w:rsid w:val="00D3430B"/>
    <w:rsid w:val="00D3501D"/>
    <w:rsid w:val="00D406CB"/>
    <w:rsid w:val="00D44A5C"/>
    <w:rsid w:val="00D4758C"/>
    <w:rsid w:val="00D5151F"/>
    <w:rsid w:val="00D54520"/>
    <w:rsid w:val="00D55873"/>
    <w:rsid w:val="00D56350"/>
    <w:rsid w:val="00D56D22"/>
    <w:rsid w:val="00D6295E"/>
    <w:rsid w:val="00D75799"/>
    <w:rsid w:val="00D77A08"/>
    <w:rsid w:val="00D83A25"/>
    <w:rsid w:val="00D917F5"/>
    <w:rsid w:val="00DA0453"/>
    <w:rsid w:val="00DB2484"/>
    <w:rsid w:val="00DB283E"/>
    <w:rsid w:val="00DB3834"/>
    <w:rsid w:val="00DB7F87"/>
    <w:rsid w:val="00DC2AAD"/>
    <w:rsid w:val="00DD3656"/>
    <w:rsid w:val="00DD5F2B"/>
    <w:rsid w:val="00DD5FA9"/>
    <w:rsid w:val="00DE2004"/>
    <w:rsid w:val="00DF0772"/>
    <w:rsid w:val="00E1015E"/>
    <w:rsid w:val="00E11103"/>
    <w:rsid w:val="00E1520A"/>
    <w:rsid w:val="00E27D58"/>
    <w:rsid w:val="00E36CDC"/>
    <w:rsid w:val="00E408E7"/>
    <w:rsid w:val="00E4131F"/>
    <w:rsid w:val="00E44275"/>
    <w:rsid w:val="00E61406"/>
    <w:rsid w:val="00E656B3"/>
    <w:rsid w:val="00E77C97"/>
    <w:rsid w:val="00E84D9F"/>
    <w:rsid w:val="00E9139D"/>
    <w:rsid w:val="00E915D9"/>
    <w:rsid w:val="00E950B1"/>
    <w:rsid w:val="00E9778B"/>
    <w:rsid w:val="00EA614C"/>
    <w:rsid w:val="00EB0D7F"/>
    <w:rsid w:val="00EB10AF"/>
    <w:rsid w:val="00EC0787"/>
    <w:rsid w:val="00EF1D84"/>
    <w:rsid w:val="00EF329B"/>
    <w:rsid w:val="00F03546"/>
    <w:rsid w:val="00F13FC0"/>
    <w:rsid w:val="00F150F2"/>
    <w:rsid w:val="00F27248"/>
    <w:rsid w:val="00F31D6C"/>
    <w:rsid w:val="00F3708A"/>
    <w:rsid w:val="00F448A6"/>
    <w:rsid w:val="00F505E8"/>
    <w:rsid w:val="00F56DCB"/>
    <w:rsid w:val="00F63894"/>
    <w:rsid w:val="00F76A86"/>
    <w:rsid w:val="00F776CF"/>
    <w:rsid w:val="00F8082A"/>
    <w:rsid w:val="00F80DC8"/>
    <w:rsid w:val="00F93CFE"/>
    <w:rsid w:val="00FA5A2B"/>
    <w:rsid w:val="00FA6EAE"/>
    <w:rsid w:val="00FB51FF"/>
    <w:rsid w:val="00FC2B23"/>
    <w:rsid w:val="00FC2DB7"/>
    <w:rsid w:val="00FF4C9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AD9A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3D5E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43D5E"/>
    <w:rPr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22270F"/>
  </w:style>
  <w:style w:type="paragraph" w:styleId="Listenabsatz">
    <w:name w:val="List Paragraph"/>
    <w:basedOn w:val="Standard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  <w:style w:type="character" w:styleId="Herausstellen">
    <w:name w:val="Emphasis"/>
    <w:basedOn w:val="Absatzstandardschriftart"/>
    <w:uiPriority w:val="20"/>
    <w:qFormat/>
    <w:rsid w:val="0055518E"/>
    <w:rPr>
      <w:i/>
      <w:iCs/>
    </w:rPr>
  </w:style>
  <w:style w:type="character" w:customStyle="1" w:styleId="hgkelc">
    <w:name w:val="hgkelc"/>
    <w:basedOn w:val="Absatzstandardschriftart"/>
    <w:rsid w:val="003D5C66"/>
  </w:style>
  <w:style w:type="character" w:styleId="Kommentarzeichen">
    <w:name w:val="annotation reference"/>
    <w:basedOn w:val="Absatzstandardschriftart"/>
    <w:uiPriority w:val="99"/>
    <w:semiHidden/>
    <w:unhideWhenUsed/>
    <w:rsid w:val="006A5B1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A5B1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A5B1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A5B1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A5B19"/>
    <w:rPr>
      <w:b/>
      <w:bCs/>
      <w:sz w:val="20"/>
      <w:szCs w:val="20"/>
      <w:lang w:val="de-DE"/>
    </w:rPr>
  </w:style>
  <w:style w:type="paragraph" w:styleId="Bearbeitung">
    <w:name w:val="Revision"/>
    <w:hidden/>
    <w:uiPriority w:val="99"/>
    <w:semiHidden/>
    <w:rsid w:val="00F27248"/>
    <w:pPr>
      <w:spacing w:before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C2447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C2447"/>
    <w:rPr>
      <w:rFonts w:ascii="Lucida Grande" w:hAnsi="Lucida Grande" w:cs="Lucida Grande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3D5E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43D5E"/>
    <w:rPr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22270F"/>
  </w:style>
  <w:style w:type="paragraph" w:styleId="Listenabsatz">
    <w:name w:val="List Paragraph"/>
    <w:basedOn w:val="Standard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  <w:style w:type="character" w:styleId="Herausstellen">
    <w:name w:val="Emphasis"/>
    <w:basedOn w:val="Absatzstandardschriftart"/>
    <w:uiPriority w:val="20"/>
    <w:qFormat/>
    <w:rsid w:val="0055518E"/>
    <w:rPr>
      <w:i/>
      <w:iCs/>
    </w:rPr>
  </w:style>
  <w:style w:type="character" w:customStyle="1" w:styleId="hgkelc">
    <w:name w:val="hgkelc"/>
    <w:basedOn w:val="Absatzstandardschriftart"/>
    <w:rsid w:val="003D5C66"/>
  </w:style>
  <w:style w:type="character" w:styleId="Kommentarzeichen">
    <w:name w:val="annotation reference"/>
    <w:basedOn w:val="Absatzstandardschriftart"/>
    <w:uiPriority w:val="99"/>
    <w:semiHidden/>
    <w:unhideWhenUsed/>
    <w:rsid w:val="006A5B1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A5B1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A5B1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A5B1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A5B19"/>
    <w:rPr>
      <w:b/>
      <w:bCs/>
      <w:sz w:val="20"/>
      <w:szCs w:val="20"/>
      <w:lang w:val="de-DE"/>
    </w:rPr>
  </w:style>
  <w:style w:type="paragraph" w:styleId="Bearbeitung">
    <w:name w:val="Revision"/>
    <w:hidden/>
    <w:uiPriority w:val="99"/>
    <w:semiHidden/>
    <w:rsid w:val="00F27248"/>
    <w:pPr>
      <w:spacing w:before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C2447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C2447"/>
    <w:rPr>
      <w:rFonts w:ascii="Lucida Grande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2339</Words>
  <Characters>14741</Characters>
  <Application>Microsoft Macintosh Word</Application>
  <DocSecurity>0</DocSecurity>
  <Lines>122</Lines>
  <Paragraphs>34</Paragraphs>
  <ScaleCrop>false</ScaleCrop>
  <Company/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2021-12-16T08:54:00Z</dcterms:created>
  <dcterms:modified xsi:type="dcterms:W3CDTF">2021-12-16T17:35:00Z</dcterms:modified>
</cp:coreProperties>
</file>