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A4" w:rsidRDefault="002F56AB">
      <w:pPr>
        <w:pStyle w:val="Corpsdetexte"/>
        <w:ind w:left="100"/>
        <w:rPr>
          <w:rFonts w:ascii="Times New Roman"/>
          <w:sz w:val="20"/>
        </w:rPr>
      </w:pPr>
      <w:r>
        <w:rPr>
          <w:noProof/>
          <w:lang w:eastAsia="fr-FR"/>
        </w:rPr>
        <w:drawing>
          <wp:anchor distT="0" distB="0" distL="0" distR="0" simplePos="0" relativeHeight="268426055" behindDoc="1" locked="0" layoutInCell="1" allowOverlap="1">
            <wp:simplePos x="0" y="0"/>
            <wp:positionH relativeFrom="page">
              <wp:posOffset>4286250</wp:posOffset>
            </wp:positionH>
            <wp:positionV relativeFrom="page">
              <wp:posOffset>447675</wp:posOffset>
            </wp:positionV>
            <wp:extent cx="3061758" cy="80705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61758" cy="807053"/>
                    </a:xfrm>
                    <a:prstGeom prst="rect">
                      <a:avLst/>
                    </a:prstGeom>
                  </pic:spPr>
                </pic:pic>
              </a:graphicData>
            </a:graphic>
          </wp:anchor>
        </w:drawing>
      </w:r>
      <w:r w:rsidR="001F6E9A">
        <w:rPr>
          <w:rFonts w:ascii="Times New Roman"/>
          <w:sz w:val="20"/>
        </w:rPr>
      </w:r>
      <w:r w:rsidR="001F6E9A">
        <w:rPr>
          <w:rFonts w:ascii="Times New Roman"/>
          <w:sz w:val="20"/>
        </w:rPr>
        <w:pict>
          <v:group id="_x0000_s1029" style="width:421.5pt;height:221.95pt;mso-position-horizontal-relative:char;mso-position-vertical-relative:line" coordsize="8430,4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196;height:3170">
              <v:imagedata r:id="rId8" o:title=""/>
            </v:shape>
            <v:shape id="_x0000_s1030" type="#_x0000_t75" style="position:absolute;left:2835;top:2478;width:5595;height:1961">
              <v:imagedata r:id="rId9" o:title=""/>
            </v:shape>
            <w10:wrap type="none"/>
            <w10:anchorlock/>
          </v:group>
        </w:pict>
      </w:r>
    </w:p>
    <w:p w:rsidR="00C86FA4" w:rsidRDefault="00C86FA4">
      <w:pPr>
        <w:pStyle w:val="Corpsdetexte"/>
        <w:rPr>
          <w:rFonts w:ascii="Times New Roman"/>
          <w:sz w:val="20"/>
        </w:rPr>
      </w:pPr>
    </w:p>
    <w:p w:rsidR="00C86FA4" w:rsidRDefault="00C86FA4">
      <w:pPr>
        <w:pStyle w:val="Corpsdetexte"/>
        <w:rPr>
          <w:rFonts w:ascii="Times New Roman"/>
          <w:sz w:val="20"/>
        </w:rPr>
      </w:pPr>
    </w:p>
    <w:p w:rsidR="00093773" w:rsidRDefault="002F56AB" w:rsidP="00F65943">
      <w:pPr>
        <w:pStyle w:val="Titre1"/>
        <w:spacing w:before="0" w:after="240"/>
        <w:ind w:left="142" w:right="0"/>
        <w:rPr>
          <w:color w:val="002046"/>
        </w:rPr>
      </w:pPr>
      <w:r>
        <w:rPr>
          <w:color w:val="002046"/>
        </w:rPr>
        <w:t>Collaboration ent</w:t>
      </w:r>
      <w:r w:rsidR="00CF21DB">
        <w:rPr>
          <w:color w:val="002046"/>
        </w:rPr>
        <w:t xml:space="preserve">re le </w:t>
      </w:r>
      <w:proofErr w:type="spellStart"/>
      <w:r w:rsidR="00CF21DB">
        <w:rPr>
          <w:color w:val="002046"/>
        </w:rPr>
        <w:t>Technion</w:t>
      </w:r>
      <w:proofErr w:type="spellEnd"/>
      <w:r w:rsidR="00CF21DB">
        <w:rPr>
          <w:color w:val="002046"/>
        </w:rPr>
        <w:t xml:space="preserve"> et le Tal Center</w:t>
      </w:r>
    </w:p>
    <w:p w:rsidR="00C86FA4" w:rsidRDefault="002F56AB" w:rsidP="00F65943">
      <w:pPr>
        <w:pStyle w:val="Titre1"/>
        <w:spacing w:before="0" w:after="240"/>
        <w:ind w:left="142" w:right="0"/>
      </w:pPr>
      <w:r>
        <w:rPr>
          <w:color w:val="002046"/>
        </w:rPr>
        <w:t>Effet de la médecine intégrative</w:t>
      </w:r>
    </w:p>
    <w:p w:rsidR="00C86FA4" w:rsidRDefault="002F56AB" w:rsidP="00F65943">
      <w:pPr>
        <w:spacing w:after="240"/>
        <w:ind w:left="142"/>
        <w:jc w:val="center"/>
        <w:rPr>
          <w:b/>
          <w:sz w:val="36"/>
        </w:rPr>
      </w:pPr>
      <w:proofErr w:type="gramStart"/>
      <w:r>
        <w:rPr>
          <w:b/>
          <w:color w:val="002046"/>
          <w:sz w:val="36"/>
        </w:rPr>
        <w:t>sur</w:t>
      </w:r>
      <w:proofErr w:type="gramEnd"/>
    </w:p>
    <w:p w:rsidR="00093773" w:rsidRDefault="002F56AB" w:rsidP="00F65943">
      <w:pPr>
        <w:spacing w:after="240"/>
        <w:ind w:left="142"/>
        <w:jc w:val="center"/>
        <w:rPr>
          <w:b/>
          <w:color w:val="002046"/>
          <w:sz w:val="36"/>
        </w:rPr>
      </w:pPr>
      <w:proofErr w:type="gramStart"/>
      <w:r>
        <w:rPr>
          <w:b/>
          <w:color w:val="002046"/>
          <w:sz w:val="36"/>
        </w:rPr>
        <w:t>les</w:t>
      </w:r>
      <w:proofErr w:type="gramEnd"/>
      <w:r>
        <w:rPr>
          <w:b/>
          <w:color w:val="002046"/>
          <w:sz w:val="36"/>
        </w:rPr>
        <w:t xml:space="preserve"> neuropathies périphériq</w:t>
      </w:r>
      <w:r w:rsidR="00CF21DB">
        <w:rPr>
          <w:b/>
          <w:color w:val="002046"/>
          <w:sz w:val="36"/>
        </w:rPr>
        <w:t>ues induites par chimiothérapie</w:t>
      </w:r>
    </w:p>
    <w:p w:rsidR="00F65943" w:rsidRDefault="00F65943" w:rsidP="00F65943">
      <w:pPr>
        <w:spacing w:after="240"/>
        <w:ind w:left="142"/>
        <w:jc w:val="center"/>
        <w:rPr>
          <w:b/>
          <w:color w:val="002046"/>
          <w:sz w:val="36"/>
        </w:rPr>
      </w:pPr>
    </w:p>
    <w:p w:rsidR="00C86FA4" w:rsidRDefault="002F56AB" w:rsidP="00F65943">
      <w:pPr>
        <w:spacing w:after="240"/>
        <w:ind w:left="142"/>
        <w:jc w:val="center"/>
        <w:rPr>
          <w:b/>
          <w:sz w:val="36"/>
        </w:rPr>
      </w:pPr>
      <w:r>
        <w:rPr>
          <w:b/>
          <w:color w:val="002046"/>
          <w:sz w:val="36"/>
        </w:rPr>
        <w:t>Essai multicentrique contrôlé randomisé</w:t>
      </w:r>
    </w:p>
    <w:p w:rsidR="00C86FA4" w:rsidRDefault="00C86FA4">
      <w:pPr>
        <w:pStyle w:val="Corpsdetexte"/>
        <w:rPr>
          <w:b/>
          <w:sz w:val="40"/>
        </w:rPr>
      </w:pPr>
    </w:p>
    <w:p w:rsidR="00C86FA4" w:rsidRDefault="00C86FA4">
      <w:pPr>
        <w:pStyle w:val="Corpsdetexte"/>
        <w:spacing w:before="4"/>
        <w:rPr>
          <w:b/>
          <w:sz w:val="56"/>
        </w:rPr>
      </w:pPr>
    </w:p>
    <w:p w:rsidR="00CF21DB" w:rsidRDefault="002F56AB" w:rsidP="00F65943">
      <w:pPr>
        <w:pStyle w:val="Titre2"/>
        <w:spacing w:line="362" w:lineRule="auto"/>
        <w:ind w:left="142" w:right="0"/>
        <w:rPr>
          <w:color w:val="002046"/>
        </w:rPr>
      </w:pPr>
      <w:r>
        <w:rPr>
          <w:color w:val="002046"/>
        </w:rPr>
        <w:t>Rapport d</w:t>
      </w:r>
      <w:r w:rsidR="00385456">
        <w:rPr>
          <w:color w:val="002046"/>
        </w:rPr>
        <w:t>’</w:t>
      </w:r>
      <w:r>
        <w:rPr>
          <w:color w:val="002046"/>
        </w:rPr>
        <w:t>avancement intermédiaire</w:t>
      </w:r>
    </w:p>
    <w:p w:rsidR="00C86FA4" w:rsidRDefault="002F56AB" w:rsidP="00F65943">
      <w:pPr>
        <w:pStyle w:val="Titre2"/>
        <w:spacing w:line="362" w:lineRule="auto"/>
        <w:ind w:left="142" w:right="0"/>
      </w:pPr>
      <w:r>
        <w:rPr>
          <w:color w:val="002046"/>
        </w:rPr>
        <w:t>Mars 2018</w:t>
      </w:r>
    </w:p>
    <w:p w:rsidR="00C86FA4" w:rsidRDefault="00C86FA4" w:rsidP="00F65943">
      <w:pPr>
        <w:pStyle w:val="Corpsdetexte"/>
        <w:spacing w:before="1"/>
        <w:ind w:left="142"/>
        <w:rPr>
          <w:b/>
          <w:sz w:val="42"/>
        </w:rPr>
      </w:pPr>
    </w:p>
    <w:p w:rsidR="00C86FA4" w:rsidRDefault="002F56AB" w:rsidP="00F65943">
      <w:pPr>
        <w:pStyle w:val="Corpsdetexte"/>
        <w:spacing w:before="1"/>
        <w:ind w:left="142"/>
        <w:jc w:val="center"/>
      </w:pPr>
      <w:r>
        <w:rPr>
          <w:color w:val="002046"/>
        </w:rPr>
        <w:t xml:space="preserve">Dr </w:t>
      </w:r>
      <w:proofErr w:type="spellStart"/>
      <w:r>
        <w:rPr>
          <w:color w:val="002046"/>
        </w:rPr>
        <w:t>Elad</w:t>
      </w:r>
      <w:proofErr w:type="spellEnd"/>
      <w:r>
        <w:rPr>
          <w:color w:val="002046"/>
        </w:rPr>
        <w:t xml:space="preserve"> </w:t>
      </w:r>
      <w:proofErr w:type="spellStart"/>
      <w:r>
        <w:rPr>
          <w:color w:val="002046"/>
        </w:rPr>
        <w:t>Schiff</w:t>
      </w:r>
      <w:proofErr w:type="spellEnd"/>
    </w:p>
    <w:p w:rsidR="00C86FA4" w:rsidRDefault="002F56AB" w:rsidP="00F65943">
      <w:pPr>
        <w:pStyle w:val="Corpsdetexte"/>
        <w:ind w:left="142"/>
        <w:jc w:val="center"/>
      </w:pPr>
      <w:r>
        <w:rPr>
          <w:color w:val="002046"/>
        </w:rPr>
        <w:t xml:space="preserve">Centre médical </w:t>
      </w:r>
      <w:proofErr w:type="spellStart"/>
      <w:r>
        <w:rPr>
          <w:color w:val="002046"/>
        </w:rPr>
        <w:t>Bnai</w:t>
      </w:r>
      <w:proofErr w:type="spellEnd"/>
      <w:r>
        <w:rPr>
          <w:color w:val="002046"/>
        </w:rPr>
        <w:t xml:space="preserve"> Zion</w:t>
      </w:r>
    </w:p>
    <w:p w:rsidR="00C86FA4" w:rsidRDefault="00C86FA4" w:rsidP="00F65943">
      <w:pPr>
        <w:pStyle w:val="Corpsdetexte"/>
        <w:ind w:left="142"/>
      </w:pPr>
    </w:p>
    <w:p w:rsidR="00C86FA4" w:rsidRDefault="002F56AB" w:rsidP="00F65943">
      <w:pPr>
        <w:pStyle w:val="Corpsdetexte"/>
        <w:ind w:left="142"/>
        <w:jc w:val="center"/>
      </w:pPr>
      <w:r>
        <w:rPr>
          <w:color w:val="002046"/>
        </w:rPr>
        <w:t xml:space="preserve">Prof. </w:t>
      </w:r>
      <w:proofErr w:type="spellStart"/>
      <w:r>
        <w:rPr>
          <w:color w:val="002046"/>
        </w:rPr>
        <w:t>Eran</w:t>
      </w:r>
      <w:proofErr w:type="spellEnd"/>
      <w:r>
        <w:rPr>
          <w:color w:val="002046"/>
        </w:rPr>
        <w:t xml:space="preserve"> Ben-Arye</w:t>
      </w:r>
    </w:p>
    <w:p w:rsidR="00C86FA4" w:rsidRDefault="002F56AB" w:rsidP="00F65943">
      <w:pPr>
        <w:pStyle w:val="Corpsdetexte"/>
        <w:ind w:left="142"/>
        <w:jc w:val="center"/>
      </w:pPr>
      <w:r>
        <w:rPr>
          <w:color w:val="002046"/>
        </w:rPr>
        <w:t xml:space="preserve">Services de santé </w:t>
      </w:r>
      <w:proofErr w:type="spellStart"/>
      <w:r>
        <w:rPr>
          <w:color w:val="002046"/>
        </w:rPr>
        <w:t>Clalit</w:t>
      </w:r>
      <w:proofErr w:type="spellEnd"/>
      <w:r>
        <w:rPr>
          <w:color w:val="002046"/>
        </w:rPr>
        <w:t>, Centre médical Lin, Ha</w:t>
      </w:r>
      <w:r w:rsidR="00385456">
        <w:rPr>
          <w:color w:val="002046"/>
        </w:rPr>
        <w:t>ï</w:t>
      </w:r>
      <w:r>
        <w:rPr>
          <w:color w:val="002046"/>
        </w:rPr>
        <w:t>fa</w:t>
      </w:r>
    </w:p>
    <w:p w:rsidR="00C86FA4" w:rsidRDefault="00C86FA4" w:rsidP="00F65943">
      <w:pPr>
        <w:pStyle w:val="Corpsdetexte"/>
        <w:spacing w:before="11"/>
        <w:ind w:left="142"/>
        <w:rPr>
          <w:sz w:val="23"/>
        </w:rPr>
      </w:pPr>
    </w:p>
    <w:p w:rsidR="00C86FA4" w:rsidRDefault="002F56AB" w:rsidP="00F65943">
      <w:pPr>
        <w:pStyle w:val="Corpsdetexte"/>
        <w:ind w:left="142"/>
        <w:jc w:val="center"/>
      </w:pPr>
      <w:r>
        <w:rPr>
          <w:color w:val="002046"/>
        </w:rPr>
        <w:t xml:space="preserve">Dr. Noah </w:t>
      </w:r>
      <w:proofErr w:type="spellStart"/>
      <w:r>
        <w:rPr>
          <w:color w:val="002046"/>
        </w:rPr>
        <w:t>Samuels</w:t>
      </w:r>
      <w:proofErr w:type="spellEnd"/>
    </w:p>
    <w:p w:rsidR="00C86FA4" w:rsidRDefault="002F56AB" w:rsidP="00F65943">
      <w:pPr>
        <w:pStyle w:val="Corpsdetexte"/>
        <w:ind w:left="142"/>
        <w:jc w:val="center"/>
      </w:pPr>
      <w:r>
        <w:rPr>
          <w:color w:val="002046"/>
        </w:rPr>
        <w:t>Tal Center pour l’oncologie in</w:t>
      </w:r>
      <w:bookmarkStart w:id="0" w:name="_GoBack"/>
      <w:bookmarkEnd w:id="0"/>
      <w:r>
        <w:rPr>
          <w:color w:val="002046"/>
        </w:rPr>
        <w:t xml:space="preserve">tégrative, Centre médical </w:t>
      </w:r>
      <w:proofErr w:type="spellStart"/>
      <w:r>
        <w:rPr>
          <w:color w:val="002046"/>
        </w:rPr>
        <w:t>Sheba</w:t>
      </w:r>
      <w:proofErr w:type="spellEnd"/>
    </w:p>
    <w:p w:rsidR="00C86FA4" w:rsidRDefault="00C86FA4" w:rsidP="00F65943">
      <w:pPr>
        <w:ind w:left="142"/>
        <w:jc w:val="center"/>
        <w:sectPr w:rsidR="00C86FA4">
          <w:headerReference w:type="even" r:id="rId10"/>
          <w:headerReference w:type="default" r:id="rId11"/>
          <w:footerReference w:type="even" r:id="rId12"/>
          <w:footerReference w:type="default" r:id="rId13"/>
          <w:headerReference w:type="first" r:id="rId14"/>
          <w:footerReference w:type="first" r:id="rId15"/>
          <w:type w:val="continuous"/>
          <w:pgSz w:w="12240" w:h="15840"/>
          <w:pgMar w:top="0" w:right="520" w:bottom="280" w:left="3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C86FA4" w:rsidRDefault="002F56AB">
      <w:pPr>
        <w:pStyle w:val="Titre2"/>
        <w:spacing w:before="79"/>
        <w:ind w:left="100" w:right="0"/>
        <w:jc w:val="both"/>
      </w:pPr>
      <w:r>
        <w:rPr>
          <w:color w:val="002046"/>
        </w:rPr>
        <w:lastRenderedPageBreak/>
        <w:t>Introduction</w:t>
      </w:r>
    </w:p>
    <w:p w:rsidR="00C86FA4" w:rsidRDefault="00C86FA4">
      <w:pPr>
        <w:pStyle w:val="Corpsdetexte"/>
        <w:spacing w:before="1"/>
        <w:rPr>
          <w:b/>
        </w:rPr>
      </w:pPr>
    </w:p>
    <w:p w:rsidR="00C86FA4" w:rsidRDefault="002F56AB">
      <w:pPr>
        <w:pStyle w:val="Corpsdetexte"/>
        <w:ind w:left="100" w:right="117"/>
        <w:jc w:val="both"/>
      </w:pPr>
      <w:r>
        <w:rPr>
          <w:color w:val="002046"/>
        </w:rPr>
        <w:t>Le projet a considérablement avancé depuis son lancement et nous avons résolu de nombreuses difficultés auxquelles nous avons été confrontés dans le cadre de la conception et de la mise en œuvre d’une étude de recherche clinique multicentrique d’une telle ampleur. Les avancées incluent notamment à ce jour :</w:t>
      </w:r>
    </w:p>
    <w:p w:rsidR="00C86FA4" w:rsidRDefault="00C86FA4">
      <w:pPr>
        <w:pStyle w:val="Corpsdetexte"/>
      </w:pPr>
    </w:p>
    <w:p w:rsidR="00C86FA4" w:rsidRDefault="002F56AB">
      <w:pPr>
        <w:pStyle w:val="Titre3"/>
      </w:pPr>
      <w:r>
        <w:rPr>
          <w:color w:val="002046"/>
        </w:rPr>
        <w:t>Comité de révision interne (Comité d’Helsinki)</w:t>
      </w:r>
    </w:p>
    <w:p w:rsidR="00C86FA4" w:rsidRDefault="00C86FA4">
      <w:pPr>
        <w:pStyle w:val="Corpsdetexte"/>
        <w:rPr>
          <w:b/>
        </w:rPr>
      </w:pPr>
    </w:p>
    <w:p w:rsidR="00C86FA4" w:rsidRDefault="002F56AB">
      <w:pPr>
        <w:pStyle w:val="Corpsdetexte"/>
        <w:ind w:left="100" w:right="117"/>
        <w:jc w:val="both"/>
      </w:pPr>
      <w:r>
        <w:rPr>
          <w:color w:val="002046"/>
        </w:rPr>
        <w:t xml:space="preserve">Les trois centres médicaux participants (le centre médical </w:t>
      </w:r>
      <w:proofErr w:type="spellStart"/>
      <w:r>
        <w:rPr>
          <w:color w:val="002046"/>
        </w:rPr>
        <w:t>Chaim</w:t>
      </w:r>
      <w:proofErr w:type="spellEnd"/>
      <w:r>
        <w:rPr>
          <w:color w:val="002046"/>
        </w:rPr>
        <w:t xml:space="preserve"> </w:t>
      </w:r>
      <w:proofErr w:type="spellStart"/>
      <w:r>
        <w:rPr>
          <w:color w:val="002046"/>
        </w:rPr>
        <w:t>Sheba</w:t>
      </w:r>
      <w:proofErr w:type="spellEnd"/>
      <w:r>
        <w:rPr>
          <w:color w:val="002046"/>
        </w:rPr>
        <w:t xml:space="preserve"> de Tel </w:t>
      </w:r>
      <w:proofErr w:type="spellStart"/>
      <w:r>
        <w:rPr>
          <w:color w:val="002046"/>
        </w:rPr>
        <w:t>Hashomer</w:t>
      </w:r>
      <w:proofErr w:type="spellEnd"/>
      <w:r>
        <w:rPr>
          <w:color w:val="002046"/>
        </w:rPr>
        <w:t xml:space="preserve"> ; les services de santé </w:t>
      </w:r>
      <w:proofErr w:type="spellStart"/>
      <w:r>
        <w:rPr>
          <w:color w:val="002046"/>
        </w:rPr>
        <w:t>Clalit</w:t>
      </w:r>
      <w:proofErr w:type="spellEnd"/>
      <w:r>
        <w:rPr>
          <w:color w:val="002046"/>
        </w:rPr>
        <w:t xml:space="preserve">, le centre hospitalier Carmel et le centre médical de </w:t>
      </w:r>
      <w:r w:rsidR="00385456">
        <w:rPr>
          <w:color w:val="002046"/>
        </w:rPr>
        <w:t>Haïfa</w:t>
      </w:r>
      <w:r>
        <w:rPr>
          <w:color w:val="002046"/>
        </w:rPr>
        <w:t xml:space="preserve"> ; et le centre médical </w:t>
      </w:r>
      <w:proofErr w:type="spellStart"/>
      <w:r>
        <w:rPr>
          <w:color w:val="002046"/>
        </w:rPr>
        <w:t>Bnai</w:t>
      </w:r>
      <w:proofErr w:type="spellEnd"/>
      <w:r>
        <w:rPr>
          <w:color w:val="002046"/>
        </w:rPr>
        <w:t xml:space="preserve"> Zion de </w:t>
      </w:r>
      <w:r w:rsidR="00385456">
        <w:rPr>
          <w:color w:val="002046"/>
        </w:rPr>
        <w:t>Haïfa</w:t>
      </w:r>
      <w:r>
        <w:rPr>
          <w:color w:val="002046"/>
        </w:rPr>
        <w:t>) ont à présent approuvé le protocole de l’étude.</w:t>
      </w:r>
    </w:p>
    <w:p w:rsidR="00C86FA4" w:rsidRDefault="00C86FA4">
      <w:pPr>
        <w:pStyle w:val="Corpsdetexte"/>
      </w:pPr>
    </w:p>
    <w:p w:rsidR="00C86FA4" w:rsidRDefault="002F56AB">
      <w:pPr>
        <w:pStyle w:val="Corpsdetexte"/>
        <w:ind w:left="100" w:right="118"/>
        <w:jc w:val="both"/>
      </w:pPr>
      <w:r>
        <w:rPr>
          <w:color w:val="002046"/>
        </w:rPr>
        <w:t>L’obtention de cette approbation auprès du Comité de révision interne a nécessité plusieurs échanges afin de répondre aux demandes de ses examinateurs.</w:t>
      </w:r>
    </w:p>
    <w:p w:rsidR="00C86FA4" w:rsidRDefault="00C86FA4">
      <w:pPr>
        <w:pStyle w:val="Corpsdetexte"/>
      </w:pPr>
    </w:p>
    <w:p w:rsidR="00C86FA4" w:rsidRDefault="002F56AB">
      <w:pPr>
        <w:pStyle w:val="Corpsdetexte"/>
        <w:ind w:left="100" w:right="124"/>
        <w:jc w:val="both"/>
      </w:pPr>
      <w:r>
        <w:rPr>
          <w:color w:val="002046"/>
        </w:rPr>
        <w:t>L</w:t>
      </w:r>
      <w:r w:rsidR="00385456">
        <w:rPr>
          <w:color w:val="002046"/>
        </w:rPr>
        <w:t>’</w:t>
      </w:r>
      <w:r>
        <w:rPr>
          <w:color w:val="002046"/>
        </w:rPr>
        <w:t>approbation du comité devra être renouvelée un an après la date initiale d</w:t>
      </w:r>
      <w:r w:rsidR="00385456">
        <w:rPr>
          <w:color w:val="002046"/>
        </w:rPr>
        <w:t>’</w:t>
      </w:r>
      <w:r>
        <w:rPr>
          <w:color w:val="002046"/>
        </w:rPr>
        <w:t xml:space="preserve">autorisation (novembre 2018 pour </w:t>
      </w:r>
      <w:proofErr w:type="spellStart"/>
      <w:r>
        <w:rPr>
          <w:color w:val="002046"/>
        </w:rPr>
        <w:t>Bnai</w:t>
      </w:r>
      <w:proofErr w:type="spellEnd"/>
      <w:r>
        <w:rPr>
          <w:color w:val="002046"/>
        </w:rPr>
        <w:t xml:space="preserve"> Zion, décembre 2018 pour </w:t>
      </w:r>
      <w:proofErr w:type="spellStart"/>
      <w:r>
        <w:rPr>
          <w:color w:val="002046"/>
        </w:rPr>
        <w:t>Sheba</w:t>
      </w:r>
      <w:proofErr w:type="spellEnd"/>
      <w:r>
        <w:rPr>
          <w:color w:val="002046"/>
        </w:rPr>
        <w:t xml:space="preserve"> et </w:t>
      </w:r>
      <w:proofErr w:type="spellStart"/>
      <w:r>
        <w:rPr>
          <w:color w:val="002046"/>
        </w:rPr>
        <w:t>Clalit</w:t>
      </w:r>
      <w:proofErr w:type="spellEnd"/>
      <w:r>
        <w:rPr>
          <w:color w:val="002046"/>
        </w:rPr>
        <w:t>).</w:t>
      </w:r>
    </w:p>
    <w:p w:rsidR="00C86FA4" w:rsidRDefault="00C86FA4">
      <w:pPr>
        <w:pStyle w:val="Corpsdetexte"/>
      </w:pPr>
    </w:p>
    <w:p w:rsidR="00C86FA4" w:rsidRDefault="002F56AB">
      <w:pPr>
        <w:pStyle w:val="Corpsdetexte"/>
        <w:spacing w:line="480" w:lineRule="auto"/>
        <w:ind w:left="1900" w:hanging="1800"/>
      </w:pPr>
      <w:r>
        <w:rPr>
          <w:color w:val="002046"/>
        </w:rPr>
        <w:t>L</w:t>
      </w:r>
      <w:r w:rsidR="00385456">
        <w:rPr>
          <w:color w:val="002046"/>
        </w:rPr>
        <w:t>’</w:t>
      </w:r>
      <w:r>
        <w:rPr>
          <w:color w:val="002046"/>
        </w:rPr>
        <w:t xml:space="preserve">étude figure également sur le site ClinicalTrials.gov du NIH </w:t>
      </w:r>
      <w:hyperlink r:id="rId16">
        <w:r>
          <w:rPr>
            <w:color w:val="002046"/>
            <w:u w:val="single" w:color="002046"/>
          </w:rPr>
          <w:t>https://clinicaltrials.gov/ct2/show/NCT03290976</w:t>
        </w:r>
      </w:hyperlink>
    </w:p>
    <w:p w:rsidR="00C86FA4" w:rsidRDefault="002F56AB">
      <w:pPr>
        <w:pStyle w:val="Titre3"/>
        <w:spacing w:before="8"/>
      </w:pPr>
      <w:r>
        <w:rPr>
          <w:color w:val="002046"/>
        </w:rPr>
        <w:t>Recrutement du personnel infirmier de l’étude</w:t>
      </w:r>
    </w:p>
    <w:p w:rsidR="00C86FA4" w:rsidRDefault="00C86FA4">
      <w:pPr>
        <w:pStyle w:val="Corpsdetexte"/>
        <w:rPr>
          <w:b/>
        </w:rPr>
      </w:pPr>
    </w:p>
    <w:p w:rsidR="00C86FA4" w:rsidRDefault="002F56AB">
      <w:pPr>
        <w:pStyle w:val="Corpsdetexte"/>
        <w:ind w:left="100" w:right="112"/>
        <w:jc w:val="both"/>
      </w:pPr>
      <w:proofErr w:type="spellStart"/>
      <w:r>
        <w:rPr>
          <w:color w:val="002046"/>
        </w:rPr>
        <w:t>Ilanit</w:t>
      </w:r>
      <w:proofErr w:type="spellEnd"/>
      <w:r>
        <w:rPr>
          <w:color w:val="002046"/>
        </w:rPr>
        <w:t xml:space="preserve"> </w:t>
      </w:r>
      <w:proofErr w:type="spellStart"/>
      <w:r>
        <w:rPr>
          <w:color w:val="002046"/>
        </w:rPr>
        <w:t>Shalom-Sharabi</w:t>
      </w:r>
      <w:proofErr w:type="spellEnd"/>
      <w:r>
        <w:rPr>
          <w:color w:val="002046"/>
        </w:rPr>
        <w:t xml:space="preserve"> est désormais nommée infirmière de l’étude. Elle est infirmière clinicienne à l’hôpital </w:t>
      </w:r>
      <w:proofErr w:type="spellStart"/>
      <w:r>
        <w:rPr>
          <w:color w:val="002046"/>
        </w:rPr>
        <w:t>HaSharon</w:t>
      </w:r>
      <w:proofErr w:type="spellEnd"/>
      <w:r>
        <w:rPr>
          <w:color w:val="002046"/>
        </w:rPr>
        <w:t xml:space="preserve"> du centre </w:t>
      </w:r>
      <w:proofErr w:type="spellStart"/>
      <w:r>
        <w:rPr>
          <w:color w:val="002046"/>
        </w:rPr>
        <w:t>Clalit</w:t>
      </w:r>
      <w:proofErr w:type="spellEnd"/>
      <w:r>
        <w:rPr>
          <w:color w:val="002046"/>
        </w:rPr>
        <w:t>. Dans le cadre de son doctorat (PhD) à l’université d’</w:t>
      </w:r>
      <w:r w:rsidR="00385456">
        <w:rPr>
          <w:color w:val="002046"/>
        </w:rPr>
        <w:t>Haïfa</w:t>
      </w:r>
      <w:r>
        <w:rPr>
          <w:color w:val="002046"/>
        </w:rPr>
        <w:t>, elle a travaillé plusieurs années en tant qu’infirmière d</w:t>
      </w:r>
      <w:r w:rsidR="00385456">
        <w:rPr>
          <w:color w:val="002046"/>
        </w:rPr>
        <w:t>’</w:t>
      </w:r>
      <w:r>
        <w:rPr>
          <w:color w:val="002046"/>
        </w:rPr>
        <w:t xml:space="preserve">étude dans de nombreux projets collaboratifs menés par des centres médicaux affiliés au Tal Center et au </w:t>
      </w:r>
      <w:proofErr w:type="spellStart"/>
      <w:r>
        <w:rPr>
          <w:color w:val="002046"/>
        </w:rPr>
        <w:t>Technion</w:t>
      </w:r>
      <w:proofErr w:type="spellEnd"/>
      <w:r>
        <w:rPr>
          <w:color w:val="002046"/>
        </w:rPr>
        <w:t xml:space="preserve">. Nous avons reçu l’autorisation spéciale de la Direction des soins infirmiers du </w:t>
      </w:r>
      <w:proofErr w:type="spellStart"/>
      <w:r>
        <w:rPr>
          <w:color w:val="002046"/>
        </w:rPr>
        <w:t>Clalit</w:t>
      </w:r>
      <w:proofErr w:type="spellEnd"/>
      <w:r>
        <w:rPr>
          <w:color w:val="002046"/>
        </w:rPr>
        <w:t xml:space="preserve"> pour libérer </w:t>
      </w:r>
      <w:proofErr w:type="spellStart"/>
      <w:r>
        <w:rPr>
          <w:color w:val="002046"/>
        </w:rPr>
        <w:t>Ilanit</w:t>
      </w:r>
      <w:proofErr w:type="spellEnd"/>
      <w:r>
        <w:rPr>
          <w:color w:val="002046"/>
        </w:rPr>
        <w:t xml:space="preserve"> d</w:t>
      </w:r>
      <w:r w:rsidR="00385456">
        <w:rPr>
          <w:color w:val="002046"/>
        </w:rPr>
        <w:t>’</w:t>
      </w:r>
      <w:r>
        <w:rPr>
          <w:color w:val="002046"/>
        </w:rPr>
        <w:t xml:space="preserve">une partie de sa charge de travail au sein de l’hôpital </w:t>
      </w:r>
      <w:proofErr w:type="spellStart"/>
      <w:r>
        <w:rPr>
          <w:color w:val="002046"/>
        </w:rPr>
        <w:t>HaSharon</w:t>
      </w:r>
      <w:proofErr w:type="spellEnd"/>
      <w:r>
        <w:rPr>
          <w:color w:val="002046"/>
        </w:rPr>
        <w:t xml:space="preserve"> pour se consacrer à ce projet.</w:t>
      </w:r>
    </w:p>
    <w:p w:rsidR="00C86FA4" w:rsidRDefault="00C86FA4">
      <w:pPr>
        <w:pStyle w:val="Corpsdetexte"/>
      </w:pPr>
    </w:p>
    <w:p w:rsidR="00C86FA4" w:rsidRDefault="002F56AB">
      <w:pPr>
        <w:pStyle w:val="Titre3"/>
      </w:pPr>
      <w:r>
        <w:rPr>
          <w:color w:val="002046"/>
        </w:rPr>
        <w:t>Recrutement et coordination des acuponcteurs</w:t>
      </w:r>
    </w:p>
    <w:p w:rsidR="00C86FA4" w:rsidRDefault="00C86FA4">
      <w:pPr>
        <w:pStyle w:val="Corpsdetexte"/>
        <w:rPr>
          <w:b/>
        </w:rPr>
      </w:pPr>
    </w:p>
    <w:p w:rsidR="00C86FA4" w:rsidRDefault="002F56AB">
      <w:pPr>
        <w:pStyle w:val="Corpsdetexte"/>
        <w:ind w:left="100" w:right="123"/>
        <w:jc w:val="both"/>
      </w:pPr>
      <w:r>
        <w:rPr>
          <w:color w:val="002046"/>
        </w:rPr>
        <w:t xml:space="preserve">Le centre médical </w:t>
      </w:r>
      <w:proofErr w:type="spellStart"/>
      <w:r>
        <w:rPr>
          <w:color w:val="002046"/>
        </w:rPr>
        <w:t>Bnai</w:t>
      </w:r>
      <w:proofErr w:type="spellEnd"/>
      <w:r>
        <w:rPr>
          <w:color w:val="002046"/>
        </w:rPr>
        <w:t xml:space="preserve"> Zion a recruté </w:t>
      </w:r>
      <w:proofErr w:type="spellStart"/>
      <w:r>
        <w:rPr>
          <w:color w:val="002046"/>
        </w:rPr>
        <w:t>Tzah</w:t>
      </w:r>
      <w:proofErr w:type="spellEnd"/>
      <w:r>
        <w:rPr>
          <w:color w:val="002046"/>
        </w:rPr>
        <w:t xml:space="preserve"> </w:t>
      </w:r>
      <w:proofErr w:type="spellStart"/>
      <w:r>
        <w:rPr>
          <w:color w:val="002046"/>
        </w:rPr>
        <w:t>Nahumi</w:t>
      </w:r>
      <w:proofErr w:type="spellEnd"/>
      <w:r>
        <w:rPr>
          <w:color w:val="002046"/>
        </w:rPr>
        <w:t>, acuponcteur, spécifiquement pour ce projet. Le processus de recrutement est particulièrement complexe au niveau de l’organisation, et il intervient dans le département oncologie depuis février 2018.</w:t>
      </w:r>
    </w:p>
    <w:p w:rsidR="00C86FA4" w:rsidRDefault="00C86FA4">
      <w:pPr>
        <w:pStyle w:val="Corpsdetexte"/>
      </w:pPr>
    </w:p>
    <w:p w:rsidR="00C86FA4" w:rsidRDefault="002F56AB" w:rsidP="00F65943">
      <w:pPr>
        <w:pStyle w:val="Corpsdetexte"/>
        <w:ind w:left="100" w:right="117"/>
        <w:jc w:val="both"/>
      </w:pPr>
      <w:r>
        <w:rPr>
          <w:color w:val="002046"/>
        </w:rPr>
        <w:t>Outre l</w:t>
      </w:r>
      <w:r w:rsidR="00385456">
        <w:rPr>
          <w:color w:val="002046"/>
        </w:rPr>
        <w:t>’</w:t>
      </w:r>
      <w:r>
        <w:rPr>
          <w:color w:val="002046"/>
        </w:rPr>
        <w:t xml:space="preserve">actuelle interaction « virtuelle » entre les praticiens de médecines parallèles engagés dans ce projet, un atelier a été organisé le 1er janvier 2018 au centre médical </w:t>
      </w:r>
      <w:proofErr w:type="spellStart"/>
      <w:r>
        <w:rPr>
          <w:color w:val="002046"/>
        </w:rPr>
        <w:t>Bnai</w:t>
      </w:r>
      <w:proofErr w:type="spellEnd"/>
      <w:r>
        <w:rPr>
          <w:color w:val="002046"/>
        </w:rPr>
        <w:t xml:space="preserve"> Zion. Cet atelier consistait en une revue des </w:t>
      </w:r>
      <w:proofErr w:type="spellStart"/>
      <w:r>
        <w:rPr>
          <w:color w:val="002046"/>
        </w:rPr>
        <w:t>compte</w:t>
      </w:r>
      <w:r w:rsidR="00385456">
        <w:rPr>
          <w:color w:val="002046"/>
        </w:rPr>
        <w:t>s</w:t>
      </w:r>
      <w:r>
        <w:rPr>
          <w:color w:val="002046"/>
        </w:rPr>
        <w:t>-rendus</w:t>
      </w:r>
      <w:proofErr w:type="spellEnd"/>
      <w:r>
        <w:rPr>
          <w:color w:val="002046"/>
        </w:rPr>
        <w:t xml:space="preserve"> de l’étude, une discussion sur l</w:t>
      </w:r>
      <w:r w:rsidR="00385456">
        <w:rPr>
          <w:color w:val="002046"/>
        </w:rPr>
        <w:t>’</w:t>
      </w:r>
      <w:r>
        <w:rPr>
          <w:color w:val="002046"/>
        </w:rPr>
        <w:t xml:space="preserve">application de formules médicinales sur </w:t>
      </w:r>
      <w:r w:rsidR="00F65943">
        <w:rPr>
          <w:color w:val="002046"/>
        </w:rPr>
        <w:t xml:space="preserve">les points d’acuponcture dans le groupe traité (par rapport au groupe témoin), et </w:t>
      </w:r>
      <w:r w:rsidR="00F65943">
        <w:rPr>
          <w:color w:val="002046"/>
        </w:rPr>
        <w:lastRenderedPageBreak/>
        <w:t>l’identification des difficultés potentielles pouvant être identifiées durant l’étude, ainsi que des méthodes qui permettraient de les résoudre.</w:t>
      </w:r>
      <w:r w:rsidR="00F65943">
        <w:rPr>
          <w:color w:val="002046"/>
        </w:rPr>
        <w:t xml:space="preserve"> </w:t>
      </w:r>
      <w:r>
        <w:rPr>
          <w:color w:val="002046"/>
        </w:rPr>
        <w:t>Un groupe WhatsApp des acuponcteurs participants a été constitué. Il est activement utilisé pour partager des articles et techniques utiles dans le traitement des neuropathies. Ce sont autant de réalisations importantes.</w:t>
      </w:r>
    </w:p>
    <w:p w:rsidR="00C86FA4" w:rsidRDefault="00C86FA4">
      <w:pPr>
        <w:pStyle w:val="Corpsdetexte"/>
      </w:pPr>
    </w:p>
    <w:p w:rsidR="00C86FA4" w:rsidRDefault="002F56AB">
      <w:pPr>
        <w:pStyle w:val="Titre3"/>
        <w:ind w:left="140"/>
      </w:pPr>
      <w:r>
        <w:rPr>
          <w:color w:val="002046"/>
        </w:rPr>
        <w:t>Publication antérieure</w:t>
      </w:r>
    </w:p>
    <w:p w:rsidR="00C86FA4" w:rsidRDefault="00C86FA4">
      <w:pPr>
        <w:pStyle w:val="Corpsdetexte"/>
        <w:rPr>
          <w:b/>
        </w:rPr>
      </w:pPr>
    </w:p>
    <w:p w:rsidR="00C86FA4" w:rsidRDefault="002F56AB">
      <w:pPr>
        <w:pStyle w:val="Corpsdetexte"/>
        <w:ind w:left="140" w:right="135"/>
        <w:jc w:val="both"/>
      </w:pPr>
      <w:r>
        <w:rPr>
          <w:color w:val="002046"/>
        </w:rPr>
        <w:t>Ce projet est prévu pour deux ans, au terme desquels les résultats seront analysés et publiés dans une revue médicale à comité de lecture. Dans le cadre de l</w:t>
      </w:r>
      <w:r w:rsidR="00385456">
        <w:rPr>
          <w:color w:val="002046"/>
        </w:rPr>
        <w:t>’</w:t>
      </w:r>
      <w:r>
        <w:rPr>
          <w:color w:val="002046"/>
        </w:rPr>
        <w:t>élaboration du protocole, une étude préliminaire de l’effet de l’acuponcture et d’autres modalités de médecine parallèle a néanmoins été menée au sein l’étude du protocole d’enregistrement en cours au centre médical Lin d’</w:t>
      </w:r>
      <w:r w:rsidR="00385456">
        <w:rPr>
          <w:color w:val="002046"/>
        </w:rPr>
        <w:t>Haïfa</w:t>
      </w:r>
      <w:r>
        <w:rPr>
          <w:color w:val="002046"/>
        </w:rPr>
        <w:t xml:space="preserve">. L'article, intitulé </w:t>
      </w:r>
      <w:proofErr w:type="spellStart"/>
      <w:r>
        <w:rPr>
          <w:i/>
          <w:color w:val="002046"/>
        </w:rPr>
        <w:t>Effect</w:t>
      </w:r>
      <w:proofErr w:type="spellEnd"/>
      <w:r>
        <w:rPr>
          <w:i/>
          <w:color w:val="002046"/>
        </w:rPr>
        <w:t xml:space="preserve"> of a </w:t>
      </w:r>
      <w:proofErr w:type="spellStart"/>
      <w:r>
        <w:rPr>
          <w:i/>
          <w:color w:val="002046"/>
        </w:rPr>
        <w:t>Complementary</w:t>
      </w:r>
      <w:proofErr w:type="spellEnd"/>
      <w:r>
        <w:rPr>
          <w:i/>
          <w:color w:val="002046"/>
        </w:rPr>
        <w:t>/</w:t>
      </w:r>
      <w:proofErr w:type="spellStart"/>
      <w:r>
        <w:rPr>
          <w:i/>
          <w:color w:val="002046"/>
        </w:rPr>
        <w:t>Integrative</w:t>
      </w:r>
      <w:proofErr w:type="spellEnd"/>
      <w:r>
        <w:rPr>
          <w:i/>
          <w:color w:val="002046"/>
        </w:rPr>
        <w:t xml:space="preserve"> </w:t>
      </w:r>
      <w:proofErr w:type="spellStart"/>
      <w:r>
        <w:rPr>
          <w:i/>
          <w:color w:val="002046"/>
        </w:rPr>
        <w:t>Medicine</w:t>
      </w:r>
      <w:proofErr w:type="spellEnd"/>
      <w:r>
        <w:rPr>
          <w:i/>
          <w:color w:val="002046"/>
        </w:rPr>
        <w:t xml:space="preserve"> </w:t>
      </w:r>
      <w:proofErr w:type="spellStart"/>
      <w:r>
        <w:rPr>
          <w:i/>
          <w:color w:val="002046"/>
        </w:rPr>
        <w:t>Treatment</w:t>
      </w:r>
      <w:proofErr w:type="spellEnd"/>
      <w:r>
        <w:rPr>
          <w:i/>
          <w:color w:val="002046"/>
        </w:rPr>
        <w:t xml:space="preserve"> Program on </w:t>
      </w:r>
      <w:proofErr w:type="spellStart"/>
      <w:r>
        <w:rPr>
          <w:i/>
          <w:color w:val="002046"/>
        </w:rPr>
        <w:t>Taxane-Induced</w:t>
      </w:r>
      <w:proofErr w:type="spellEnd"/>
      <w:r>
        <w:rPr>
          <w:i/>
          <w:color w:val="002046"/>
        </w:rPr>
        <w:t xml:space="preserve"> </w:t>
      </w:r>
      <w:proofErr w:type="spellStart"/>
      <w:r>
        <w:rPr>
          <w:i/>
          <w:color w:val="002046"/>
        </w:rPr>
        <w:t>Peripheral</w:t>
      </w:r>
      <w:proofErr w:type="spellEnd"/>
      <w:r>
        <w:rPr>
          <w:i/>
          <w:color w:val="002046"/>
        </w:rPr>
        <w:t xml:space="preserve"> </w:t>
      </w:r>
      <w:proofErr w:type="spellStart"/>
      <w:r>
        <w:rPr>
          <w:i/>
          <w:color w:val="002046"/>
        </w:rPr>
        <w:t>Neuropathy</w:t>
      </w:r>
      <w:proofErr w:type="spellEnd"/>
      <w:r>
        <w:rPr>
          <w:i/>
          <w:color w:val="002046"/>
        </w:rPr>
        <w:t xml:space="preserve">: A </w:t>
      </w:r>
      <w:proofErr w:type="spellStart"/>
      <w:r>
        <w:rPr>
          <w:i/>
          <w:color w:val="002046"/>
        </w:rPr>
        <w:t>Brief</w:t>
      </w:r>
      <w:proofErr w:type="spellEnd"/>
      <w:r>
        <w:rPr>
          <w:i/>
          <w:color w:val="002046"/>
        </w:rPr>
        <w:t xml:space="preserve"> Report</w:t>
      </w:r>
      <w:r>
        <w:rPr>
          <w:color w:val="002046"/>
        </w:rPr>
        <w:t xml:space="preserve"> (Effet d’un programme thérapeutique par une médecine parallèle/intégrative sur une neuropathie périphérique induite par un </w:t>
      </w:r>
      <w:proofErr w:type="spellStart"/>
      <w:r>
        <w:rPr>
          <w:color w:val="002046"/>
        </w:rPr>
        <w:t>taxane</w:t>
      </w:r>
      <w:proofErr w:type="spellEnd"/>
      <w:r>
        <w:rPr>
          <w:color w:val="002046"/>
        </w:rPr>
        <w:t xml:space="preserve"> : rapport sommaire) a été validé pour être publié par l’International Journal of </w:t>
      </w:r>
      <w:proofErr w:type="spellStart"/>
      <w:r>
        <w:rPr>
          <w:color w:val="002046"/>
        </w:rPr>
        <w:t>Gynecological</w:t>
      </w:r>
      <w:proofErr w:type="spellEnd"/>
      <w:r>
        <w:rPr>
          <w:color w:val="002046"/>
        </w:rPr>
        <w:t xml:space="preserve"> Cancer, des modifications mineures sont en cours. Il contient une mention relative au soutien reçu de la Fondation </w:t>
      </w:r>
      <w:proofErr w:type="spellStart"/>
      <w:r>
        <w:rPr>
          <w:color w:val="002046"/>
        </w:rPr>
        <w:t>Adelis</w:t>
      </w:r>
      <w:proofErr w:type="spellEnd"/>
      <w:r>
        <w:rPr>
          <w:color w:val="002046"/>
        </w:rPr>
        <w:t>. Nous vous transmettrons une copie de cet article dès sa publication.</w:t>
      </w:r>
    </w:p>
    <w:p w:rsidR="00C86FA4" w:rsidRDefault="00C86FA4">
      <w:pPr>
        <w:pStyle w:val="Corpsdetexte"/>
      </w:pPr>
    </w:p>
    <w:p w:rsidR="00C86FA4" w:rsidRDefault="002F56AB">
      <w:pPr>
        <w:pStyle w:val="Titre3"/>
        <w:ind w:left="140"/>
      </w:pPr>
      <w:r>
        <w:rPr>
          <w:color w:val="002046"/>
        </w:rPr>
        <w:t>Début de l’étude</w:t>
      </w:r>
    </w:p>
    <w:p w:rsidR="00C86FA4" w:rsidRDefault="00C86FA4">
      <w:pPr>
        <w:pStyle w:val="Corpsdetexte"/>
        <w:rPr>
          <w:b/>
        </w:rPr>
      </w:pPr>
    </w:p>
    <w:p w:rsidR="00C86FA4" w:rsidRDefault="002F56AB">
      <w:pPr>
        <w:pStyle w:val="Corpsdetexte"/>
        <w:ind w:left="140" w:right="136"/>
        <w:jc w:val="both"/>
      </w:pPr>
      <w:r>
        <w:rPr>
          <w:color w:val="002046"/>
        </w:rPr>
        <w:t xml:space="preserve">En suivant un long processus auprès des services administratifs de l’hôpital de Tel </w:t>
      </w:r>
      <w:proofErr w:type="spellStart"/>
      <w:r>
        <w:rPr>
          <w:color w:val="002046"/>
        </w:rPr>
        <w:t>Hashomer</w:t>
      </w:r>
      <w:proofErr w:type="spellEnd"/>
      <w:r>
        <w:rPr>
          <w:color w:val="002046"/>
        </w:rPr>
        <w:t>, nous avons fait l’acquisition d</w:t>
      </w:r>
      <w:r w:rsidR="00385456">
        <w:rPr>
          <w:color w:val="002046"/>
        </w:rPr>
        <w:t>’</w:t>
      </w:r>
      <w:r>
        <w:rPr>
          <w:color w:val="002046"/>
        </w:rPr>
        <w:t>outils d</w:t>
      </w:r>
      <w:r w:rsidR="00385456">
        <w:rPr>
          <w:color w:val="002046"/>
        </w:rPr>
        <w:t>’</w:t>
      </w:r>
      <w:r>
        <w:rPr>
          <w:color w:val="002046"/>
        </w:rPr>
        <w:t>évaluation sensorielle Von Frey aux États-Unis et attendons de les recevoir. Ils nous permettront de procéder à l’évaluation physique des patients.</w:t>
      </w:r>
    </w:p>
    <w:p w:rsidR="00C86FA4" w:rsidRDefault="00C86FA4">
      <w:pPr>
        <w:pStyle w:val="Corpsdetexte"/>
      </w:pPr>
    </w:p>
    <w:p w:rsidR="00C86FA4" w:rsidRDefault="002F56AB">
      <w:pPr>
        <w:pStyle w:val="Corpsdetexte"/>
        <w:ind w:left="140"/>
        <w:jc w:val="both"/>
      </w:pPr>
      <w:r>
        <w:rPr>
          <w:color w:val="002046"/>
        </w:rPr>
        <w:t xml:space="preserve">Nous </w:t>
      </w:r>
      <w:r w:rsidR="00385456">
        <w:rPr>
          <w:color w:val="002046"/>
        </w:rPr>
        <w:t>commençons</w:t>
      </w:r>
      <w:r>
        <w:rPr>
          <w:color w:val="002046"/>
        </w:rPr>
        <w:t xml:space="preserve"> à présent le recrutement des patients.</w:t>
      </w:r>
    </w:p>
    <w:p w:rsidR="00C86FA4" w:rsidRDefault="00C86FA4">
      <w:pPr>
        <w:pStyle w:val="Corpsdetexte"/>
        <w:rPr>
          <w:sz w:val="20"/>
        </w:rPr>
      </w:pPr>
    </w:p>
    <w:p w:rsidR="00C86FA4" w:rsidRDefault="00C86FA4">
      <w:pPr>
        <w:pStyle w:val="Corpsdetexte"/>
        <w:rPr>
          <w:sz w:val="20"/>
        </w:rPr>
      </w:pPr>
    </w:p>
    <w:p w:rsidR="00C86FA4" w:rsidRDefault="00C86FA4">
      <w:pPr>
        <w:pStyle w:val="Corpsdetexte"/>
        <w:rPr>
          <w:sz w:val="20"/>
        </w:rPr>
      </w:pPr>
    </w:p>
    <w:p w:rsidR="00C86FA4" w:rsidRDefault="00C86FA4">
      <w:pPr>
        <w:pStyle w:val="Corpsdetexte"/>
        <w:rPr>
          <w:sz w:val="20"/>
        </w:rPr>
      </w:pPr>
    </w:p>
    <w:p w:rsidR="00C86FA4" w:rsidRDefault="00C86FA4">
      <w:pPr>
        <w:pStyle w:val="Corpsdetexte"/>
        <w:rPr>
          <w:sz w:val="20"/>
        </w:rPr>
      </w:pPr>
    </w:p>
    <w:p w:rsidR="00C86FA4" w:rsidRDefault="001F6E9A">
      <w:pPr>
        <w:pStyle w:val="Corpsdetexte"/>
        <w:spacing w:before="9"/>
        <w:rPr>
          <w:sz w:val="21"/>
        </w:rPr>
      </w:pPr>
      <w:r>
        <w:pict>
          <v:group id="_x0000_s1026" style="position:absolute;margin-left:88.9pt;margin-top:14.5pt;width:434.7pt;height:197.1pt;z-index:1096;mso-wrap-distance-left:0;mso-wrap-distance-right:0;mso-position-horizontal-relative:page" coordorigin="1778,290" coordsize="8694,3690">
            <v:shape id="_x0000_s1028" type="#_x0000_t75" style="position:absolute;left:3335;top:1326;width:5580;height:1950">
              <v:imagedata r:id="rId17" o:title=""/>
            </v:shape>
            <v:shapetype id="_x0000_t202" coordsize="21600,21600" o:spt="202" path="m,l,21600r21600,l21600,xe">
              <v:stroke joinstyle="miter"/>
              <v:path gradientshapeok="t" o:connecttype="rect"/>
            </v:shapetype>
            <v:shape id="_x0000_s1027" type="#_x0000_t202" style="position:absolute;left:1800;top:312;width:8649;height:3645" filled="f" strokecolor="#002046" strokeweight="2.25pt">
              <v:textbox inset="0,0,0,0">
                <w:txbxContent>
                  <w:p w:rsidR="00C86FA4" w:rsidRPr="00F65943" w:rsidRDefault="002F56AB">
                    <w:pPr>
                      <w:spacing w:before="73"/>
                      <w:ind w:left="1369" w:right="1368"/>
                      <w:jc w:val="center"/>
                      <w:rPr>
                        <w:sz w:val="36"/>
                        <w:szCs w:val="36"/>
                      </w:rPr>
                    </w:pPr>
                    <w:r w:rsidRPr="00F65943">
                      <w:rPr>
                        <w:color w:val="002046"/>
                        <w:sz w:val="36"/>
                        <w:szCs w:val="36"/>
                      </w:rPr>
                      <w:t xml:space="preserve">Le </w:t>
                    </w:r>
                    <w:proofErr w:type="spellStart"/>
                    <w:r w:rsidRPr="00F65943">
                      <w:rPr>
                        <w:color w:val="002046"/>
                        <w:sz w:val="36"/>
                        <w:szCs w:val="36"/>
                      </w:rPr>
                      <w:t>Technion</w:t>
                    </w:r>
                    <w:proofErr w:type="spellEnd"/>
                    <w:r w:rsidRPr="00F65943">
                      <w:rPr>
                        <w:color w:val="002046"/>
                        <w:sz w:val="36"/>
                        <w:szCs w:val="36"/>
                      </w:rPr>
                      <w:t xml:space="preserve"> et le Tal Center remercient la</w:t>
                    </w:r>
                  </w:p>
                  <w:p w:rsidR="00C86FA4" w:rsidRPr="00F65943" w:rsidRDefault="00C86FA4">
                    <w:pPr>
                      <w:rPr>
                        <w:sz w:val="36"/>
                        <w:szCs w:val="36"/>
                      </w:rPr>
                    </w:pPr>
                  </w:p>
                  <w:p w:rsidR="00C86FA4" w:rsidRPr="00F65943" w:rsidRDefault="00C86FA4">
                    <w:pPr>
                      <w:rPr>
                        <w:sz w:val="36"/>
                        <w:szCs w:val="36"/>
                      </w:rPr>
                    </w:pPr>
                  </w:p>
                  <w:p w:rsidR="00C86FA4" w:rsidRPr="00F65943" w:rsidRDefault="00C86FA4">
                    <w:pPr>
                      <w:rPr>
                        <w:sz w:val="36"/>
                        <w:szCs w:val="36"/>
                      </w:rPr>
                    </w:pPr>
                  </w:p>
                  <w:p w:rsidR="00C86FA4" w:rsidRDefault="00C86FA4">
                    <w:pPr>
                      <w:spacing w:before="6"/>
                      <w:rPr>
                        <w:sz w:val="36"/>
                        <w:szCs w:val="36"/>
                      </w:rPr>
                    </w:pPr>
                  </w:p>
                  <w:p w:rsidR="00F65943" w:rsidRPr="00F65943" w:rsidRDefault="00F65943">
                    <w:pPr>
                      <w:spacing w:before="6"/>
                      <w:rPr>
                        <w:sz w:val="36"/>
                        <w:szCs w:val="36"/>
                      </w:rPr>
                    </w:pPr>
                  </w:p>
                  <w:p w:rsidR="00C86FA4" w:rsidRPr="00F65943" w:rsidRDefault="002F56AB">
                    <w:pPr>
                      <w:ind w:left="669" w:right="669"/>
                      <w:jc w:val="center"/>
                      <w:rPr>
                        <w:sz w:val="36"/>
                        <w:szCs w:val="36"/>
                      </w:rPr>
                    </w:pPr>
                    <w:proofErr w:type="gramStart"/>
                    <w:r w:rsidRPr="00F65943">
                      <w:rPr>
                        <w:color w:val="002046"/>
                        <w:sz w:val="36"/>
                        <w:szCs w:val="36"/>
                      </w:rPr>
                      <w:t>pour</w:t>
                    </w:r>
                    <w:proofErr w:type="gramEnd"/>
                    <w:r w:rsidRPr="00F65943">
                      <w:rPr>
                        <w:color w:val="002046"/>
                        <w:sz w:val="36"/>
                        <w:szCs w:val="36"/>
                      </w:rPr>
                      <w:t xml:space="preserve"> son soutien dans ce projet collaboratif</w:t>
                    </w:r>
                  </w:p>
                </w:txbxContent>
              </v:textbox>
            </v:shape>
            <w10:wrap type="topAndBottom" anchorx="page"/>
          </v:group>
        </w:pict>
      </w:r>
    </w:p>
    <w:p w:rsidR="00C86FA4" w:rsidRDefault="00C86FA4">
      <w:pPr>
        <w:rPr>
          <w:sz w:val="21"/>
        </w:rPr>
        <w:sectPr w:rsidR="00C86FA4">
          <w:pgSz w:w="12240" w:h="15840"/>
          <w:pgMar w:top="1360" w:right="1660" w:bottom="280" w:left="16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C86FA4" w:rsidRDefault="002F56AB">
      <w:pPr>
        <w:pStyle w:val="Corpsdetexte"/>
        <w:ind w:left="1375"/>
        <w:rPr>
          <w:sz w:val="20"/>
        </w:rPr>
      </w:pPr>
      <w:r>
        <w:rPr>
          <w:noProof/>
          <w:sz w:val="20"/>
          <w:lang w:eastAsia="fr-FR"/>
        </w:rPr>
        <w:lastRenderedPageBreak/>
        <w:drawing>
          <wp:inline distT="0" distB="0" distL="0" distR="0">
            <wp:extent cx="3864762" cy="1024127"/>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3864762" cy="1024127"/>
                    </a:xfrm>
                    <a:prstGeom prst="rect">
                      <a:avLst/>
                    </a:prstGeom>
                  </pic:spPr>
                </pic:pic>
              </a:graphicData>
            </a:graphic>
          </wp:inline>
        </w:drawing>
      </w:r>
    </w:p>
    <w:p w:rsidR="00C86FA4" w:rsidRDefault="00C86FA4">
      <w:pPr>
        <w:pStyle w:val="Corpsdetexte"/>
        <w:rPr>
          <w:sz w:val="20"/>
        </w:rPr>
      </w:pPr>
    </w:p>
    <w:p w:rsidR="00C86FA4" w:rsidRDefault="00C86FA4">
      <w:pPr>
        <w:pStyle w:val="Corpsdetexte"/>
        <w:rPr>
          <w:sz w:val="20"/>
        </w:rPr>
      </w:pPr>
    </w:p>
    <w:p w:rsidR="00C86FA4" w:rsidRDefault="00C86FA4">
      <w:pPr>
        <w:pStyle w:val="Corpsdetexte"/>
        <w:rPr>
          <w:sz w:val="20"/>
        </w:rPr>
      </w:pPr>
    </w:p>
    <w:p w:rsidR="00C86FA4" w:rsidRDefault="00C86FA4">
      <w:pPr>
        <w:pStyle w:val="Corpsdetexte"/>
        <w:rPr>
          <w:sz w:val="20"/>
        </w:rPr>
      </w:pPr>
    </w:p>
    <w:p w:rsidR="00C86FA4" w:rsidRDefault="00C86FA4">
      <w:pPr>
        <w:pStyle w:val="Corpsdetexte"/>
        <w:rPr>
          <w:sz w:val="20"/>
        </w:rPr>
      </w:pPr>
    </w:p>
    <w:p w:rsidR="00C86FA4" w:rsidRDefault="00C86FA4">
      <w:pPr>
        <w:pStyle w:val="Corpsdetexte"/>
        <w:spacing w:before="6"/>
        <w:rPr>
          <w:sz w:val="29"/>
        </w:rPr>
      </w:pPr>
    </w:p>
    <w:p w:rsidR="00F65943" w:rsidRDefault="002F56AB" w:rsidP="00F65943">
      <w:pPr>
        <w:pStyle w:val="Titre2"/>
        <w:ind w:left="0" w:right="74"/>
        <w:rPr>
          <w:color w:val="002046"/>
        </w:rPr>
      </w:pPr>
      <w:r>
        <w:rPr>
          <w:color w:val="002046"/>
        </w:rPr>
        <w:t>Collaboration ent</w:t>
      </w:r>
      <w:r w:rsidR="00F65943">
        <w:rPr>
          <w:color w:val="002046"/>
        </w:rPr>
        <w:t xml:space="preserve">re le </w:t>
      </w:r>
      <w:proofErr w:type="spellStart"/>
      <w:r w:rsidR="00F65943">
        <w:rPr>
          <w:color w:val="002046"/>
        </w:rPr>
        <w:t>Technion</w:t>
      </w:r>
      <w:proofErr w:type="spellEnd"/>
      <w:r w:rsidR="00F65943">
        <w:rPr>
          <w:color w:val="002046"/>
        </w:rPr>
        <w:t xml:space="preserve"> et le Tal Center</w:t>
      </w:r>
    </w:p>
    <w:p w:rsidR="00C86FA4" w:rsidRDefault="002F56AB" w:rsidP="00F65943">
      <w:pPr>
        <w:pStyle w:val="Titre2"/>
        <w:ind w:left="0" w:right="74"/>
      </w:pPr>
      <w:r>
        <w:rPr>
          <w:color w:val="002046"/>
        </w:rPr>
        <w:t>Effet de la médecine intégrative</w:t>
      </w:r>
    </w:p>
    <w:p w:rsidR="00C86FA4" w:rsidRDefault="002F56AB" w:rsidP="00F65943">
      <w:pPr>
        <w:ind w:right="74"/>
        <w:jc w:val="center"/>
        <w:rPr>
          <w:b/>
          <w:sz w:val="28"/>
        </w:rPr>
      </w:pPr>
      <w:proofErr w:type="gramStart"/>
      <w:r>
        <w:rPr>
          <w:b/>
          <w:color w:val="002046"/>
          <w:sz w:val="28"/>
        </w:rPr>
        <w:t>sur</w:t>
      </w:r>
      <w:proofErr w:type="gramEnd"/>
    </w:p>
    <w:p w:rsidR="00F65943" w:rsidRDefault="002F56AB" w:rsidP="00F65943">
      <w:pPr>
        <w:ind w:right="74"/>
        <w:jc w:val="center"/>
        <w:rPr>
          <w:b/>
          <w:color w:val="002046"/>
          <w:sz w:val="28"/>
        </w:rPr>
      </w:pPr>
      <w:proofErr w:type="gramStart"/>
      <w:r>
        <w:rPr>
          <w:b/>
          <w:color w:val="002046"/>
          <w:sz w:val="28"/>
        </w:rPr>
        <w:t>les</w:t>
      </w:r>
      <w:proofErr w:type="gramEnd"/>
      <w:r>
        <w:rPr>
          <w:b/>
          <w:color w:val="002046"/>
          <w:sz w:val="28"/>
        </w:rPr>
        <w:t xml:space="preserve"> neuropathies périphériq</w:t>
      </w:r>
      <w:r w:rsidR="00F65943">
        <w:rPr>
          <w:b/>
          <w:color w:val="002046"/>
          <w:sz w:val="28"/>
        </w:rPr>
        <w:t>ues induites par chimiothérapie</w:t>
      </w:r>
    </w:p>
    <w:p w:rsidR="00F65943" w:rsidRDefault="00F65943" w:rsidP="00F65943">
      <w:pPr>
        <w:ind w:right="74"/>
        <w:jc w:val="center"/>
        <w:rPr>
          <w:b/>
          <w:color w:val="002046"/>
          <w:sz w:val="28"/>
        </w:rPr>
      </w:pPr>
    </w:p>
    <w:p w:rsidR="00C86FA4" w:rsidRDefault="002F56AB" w:rsidP="00F65943">
      <w:pPr>
        <w:ind w:right="74"/>
        <w:jc w:val="center"/>
        <w:rPr>
          <w:b/>
          <w:color w:val="002046"/>
          <w:sz w:val="28"/>
        </w:rPr>
      </w:pPr>
      <w:r>
        <w:rPr>
          <w:b/>
          <w:color w:val="002046"/>
          <w:sz w:val="28"/>
        </w:rPr>
        <w:t>Essai multicentrique contrôlé randomisé</w:t>
      </w:r>
    </w:p>
    <w:p w:rsidR="00F65943" w:rsidRDefault="00F65943" w:rsidP="00F65943">
      <w:pPr>
        <w:ind w:right="74"/>
        <w:jc w:val="center"/>
        <w:rPr>
          <w:b/>
          <w:sz w:val="28"/>
        </w:rPr>
      </w:pPr>
    </w:p>
    <w:p w:rsidR="00C86FA4" w:rsidRDefault="002F56AB" w:rsidP="00F65943">
      <w:pPr>
        <w:ind w:right="74"/>
        <w:jc w:val="center"/>
        <w:rPr>
          <w:b/>
          <w:color w:val="002046"/>
          <w:sz w:val="28"/>
        </w:rPr>
      </w:pPr>
      <w:r>
        <w:rPr>
          <w:b/>
          <w:color w:val="002046"/>
          <w:sz w:val="28"/>
        </w:rPr>
        <w:t xml:space="preserve">État financier du </w:t>
      </w:r>
      <w:proofErr w:type="spellStart"/>
      <w:r>
        <w:rPr>
          <w:b/>
          <w:color w:val="002046"/>
          <w:sz w:val="28"/>
        </w:rPr>
        <w:t>Technion</w:t>
      </w:r>
      <w:proofErr w:type="spellEnd"/>
      <w:r>
        <w:rPr>
          <w:b/>
          <w:color w:val="002046"/>
          <w:sz w:val="28"/>
        </w:rPr>
        <w:t xml:space="preserve"> en février 2018</w:t>
      </w:r>
    </w:p>
    <w:p w:rsidR="00F65943" w:rsidRDefault="00F65943" w:rsidP="00F65943">
      <w:pPr>
        <w:ind w:right="74"/>
        <w:jc w:val="center"/>
        <w:rPr>
          <w:b/>
          <w:color w:val="002046"/>
          <w:sz w:val="28"/>
        </w:rPr>
      </w:pPr>
    </w:p>
    <w:p w:rsidR="00F65943" w:rsidRDefault="00F65943" w:rsidP="00F65943">
      <w:pPr>
        <w:ind w:right="74"/>
        <w:jc w:val="center"/>
        <w:rPr>
          <w:b/>
          <w:sz w:val="28"/>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1435"/>
        <w:gridCol w:w="1241"/>
      </w:tblGrid>
      <w:tr w:rsidR="00C86FA4">
        <w:trPr>
          <w:trHeight w:hRule="exact" w:val="331"/>
        </w:trPr>
        <w:tc>
          <w:tcPr>
            <w:tcW w:w="5955" w:type="dxa"/>
          </w:tcPr>
          <w:p w:rsidR="00C86FA4" w:rsidRDefault="00C86FA4"/>
        </w:tc>
        <w:tc>
          <w:tcPr>
            <w:tcW w:w="1435" w:type="dxa"/>
          </w:tcPr>
          <w:p w:rsidR="00C86FA4" w:rsidRDefault="002F56AB">
            <w:pPr>
              <w:pStyle w:val="TableParagraph"/>
              <w:spacing w:line="321" w:lineRule="exact"/>
              <w:ind w:left="633"/>
              <w:rPr>
                <w:b/>
                <w:sz w:val="28"/>
              </w:rPr>
            </w:pPr>
            <w:r>
              <w:rPr>
                <w:b/>
                <w:color w:val="002046"/>
                <w:sz w:val="28"/>
              </w:rPr>
              <w:t>$</w:t>
            </w:r>
          </w:p>
        </w:tc>
        <w:tc>
          <w:tcPr>
            <w:tcW w:w="1241" w:type="dxa"/>
          </w:tcPr>
          <w:p w:rsidR="00C86FA4" w:rsidRDefault="002F56AB">
            <w:pPr>
              <w:pStyle w:val="TableParagraph"/>
              <w:spacing w:line="321" w:lineRule="exact"/>
              <w:ind w:left="0"/>
              <w:jc w:val="center"/>
              <w:rPr>
                <w:b/>
                <w:sz w:val="28"/>
              </w:rPr>
            </w:pPr>
            <w:r>
              <w:rPr>
                <w:b/>
                <w:color w:val="002046"/>
                <w:sz w:val="28"/>
              </w:rPr>
              <w:t>$</w:t>
            </w:r>
          </w:p>
        </w:tc>
      </w:tr>
      <w:tr w:rsidR="00C86FA4">
        <w:trPr>
          <w:trHeight w:hRule="exact" w:val="332"/>
        </w:trPr>
        <w:tc>
          <w:tcPr>
            <w:tcW w:w="5955" w:type="dxa"/>
          </w:tcPr>
          <w:p w:rsidR="00C86FA4" w:rsidRDefault="002F56AB">
            <w:pPr>
              <w:pStyle w:val="TableParagraph"/>
              <w:spacing w:line="321" w:lineRule="exact"/>
              <w:rPr>
                <w:b/>
                <w:sz w:val="28"/>
              </w:rPr>
            </w:pPr>
            <w:r>
              <w:rPr>
                <w:b/>
                <w:color w:val="002046"/>
                <w:sz w:val="28"/>
              </w:rPr>
              <w:t>RECETTES</w:t>
            </w:r>
          </w:p>
        </w:tc>
        <w:tc>
          <w:tcPr>
            <w:tcW w:w="1435" w:type="dxa"/>
          </w:tcPr>
          <w:p w:rsidR="00C86FA4" w:rsidRDefault="00C86FA4"/>
        </w:tc>
        <w:tc>
          <w:tcPr>
            <w:tcW w:w="1241" w:type="dxa"/>
          </w:tcPr>
          <w:p w:rsidR="00C86FA4" w:rsidRDefault="00C86FA4"/>
        </w:tc>
      </w:tr>
      <w:tr w:rsidR="00C86FA4">
        <w:trPr>
          <w:trHeight w:hRule="exact" w:val="334"/>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286"/>
        </w:trPr>
        <w:tc>
          <w:tcPr>
            <w:tcW w:w="5955" w:type="dxa"/>
          </w:tcPr>
          <w:p w:rsidR="00C86FA4" w:rsidRDefault="002F56AB">
            <w:pPr>
              <w:pStyle w:val="TableParagraph"/>
              <w:rPr>
                <w:sz w:val="24"/>
              </w:rPr>
            </w:pPr>
            <w:r>
              <w:rPr>
                <w:color w:val="002046"/>
                <w:sz w:val="24"/>
              </w:rPr>
              <w:t xml:space="preserve">Don reçu de la Fondation </w:t>
            </w:r>
            <w:proofErr w:type="spellStart"/>
            <w:r>
              <w:rPr>
                <w:color w:val="002046"/>
                <w:sz w:val="24"/>
              </w:rPr>
              <w:t>Adelis</w:t>
            </w:r>
            <w:proofErr w:type="spellEnd"/>
          </w:p>
        </w:tc>
        <w:tc>
          <w:tcPr>
            <w:tcW w:w="1435" w:type="dxa"/>
          </w:tcPr>
          <w:p w:rsidR="00C86FA4" w:rsidRDefault="00C86FA4"/>
        </w:tc>
        <w:tc>
          <w:tcPr>
            <w:tcW w:w="1241" w:type="dxa"/>
          </w:tcPr>
          <w:p w:rsidR="00C86FA4" w:rsidRDefault="002F56AB">
            <w:pPr>
              <w:pStyle w:val="TableParagraph"/>
              <w:ind w:left="0" w:right="100"/>
              <w:jc w:val="right"/>
              <w:rPr>
                <w:sz w:val="24"/>
              </w:rPr>
            </w:pPr>
            <w:r>
              <w:rPr>
                <w:color w:val="002046"/>
                <w:sz w:val="24"/>
              </w:rPr>
              <w:t>98 376</w:t>
            </w:r>
          </w:p>
        </w:tc>
      </w:tr>
      <w:tr w:rsidR="00C86FA4">
        <w:trPr>
          <w:trHeight w:hRule="exact" w:val="331"/>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334"/>
        </w:trPr>
        <w:tc>
          <w:tcPr>
            <w:tcW w:w="5955" w:type="dxa"/>
          </w:tcPr>
          <w:p w:rsidR="00C86FA4" w:rsidRDefault="002F56AB">
            <w:pPr>
              <w:pStyle w:val="TableParagraph"/>
              <w:spacing w:line="321" w:lineRule="exact"/>
              <w:rPr>
                <w:b/>
                <w:sz w:val="28"/>
              </w:rPr>
            </w:pPr>
            <w:r>
              <w:rPr>
                <w:b/>
                <w:color w:val="002046"/>
                <w:sz w:val="28"/>
              </w:rPr>
              <w:t>DÉPENSES</w:t>
            </w:r>
          </w:p>
        </w:tc>
        <w:tc>
          <w:tcPr>
            <w:tcW w:w="1435" w:type="dxa"/>
          </w:tcPr>
          <w:p w:rsidR="00C86FA4" w:rsidRDefault="00C86FA4"/>
        </w:tc>
        <w:tc>
          <w:tcPr>
            <w:tcW w:w="1241" w:type="dxa"/>
          </w:tcPr>
          <w:p w:rsidR="00C86FA4" w:rsidRDefault="00C86FA4"/>
        </w:tc>
      </w:tr>
      <w:tr w:rsidR="00C86FA4">
        <w:trPr>
          <w:trHeight w:hRule="exact" w:val="331"/>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286"/>
        </w:trPr>
        <w:tc>
          <w:tcPr>
            <w:tcW w:w="5955" w:type="dxa"/>
          </w:tcPr>
          <w:p w:rsidR="00C86FA4" w:rsidRDefault="002F56AB">
            <w:pPr>
              <w:pStyle w:val="TableParagraph"/>
              <w:rPr>
                <w:sz w:val="24"/>
              </w:rPr>
            </w:pPr>
            <w:r>
              <w:rPr>
                <w:color w:val="002046"/>
                <w:sz w:val="24"/>
              </w:rPr>
              <w:t>Rémunération du personnel de laboratoire</w:t>
            </w:r>
          </w:p>
        </w:tc>
        <w:tc>
          <w:tcPr>
            <w:tcW w:w="1435" w:type="dxa"/>
          </w:tcPr>
          <w:p w:rsidR="00C86FA4" w:rsidRDefault="002F56AB">
            <w:pPr>
              <w:pStyle w:val="TableParagraph"/>
              <w:ind w:left="587"/>
              <w:rPr>
                <w:sz w:val="24"/>
              </w:rPr>
            </w:pPr>
            <w:r>
              <w:rPr>
                <w:color w:val="002046"/>
                <w:sz w:val="24"/>
              </w:rPr>
              <w:t>13 142</w:t>
            </w:r>
          </w:p>
        </w:tc>
        <w:tc>
          <w:tcPr>
            <w:tcW w:w="1241" w:type="dxa"/>
          </w:tcPr>
          <w:p w:rsidR="00C86FA4" w:rsidRDefault="00C86FA4"/>
        </w:tc>
      </w:tr>
      <w:tr w:rsidR="00C86FA4">
        <w:trPr>
          <w:trHeight w:hRule="exact" w:val="286"/>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562"/>
        </w:trPr>
        <w:tc>
          <w:tcPr>
            <w:tcW w:w="5955" w:type="dxa"/>
          </w:tcPr>
          <w:p w:rsidR="00C86FA4" w:rsidRDefault="002F56AB">
            <w:pPr>
              <w:pStyle w:val="TableParagraph"/>
              <w:ind w:right="1407"/>
              <w:rPr>
                <w:sz w:val="24"/>
              </w:rPr>
            </w:pPr>
            <w:r>
              <w:rPr>
                <w:color w:val="002046"/>
                <w:sz w:val="24"/>
              </w:rPr>
              <w:t>Rémunération des acuponcteurs (</w:t>
            </w:r>
            <w:proofErr w:type="spellStart"/>
            <w:r>
              <w:rPr>
                <w:color w:val="002046"/>
                <w:sz w:val="24"/>
              </w:rPr>
              <w:t>Bnai</w:t>
            </w:r>
            <w:proofErr w:type="spellEnd"/>
            <w:r>
              <w:rPr>
                <w:color w:val="002046"/>
                <w:sz w:val="24"/>
              </w:rPr>
              <w:t xml:space="preserve"> Zion)</w:t>
            </w:r>
          </w:p>
        </w:tc>
        <w:tc>
          <w:tcPr>
            <w:tcW w:w="1435" w:type="dxa"/>
          </w:tcPr>
          <w:p w:rsidR="00C86FA4" w:rsidRDefault="002F56AB">
            <w:pPr>
              <w:pStyle w:val="TableParagraph"/>
              <w:ind w:left="587"/>
              <w:rPr>
                <w:sz w:val="24"/>
              </w:rPr>
            </w:pPr>
            <w:r>
              <w:rPr>
                <w:color w:val="002046"/>
                <w:sz w:val="24"/>
              </w:rPr>
              <w:t>26 015</w:t>
            </w:r>
          </w:p>
        </w:tc>
        <w:tc>
          <w:tcPr>
            <w:tcW w:w="1241" w:type="dxa"/>
          </w:tcPr>
          <w:p w:rsidR="00C86FA4" w:rsidRDefault="00C86FA4"/>
        </w:tc>
      </w:tr>
      <w:tr w:rsidR="00C86FA4">
        <w:trPr>
          <w:trHeight w:hRule="exact" w:val="288"/>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286"/>
        </w:trPr>
        <w:tc>
          <w:tcPr>
            <w:tcW w:w="5955" w:type="dxa"/>
          </w:tcPr>
          <w:p w:rsidR="00C86FA4" w:rsidRDefault="002F56AB">
            <w:pPr>
              <w:pStyle w:val="TableParagraph"/>
              <w:spacing w:before="1"/>
              <w:rPr>
                <w:sz w:val="24"/>
              </w:rPr>
            </w:pPr>
            <w:r>
              <w:rPr>
                <w:color w:val="002046"/>
                <w:sz w:val="24"/>
              </w:rPr>
              <w:t xml:space="preserve">Rémunération du Dr </w:t>
            </w:r>
            <w:proofErr w:type="spellStart"/>
            <w:r>
              <w:rPr>
                <w:color w:val="002046"/>
                <w:sz w:val="24"/>
              </w:rPr>
              <w:t>Gressel</w:t>
            </w:r>
            <w:proofErr w:type="spellEnd"/>
          </w:p>
        </w:tc>
        <w:tc>
          <w:tcPr>
            <w:tcW w:w="1435" w:type="dxa"/>
          </w:tcPr>
          <w:p w:rsidR="00C86FA4" w:rsidRDefault="002F56AB">
            <w:pPr>
              <w:pStyle w:val="TableParagraph"/>
              <w:spacing w:before="1"/>
              <w:ind w:left="587"/>
              <w:rPr>
                <w:sz w:val="24"/>
              </w:rPr>
            </w:pPr>
            <w:r>
              <w:rPr>
                <w:color w:val="002046"/>
                <w:sz w:val="24"/>
              </w:rPr>
              <w:t>25 849</w:t>
            </w:r>
          </w:p>
        </w:tc>
        <w:tc>
          <w:tcPr>
            <w:tcW w:w="1241" w:type="dxa"/>
          </w:tcPr>
          <w:p w:rsidR="00C86FA4" w:rsidRDefault="00C86FA4"/>
        </w:tc>
      </w:tr>
      <w:tr w:rsidR="00C86FA4">
        <w:trPr>
          <w:trHeight w:hRule="exact" w:val="331"/>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331"/>
        </w:trPr>
        <w:tc>
          <w:tcPr>
            <w:tcW w:w="5955" w:type="dxa"/>
          </w:tcPr>
          <w:p w:rsidR="00C86FA4" w:rsidRDefault="002F56AB">
            <w:pPr>
              <w:pStyle w:val="TableParagraph"/>
              <w:rPr>
                <w:b/>
                <w:sz w:val="24"/>
              </w:rPr>
            </w:pPr>
            <w:r>
              <w:rPr>
                <w:b/>
                <w:color w:val="002046"/>
                <w:sz w:val="24"/>
              </w:rPr>
              <w:t>Total des dépenses</w:t>
            </w:r>
          </w:p>
        </w:tc>
        <w:tc>
          <w:tcPr>
            <w:tcW w:w="1435" w:type="dxa"/>
          </w:tcPr>
          <w:p w:rsidR="00C86FA4" w:rsidRDefault="00C86FA4"/>
        </w:tc>
        <w:tc>
          <w:tcPr>
            <w:tcW w:w="1241" w:type="dxa"/>
          </w:tcPr>
          <w:p w:rsidR="00C86FA4" w:rsidRDefault="002F56AB">
            <w:pPr>
              <w:pStyle w:val="TableParagraph"/>
              <w:ind w:left="0" w:right="100"/>
              <w:jc w:val="right"/>
              <w:rPr>
                <w:sz w:val="24"/>
              </w:rPr>
            </w:pPr>
            <w:r>
              <w:rPr>
                <w:color w:val="002046"/>
                <w:sz w:val="24"/>
              </w:rPr>
              <w:t>65 006</w:t>
            </w:r>
          </w:p>
        </w:tc>
      </w:tr>
      <w:tr w:rsidR="00C86FA4">
        <w:trPr>
          <w:trHeight w:hRule="exact" w:val="334"/>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286"/>
        </w:trPr>
        <w:tc>
          <w:tcPr>
            <w:tcW w:w="5955" w:type="dxa"/>
          </w:tcPr>
          <w:p w:rsidR="00C86FA4" w:rsidRDefault="002F56AB">
            <w:pPr>
              <w:pStyle w:val="TableParagraph"/>
              <w:rPr>
                <w:b/>
                <w:sz w:val="24"/>
              </w:rPr>
            </w:pPr>
            <w:r>
              <w:rPr>
                <w:b/>
                <w:color w:val="002046"/>
                <w:sz w:val="24"/>
              </w:rPr>
              <w:t>Solde disponible du fonds</w:t>
            </w:r>
          </w:p>
        </w:tc>
        <w:tc>
          <w:tcPr>
            <w:tcW w:w="1435" w:type="dxa"/>
          </w:tcPr>
          <w:p w:rsidR="00C86FA4" w:rsidRDefault="00C86FA4"/>
        </w:tc>
        <w:tc>
          <w:tcPr>
            <w:tcW w:w="1241" w:type="dxa"/>
          </w:tcPr>
          <w:p w:rsidR="00C86FA4" w:rsidRDefault="002F56AB">
            <w:pPr>
              <w:pStyle w:val="TableParagraph"/>
              <w:ind w:left="0" w:right="100"/>
              <w:jc w:val="right"/>
              <w:rPr>
                <w:b/>
                <w:sz w:val="24"/>
              </w:rPr>
            </w:pPr>
            <w:r>
              <w:rPr>
                <w:b/>
                <w:color w:val="002046"/>
                <w:sz w:val="24"/>
              </w:rPr>
              <w:t>33 370 $</w:t>
            </w:r>
          </w:p>
        </w:tc>
      </w:tr>
    </w:tbl>
    <w:p w:rsidR="00C86FA4" w:rsidRDefault="00C86FA4">
      <w:pPr>
        <w:jc w:val="right"/>
        <w:rPr>
          <w:sz w:val="24"/>
        </w:rPr>
        <w:sectPr w:rsidR="00C86FA4">
          <w:pgSz w:w="12240" w:h="15840"/>
          <w:pgMar w:top="820" w:right="1680" w:bottom="280" w:left="17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C86FA4" w:rsidRDefault="002F56AB">
      <w:pPr>
        <w:pStyle w:val="Corpsdetexte"/>
        <w:ind w:left="2215"/>
        <w:rPr>
          <w:sz w:val="20"/>
        </w:rPr>
      </w:pPr>
      <w:r>
        <w:rPr>
          <w:noProof/>
          <w:sz w:val="20"/>
          <w:lang w:eastAsia="fr-FR"/>
        </w:rPr>
        <w:lastRenderedPageBreak/>
        <w:drawing>
          <wp:inline distT="0" distB="0" distL="0" distR="0">
            <wp:extent cx="2664333" cy="2670048"/>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9" cstate="print"/>
                    <a:stretch>
                      <a:fillRect/>
                    </a:stretch>
                  </pic:blipFill>
                  <pic:spPr>
                    <a:xfrm>
                      <a:off x="0" y="0"/>
                      <a:ext cx="2664333" cy="2670048"/>
                    </a:xfrm>
                    <a:prstGeom prst="rect">
                      <a:avLst/>
                    </a:prstGeom>
                  </pic:spPr>
                </pic:pic>
              </a:graphicData>
            </a:graphic>
          </wp:inline>
        </w:drawing>
      </w:r>
    </w:p>
    <w:p w:rsidR="00CF21DB" w:rsidRDefault="002F56AB" w:rsidP="00F65943">
      <w:pPr>
        <w:pStyle w:val="Titre2"/>
        <w:ind w:left="0" w:right="74"/>
        <w:rPr>
          <w:color w:val="002046"/>
        </w:rPr>
      </w:pPr>
      <w:r>
        <w:rPr>
          <w:color w:val="002046"/>
        </w:rPr>
        <w:t xml:space="preserve">Collaboration entre le </w:t>
      </w:r>
      <w:proofErr w:type="spellStart"/>
      <w:r>
        <w:rPr>
          <w:color w:val="002046"/>
        </w:rPr>
        <w:t>Technion</w:t>
      </w:r>
      <w:proofErr w:type="spellEnd"/>
      <w:r>
        <w:rPr>
          <w:color w:val="002046"/>
        </w:rPr>
        <w:t xml:space="preserve"> et le Tal Center</w:t>
      </w:r>
    </w:p>
    <w:p w:rsidR="00C86FA4" w:rsidRPr="00F65943" w:rsidRDefault="002F56AB" w:rsidP="00F65943">
      <w:pPr>
        <w:pStyle w:val="Titre2"/>
        <w:ind w:left="0" w:right="74"/>
        <w:rPr>
          <w:color w:val="002046"/>
        </w:rPr>
      </w:pPr>
      <w:r>
        <w:rPr>
          <w:color w:val="002046"/>
        </w:rPr>
        <w:t>Effet de la médecine intégrative</w:t>
      </w:r>
    </w:p>
    <w:p w:rsidR="00C86FA4" w:rsidRPr="00F65943" w:rsidRDefault="002F56AB" w:rsidP="00F65943">
      <w:pPr>
        <w:pStyle w:val="Titre2"/>
        <w:ind w:left="0" w:right="74"/>
        <w:rPr>
          <w:color w:val="002046"/>
        </w:rPr>
      </w:pPr>
      <w:proofErr w:type="gramStart"/>
      <w:r>
        <w:rPr>
          <w:color w:val="002046"/>
        </w:rPr>
        <w:t>sur</w:t>
      </w:r>
      <w:proofErr w:type="gramEnd"/>
    </w:p>
    <w:p w:rsidR="00F65943" w:rsidRDefault="002F56AB" w:rsidP="00F65943">
      <w:pPr>
        <w:pStyle w:val="Titre2"/>
        <w:ind w:left="0" w:right="74"/>
        <w:rPr>
          <w:color w:val="002046"/>
        </w:rPr>
      </w:pPr>
      <w:proofErr w:type="gramStart"/>
      <w:r>
        <w:rPr>
          <w:color w:val="002046"/>
        </w:rPr>
        <w:t>les</w:t>
      </w:r>
      <w:proofErr w:type="gramEnd"/>
      <w:r>
        <w:rPr>
          <w:color w:val="002046"/>
        </w:rPr>
        <w:t xml:space="preserve"> neuropathies périphériq</w:t>
      </w:r>
      <w:r w:rsidR="00F65943">
        <w:rPr>
          <w:color w:val="002046"/>
        </w:rPr>
        <w:t>ues induites par chimiothérapie</w:t>
      </w:r>
    </w:p>
    <w:p w:rsidR="00F65943" w:rsidRDefault="00F65943" w:rsidP="00F65943">
      <w:pPr>
        <w:pStyle w:val="Titre2"/>
        <w:ind w:left="0" w:right="74"/>
        <w:rPr>
          <w:color w:val="002046"/>
        </w:rPr>
      </w:pPr>
    </w:p>
    <w:p w:rsidR="00F65943" w:rsidRDefault="002F56AB" w:rsidP="00F65943">
      <w:pPr>
        <w:pStyle w:val="Titre2"/>
        <w:ind w:left="0" w:right="74"/>
        <w:rPr>
          <w:color w:val="002046"/>
        </w:rPr>
      </w:pPr>
      <w:r>
        <w:rPr>
          <w:color w:val="002046"/>
        </w:rPr>
        <w:t>Essai mu</w:t>
      </w:r>
      <w:r w:rsidR="00F65943">
        <w:rPr>
          <w:color w:val="002046"/>
        </w:rPr>
        <w:t>lticentrique contrôlé randomisé</w:t>
      </w:r>
    </w:p>
    <w:p w:rsidR="00F65943" w:rsidRDefault="00F65943" w:rsidP="00F65943">
      <w:pPr>
        <w:pStyle w:val="Titre2"/>
        <w:ind w:left="0" w:right="74"/>
        <w:rPr>
          <w:color w:val="002046"/>
        </w:rPr>
      </w:pPr>
    </w:p>
    <w:p w:rsidR="00C86FA4" w:rsidRDefault="002F56AB" w:rsidP="00F65943">
      <w:pPr>
        <w:pStyle w:val="Titre2"/>
        <w:ind w:left="0" w:right="74"/>
        <w:rPr>
          <w:color w:val="002046"/>
        </w:rPr>
      </w:pPr>
      <w:r>
        <w:rPr>
          <w:color w:val="002046"/>
        </w:rPr>
        <w:t>État financier du Tal Center en avril 2018</w:t>
      </w:r>
    </w:p>
    <w:p w:rsidR="00F65943" w:rsidRDefault="00F65943" w:rsidP="00F65943">
      <w:pPr>
        <w:pStyle w:val="Titre2"/>
        <w:ind w:left="0" w:right="74"/>
        <w:rPr>
          <w:color w:val="002046"/>
        </w:rPr>
      </w:pPr>
    </w:p>
    <w:p w:rsidR="00F65943" w:rsidRDefault="00F65943" w:rsidP="00F65943">
      <w:pPr>
        <w:pStyle w:val="Titre2"/>
        <w:ind w:left="0" w:right="74"/>
        <w:rPr>
          <w:color w:val="002046"/>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5"/>
        <w:gridCol w:w="1435"/>
        <w:gridCol w:w="1241"/>
      </w:tblGrid>
      <w:tr w:rsidR="00C86FA4">
        <w:trPr>
          <w:trHeight w:hRule="exact" w:val="332"/>
        </w:trPr>
        <w:tc>
          <w:tcPr>
            <w:tcW w:w="5955" w:type="dxa"/>
          </w:tcPr>
          <w:p w:rsidR="00C86FA4" w:rsidRDefault="00C86FA4"/>
        </w:tc>
        <w:tc>
          <w:tcPr>
            <w:tcW w:w="1435" w:type="dxa"/>
          </w:tcPr>
          <w:p w:rsidR="00C86FA4" w:rsidRDefault="002F56AB">
            <w:pPr>
              <w:pStyle w:val="TableParagraph"/>
              <w:spacing w:line="321" w:lineRule="exact"/>
              <w:ind w:left="0"/>
              <w:jc w:val="center"/>
              <w:rPr>
                <w:b/>
                <w:sz w:val="28"/>
              </w:rPr>
            </w:pPr>
            <w:r>
              <w:rPr>
                <w:b/>
                <w:color w:val="002046"/>
                <w:sz w:val="28"/>
              </w:rPr>
              <w:t>$</w:t>
            </w:r>
          </w:p>
        </w:tc>
        <w:tc>
          <w:tcPr>
            <w:tcW w:w="1241" w:type="dxa"/>
          </w:tcPr>
          <w:p w:rsidR="00C86FA4" w:rsidRDefault="002F56AB">
            <w:pPr>
              <w:pStyle w:val="TableParagraph"/>
              <w:spacing w:line="321" w:lineRule="exact"/>
              <w:ind w:left="0"/>
              <w:jc w:val="center"/>
              <w:rPr>
                <w:b/>
                <w:sz w:val="28"/>
              </w:rPr>
            </w:pPr>
            <w:r>
              <w:rPr>
                <w:b/>
                <w:color w:val="002046"/>
                <w:sz w:val="28"/>
              </w:rPr>
              <w:t>$</w:t>
            </w:r>
          </w:p>
        </w:tc>
      </w:tr>
      <w:tr w:rsidR="00C86FA4">
        <w:trPr>
          <w:trHeight w:hRule="exact" w:val="334"/>
        </w:trPr>
        <w:tc>
          <w:tcPr>
            <w:tcW w:w="5955" w:type="dxa"/>
          </w:tcPr>
          <w:p w:rsidR="00C86FA4" w:rsidRDefault="002F56AB">
            <w:pPr>
              <w:pStyle w:val="TableParagraph"/>
              <w:spacing w:line="321" w:lineRule="exact"/>
              <w:rPr>
                <w:b/>
                <w:sz w:val="28"/>
              </w:rPr>
            </w:pPr>
            <w:r>
              <w:rPr>
                <w:b/>
                <w:color w:val="002046"/>
                <w:sz w:val="28"/>
              </w:rPr>
              <w:t>RECETTES</w:t>
            </w:r>
          </w:p>
        </w:tc>
        <w:tc>
          <w:tcPr>
            <w:tcW w:w="1435" w:type="dxa"/>
          </w:tcPr>
          <w:p w:rsidR="00C86FA4" w:rsidRDefault="00C86FA4"/>
        </w:tc>
        <w:tc>
          <w:tcPr>
            <w:tcW w:w="1241" w:type="dxa"/>
          </w:tcPr>
          <w:p w:rsidR="00C86FA4" w:rsidRDefault="00C86FA4"/>
        </w:tc>
      </w:tr>
      <w:tr w:rsidR="00C86FA4">
        <w:trPr>
          <w:trHeight w:hRule="exact" w:val="331"/>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286"/>
        </w:trPr>
        <w:tc>
          <w:tcPr>
            <w:tcW w:w="5955" w:type="dxa"/>
          </w:tcPr>
          <w:p w:rsidR="00C86FA4" w:rsidRDefault="002F56AB">
            <w:pPr>
              <w:pStyle w:val="TableParagraph"/>
              <w:rPr>
                <w:sz w:val="24"/>
              </w:rPr>
            </w:pPr>
            <w:r>
              <w:rPr>
                <w:color w:val="002046"/>
                <w:sz w:val="24"/>
              </w:rPr>
              <w:t xml:space="preserve">Don reçu de la Fondation </w:t>
            </w:r>
            <w:proofErr w:type="spellStart"/>
            <w:r>
              <w:rPr>
                <w:color w:val="002046"/>
                <w:sz w:val="24"/>
              </w:rPr>
              <w:t>Adelis</w:t>
            </w:r>
            <w:proofErr w:type="spellEnd"/>
          </w:p>
        </w:tc>
        <w:tc>
          <w:tcPr>
            <w:tcW w:w="1435" w:type="dxa"/>
          </w:tcPr>
          <w:p w:rsidR="00C86FA4" w:rsidRDefault="00C86FA4"/>
        </w:tc>
        <w:tc>
          <w:tcPr>
            <w:tcW w:w="1241" w:type="dxa"/>
          </w:tcPr>
          <w:p w:rsidR="00C86FA4" w:rsidRDefault="002F56AB">
            <w:pPr>
              <w:pStyle w:val="TableParagraph"/>
              <w:ind w:left="0" w:right="100"/>
              <w:jc w:val="right"/>
              <w:rPr>
                <w:sz w:val="24"/>
              </w:rPr>
            </w:pPr>
            <w:r>
              <w:rPr>
                <w:color w:val="002046"/>
                <w:sz w:val="24"/>
              </w:rPr>
              <w:t>98 376</w:t>
            </w:r>
          </w:p>
        </w:tc>
      </w:tr>
      <w:tr w:rsidR="00C86FA4">
        <w:trPr>
          <w:trHeight w:hRule="exact" w:val="331"/>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334"/>
        </w:trPr>
        <w:tc>
          <w:tcPr>
            <w:tcW w:w="5955" w:type="dxa"/>
          </w:tcPr>
          <w:p w:rsidR="00C86FA4" w:rsidRDefault="002F56AB">
            <w:pPr>
              <w:pStyle w:val="TableParagraph"/>
              <w:spacing w:before="1"/>
              <w:rPr>
                <w:b/>
                <w:sz w:val="28"/>
              </w:rPr>
            </w:pPr>
            <w:r>
              <w:rPr>
                <w:b/>
                <w:color w:val="002046"/>
                <w:sz w:val="28"/>
              </w:rPr>
              <w:t>DÉPENSES</w:t>
            </w:r>
          </w:p>
        </w:tc>
        <w:tc>
          <w:tcPr>
            <w:tcW w:w="1435" w:type="dxa"/>
          </w:tcPr>
          <w:p w:rsidR="00C86FA4" w:rsidRDefault="00C86FA4"/>
        </w:tc>
        <w:tc>
          <w:tcPr>
            <w:tcW w:w="1241" w:type="dxa"/>
          </w:tcPr>
          <w:p w:rsidR="00C86FA4" w:rsidRDefault="00C86FA4"/>
        </w:tc>
      </w:tr>
      <w:tr w:rsidR="00C86FA4">
        <w:trPr>
          <w:trHeight w:hRule="exact" w:val="286"/>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562"/>
        </w:trPr>
        <w:tc>
          <w:tcPr>
            <w:tcW w:w="5955" w:type="dxa"/>
          </w:tcPr>
          <w:p w:rsidR="00C86FA4" w:rsidRDefault="002F56AB">
            <w:pPr>
              <w:pStyle w:val="TableParagraph"/>
              <w:ind w:right="1527"/>
              <w:rPr>
                <w:sz w:val="24"/>
              </w:rPr>
            </w:pPr>
            <w:r>
              <w:rPr>
                <w:color w:val="002046"/>
                <w:sz w:val="24"/>
              </w:rPr>
              <w:t>Rémunération de l’acuponcteur (Tal Center)</w:t>
            </w:r>
          </w:p>
        </w:tc>
        <w:tc>
          <w:tcPr>
            <w:tcW w:w="1435" w:type="dxa"/>
          </w:tcPr>
          <w:p w:rsidR="00C86FA4" w:rsidRDefault="002F56AB">
            <w:pPr>
              <w:pStyle w:val="TableParagraph"/>
              <w:ind w:left="0" w:right="100"/>
              <w:jc w:val="right"/>
              <w:rPr>
                <w:sz w:val="24"/>
              </w:rPr>
            </w:pPr>
            <w:r>
              <w:rPr>
                <w:color w:val="002046"/>
                <w:sz w:val="24"/>
              </w:rPr>
              <w:t>3 486</w:t>
            </w:r>
          </w:p>
        </w:tc>
        <w:tc>
          <w:tcPr>
            <w:tcW w:w="1241" w:type="dxa"/>
          </w:tcPr>
          <w:p w:rsidR="00C86FA4" w:rsidRDefault="00C86FA4"/>
        </w:tc>
      </w:tr>
      <w:tr w:rsidR="00C86FA4">
        <w:trPr>
          <w:trHeight w:hRule="exact" w:val="286"/>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286"/>
        </w:trPr>
        <w:tc>
          <w:tcPr>
            <w:tcW w:w="5955" w:type="dxa"/>
          </w:tcPr>
          <w:p w:rsidR="00C86FA4" w:rsidRDefault="002F56AB">
            <w:pPr>
              <w:pStyle w:val="TableParagraph"/>
              <w:rPr>
                <w:sz w:val="24"/>
              </w:rPr>
            </w:pPr>
            <w:r>
              <w:rPr>
                <w:color w:val="002046"/>
                <w:sz w:val="24"/>
              </w:rPr>
              <w:t>Kits d</w:t>
            </w:r>
            <w:r w:rsidR="00385456">
              <w:rPr>
                <w:color w:val="002046"/>
                <w:sz w:val="24"/>
              </w:rPr>
              <w:t>’</w:t>
            </w:r>
            <w:r>
              <w:rPr>
                <w:color w:val="002046"/>
                <w:sz w:val="24"/>
              </w:rPr>
              <w:t>évaluation sensorielle Von Frey (x 4)</w:t>
            </w:r>
          </w:p>
        </w:tc>
        <w:tc>
          <w:tcPr>
            <w:tcW w:w="1435" w:type="dxa"/>
          </w:tcPr>
          <w:p w:rsidR="00C86FA4" w:rsidRDefault="002F56AB">
            <w:pPr>
              <w:pStyle w:val="TableParagraph"/>
              <w:ind w:left="0" w:right="100"/>
              <w:jc w:val="right"/>
              <w:rPr>
                <w:sz w:val="24"/>
              </w:rPr>
            </w:pPr>
            <w:r>
              <w:rPr>
                <w:color w:val="002046"/>
                <w:sz w:val="24"/>
              </w:rPr>
              <w:t>2 113</w:t>
            </w:r>
          </w:p>
        </w:tc>
        <w:tc>
          <w:tcPr>
            <w:tcW w:w="1241" w:type="dxa"/>
          </w:tcPr>
          <w:p w:rsidR="00C86FA4" w:rsidRDefault="00C86FA4"/>
        </w:tc>
      </w:tr>
      <w:tr w:rsidR="00C86FA4">
        <w:trPr>
          <w:trHeight w:hRule="exact" w:val="334"/>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331"/>
        </w:trPr>
        <w:tc>
          <w:tcPr>
            <w:tcW w:w="5955" w:type="dxa"/>
          </w:tcPr>
          <w:p w:rsidR="00C86FA4" w:rsidRDefault="002F56AB">
            <w:pPr>
              <w:pStyle w:val="TableParagraph"/>
              <w:rPr>
                <w:b/>
                <w:sz w:val="24"/>
              </w:rPr>
            </w:pPr>
            <w:r>
              <w:rPr>
                <w:b/>
                <w:color w:val="002046"/>
                <w:sz w:val="24"/>
              </w:rPr>
              <w:t>Total des dépenses</w:t>
            </w:r>
          </w:p>
        </w:tc>
        <w:tc>
          <w:tcPr>
            <w:tcW w:w="1435" w:type="dxa"/>
          </w:tcPr>
          <w:p w:rsidR="00C86FA4" w:rsidRDefault="00C86FA4"/>
        </w:tc>
        <w:tc>
          <w:tcPr>
            <w:tcW w:w="1241" w:type="dxa"/>
          </w:tcPr>
          <w:p w:rsidR="00C86FA4" w:rsidRDefault="002F56AB">
            <w:pPr>
              <w:pStyle w:val="TableParagraph"/>
              <w:ind w:left="0" w:right="100"/>
              <w:jc w:val="right"/>
              <w:rPr>
                <w:sz w:val="24"/>
              </w:rPr>
            </w:pPr>
            <w:r>
              <w:rPr>
                <w:color w:val="002046"/>
                <w:sz w:val="24"/>
              </w:rPr>
              <w:t>5 599</w:t>
            </w:r>
          </w:p>
        </w:tc>
      </w:tr>
      <w:tr w:rsidR="00C86FA4">
        <w:trPr>
          <w:trHeight w:hRule="exact" w:val="331"/>
        </w:trPr>
        <w:tc>
          <w:tcPr>
            <w:tcW w:w="5955" w:type="dxa"/>
          </w:tcPr>
          <w:p w:rsidR="00C86FA4" w:rsidRDefault="00C86FA4"/>
        </w:tc>
        <w:tc>
          <w:tcPr>
            <w:tcW w:w="1435" w:type="dxa"/>
          </w:tcPr>
          <w:p w:rsidR="00C86FA4" w:rsidRDefault="00C86FA4"/>
        </w:tc>
        <w:tc>
          <w:tcPr>
            <w:tcW w:w="1241" w:type="dxa"/>
          </w:tcPr>
          <w:p w:rsidR="00C86FA4" w:rsidRDefault="00C86FA4"/>
        </w:tc>
      </w:tr>
      <w:tr w:rsidR="00C86FA4">
        <w:trPr>
          <w:trHeight w:hRule="exact" w:val="288"/>
        </w:trPr>
        <w:tc>
          <w:tcPr>
            <w:tcW w:w="5955" w:type="dxa"/>
          </w:tcPr>
          <w:p w:rsidR="00C86FA4" w:rsidRDefault="002F56AB">
            <w:pPr>
              <w:pStyle w:val="TableParagraph"/>
              <w:rPr>
                <w:b/>
                <w:sz w:val="24"/>
              </w:rPr>
            </w:pPr>
            <w:r>
              <w:rPr>
                <w:b/>
                <w:color w:val="002046"/>
                <w:sz w:val="24"/>
              </w:rPr>
              <w:t>Solde disponible du fonds</w:t>
            </w:r>
          </w:p>
        </w:tc>
        <w:tc>
          <w:tcPr>
            <w:tcW w:w="1435" w:type="dxa"/>
          </w:tcPr>
          <w:p w:rsidR="00C86FA4" w:rsidRDefault="00C86FA4"/>
        </w:tc>
        <w:tc>
          <w:tcPr>
            <w:tcW w:w="1241" w:type="dxa"/>
          </w:tcPr>
          <w:p w:rsidR="00C86FA4" w:rsidRDefault="002F56AB">
            <w:pPr>
              <w:pStyle w:val="TableParagraph"/>
              <w:ind w:left="0" w:right="100"/>
              <w:jc w:val="right"/>
              <w:rPr>
                <w:b/>
                <w:sz w:val="24"/>
              </w:rPr>
            </w:pPr>
            <w:r>
              <w:rPr>
                <w:b/>
                <w:color w:val="002046"/>
                <w:sz w:val="24"/>
              </w:rPr>
              <w:t>92 777 $</w:t>
            </w:r>
          </w:p>
        </w:tc>
      </w:tr>
    </w:tbl>
    <w:p w:rsidR="002F56AB" w:rsidRDefault="002F56AB"/>
    <w:sectPr w:rsidR="002F56AB">
      <w:pgSz w:w="12240" w:h="15840"/>
      <w:pgMar w:top="120" w:right="1680" w:bottom="280" w:left="17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9A" w:rsidRDefault="001F6E9A" w:rsidP="00385456">
      <w:r>
        <w:separator/>
      </w:r>
    </w:p>
  </w:endnote>
  <w:endnote w:type="continuationSeparator" w:id="0">
    <w:p w:rsidR="001F6E9A" w:rsidRDefault="001F6E9A" w:rsidP="0038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56" w:rsidRDefault="0038545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56" w:rsidRDefault="0038545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56" w:rsidRDefault="0038545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9A" w:rsidRDefault="001F6E9A" w:rsidP="00385456">
      <w:r>
        <w:separator/>
      </w:r>
    </w:p>
  </w:footnote>
  <w:footnote w:type="continuationSeparator" w:id="0">
    <w:p w:rsidR="001F6E9A" w:rsidRDefault="001F6E9A" w:rsidP="00385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56" w:rsidRDefault="003854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56" w:rsidRDefault="0038545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456" w:rsidRDefault="0038545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C86FA4"/>
    <w:rsid w:val="00093773"/>
    <w:rsid w:val="001F6E9A"/>
    <w:rsid w:val="002F56AB"/>
    <w:rsid w:val="00385456"/>
    <w:rsid w:val="00C86FA4"/>
    <w:rsid w:val="00CB60F6"/>
    <w:rsid w:val="00CF21DB"/>
    <w:rsid w:val="00D362E0"/>
    <w:rsid w:val="00F01CB9"/>
    <w:rsid w:val="00F65943"/>
    <w:rsid w:val="00F93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before="6"/>
      <w:ind w:left="1749" w:right="2276"/>
      <w:jc w:val="center"/>
      <w:outlineLvl w:val="0"/>
    </w:pPr>
    <w:rPr>
      <w:b/>
      <w:bCs/>
      <w:sz w:val="36"/>
      <w:szCs w:val="36"/>
    </w:rPr>
  </w:style>
  <w:style w:type="paragraph" w:styleId="Titre2">
    <w:name w:val="heading 2"/>
    <w:basedOn w:val="Normal"/>
    <w:uiPriority w:val="1"/>
    <w:qFormat/>
    <w:pPr>
      <w:ind w:left="1838" w:right="1855"/>
      <w:jc w:val="center"/>
      <w:outlineLvl w:val="1"/>
    </w:pPr>
    <w:rPr>
      <w:b/>
      <w:bCs/>
      <w:sz w:val="28"/>
      <w:szCs w:val="28"/>
    </w:rPr>
  </w:style>
  <w:style w:type="paragraph" w:styleId="Titre3">
    <w:name w:val="heading 3"/>
    <w:basedOn w:val="Normal"/>
    <w:uiPriority w:val="1"/>
    <w:qFormat/>
    <w:pPr>
      <w:ind w:left="100"/>
      <w:jc w:val="both"/>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103"/>
    </w:pPr>
  </w:style>
  <w:style w:type="paragraph" w:styleId="En-tte">
    <w:name w:val="header"/>
    <w:basedOn w:val="Normal"/>
    <w:link w:val="En-tteCar"/>
    <w:uiPriority w:val="99"/>
    <w:unhideWhenUsed/>
    <w:rsid w:val="00385456"/>
    <w:pPr>
      <w:tabs>
        <w:tab w:val="center" w:pos="4536"/>
        <w:tab w:val="right" w:pos="9072"/>
      </w:tabs>
    </w:pPr>
  </w:style>
  <w:style w:type="character" w:customStyle="1" w:styleId="En-tteCar">
    <w:name w:val="En-tête Car"/>
    <w:basedOn w:val="Policepardfaut"/>
    <w:link w:val="En-tte"/>
    <w:uiPriority w:val="99"/>
    <w:rsid w:val="00385456"/>
    <w:rPr>
      <w:rFonts w:ascii="Arial" w:eastAsia="Arial" w:hAnsi="Arial" w:cs="Arial"/>
    </w:rPr>
  </w:style>
  <w:style w:type="paragraph" w:styleId="Pieddepage">
    <w:name w:val="footer"/>
    <w:basedOn w:val="Normal"/>
    <w:link w:val="PieddepageCar"/>
    <w:uiPriority w:val="99"/>
    <w:unhideWhenUsed/>
    <w:rsid w:val="00385456"/>
    <w:pPr>
      <w:tabs>
        <w:tab w:val="center" w:pos="4536"/>
        <w:tab w:val="right" w:pos="9072"/>
      </w:tabs>
    </w:pPr>
  </w:style>
  <w:style w:type="character" w:customStyle="1" w:styleId="PieddepageCar">
    <w:name w:val="Pied de page Car"/>
    <w:basedOn w:val="Policepardfaut"/>
    <w:link w:val="Pieddepage"/>
    <w:uiPriority w:val="99"/>
    <w:rsid w:val="00385456"/>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4.jpeg"/><Relationship Id="rId2" Type="http://schemas.microsoft.com/office/2007/relationships/stylesWithEffects" Target="stylesWithEffects.xml"/><Relationship Id="rId16" Type="http://schemas.openxmlformats.org/officeDocument/2006/relationships/hyperlink" Target="https://clinicaltrials.gov/ct2/show/NCT0329097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869</Words>
  <Characters>4782</Characters>
  <Application>Microsoft Office Word</Application>
  <DocSecurity>0</DocSecurity>
  <Lines>39</Lines>
  <Paragraphs>11</Paragraphs>
  <ScaleCrop>false</ScaleCrop>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רוס מוריס1</dc:creator>
  <cp:lastModifiedBy>Virginie_Pro</cp:lastModifiedBy>
  <cp:revision>7</cp:revision>
  <dcterms:created xsi:type="dcterms:W3CDTF">2018-05-28T16:11:00Z</dcterms:created>
  <dcterms:modified xsi:type="dcterms:W3CDTF">2018-06-01T09:03:00Z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Microsoft® Word 2016‎</vt:lpwstr>
  </property>
  <property fmtid="{D5CDD505-2E9C-101B-9397-08002B2CF9AE}" pid="4" name="LastSaved">
    <vt:filetime>2018-05-28T00:00:00Z</vt:filetime>
  </property>
</Properties>
</file>