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B0EA7" w14:textId="77777777" w:rsidR="00E50D27" w:rsidRPr="00556D1A" w:rsidRDefault="003A5312" w:rsidP="003A531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56D1A">
        <w:rPr>
          <w:rFonts w:asciiTheme="majorBidi" w:hAnsiTheme="majorBidi" w:cstheme="majorBidi"/>
          <w:b/>
          <w:bCs/>
          <w:sz w:val="28"/>
          <w:szCs w:val="28"/>
        </w:rPr>
        <w:t>Advantages of Bioactive Bone</w:t>
      </w:r>
    </w:p>
    <w:p w14:paraId="11CE2AE3" w14:textId="77777777" w:rsidR="003A5312" w:rsidRPr="00556D1A" w:rsidRDefault="003A5312" w:rsidP="003A5312">
      <w:pPr>
        <w:bidi w:val="0"/>
        <w:jc w:val="center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56D1A" w:rsidRPr="00556D1A" w14:paraId="68AD8C3D" w14:textId="77777777" w:rsidTr="003A5312">
        <w:tc>
          <w:tcPr>
            <w:tcW w:w="2765" w:type="dxa"/>
          </w:tcPr>
          <w:p w14:paraId="2D4FF0A7" w14:textId="77777777" w:rsidR="003A5312" w:rsidRPr="00556D1A" w:rsidRDefault="003A5312" w:rsidP="003A53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Advantage</w:t>
            </w:r>
          </w:p>
        </w:tc>
        <w:tc>
          <w:tcPr>
            <w:tcW w:w="2765" w:type="dxa"/>
          </w:tcPr>
          <w:p w14:paraId="6ECFF442" w14:textId="77777777" w:rsidR="003A5312" w:rsidRPr="00556D1A" w:rsidRDefault="003A5312" w:rsidP="003A53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Functionality</w:t>
            </w:r>
          </w:p>
        </w:tc>
        <w:tc>
          <w:tcPr>
            <w:tcW w:w="2766" w:type="dxa"/>
          </w:tcPr>
          <w:p w14:paraId="3ADA6DA8" w14:textId="77777777" w:rsidR="003A5312" w:rsidRPr="00556D1A" w:rsidRDefault="003A5312" w:rsidP="003A531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</w:t>
            </w:r>
          </w:p>
        </w:tc>
      </w:tr>
      <w:tr w:rsidR="00556D1A" w:rsidRPr="00556D1A" w14:paraId="7C2A223A" w14:textId="77777777" w:rsidTr="003A5312">
        <w:tc>
          <w:tcPr>
            <w:tcW w:w="2765" w:type="dxa"/>
          </w:tcPr>
          <w:p w14:paraId="64E9E191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>Easy to use</w:t>
            </w:r>
          </w:p>
        </w:tc>
        <w:tc>
          <w:tcPr>
            <w:tcW w:w="2765" w:type="dxa"/>
          </w:tcPr>
          <w:p w14:paraId="7B7F569B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After moistening with a few drops of saline or the patient's blood, the granules can be easily transferred as one unit to the </w:t>
            </w:r>
            <w:r w:rsidR="00A909FF" w:rsidRPr="00556D1A">
              <w:rPr>
                <w:rFonts w:asciiTheme="majorBidi" w:hAnsiTheme="majorBidi" w:cstheme="majorBidi"/>
                <w:sz w:val="24"/>
                <w:szCs w:val="24"/>
              </w:rPr>
              <w:t>graft</w:t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site</w:t>
            </w:r>
          </w:p>
        </w:tc>
        <w:tc>
          <w:tcPr>
            <w:tcW w:w="2766" w:type="dxa"/>
          </w:tcPr>
          <w:p w14:paraId="5F2A7DD4" w14:textId="77777777" w:rsidR="003A5312" w:rsidRPr="00556D1A" w:rsidRDefault="00A909FF" w:rsidP="00AB06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0"/>
            <w:r w:rsidRPr="00556D1A">
              <w:rPr>
                <w:rFonts w:asciiTheme="majorBidi" w:hAnsiTheme="majorBidi" w:cstheme="majorBidi"/>
                <w:sz w:val="24"/>
                <w:szCs w:val="24"/>
              </w:rPr>
              <w:t>Due</w:t>
            </w:r>
            <w:commentRangeEnd w:id="0"/>
            <w:r w:rsidR="00556D1A">
              <w:rPr>
                <w:rStyle w:val="CommentReference"/>
              </w:rPr>
              <w:commentReference w:id="0"/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to</w:t>
            </w:r>
            <w:r w:rsidR="003A5312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the unique polymer coating</w:t>
            </w:r>
          </w:p>
        </w:tc>
      </w:tr>
      <w:tr w:rsidR="00556D1A" w:rsidRPr="00556D1A" w14:paraId="5265AB07" w14:textId="77777777" w:rsidTr="003A5312">
        <w:tc>
          <w:tcPr>
            <w:tcW w:w="2765" w:type="dxa"/>
          </w:tcPr>
          <w:p w14:paraId="777000B4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Good bone growth at the </w:t>
            </w:r>
            <w:commentRangeStart w:id="1"/>
            <w:r w:rsidR="00A909FF" w:rsidRPr="00556D1A">
              <w:rPr>
                <w:rFonts w:asciiTheme="majorBidi" w:hAnsiTheme="majorBidi" w:cstheme="majorBidi"/>
                <w:sz w:val="24"/>
                <w:szCs w:val="24"/>
              </w:rPr>
              <w:t>graft</w:t>
            </w:r>
            <w:commentRangeEnd w:id="1"/>
            <w:r w:rsidR="00556D1A">
              <w:rPr>
                <w:rStyle w:val="CommentReference"/>
              </w:rPr>
              <w:commentReference w:id="1"/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site</w:t>
            </w:r>
          </w:p>
        </w:tc>
        <w:tc>
          <w:tcPr>
            <w:tcW w:w="2765" w:type="dxa"/>
          </w:tcPr>
          <w:p w14:paraId="1ED8007D" w14:textId="77777777" w:rsidR="003A5312" w:rsidRPr="00556D1A" w:rsidRDefault="00AB06AA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"</w:t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>Summoning" osteoclast cells (absorb bone), and afterwards osteoblasts (build bone), enables a greater percentage of new homogenic bone.</w:t>
            </w:r>
          </w:p>
        </w:tc>
        <w:tc>
          <w:tcPr>
            <w:tcW w:w="2766" w:type="dxa"/>
          </w:tcPr>
          <w:p w14:paraId="5F978211" w14:textId="77777777" w:rsidR="003A5312" w:rsidRPr="00556D1A" w:rsidRDefault="00A909FF" w:rsidP="00AB06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>Due</w:t>
            </w:r>
            <w:r w:rsidR="003A5312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to the polymer and cell nutrients to cells</w:t>
            </w:r>
          </w:p>
        </w:tc>
      </w:tr>
      <w:tr w:rsidR="00556D1A" w:rsidRPr="00556D1A" w14:paraId="79893934" w14:textId="77777777" w:rsidTr="003A5312">
        <w:tc>
          <w:tcPr>
            <w:tcW w:w="2765" w:type="dxa"/>
          </w:tcPr>
          <w:p w14:paraId="215F181E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>Product defined as Bioac</w:t>
            </w:r>
            <w:r w:rsidR="00AB06AA" w:rsidRPr="00556D1A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>ive bone</w:t>
            </w:r>
          </w:p>
        </w:tc>
        <w:tc>
          <w:tcPr>
            <w:tcW w:w="2765" w:type="dxa"/>
          </w:tcPr>
          <w:p w14:paraId="582CF1F1" w14:textId="77777777" w:rsidR="003A5312" w:rsidRPr="00556D1A" w:rsidRDefault="00AB06AA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Production of uniform bone – without remnants of the grafted bone substitute – at the end of the </w:t>
            </w:r>
            <w:r w:rsidR="00556D1A" w:rsidRPr="00556D1A">
              <w:rPr>
                <w:rFonts w:asciiTheme="majorBidi" w:hAnsiTheme="majorBidi" w:cstheme="majorBidi"/>
                <w:sz w:val="24"/>
                <w:szCs w:val="24"/>
              </w:rPr>
              <w:t>period of regeneration.</w:t>
            </w:r>
            <w:r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 Competitor bone substitutes of bovine origin, </w:t>
            </w:r>
            <w:r w:rsidR="00D438F7" w:rsidRPr="00556D1A">
              <w:rPr>
                <w:rFonts w:asciiTheme="majorBidi" w:hAnsiTheme="majorBidi" w:cstheme="majorBidi"/>
                <w:sz w:val="24"/>
                <w:szCs w:val="24"/>
              </w:rPr>
              <w:t>are not fully replaced as opposed to this product which is completely absorbed after 9 months (according to the manufacturer)</w:t>
            </w:r>
          </w:p>
        </w:tc>
        <w:tc>
          <w:tcPr>
            <w:tcW w:w="2766" w:type="dxa"/>
          </w:tcPr>
          <w:p w14:paraId="4F4A897C" w14:textId="77777777" w:rsidR="003A5312" w:rsidRPr="00556D1A" w:rsidRDefault="00A909FF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sz w:val="24"/>
                <w:szCs w:val="24"/>
              </w:rPr>
              <w:t>Due</w:t>
            </w:r>
            <w:r w:rsidR="00C24D62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to the use of a polymer, cell nutrients</w:t>
            </w:r>
            <w:r w:rsidR="008A358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24D62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556D1A" w:rsidRPr="00556D1A">
              <w:rPr>
                <w:rFonts w:asciiTheme="majorBidi" w:hAnsiTheme="majorBidi" w:cstheme="majorBidi"/>
                <w:sz w:val="24"/>
                <w:szCs w:val="24"/>
              </w:rPr>
              <w:t>a low heating temperature</w:t>
            </w:r>
            <w:r w:rsidR="00C24D62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 in the </w:t>
            </w:r>
            <w:r w:rsidR="00556D1A" w:rsidRPr="00556D1A">
              <w:rPr>
                <w:rFonts w:asciiTheme="majorBidi" w:hAnsiTheme="majorBidi" w:cstheme="majorBidi"/>
                <w:sz w:val="24"/>
                <w:szCs w:val="24"/>
              </w:rPr>
              <w:t xml:space="preserve">production </w:t>
            </w:r>
            <w:r w:rsidR="00C24D62" w:rsidRPr="00556D1A">
              <w:rPr>
                <w:rFonts w:asciiTheme="majorBidi" w:hAnsiTheme="majorBidi" w:cstheme="majorBidi"/>
                <w:sz w:val="24"/>
                <w:szCs w:val="24"/>
              </w:rPr>
              <w:t>process of the bone substitute – the hydroxyapatite structure is preserved and is similar to natural human bone</w:t>
            </w:r>
            <w:r w:rsidR="00C24D62" w:rsidRPr="00556D1A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.</w:t>
            </w:r>
          </w:p>
        </w:tc>
      </w:tr>
      <w:tr w:rsidR="00556D1A" w:rsidRPr="00556D1A" w14:paraId="07FA251D" w14:textId="77777777" w:rsidTr="003A5312">
        <w:tc>
          <w:tcPr>
            <w:tcW w:w="2765" w:type="dxa"/>
          </w:tcPr>
          <w:p w14:paraId="206473F5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8A3587">
              <w:rPr>
                <w:rFonts w:asciiTheme="majorBidi" w:hAnsiTheme="majorBidi" w:cstheme="majorBidi"/>
                <w:sz w:val="24"/>
                <w:szCs w:val="24"/>
              </w:rPr>
              <w:t>Ability for radiographic follow-up after building new bone</w:t>
            </w:r>
          </w:p>
        </w:tc>
        <w:tc>
          <w:tcPr>
            <w:tcW w:w="2765" w:type="dxa"/>
          </w:tcPr>
          <w:p w14:paraId="48C13F6B" w14:textId="77777777" w:rsidR="003A5312" w:rsidRPr="00556D1A" w:rsidRDefault="001D5D00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Little radiopacity </w:t>
            </w:r>
            <w:r w:rsidR="008A3587" w:rsidRPr="00E41ECE">
              <w:rPr>
                <w:rFonts w:asciiTheme="majorBidi" w:hAnsiTheme="majorBidi" w:cstheme="majorBidi"/>
                <w:sz w:val="24"/>
                <w:szCs w:val="24"/>
              </w:rPr>
              <w:t>at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C43611" w:rsidRPr="00E41ECE">
              <w:rPr>
                <w:rFonts w:asciiTheme="majorBidi" w:hAnsiTheme="majorBidi" w:cstheme="majorBidi"/>
                <w:sz w:val="24"/>
                <w:szCs w:val="24"/>
              </w:rPr>
              <w:t>grafting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stage of the bone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substitute which changes with time 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(indicates the similarity to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granular autogenous bone </w:t>
            </w:r>
            <w:r w:rsidR="00A909FF" w:rsidRPr="00E41ECE">
              <w:rPr>
                <w:rFonts w:asciiTheme="majorBidi" w:hAnsiTheme="majorBidi" w:cstheme="majorBidi"/>
                <w:sz w:val="24"/>
                <w:szCs w:val="24"/>
              </w:rPr>
              <w:t>graft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). With the passage of time after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>grafting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>, radiopacity intensifies – a fact which indicates the growth of new bone in the regenerative process.</w:t>
            </w:r>
          </w:p>
        </w:tc>
        <w:tc>
          <w:tcPr>
            <w:tcW w:w="2766" w:type="dxa"/>
          </w:tcPr>
          <w:p w14:paraId="38AAB54D" w14:textId="77777777" w:rsidR="003A5312" w:rsidRPr="00556D1A" w:rsidRDefault="00A909FF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8A3587">
              <w:rPr>
                <w:rFonts w:asciiTheme="majorBidi" w:hAnsiTheme="majorBidi" w:cstheme="majorBidi"/>
                <w:sz w:val="24"/>
                <w:szCs w:val="24"/>
              </w:rPr>
              <w:t>Due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to the use of a polymer, cell nutrients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low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heating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temperature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>in the production of the bone substitute, there is no change in the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structure of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>hydroxyapati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e </w:t>
            </w:r>
            <w:r w:rsidR="008A3587" w:rsidRPr="008A3587">
              <w:rPr>
                <w:rFonts w:asciiTheme="majorBidi" w:hAnsiTheme="majorBidi" w:cstheme="majorBidi"/>
                <w:sz w:val="24"/>
                <w:szCs w:val="24"/>
              </w:rPr>
              <w:t>which is similar in structure to human bone.</w:t>
            </w:r>
            <w:r w:rsidR="001D5D00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A5312" w:rsidRPr="00556D1A" w14:paraId="0F73B47A" w14:textId="77777777" w:rsidTr="005109BE">
        <w:tc>
          <w:tcPr>
            <w:tcW w:w="2765" w:type="dxa"/>
          </w:tcPr>
          <w:p w14:paraId="226E90B8" w14:textId="77777777" w:rsidR="003A5312" w:rsidRPr="008A3587" w:rsidRDefault="003A5312" w:rsidP="00AB06A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8A3587">
              <w:rPr>
                <w:rFonts w:asciiTheme="majorBidi" w:hAnsiTheme="majorBidi" w:cstheme="majorBidi"/>
                <w:sz w:val="24"/>
                <w:szCs w:val="24"/>
              </w:rPr>
              <w:t>Maximal safety</w:t>
            </w:r>
          </w:p>
        </w:tc>
        <w:tc>
          <w:tcPr>
            <w:tcW w:w="5531" w:type="dxa"/>
            <w:gridSpan w:val="2"/>
          </w:tcPr>
          <w:p w14:paraId="06B2ABC1" w14:textId="77777777" w:rsidR="003A5312" w:rsidRPr="00556D1A" w:rsidRDefault="003A5312" w:rsidP="00AB06AA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Source of </w:t>
            </w:r>
            <w:r w:rsidR="00A909FF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bone graft </w:t>
            </w:r>
            <w:r w:rsidR="00A909FF"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safe and upholds the highest standards, without </w:t>
            </w:r>
            <w:r w:rsidR="00AB06AA" w:rsidRPr="008A3587">
              <w:rPr>
                <w:rFonts w:asciiTheme="majorBidi" w:hAnsiTheme="majorBidi" w:cstheme="majorBidi"/>
                <w:sz w:val="24"/>
                <w:szCs w:val="24"/>
              </w:rPr>
              <w:t>concern for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 BSE disease ("</w:t>
            </w:r>
            <w:r w:rsidR="00AB06AA" w:rsidRPr="008A358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 xml:space="preserve">ad </w:t>
            </w:r>
            <w:r w:rsidR="00AB06AA" w:rsidRPr="008A3587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8A3587">
              <w:rPr>
                <w:rFonts w:asciiTheme="majorBidi" w:hAnsiTheme="majorBidi" w:cstheme="majorBidi"/>
                <w:sz w:val="24"/>
                <w:szCs w:val="24"/>
              </w:rPr>
              <w:t>ow disease")</w:t>
            </w:r>
          </w:p>
        </w:tc>
      </w:tr>
    </w:tbl>
    <w:p w14:paraId="64DF69FC" w14:textId="77777777" w:rsidR="003A5312" w:rsidRPr="00556D1A" w:rsidRDefault="003A5312" w:rsidP="00AB06AA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69F1D531" w14:textId="77777777" w:rsidR="003B5639" w:rsidRPr="00556D1A" w:rsidRDefault="003B5639" w:rsidP="003B5639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7D8CA12C" w14:textId="77777777" w:rsidR="003B5639" w:rsidRPr="00556D1A" w:rsidRDefault="003B5639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  <w:r w:rsidRPr="00556D1A">
        <w:rPr>
          <w:rFonts w:asciiTheme="majorBidi" w:hAnsiTheme="majorBidi" w:cstheme="majorBidi"/>
          <w:color w:val="0000FF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42A05" w:rsidRPr="00556D1A" w14:paraId="297D0024" w14:textId="77777777" w:rsidTr="00142A05">
        <w:tc>
          <w:tcPr>
            <w:tcW w:w="2122" w:type="dxa"/>
          </w:tcPr>
          <w:p w14:paraId="1710162A" w14:textId="77777777" w:rsidR="00142A05" w:rsidRPr="00E41ECE" w:rsidRDefault="00142A05" w:rsidP="003B5639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Additional points</w:t>
            </w:r>
          </w:p>
        </w:tc>
        <w:tc>
          <w:tcPr>
            <w:tcW w:w="6174" w:type="dxa"/>
          </w:tcPr>
          <w:p w14:paraId="5F2F026D" w14:textId="77777777" w:rsidR="00142A05" w:rsidRPr="00556D1A" w:rsidRDefault="00142A05" w:rsidP="003B5639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</w:tc>
      </w:tr>
    </w:tbl>
    <w:p w14:paraId="3B7B382D" w14:textId="77777777" w:rsidR="003B5639" w:rsidRPr="00556D1A" w:rsidRDefault="003B5639" w:rsidP="003B5639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42A05" w:rsidRPr="00E41ECE" w14:paraId="7F99DBF0" w14:textId="77777777" w:rsidTr="00142A05">
        <w:tc>
          <w:tcPr>
            <w:tcW w:w="8296" w:type="dxa"/>
          </w:tcPr>
          <w:p w14:paraId="0126DAB0" w14:textId="77777777" w:rsidR="00142A05" w:rsidRPr="00E41ECE" w:rsidRDefault="00142A05" w:rsidP="00142A0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Patent:</w:t>
            </w:r>
          </w:p>
          <w:p w14:paraId="4AA0383A" w14:textId="77777777" w:rsidR="00142A05" w:rsidRPr="00E41ECE" w:rsidRDefault="00142A05" w:rsidP="00142A0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>IBI is the only company that is a patent holder for the combination of Xenograft + polymers + cell nutrients</w:t>
            </w:r>
          </w:p>
        </w:tc>
      </w:tr>
    </w:tbl>
    <w:p w14:paraId="4C978DCF" w14:textId="77777777" w:rsidR="00142A05" w:rsidRPr="00E41ECE" w:rsidRDefault="00142A05" w:rsidP="00142A05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42A05" w:rsidRPr="00556D1A" w14:paraId="4D9CD38F" w14:textId="77777777" w:rsidTr="00142A05">
        <w:tc>
          <w:tcPr>
            <w:tcW w:w="8296" w:type="dxa"/>
          </w:tcPr>
          <w:p w14:paraId="6D280F58" w14:textId="77777777" w:rsidR="00142A05" w:rsidRPr="00E41ECE" w:rsidRDefault="00142A05" w:rsidP="00142A0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Use in additional medical fields</w:t>
            </w:r>
          </w:p>
          <w:p w14:paraId="34E1984F" w14:textId="77777777" w:rsidR="00142A05" w:rsidRPr="00556D1A" w:rsidRDefault="00142A05" w:rsidP="00142A05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In addition to the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>field of dentistry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>, IBI markets bone substitutes to the fields of orthopedics, pediatric surgery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and oncology, </w:t>
            </w:r>
            <w:r w:rsidR="00D2714E" w:rsidRPr="00E41ECE">
              <w:rPr>
                <w:rFonts w:asciiTheme="majorBidi" w:hAnsiTheme="majorBidi" w:cstheme="majorBidi"/>
                <w:sz w:val="24"/>
                <w:szCs w:val="24"/>
              </w:rPr>
              <w:t>where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the complexity of treatment and product requirements are the highest.</w:t>
            </w:r>
          </w:p>
        </w:tc>
      </w:tr>
    </w:tbl>
    <w:p w14:paraId="146CEC05" w14:textId="77777777" w:rsidR="00142A05" w:rsidRPr="00556D1A" w:rsidRDefault="00142A05" w:rsidP="00142A05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6D1A" w:rsidRPr="00556D1A" w14:paraId="66189258" w14:textId="77777777" w:rsidTr="00D2714E">
        <w:tc>
          <w:tcPr>
            <w:tcW w:w="8296" w:type="dxa"/>
          </w:tcPr>
          <w:p w14:paraId="31A731D7" w14:textId="77777777" w:rsidR="001A1D16" w:rsidRPr="00E41ECE" w:rsidRDefault="001A1D16" w:rsidP="00142A0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Heating of the bone substitute</w:t>
            </w:r>
          </w:p>
          <w:p w14:paraId="762FDD85" w14:textId="77777777" w:rsidR="001A1D16" w:rsidRPr="00E41ECE" w:rsidRDefault="001A1D16" w:rsidP="001A1D16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CF57E0"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production process of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bone substitute, competitors heat the bone to high temperatures </w:t>
            </w:r>
            <w:r w:rsidR="00CF57E0" w:rsidRPr="00E41ECE">
              <w:rPr>
                <w:rFonts w:asciiTheme="majorBidi" w:hAnsiTheme="majorBidi" w:cstheme="majorBidi"/>
                <w:sz w:val="24"/>
                <w:szCs w:val="24"/>
              </w:rPr>
              <w:t>causing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a morphological change in the bone, making complete absorption of the grafted bone difficult.  Remaining bone granules of the grafted bone weaken the regenerative bone from the biomechanic</w:t>
            </w:r>
            <w:r w:rsidR="00D2714E" w:rsidRPr="00E41ECE">
              <w:rPr>
                <w:rFonts w:asciiTheme="majorBidi" w:hAnsiTheme="majorBidi" w:cstheme="majorBidi"/>
                <w:sz w:val="24"/>
                <w:szCs w:val="24"/>
              </w:rPr>
              <w:t>al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 aspect.</w:t>
            </w:r>
          </w:p>
          <w:p w14:paraId="25521E0C" w14:textId="77777777" w:rsidR="001A1D16" w:rsidRPr="00556D1A" w:rsidRDefault="001A1D16" w:rsidP="001A1D16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5A576708" w14:textId="77777777" w:rsidR="001A1D16" w:rsidRPr="00556D1A" w:rsidRDefault="001A1D16" w:rsidP="001A1D16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>Heating temperature: IBI 45̊̊C, Geistlich&gt;450̊C, Bottis&gt;1000̊̊C.</w:t>
            </w:r>
          </w:p>
        </w:tc>
      </w:tr>
      <w:tr w:rsidR="00556D1A" w:rsidRPr="00556D1A" w14:paraId="0D986C07" w14:textId="77777777" w:rsidTr="00D2714E">
        <w:tc>
          <w:tcPr>
            <w:tcW w:w="8296" w:type="dxa"/>
          </w:tcPr>
          <w:p w14:paraId="57B31E26" w14:textId="77777777" w:rsidR="00D2714E" w:rsidRPr="00556D1A" w:rsidRDefault="00D2714E" w:rsidP="00C366D3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</w:tc>
      </w:tr>
      <w:tr w:rsidR="009A3E11" w:rsidRPr="00556D1A" w14:paraId="14F67321" w14:textId="77777777" w:rsidTr="00D2714E">
        <w:tc>
          <w:tcPr>
            <w:tcW w:w="8296" w:type="dxa"/>
          </w:tcPr>
          <w:p w14:paraId="2B750250" w14:textId="77777777" w:rsidR="009A3E11" w:rsidRPr="00CA2146" w:rsidRDefault="009A3E11" w:rsidP="00CA214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>Bone grafts of competitors</w:t>
            </w:r>
          </w:p>
          <w:p w14:paraId="42E692A0" w14:textId="77777777" w:rsidR="009A3E11" w:rsidRPr="00CA2146" w:rsidRDefault="009A3E11" w:rsidP="00CA2146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Show a relatively </w:t>
            </w:r>
            <w:r w:rsidR="00CA2146" w:rsidRPr="00CA2146">
              <w:rPr>
                <w:rFonts w:asciiTheme="majorBidi" w:hAnsiTheme="majorBidi" w:cstheme="majorBidi"/>
                <w:sz w:val="24"/>
                <w:szCs w:val="24"/>
              </w:rPr>
              <w:t>small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 quantity of regenerative bone (New bone) </w:t>
            </w:r>
            <w:r w:rsidR="00CA2146"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 time, and a large quantity of bone substitute and connective tissue.</w:t>
            </w:r>
          </w:p>
          <w:p w14:paraId="2293DC9E" w14:textId="77777777" w:rsidR="009A3E11" w:rsidRPr="00CA2146" w:rsidRDefault="009A3E11" w:rsidP="00CA2146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D8360BC" w14:textId="77777777" w:rsidR="009A3E11" w:rsidRPr="00CA2146" w:rsidRDefault="009A3E11" w:rsidP="00CA2146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>In Geistlich, for example</w:t>
            </w:r>
            <w:r w:rsidR="00CA2146" w:rsidRPr="00CA2146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 there is only 28%-40% new patient bone in the end, approximately 30% bone substitute and the remainder, connective tissue.</w:t>
            </w:r>
          </w:p>
          <w:p w14:paraId="5422BCC6" w14:textId="77777777" w:rsidR="009A3E11" w:rsidRPr="00556D1A" w:rsidRDefault="009A3E11" w:rsidP="00CA2146">
            <w:pPr>
              <w:pStyle w:val="ListParagraph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53B0E5C6" w14:textId="77777777" w:rsidR="009A3E11" w:rsidRPr="00CA2146" w:rsidRDefault="009A3E11" w:rsidP="00CA2146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>The Bioactive bone is fully replaced already after 9 months!</w:t>
            </w:r>
          </w:p>
          <w:p w14:paraId="446BC1B5" w14:textId="77777777" w:rsidR="009A3E11" w:rsidRPr="00556D1A" w:rsidRDefault="009A3E11" w:rsidP="00CA2146">
            <w:pPr>
              <w:pStyle w:val="ListParagraph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74F3225B" w14:textId="77777777" w:rsidR="009A3E11" w:rsidRDefault="009A3E11" w:rsidP="00CA2146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Following are photographs which </w:t>
            </w:r>
            <w:r w:rsidR="00BE7B46" w:rsidRPr="00CA2146">
              <w:rPr>
                <w:rFonts w:asciiTheme="majorBidi" w:hAnsiTheme="majorBidi" w:cstheme="majorBidi"/>
                <w:sz w:val="24"/>
                <w:szCs w:val="24"/>
              </w:rPr>
              <w:t>illustrate the difference between the regenerative results of the competitor to results obtained after the use of Bioactive bone.</w:t>
            </w:r>
          </w:p>
          <w:p w14:paraId="2E79E296" w14:textId="77777777" w:rsidR="00CA2146" w:rsidRPr="00556D1A" w:rsidRDefault="00CA2146" w:rsidP="00CA2146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</w:tc>
      </w:tr>
    </w:tbl>
    <w:p w14:paraId="4DAB7C46" w14:textId="77777777" w:rsidR="001A1D16" w:rsidRPr="00556D1A" w:rsidRDefault="001A1D16" w:rsidP="001A1D16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2146" w:rsidRPr="00556D1A" w14:paraId="0452D83E" w14:textId="77777777" w:rsidTr="00BE7B46">
        <w:tc>
          <w:tcPr>
            <w:tcW w:w="8296" w:type="dxa"/>
          </w:tcPr>
          <w:p w14:paraId="46CB679D" w14:textId="77777777" w:rsidR="00BE7B46" w:rsidRPr="00556D1A" w:rsidRDefault="00BE7B46" w:rsidP="00BE7B46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An </w:t>
            </w:r>
            <w:r w:rsidR="00D2714E" w:rsidRPr="00CA2146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D2714E"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 v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>itro studied carried out in Israel, examined the adhesive ability of stem cells to bone substitute.  The comparison was between: Bioactive Bone (Alpha Bio Tec.) and Bio-Oss®</w:t>
            </w:r>
            <w:r w:rsidR="00CA2146"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A2146">
              <w:rPr>
                <w:rFonts w:asciiTheme="majorBidi" w:hAnsiTheme="majorBidi" w:cstheme="majorBidi"/>
                <w:sz w:val="24"/>
                <w:szCs w:val="24"/>
              </w:rPr>
              <w:t xml:space="preserve">(Geistlich).  </w:t>
            </w:r>
            <w:r w:rsidRPr="00C8318D">
              <w:rPr>
                <w:rFonts w:asciiTheme="majorBidi" w:hAnsiTheme="majorBidi" w:cstheme="majorBidi"/>
                <w:sz w:val="24"/>
                <w:szCs w:val="24"/>
              </w:rPr>
              <w:t>Test results show that 69% of the cells adhe</w:t>
            </w:r>
            <w:r w:rsidR="00C8318D" w:rsidRPr="00C8318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C8318D">
              <w:rPr>
                <w:rFonts w:asciiTheme="majorBidi" w:hAnsiTheme="majorBidi" w:cstheme="majorBidi"/>
                <w:sz w:val="24"/>
                <w:szCs w:val="24"/>
              </w:rPr>
              <w:t xml:space="preserve">ed to Bioactive Bone as opposed to 12% of the cells </w:t>
            </w:r>
            <w:r w:rsidR="00C8318D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Pr="00C8318D">
              <w:rPr>
                <w:rFonts w:asciiTheme="majorBidi" w:hAnsiTheme="majorBidi" w:cstheme="majorBidi"/>
                <w:sz w:val="24"/>
                <w:szCs w:val="24"/>
              </w:rPr>
              <w:t xml:space="preserve"> Bio-Os®! This indicates the role of the polymers and cell nutrients in the attraction to cells which determine the commitment of </w:t>
            </w:r>
            <w:r w:rsidR="00D2714E" w:rsidRPr="00C8318D">
              <w:rPr>
                <w:rFonts w:asciiTheme="majorBidi" w:hAnsiTheme="majorBidi" w:cstheme="majorBidi"/>
                <w:sz w:val="24"/>
                <w:szCs w:val="24"/>
              </w:rPr>
              <w:t xml:space="preserve">wound healing, which are the first minutes after placing the bone graft. </w:t>
            </w:r>
            <w:bookmarkStart w:id="2" w:name="_GoBack"/>
            <w:bookmarkEnd w:id="2"/>
          </w:p>
        </w:tc>
      </w:tr>
    </w:tbl>
    <w:p w14:paraId="793E6CB4" w14:textId="77777777" w:rsidR="00BE7B46" w:rsidRPr="00556D1A" w:rsidRDefault="00BE7B46" w:rsidP="00BE7B46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714E" w:rsidRPr="00556D1A" w14:paraId="7016F930" w14:textId="77777777" w:rsidTr="00D2714E">
        <w:tc>
          <w:tcPr>
            <w:tcW w:w="8296" w:type="dxa"/>
          </w:tcPr>
          <w:p w14:paraId="6ADD3FB5" w14:textId="77777777" w:rsidR="00D2714E" w:rsidRPr="00C35B9D" w:rsidRDefault="00D2714E" w:rsidP="00D2714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5B9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Opacity:</w:t>
            </w:r>
          </w:p>
          <w:p w14:paraId="44E1E895" w14:textId="77777777" w:rsidR="00D2714E" w:rsidRPr="00556D1A" w:rsidRDefault="00D2714E" w:rsidP="00D2714E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  <w:r w:rsidRPr="006563A5">
              <w:rPr>
                <w:rFonts w:asciiTheme="majorBidi" w:hAnsiTheme="majorBidi" w:cstheme="majorBidi"/>
                <w:sz w:val="24"/>
                <w:szCs w:val="24"/>
              </w:rPr>
              <w:t>The competing bone substitute demonstrates</w:t>
            </w:r>
            <w:r w:rsidR="00C35B9D"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 a great amount of 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>opacity already at grafting, appears identical after 4 months or more, and therefore, does not enable follow-up of new bone created during healing</w:t>
            </w:r>
            <w:r w:rsidRPr="00556D1A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.</w:t>
            </w:r>
            <w:r w:rsidR="003106E3" w:rsidRPr="00556D1A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 </w:t>
            </w:r>
          </w:p>
          <w:p w14:paraId="29A47046" w14:textId="77777777" w:rsidR="00D2714E" w:rsidRPr="00556D1A" w:rsidRDefault="00D2714E" w:rsidP="00D2714E">
            <w:pPr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24740699" w14:textId="05F942C8" w:rsidR="00C35B9D" w:rsidRPr="006563A5" w:rsidRDefault="003106E3" w:rsidP="00D2714E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56D1A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 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The level of opacity of Bioactive bone gradually increases </w:t>
            </w:r>
            <w:r w:rsidR="006563A5" w:rsidRPr="006563A5">
              <w:rPr>
                <w:rFonts w:asciiTheme="majorBidi" w:hAnsiTheme="majorBidi" w:cstheme="majorBidi"/>
                <w:sz w:val="24"/>
                <w:szCs w:val="24"/>
              </w:rPr>
              <w:t>over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 the course of healing and is used as an indicator </w:t>
            </w:r>
            <w:r w:rsidR="006563A5" w:rsidRPr="006563A5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 the creation of new bone in the </w:t>
            </w:r>
            <w:r w:rsidR="006563A5" w:rsidRPr="006563A5">
              <w:rPr>
                <w:rFonts w:asciiTheme="majorBidi" w:hAnsiTheme="majorBidi" w:cstheme="majorBidi"/>
                <w:sz w:val="24"/>
                <w:szCs w:val="24"/>
              </w:rPr>
              <w:t>grafted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 area.  For illustration, radiograms are attached </w:t>
            </w:r>
            <w:r w:rsidR="0062116D" w:rsidRPr="006563A5">
              <w:rPr>
                <w:rFonts w:asciiTheme="majorBidi" w:hAnsiTheme="majorBidi" w:cstheme="majorBidi"/>
                <w:sz w:val="24"/>
                <w:szCs w:val="24"/>
              </w:rPr>
              <w:t>from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 the study carried out at the University of Milan by Dr. Silvio Tasch</w:t>
            </w:r>
            <w:r w:rsidR="00C35B9D" w:rsidRPr="006563A5">
              <w:rPr>
                <w:rFonts w:asciiTheme="majorBidi" w:hAnsiTheme="majorBidi" w:cstheme="majorBidi"/>
                <w:sz w:val="24"/>
                <w:szCs w:val="24"/>
              </w:rPr>
              <w:t>ieri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14:paraId="122DD4E8" w14:textId="448E3EB1" w:rsidR="00D2714E" w:rsidRPr="006563A5" w:rsidRDefault="003106E3" w:rsidP="0062116D">
            <w:pPr>
              <w:bidi w:val="0"/>
              <w:ind w:left="731"/>
              <w:rPr>
                <w:rFonts w:asciiTheme="majorBidi" w:hAnsiTheme="majorBidi" w:cstheme="majorBidi"/>
                <w:sz w:val="24"/>
                <w:szCs w:val="24"/>
              </w:rPr>
            </w:pP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Dr. Massimo </w:t>
            </w:r>
            <w:r w:rsidR="00C35B9D"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del 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>Fab</w:t>
            </w:r>
            <w:r w:rsidR="00C35B9D" w:rsidRPr="006563A5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ro, Prof. Ofer Moses, Prof. Carlos </w:t>
            </w:r>
            <w:commentRangeStart w:id="3"/>
            <w:r w:rsidRPr="006563A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Nembakovski</w:t>
            </w:r>
            <w:commentRangeEnd w:id="3"/>
            <w:r w:rsidR="00C35B9D" w:rsidRPr="006563A5">
              <w:rPr>
                <w:rStyle w:val="CommentReference"/>
              </w:rPr>
              <w:commentReference w:id="3"/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, which </w:t>
            </w:r>
            <w:r w:rsidR="0062116D" w:rsidRPr="006563A5">
              <w:rPr>
                <w:rFonts w:asciiTheme="majorBidi" w:hAnsiTheme="majorBidi" w:cstheme="majorBidi"/>
                <w:sz w:val="24"/>
                <w:szCs w:val="24"/>
              </w:rPr>
              <w:t xml:space="preserve">indicate </w:t>
            </w:r>
            <w:r w:rsidRPr="006563A5">
              <w:rPr>
                <w:rFonts w:asciiTheme="majorBidi" w:hAnsiTheme="majorBidi" w:cstheme="majorBidi"/>
                <w:sz w:val="24"/>
                <w:szCs w:val="24"/>
              </w:rPr>
              <w:t>the increase in opacity.</w:t>
            </w:r>
          </w:p>
          <w:p w14:paraId="034D7A0A" w14:textId="77777777" w:rsidR="003106E3" w:rsidRPr="006563A5" w:rsidRDefault="003106E3" w:rsidP="0062116D">
            <w:pPr>
              <w:pStyle w:val="ListParagraph"/>
              <w:ind w:left="731" w:hanging="371"/>
              <w:rPr>
                <w:rFonts w:asciiTheme="majorBidi" w:hAnsiTheme="majorBidi" w:cstheme="majorBidi" w:hint="cs"/>
                <w:sz w:val="24"/>
                <w:szCs w:val="24"/>
              </w:rPr>
            </w:pPr>
          </w:p>
          <w:p w14:paraId="4E4F761F" w14:textId="77777777" w:rsidR="003106E3" w:rsidRPr="006563A5" w:rsidRDefault="003106E3" w:rsidP="003106E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736EB6" w14:textId="77777777" w:rsidR="003106E3" w:rsidRPr="00E41ECE" w:rsidRDefault="003106E3" w:rsidP="003106E3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>3 months after bone graft   Immediately after bone graft   Before bone graft</w:t>
            </w:r>
          </w:p>
          <w:p w14:paraId="3C6B18BB" w14:textId="77777777" w:rsidR="003106E3" w:rsidRPr="00556D1A" w:rsidRDefault="003106E3" w:rsidP="003106E3">
            <w:pPr>
              <w:pStyle w:val="ListParagraph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  <w:p w14:paraId="73A084E3" w14:textId="77777777" w:rsidR="003106E3" w:rsidRPr="00556D1A" w:rsidRDefault="003106E3" w:rsidP="003106E3">
            <w:pPr>
              <w:pStyle w:val="ListParagraph"/>
              <w:bidi w:val="0"/>
              <w:rPr>
                <w:rFonts w:asciiTheme="majorBidi" w:hAnsiTheme="majorBidi" w:cstheme="majorBidi"/>
                <w:color w:val="0000FF"/>
                <w:sz w:val="24"/>
                <w:szCs w:val="24"/>
              </w:rPr>
            </w:pPr>
          </w:p>
        </w:tc>
      </w:tr>
    </w:tbl>
    <w:p w14:paraId="3C62A90A" w14:textId="77777777" w:rsidR="00D2714E" w:rsidRPr="00556D1A" w:rsidRDefault="00D2714E" w:rsidP="00D2714E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714E" w:rsidRPr="00E41ECE" w14:paraId="77470D2E" w14:textId="77777777" w:rsidTr="00D2714E">
        <w:tc>
          <w:tcPr>
            <w:tcW w:w="8296" w:type="dxa"/>
          </w:tcPr>
          <w:p w14:paraId="2FFBAF30" w14:textId="77777777" w:rsidR="00D2714E" w:rsidRPr="00E41ECE" w:rsidRDefault="00D2714E" w:rsidP="00D271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Tip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657C9402" w14:textId="77777777" w:rsidR="00D2714E" w:rsidRPr="00E41ECE" w:rsidRDefault="00D2714E" w:rsidP="00D271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Wet the bone substitute with only a few drops of saline or </w:t>
            </w:r>
            <w:r w:rsidR="00E41ECE" w:rsidRPr="00E41ECE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E41ECE">
              <w:rPr>
                <w:rFonts w:asciiTheme="majorBidi" w:hAnsiTheme="majorBidi" w:cstheme="majorBidi"/>
                <w:sz w:val="24"/>
                <w:szCs w:val="24"/>
              </w:rPr>
              <w:t>patient's blood and do not flood with fluid in order to preserve the polymer coating.</w:t>
            </w:r>
          </w:p>
        </w:tc>
      </w:tr>
    </w:tbl>
    <w:p w14:paraId="7BD19299" w14:textId="77777777" w:rsidR="00D2714E" w:rsidRPr="00E41ECE" w:rsidRDefault="00D2714E" w:rsidP="00D2714E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D2714E" w:rsidRPr="00E41ECE" w:rsidSect="00E50D27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ita Smulovitz" w:date="2017-06-09T21:32:00Z" w:initials="AS">
    <w:p w14:paraId="29649FCF" w14:textId="77777777" w:rsidR="00556D1A" w:rsidRDefault="00556D1A" w:rsidP="00556D1A">
      <w:pPr>
        <w:pStyle w:val="CommentText"/>
        <w:bidi w:val="0"/>
        <w:jc w:val="both"/>
      </w:pPr>
      <w:r>
        <w:rPr>
          <w:rStyle w:val="CommentReference"/>
        </w:rPr>
        <w:annotationRef/>
      </w:r>
      <w:r>
        <w:t>Thanks to</w:t>
      </w:r>
      <w:r w:rsidR="00CF57E0">
        <w:t xml:space="preserve"> ?</w:t>
      </w:r>
      <w:r>
        <w:t xml:space="preserve"> – does this sound too informal?</w:t>
      </w:r>
    </w:p>
  </w:comment>
  <w:comment w:id="1" w:author="Anita Smulovitz" w:date="2017-06-09T21:31:00Z" w:initials="AS">
    <w:p w14:paraId="14539BF9" w14:textId="77777777" w:rsidR="00556D1A" w:rsidRDefault="00556D1A">
      <w:pPr>
        <w:pStyle w:val="CommentText"/>
      </w:pPr>
      <w:r>
        <w:rPr>
          <w:rStyle w:val="CommentReference"/>
        </w:rPr>
        <w:annotationRef/>
      </w:r>
      <w:r>
        <w:t>Implantation site</w:t>
      </w:r>
    </w:p>
    <w:p w14:paraId="669355C7" w14:textId="77777777" w:rsidR="00556D1A" w:rsidRDefault="00556D1A">
      <w:pPr>
        <w:pStyle w:val="CommentText"/>
      </w:pPr>
      <w:r>
        <w:t>When should graft be used and when should implantation be used?</w:t>
      </w:r>
    </w:p>
  </w:comment>
  <w:comment w:id="3" w:author="Anita Smulovitz" w:date="2017-06-10T14:12:00Z" w:initials="AS">
    <w:p w14:paraId="3D4EA795" w14:textId="77777777" w:rsidR="00C35B9D" w:rsidRDefault="00C35B9D">
      <w:pPr>
        <w:pStyle w:val="CommentText"/>
      </w:pPr>
      <w:r>
        <w:rPr>
          <w:rStyle w:val="CommentReference"/>
        </w:rPr>
        <w:annotationRef/>
      </w:r>
      <w:r>
        <w:t>Ask client for spelling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649FCF" w15:done="0"/>
  <w15:commentEx w15:paraId="669355C7" w15:done="0"/>
  <w15:commentEx w15:paraId="3D4EA79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81AB3" w14:textId="77777777" w:rsidR="00D70709" w:rsidRDefault="00D70709" w:rsidP="00142A05">
      <w:pPr>
        <w:spacing w:after="0" w:line="240" w:lineRule="auto"/>
      </w:pPr>
      <w:r>
        <w:separator/>
      </w:r>
    </w:p>
  </w:endnote>
  <w:endnote w:type="continuationSeparator" w:id="0">
    <w:p w14:paraId="30F99B03" w14:textId="77777777" w:rsidR="00D70709" w:rsidRDefault="00D70709" w:rsidP="0014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3846B" w14:textId="77777777" w:rsidR="00D70709" w:rsidRDefault="00D70709" w:rsidP="00142A05">
      <w:pPr>
        <w:spacing w:after="0" w:line="240" w:lineRule="auto"/>
      </w:pPr>
      <w:r>
        <w:separator/>
      </w:r>
    </w:p>
  </w:footnote>
  <w:footnote w:type="continuationSeparator" w:id="0">
    <w:p w14:paraId="3BD3418F" w14:textId="77777777" w:rsidR="00D70709" w:rsidRDefault="00D70709" w:rsidP="0014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083365605"/>
      <w:docPartObj>
        <w:docPartGallery w:val="Page Numbers (Top of Page)"/>
        <w:docPartUnique/>
      </w:docPartObj>
    </w:sdtPr>
    <w:sdtEndPr/>
    <w:sdtContent>
      <w:p w14:paraId="34E4EF1B" w14:textId="16F94416" w:rsidR="00142A05" w:rsidRDefault="00142A0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3A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22DB"/>
    <w:multiLevelType w:val="hybridMultilevel"/>
    <w:tmpl w:val="9F424826"/>
    <w:lvl w:ilvl="0" w:tplc="3286D05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5327A"/>
    <w:multiLevelType w:val="hybridMultilevel"/>
    <w:tmpl w:val="6CD82442"/>
    <w:lvl w:ilvl="0" w:tplc="7D9C366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D078E"/>
    <w:multiLevelType w:val="hybridMultilevel"/>
    <w:tmpl w:val="EF9CE2AC"/>
    <w:lvl w:ilvl="0" w:tplc="5DEED6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ita Smulovitz">
    <w15:presenceInfo w15:providerId="Windows Live" w15:userId="f46d2b591a9a7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80"/>
    <w:rsid w:val="00142A05"/>
    <w:rsid w:val="001A1D16"/>
    <w:rsid w:val="001D5D00"/>
    <w:rsid w:val="003106E3"/>
    <w:rsid w:val="003A5312"/>
    <w:rsid w:val="003B5639"/>
    <w:rsid w:val="00556D1A"/>
    <w:rsid w:val="0062116D"/>
    <w:rsid w:val="006563A5"/>
    <w:rsid w:val="008A3587"/>
    <w:rsid w:val="008A6E66"/>
    <w:rsid w:val="009A3E11"/>
    <w:rsid w:val="00A909FF"/>
    <w:rsid w:val="00AB06AA"/>
    <w:rsid w:val="00AC4980"/>
    <w:rsid w:val="00BE7B46"/>
    <w:rsid w:val="00C24D62"/>
    <w:rsid w:val="00C35B9D"/>
    <w:rsid w:val="00C43611"/>
    <w:rsid w:val="00C8318D"/>
    <w:rsid w:val="00CA2146"/>
    <w:rsid w:val="00CF57E0"/>
    <w:rsid w:val="00D2714E"/>
    <w:rsid w:val="00D438F7"/>
    <w:rsid w:val="00D70709"/>
    <w:rsid w:val="00E41ECE"/>
    <w:rsid w:val="00E5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4D8FC"/>
  <w15:chartTrackingRefBased/>
  <w15:docId w15:val="{6EC6B692-BC74-4DBA-A5CF-B85CABE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05"/>
  </w:style>
  <w:style w:type="paragraph" w:styleId="Footer">
    <w:name w:val="footer"/>
    <w:basedOn w:val="Normal"/>
    <w:link w:val="FooterChar"/>
    <w:uiPriority w:val="99"/>
    <w:unhideWhenUsed/>
    <w:rsid w:val="00142A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05"/>
  </w:style>
  <w:style w:type="paragraph" w:styleId="ListParagraph">
    <w:name w:val="List Paragraph"/>
    <w:basedOn w:val="Normal"/>
    <w:uiPriority w:val="34"/>
    <w:qFormat/>
    <w:rsid w:val="001A1D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Anita Smulovitz</cp:lastModifiedBy>
  <cp:revision>2</cp:revision>
  <dcterms:created xsi:type="dcterms:W3CDTF">2017-06-10T12:04:00Z</dcterms:created>
  <dcterms:modified xsi:type="dcterms:W3CDTF">2017-06-10T12:04:00Z</dcterms:modified>
</cp:coreProperties>
</file>