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66" w:rsidRPr="00890606" w:rsidRDefault="00B35366" w:rsidP="00B35366">
      <w:pPr>
        <w:bidi/>
        <w:spacing w:after="0" w:line="360" w:lineRule="auto"/>
        <w:ind w:left="425"/>
        <w:jc w:val="center"/>
        <w:rPr>
          <w:rFonts w:ascii="Calibri" w:eastAsia="Calibri" w:hAnsi="Calibri" w:cs="David"/>
          <w:b/>
          <w:bCs/>
          <w:sz w:val="28"/>
          <w:szCs w:val="28"/>
          <w:rtl/>
        </w:rPr>
      </w:pPr>
      <w:r w:rsidRPr="00890606">
        <w:rPr>
          <w:rFonts w:ascii="Calibri" w:eastAsia="Calibri" w:hAnsi="Calibri" w:cs="David"/>
          <w:b/>
          <w:bCs/>
          <w:sz w:val="28"/>
          <w:szCs w:val="28"/>
          <w:rtl/>
        </w:rPr>
        <w:t>תפיסת הטרנספורמציה</w:t>
      </w:r>
      <w:r w:rsidRPr="00890606">
        <w:rPr>
          <w:rFonts w:ascii="Calibri" w:eastAsia="Calibri" w:hAnsi="Calibri" w:cs="David" w:hint="cs"/>
          <w:b/>
          <w:bCs/>
          <w:sz w:val="28"/>
          <w:szCs w:val="28"/>
          <w:rtl/>
        </w:rPr>
        <w:t xml:space="preserve"> </w:t>
      </w:r>
      <w:r w:rsidRPr="00890606">
        <w:rPr>
          <w:rFonts w:ascii="Calibri" w:eastAsia="Calibri" w:hAnsi="Calibri" w:cs="David"/>
          <w:b/>
          <w:bCs/>
          <w:sz w:val="28"/>
          <w:szCs w:val="28"/>
          <w:rtl/>
        </w:rPr>
        <w:t>במחזות-המסתורין</w:t>
      </w:r>
    </w:p>
    <w:p w:rsidR="00B35366" w:rsidRPr="00890606" w:rsidRDefault="00B35366" w:rsidP="00B35366">
      <w:pPr>
        <w:bidi/>
        <w:spacing w:after="0" w:line="360" w:lineRule="auto"/>
        <w:ind w:left="425"/>
        <w:jc w:val="center"/>
        <w:rPr>
          <w:rFonts w:ascii="Calibri" w:eastAsia="Calibri" w:hAnsi="Calibri" w:cs="David"/>
          <w:b/>
          <w:bCs/>
          <w:sz w:val="28"/>
          <w:szCs w:val="28"/>
          <w:rtl/>
        </w:rPr>
      </w:pPr>
      <w:r w:rsidRPr="00890606">
        <w:rPr>
          <w:rFonts w:ascii="Calibri" w:eastAsia="Calibri" w:hAnsi="Calibri" w:cs="David"/>
          <w:b/>
          <w:bCs/>
          <w:sz w:val="28"/>
          <w:szCs w:val="28"/>
          <w:rtl/>
        </w:rPr>
        <w:t>ובעבודתו האסתטית של רודולף שטיינר</w:t>
      </w:r>
    </w:p>
    <w:p w:rsidR="00B35366" w:rsidRDefault="00B35366" w:rsidP="00B35366">
      <w:pPr>
        <w:bidi/>
        <w:spacing w:after="0" w:line="360" w:lineRule="auto"/>
        <w:ind w:left="425"/>
        <w:jc w:val="center"/>
        <w:rPr>
          <w:rFonts w:ascii="Calibri" w:eastAsia="Calibri" w:hAnsi="Calibri" w:cs="David"/>
          <w:b/>
          <w:bCs/>
          <w:sz w:val="28"/>
          <w:szCs w:val="28"/>
          <w:rtl/>
        </w:rPr>
      </w:pPr>
    </w:p>
    <w:p w:rsidR="00B35366" w:rsidRPr="00890606" w:rsidRDefault="00B35366" w:rsidP="00B35366">
      <w:pPr>
        <w:bidi/>
        <w:spacing w:after="0" w:line="360" w:lineRule="auto"/>
        <w:ind w:left="425"/>
        <w:jc w:val="center"/>
        <w:rPr>
          <w:rFonts w:ascii="Calibri" w:eastAsia="Calibri" w:hAnsi="Calibri" w:cs="David"/>
          <w:b/>
          <w:bCs/>
          <w:sz w:val="24"/>
          <w:szCs w:val="24"/>
          <w:rtl/>
        </w:rPr>
      </w:pPr>
      <w:r w:rsidRPr="00890606">
        <w:rPr>
          <w:rFonts w:ascii="Calibri" w:eastAsia="Calibri" w:hAnsi="Calibri" w:cs="David" w:hint="cs"/>
          <w:b/>
          <w:bCs/>
          <w:sz w:val="24"/>
          <w:szCs w:val="24"/>
          <w:rtl/>
        </w:rPr>
        <w:t>עמוס בן אהרן</w:t>
      </w:r>
    </w:p>
    <w:p w:rsidR="00B35366" w:rsidRDefault="00B35366" w:rsidP="00B35366">
      <w:pPr>
        <w:bidi/>
        <w:spacing w:after="0" w:line="360" w:lineRule="auto"/>
        <w:ind w:left="425"/>
        <w:jc w:val="center"/>
        <w:rPr>
          <w:rFonts w:ascii="Calibri" w:eastAsia="Calibri" w:hAnsi="Calibri" w:cs="David"/>
          <w:b/>
          <w:bCs/>
          <w:sz w:val="28"/>
          <w:szCs w:val="28"/>
          <w:rtl/>
        </w:rPr>
      </w:pPr>
    </w:p>
    <w:p w:rsidR="00B35366" w:rsidRPr="00890606" w:rsidRDefault="00B35366" w:rsidP="00B35366">
      <w:pPr>
        <w:bidi/>
        <w:spacing w:after="0" w:line="360" w:lineRule="auto"/>
        <w:ind w:left="425"/>
        <w:jc w:val="center"/>
        <w:rPr>
          <w:rFonts w:ascii="Calibri" w:eastAsia="Calibri" w:hAnsi="Calibri" w:cs="David"/>
          <w:b/>
          <w:bCs/>
          <w:sz w:val="24"/>
          <w:szCs w:val="24"/>
          <w:rtl/>
        </w:rPr>
      </w:pPr>
      <w:r w:rsidRPr="00890606">
        <w:rPr>
          <w:rFonts w:ascii="Calibri" w:eastAsia="Calibri" w:hAnsi="Calibri" w:cs="David" w:hint="cs"/>
          <w:b/>
          <w:bCs/>
          <w:sz w:val="24"/>
          <w:szCs w:val="24"/>
          <w:rtl/>
        </w:rPr>
        <w:t>תקציר</w:t>
      </w:r>
    </w:p>
    <w:p w:rsidR="00B35366" w:rsidRPr="00450D26" w:rsidRDefault="00B35366" w:rsidP="00464342">
      <w:pPr>
        <w:bidi/>
        <w:spacing w:after="120" w:line="360" w:lineRule="auto"/>
        <w:jc w:val="both"/>
        <w:rPr>
          <w:rFonts w:ascii="David" w:eastAsia="Calibri" w:hAnsi="David" w:cs="David"/>
          <w:sz w:val="24"/>
          <w:szCs w:val="24"/>
          <w:rtl/>
        </w:rPr>
      </w:pPr>
      <w:r>
        <w:rPr>
          <w:rFonts w:ascii="David" w:eastAsia="Calibri" w:hAnsi="David" w:cs="David" w:hint="cs"/>
          <w:sz w:val="24"/>
          <w:szCs w:val="24"/>
          <w:rtl/>
        </w:rPr>
        <w:t xml:space="preserve">מטרת העבודה הנה לבחון את יסודות הטרנספורמציה, המטמורפוזה וההתמרה במחזות-המסתורין ובעבודתו האסתטית של רודולף שטיינר. אין זו עבודה בהיסטוריה של הספרות הגרמנית, אלא בספרות השוואתית. מחקר זה מבקש לבחון את הטקסטים השייכים לתקופה מודרניסטית מוקדמת, עם דגש על נושאים תאורטיים מרכזים, על היבטיהם הספרותיים, הפילוסופיים, הדתיים והפסיכולוגיים, ולהבין את קשרי הגומלין הרבים והמורכבים שבין היבטים אלה. העבודה חוקרת את יסוד הטרנספורמציה ואת תפקידו של הדמיון בשלושה שלבים מרכזיים בהתפתחות תפיסתו האסתטית של שטיינר, תוך התייחסות לשלוש השפעות מרכזיות עליה: של גתה, שילר ונובאליס. כמו כן, בוחנת העבודה כיצד מושג הטרנספורמציה מתגלה במחזות-המסתורין שכתב שטיינר ואת זיקות הגומלין בין התאוריה </w:t>
      </w:r>
      <w:proofErr w:type="spellStart"/>
      <w:r>
        <w:rPr>
          <w:rFonts w:ascii="David" w:eastAsia="Calibri" w:hAnsi="David" w:cs="David" w:hint="cs"/>
          <w:sz w:val="24"/>
          <w:szCs w:val="24"/>
          <w:rtl/>
        </w:rPr>
        <w:t>לפרקסיס</w:t>
      </w:r>
      <w:proofErr w:type="spellEnd"/>
      <w:r>
        <w:rPr>
          <w:rFonts w:ascii="David" w:eastAsia="Calibri" w:hAnsi="David" w:cs="David" w:hint="cs"/>
          <w:sz w:val="24"/>
          <w:szCs w:val="24"/>
          <w:rtl/>
        </w:rPr>
        <w:t xml:space="preserve"> האמנותי שלו. פרק א </w:t>
      </w:r>
      <w:proofErr w:type="spellStart"/>
      <w:r>
        <w:rPr>
          <w:rFonts w:ascii="David" w:eastAsia="Calibri" w:hAnsi="David" w:cs="David" w:hint="cs"/>
          <w:sz w:val="24"/>
          <w:szCs w:val="24"/>
          <w:rtl/>
        </w:rPr>
        <w:t>המבואי</w:t>
      </w:r>
      <w:proofErr w:type="spellEnd"/>
      <w:r>
        <w:rPr>
          <w:rFonts w:ascii="David" w:eastAsia="Calibri" w:hAnsi="David" w:cs="David" w:hint="cs"/>
          <w:sz w:val="24"/>
          <w:szCs w:val="24"/>
          <w:rtl/>
        </w:rPr>
        <w:t xml:space="preserve"> דן במושגי הטרנספורמציה, המטמורפוזה, ההתמרה, הדמיון וההתקדשות ומחדד את משמעויותיהם ואת זיקותיהם ההדדיות, כיסוד לדיון בפרקם הבאים. פרק ב דן בתפיסות הטרנספורמציה </w:t>
      </w:r>
      <w:proofErr w:type="spellStart"/>
      <w:r>
        <w:rPr>
          <w:rFonts w:ascii="David" w:eastAsia="Calibri" w:hAnsi="David" w:cs="David" w:hint="cs"/>
          <w:sz w:val="24"/>
          <w:szCs w:val="24"/>
          <w:rtl/>
        </w:rPr>
        <w:t>באסתטיקות</w:t>
      </w:r>
      <w:proofErr w:type="spellEnd"/>
      <w:r>
        <w:rPr>
          <w:rFonts w:ascii="David" w:eastAsia="Calibri" w:hAnsi="David" w:cs="David" w:hint="cs"/>
          <w:sz w:val="24"/>
          <w:szCs w:val="24"/>
          <w:rtl/>
        </w:rPr>
        <w:t xml:space="preserve"> של גתה, שילר ונובאליס, החיוניות להבנת תפיסת הטרנספורמציה של שטיינר.</w:t>
      </w:r>
      <w:r w:rsidRPr="00A440C0">
        <w:rPr>
          <w:rFonts w:ascii="Calibri" w:eastAsia="Calibri" w:hAnsi="Calibri" w:cs="David"/>
          <w:sz w:val="24"/>
          <w:szCs w:val="24"/>
          <w:rtl/>
        </w:rPr>
        <w:t xml:space="preserve"> </w:t>
      </w:r>
      <w:r w:rsidRPr="00A440C0">
        <w:rPr>
          <w:rFonts w:ascii="David" w:eastAsia="Calibri" w:hAnsi="David" w:cs="David"/>
          <w:sz w:val="24"/>
          <w:szCs w:val="24"/>
          <w:rtl/>
        </w:rPr>
        <w:t>גתה טען לזיקה קרובה ומשלימה מחד ומקוטבת מאידך בין הטבע לאדם – כשהאמנות יוצרת במישור חדש את מה שהטבע יוצר והורס בהמוניו (</w:t>
      </w:r>
      <w:r w:rsidRPr="00A440C0">
        <w:rPr>
          <w:rFonts w:ascii="David" w:eastAsia="Calibri" w:hAnsi="David" w:cs="David"/>
          <w:sz w:val="24"/>
          <w:szCs w:val="24"/>
        </w:rPr>
        <w:t>Goethe, 1967: 79, 162</w:t>
      </w:r>
      <w:r w:rsidRPr="00A440C0">
        <w:rPr>
          <w:rFonts w:ascii="David" w:eastAsia="Calibri" w:hAnsi="David" w:cs="David"/>
          <w:sz w:val="24"/>
          <w:szCs w:val="24"/>
          <w:rtl/>
        </w:rPr>
        <w:t>). כוונתו הייתה כי מה שנמצא בטבע בביטויו החיצוני, יכול להתעורר באדם לפעילות אמנותית פנימית מודעת. שילר לעומתו ראה באמנות מרחב של משחק וחופש שבין הכרח הצרכים הטבעיים להכרח האידיאות, ותהליך טרנספורמטיבי מעמיק, בו הטבע הופך לחומר-גלם אמנותי כאשר דמותו הקודמת נהרסת עבור יצירת צורה חדשה (שילר, 1986: 45-86). נובאליס הדגיש את פעילות הדמיון האמנותי</w:t>
      </w:r>
      <w:r w:rsidRPr="00A440C0">
        <w:rPr>
          <w:rFonts w:ascii="David" w:eastAsia="Calibri" w:hAnsi="David" w:cs="David" w:hint="cs"/>
          <w:sz w:val="24"/>
          <w:szCs w:val="24"/>
          <w:rtl/>
        </w:rPr>
        <w:t>, ש</w:t>
      </w:r>
      <w:r w:rsidRPr="00A440C0">
        <w:rPr>
          <w:rFonts w:ascii="David" w:eastAsia="Calibri" w:hAnsi="David" w:cs="David"/>
          <w:sz w:val="24"/>
          <w:szCs w:val="24"/>
          <w:rtl/>
        </w:rPr>
        <w:t>כיוונ</w:t>
      </w:r>
      <w:r w:rsidRPr="00A440C0">
        <w:rPr>
          <w:rFonts w:ascii="David" w:eastAsia="Calibri" w:hAnsi="David" w:cs="David" w:hint="cs"/>
          <w:sz w:val="24"/>
          <w:szCs w:val="24"/>
          <w:rtl/>
        </w:rPr>
        <w:t>ה</w:t>
      </w:r>
      <w:r w:rsidRPr="00A440C0">
        <w:rPr>
          <w:rFonts w:ascii="David" w:eastAsia="Calibri" w:hAnsi="David" w:cs="David"/>
          <w:sz w:val="24"/>
          <w:szCs w:val="24"/>
          <w:rtl/>
        </w:rPr>
        <w:t xml:space="preserve"> מבפנים כלפי חוץ, </w:t>
      </w:r>
      <w:r w:rsidRPr="00A440C0">
        <w:rPr>
          <w:rFonts w:ascii="David" w:eastAsia="Calibri" w:hAnsi="David" w:cs="David" w:hint="cs"/>
          <w:sz w:val="24"/>
          <w:szCs w:val="24"/>
          <w:rtl/>
        </w:rPr>
        <w:t>וראה ב</w:t>
      </w:r>
      <w:r w:rsidRPr="00A440C0">
        <w:rPr>
          <w:rFonts w:ascii="David" w:eastAsia="Calibri" w:hAnsi="David" w:cs="David"/>
          <w:sz w:val="24"/>
          <w:szCs w:val="24"/>
          <w:rtl/>
        </w:rPr>
        <w:t xml:space="preserve">פואטיקה </w:t>
      </w:r>
      <w:r w:rsidRPr="00A440C0">
        <w:rPr>
          <w:rFonts w:ascii="David" w:eastAsia="Calibri" w:hAnsi="David" w:cs="David" w:hint="cs"/>
          <w:sz w:val="24"/>
          <w:szCs w:val="24"/>
          <w:rtl/>
        </w:rPr>
        <w:t>את ה</w:t>
      </w:r>
      <w:r w:rsidRPr="00A440C0">
        <w:rPr>
          <w:rFonts w:ascii="David" w:eastAsia="Calibri" w:hAnsi="David" w:cs="David"/>
          <w:sz w:val="24"/>
          <w:szCs w:val="24"/>
          <w:rtl/>
        </w:rPr>
        <w:t>יכול</w:t>
      </w:r>
      <w:r w:rsidRPr="00A440C0">
        <w:rPr>
          <w:rFonts w:ascii="David" w:eastAsia="Calibri" w:hAnsi="David" w:cs="David" w:hint="cs"/>
          <w:sz w:val="24"/>
          <w:szCs w:val="24"/>
          <w:rtl/>
        </w:rPr>
        <w:t>ת</w:t>
      </w:r>
      <w:r w:rsidRPr="00A440C0">
        <w:rPr>
          <w:rFonts w:ascii="David" w:eastAsia="Calibri" w:hAnsi="David" w:cs="David"/>
          <w:sz w:val="24"/>
          <w:szCs w:val="24"/>
          <w:rtl/>
        </w:rPr>
        <w:t xml:space="preserve"> לערוך לכלל החיים "רומנטיזציה" כלשונו, כלומר טרנספורמציה (</w:t>
      </w:r>
      <w:r w:rsidRPr="00A440C0">
        <w:rPr>
          <w:rFonts w:ascii="David" w:eastAsia="Calibri" w:hAnsi="David" w:cs="David"/>
          <w:sz w:val="24"/>
          <w:szCs w:val="24"/>
        </w:rPr>
        <w:t>Novalis, 1976: 123, 133, 226</w:t>
      </w:r>
      <w:r w:rsidRPr="00A440C0">
        <w:rPr>
          <w:rFonts w:ascii="David" w:eastAsia="Calibri" w:hAnsi="David" w:cs="David"/>
          <w:sz w:val="24"/>
          <w:szCs w:val="24"/>
          <w:rtl/>
        </w:rPr>
        <w:t>).</w:t>
      </w:r>
      <w:r>
        <w:rPr>
          <w:rFonts w:ascii="David" w:eastAsia="Calibri" w:hAnsi="David" w:cs="David" w:hint="cs"/>
          <w:sz w:val="24"/>
          <w:szCs w:val="24"/>
          <w:rtl/>
        </w:rPr>
        <w:t xml:space="preserve"> </w:t>
      </w:r>
      <w:r w:rsidRPr="00450D26">
        <w:rPr>
          <w:rFonts w:ascii="David" w:eastAsia="Calibri" w:hAnsi="David" w:cs="David"/>
          <w:sz w:val="24"/>
          <w:szCs w:val="24"/>
          <w:rtl/>
        </w:rPr>
        <w:t xml:space="preserve">פרק </w:t>
      </w:r>
      <w:r>
        <w:rPr>
          <w:rFonts w:ascii="David" w:eastAsia="Calibri" w:hAnsi="David" w:cs="David" w:hint="cs"/>
          <w:sz w:val="24"/>
          <w:szCs w:val="24"/>
          <w:rtl/>
        </w:rPr>
        <w:t>ג</w:t>
      </w:r>
      <w:r>
        <w:rPr>
          <w:rFonts w:ascii="David" w:eastAsia="Calibri" w:hAnsi="David" w:cs="David"/>
          <w:sz w:val="24"/>
          <w:szCs w:val="24"/>
          <w:rtl/>
        </w:rPr>
        <w:t xml:space="preserve"> </w:t>
      </w:r>
      <w:r w:rsidRPr="00A440C0">
        <w:rPr>
          <w:rFonts w:ascii="David" w:eastAsia="Calibri" w:hAnsi="David" w:cs="David"/>
          <w:sz w:val="24"/>
          <w:szCs w:val="24"/>
          <w:rtl/>
        </w:rPr>
        <w:t>ב</w:t>
      </w:r>
      <w:r>
        <w:rPr>
          <w:rFonts w:ascii="David" w:eastAsia="Calibri" w:hAnsi="David" w:cs="David" w:hint="cs"/>
          <w:sz w:val="24"/>
          <w:szCs w:val="24"/>
          <w:rtl/>
        </w:rPr>
        <w:t>ו</w:t>
      </w:r>
      <w:r w:rsidRPr="00A440C0">
        <w:rPr>
          <w:rFonts w:ascii="David" w:eastAsia="Calibri" w:hAnsi="David" w:cs="David"/>
          <w:sz w:val="24"/>
          <w:szCs w:val="24"/>
          <w:rtl/>
        </w:rPr>
        <w:t>חן את יחסו של שטיינר למגמות אלה ו</w:t>
      </w:r>
      <w:r>
        <w:rPr>
          <w:rFonts w:ascii="David" w:eastAsia="Calibri" w:hAnsi="David" w:cs="David" w:hint="cs"/>
          <w:sz w:val="24"/>
          <w:szCs w:val="24"/>
          <w:rtl/>
        </w:rPr>
        <w:t xml:space="preserve">חוקר </w:t>
      </w:r>
      <w:r w:rsidRPr="00A440C0">
        <w:rPr>
          <w:rFonts w:ascii="David" w:eastAsia="Calibri" w:hAnsi="David" w:cs="David"/>
          <w:sz w:val="24"/>
          <w:szCs w:val="24"/>
          <w:rtl/>
        </w:rPr>
        <w:t xml:space="preserve">כיצד הוא מפתח בהקשר להן את מושג הטרנספורמציה האסתטית. זו השתנתה על ציר הזמן בהתפתחות כתביו האסתטיים המרכזיים מטרנספורמציה חד-כיוונית לדו-כיוונית. מחיבורו המוקדם </w:t>
      </w:r>
      <w:r w:rsidRPr="00A440C0">
        <w:rPr>
          <w:rFonts w:ascii="David" w:eastAsia="Calibri" w:hAnsi="David" w:cs="David"/>
          <w:sz w:val="24"/>
          <w:szCs w:val="24"/>
          <w:u w:val="single"/>
          <w:rtl/>
        </w:rPr>
        <w:t>האסתטיקה של העתיד</w:t>
      </w:r>
      <w:r w:rsidRPr="00A440C0">
        <w:rPr>
          <w:rFonts w:ascii="David" w:eastAsia="Calibri" w:hAnsi="David" w:cs="David"/>
          <w:sz w:val="24"/>
          <w:szCs w:val="24"/>
          <w:rtl/>
        </w:rPr>
        <w:t xml:space="preserve"> ועד להרצאה שנתן בשנות חייו האחרונות, </w:t>
      </w:r>
      <w:r w:rsidRPr="00A440C0">
        <w:rPr>
          <w:rFonts w:ascii="David" w:eastAsia="Calibri" w:hAnsi="David" w:cs="David"/>
          <w:sz w:val="24"/>
          <w:szCs w:val="24"/>
          <w:u w:val="single"/>
          <w:rtl/>
        </w:rPr>
        <w:t>הפסיכולוגיה של האמנויות</w:t>
      </w:r>
      <w:r w:rsidRPr="00A440C0">
        <w:rPr>
          <w:rFonts w:ascii="David" w:eastAsia="Calibri" w:hAnsi="David" w:cs="David"/>
          <w:sz w:val="24"/>
          <w:szCs w:val="24"/>
          <w:rtl/>
        </w:rPr>
        <w:t>, התפתחה תפיסת הטרנספורמציה האסתטית שלו מהתבססות על גתה ושילר לעבר מקור השפעה נוסף: נובאליס. שטיינר ראה בתפיסות האסתטיות של גתה ושילר, על אף שונותן המהותית</w:t>
      </w:r>
      <w:r>
        <w:rPr>
          <w:rFonts w:ascii="David" w:eastAsia="Calibri" w:hAnsi="David" w:cs="David" w:hint="cs"/>
          <w:sz w:val="24"/>
          <w:szCs w:val="24"/>
          <w:rtl/>
        </w:rPr>
        <w:t xml:space="preserve">, </w:t>
      </w:r>
      <w:r w:rsidRPr="00A440C0">
        <w:rPr>
          <w:rFonts w:ascii="David" w:eastAsia="Calibri" w:hAnsi="David" w:cs="David"/>
          <w:sz w:val="24"/>
          <w:szCs w:val="24"/>
          <w:rtl/>
        </w:rPr>
        <w:t xml:space="preserve">נציגות אסתטיות של התנועה הראשונה ובתפיסת נובאליס נציגה אסתטית מהותית של התנועה השנייה. התפתחות זו תידון לפרטיה ותהליכיה ובסופה </w:t>
      </w:r>
      <w:r w:rsidRPr="00A440C0">
        <w:rPr>
          <w:rFonts w:ascii="David" w:eastAsia="Calibri" w:hAnsi="David" w:cs="David" w:hint="cs"/>
          <w:sz w:val="24"/>
          <w:szCs w:val="24"/>
          <w:rtl/>
        </w:rPr>
        <w:t>יסוכם</w:t>
      </w:r>
      <w:r w:rsidRPr="00A440C0">
        <w:rPr>
          <w:rFonts w:ascii="David" w:eastAsia="Calibri" w:hAnsi="David" w:cs="David"/>
          <w:sz w:val="24"/>
          <w:szCs w:val="24"/>
          <w:rtl/>
        </w:rPr>
        <w:t xml:space="preserve"> מתווה הדינאמיקה האסתטית של שטיינר ו</w:t>
      </w:r>
      <w:r w:rsidRPr="00A440C0">
        <w:rPr>
          <w:rFonts w:ascii="David" w:eastAsia="Calibri" w:hAnsi="David" w:cs="David" w:hint="cs"/>
          <w:sz w:val="24"/>
          <w:szCs w:val="24"/>
          <w:rtl/>
        </w:rPr>
        <w:t>תוצג</w:t>
      </w:r>
      <w:r w:rsidRPr="00A440C0">
        <w:rPr>
          <w:rFonts w:ascii="David" w:eastAsia="Calibri" w:hAnsi="David" w:cs="David"/>
          <w:sz w:val="24"/>
          <w:szCs w:val="24"/>
          <w:rtl/>
        </w:rPr>
        <w:t xml:space="preserve"> התפתחותו לעבר</w:t>
      </w:r>
      <w:r>
        <w:rPr>
          <w:rFonts w:ascii="David" w:eastAsia="Calibri" w:hAnsi="David" w:cs="David" w:hint="cs"/>
          <w:sz w:val="24"/>
          <w:szCs w:val="24"/>
          <w:rtl/>
        </w:rPr>
        <w:t xml:space="preserve"> מה שאכנה</w:t>
      </w:r>
      <w:r w:rsidRPr="00A440C0">
        <w:rPr>
          <w:rFonts w:ascii="David" w:eastAsia="Calibri" w:hAnsi="David" w:cs="David"/>
          <w:sz w:val="24"/>
          <w:szCs w:val="24"/>
          <w:rtl/>
        </w:rPr>
        <w:t xml:space="preserve"> "מוניזם של טרנספורמציה דו-כיוונית".</w:t>
      </w:r>
      <w:r>
        <w:rPr>
          <w:rFonts w:ascii="David" w:eastAsia="Calibri" w:hAnsi="David" w:cs="David" w:hint="cs"/>
          <w:sz w:val="24"/>
          <w:szCs w:val="24"/>
          <w:rtl/>
        </w:rPr>
        <w:t xml:space="preserve"> </w:t>
      </w:r>
      <w:r w:rsidRPr="00A440C0">
        <w:rPr>
          <w:rFonts w:ascii="David" w:eastAsia="Calibri" w:hAnsi="David" w:cs="David"/>
          <w:sz w:val="24"/>
          <w:szCs w:val="24"/>
          <w:rtl/>
        </w:rPr>
        <w:t xml:space="preserve">דיון הכרתי-אסתטי זה </w:t>
      </w:r>
      <w:r>
        <w:rPr>
          <w:rFonts w:ascii="David" w:eastAsia="Calibri" w:hAnsi="David" w:cs="David" w:hint="cs"/>
          <w:sz w:val="24"/>
          <w:szCs w:val="24"/>
          <w:rtl/>
        </w:rPr>
        <w:t>מ</w:t>
      </w:r>
      <w:r w:rsidRPr="00A440C0">
        <w:rPr>
          <w:rFonts w:ascii="David" w:eastAsia="Calibri" w:hAnsi="David" w:cs="David"/>
          <w:sz w:val="24"/>
          <w:szCs w:val="24"/>
          <w:rtl/>
        </w:rPr>
        <w:t xml:space="preserve">הווה בסיס לדיון </w:t>
      </w:r>
      <w:r w:rsidRPr="00450D26">
        <w:rPr>
          <w:rFonts w:ascii="David" w:eastAsia="Calibri" w:hAnsi="David" w:cs="David"/>
          <w:sz w:val="24"/>
          <w:szCs w:val="24"/>
          <w:rtl/>
        </w:rPr>
        <w:t>בפרקים ד ו-ה</w:t>
      </w:r>
      <w:r w:rsidRPr="00A440C0">
        <w:rPr>
          <w:rFonts w:ascii="David" w:eastAsia="Calibri" w:hAnsi="David" w:cs="David"/>
          <w:sz w:val="24"/>
          <w:szCs w:val="24"/>
          <w:rtl/>
        </w:rPr>
        <w:t xml:space="preserve"> במישור הדרמטי.</w:t>
      </w:r>
      <w:r w:rsidRPr="00A440C0">
        <w:rPr>
          <w:rFonts w:ascii="Calibri" w:eastAsia="Calibri" w:hAnsi="Calibri" w:cs="David"/>
          <w:color w:val="000000" w:themeColor="text1"/>
          <w:sz w:val="24"/>
          <w:szCs w:val="24"/>
          <w:rtl/>
        </w:rPr>
        <w:t xml:space="preserve"> </w:t>
      </w:r>
      <w:r w:rsidRPr="00A440C0">
        <w:rPr>
          <w:rFonts w:ascii="David" w:eastAsia="Calibri" w:hAnsi="David" w:cs="David"/>
          <w:sz w:val="24"/>
          <w:szCs w:val="24"/>
          <w:rtl/>
        </w:rPr>
        <w:t>מחזות</w:t>
      </w:r>
      <w:r>
        <w:rPr>
          <w:rFonts w:ascii="David" w:eastAsia="Calibri" w:hAnsi="David" w:cs="David" w:hint="cs"/>
          <w:sz w:val="24"/>
          <w:szCs w:val="24"/>
          <w:rtl/>
        </w:rPr>
        <w:t>-המסתורין מאת שטיינר</w:t>
      </w:r>
      <w:r w:rsidRPr="00A440C0">
        <w:rPr>
          <w:rFonts w:ascii="David" w:eastAsia="Calibri" w:hAnsi="David" w:cs="David"/>
          <w:sz w:val="24"/>
          <w:szCs w:val="24"/>
          <w:rtl/>
        </w:rPr>
        <w:t xml:space="preserve"> עשירים בתהליכים טרנספורמטיביים: אם בדמויות השונות, ביחסיהן ובהתפתחות החלה בהן, אם במישור העלילתי ואם בשינויים ומפנים בתודעה, בהקשרה למרחב ולזמן ולהיפרדות מודעת מן המרחב והזמן </w:t>
      </w:r>
      <w:r w:rsidRPr="00A440C0">
        <w:rPr>
          <w:rFonts w:ascii="David" w:eastAsia="Calibri" w:hAnsi="David" w:cs="David"/>
          <w:sz w:val="24"/>
          <w:szCs w:val="24"/>
          <w:rtl/>
        </w:rPr>
        <w:lastRenderedPageBreak/>
        <w:t>ואחר שיבה מודעת מן ההתנסויות הרוחניות למרחב, לזמן ולמצב הארצי.</w:t>
      </w:r>
      <w:r>
        <w:rPr>
          <w:rFonts w:ascii="David" w:eastAsia="Calibri" w:hAnsi="David" w:cs="David" w:hint="cs"/>
          <w:sz w:val="24"/>
          <w:szCs w:val="24"/>
          <w:rtl/>
        </w:rPr>
        <w:t xml:space="preserve"> </w:t>
      </w:r>
      <w:r w:rsidRPr="00450D26">
        <w:rPr>
          <w:rFonts w:ascii="David" w:eastAsia="Calibri" w:hAnsi="David" w:cs="David"/>
          <w:sz w:val="24"/>
          <w:szCs w:val="24"/>
          <w:rtl/>
        </w:rPr>
        <w:t>פרק ד</w:t>
      </w:r>
      <w:r>
        <w:rPr>
          <w:rFonts w:ascii="David" w:eastAsia="Calibri" w:hAnsi="David" w:cs="David"/>
          <w:sz w:val="24"/>
          <w:szCs w:val="24"/>
          <w:rtl/>
        </w:rPr>
        <w:t xml:space="preserve"> </w:t>
      </w:r>
      <w:r w:rsidRPr="00A440C0">
        <w:rPr>
          <w:rFonts w:ascii="David" w:eastAsia="Calibri" w:hAnsi="David" w:cs="David"/>
          <w:sz w:val="24"/>
          <w:szCs w:val="24"/>
          <w:rtl/>
        </w:rPr>
        <w:t>ע</w:t>
      </w:r>
      <w:r>
        <w:rPr>
          <w:rFonts w:ascii="David" w:eastAsia="Calibri" w:hAnsi="David" w:cs="David" w:hint="cs"/>
          <w:sz w:val="24"/>
          <w:szCs w:val="24"/>
          <w:rtl/>
        </w:rPr>
        <w:t>ו</w:t>
      </w:r>
      <w:r>
        <w:rPr>
          <w:rFonts w:ascii="David" w:eastAsia="Calibri" w:hAnsi="David" w:cs="David"/>
          <w:sz w:val="24"/>
          <w:szCs w:val="24"/>
          <w:rtl/>
        </w:rPr>
        <w:t>ס</w:t>
      </w:r>
      <w:r w:rsidRPr="00A440C0">
        <w:rPr>
          <w:rFonts w:ascii="David" w:eastAsia="Calibri" w:hAnsi="David" w:cs="David"/>
          <w:sz w:val="24"/>
          <w:szCs w:val="24"/>
          <w:rtl/>
        </w:rPr>
        <w:t xml:space="preserve">ק בייחודם של ארבעת מחזות-המסתורין מבחינת מיקומם בהתפתחות </w:t>
      </w:r>
      <w:r>
        <w:rPr>
          <w:rFonts w:ascii="David" w:eastAsia="Calibri" w:hAnsi="David" w:cs="David" w:hint="cs"/>
          <w:sz w:val="24"/>
          <w:szCs w:val="24"/>
          <w:rtl/>
        </w:rPr>
        <w:t>ההיסטורית של</w:t>
      </w:r>
      <w:r w:rsidRPr="00A440C0">
        <w:rPr>
          <w:rFonts w:ascii="David" w:eastAsia="Calibri" w:hAnsi="David" w:cs="David"/>
          <w:sz w:val="24"/>
          <w:szCs w:val="24"/>
          <w:rtl/>
        </w:rPr>
        <w:t xml:space="preserve"> מחזות-המסתורין, </w:t>
      </w:r>
      <w:r>
        <w:rPr>
          <w:rFonts w:ascii="David" w:eastAsia="Calibri" w:hAnsi="David" w:cs="David" w:hint="cs"/>
          <w:sz w:val="24"/>
          <w:szCs w:val="24"/>
          <w:rtl/>
        </w:rPr>
        <w:t>בסוגה ובסגנון שלהם</w:t>
      </w:r>
      <w:r w:rsidRPr="00A440C0">
        <w:rPr>
          <w:rFonts w:ascii="David" w:eastAsia="Calibri" w:hAnsi="David" w:cs="David"/>
          <w:sz w:val="24"/>
          <w:szCs w:val="24"/>
          <w:rtl/>
        </w:rPr>
        <w:t xml:space="preserve">, </w:t>
      </w:r>
      <w:r>
        <w:rPr>
          <w:rFonts w:ascii="David" w:eastAsia="Calibri" w:hAnsi="David" w:cs="David" w:hint="cs"/>
          <w:sz w:val="24"/>
          <w:szCs w:val="24"/>
          <w:rtl/>
        </w:rPr>
        <w:t>ב</w:t>
      </w:r>
      <w:r w:rsidRPr="00A440C0">
        <w:rPr>
          <w:rFonts w:ascii="David" w:eastAsia="Calibri" w:hAnsi="David" w:cs="David"/>
          <w:sz w:val="24"/>
          <w:szCs w:val="24"/>
          <w:rtl/>
        </w:rPr>
        <w:t xml:space="preserve">שפתם ועוד, וכן </w:t>
      </w:r>
      <w:r>
        <w:rPr>
          <w:rFonts w:ascii="David" w:eastAsia="Calibri" w:hAnsi="David" w:cs="David" w:hint="cs"/>
          <w:sz w:val="24"/>
          <w:szCs w:val="24"/>
          <w:rtl/>
        </w:rPr>
        <w:t>מ</w:t>
      </w:r>
      <w:r w:rsidRPr="00A440C0">
        <w:rPr>
          <w:rFonts w:ascii="David" w:eastAsia="Calibri" w:hAnsi="David" w:cs="David"/>
          <w:sz w:val="24"/>
          <w:szCs w:val="24"/>
          <w:rtl/>
        </w:rPr>
        <w:t>תווה את אופי התנועה הטרנספורמטיבית הייחודית להם. תנועה זו תאופיין בפירוט ותכונה: "תנועת-הלולאה הטרנספורמטיבית".</w:t>
      </w:r>
      <w:r>
        <w:rPr>
          <w:rFonts w:ascii="David" w:eastAsia="Calibri" w:hAnsi="David" w:cs="David" w:hint="cs"/>
          <w:sz w:val="24"/>
          <w:szCs w:val="24"/>
          <w:rtl/>
        </w:rPr>
        <w:t xml:space="preserve"> </w:t>
      </w:r>
      <w:r w:rsidRPr="00450D26">
        <w:rPr>
          <w:rFonts w:ascii="David" w:eastAsia="Calibri" w:hAnsi="David" w:cs="David"/>
          <w:sz w:val="24"/>
          <w:szCs w:val="24"/>
          <w:rtl/>
        </w:rPr>
        <w:t>פרק ה</w:t>
      </w:r>
      <w:r w:rsidRPr="00A440C0">
        <w:rPr>
          <w:rFonts w:ascii="David" w:eastAsia="Calibri" w:hAnsi="David" w:cs="David"/>
          <w:sz w:val="24"/>
          <w:szCs w:val="24"/>
          <w:rtl/>
        </w:rPr>
        <w:t xml:space="preserve"> </w:t>
      </w:r>
      <w:r>
        <w:rPr>
          <w:rFonts w:ascii="David" w:eastAsia="Calibri" w:hAnsi="David" w:cs="David" w:hint="cs"/>
          <w:sz w:val="24"/>
          <w:szCs w:val="24"/>
          <w:rtl/>
        </w:rPr>
        <w:t>מ</w:t>
      </w:r>
      <w:r w:rsidRPr="00A440C0">
        <w:rPr>
          <w:rFonts w:ascii="David" w:eastAsia="Calibri" w:hAnsi="David" w:cs="David"/>
          <w:sz w:val="24"/>
          <w:szCs w:val="24"/>
          <w:rtl/>
        </w:rPr>
        <w:t>ת</w:t>
      </w:r>
      <w:r w:rsidRPr="00A440C0">
        <w:rPr>
          <w:rFonts w:ascii="David" w:eastAsia="Calibri" w:hAnsi="David" w:cs="David" w:hint="cs"/>
          <w:sz w:val="24"/>
          <w:szCs w:val="24"/>
          <w:rtl/>
        </w:rPr>
        <w:t>מקד</w:t>
      </w:r>
      <w:r w:rsidRPr="00A440C0">
        <w:rPr>
          <w:rFonts w:ascii="David" w:eastAsia="Calibri" w:hAnsi="David" w:cs="David"/>
          <w:sz w:val="24"/>
          <w:szCs w:val="24"/>
          <w:rtl/>
        </w:rPr>
        <w:t xml:space="preserve"> במחזהו הראשון של שטיינר </w:t>
      </w:r>
      <w:r w:rsidRPr="00A440C0">
        <w:rPr>
          <w:rFonts w:ascii="David" w:eastAsia="Calibri" w:hAnsi="David" w:cs="David"/>
          <w:sz w:val="24"/>
          <w:szCs w:val="24"/>
          <w:u w:val="single"/>
          <w:rtl/>
        </w:rPr>
        <w:t>שער ההתקדשות</w:t>
      </w:r>
      <w:r w:rsidRPr="00822258">
        <w:rPr>
          <w:rFonts w:ascii="David" w:eastAsia="Calibri" w:hAnsi="David" w:cs="David" w:hint="cs"/>
          <w:sz w:val="24"/>
          <w:szCs w:val="24"/>
          <w:rtl/>
        </w:rPr>
        <w:t xml:space="preserve"> ודן ב</w:t>
      </w:r>
      <w:r w:rsidRPr="00A440C0">
        <w:rPr>
          <w:rFonts w:ascii="David" w:eastAsia="Calibri" w:hAnsi="David" w:cs="David"/>
          <w:sz w:val="24"/>
          <w:szCs w:val="24"/>
          <w:rtl/>
        </w:rPr>
        <w:t xml:space="preserve">דרך החניכה של יוהנס, </w:t>
      </w:r>
      <w:r>
        <w:rPr>
          <w:rFonts w:ascii="David" w:eastAsia="Calibri" w:hAnsi="David" w:cs="David" w:hint="cs"/>
          <w:sz w:val="24"/>
          <w:szCs w:val="24"/>
          <w:rtl/>
        </w:rPr>
        <w:t>ב</w:t>
      </w:r>
      <w:r w:rsidRPr="00A440C0">
        <w:rPr>
          <w:rFonts w:ascii="David" w:eastAsia="Calibri" w:hAnsi="David" w:cs="David"/>
          <w:sz w:val="24"/>
          <w:szCs w:val="24"/>
          <w:rtl/>
        </w:rPr>
        <w:t>טרנספורמציה</w:t>
      </w:r>
      <w:r w:rsidRPr="00A440C0">
        <w:rPr>
          <w:rFonts w:ascii="David" w:eastAsia="Calibri" w:hAnsi="David" w:cs="David" w:hint="cs"/>
          <w:sz w:val="24"/>
          <w:szCs w:val="24"/>
          <w:rtl/>
        </w:rPr>
        <w:t xml:space="preserve">, </w:t>
      </w:r>
      <w:r>
        <w:rPr>
          <w:rFonts w:ascii="David" w:eastAsia="Calibri" w:hAnsi="David" w:cs="David" w:hint="cs"/>
          <w:sz w:val="24"/>
          <w:szCs w:val="24"/>
          <w:rtl/>
        </w:rPr>
        <w:t>ב</w:t>
      </w:r>
      <w:r w:rsidRPr="00A440C0">
        <w:rPr>
          <w:rFonts w:ascii="David" w:eastAsia="Calibri" w:hAnsi="David" w:cs="David" w:hint="cs"/>
          <w:sz w:val="24"/>
          <w:szCs w:val="24"/>
          <w:rtl/>
        </w:rPr>
        <w:t>מטמורפוזה ו</w:t>
      </w:r>
      <w:r>
        <w:rPr>
          <w:rFonts w:ascii="David" w:eastAsia="Calibri" w:hAnsi="David" w:cs="David" w:hint="cs"/>
          <w:sz w:val="24"/>
          <w:szCs w:val="24"/>
          <w:rtl/>
        </w:rPr>
        <w:t>ב</w:t>
      </w:r>
      <w:r w:rsidRPr="00A440C0">
        <w:rPr>
          <w:rFonts w:ascii="David" w:eastAsia="Calibri" w:hAnsi="David" w:cs="David" w:hint="cs"/>
          <w:sz w:val="24"/>
          <w:szCs w:val="24"/>
          <w:rtl/>
        </w:rPr>
        <w:t>התמרה</w:t>
      </w:r>
      <w:r w:rsidRPr="00A440C0">
        <w:rPr>
          <w:rFonts w:ascii="David" w:eastAsia="Calibri" w:hAnsi="David" w:cs="David"/>
          <w:sz w:val="24"/>
          <w:szCs w:val="24"/>
          <w:rtl/>
        </w:rPr>
        <w:t xml:space="preserve"> שהוא עובר ו</w:t>
      </w:r>
      <w:r>
        <w:rPr>
          <w:rFonts w:ascii="David" w:eastAsia="Calibri" w:hAnsi="David" w:cs="David" w:hint="cs"/>
          <w:sz w:val="24"/>
          <w:szCs w:val="24"/>
          <w:rtl/>
        </w:rPr>
        <w:t>ב</w:t>
      </w:r>
      <w:r w:rsidRPr="00A440C0">
        <w:rPr>
          <w:rFonts w:ascii="David" w:eastAsia="Calibri" w:hAnsi="David" w:cs="David"/>
          <w:sz w:val="24"/>
          <w:szCs w:val="24"/>
          <w:rtl/>
        </w:rPr>
        <w:t>אספקט ה</w:t>
      </w:r>
      <w:r>
        <w:rPr>
          <w:rFonts w:ascii="David" w:eastAsia="Calibri" w:hAnsi="David" w:cs="David"/>
          <w:sz w:val="24"/>
          <w:szCs w:val="24"/>
          <w:rtl/>
        </w:rPr>
        <w:t xml:space="preserve">נפשי-רוחני של שינוי זה. לשם כך </w:t>
      </w:r>
      <w:r>
        <w:rPr>
          <w:rFonts w:ascii="David" w:eastAsia="Calibri" w:hAnsi="David" w:cs="David" w:hint="cs"/>
          <w:sz w:val="24"/>
          <w:szCs w:val="24"/>
          <w:rtl/>
        </w:rPr>
        <w:t>מ</w:t>
      </w:r>
      <w:r>
        <w:rPr>
          <w:rFonts w:ascii="David" w:eastAsia="Calibri" w:hAnsi="David" w:cs="David"/>
          <w:sz w:val="24"/>
          <w:szCs w:val="24"/>
          <w:rtl/>
        </w:rPr>
        <w:t>ושוו</w:t>
      </w:r>
      <w:r>
        <w:rPr>
          <w:rFonts w:ascii="David" w:eastAsia="Calibri" w:hAnsi="David" w:cs="David" w:hint="cs"/>
          <w:sz w:val="24"/>
          <w:szCs w:val="24"/>
          <w:rtl/>
        </w:rPr>
        <w:t>ית</w:t>
      </w:r>
      <w:r w:rsidRPr="00A440C0">
        <w:rPr>
          <w:rFonts w:ascii="David" w:eastAsia="Calibri" w:hAnsi="David" w:cs="David"/>
          <w:sz w:val="24"/>
          <w:szCs w:val="24"/>
          <w:rtl/>
        </w:rPr>
        <w:t xml:space="preserve"> נקודת ההתחלה לנקודת הסיום שלו במחזה הראשון, תוך התייחסות לכמה מוקדים במהלך הדרך. כמו כן </w:t>
      </w:r>
      <w:r>
        <w:rPr>
          <w:rFonts w:ascii="David" w:eastAsia="Calibri" w:hAnsi="David" w:cs="David" w:hint="cs"/>
          <w:sz w:val="24"/>
          <w:szCs w:val="24"/>
          <w:rtl/>
        </w:rPr>
        <w:t>נ</w:t>
      </w:r>
      <w:r w:rsidRPr="00A440C0">
        <w:rPr>
          <w:rFonts w:ascii="David" w:eastAsia="Calibri" w:hAnsi="David" w:cs="David"/>
          <w:sz w:val="24"/>
          <w:szCs w:val="24"/>
          <w:rtl/>
        </w:rPr>
        <w:t>ידונו</w:t>
      </w:r>
      <w:r>
        <w:rPr>
          <w:rFonts w:ascii="David" w:eastAsia="Calibri" w:hAnsi="David" w:cs="David" w:hint="cs"/>
          <w:sz w:val="24"/>
          <w:szCs w:val="24"/>
          <w:rtl/>
        </w:rPr>
        <w:t>ת</w:t>
      </w:r>
      <w:r w:rsidRPr="00A440C0">
        <w:rPr>
          <w:rFonts w:ascii="David" w:eastAsia="Calibri" w:hAnsi="David" w:cs="David"/>
          <w:sz w:val="24"/>
          <w:szCs w:val="24"/>
          <w:rtl/>
        </w:rPr>
        <w:t xml:space="preserve"> הטרנספורמציה</w:t>
      </w:r>
      <w:r w:rsidRPr="00A440C0">
        <w:rPr>
          <w:rFonts w:ascii="David" w:eastAsia="Calibri" w:hAnsi="David" w:cs="David" w:hint="cs"/>
          <w:sz w:val="24"/>
          <w:szCs w:val="24"/>
          <w:rtl/>
        </w:rPr>
        <w:t>, המטמורפוזה וההתמרה</w:t>
      </w:r>
      <w:r w:rsidRPr="00A440C0">
        <w:rPr>
          <w:rFonts w:ascii="David" w:eastAsia="Calibri" w:hAnsi="David" w:cs="David"/>
          <w:sz w:val="24"/>
          <w:szCs w:val="24"/>
          <w:rtl/>
        </w:rPr>
        <w:t xml:space="preserve"> שעוברות דמויות </w:t>
      </w:r>
      <w:r w:rsidR="00464342">
        <w:rPr>
          <w:rFonts w:ascii="David" w:eastAsia="Calibri" w:hAnsi="David" w:cs="David" w:hint="cs"/>
          <w:sz w:val="24"/>
          <w:szCs w:val="24"/>
          <w:rtl/>
        </w:rPr>
        <w:t>נוספות</w:t>
      </w:r>
      <w:r w:rsidRPr="00A440C0">
        <w:rPr>
          <w:rFonts w:ascii="David" w:eastAsia="Calibri" w:hAnsi="David" w:cs="David"/>
          <w:sz w:val="24"/>
          <w:szCs w:val="24"/>
          <w:rtl/>
        </w:rPr>
        <w:t xml:space="preserve">, הקשר בין </w:t>
      </w:r>
      <w:r>
        <w:rPr>
          <w:rFonts w:ascii="David" w:eastAsia="Calibri" w:hAnsi="David" w:cs="David"/>
          <w:sz w:val="24"/>
          <w:szCs w:val="24"/>
          <w:rtl/>
        </w:rPr>
        <w:t xml:space="preserve">יחיד, יחסים בין דמויות וקהילה, </w:t>
      </w:r>
      <w:r w:rsidRPr="00A440C0">
        <w:rPr>
          <w:rFonts w:ascii="David" w:eastAsia="Calibri" w:hAnsi="David" w:cs="David"/>
          <w:sz w:val="24"/>
          <w:szCs w:val="24"/>
          <w:rtl/>
        </w:rPr>
        <w:t>השתנות של מרחב וזמן, התנועה הדו-כיוונית על היפוכיה במחזה, איכויות גבריות</w:t>
      </w:r>
      <w:r w:rsidR="00464342">
        <w:rPr>
          <w:rFonts w:ascii="David" w:eastAsia="Calibri" w:hAnsi="David" w:cs="David" w:hint="cs"/>
          <w:sz w:val="24"/>
          <w:szCs w:val="24"/>
          <w:rtl/>
        </w:rPr>
        <w:t xml:space="preserve"> ו</w:t>
      </w:r>
      <w:bookmarkStart w:id="0" w:name="_GoBack"/>
      <w:bookmarkEnd w:id="0"/>
      <w:r w:rsidRPr="00A440C0">
        <w:rPr>
          <w:rFonts w:ascii="David" w:eastAsia="Calibri" w:hAnsi="David" w:cs="David"/>
          <w:sz w:val="24"/>
          <w:szCs w:val="24"/>
          <w:rtl/>
        </w:rPr>
        <w:t>נשיות במסע האני, ו</w:t>
      </w:r>
      <w:r>
        <w:rPr>
          <w:rFonts w:ascii="David" w:eastAsia="Calibri" w:hAnsi="David" w:cs="David" w:hint="cs"/>
          <w:sz w:val="24"/>
          <w:szCs w:val="24"/>
          <w:rtl/>
        </w:rPr>
        <w:t>נושא</w:t>
      </w:r>
      <w:r w:rsidRPr="00A440C0">
        <w:rPr>
          <w:rFonts w:ascii="David" w:eastAsia="Calibri" w:hAnsi="David" w:cs="David"/>
          <w:sz w:val="24"/>
          <w:szCs w:val="24"/>
          <w:rtl/>
        </w:rPr>
        <w:t xml:space="preserve"> הגורל כפי שמוצג במחזה.</w:t>
      </w:r>
      <w:r>
        <w:rPr>
          <w:rFonts w:ascii="David" w:eastAsia="Calibri" w:hAnsi="David" w:cs="David" w:hint="cs"/>
          <w:sz w:val="24"/>
          <w:szCs w:val="24"/>
          <w:rtl/>
        </w:rPr>
        <w:t xml:space="preserve"> </w:t>
      </w:r>
      <w:r>
        <w:rPr>
          <w:rFonts w:ascii="David" w:eastAsia="Calibri" w:hAnsi="David" w:cs="David"/>
          <w:sz w:val="24"/>
          <w:szCs w:val="24"/>
          <w:rtl/>
        </w:rPr>
        <w:t xml:space="preserve">פרקים ד ו-ה </w:t>
      </w:r>
      <w:r w:rsidRPr="00A440C0">
        <w:rPr>
          <w:rFonts w:ascii="David" w:eastAsia="Calibri" w:hAnsi="David" w:cs="David"/>
          <w:sz w:val="24"/>
          <w:szCs w:val="24"/>
          <w:rtl/>
        </w:rPr>
        <w:t>ב</w:t>
      </w:r>
      <w:r>
        <w:rPr>
          <w:rFonts w:ascii="David" w:eastAsia="Calibri" w:hAnsi="David" w:cs="David" w:hint="cs"/>
          <w:sz w:val="24"/>
          <w:szCs w:val="24"/>
          <w:rtl/>
        </w:rPr>
        <w:t>ו</w:t>
      </w:r>
      <w:r>
        <w:rPr>
          <w:rFonts w:ascii="David" w:eastAsia="Calibri" w:hAnsi="David" w:cs="David"/>
          <w:sz w:val="24"/>
          <w:szCs w:val="24"/>
          <w:rtl/>
        </w:rPr>
        <w:t>חנ</w:t>
      </w:r>
      <w:r>
        <w:rPr>
          <w:rFonts w:ascii="David" w:eastAsia="Calibri" w:hAnsi="David" w:cs="David" w:hint="cs"/>
          <w:sz w:val="24"/>
          <w:szCs w:val="24"/>
          <w:rtl/>
        </w:rPr>
        <w:t>ים</w:t>
      </w:r>
      <w:r w:rsidRPr="00A440C0">
        <w:rPr>
          <w:rFonts w:ascii="David" w:eastAsia="Calibri" w:hAnsi="David" w:cs="David"/>
          <w:sz w:val="24"/>
          <w:szCs w:val="24"/>
          <w:rtl/>
        </w:rPr>
        <w:t>, האם ניתן לראות ביצירתו הדרמטית של שטיינר חידוש לגבי התפיסה על ה</w:t>
      </w:r>
      <w:r>
        <w:rPr>
          <w:rFonts w:ascii="David" w:eastAsia="Calibri" w:hAnsi="David" w:cs="David" w:hint="cs"/>
          <w:sz w:val="24"/>
          <w:szCs w:val="24"/>
          <w:rtl/>
        </w:rPr>
        <w:t>'</w:t>
      </w:r>
      <w:r w:rsidRPr="00A440C0">
        <w:rPr>
          <w:rFonts w:ascii="David" w:eastAsia="Calibri" w:hAnsi="David" w:cs="David"/>
          <w:sz w:val="24"/>
          <w:szCs w:val="24"/>
          <w:rtl/>
        </w:rPr>
        <w:t>מה</w:t>
      </w:r>
      <w:r>
        <w:rPr>
          <w:rFonts w:ascii="David" w:eastAsia="Calibri" w:hAnsi="David" w:cs="David" w:hint="cs"/>
          <w:sz w:val="24"/>
          <w:szCs w:val="24"/>
          <w:rtl/>
        </w:rPr>
        <w:t>'</w:t>
      </w:r>
      <w:r w:rsidRPr="00A440C0">
        <w:rPr>
          <w:rFonts w:ascii="David" w:eastAsia="Calibri" w:hAnsi="David" w:cs="David"/>
          <w:sz w:val="24"/>
          <w:szCs w:val="24"/>
          <w:rtl/>
        </w:rPr>
        <w:t xml:space="preserve"> ו</w:t>
      </w:r>
      <w:r>
        <w:rPr>
          <w:rFonts w:ascii="David" w:eastAsia="Calibri" w:hAnsi="David" w:cs="David" w:hint="cs"/>
          <w:sz w:val="24"/>
          <w:szCs w:val="24"/>
          <w:rtl/>
        </w:rPr>
        <w:t>'</w:t>
      </w:r>
      <w:r w:rsidRPr="00A440C0">
        <w:rPr>
          <w:rFonts w:ascii="David" w:eastAsia="Calibri" w:hAnsi="David" w:cs="David"/>
          <w:sz w:val="24"/>
          <w:szCs w:val="24"/>
          <w:rtl/>
        </w:rPr>
        <w:t>איך</w:t>
      </w:r>
      <w:r>
        <w:rPr>
          <w:rFonts w:ascii="David" w:eastAsia="Calibri" w:hAnsi="David" w:cs="David" w:hint="cs"/>
          <w:sz w:val="24"/>
          <w:szCs w:val="24"/>
          <w:rtl/>
        </w:rPr>
        <w:t>'</w:t>
      </w:r>
      <w:r w:rsidRPr="00A440C0">
        <w:rPr>
          <w:rFonts w:ascii="David" w:eastAsia="Calibri" w:hAnsi="David" w:cs="David"/>
          <w:sz w:val="24"/>
          <w:szCs w:val="24"/>
          <w:rtl/>
        </w:rPr>
        <w:t>, שהדרמה ואמנות-הבמה יכולות לבטא, להציג ולהביע? וזאת הן מבחינת הטרנספורמציה של מצבי-תודעה שונים משני עברי-הסף המוצגים על הבמה (עולם ארצי, עולם נפשי, עולם רוחני וסוגי התודעה הקשורים בהם), הן מבחינת דמויות ארציות, דמויות נפש ודמויות רוחניות, הן מבחינת היחס למוות ולידה-מחדש בתוך החיים בהתפתחות הדמויות והן מבחינת האור שנופל על נושאים כמו גורל וחניכה, שמתגלים באופנים חדשים.</w:t>
      </w:r>
    </w:p>
    <w:p w:rsidR="00B35366" w:rsidRPr="00BE2CB1" w:rsidRDefault="00B35366" w:rsidP="00B35366">
      <w:pPr>
        <w:bidi/>
        <w:spacing w:after="120" w:line="360" w:lineRule="auto"/>
        <w:jc w:val="both"/>
        <w:rPr>
          <w:rFonts w:ascii="David" w:eastAsia="Calibri" w:hAnsi="David" w:cs="David"/>
          <w:sz w:val="24"/>
          <w:szCs w:val="24"/>
          <w:rtl/>
        </w:rPr>
      </w:pPr>
    </w:p>
    <w:p w:rsidR="009A70E8" w:rsidRDefault="009A70E8"/>
    <w:sectPr w:rsidR="009A70E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66"/>
    <w:rsid w:val="00464342"/>
    <w:rsid w:val="009A70E8"/>
    <w:rsid w:val="00B35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2271-D756-4020-88AB-11D455E0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2020-10-30T15:14:00Z</dcterms:created>
  <dcterms:modified xsi:type="dcterms:W3CDTF">2020-10-30T15:20:00Z</dcterms:modified>
</cp:coreProperties>
</file>