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12" w:rsidRDefault="001B0912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Bina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Nir</w:t>
      </w:r>
      <w:proofErr w:type="spellEnd"/>
    </w:p>
    <w:p w:rsidR="009B74D7" w:rsidRDefault="009B74D7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912" w:rsidRDefault="001B0912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Department of Communication</w:t>
      </w:r>
    </w:p>
    <w:p w:rsidR="001B0912" w:rsidRDefault="001B0912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Director, Honors B.A Program</w:t>
      </w:r>
    </w:p>
    <w:p w:rsidR="009B74D7" w:rsidRDefault="001B0912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Academic College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Yezrael</w:t>
      </w:r>
      <w:proofErr w:type="spellEnd"/>
      <w:r w:rsidR="009B74D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B74D7" w:rsidRPr="009B7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Israel </w:t>
      </w:r>
    </w:p>
    <w:p w:rsidR="009B74D7" w:rsidRDefault="009B74D7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9B74D7" w:rsidRPr="009B74D7" w:rsidRDefault="009B74D7" w:rsidP="009B74D7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Pr="009B7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binan@yvc.ac.il                                             </w:t>
      </w:r>
    </w:p>
    <w:p w:rsidR="001B0912" w:rsidRPr="009B74D7" w:rsidRDefault="001B0912" w:rsidP="00C66D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D91" w:rsidRDefault="00B83D91" w:rsidP="00C66D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83D9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הצלחה ואושר</w:t>
      </w:r>
    </w:p>
    <w:p w:rsidR="001B0912" w:rsidRPr="00B83D91" w:rsidRDefault="001B0912" w:rsidP="00C66D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תקציר</w:t>
      </w:r>
    </w:p>
    <w:p w:rsidR="00BD48E6" w:rsidRPr="00BD48E6" w:rsidRDefault="003A35E3" w:rsidP="00703AA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ה</w:t>
      </w:r>
      <w:r w:rsidR="00BD48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מרוץ אחר הצלחה </w:t>
      </w:r>
      <w:r w:rsidR="00703AAA" w:rsidRPr="00703AA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בתרבות המערב </w:t>
      </w:r>
      <w:r w:rsidR="00BD48E6">
        <w:rPr>
          <w:rFonts w:ascii="Times New Roman" w:eastAsia="Times New Roman" w:hAnsi="Times New Roman" w:cs="Times New Roman" w:hint="cs"/>
          <w:sz w:val="24"/>
          <w:szCs w:val="24"/>
          <w:rtl/>
        </w:rPr>
        <w:t>נתפס פעמים רבות כמרדף</w:t>
      </w:r>
      <w:r w:rsidR="00BD48E6" w:rsidRPr="00BD48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אחר האושר. </w:t>
      </w:r>
      <w:r w:rsidR="00BD48E6">
        <w:rPr>
          <w:rFonts w:ascii="Times New Roman" w:eastAsia="Times New Roman" w:hAnsi="Times New Roman" w:cs="Times New Roman" w:hint="cs"/>
          <w:sz w:val="24"/>
          <w:szCs w:val="24"/>
          <w:rtl/>
        </w:rPr>
        <w:t>משהושגה המטרה והצלחנו ל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הגיע אל היעד </w:t>
      </w:r>
      <w:r w:rsidR="00BD48E6" w:rsidRPr="00BD48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אנו מאושרים למשך שבוע, חודש או אפילו </w:t>
      </w:r>
      <w:r w:rsidR="003C3B5D">
        <w:rPr>
          <w:rFonts w:ascii="Times New Roman" w:eastAsia="Times New Roman" w:hAnsi="Times New Roman" w:cs="Times New Roman" w:hint="cs"/>
          <w:sz w:val="24"/>
          <w:szCs w:val="24"/>
          <w:rtl/>
        </w:rPr>
        <w:t>ל</w:t>
      </w:r>
      <w:bookmarkStart w:id="0" w:name="_GoBack"/>
      <w:bookmarkEnd w:id="0"/>
      <w:r w:rsidR="00BD48E6" w:rsidRPr="00BD48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רגע בודד. אבל אז התחושה חולפת, ואנו יוצאים שוב לדרך, ממהרים </w:t>
      </w:r>
      <w:r w:rsidR="00BD48E6">
        <w:rPr>
          <w:rFonts w:ascii="Times New Roman" w:eastAsia="Times New Roman" w:hAnsi="Times New Roman" w:cs="Times New Roman" w:hint="cs"/>
          <w:sz w:val="24"/>
          <w:szCs w:val="24"/>
          <w:rtl/>
        </w:rPr>
        <w:t>להצליח ולהשיג את</w:t>
      </w:r>
      <w:r w:rsidR="00BD48E6" w:rsidRPr="00BD48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האושר הבא.</w:t>
      </w:r>
    </w:p>
    <w:p w:rsidR="00B83D91" w:rsidRDefault="00BD48E6" w:rsidP="00702D70">
      <w:pPr>
        <w:spacing w:after="0" w:line="48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תפיסה זו הרואה</w:t>
      </w:r>
      <w:r w:rsidR="003E276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את ה</w:t>
      </w:r>
      <w:r w:rsidR="003E276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מירוץ אחר </w:t>
      </w:r>
      <w:r w:rsidR="002D694E" w:rsidRPr="002D694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הצלחה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כמרדף אחר ה</w:t>
      </w:r>
      <w:r w:rsidR="00B83D91"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אושר</w:t>
      </w:r>
      <w:r w:rsidR="0079709D">
        <w:rPr>
          <w:rFonts w:hint="cs"/>
          <w:rtl/>
        </w:rPr>
        <w:t xml:space="preserve"> </w:t>
      </w:r>
      <w:r w:rsidR="00C66D44" w:rsidRPr="00C66D44">
        <w:rPr>
          <w:rFonts w:ascii="Times New Roman" w:eastAsia="Times New Roman" w:hAnsi="Times New Roman" w:cs="Times New Roman" w:hint="cs"/>
          <w:sz w:val="24"/>
          <w:szCs w:val="24"/>
          <w:rtl/>
        </w:rPr>
        <w:t>מכ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ו</w:t>
      </w:r>
      <w:r w:rsidR="00C66D44" w:rsidRPr="00C66D4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נה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על-ידי </w:t>
      </w:r>
      <w:proofErr w:type="spellStart"/>
      <w:r w:rsidRPr="00C66D44">
        <w:rPr>
          <w:rFonts w:ascii="Times New Roman" w:eastAsia="Times New Roman" w:hAnsi="Times New Roman" w:cs="Times New Roman" w:hint="cs"/>
          <w:sz w:val="24"/>
          <w:szCs w:val="24"/>
          <w:rtl/>
        </w:rPr>
        <w:t>סאנדג</w:t>
      </w:r>
      <w:proofErr w:type="spellEnd"/>
      <w:r w:rsidRPr="00C66D44">
        <w:rPr>
          <w:rFonts w:ascii="Times New Roman" w:eastAsia="Times New Roman" w:hAnsi="Times New Roman" w:cs="Times New Roman" w:hint="cs"/>
          <w:sz w:val="24"/>
          <w:szCs w:val="24"/>
          <w:rtl/>
        </w:rPr>
        <w:t>'</w:t>
      </w:r>
      <w:r w:rsidRPr="00B83D91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1"/>
      </w:r>
      <w:r w:rsidR="00C66D44" w:rsidRPr="00C66D4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"השילוש הקדוש"</w:t>
      </w:r>
      <w:r w:rsidR="00C66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0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6D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66D44" w:rsidRPr="00C66D4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חיים, אמביציה ומרדף אחר אושר. </w:t>
      </w:r>
      <w:r w:rsidR="0079709D">
        <w:rPr>
          <w:rFonts w:ascii="Times New Roman" w:eastAsia="Times New Roman" w:hAnsi="Times New Roman" w:cs="Times New Roman" w:hint="cs"/>
          <w:sz w:val="24"/>
          <w:szCs w:val="24"/>
          <w:rtl/>
        </w:rPr>
        <w:t>במאמר זה</w:t>
      </w:r>
      <w:r w:rsidR="00B83D91"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3E276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אבקש </w:t>
      </w:r>
      <w:r w:rsidR="00461C82">
        <w:rPr>
          <w:rFonts w:ascii="Times New Roman" w:eastAsia="Times New Roman" w:hAnsi="Times New Roman" w:cs="Times New Roman" w:hint="cs"/>
          <w:sz w:val="24"/>
          <w:szCs w:val="24"/>
          <w:rtl/>
        </w:rPr>
        <w:t>להציג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t>מעט מהשורשים התרבותיים במערב הקושרים</w:t>
      </w:r>
      <w:r w:rsidR="00B83D91"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בין הצלחה לאושר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תוך ניסיון לפרק קונסטרוקציה תרבותית זו.</w:t>
      </w:r>
      <w:r w:rsidR="00C66D4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702D70" w:rsidRPr="00B83D91" w:rsidRDefault="00702D70" w:rsidP="00373B4B">
      <w:pPr>
        <w:spacing w:after="0" w:line="48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ההנחה כי הצלחה חיצונית מביאה עמה אושר טבועה עמוק בשורשי התרבות המערבית וניתן למצוא אותה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כבר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בטקסט המקראי</w:t>
      </w:r>
      <w:r w:rsidRPr="00702D70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2"/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ובפילוסופיה היוונית 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אך התרבות הקפיטליסטית הצרכנית </w:t>
      </w:r>
      <w:r w:rsidR="0003514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העכשווית 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מחזקת מאוד את האמונה שהצלחה </w:t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והישגים 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>מביא</w:t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ים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עמ</w:t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ם 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>אושר</w:t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,</w:t>
      </w:r>
      <w:r w:rsidRP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וכך מוצא עצמו האדם המודרני בקיום חד-</w:t>
      </w:r>
      <w:proofErr w:type="spellStart"/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מימדי</w:t>
      </w:r>
      <w:proofErr w:type="spellEnd"/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כפי שטוען </w:t>
      </w:r>
      <w:proofErr w:type="spellStart"/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מרקוזה</w:t>
      </w:r>
      <w:proofErr w:type="spellEnd"/>
      <w:r w:rsidR="00373B4B">
        <w:rPr>
          <w:rStyle w:val="a5"/>
          <w:rFonts w:ascii="Times New Roman" w:eastAsia="Times New Roman" w:hAnsi="Times New Roman" w:cs="Times New Roman"/>
          <w:sz w:val="24"/>
          <w:szCs w:val="24"/>
          <w:rtl/>
        </w:rPr>
        <w:footnoteReference w:id="3"/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B83D91" w:rsidRPr="002D247F" w:rsidRDefault="00B83D91" w:rsidP="00702D70">
      <w:pPr>
        <w:spacing w:after="0" w:line="480" w:lineRule="auto"/>
        <w:ind w:left="33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בדיאלוג</w:t>
      </w:r>
      <w:r w:rsidR="00BD48E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proofErr w:type="spellStart"/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גורגיאס</w:t>
      </w:r>
      <w:proofErr w:type="spellEnd"/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="0067214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טוען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סוקרטס</w:t>
      </w:r>
      <w:r w:rsidRPr="00B83D91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4"/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כי האושר אינו קשור למירוץ אחר הצלחות חיצוניות. היזקקות פירושה חיסרון, וחיסרון פירושו סבל. 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עצם הדיון </w:t>
      </w:r>
      <w:proofErr w:type="spellStart"/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>הסוקרטי</w:t>
      </w:r>
      <w:proofErr w:type="spellEnd"/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בהצלחה ואושר מעיד על </w:t>
      </w:r>
      <w:r w:rsidR="00373B4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קיומה של 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תפיסה 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lastRenderedPageBreak/>
        <w:t xml:space="preserve">תרבותית זו בתקופתו. </w:t>
      </w:r>
      <w:r w:rsidR="00D33E7A" w:rsidRPr="00D33E7A">
        <w:rPr>
          <w:rFonts w:ascii="Times New Roman" w:eastAsia="Times New Roman" w:hAnsi="Times New Roman" w:cs="Times New Roman"/>
          <w:sz w:val="24"/>
          <w:szCs w:val="24"/>
          <w:rtl/>
        </w:rPr>
        <w:t xml:space="preserve">בתקופה מאוחרת יותר בתולדות המחשבה המערבית </w:t>
      </w:r>
      <w:r w:rsidR="00D33E7A" w:rsidRPr="00D33E7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מציג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שפינוזה</w:t>
      </w:r>
      <w:r w:rsidRPr="008A1376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5"/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את המרדף </w:t>
      </w:r>
      <w:r w:rsidR="00B3696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ההמוני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אחר הצלחה </w:t>
      </w:r>
      <w:r w:rsidR="00461C82">
        <w:rPr>
          <w:rFonts w:ascii="Times New Roman" w:eastAsia="Times New Roman" w:hAnsi="Times New Roman" w:cs="Times New Roman" w:hint="cs"/>
          <w:sz w:val="24"/>
          <w:szCs w:val="24"/>
          <w:rtl/>
        </w:rPr>
        <w:t>חיצונית ו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תחרותית בחברה כקשור לשאיפה לאושר, אך אין זו לדעתו הצלחה </w:t>
      </w:r>
      <w:proofErr w:type="spellStart"/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אמיתית</w:t>
      </w:r>
      <w:proofErr w:type="spellEnd"/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, והיא בסופו של דבר כרוכה בכאב.</w:t>
      </w:r>
      <w:r w:rsidR="002D247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BD5F96" w:rsidRPr="00BD5F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בדומה לשפינוזה,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מעלה ברטרנד ראסל</w:t>
      </w:r>
      <w:r w:rsidRPr="00B83D91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6"/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BD5F96" w:rsidRPr="00BD5F9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בספרו כיבוש האושר,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את הגורמים לאי-סיפוק בחיים בעולם המערבי. בי</w:t>
      </w:r>
      <w:r w:rsidR="002D247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ן הגורמים המרכזיים הוא מציין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את המרדף אחר הצלחה</w:t>
      </w:r>
      <w:r w:rsidR="0000540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חיצונית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במטרה להגיע לאושר, כקונספציה שגויה. מרדף זה, </w:t>
      </w:r>
      <w:r w:rsidR="002D247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לדעתו,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גורם להעדר אושר. </w:t>
      </w:r>
      <w:r w:rsidR="00D33E7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B83D91" w:rsidRPr="00461C82" w:rsidRDefault="00B83D91" w:rsidP="00994851">
      <w:pPr>
        <w:tabs>
          <w:tab w:val="left" w:pos="317"/>
        </w:tabs>
        <w:spacing w:after="0" w:line="480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בהתייחס לעידן המודרני</w:t>
      </w:r>
      <w:r w:rsid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יש הסוברים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כי אם לא נצליח להגיע לאושר הפנימי שאותו מחפש סוקרטס</w:t>
      </w:r>
      <w:r w:rsidR="004C39D0" w:rsidRPr="00B83D91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7"/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16242A">
        <w:rPr>
          <w:rFonts w:ascii="Times New Roman" w:eastAsia="Times New Roman" w:hAnsi="Times New Roman" w:cs="Times New Roman"/>
          <w:sz w:val="24"/>
          <w:szCs w:val="24"/>
        </w:rPr>
        <w:t>Eudaimonia)</w:t>
      </w:r>
      <w:r w:rsidR="0016242A"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 w:rsidR="00195784">
        <w:rPr>
          <w:rFonts w:ascii="Times New Roman" w:eastAsia="Times New Roman" w:hAnsi="Times New Roman" w:cs="Times New Roman" w:hint="cs"/>
          <w:sz w:val="24"/>
          <w:szCs w:val="24"/>
          <w:rtl/>
        </w:rPr>
        <w:t>או</w:t>
      </w:r>
      <w:r w:rsidR="00195784" w:rsidRP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להצלחה פנימית</w:t>
      </w:r>
      <w:r w:rsidR="0067214F" w:rsidRP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מהסוג שמציע</w:t>
      </w:r>
      <w:r w:rsidR="00461C82" w:rsidRP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לנו</w:t>
      </w:r>
      <w:r w:rsidR="0067214F" w:rsidRP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ניטשה</w:t>
      </w:r>
      <w:r w:rsidR="00461C82" w:rsidRPr="00994851">
        <w:rPr>
          <w:rStyle w:val="a5"/>
          <w:rFonts w:ascii="Times New Roman" w:eastAsia="Times New Roman" w:hAnsi="Times New Roman" w:cs="Times New Roman"/>
          <w:sz w:val="24"/>
          <w:szCs w:val="24"/>
          <w:rtl/>
        </w:rPr>
        <w:footnoteReference w:id="8"/>
      </w:r>
      <w:r w:rsidR="00195784" w:rsidRP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 w:rsidRPr="0099485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כל שנעשה בחיינו יהיה 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>חסר שחר. רבים אינם מגיעים לאושר, כי להיות מאושר בתקופתנו מסתכם בשאיפה להצלחה</w:t>
      </w:r>
      <w:r w:rsidR="0067214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במדדים חיצוניים</w:t>
      </w:r>
      <w:r w:rsidR="00702D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כפי שמטפחת התרבות הקפיטליסטית בכל אמצעי</w:t>
      </w:r>
      <w:r w:rsidRPr="00B83D9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461C82" w:rsidRPr="00461C82">
        <w:rPr>
          <w:rFonts w:ascii="Times New Roman" w:eastAsia="Times New Roman" w:hAnsi="Times New Roman" w:cs="Times New Roman" w:hint="cs"/>
          <w:sz w:val="24"/>
          <w:szCs w:val="24"/>
          <w:rtl/>
        </w:rPr>
        <w:t>אך למעשה, איננו זוכים לגמול מפני שנהנינו מהמסע עצמו, אלא מפני שהשלמנו בהצלחה מסע כלשהו. ברגע שהגענו אל היעד, טוען בן-שחר,</w:t>
      </w:r>
      <w:r w:rsidR="00461C82" w:rsidRPr="00461C82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9"/>
      </w:r>
      <w:r w:rsidR="00461C82" w:rsidRPr="00461C8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אנו טועים ומפרשים את תחושת ההקלה שאנחנו מרגישים כאושר. </w:t>
      </w:r>
    </w:p>
    <w:p w:rsidR="00B83D91" w:rsidRDefault="00B83D91" w:rsidP="00B83D91">
      <w:pPr>
        <w:spacing w:after="0" w:line="48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702D70" w:rsidRDefault="00702D70" w:rsidP="00B83D9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61C82" w:rsidRPr="00B83D91" w:rsidRDefault="00461C82" w:rsidP="00B83D9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D0195" w:rsidRDefault="009B74D7" w:rsidP="009B74D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B74D7">
        <w:rPr>
          <w:rFonts w:ascii="Times New Roman" w:eastAsia="Times New Roman" w:hAnsi="Times New Roman" w:cs="Times New Roman"/>
          <w:b/>
          <w:bCs/>
          <w:sz w:val="24"/>
          <w:szCs w:val="24"/>
        </w:rPr>
        <w:t>key</w:t>
      </w:r>
      <w:proofErr w:type="gramEnd"/>
      <w:r w:rsidRPr="009B7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B74D7" w:rsidRPr="009B74D7" w:rsidRDefault="009B74D7" w:rsidP="009B74D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הצלחה חיצונית, הצלחה פנימית, תחרות, אושר, אמביציה, תחושת הקלה, השוואה</w:t>
      </w:r>
    </w:p>
    <w:p w:rsidR="001B0912" w:rsidRDefault="001B0912">
      <w:pPr>
        <w:rPr>
          <w:rtl/>
        </w:rPr>
      </w:pPr>
    </w:p>
    <w:p w:rsidR="001B0912" w:rsidRDefault="001B0912">
      <w:pPr>
        <w:rPr>
          <w:rtl/>
        </w:rPr>
      </w:pPr>
    </w:p>
    <w:p w:rsidR="001B0912" w:rsidRDefault="001B0912">
      <w:pPr>
        <w:rPr>
          <w:rtl/>
        </w:rPr>
      </w:pPr>
    </w:p>
    <w:p w:rsidR="001B0912" w:rsidRPr="001B0912" w:rsidRDefault="001B0912" w:rsidP="001B0912"/>
    <w:p w:rsidR="001B0912" w:rsidRDefault="001B0912" w:rsidP="001B0912"/>
    <w:sectPr w:rsidR="001B0912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C0" w:rsidRDefault="002756C0" w:rsidP="00B83D91">
      <w:pPr>
        <w:spacing w:after="0" w:line="240" w:lineRule="auto"/>
      </w:pPr>
      <w:r>
        <w:separator/>
      </w:r>
    </w:p>
  </w:endnote>
  <w:endnote w:type="continuationSeparator" w:id="0">
    <w:p w:rsidR="002756C0" w:rsidRDefault="002756C0" w:rsidP="00B8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C0" w:rsidRDefault="002756C0" w:rsidP="00B83D91">
      <w:pPr>
        <w:spacing w:after="0" w:line="240" w:lineRule="auto"/>
      </w:pPr>
      <w:r>
        <w:separator/>
      </w:r>
    </w:p>
  </w:footnote>
  <w:footnote w:type="continuationSeparator" w:id="0">
    <w:p w:rsidR="002756C0" w:rsidRDefault="002756C0" w:rsidP="00B83D91">
      <w:pPr>
        <w:spacing w:after="0" w:line="240" w:lineRule="auto"/>
      </w:pPr>
      <w:r>
        <w:continuationSeparator/>
      </w:r>
    </w:p>
  </w:footnote>
  <w:footnote w:id="1">
    <w:p w:rsidR="00BD48E6" w:rsidRDefault="00BD48E6" w:rsidP="00BD48E6">
      <w:pPr>
        <w:pStyle w:val="a3"/>
        <w:ind w:left="175" w:hanging="175"/>
        <w:jc w:val="both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D33E7A">
        <w:t xml:space="preserve">Scott A. </w:t>
      </w:r>
      <w:proofErr w:type="spellStart"/>
      <w:r w:rsidRPr="00D33E7A">
        <w:t>Sandage</w:t>
      </w:r>
      <w:proofErr w:type="spellEnd"/>
      <w:r w:rsidRPr="00D33E7A">
        <w:t xml:space="preserve">, </w:t>
      </w:r>
      <w:r w:rsidRPr="00D33E7A">
        <w:rPr>
          <w:i/>
          <w:iCs/>
        </w:rPr>
        <w:t>Born Losers – A History of Failure in America</w:t>
      </w:r>
      <w:r w:rsidRPr="00D33E7A">
        <w:t>, Harvard University Press, 2005:</w:t>
      </w:r>
      <w:r>
        <w:t>14</w:t>
      </w:r>
      <w:r w:rsidRPr="00D33E7A">
        <w:t xml:space="preserve"> </w:t>
      </w:r>
      <w:r w:rsidRPr="00D33E7A">
        <w:rPr>
          <w:rtl/>
          <w:lang w:eastAsia="he-IL"/>
        </w:rPr>
        <w:t xml:space="preserve"> </w:t>
      </w:r>
    </w:p>
  </w:footnote>
  <w:footnote w:id="2">
    <w:p w:rsidR="00702D70" w:rsidRDefault="00702D70" w:rsidP="00702D70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בינה ניר, </w:t>
      </w:r>
      <w:r w:rsidRPr="0050143C">
        <w:rPr>
          <w:rFonts w:hint="cs"/>
          <w:u w:val="single"/>
          <w:rtl/>
        </w:rPr>
        <w:t>כישלון ההצלחה</w:t>
      </w:r>
      <w:r>
        <w:rPr>
          <w:rFonts w:hint="cs"/>
          <w:rtl/>
        </w:rPr>
        <w:t>, תל-אביב: הוצאת רסלינג, 2016: 117.</w:t>
      </w:r>
    </w:p>
  </w:footnote>
  <w:footnote w:id="3">
    <w:p w:rsidR="00373B4B" w:rsidRDefault="00373B4B" w:rsidP="00BA48B1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BA48B1" w:rsidRPr="00BA48B1">
        <w:rPr>
          <w:rtl/>
          <w:lang w:eastAsia="he-IL"/>
        </w:rPr>
        <w:t xml:space="preserve">הרברט </w:t>
      </w:r>
      <w:proofErr w:type="spellStart"/>
      <w:r w:rsidR="00BA48B1" w:rsidRPr="00BA48B1">
        <w:rPr>
          <w:rtl/>
          <w:lang w:eastAsia="he-IL"/>
        </w:rPr>
        <w:t>מרקוזה</w:t>
      </w:r>
      <w:proofErr w:type="spellEnd"/>
      <w:r w:rsidR="00BA48B1" w:rsidRPr="00BA48B1">
        <w:rPr>
          <w:rtl/>
          <w:lang w:eastAsia="he-IL"/>
        </w:rPr>
        <w:t xml:space="preserve">, </w:t>
      </w:r>
      <w:r w:rsidR="00BA48B1" w:rsidRPr="00BA48B1">
        <w:rPr>
          <w:u w:val="single"/>
          <w:rtl/>
          <w:lang w:eastAsia="he-IL"/>
        </w:rPr>
        <w:t xml:space="preserve">האדם החד </w:t>
      </w:r>
      <w:proofErr w:type="spellStart"/>
      <w:r w:rsidR="00BA48B1" w:rsidRPr="00BA48B1">
        <w:rPr>
          <w:u w:val="single"/>
          <w:rtl/>
          <w:lang w:eastAsia="he-IL"/>
        </w:rPr>
        <w:t>מימדי</w:t>
      </w:r>
      <w:proofErr w:type="spellEnd"/>
      <w:r w:rsidR="00BA48B1" w:rsidRPr="00BA48B1">
        <w:rPr>
          <w:rtl/>
          <w:lang w:eastAsia="he-IL"/>
        </w:rPr>
        <w:t>, מרחביה ותל אביב: הוצאת הקבוץ הארצי והשומר הצעיר, 1969, פרק א: 32-19</w:t>
      </w:r>
      <w:r w:rsidR="00BA48B1">
        <w:rPr>
          <w:rFonts w:hint="cs"/>
          <w:rtl/>
        </w:rPr>
        <w:t>.</w:t>
      </w:r>
    </w:p>
  </w:footnote>
  <w:footnote w:id="4">
    <w:p w:rsidR="00B83D91" w:rsidRDefault="00B83D91" w:rsidP="00D33E7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="00D33E7A" w:rsidRPr="00D33E7A">
        <w:rPr>
          <w:rtl/>
        </w:rPr>
        <w:t xml:space="preserve">אפלטון, </w:t>
      </w:r>
      <w:proofErr w:type="spellStart"/>
      <w:r w:rsidR="00D33E7A" w:rsidRPr="00D33E7A">
        <w:rPr>
          <w:u w:val="single"/>
          <w:rtl/>
        </w:rPr>
        <w:t>גורגיאס</w:t>
      </w:r>
      <w:proofErr w:type="spellEnd"/>
      <w:r w:rsidR="00D33E7A" w:rsidRPr="00D33E7A">
        <w:rPr>
          <w:rtl/>
        </w:rPr>
        <w:t xml:space="preserve">, בתוך: </w:t>
      </w:r>
      <w:r w:rsidR="00D33E7A" w:rsidRPr="00D33E7A">
        <w:rPr>
          <w:u w:val="single"/>
          <w:rtl/>
        </w:rPr>
        <w:t>כתבי אפלטון</w:t>
      </w:r>
      <w:r w:rsidR="00D33E7A" w:rsidRPr="00D33E7A">
        <w:rPr>
          <w:rtl/>
        </w:rPr>
        <w:t xml:space="preserve">, ירושלים ותל אביב: הוצאת שוקן, </w:t>
      </w:r>
      <w:r w:rsidR="00D33E7A" w:rsidRPr="00D33E7A">
        <w:rPr>
          <w:rFonts w:hint="cs"/>
          <w:rtl/>
        </w:rPr>
        <w:t xml:space="preserve">1997, </w:t>
      </w:r>
      <w:r w:rsidR="00D33E7A" w:rsidRPr="00D33E7A">
        <w:rPr>
          <w:rtl/>
        </w:rPr>
        <w:t>כרך ראשון</w:t>
      </w:r>
      <w:r w:rsidR="00D33E7A" w:rsidRPr="00D33E7A">
        <w:rPr>
          <w:rFonts w:hint="cs"/>
          <w:rtl/>
        </w:rPr>
        <w:t>:</w:t>
      </w:r>
      <w:r w:rsidR="00D33E7A" w:rsidRPr="00D33E7A">
        <w:rPr>
          <w:rtl/>
        </w:rPr>
        <w:t xml:space="preserve"> 343.</w:t>
      </w:r>
    </w:p>
  </w:footnote>
  <w:footnote w:id="5">
    <w:p w:rsidR="00B83D91" w:rsidRDefault="00B83D91" w:rsidP="00D33E7A">
      <w:pPr>
        <w:pStyle w:val="a3"/>
        <w:ind w:left="206" w:hanging="180"/>
      </w:pPr>
      <w:r>
        <w:rPr>
          <w:rStyle w:val="a5"/>
        </w:rPr>
        <w:footnoteRef/>
      </w:r>
      <w:r>
        <w:rPr>
          <w:rtl/>
        </w:rPr>
        <w:t xml:space="preserve"> </w:t>
      </w:r>
      <w:r w:rsidR="00D33E7A" w:rsidRPr="00D33E7A">
        <w:rPr>
          <w:rtl/>
        </w:rPr>
        <w:t xml:space="preserve">ברוך שפינוזה, </w:t>
      </w:r>
      <w:r w:rsidR="00D33E7A" w:rsidRPr="00D33E7A">
        <w:rPr>
          <w:u w:val="single"/>
          <w:rtl/>
        </w:rPr>
        <w:t>מאמר תיאולוגי מדיני</w:t>
      </w:r>
      <w:r w:rsidR="00D33E7A" w:rsidRPr="00D33E7A">
        <w:rPr>
          <w:rtl/>
        </w:rPr>
        <w:t xml:space="preserve">, ירושלים: הוצאת </w:t>
      </w:r>
      <w:r w:rsidR="00D33E7A" w:rsidRPr="00D33E7A">
        <w:rPr>
          <w:rFonts w:hint="cs"/>
          <w:rtl/>
        </w:rPr>
        <w:t>ה</w:t>
      </w:r>
      <w:r w:rsidR="00D33E7A" w:rsidRPr="00D33E7A">
        <w:rPr>
          <w:rtl/>
        </w:rPr>
        <w:t>ספרים ע"ש י"ל מאגנס, האוניברסיטה העברית, תש"ס: 33</w:t>
      </w:r>
      <w:r w:rsidR="00D33E7A" w:rsidRPr="00D33E7A">
        <w:rPr>
          <w:rFonts w:hint="cs"/>
          <w:rtl/>
        </w:rPr>
        <w:t>.</w:t>
      </w:r>
    </w:p>
  </w:footnote>
  <w:footnote w:id="6">
    <w:p w:rsidR="00B83D91" w:rsidRDefault="00B83D91" w:rsidP="00D33E7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="00D33E7A" w:rsidRPr="00D33E7A">
        <w:rPr>
          <w:rtl/>
        </w:rPr>
        <w:t>ברטראנד</w:t>
      </w:r>
      <w:proofErr w:type="spellEnd"/>
      <w:r w:rsidR="00D33E7A" w:rsidRPr="00D33E7A">
        <w:rPr>
          <w:rtl/>
        </w:rPr>
        <w:t xml:space="preserve"> ראסל, </w:t>
      </w:r>
      <w:r w:rsidR="00D33E7A" w:rsidRPr="00D33E7A">
        <w:rPr>
          <w:rFonts w:hint="cs"/>
          <w:u w:val="single"/>
          <w:rtl/>
        </w:rPr>
        <w:t>כיבוש</w:t>
      </w:r>
      <w:r w:rsidR="00D33E7A" w:rsidRPr="00D33E7A">
        <w:rPr>
          <w:u w:val="single"/>
          <w:rtl/>
        </w:rPr>
        <w:t xml:space="preserve"> האושר</w:t>
      </w:r>
      <w:r w:rsidR="00D33E7A" w:rsidRPr="00D33E7A">
        <w:rPr>
          <w:rtl/>
        </w:rPr>
        <w:t xml:space="preserve">, ירושלים: הוצאת </w:t>
      </w:r>
      <w:proofErr w:type="spellStart"/>
      <w:r w:rsidR="00D33E7A" w:rsidRPr="00D33E7A">
        <w:rPr>
          <w:rtl/>
        </w:rPr>
        <w:t>אחיאסף</w:t>
      </w:r>
      <w:proofErr w:type="spellEnd"/>
      <w:r w:rsidR="00D33E7A" w:rsidRPr="00D33E7A">
        <w:rPr>
          <w:rtl/>
        </w:rPr>
        <w:t xml:space="preserve"> </w:t>
      </w:r>
      <w:r w:rsidR="00B46AF0">
        <w:rPr>
          <w:rFonts w:hint="cs"/>
          <w:rtl/>
        </w:rPr>
        <w:t xml:space="preserve"> </w:t>
      </w:r>
      <w:r w:rsidR="00D33E7A" w:rsidRPr="00D33E7A">
        <w:rPr>
          <w:rtl/>
        </w:rPr>
        <w:t xml:space="preserve">בע"מ, 1955: </w:t>
      </w:r>
      <w:r w:rsidR="00D33E7A" w:rsidRPr="00D33E7A">
        <w:rPr>
          <w:rFonts w:hint="cs"/>
          <w:rtl/>
        </w:rPr>
        <w:t>38-37</w:t>
      </w:r>
      <w:r w:rsidR="00D33E7A" w:rsidRPr="00D33E7A">
        <w:rPr>
          <w:rtl/>
        </w:rPr>
        <w:t>.</w:t>
      </w:r>
    </w:p>
  </w:footnote>
  <w:footnote w:id="7">
    <w:p w:rsidR="004C39D0" w:rsidRDefault="004C39D0" w:rsidP="004C39D0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Pr="00D33E7A">
        <w:rPr>
          <w:rtl/>
        </w:rPr>
        <w:t>פרנאן</w:t>
      </w:r>
      <w:proofErr w:type="spellEnd"/>
      <w:r w:rsidRPr="00D33E7A">
        <w:rPr>
          <w:rtl/>
        </w:rPr>
        <w:t xml:space="preserve"> שוורץ, </w:t>
      </w:r>
      <w:r w:rsidRPr="00D33E7A">
        <w:rPr>
          <w:u w:val="single"/>
          <w:rtl/>
        </w:rPr>
        <w:t>דרך האושר: הפילוסופיה החיה של סוקרטס</w:t>
      </w:r>
      <w:r w:rsidRPr="00D33E7A">
        <w:rPr>
          <w:rtl/>
        </w:rPr>
        <w:t>, ישראל: אקרופוליס החדשה, 1999: 11.</w:t>
      </w:r>
    </w:p>
  </w:footnote>
  <w:footnote w:id="8">
    <w:p w:rsidR="00461C82" w:rsidRPr="00994851" w:rsidRDefault="00461C82" w:rsidP="00994851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994851" w:rsidRPr="00994851">
        <w:rPr>
          <w:rtl/>
        </w:rPr>
        <w:t xml:space="preserve">פרידריך ניטשה, "על דרכו של יוצר", בתוך: </w:t>
      </w:r>
      <w:r w:rsidR="00994851" w:rsidRPr="00994851">
        <w:rPr>
          <w:u w:val="single"/>
          <w:rtl/>
        </w:rPr>
        <w:t xml:space="preserve">כה אמר </w:t>
      </w:r>
      <w:proofErr w:type="spellStart"/>
      <w:r w:rsidR="00994851" w:rsidRPr="00994851">
        <w:rPr>
          <w:u w:val="single"/>
          <w:rtl/>
        </w:rPr>
        <w:t>זרטוסטרא</w:t>
      </w:r>
      <w:proofErr w:type="spellEnd"/>
      <w:r w:rsidR="00994851" w:rsidRPr="00994851">
        <w:rPr>
          <w:rtl/>
        </w:rPr>
        <w:t>, ירושלים ותל אביב: הוצאת שוקן, 1975: 63.</w:t>
      </w:r>
    </w:p>
  </w:footnote>
  <w:footnote w:id="9">
    <w:p w:rsidR="00461C82" w:rsidRDefault="00461C82" w:rsidP="00461C82">
      <w:pPr>
        <w:pStyle w:val="a3"/>
        <w:rPr>
          <w:rtl/>
        </w:rPr>
      </w:pPr>
      <w:r w:rsidRPr="009B74D7">
        <w:rPr>
          <w:rStyle w:val="a5"/>
        </w:rPr>
        <w:footnoteRef/>
      </w:r>
      <w:r w:rsidRPr="009B74D7">
        <w:rPr>
          <w:rtl/>
        </w:rPr>
        <w:t xml:space="preserve"> </w:t>
      </w:r>
      <w:r w:rsidRPr="009B74D7">
        <w:rPr>
          <w:rFonts w:hint="cs"/>
          <w:rtl/>
        </w:rPr>
        <w:t xml:space="preserve">טל בן-שחר, </w:t>
      </w:r>
      <w:r w:rsidRPr="009B74D7">
        <w:rPr>
          <w:rFonts w:hint="cs"/>
          <w:u w:val="single"/>
          <w:rtl/>
        </w:rPr>
        <w:t>באושר ובאושר</w:t>
      </w:r>
      <w:r w:rsidRPr="009B74D7">
        <w:rPr>
          <w:rFonts w:hint="cs"/>
          <w:rtl/>
        </w:rPr>
        <w:t>, תל-אביב: הוצאת מטר, 2008: 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8BD"/>
    <w:multiLevelType w:val="hybridMultilevel"/>
    <w:tmpl w:val="DE38A958"/>
    <w:lvl w:ilvl="0" w:tplc="16448892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">
    <w:nsid w:val="40BF1D1E"/>
    <w:multiLevelType w:val="hybridMultilevel"/>
    <w:tmpl w:val="5D6673AA"/>
    <w:lvl w:ilvl="0" w:tplc="BE8C90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1"/>
    <w:rsid w:val="0000540B"/>
    <w:rsid w:val="0003514C"/>
    <w:rsid w:val="0016242A"/>
    <w:rsid w:val="00195784"/>
    <w:rsid w:val="001B0912"/>
    <w:rsid w:val="00251140"/>
    <w:rsid w:val="00275219"/>
    <w:rsid w:val="002756C0"/>
    <w:rsid w:val="002D247F"/>
    <w:rsid w:val="002D3509"/>
    <w:rsid w:val="002D694E"/>
    <w:rsid w:val="00373B4B"/>
    <w:rsid w:val="003A35E3"/>
    <w:rsid w:val="003A7731"/>
    <w:rsid w:val="003C3B5D"/>
    <w:rsid w:val="003E276C"/>
    <w:rsid w:val="00407603"/>
    <w:rsid w:val="00461C82"/>
    <w:rsid w:val="004C39D0"/>
    <w:rsid w:val="0050143C"/>
    <w:rsid w:val="00514ECC"/>
    <w:rsid w:val="005A170E"/>
    <w:rsid w:val="0067214F"/>
    <w:rsid w:val="00702D70"/>
    <w:rsid w:val="00703AAA"/>
    <w:rsid w:val="007346F8"/>
    <w:rsid w:val="0079709D"/>
    <w:rsid w:val="008A1376"/>
    <w:rsid w:val="0094306B"/>
    <w:rsid w:val="00994851"/>
    <w:rsid w:val="009B74D7"/>
    <w:rsid w:val="00AA2F7B"/>
    <w:rsid w:val="00B3696B"/>
    <w:rsid w:val="00B46AF0"/>
    <w:rsid w:val="00B83D91"/>
    <w:rsid w:val="00BA247E"/>
    <w:rsid w:val="00BA48B1"/>
    <w:rsid w:val="00BC44F5"/>
    <w:rsid w:val="00BD48E6"/>
    <w:rsid w:val="00BD5F96"/>
    <w:rsid w:val="00C66D44"/>
    <w:rsid w:val="00CD0195"/>
    <w:rsid w:val="00D33E7A"/>
    <w:rsid w:val="00DD0413"/>
    <w:rsid w:val="00E55382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83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B83D9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B83D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83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B83D9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B83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B141-446A-4617-9393-99DB8555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23</cp:revision>
  <dcterms:created xsi:type="dcterms:W3CDTF">2017-01-11T20:18:00Z</dcterms:created>
  <dcterms:modified xsi:type="dcterms:W3CDTF">2017-01-14T09:04:00Z</dcterms:modified>
</cp:coreProperties>
</file>