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4D3" w:rsidRDefault="006E54F3">
      <w:r>
        <w:rPr>
          <w:rFonts w:hint="cs"/>
          <w:rtl/>
        </w:rPr>
        <w:t>אחרית דבר</w:t>
      </w:r>
    </w:p>
    <w:p w:rsidR="00BC3743" w:rsidRDefault="00B8438D" w:rsidP="00FF58F3">
      <w:pPr>
        <w:rPr>
          <w:rtl/>
        </w:rPr>
      </w:pPr>
      <w:r>
        <w:rPr>
          <w:rFonts w:hint="cs"/>
          <w:rtl/>
        </w:rPr>
        <w:t>ההתלבטות ביחס למקומה ומע</w:t>
      </w:r>
      <w:r w:rsidR="007308B7">
        <w:rPr>
          <w:rFonts w:hint="cs"/>
          <w:rtl/>
        </w:rPr>
        <w:t>מ</w:t>
      </w:r>
      <w:r>
        <w:rPr>
          <w:rFonts w:hint="cs"/>
          <w:rtl/>
        </w:rPr>
        <w:t>דה של הטריטוריה בזהות היהודית של יהודים בארץ ובתפוצה, התעורר</w:t>
      </w:r>
      <w:r w:rsidR="003B1401">
        <w:rPr>
          <w:rFonts w:hint="cs"/>
          <w:rtl/>
        </w:rPr>
        <w:t>ה</w:t>
      </w:r>
      <w:r>
        <w:rPr>
          <w:rFonts w:hint="cs"/>
          <w:rtl/>
        </w:rPr>
        <w:t xml:space="preserve"> ביתר שאת במהלך המאה ה-19</w:t>
      </w:r>
      <w:r w:rsidR="007308B7">
        <w:rPr>
          <w:rFonts w:hint="cs"/>
          <w:rtl/>
        </w:rPr>
        <w:t>.</w:t>
      </w:r>
      <w:r w:rsidR="00FF58F3">
        <w:rPr>
          <w:rStyle w:val="FootnoteReference"/>
          <w:rtl/>
        </w:rPr>
        <w:footnoteReference w:id="1"/>
      </w:r>
      <w:r w:rsidR="007308B7">
        <w:rPr>
          <w:rFonts w:hint="cs"/>
          <w:rtl/>
        </w:rPr>
        <w:t xml:space="preserve">  היו אלו שורשיה של </w:t>
      </w:r>
      <w:r>
        <w:rPr>
          <w:rFonts w:hint="cs"/>
          <w:rtl/>
        </w:rPr>
        <w:t xml:space="preserve">התנועה הציונית מחד וזרמים א-טריטוראלים כמו </w:t>
      </w:r>
      <w:r w:rsidR="000D79C8">
        <w:rPr>
          <w:rFonts w:hint="cs"/>
          <w:rtl/>
        </w:rPr>
        <w:t>הזרם הרפורמי במאה הי"ט וכן תנועת ה"בונד</w:t>
      </w:r>
      <w:r w:rsidR="003B1401">
        <w:rPr>
          <w:rFonts w:hint="cs"/>
          <w:rtl/>
        </w:rPr>
        <w:t>"</w:t>
      </w:r>
      <w:r w:rsidR="000D79C8">
        <w:rPr>
          <w:rFonts w:hint="cs"/>
          <w:rtl/>
        </w:rPr>
        <w:t xml:space="preserve"> מאידך</w:t>
      </w:r>
      <w:r w:rsidR="003B1401">
        <w:rPr>
          <w:rFonts w:hint="cs"/>
          <w:rtl/>
        </w:rPr>
        <w:t xml:space="preserve">. </w:t>
      </w:r>
      <w:r w:rsidR="009E7A35">
        <w:rPr>
          <w:rFonts w:hint="cs"/>
          <w:rtl/>
        </w:rPr>
        <w:t>או מכיוון אחר,</w:t>
      </w:r>
      <w:r w:rsidR="000D79C8">
        <w:rPr>
          <w:rFonts w:hint="cs"/>
          <w:rtl/>
        </w:rPr>
        <w:t xml:space="preserve"> זרמים חרדיים אנטי ציוניים</w:t>
      </w:r>
      <w:r>
        <w:rPr>
          <w:rFonts w:hint="cs"/>
          <w:rtl/>
        </w:rPr>
        <w:t>. זרמים אלו שעיצבו מחדש תבניות חשיבה ופעולה ביחס להווה ולעתיד של החברה היהודית והמסגרת</w:t>
      </w:r>
      <w:r w:rsidR="003B1401">
        <w:rPr>
          <w:rFonts w:hint="cs"/>
          <w:rtl/>
        </w:rPr>
        <w:t xml:space="preserve"> הפוליטי והברתית</w:t>
      </w:r>
      <w:r>
        <w:rPr>
          <w:rFonts w:hint="cs"/>
          <w:rtl/>
        </w:rPr>
        <w:t xml:space="preserve"> בה היא פועלת</w:t>
      </w:r>
      <w:r w:rsidR="003B1401">
        <w:rPr>
          <w:rFonts w:hint="cs"/>
          <w:rtl/>
        </w:rPr>
        <w:t>, נדרשו גם לשאלת היחס לארץ ישראל מן ההיבט הטריטוריאלי</w:t>
      </w:r>
      <w:r>
        <w:rPr>
          <w:rFonts w:hint="cs"/>
          <w:rtl/>
        </w:rPr>
        <w:t xml:space="preserve">. </w:t>
      </w:r>
      <w:r w:rsidR="00BC3743">
        <w:rPr>
          <w:rFonts w:hint="cs"/>
          <w:rtl/>
        </w:rPr>
        <w:t xml:space="preserve"> </w:t>
      </w:r>
    </w:p>
    <w:p w:rsidR="00245737" w:rsidRDefault="000D79C8" w:rsidP="000D79C8">
      <w:pPr>
        <w:rPr>
          <w:rtl/>
        </w:rPr>
      </w:pPr>
      <w:r>
        <w:rPr>
          <w:rFonts w:hint="cs"/>
          <w:rtl/>
        </w:rPr>
        <w:t>גם בתוך החברה היהודית בארץ ישראל</w:t>
      </w:r>
      <w:r w:rsidR="003B1401">
        <w:rPr>
          <w:rFonts w:hint="cs"/>
          <w:rtl/>
        </w:rPr>
        <w:t>,</w:t>
      </w:r>
      <w:r>
        <w:rPr>
          <w:rFonts w:hint="cs"/>
          <w:rtl/>
        </w:rPr>
        <w:t xml:space="preserve"> </w:t>
      </w:r>
      <w:r w:rsidR="007E6561">
        <w:rPr>
          <w:rFonts w:hint="cs"/>
          <w:rtl/>
        </w:rPr>
        <w:t xml:space="preserve">הדיון הפנימי ביחס לשאלות טריטוריאליות כמו </w:t>
      </w:r>
      <w:r w:rsidR="00D72011">
        <w:rPr>
          <w:rFonts w:hint="cs"/>
          <w:rtl/>
        </w:rPr>
        <w:t>גבולותיה של מדינת ישראל ומעמדם של ה"מקומות הקדושי</w:t>
      </w:r>
      <w:r w:rsidR="00AB2B1B">
        <w:rPr>
          <w:rFonts w:hint="cs"/>
          <w:rtl/>
        </w:rPr>
        <w:t>ם", מלוה את החברה עוד מ</w:t>
      </w:r>
      <w:r>
        <w:rPr>
          <w:rFonts w:hint="cs"/>
          <w:rtl/>
        </w:rPr>
        <w:t>ימי המנדט הבריטי טרום</w:t>
      </w:r>
      <w:r w:rsidR="00D72011">
        <w:rPr>
          <w:rFonts w:hint="cs"/>
          <w:rtl/>
        </w:rPr>
        <w:t xml:space="preserve"> הקמתה של המדינה.</w:t>
      </w:r>
    </w:p>
    <w:p w:rsidR="00245737" w:rsidRDefault="00245737" w:rsidP="00726DED">
      <w:r>
        <w:rPr>
          <w:rFonts w:hint="cs"/>
          <w:rtl/>
        </w:rPr>
        <w:t>הטענה המונחת בחלקו הראשון של הדיון בספר</w:t>
      </w:r>
      <w:r w:rsidR="000D79C8">
        <w:rPr>
          <w:rFonts w:hint="cs"/>
          <w:rtl/>
        </w:rPr>
        <w:t>,</w:t>
      </w:r>
      <w:r>
        <w:rPr>
          <w:rFonts w:hint="cs"/>
          <w:rtl/>
        </w:rPr>
        <w:t xml:space="preserve"> לפיה בתנ"ך החיבור המכונן של העם היהודי יש מגוון של מערכות גבול ולא מערכת אח</w:t>
      </w:r>
      <w:r w:rsidR="00580C34">
        <w:rPr>
          <w:rFonts w:hint="cs"/>
          <w:rtl/>
        </w:rPr>
        <w:t xml:space="preserve">ת מכוננת תודעה, מצביעה על שורשיו של </w:t>
      </w:r>
      <w:r>
        <w:rPr>
          <w:rFonts w:hint="cs"/>
          <w:rtl/>
        </w:rPr>
        <w:t>הדיון וההתלבטות כבר במקרא עצמו.</w:t>
      </w:r>
      <w:r w:rsidR="00580C34">
        <w:rPr>
          <w:rFonts w:hint="cs"/>
          <w:rtl/>
        </w:rPr>
        <w:t xml:space="preserve"> למעשה ההתלבטות ביחס לתחומי הארץ מלווה את היהדות מאז ראשיתה. </w:t>
      </w:r>
      <w:r>
        <w:rPr>
          <w:rFonts w:hint="cs"/>
          <w:rtl/>
        </w:rPr>
        <w:t xml:space="preserve"> גם חכמים שחיו בעולם בו תחומי הארץ לא היו רלוונטים לעצמאות יהודית</w:t>
      </w:r>
      <w:r w:rsidR="00BC3743">
        <w:rPr>
          <w:rFonts w:hint="cs"/>
          <w:rtl/>
        </w:rPr>
        <w:t xml:space="preserve">, </w:t>
      </w:r>
      <w:r w:rsidR="00726DED">
        <w:rPr>
          <w:rFonts w:hint="cs"/>
          <w:rtl/>
        </w:rPr>
        <w:t>שרטטו</w:t>
      </w:r>
      <w:r w:rsidR="00BC3743">
        <w:rPr>
          <w:rFonts w:hint="cs"/>
          <w:rtl/>
        </w:rPr>
        <w:t xml:space="preserve"> כמה מערכות גבול השונות מהתחומים שבמקרא. </w:t>
      </w:r>
    </w:p>
    <w:p w:rsidR="00050027" w:rsidRDefault="000D79C8" w:rsidP="00580C34">
      <w:r>
        <w:rPr>
          <w:rFonts w:hint="cs"/>
          <w:rtl/>
        </w:rPr>
        <w:t>ה</w:t>
      </w:r>
      <w:r w:rsidR="00050027">
        <w:rPr>
          <w:rFonts w:hint="cs"/>
          <w:rtl/>
        </w:rPr>
        <w:t>דיון</w:t>
      </w:r>
      <w:r w:rsidR="00580C34">
        <w:rPr>
          <w:rFonts w:hint="cs"/>
          <w:rtl/>
        </w:rPr>
        <w:t xml:space="preserve"> בדבר מרכיביה של התודעה</w:t>
      </w:r>
      <w:r w:rsidR="00050027">
        <w:rPr>
          <w:rFonts w:hint="cs"/>
          <w:rtl/>
        </w:rPr>
        <w:t xml:space="preserve"> הינו </w:t>
      </w:r>
      <w:r w:rsidR="00580C34">
        <w:rPr>
          <w:rFonts w:hint="cs"/>
          <w:rtl/>
        </w:rPr>
        <w:t>מסועף</w:t>
      </w:r>
      <w:r w:rsidR="00050027">
        <w:rPr>
          <w:rFonts w:hint="cs"/>
          <w:rtl/>
        </w:rPr>
        <w:t xml:space="preserve"> ורב פנים ויש בו שיקולים פוליטיים, בטחוניים וערכיים הקשורים לזהות ולזכרון. במהלך הדיון בספר הוצגה הטענה לפיה בניגוד לתפיסות יהודיות הלנסטיות שרווחו בתפוצה היהודית בימי הבית השני</w:t>
      </w:r>
      <w:r w:rsidR="00AB2B1B">
        <w:rPr>
          <w:rFonts w:hint="cs"/>
          <w:rtl/>
        </w:rPr>
        <w:t>,</w:t>
      </w:r>
      <w:r w:rsidR="00050027">
        <w:rPr>
          <w:rFonts w:hint="cs"/>
          <w:rtl/>
        </w:rPr>
        <w:t xml:space="preserve"> כמו כן בהיפוך מן הנצרות הקדו</w:t>
      </w:r>
      <w:r w:rsidR="00580C34">
        <w:rPr>
          <w:rFonts w:hint="cs"/>
          <w:rtl/>
        </w:rPr>
        <w:t xml:space="preserve">מה, יהודי ארץ ישראל בימי </w:t>
      </w:r>
      <w:r w:rsidR="00050027">
        <w:rPr>
          <w:rFonts w:hint="cs"/>
          <w:rtl/>
        </w:rPr>
        <w:t>הבית השני כמו גם התנאים ואמוראי</w:t>
      </w:r>
      <w:r w:rsidR="00B14912">
        <w:rPr>
          <w:rFonts w:hint="cs"/>
          <w:rtl/>
        </w:rPr>
        <w:t>ם</w:t>
      </w:r>
      <w:r w:rsidR="00050027">
        <w:rPr>
          <w:rFonts w:hint="cs"/>
          <w:rtl/>
        </w:rPr>
        <w:t xml:space="preserve"> ארץ ישראל</w:t>
      </w:r>
      <w:r w:rsidR="00AB2B1B">
        <w:rPr>
          <w:rFonts w:hint="cs"/>
          <w:rtl/>
        </w:rPr>
        <w:t>יים,</w:t>
      </w:r>
      <w:r w:rsidR="00050027">
        <w:rPr>
          <w:rFonts w:hint="cs"/>
          <w:rtl/>
        </w:rPr>
        <w:t xml:space="preserve"> ראו אל מול עינהם טריטוריה היעודה ליהודים. </w:t>
      </w:r>
    </w:p>
    <w:p w:rsidR="00580C34" w:rsidRDefault="00050027" w:rsidP="00050027">
      <w:pPr>
        <w:rPr>
          <w:rFonts w:hint="cs"/>
          <w:rtl/>
        </w:rPr>
      </w:pPr>
      <w:r w:rsidRPr="00050027">
        <w:rPr>
          <w:rFonts w:hint="cs"/>
          <w:rtl/>
        </w:rPr>
        <w:t xml:space="preserve"> </w:t>
      </w:r>
      <w:r>
        <w:rPr>
          <w:rFonts w:hint="cs"/>
          <w:rtl/>
        </w:rPr>
        <w:t>תפיסת התחומים</w:t>
      </w:r>
      <w:r w:rsidR="00AB2B1B">
        <w:rPr>
          <w:rFonts w:hint="cs"/>
          <w:rtl/>
        </w:rPr>
        <w:t xml:space="preserve"> של יהודי ארץ ארץ ישראל בעת העתיקה,</w:t>
      </w:r>
      <w:r>
        <w:rPr>
          <w:rFonts w:hint="cs"/>
          <w:rtl/>
        </w:rPr>
        <w:t xml:space="preserve"> הייתה אלסטית ודינמית ותחומיה של הארץ שורטטו על פי שלושה פרמטרים: הזכרון ההיסטורי שצופן בחובו גם תקוות לעתיד, המציאות הדמוגרפית והקונסטלציה הגיאופוליט</w:t>
      </w:r>
      <w:r w:rsidR="003B1401">
        <w:rPr>
          <w:rFonts w:hint="cs"/>
          <w:rtl/>
        </w:rPr>
        <w:t>י</w:t>
      </w:r>
      <w:r>
        <w:rPr>
          <w:rFonts w:hint="cs"/>
          <w:rtl/>
        </w:rPr>
        <w:t>ת.</w:t>
      </w:r>
    </w:p>
    <w:p w:rsidR="00BC6F0F" w:rsidRDefault="00726DED" w:rsidP="001102F2">
      <w:pPr>
        <w:rPr>
          <w:rFonts w:hint="cs"/>
          <w:rtl/>
        </w:rPr>
      </w:pPr>
      <w:r>
        <w:rPr>
          <w:rFonts w:hint="cs"/>
          <w:rtl/>
        </w:rPr>
        <w:t>הסכסוך הישראלי ערבי הוא גורם כבד משקל ביחס לסוגיות טריטוראליות</w:t>
      </w:r>
      <w:r w:rsidR="001102F2">
        <w:rPr>
          <w:rFonts w:hint="cs"/>
          <w:rtl/>
        </w:rPr>
        <w:t xml:space="preserve">, הזיקה של סוגיית הסכסוך לדיון שבספר הינה עקיפה. אלא שהדיון בסוגיות הנדונו בספר זה </w:t>
      </w:r>
      <w:r w:rsidR="00580C34">
        <w:rPr>
          <w:rFonts w:hint="cs"/>
          <w:rtl/>
        </w:rPr>
        <w:t xml:space="preserve"> הספר ביחס לעת העתיקה רלוונטים גם להבנת המורכבות ביחס לגבולות הארץ גם בעת החדשה</w:t>
      </w:r>
      <w:r w:rsidR="003B1401">
        <w:rPr>
          <w:rFonts w:hint="cs"/>
          <w:rtl/>
        </w:rPr>
        <w:t xml:space="preserve"> בתוך החברה הישראלית,</w:t>
      </w:r>
      <w:r w:rsidR="001102F2">
        <w:rPr>
          <w:rFonts w:hint="cs"/>
          <w:rtl/>
        </w:rPr>
        <w:t xml:space="preserve"> זאת כאמור</w:t>
      </w:r>
      <w:r w:rsidR="003B1401">
        <w:rPr>
          <w:rFonts w:hint="cs"/>
          <w:rtl/>
        </w:rPr>
        <w:t xml:space="preserve"> לצד השיקולים כבדי המשקל של בטחון ורגשות דתיים מוסלמיים</w:t>
      </w:r>
      <w:r w:rsidR="00580C34">
        <w:rPr>
          <w:rFonts w:hint="cs"/>
          <w:rtl/>
        </w:rPr>
        <w:t xml:space="preserve">. </w:t>
      </w:r>
    </w:p>
    <w:p w:rsidR="00050027" w:rsidRDefault="0052737C" w:rsidP="001102F2">
      <w:r>
        <w:rPr>
          <w:rFonts w:hint="cs"/>
          <w:rtl/>
        </w:rPr>
        <w:t xml:space="preserve">דוגמא לזיקה שבין מכלול הגורמים שעיצבו את תפיסת המרחב בעת העתיקה כפי שהיא משתקפת בספרות חז"ל, לבין האופן שבו נתפסו הגבולות בתנועה הציונית, מצוי בבחינה של אחד המעצבים של תחומי הארץ בתנועה הציונית ואחר כך בעיצוב גבולותיה של מדינת ישראל. </w:t>
      </w:r>
      <w:r w:rsidR="00050027">
        <w:rPr>
          <w:rFonts w:hint="cs"/>
          <w:rtl/>
        </w:rPr>
        <w:t xml:space="preserve"> </w:t>
      </w:r>
    </w:p>
    <w:p w:rsidR="00D77415" w:rsidRDefault="00AA6788" w:rsidP="00D77415">
      <w:pPr>
        <w:bidi/>
        <w:jc w:val="left"/>
        <w:rPr>
          <w:rtl/>
        </w:rPr>
      </w:pPr>
      <w:r>
        <w:rPr>
          <w:rFonts w:hint="cs"/>
          <w:rtl/>
        </w:rPr>
        <w:t>במהלך השנים בהם הנהיג דוד בן-גוריון את התנועה הציונית עוד לפני שהכריז על הקמת מדינת ישראל ב14 במאי 1948</w:t>
      </w:r>
      <w:r>
        <w:t xml:space="preserve">, </w:t>
      </w:r>
      <w:r w:rsidR="006E54F3">
        <w:rPr>
          <w:rFonts w:hint="cs"/>
          <w:rtl/>
        </w:rPr>
        <w:t xml:space="preserve"> </w:t>
      </w:r>
      <w:r>
        <w:rPr>
          <w:rFonts w:hint="cs"/>
          <w:rtl/>
        </w:rPr>
        <w:t xml:space="preserve">תמך בן גוריון יחד עם חיים ויצמן ומשה שרת בקו פרגמטי שנטה לקבל את "תכנית החלוקה" </w:t>
      </w:r>
      <w:r w:rsidRPr="00AA6788">
        <w:t>Partition Plan for Palestine</w:t>
      </w:r>
      <w:r>
        <w:rPr>
          <w:rFonts w:hint="cs"/>
          <w:rtl/>
        </w:rPr>
        <w:t xml:space="preserve"> של הארץ בין יהודים לערבים. זאת, תוך מאבק נוקב עם מתנגדים חריפים  לתוכנית כמו מנהיג הרויזיוניסטים זאב זבוטי</w:t>
      </w:r>
      <w:r w:rsidR="001102F2">
        <w:rPr>
          <w:rFonts w:hint="cs"/>
          <w:rtl/>
        </w:rPr>
        <w:t>נ</w:t>
      </w:r>
      <w:r>
        <w:rPr>
          <w:rFonts w:hint="cs"/>
          <w:rtl/>
        </w:rPr>
        <w:t>סקי, הקיבוץ המאוחד , תנועת ה</w:t>
      </w:r>
      <w:r w:rsidR="00D77415">
        <w:rPr>
          <w:rFonts w:hint="cs"/>
          <w:rtl/>
        </w:rPr>
        <w:t>מ</w:t>
      </w:r>
      <w:r>
        <w:rPr>
          <w:rFonts w:hint="cs"/>
          <w:rtl/>
        </w:rPr>
        <w:t>זרחי אגודת ישראל וקבוצות נוספות</w:t>
      </w:r>
      <w:r w:rsidR="00D77415">
        <w:rPr>
          <w:rFonts w:hint="cs"/>
          <w:rtl/>
        </w:rPr>
        <w:t xml:space="preserve">. </w:t>
      </w:r>
      <w:r w:rsidR="00B14912">
        <w:rPr>
          <w:rStyle w:val="FootnoteReference"/>
          <w:rtl/>
        </w:rPr>
        <w:footnoteReference w:id="2"/>
      </w:r>
    </w:p>
    <w:p w:rsidR="00D77415" w:rsidRDefault="00D77415" w:rsidP="00D77415">
      <w:pPr>
        <w:bidi/>
        <w:jc w:val="left"/>
        <w:rPr>
          <w:rtl/>
        </w:rPr>
      </w:pPr>
      <w:r>
        <w:rPr>
          <w:rFonts w:hint="cs"/>
          <w:rtl/>
        </w:rPr>
        <w:t>גם ההכרזה על הקמת "מדינה יהודית בארץ ישראל", הייתה פשרה עם מצדדי הקו המקסימלסטי שראו בהכרזה על מדינה מצומצת</w:t>
      </w:r>
      <w:r>
        <w:rPr>
          <w:rStyle w:val="FootnoteReference"/>
          <w:rtl/>
        </w:rPr>
        <w:footnoteReference w:id="3"/>
      </w:r>
      <w:r>
        <w:rPr>
          <w:rFonts w:hint="cs"/>
          <w:rtl/>
        </w:rPr>
        <w:t xml:space="preserve"> מעשה שגוי. </w:t>
      </w:r>
    </w:p>
    <w:p w:rsidR="00F51BE4" w:rsidRDefault="003B1401" w:rsidP="00FF58F3">
      <w:pPr>
        <w:pStyle w:val="NormalWeb"/>
        <w:shd w:val="clear" w:color="auto" w:fill="FFFFFF"/>
        <w:spacing w:before="120" w:beforeAutospacing="0" w:after="120" w:afterAutospacing="0"/>
        <w:rPr>
          <w:rFonts w:ascii="Arial" w:hAnsi="Arial" w:cs="Arial"/>
          <w:color w:val="222222"/>
          <w:sz w:val="21"/>
          <w:szCs w:val="21"/>
        </w:rPr>
      </w:pPr>
      <w:r>
        <w:rPr>
          <w:rFonts w:hint="cs"/>
          <w:rtl/>
        </w:rPr>
        <w:t>אלא ש</w:t>
      </w:r>
      <w:r w:rsidR="00D77415">
        <w:rPr>
          <w:rFonts w:hint="cs"/>
          <w:rtl/>
        </w:rPr>
        <w:t xml:space="preserve">לצד היותו של בן-גוריון מנהיג פרגמטי נכון לפשרות ובכללן פשרות טריטוראליות, מיד אחרי מלחמת סיני בסוף שנת 1956, בה כבשה ישראל את חצי האיסיני והגיעה עד לאיים סנפיר וטיראן הכריז ראש הממשלה דאז </w:t>
      </w:r>
      <w:r w:rsidR="00D77415">
        <w:rPr>
          <w:rFonts w:hint="cs"/>
          <w:rtl/>
        </w:rPr>
        <w:lastRenderedPageBreak/>
        <w:t xml:space="preserve">דוד בן-גוריון: </w:t>
      </w:r>
      <w:r w:rsidR="00D77415">
        <w:rPr>
          <w:rFonts w:ascii="Arial" w:hAnsi="Arial" w:cs="Arial"/>
          <w:color w:val="222222"/>
          <w:sz w:val="21"/>
          <w:szCs w:val="21"/>
          <w:rtl/>
        </w:rPr>
        <w:t xml:space="preserve">הבאתם לסיום מוצלח המבצע הצבאי הגדול והמפואר ביותר בתולדות עמנו ואחד המבצעים המופלאים בתולדות העמים. שוב נוכל לשיר שירת משה ובני ישראל העתיקה: שמעו עמים ירגזון, חיל אחז יושבי פלשת, אז נבהלו אלופי אדום, אילי מואב יאחזמו רעד, נמוגו כל יושבי כנען, תיפול עליהם אימתה ופחד. אילת שוב </w:t>
      </w:r>
    </w:p>
    <w:p w:rsidR="00D77415" w:rsidRDefault="00F51BE4" w:rsidP="00E87EFA">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shd w:val="clear" w:color="auto" w:fill="FFFFFF"/>
        </w:rPr>
        <w:t>(</w:t>
      </w:r>
      <w:proofErr w:type="gramStart"/>
      <w:r>
        <w:rPr>
          <w:rFonts w:ascii="Arial" w:hAnsi="Arial" w:cs="Arial"/>
          <w:color w:val="222222"/>
          <w:sz w:val="21"/>
          <w:szCs w:val="21"/>
          <w:shd w:val="clear" w:color="auto" w:fill="FFFFFF"/>
        </w:rPr>
        <w:t>located</w:t>
      </w:r>
      <w:proofErr w:type="gramEnd"/>
      <w:r>
        <w:rPr>
          <w:rFonts w:ascii="Arial" w:hAnsi="Arial" w:cs="Arial"/>
          <w:color w:val="222222"/>
          <w:sz w:val="21"/>
          <w:szCs w:val="21"/>
          <w:shd w:val="clear" w:color="auto" w:fill="FFFFFF"/>
        </w:rPr>
        <w:t xml:space="preserve"> at the entrance of the </w:t>
      </w:r>
      <w:hyperlink r:id="rId8" w:tooltip="Straits of Tiran" w:history="1">
        <w:r>
          <w:rPr>
            <w:rStyle w:val="Hyperlink"/>
            <w:rFonts w:ascii="Arial" w:hAnsi="Arial" w:cs="Arial"/>
            <w:color w:val="0B0080"/>
            <w:sz w:val="21"/>
            <w:szCs w:val="21"/>
            <w:shd w:val="clear" w:color="auto" w:fill="FFFFFF"/>
          </w:rPr>
          <w:t>Straits of Tiran</w:t>
        </w:r>
      </w:hyperlink>
      <w:r>
        <w:rPr>
          <w:rFonts w:ascii="Arial" w:hAnsi="Arial" w:cs="Arial"/>
          <w:color w:val="222222"/>
          <w:sz w:val="21"/>
          <w:szCs w:val="21"/>
          <w:shd w:val="clear" w:color="auto" w:fill="FFFFFF"/>
        </w:rPr>
        <w:t>, which connects the </w:t>
      </w:r>
      <w:hyperlink r:id="rId9" w:tooltip="Red Sea" w:history="1">
        <w:r>
          <w:rPr>
            <w:rStyle w:val="Hyperlink"/>
            <w:rFonts w:ascii="Arial" w:hAnsi="Arial" w:cs="Arial"/>
            <w:color w:val="0B0080"/>
            <w:sz w:val="21"/>
            <w:szCs w:val="21"/>
            <w:shd w:val="clear" w:color="auto" w:fill="FFFFFF"/>
          </w:rPr>
          <w:t>Red Sea</w:t>
        </w:r>
      </w:hyperlink>
      <w:r>
        <w:rPr>
          <w:rFonts w:ascii="Arial" w:hAnsi="Arial" w:cs="Arial"/>
          <w:color w:val="222222"/>
          <w:sz w:val="21"/>
          <w:szCs w:val="21"/>
          <w:shd w:val="clear" w:color="auto" w:fill="FFFFFF"/>
        </w:rPr>
        <w:t> to the </w:t>
      </w:r>
      <w:hyperlink r:id="rId10" w:tooltip="Gulf of Aqaba" w:history="1">
        <w:r>
          <w:rPr>
            <w:rStyle w:val="Hyperlink"/>
            <w:rFonts w:ascii="Arial" w:hAnsi="Arial" w:cs="Arial"/>
            <w:color w:val="0B0080"/>
            <w:sz w:val="21"/>
            <w:szCs w:val="21"/>
            <w:shd w:val="clear" w:color="auto" w:fill="FFFFFF"/>
          </w:rPr>
          <w:t>Gulf of Aqaba</w:t>
        </w:r>
      </w:hyperlink>
      <w:r>
        <w:rPr>
          <w:rFonts w:ascii="Arial" w:hAnsi="Arial" w:cs="Arial"/>
          <w:color w:val="222222"/>
          <w:sz w:val="21"/>
          <w:szCs w:val="21"/>
        </w:rPr>
        <w:t>)</w:t>
      </w:r>
      <w:r w:rsidR="00D77415">
        <w:rPr>
          <w:rFonts w:ascii="Arial" w:hAnsi="Arial" w:cs="Arial"/>
          <w:color w:val="222222"/>
          <w:sz w:val="21"/>
          <w:szCs w:val="21"/>
          <w:rtl/>
        </w:rPr>
        <w:t>, תשוב להיות חלק מ</w:t>
      </w:r>
      <w:r w:rsidR="00D77415">
        <w:rPr>
          <w:rFonts w:ascii="Arial" w:hAnsi="Arial" w:cs="Arial"/>
          <w:b/>
          <w:bCs/>
          <w:color w:val="222222"/>
          <w:sz w:val="21"/>
          <w:szCs w:val="21"/>
          <w:rtl/>
        </w:rPr>
        <w:t>מלכות ישראל השלישית</w:t>
      </w:r>
      <w:r w:rsidR="00D77415">
        <w:rPr>
          <w:rFonts w:ascii="Arial" w:hAnsi="Arial" w:cs="Arial"/>
          <w:color w:val="222222"/>
          <w:sz w:val="21"/>
          <w:szCs w:val="21"/>
        </w:rPr>
        <w:t>.</w:t>
      </w:r>
    </w:p>
    <w:p w:rsidR="00E87EFA" w:rsidRDefault="00E87EFA" w:rsidP="00E87EFA">
      <w:pPr>
        <w:pStyle w:val="NormalWeb"/>
        <w:shd w:val="clear" w:color="auto" w:fill="FFFFFF"/>
        <w:spacing w:before="120" w:beforeAutospacing="0" w:after="120" w:afterAutospacing="0"/>
        <w:rPr>
          <w:rFonts w:ascii="Arial" w:hAnsi="Arial" w:cs="Arial"/>
          <w:color w:val="222222"/>
          <w:sz w:val="21"/>
          <w:szCs w:val="21"/>
        </w:rPr>
      </w:pPr>
    </w:p>
    <w:p w:rsidR="00D65EF2" w:rsidRDefault="003B1401" w:rsidP="00F17085">
      <w:pPr>
        <w:pStyle w:val="NormalWeb"/>
        <w:shd w:val="clear" w:color="auto" w:fill="FFFFFF"/>
        <w:spacing w:before="120" w:beforeAutospacing="0" w:after="120" w:afterAutospacing="0"/>
        <w:jc w:val="right"/>
        <w:rPr>
          <w:rFonts w:ascii="Arial" w:hAnsi="Arial" w:cs="Arial" w:hint="cs"/>
          <w:color w:val="222222"/>
          <w:sz w:val="21"/>
          <w:szCs w:val="21"/>
          <w:rtl/>
        </w:rPr>
      </w:pPr>
      <w:r>
        <w:rPr>
          <w:rFonts w:ascii="Arial" w:hAnsi="Arial" w:cs="Arial" w:hint="cs"/>
          <w:color w:val="222222"/>
          <w:sz w:val="21"/>
          <w:szCs w:val="21"/>
          <w:rtl/>
        </w:rPr>
        <w:t xml:space="preserve">העולה מכך הוא, כי </w:t>
      </w:r>
      <w:r w:rsidR="00E87EFA">
        <w:rPr>
          <w:rFonts w:ascii="Arial" w:hAnsi="Arial" w:cs="Arial" w:hint="cs"/>
          <w:color w:val="222222"/>
          <w:sz w:val="21"/>
          <w:szCs w:val="21"/>
          <w:rtl/>
        </w:rPr>
        <w:t>הגישה הפרגמטית המוכנה לאלסטיות</w:t>
      </w:r>
      <w:r>
        <w:rPr>
          <w:rFonts w:ascii="Arial" w:hAnsi="Arial" w:cs="Arial" w:hint="cs"/>
          <w:color w:val="222222"/>
          <w:sz w:val="21"/>
          <w:szCs w:val="21"/>
          <w:rtl/>
        </w:rPr>
        <w:t xml:space="preserve"> ולפשרה</w:t>
      </w:r>
      <w:r w:rsidR="00E87EFA">
        <w:rPr>
          <w:rFonts w:ascii="Arial" w:hAnsi="Arial" w:cs="Arial" w:hint="cs"/>
          <w:color w:val="222222"/>
          <w:sz w:val="21"/>
          <w:szCs w:val="21"/>
          <w:rtl/>
        </w:rPr>
        <w:t xml:space="preserve"> ביחס לגבולות הארץ, לא </w:t>
      </w:r>
      <w:r w:rsidR="00D65EF2">
        <w:rPr>
          <w:rFonts w:ascii="Arial" w:hAnsi="Arial" w:cs="Arial" w:hint="cs"/>
          <w:color w:val="222222"/>
          <w:sz w:val="21"/>
          <w:szCs w:val="21"/>
          <w:rtl/>
        </w:rPr>
        <w:t>מחקה</w:t>
      </w:r>
      <w:r w:rsidR="00E87EFA">
        <w:rPr>
          <w:rFonts w:ascii="Arial" w:hAnsi="Arial" w:cs="Arial" w:hint="cs"/>
          <w:color w:val="222222"/>
          <w:sz w:val="21"/>
          <w:szCs w:val="21"/>
          <w:rtl/>
        </w:rPr>
        <w:t xml:space="preserve"> אצל דוד בן-גוריון את </w:t>
      </w:r>
      <w:r w:rsidR="007E6561">
        <w:rPr>
          <w:rFonts w:ascii="Arial" w:hAnsi="Arial" w:cs="Arial" w:hint="cs"/>
          <w:color w:val="222222"/>
          <w:sz w:val="21"/>
          <w:szCs w:val="21"/>
          <w:rtl/>
        </w:rPr>
        <w:t>ה</w:t>
      </w:r>
      <w:r w:rsidR="00E87EFA">
        <w:rPr>
          <w:rFonts w:ascii="Arial" w:hAnsi="Arial" w:cs="Arial" w:hint="cs"/>
          <w:color w:val="222222"/>
          <w:sz w:val="21"/>
          <w:szCs w:val="21"/>
          <w:rtl/>
        </w:rPr>
        <w:t>זכרון</w:t>
      </w:r>
      <w:r w:rsidR="007E6561">
        <w:rPr>
          <w:rFonts w:ascii="Arial" w:hAnsi="Arial" w:cs="Arial" w:hint="cs"/>
          <w:color w:val="222222"/>
          <w:sz w:val="21"/>
          <w:szCs w:val="21"/>
          <w:rtl/>
        </w:rPr>
        <w:t xml:space="preserve"> והכמיהה</w:t>
      </w:r>
      <w:r w:rsidR="00E87EFA">
        <w:rPr>
          <w:rFonts w:ascii="Arial" w:hAnsi="Arial" w:cs="Arial" w:hint="cs"/>
          <w:color w:val="222222"/>
          <w:sz w:val="21"/>
          <w:szCs w:val="21"/>
          <w:rtl/>
        </w:rPr>
        <w:t xml:space="preserve"> </w:t>
      </w:r>
      <w:r w:rsidR="007E6561">
        <w:rPr>
          <w:rFonts w:ascii="Arial" w:hAnsi="Arial" w:cs="Arial" w:hint="cs"/>
          <w:color w:val="222222"/>
          <w:sz w:val="21"/>
          <w:szCs w:val="21"/>
          <w:rtl/>
        </w:rPr>
        <w:t>ל</w:t>
      </w:r>
      <w:r w:rsidR="00E87EFA">
        <w:rPr>
          <w:rFonts w:ascii="Arial" w:hAnsi="Arial" w:cs="Arial" w:hint="cs"/>
          <w:color w:val="222222"/>
          <w:sz w:val="21"/>
          <w:szCs w:val="21"/>
          <w:rtl/>
        </w:rPr>
        <w:t>"מלכות ישראל"</w:t>
      </w:r>
      <w:r w:rsidR="0045615F">
        <w:rPr>
          <w:rFonts w:ascii="Arial" w:hAnsi="Arial" w:cs="Arial" w:hint="cs"/>
          <w:color w:val="222222"/>
          <w:sz w:val="21"/>
          <w:szCs w:val="21"/>
          <w:rtl/>
        </w:rPr>
        <w:t>, כמיהה שהובעה בשעה של התרחבות זמנית של גבולות המדינה הצעירה</w:t>
      </w:r>
      <w:r w:rsidR="00F17085">
        <w:rPr>
          <w:rFonts w:ascii="Arial" w:hAnsi="Arial" w:cs="Arial" w:hint="cs"/>
          <w:color w:val="222222"/>
          <w:sz w:val="21"/>
          <w:szCs w:val="21"/>
          <w:rtl/>
        </w:rPr>
        <w:t xml:space="preserve">, כאשר הוא עצמו היה ממובילי הקו הפרגמטי </w:t>
      </w:r>
      <w:r w:rsidR="00F17085">
        <w:rPr>
          <w:rFonts w:ascii="Arial" w:hAnsi="Arial" w:cs="Arial"/>
          <w:color w:val="222222"/>
          <w:sz w:val="21"/>
          <w:szCs w:val="21"/>
          <w:rtl/>
        </w:rPr>
        <w:t>–</w:t>
      </w:r>
      <w:r w:rsidR="00F17085">
        <w:rPr>
          <w:rFonts w:ascii="Arial" w:hAnsi="Arial" w:cs="Arial" w:hint="cs"/>
          <w:color w:val="222222"/>
          <w:sz w:val="21"/>
          <w:szCs w:val="21"/>
          <w:rtl/>
        </w:rPr>
        <w:t>פשרני ביחס לתחומי הארץ</w:t>
      </w:r>
      <w:r w:rsidR="00E87EFA">
        <w:rPr>
          <w:rFonts w:ascii="Arial" w:hAnsi="Arial" w:cs="Arial" w:hint="cs"/>
          <w:color w:val="222222"/>
          <w:sz w:val="21"/>
          <w:szCs w:val="21"/>
          <w:rtl/>
        </w:rPr>
        <w:t>.</w:t>
      </w:r>
    </w:p>
    <w:p w:rsidR="00743B17" w:rsidRDefault="00113443" w:rsidP="00113443">
      <w:pPr>
        <w:pStyle w:val="NormalWeb"/>
        <w:shd w:val="clear" w:color="auto" w:fill="FFFFFF"/>
        <w:spacing w:before="120" w:beforeAutospacing="0" w:after="120" w:afterAutospacing="0"/>
        <w:jc w:val="right"/>
        <w:rPr>
          <w:rFonts w:ascii="Arial" w:hAnsi="Arial" w:cs="Arial"/>
          <w:color w:val="222222"/>
          <w:sz w:val="21"/>
          <w:szCs w:val="21"/>
        </w:rPr>
      </w:pPr>
      <w:r>
        <w:rPr>
          <w:rFonts w:ascii="Arial" w:hAnsi="Arial" w:cs="Arial" w:hint="cs"/>
          <w:color w:val="222222"/>
          <w:sz w:val="21"/>
          <w:szCs w:val="21"/>
          <w:rtl/>
        </w:rPr>
        <w:t xml:space="preserve">המרחב הלאומי והדתי במדינת ישראל היום זרוע במקומות הנתפסים כ"מקומות קדושים". </w:t>
      </w:r>
      <w:r w:rsidR="00743B17">
        <w:rPr>
          <w:rFonts w:ascii="Arial" w:hAnsi="Arial" w:cs="Arial" w:hint="cs"/>
          <w:color w:val="222222"/>
          <w:sz w:val="21"/>
          <w:szCs w:val="21"/>
          <w:rtl/>
        </w:rPr>
        <w:t>מפת ישראל היום בכלל והגליל בפרט</w:t>
      </w:r>
      <w:r w:rsidR="0045615F">
        <w:rPr>
          <w:rFonts w:ascii="Arial" w:hAnsi="Arial" w:cs="Arial" w:hint="cs"/>
          <w:color w:val="222222"/>
          <w:sz w:val="21"/>
          <w:szCs w:val="21"/>
          <w:rtl/>
        </w:rPr>
        <w:t>,</w:t>
      </w:r>
      <w:r w:rsidR="00743B17">
        <w:rPr>
          <w:rFonts w:ascii="Arial" w:hAnsi="Arial" w:cs="Arial" w:hint="cs"/>
          <w:color w:val="222222"/>
          <w:sz w:val="21"/>
          <w:szCs w:val="21"/>
          <w:rtl/>
        </w:rPr>
        <w:t xml:space="preserve"> זרועה במקומות קדושים לאורך הדרכים.</w:t>
      </w:r>
      <w:r w:rsidR="00F6000C">
        <w:rPr>
          <w:rStyle w:val="FootnoteReference"/>
          <w:rFonts w:ascii="Arial" w:hAnsi="Arial" w:cs="Arial"/>
          <w:color w:val="222222"/>
          <w:sz w:val="21"/>
          <w:szCs w:val="21"/>
          <w:rtl/>
        </w:rPr>
        <w:footnoteReference w:id="4"/>
      </w:r>
      <w:r w:rsidR="00743B17">
        <w:rPr>
          <w:rFonts w:ascii="Arial" w:hAnsi="Arial" w:cs="Arial" w:hint="cs"/>
          <w:color w:val="222222"/>
          <w:sz w:val="21"/>
          <w:szCs w:val="21"/>
          <w:rtl/>
        </w:rPr>
        <w:t xml:space="preserve"> כפי שתואר לע</w:t>
      </w:r>
      <w:r w:rsidR="006F0735">
        <w:rPr>
          <w:rFonts w:ascii="Arial" w:hAnsi="Arial" w:cs="Arial" w:hint="cs"/>
          <w:color w:val="222222"/>
          <w:sz w:val="21"/>
          <w:szCs w:val="21"/>
          <w:rtl/>
        </w:rPr>
        <w:t>יל בפרק השישי, מפה זו איננה חלק מהנוף המשתקף בספרות חז"ל</w:t>
      </w:r>
      <w:r w:rsidR="0045615F">
        <w:rPr>
          <w:rFonts w:ascii="Arial" w:hAnsi="Arial" w:cs="Arial" w:hint="cs"/>
          <w:color w:val="222222"/>
          <w:sz w:val="21"/>
          <w:szCs w:val="21"/>
          <w:rtl/>
        </w:rPr>
        <w:t>. מפת ארץ ישראל כזרועה במקומות קדושים, היא דווקא מפת מידבא</w:t>
      </w:r>
      <w:r w:rsidR="0092415C">
        <w:rPr>
          <w:rFonts w:ascii="Arial" w:hAnsi="Arial" w:cs="Arial" w:hint="cs"/>
          <w:color w:val="222222"/>
          <w:sz w:val="21"/>
          <w:szCs w:val="21"/>
          <w:rtl/>
        </w:rPr>
        <w:t xml:space="preserve"> הנוצרית</w:t>
      </w:r>
      <w:r w:rsidR="005E4E60">
        <w:rPr>
          <w:rFonts w:ascii="Arial" w:hAnsi="Arial" w:cs="Arial" w:hint="cs"/>
          <w:color w:val="222222"/>
          <w:sz w:val="21"/>
          <w:szCs w:val="21"/>
          <w:rtl/>
        </w:rPr>
        <w:t xml:space="preserve"> מן המאה השישית לספירה</w:t>
      </w:r>
      <w:r w:rsidR="0092415C">
        <w:rPr>
          <w:rFonts w:ascii="Arial" w:hAnsi="Arial" w:cs="Arial" w:hint="cs"/>
          <w:color w:val="222222"/>
          <w:sz w:val="21"/>
          <w:szCs w:val="21"/>
          <w:rtl/>
        </w:rPr>
        <w:t xml:space="preserve"> </w:t>
      </w:r>
      <w:r w:rsidR="0045615F">
        <w:rPr>
          <w:rFonts w:ascii="Arial" w:hAnsi="Arial" w:cs="Arial" w:hint="cs"/>
          <w:color w:val="222222"/>
          <w:sz w:val="21"/>
          <w:szCs w:val="21"/>
          <w:rtl/>
        </w:rPr>
        <w:t xml:space="preserve">.  </w:t>
      </w:r>
    </w:p>
    <w:p w:rsidR="00A94EA8" w:rsidRDefault="00AF7D20" w:rsidP="00A94EA8">
      <w:pPr>
        <w:pStyle w:val="NormalWeb"/>
        <w:shd w:val="clear" w:color="auto" w:fill="FFFFFF"/>
        <w:spacing w:before="120" w:beforeAutospacing="0" w:after="120" w:afterAutospacing="0"/>
        <w:jc w:val="right"/>
        <w:rPr>
          <w:rFonts w:ascii="Arial" w:hAnsi="Arial" w:cs="Arial"/>
          <w:color w:val="222222"/>
          <w:sz w:val="21"/>
          <w:szCs w:val="21"/>
        </w:rPr>
      </w:pPr>
      <w:r>
        <w:rPr>
          <w:rFonts w:ascii="Arial" w:hAnsi="Arial" w:cs="Arial" w:hint="cs"/>
          <w:color w:val="222222"/>
          <w:sz w:val="21"/>
          <w:szCs w:val="21"/>
          <w:rtl/>
        </w:rPr>
        <w:t xml:space="preserve">אלא שרישומם של המקומות הקדושים מהעת העתיקה בדרך כלל לא השתמר ועם דעיכת היישוב היהודי נשכח גם מיקומם. </w:t>
      </w:r>
      <w:r w:rsidR="003E3020">
        <w:rPr>
          <w:rFonts w:ascii="Arial" w:hAnsi="Arial" w:cs="Arial" w:hint="cs"/>
          <w:color w:val="222222"/>
          <w:sz w:val="21"/>
          <w:szCs w:val="21"/>
          <w:rtl/>
        </w:rPr>
        <w:t>במהלך האלף השני לספירה, החל מהמאה ה-12 הועלו התפיסות העממיות על הכתב</w:t>
      </w:r>
      <w:r w:rsidR="00E02C3B">
        <w:rPr>
          <w:rFonts w:ascii="Arial" w:hAnsi="Arial" w:cs="Arial" w:hint="cs"/>
          <w:color w:val="222222"/>
          <w:sz w:val="21"/>
          <w:szCs w:val="21"/>
          <w:rtl/>
        </w:rPr>
        <w:t xml:space="preserve"> והשאירו את</w:t>
      </w:r>
      <w:r w:rsidR="00743B17">
        <w:rPr>
          <w:rFonts w:ascii="Arial" w:hAnsi="Arial" w:cs="Arial" w:hint="cs"/>
          <w:color w:val="222222"/>
          <w:sz w:val="21"/>
          <w:szCs w:val="21"/>
          <w:rtl/>
        </w:rPr>
        <w:t xml:space="preserve"> רישומם במרחב כ"קברי קדושים",</w:t>
      </w:r>
      <w:r w:rsidR="00E02C3B">
        <w:rPr>
          <w:rFonts w:ascii="Arial" w:hAnsi="Arial" w:cs="Arial" w:hint="cs"/>
          <w:color w:val="222222"/>
          <w:sz w:val="21"/>
          <w:szCs w:val="21"/>
          <w:rtl/>
        </w:rPr>
        <w:t xml:space="preserve"> הועלו על הכתב</w:t>
      </w:r>
      <w:r w:rsidR="003E3020">
        <w:rPr>
          <w:rFonts w:ascii="Arial" w:hAnsi="Arial" w:cs="Arial" w:hint="cs"/>
          <w:color w:val="222222"/>
          <w:sz w:val="21"/>
          <w:szCs w:val="21"/>
          <w:rtl/>
        </w:rPr>
        <w:t xml:space="preserve"> ולכן הגיעו לידינו</w:t>
      </w:r>
      <w:r w:rsidR="00E02C3B">
        <w:rPr>
          <w:rFonts w:ascii="Arial" w:hAnsi="Arial" w:cs="Arial" w:hint="cs"/>
          <w:color w:val="222222"/>
          <w:sz w:val="21"/>
          <w:szCs w:val="21"/>
          <w:rtl/>
        </w:rPr>
        <w:t>.</w:t>
      </w:r>
      <w:r w:rsidR="00A94EA8">
        <w:rPr>
          <w:rFonts w:ascii="Arial" w:hAnsi="Arial" w:cs="Arial" w:hint="cs"/>
          <w:color w:val="222222"/>
          <w:sz w:val="21"/>
          <w:szCs w:val="21"/>
          <w:rtl/>
        </w:rPr>
        <w:t xml:space="preserve"> הסיבות להתרבותם של המקומות הקדושים הן מגוונות ונוגעות לאמונה, פולקלור</w:t>
      </w:r>
      <w:r w:rsidR="009D7B83">
        <w:rPr>
          <w:rStyle w:val="FootnoteReference"/>
          <w:rFonts w:ascii="Arial" w:hAnsi="Arial" w:cs="Arial"/>
          <w:color w:val="222222"/>
          <w:sz w:val="21"/>
          <w:szCs w:val="21"/>
          <w:rtl/>
        </w:rPr>
        <w:footnoteReference w:id="5"/>
      </w:r>
      <w:r w:rsidR="00A94EA8">
        <w:rPr>
          <w:rFonts w:ascii="Arial" w:hAnsi="Arial" w:cs="Arial" w:hint="cs"/>
          <w:color w:val="222222"/>
          <w:sz w:val="21"/>
          <w:szCs w:val="21"/>
          <w:rtl/>
        </w:rPr>
        <w:t xml:space="preserve"> ואף לנסיבות פולטיות.</w:t>
      </w:r>
      <w:r w:rsidR="002D63F3">
        <w:rPr>
          <w:rStyle w:val="FootnoteReference"/>
          <w:rFonts w:ascii="Arial" w:hAnsi="Arial" w:cs="Arial"/>
          <w:color w:val="222222"/>
          <w:sz w:val="21"/>
          <w:szCs w:val="21"/>
          <w:rtl/>
        </w:rPr>
        <w:footnoteReference w:id="6"/>
      </w:r>
    </w:p>
    <w:p w:rsidR="00EA5F6C" w:rsidRDefault="00A94EA8" w:rsidP="00A94EA8">
      <w:pPr>
        <w:pStyle w:val="NormalWeb"/>
        <w:shd w:val="clear" w:color="auto" w:fill="FFFFFF"/>
        <w:spacing w:before="120" w:beforeAutospacing="0" w:after="120" w:afterAutospacing="0"/>
        <w:jc w:val="right"/>
        <w:rPr>
          <w:rFonts w:ascii="Arial" w:hAnsi="Arial" w:cs="Arial"/>
          <w:color w:val="222222"/>
          <w:sz w:val="21"/>
          <w:szCs w:val="21"/>
        </w:rPr>
      </w:pPr>
      <w:r>
        <w:rPr>
          <w:rFonts w:ascii="Arial" w:hAnsi="Arial" w:cs="Arial" w:hint="cs"/>
          <w:color w:val="222222"/>
          <w:sz w:val="21"/>
          <w:szCs w:val="21"/>
          <w:rtl/>
        </w:rPr>
        <w:t>הניגוד בין נוף הארץ המשתקף ממפת מידבא לבין הספרות היהודית בעת העתיקה נובע לדעתי לא רק מהעובדה שמפת מידבא מאוחרת בכמה מאות שנים להתהוותה של חלק גדול מספרות חז"ל. על פי הנטען בפרקים השישי והשביעי, חכמים בחרו שלא להתייחס למקומות קדושים יהודים ונוצרים, שהיו מצויים ברחבי הארץ</w:t>
      </w:r>
      <w:r w:rsidR="00D8289C">
        <w:rPr>
          <w:rFonts w:ascii="Arial" w:hAnsi="Arial" w:cs="Arial" w:hint="cs"/>
          <w:color w:val="222222"/>
          <w:sz w:val="21"/>
          <w:szCs w:val="21"/>
          <w:rtl/>
        </w:rPr>
        <w:t>. לפיכך אפיונה של תכסית הארץ</w:t>
      </w:r>
      <w:r w:rsidR="005E4E60">
        <w:rPr>
          <w:rFonts w:ascii="Arial" w:hAnsi="Arial" w:cs="Arial" w:hint="cs"/>
          <w:color w:val="222222"/>
          <w:sz w:val="21"/>
          <w:szCs w:val="21"/>
          <w:rtl/>
        </w:rPr>
        <w:t xml:space="preserve"> המשתקפת</w:t>
      </w:r>
      <w:r w:rsidR="00D8289C">
        <w:rPr>
          <w:rFonts w:ascii="Arial" w:hAnsi="Arial" w:cs="Arial" w:hint="cs"/>
          <w:color w:val="222222"/>
          <w:sz w:val="21"/>
          <w:szCs w:val="21"/>
          <w:rtl/>
        </w:rPr>
        <w:t xml:space="preserve"> בספרות חכמים</w:t>
      </w:r>
      <w:r w:rsidR="005E4E60">
        <w:rPr>
          <w:rFonts w:ascii="Arial" w:hAnsi="Arial" w:cs="Arial" w:hint="cs"/>
          <w:color w:val="222222"/>
          <w:sz w:val="21"/>
          <w:szCs w:val="21"/>
          <w:rtl/>
        </w:rPr>
        <w:t>,</w:t>
      </w:r>
      <w:r w:rsidR="00D8289C">
        <w:rPr>
          <w:rFonts w:ascii="Arial" w:hAnsi="Arial" w:cs="Arial" w:hint="cs"/>
          <w:color w:val="222222"/>
          <w:sz w:val="21"/>
          <w:szCs w:val="21"/>
          <w:rtl/>
        </w:rPr>
        <w:t xml:space="preserve"> משולב באופן הדוק עם ת</w:t>
      </w:r>
      <w:r w:rsidR="00F6000C">
        <w:rPr>
          <w:rFonts w:ascii="Arial" w:hAnsi="Arial" w:cs="Arial" w:hint="cs"/>
          <w:color w:val="222222"/>
          <w:sz w:val="21"/>
          <w:szCs w:val="21"/>
          <w:rtl/>
        </w:rPr>
        <w:t>פיסות של זהות ותפיסות דתיות שעיצ</w:t>
      </w:r>
      <w:r w:rsidR="00D8289C">
        <w:rPr>
          <w:rFonts w:ascii="Arial" w:hAnsi="Arial" w:cs="Arial" w:hint="cs"/>
          <w:color w:val="222222"/>
          <w:sz w:val="21"/>
          <w:szCs w:val="21"/>
          <w:rtl/>
        </w:rPr>
        <w:t xml:space="preserve">בו את האופן שבו מתואר המרחב. </w:t>
      </w:r>
      <w:r w:rsidR="00090902">
        <w:rPr>
          <w:rFonts w:ascii="Arial" w:hAnsi="Arial" w:cs="Arial" w:hint="cs"/>
          <w:color w:val="222222"/>
          <w:sz w:val="21"/>
          <w:szCs w:val="21"/>
          <w:rtl/>
        </w:rPr>
        <w:t xml:space="preserve">לפיכך הפער בין דימוי הארץ המשתקף בספרות חכמים לבין מפת המקומות הקדושים בארץ היא לא רק תולדה של התרבותם, אלא גם כתוצאה מאופייה של ספרות חכמים. </w:t>
      </w:r>
      <w:r>
        <w:rPr>
          <w:rFonts w:ascii="Arial" w:hAnsi="Arial" w:cs="Arial" w:hint="cs"/>
          <w:color w:val="222222"/>
          <w:sz w:val="21"/>
          <w:szCs w:val="21"/>
          <w:rtl/>
        </w:rPr>
        <w:t xml:space="preserve"> </w:t>
      </w:r>
    </w:p>
    <w:p w:rsidR="003E3020" w:rsidRDefault="00E02C3B" w:rsidP="00EA5F6C">
      <w:pPr>
        <w:pStyle w:val="NormalWeb"/>
        <w:shd w:val="clear" w:color="auto" w:fill="FFFFFF"/>
        <w:spacing w:before="120" w:beforeAutospacing="0" w:after="120" w:afterAutospacing="0"/>
        <w:jc w:val="right"/>
        <w:rPr>
          <w:rFonts w:ascii="Arial" w:hAnsi="Arial" w:cs="Arial"/>
          <w:color w:val="222222"/>
          <w:sz w:val="21"/>
          <w:szCs w:val="21"/>
        </w:rPr>
      </w:pPr>
      <w:r>
        <w:rPr>
          <w:rFonts w:ascii="Arial" w:hAnsi="Arial" w:cs="Arial" w:hint="cs"/>
          <w:color w:val="222222"/>
          <w:sz w:val="21"/>
          <w:szCs w:val="21"/>
          <w:rtl/>
        </w:rPr>
        <w:t xml:space="preserve"> </w:t>
      </w:r>
    </w:p>
    <w:p w:rsidR="007E6561" w:rsidRDefault="007E6561" w:rsidP="00E87EFA">
      <w:pPr>
        <w:pStyle w:val="NormalWeb"/>
        <w:shd w:val="clear" w:color="auto" w:fill="FFFFFF"/>
        <w:spacing w:before="120" w:beforeAutospacing="0" w:after="120" w:afterAutospacing="0"/>
        <w:jc w:val="right"/>
        <w:rPr>
          <w:rFonts w:ascii="Arial" w:hAnsi="Arial" w:cs="Arial"/>
          <w:color w:val="222222"/>
          <w:sz w:val="21"/>
          <w:szCs w:val="21"/>
          <w:rtl/>
        </w:rPr>
      </w:pPr>
    </w:p>
    <w:p w:rsidR="00D77415" w:rsidRPr="00D77415" w:rsidRDefault="00D77415" w:rsidP="00D77415">
      <w:pPr>
        <w:bidi/>
        <w:jc w:val="left"/>
        <w:rPr>
          <w:rFonts w:hint="cs"/>
          <w:rtl/>
        </w:rPr>
      </w:pPr>
    </w:p>
    <w:sectPr w:rsidR="00D77415" w:rsidRPr="00D77415" w:rsidSect="00287AF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1B0" w:rsidRDefault="001B01B0" w:rsidP="00D77415">
      <w:pPr>
        <w:spacing w:after="0" w:line="240" w:lineRule="auto"/>
      </w:pPr>
      <w:r>
        <w:separator/>
      </w:r>
    </w:p>
  </w:endnote>
  <w:endnote w:type="continuationSeparator" w:id="0">
    <w:p w:rsidR="001B01B0" w:rsidRDefault="001B01B0" w:rsidP="00D77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1B0" w:rsidRDefault="001B01B0" w:rsidP="00D77415">
      <w:pPr>
        <w:spacing w:after="0" w:line="240" w:lineRule="auto"/>
      </w:pPr>
      <w:r>
        <w:separator/>
      </w:r>
    </w:p>
  </w:footnote>
  <w:footnote w:type="continuationSeparator" w:id="0">
    <w:p w:rsidR="001B01B0" w:rsidRDefault="001B01B0" w:rsidP="00D77415">
      <w:pPr>
        <w:spacing w:after="0" w:line="240" w:lineRule="auto"/>
      </w:pPr>
      <w:r>
        <w:continuationSeparator/>
      </w:r>
    </w:p>
  </w:footnote>
  <w:footnote w:id="1">
    <w:p w:rsidR="0092415C" w:rsidRPr="00FF58F3" w:rsidRDefault="0092415C">
      <w:pPr>
        <w:pStyle w:val="FootnoteText"/>
      </w:pPr>
      <w:r>
        <w:rPr>
          <w:rStyle w:val="FootnoteReference"/>
        </w:rPr>
        <w:footnoteRef/>
      </w:r>
      <w:r>
        <w:t xml:space="preserve"> </w:t>
      </w:r>
      <w:r>
        <w:rPr>
          <w:rFonts w:hint="cs"/>
          <w:rtl/>
        </w:rPr>
        <w:t>אם כי העיסוק הפרשני במקרא, וההלכתי בהלכות הנוגעות לתחומי הארץ, עיסוק שעיקרו היה לתורך השכלה ולימוד תורה ולא לצורך פרקטיקה, היות והחקלאות בארץ ישראל הייתה נדירה מאוד, מאז סוף התקופה הביזנטית ועד למאה הי"ט.</w:t>
      </w:r>
    </w:p>
  </w:footnote>
  <w:footnote w:id="2">
    <w:p w:rsidR="0092415C" w:rsidRPr="00B14912" w:rsidRDefault="0092415C" w:rsidP="00B14912">
      <w:pPr>
        <w:pStyle w:val="FootnoteText"/>
        <w:jc w:val="left"/>
      </w:pPr>
      <w:r>
        <w:rPr>
          <w:rStyle w:val="FootnoteReference"/>
        </w:rPr>
        <w:footnoteRef/>
      </w:r>
      <w:r>
        <w:t xml:space="preserve"> </w:t>
      </w:r>
      <w:proofErr w:type="spellStart"/>
      <w:r>
        <w:t>Itzhak</w:t>
      </w:r>
      <w:proofErr w:type="spellEnd"/>
      <w:r>
        <w:t xml:space="preserve"> </w:t>
      </w:r>
      <w:proofErr w:type="spellStart"/>
      <w:r>
        <w:t>Galnor</w:t>
      </w:r>
      <w:proofErr w:type="spellEnd"/>
      <w:r>
        <w:t>, The Partition of Palestine: Decisions Crossroads in the Zionist Movement, Albany: State University of New York Press, 1995</w:t>
      </w:r>
    </w:p>
  </w:footnote>
  <w:footnote w:id="3">
    <w:p w:rsidR="0092415C" w:rsidRDefault="0092415C">
      <w:pPr>
        <w:pStyle w:val="FootnoteText"/>
      </w:pPr>
      <w:r>
        <w:t xml:space="preserve"> </w:t>
      </w:r>
      <w:r>
        <w:rPr>
          <w:rFonts w:hint="cs"/>
          <w:rtl/>
        </w:rPr>
        <w:t xml:space="preserve"> גודלה של המדינה היהודית לפי החלטת עמצרת האו"מ היה 14000 קמ"ר, בעיד שהצעת ההסתדרות הציונית לועידת ורסיי התייחסה לשטת של כ-45000 קמ"ר. לשם השוואה קוי הפסקת האש אחרי מלחמת ששת הימים היו כ 90000 קמ"ר.</w:t>
      </w:r>
      <w:r>
        <w:rPr>
          <w:rStyle w:val="FootnoteReference"/>
        </w:rPr>
        <w:footnoteRef/>
      </w:r>
    </w:p>
  </w:footnote>
  <w:footnote w:id="4">
    <w:p w:rsidR="00F6000C" w:rsidRDefault="00F6000C">
      <w:pPr>
        <w:pStyle w:val="FootnoteText"/>
      </w:pPr>
      <w:r>
        <w:rPr>
          <w:rStyle w:val="FootnoteReference"/>
        </w:rPr>
        <w:footnoteRef/>
      </w:r>
      <w:r>
        <w:t xml:space="preserve"> </w:t>
      </w:r>
    </w:p>
    <w:p w:rsidR="00F6000C" w:rsidRDefault="00F6000C">
      <w:pPr>
        <w:pStyle w:val="FootnoteText"/>
      </w:pPr>
      <w:r>
        <w:rPr>
          <w:rFonts w:hint="cs"/>
          <w:rtl/>
        </w:rPr>
        <w:t>רא' למשל: ז' וילנאי, מצבות-קודש בארץ-ישראל, חלקים א-ב, ירושלים: אחיעבר, 1986</w:t>
      </w:r>
      <w:r w:rsidRPr="00F6000C">
        <w:rPr>
          <w:rFonts w:hint="cs"/>
          <w:highlight w:val="yellow"/>
          <w:rtl/>
        </w:rPr>
        <w:t>, אין שם שער באנגלית</w:t>
      </w:r>
      <w:r>
        <w:rPr>
          <w:rFonts w:hint="cs"/>
          <w:rtl/>
        </w:rPr>
        <w:t xml:space="preserve">; </w:t>
      </w:r>
    </w:p>
    <w:p w:rsidR="00F6000C" w:rsidRDefault="00F6000C">
      <w:pPr>
        <w:pStyle w:val="FootnoteText"/>
      </w:pPr>
      <w:r>
        <w:t xml:space="preserve">Doron Bar, </w:t>
      </w:r>
      <w:proofErr w:type="spellStart"/>
      <w:r>
        <w:t>Sancifing</w:t>
      </w:r>
      <w:proofErr w:type="spellEnd"/>
      <w:r>
        <w:t xml:space="preserve"> a Land: The Jewish Holy Places in the State of Israel 1948-1968,  Jerusalem 2007 </w:t>
      </w:r>
    </w:p>
  </w:footnote>
  <w:footnote w:id="5">
    <w:p w:rsidR="009D7B83" w:rsidRPr="009D7B83" w:rsidRDefault="009D7B83" w:rsidP="005E4E60">
      <w:pPr>
        <w:pStyle w:val="FootnoteText"/>
        <w:rPr>
          <w:rFonts w:hint="cs"/>
          <w:rtl/>
        </w:rPr>
      </w:pPr>
      <w:r>
        <w:t xml:space="preserve"> </w:t>
      </w:r>
      <w:r w:rsidR="005E4E60">
        <w:rPr>
          <w:rFonts w:ascii="Arial" w:hAnsi="Arial" w:cs="Arial"/>
          <w:color w:val="423736"/>
          <w:sz w:val="19"/>
          <w:szCs w:val="19"/>
          <w:shd w:val="clear" w:color="auto" w:fill="FFFFFF"/>
        </w:rPr>
        <w:t> </w:t>
      </w:r>
      <w:r w:rsidR="005E4E60">
        <w:t xml:space="preserve"> (eds.), Eyal Ben Ari and </w:t>
      </w:r>
      <w:proofErr w:type="spellStart"/>
      <w:r w:rsidR="005E4E60">
        <w:t>Yoram</w:t>
      </w:r>
      <w:proofErr w:type="spellEnd"/>
      <w:r w:rsidR="005E4E60">
        <w:t xml:space="preserve"> </w:t>
      </w:r>
      <w:proofErr w:type="spellStart"/>
      <w:r w:rsidR="005E4E60">
        <w:t>Bilu</w:t>
      </w:r>
      <w:proofErr w:type="spellEnd"/>
      <w:r w:rsidR="005E4E60">
        <w:t xml:space="preserve"> </w:t>
      </w:r>
      <w:r w:rsidR="005E4E60" w:rsidRPr="005E4E60">
        <w:t>Grasping land :</w:t>
      </w:r>
      <w:r w:rsidR="005E4E60" w:rsidRPr="005E4E60">
        <w:rPr>
          <w:cs/>
        </w:rPr>
        <w:t>‎</w:t>
      </w:r>
      <w:r w:rsidR="005E4E60" w:rsidRPr="005E4E60">
        <w:t> space and place in contemporary Israeli discourse and experience</w:t>
      </w:r>
      <w:r>
        <w:rPr>
          <w:rFonts w:hint="cs"/>
          <w:rtl/>
        </w:rPr>
        <w:t xml:space="preserve"> </w:t>
      </w:r>
      <w:r>
        <w:rPr>
          <w:rFonts w:ascii="Arial" w:hAnsi="Arial" w:cs="Arial"/>
          <w:color w:val="423736"/>
          <w:sz w:val="19"/>
          <w:szCs w:val="19"/>
          <w:shd w:val="clear" w:color="auto" w:fill="FFFFFF"/>
        </w:rPr>
        <w:t>Albany :</w:t>
      </w:r>
      <w:r>
        <w:rPr>
          <w:rFonts w:ascii="Arial" w:hAnsi="Arial" w:cs="Arial"/>
          <w:color w:val="423736"/>
          <w:sz w:val="19"/>
          <w:szCs w:val="19"/>
          <w:shd w:val="clear" w:color="auto" w:fill="FFFFFF"/>
          <w:cs/>
        </w:rPr>
        <w:t>‎</w:t>
      </w:r>
      <w:dir w:val="ltr">
        <w:r>
          <w:rPr>
            <w:rFonts w:ascii="Arial" w:hAnsi="Arial" w:cs="Arial"/>
            <w:color w:val="423736"/>
            <w:sz w:val="19"/>
            <w:szCs w:val="19"/>
            <w:shd w:val="clear" w:color="auto" w:fill="FFFFFF"/>
          </w:rPr>
          <w:t> State University of New York Press,</w:t>
        </w:r>
        <w:r>
          <w:rPr>
            <w:rStyle w:val="FootnoteReference"/>
          </w:rPr>
          <w:t xml:space="preserve"> </w:t>
        </w:r>
        <w:r>
          <w:rPr>
            <w:rStyle w:val="FootnoteReference"/>
          </w:rPr>
          <w:footnoteRef/>
        </w:r>
        <w:r>
          <w:t xml:space="preserve"> </w:t>
        </w:r>
      </w:dir>
    </w:p>
  </w:footnote>
  <w:footnote w:id="6">
    <w:p w:rsidR="002D63F3" w:rsidRDefault="002D63F3">
      <w:pPr>
        <w:pStyle w:val="FootnoteText"/>
      </w:pPr>
      <w:r>
        <w:rPr>
          <w:rStyle w:val="FootnoteReference"/>
        </w:rPr>
        <w:footnoteRef/>
      </w:r>
      <w:r>
        <w:t xml:space="preserve"> </w:t>
      </w:r>
      <w:r>
        <w:t xml:space="preserve">Marshall J. </w:t>
      </w:r>
      <w:proofErr w:type="spellStart"/>
      <w:r>
        <w:t>Breger</w:t>
      </w:r>
      <w:proofErr w:type="spellEnd"/>
      <w:r>
        <w:t>, Yitzhak Reiter and Leonard Hammer (eds.), Holy Places in the Israeli</w:t>
      </w:r>
      <w:r w:rsidR="001A17BF">
        <w:t xml:space="preserve"> </w:t>
      </w:r>
      <w:bookmarkStart w:id="0" w:name="_GoBack"/>
      <w:bookmarkEnd w:id="0"/>
      <w:r>
        <w:t>Palestinian Conflict: Confrontation and Co-existence. Londo</w:t>
      </w:r>
      <w:r>
        <w:t xml:space="preserve">n and New York: Routledge, 2009; </w:t>
      </w:r>
      <w:r>
        <w:t xml:space="preserve">Marshall J. </w:t>
      </w:r>
      <w:proofErr w:type="spellStart"/>
      <w:r>
        <w:t>Breger</w:t>
      </w:r>
      <w:proofErr w:type="spellEnd"/>
      <w:r>
        <w:t>, Yitzhak Reiter and Leonard Hammer (eds.), Religion and Politics: Sacred Space in Palestine and Israel. Londo</w:t>
      </w:r>
      <w:r>
        <w:t>n and New York: Routledge, 2012</w:t>
      </w:r>
      <w:r w:rsidR="003F1BCC">
        <w:t xml:space="preserve">; Shmuel </w:t>
      </w:r>
      <w:proofErr w:type="spellStart"/>
      <w:r w:rsidR="003F1BCC">
        <w:t>Berkovits</w:t>
      </w:r>
      <w:proofErr w:type="spellEnd"/>
      <w:r w:rsidR="003F1BCC">
        <w:t>, "How Dreadful is This Place!", Holiness, Politics and Justice in Jerusalem and the Holy Places in Israel, Jerusalem: Carta, 2007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4F3"/>
    <w:rsid w:val="0001206E"/>
    <w:rsid w:val="00040659"/>
    <w:rsid w:val="00047F08"/>
    <w:rsid w:val="00050027"/>
    <w:rsid w:val="00056953"/>
    <w:rsid w:val="0006292D"/>
    <w:rsid w:val="00075B51"/>
    <w:rsid w:val="000856B5"/>
    <w:rsid w:val="00090902"/>
    <w:rsid w:val="000968B1"/>
    <w:rsid w:val="000C6020"/>
    <w:rsid w:val="000C7138"/>
    <w:rsid w:val="000D79C8"/>
    <w:rsid w:val="000E174F"/>
    <w:rsid w:val="000F53D4"/>
    <w:rsid w:val="00107F70"/>
    <w:rsid w:val="001102F2"/>
    <w:rsid w:val="0011057B"/>
    <w:rsid w:val="00113443"/>
    <w:rsid w:val="00114FD4"/>
    <w:rsid w:val="00120B51"/>
    <w:rsid w:val="00121A2C"/>
    <w:rsid w:val="001404B6"/>
    <w:rsid w:val="00150D7F"/>
    <w:rsid w:val="00162006"/>
    <w:rsid w:val="001754EE"/>
    <w:rsid w:val="00184388"/>
    <w:rsid w:val="00186FE2"/>
    <w:rsid w:val="001A17BF"/>
    <w:rsid w:val="001A29CA"/>
    <w:rsid w:val="001A6B64"/>
    <w:rsid w:val="001B01B0"/>
    <w:rsid w:val="001E2518"/>
    <w:rsid w:val="001E259A"/>
    <w:rsid w:val="00212007"/>
    <w:rsid w:val="00214406"/>
    <w:rsid w:val="002247FA"/>
    <w:rsid w:val="00231526"/>
    <w:rsid w:val="00237C09"/>
    <w:rsid w:val="00243E01"/>
    <w:rsid w:val="00245737"/>
    <w:rsid w:val="00261007"/>
    <w:rsid w:val="002761A9"/>
    <w:rsid w:val="00284F61"/>
    <w:rsid w:val="0028582D"/>
    <w:rsid w:val="00287AF9"/>
    <w:rsid w:val="00290C4A"/>
    <w:rsid w:val="0029330A"/>
    <w:rsid w:val="00297EFC"/>
    <w:rsid w:val="002A7622"/>
    <w:rsid w:val="002C0433"/>
    <w:rsid w:val="002D0AB1"/>
    <w:rsid w:val="002D63F3"/>
    <w:rsid w:val="002F16A0"/>
    <w:rsid w:val="002F727B"/>
    <w:rsid w:val="002F7317"/>
    <w:rsid w:val="002F7B9F"/>
    <w:rsid w:val="003115C6"/>
    <w:rsid w:val="0031466F"/>
    <w:rsid w:val="00316589"/>
    <w:rsid w:val="00317026"/>
    <w:rsid w:val="003171C0"/>
    <w:rsid w:val="0032258C"/>
    <w:rsid w:val="00334D04"/>
    <w:rsid w:val="00345A77"/>
    <w:rsid w:val="00354529"/>
    <w:rsid w:val="00355BBB"/>
    <w:rsid w:val="00383120"/>
    <w:rsid w:val="003875A1"/>
    <w:rsid w:val="003B1401"/>
    <w:rsid w:val="003C72D7"/>
    <w:rsid w:val="003E3020"/>
    <w:rsid w:val="003E7DB4"/>
    <w:rsid w:val="003F0126"/>
    <w:rsid w:val="003F1BCC"/>
    <w:rsid w:val="003F2398"/>
    <w:rsid w:val="003F6433"/>
    <w:rsid w:val="0040185B"/>
    <w:rsid w:val="004077A2"/>
    <w:rsid w:val="00422807"/>
    <w:rsid w:val="0043709B"/>
    <w:rsid w:val="004377E8"/>
    <w:rsid w:val="00445248"/>
    <w:rsid w:val="0045211C"/>
    <w:rsid w:val="00452439"/>
    <w:rsid w:val="0045615F"/>
    <w:rsid w:val="00491028"/>
    <w:rsid w:val="0049303D"/>
    <w:rsid w:val="00497A0A"/>
    <w:rsid w:val="004A7BCF"/>
    <w:rsid w:val="004C44B7"/>
    <w:rsid w:val="004C6996"/>
    <w:rsid w:val="004D4344"/>
    <w:rsid w:val="004D5EEC"/>
    <w:rsid w:val="004D6B12"/>
    <w:rsid w:val="004E430E"/>
    <w:rsid w:val="004F4486"/>
    <w:rsid w:val="004F6663"/>
    <w:rsid w:val="00515198"/>
    <w:rsid w:val="005167AB"/>
    <w:rsid w:val="0051758A"/>
    <w:rsid w:val="00526962"/>
    <w:rsid w:val="0052737C"/>
    <w:rsid w:val="00531782"/>
    <w:rsid w:val="00534220"/>
    <w:rsid w:val="00540718"/>
    <w:rsid w:val="00547B71"/>
    <w:rsid w:val="005800D9"/>
    <w:rsid w:val="00580C34"/>
    <w:rsid w:val="00582528"/>
    <w:rsid w:val="005C5997"/>
    <w:rsid w:val="005C63D8"/>
    <w:rsid w:val="005D04D3"/>
    <w:rsid w:val="005D14B8"/>
    <w:rsid w:val="005D167F"/>
    <w:rsid w:val="005D16C4"/>
    <w:rsid w:val="005D266E"/>
    <w:rsid w:val="005E4E60"/>
    <w:rsid w:val="00601CF0"/>
    <w:rsid w:val="006148BA"/>
    <w:rsid w:val="00647808"/>
    <w:rsid w:val="00654864"/>
    <w:rsid w:val="0067644B"/>
    <w:rsid w:val="00682379"/>
    <w:rsid w:val="006B33AB"/>
    <w:rsid w:val="006B7ABD"/>
    <w:rsid w:val="006C0481"/>
    <w:rsid w:val="006C50AF"/>
    <w:rsid w:val="006D55EB"/>
    <w:rsid w:val="006E54F3"/>
    <w:rsid w:val="006E5C74"/>
    <w:rsid w:val="006F0735"/>
    <w:rsid w:val="006F14C8"/>
    <w:rsid w:val="00703535"/>
    <w:rsid w:val="007050BF"/>
    <w:rsid w:val="007053D8"/>
    <w:rsid w:val="00726DED"/>
    <w:rsid w:val="007308B7"/>
    <w:rsid w:val="00743B17"/>
    <w:rsid w:val="00746294"/>
    <w:rsid w:val="00777C8C"/>
    <w:rsid w:val="007951C7"/>
    <w:rsid w:val="007A56C7"/>
    <w:rsid w:val="007B79DC"/>
    <w:rsid w:val="007D2B62"/>
    <w:rsid w:val="007E6561"/>
    <w:rsid w:val="0080332A"/>
    <w:rsid w:val="00804399"/>
    <w:rsid w:val="00813976"/>
    <w:rsid w:val="00824A6D"/>
    <w:rsid w:val="00827B79"/>
    <w:rsid w:val="00843650"/>
    <w:rsid w:val="008563B6"/>
    <w:rsid w:val="008619A2"/>
    <w:rsid w:val="00865AA9"/>
    <w:rsid w:val="00865CAD"/>
    <w:rsid w:val="008902A3"/>
    <w:rsid w:val="00892B03"/>
    <w:rsid w:val="008B629D"/>
    <w:rsid w:val="008C1BB3"/>
    <w:rsid w:val="008C6AF6"/>
    <w:rsid w:val="008D376A"/>
    <w:rsid w:val="008E19AB"/>
    <w:rsid w:val="008E47F0"/>
    <w:rsid w:val="008F30DD"/>
    <w:rsid w:val="008F4C11"/>
    <w:rsid w:val="0092415C"/>
    <w:rsid w:val="0094798A"/>
    <w:rsid w:val="00953EFD"/>
    <w:rsid w:val="009545A4"/>
    <w:rsid w:val="0096034E"/>
    <w:rsid w:val="00972D2C"/>
    <w:rsid w:val="009765DC"/>
    <w:rsid w:val="00986B7C"/>
    <w:rsid w:val="00997B60"/>
    <w:rsid w:val="009A38A0"/>
    <w:rsid w:val="009A391F"/>
    <w:rsid w:val="009B31E9"/>
    <w:rsid w:val="009C2089"/>
    <w:rsid w:val="009D7B83"/>
    <w:rsid w:val="009E56F1"/>
    <w:rsid w:val="009E7A35"/>
    <w:rsid w:val="009F5004"/>
    <w:rsid w:val="009F612B"/>
    <w:rsid w:val="00A04744"/>
    <w:rsid w:val="00A16876"/>
    <w:rsid w:val="00A27911"/>
    <w:rsid w:val="00A436A8"/>
    <w:rsid w:val="00A70FE1"/>
    <w:rsid w:val="00A73101"/>
    <w:rsid w:val="00A91442"/>
    <w:rsid w:val="00A94EA8"/>
    <w:rsid w:val="00AA3394"/>
    <w:rsid w:val="00AA4A38"/>
    <w:rsid w:val="00AA6788"/>
    <w:rsid w:val="00AB2B1B"/>
    <w:rsid w:val="00AD2106"/>
    <w:rsid w:val="00AF07CE"/>
    <w:rsid w:val="00AF1C04"/>
    <w:rsid w:val="00AF2556"/>
    <w:rsid w:val="00AF6ED2"/>
    <w:rsid w:val="00AF7D20"/>
    <w:rsid w:val="00B01774"/>
    <w:rsid w:val="00B04675"/>
    <w:rsid w:val="00B14912"/>
    <w:rsid w:val="00B15470"/>
    <w:rsid w:val="00B4102E"/>
    <w:rsid w:val="00B4397E"/>
    <w:rsid w:val="00B50018"/>
    <w:rsid w:val="00B815C9"/>
    <w:rsid w:val="00B83EC5"/>
    <w:rsid w:val="00B8438D"/>
    <w:rsid w:val="00B84777"/>
    <w:rsid w:val="00B9646E"/>
    <w:rsid w:val="00BB1E23"/>
    <w:rsid w:val="00BB3464"/>
    <w:rsid w:val="00BC2FD1"/>
    <w:rsid w:val="00BC3743"/>
    <w:rsid w:val="00BC6F0F"/>
    <w:rsid w:val="00BD279C"/>
    <w:rsid w:val="00C0050E"/>
    <w:rsid w:val="00C10A8A"/>
    <w:rsid w:val="00C15A73"/>
    <w:rsid w:val="00C30703"/>
    <w:rsid w:val="00C5326A"/>
    <w:rsid w:val="00C5624D"/>
    <w:rsid w:val="00C61A00"/>
    <w:rsid w:val="00C7332D"/>
    <w:rsid w:val="00C73652"/>
    <w:rsid w:val="00C85002"/>
    <w:rsid w:val="00C8593C"/>
    <w:rsid w:val="00C90310"/>
    <w:rsid w:val="00C906B7"/>
    <w:rsid w:val="00C93DAE"/>
    <w:rsid w:val="00C960FE"/>
    <w:rsid w:val="00CA1A3C"/>
    <w:rsid w:val="00CD0253"/>
    <w:rsid w:val="00CD51F9"/>
    <w:rsid w:val="00CF014F"/>
    <w:rsid w:val="00D218D7"/>
    <w:rsid w:val="00D262AF"/>
    <w:rsid w:val="00D65EF2"/>
    <w:rsid w:val="00D72011"/>
    <w:rsid w:val="00D77415"/>
    <w:rsid w:val="00D8289C"/>
    <w:rsid w:val="00D85854"/>
    <w:rsid w:val="00D90514"/>
    <w:rsid w:val="00DB5B16"/>
    <w:rsid w:val="00DC4279"/>
    <w:rsid w:val="00DC5F39"/>
    <w:rsid w:val="00DD51F7"/>
    <w:rsid w:val="00DD60BA"/>
    <w:rsid w:val="00DF5A9A"/>
    <w:rsid w:val="00E02C3B"/>
    <w:rsid w:val="00E16317"/>
    <w:rsid w:val="00E234C5"/>
    <w:rsid w:val="00E577FB"/>
    <w:rsid w:val="00E744B9"/>
    <w:rsid w:val="00E76771"/>
    <w:rsid w:val="00E87EFA"/>
    <w:rsid w:val="00E92C0D"/>
    <w:rsid w:val="00E9568D"/>
    <w:rsid w:val="00E97FEC"/>
    <w:rsid w:val="00EA13EE"/>
    <w:rsid w:val="00EA1EF5"/>
    <w:rsid w:val="00EA47C9"/>
    <w:rsid w:val="00EA5F6C"/>
    <w:rsid w:val="00EB681B"/>
    <w:rsid w:val="00EC2B3F"/>
    <w:rsid w:val="00ED7CD0"/>
    <w:rsid w:val="00EE5EDA"/>
    <w:rsid w:val="00EF3137"/>
    <w:rsid w:val="00EF3AA8"/>
    <w:rsid w:val="00F10EBB"/>
    <w:rsid w:val="00F149B4"/>
    <w:rsid w:val="00F15D51"/>
    <w:rsid w:val="00F17085"/>
    <w:rsid w:val="00F22AD8"/>
    <w:rsid w:val="00F25506"/>
    <w:rsid w:val="00F27A33"/>
    <w:rsid w:val="00F31E82"/>
    <w:rsid w:val="00F36278"/>
    <w:rsid w:val="00F371B8"/>
    <w:rsid w:val="00F51BE4"/>
    <w:rsid w:val="00F550ED"/>
    <w:rsid w:val="00F6000C"/>
    <w:rsid w:val="00F83AA6"/>
    <w:rsid w:val="00F84025"/>
    <w:rsid w:val="00F847F7"/>
    <w:rsid w:val="00FA2F1E"/>
    <w:rsid w:val="00FA7A3A"/>
    <w:rsid w:val="00FC09C8"/>
    <w:rsid w:val="00FD320E"/>
    <w:rsid w:val="00FF58F3"/>
    <w:rsid w:val="00FF64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5A1"/>
    <w:pPr>
      <w:jc w:val="right"/>
    </w:pPr>
    <w:rPr>
      <w:rFonts w:cs="David"/>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774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7415"/>
    <w:rPr>
      <w:rFonts w:cs="David"/>
      <w:sz w:val="20"/>
      <w:szCs w:val="20"/>
    </w:rPr>
  </w:style>
  <w:style w:type="character" w:styleId="FootnoteReference">
    <w:name w:val="footnote reference"/>
    <w:basedOn w:val="DefaultParagraphFont"/>
    <w:uiPriority w:val="99"/>
    <w:semiHidden/>
    <w:unhideWhenUsed/>
    <w:rsid w:val="00D77415"/>
    <w:rPr>
      <w:vertAlign w:val="superscript"/>
    </w:rPr>
  </w:style>
  <w:style w:type="paragraph" w:styleId="NormalWeb">
    <w:name w:val="Normal (Web)"/>
    <w:basedOn w:val="Normal"/>
    <w:uiPriority w:val="99"/>
    <w:semiHidden/>
    <w:unhideWhenUsed/>
    <w:rsid w:val="00D77415"/>
    <w:pPr>
      <w:spacing w:before="100" w:beforeAutospacing="1" w:after="100" w:afterAutospacing="1" w:line="240" w:lineRule="auto"/>
      <w:jc w:val="left"/>
    </w:pPr>
    <w:rPr>
      <w:rFonts w:ascii="Times New Roman" w:eastAsia="Times New Roman" w:hAnsi="Times New Roman" w:cs="Times New Roman"/>
      <w:sz w:val="24"/>
    </w:rPr>
  </w:style>
  <w:style w:type="character" w:styleId="Hyperlink">
    <w:name w:val="Hyperlink"/>
    <w:basedOn w:val="DefaultParagraphFont"/>
    <w:uiPriority w:val="99"/>
    <w:semiHidden/>
    <w:unhideWhenUsed/>
    <w:rsid w:val="00F51B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5A1"/>
    <w:pPr>
      <w:jc w:val="right"/>
    </w:pPr>
    <w:rPr>
      <w:rFonts w:cs="David"/>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774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7415"/>
    <w:rPr>
      <w:rFonts w:cs="David"/>
      <w:sz w:val="20"/>
      <w:szCs w:val="20"/>
    </w:rPr>
  </w:style>
  <w:style w:type="character" w:styleId="FootnoteReference">
    <w:name w:val="footnote reference"/>
    <w:basedOn w:val="DefaultParagraphFont"/>
    <w:uiPriority w:val="99"/>
    <w:semiHidden/>
    <w:unhideWhenUsed/>
    <w:rsid w:val="00D77415"/>
    <w:rPr>
      <w:vertAlign w:val="superscript"/>
    </w:rPr>
  </w:style>
  <w:style w:type="paragraph" w:styleId="NormalWeb">
    <w:name w:val="Normal (Web)"/>
    <w:basedOn w:val="Normal"/>
    <w:uiPriority w:val="99"/>
    <w:semiHidden/>
    <w:unhideWhenUsed/>
    <w:rsid w:val="00D77415"/>
    <w:pPr>
      <w:spacing w:before="100" w:beforeAutospacing="1" w:after="100" w:afterAutospacing="1" w:line="240" w:lineRule="auto"/>
      <w:jc w:val="left"/>
    </w:pPr>
    <w:rPr>
      <w:rFonts w:ascii="Times New Roman" w:eastAsia="Times New Roman" w:hAnsi="Times New Roman" w:cs="Times New Roman"/>
      <w:sz w:val="24"/>
    </w:rPr>
  </w:style>
  <w:style w:type="character" w:styleId="Hyperlink">
    <w:name w:val="Hyperlink"/>
    <w:basedOn w:val="DefaultParagraphFont"/>
    <w:uiPriority w:val="99"/>
    <w:semiHidden/>
    <w:unhideWhenUsed/>
    <w:rsid w:val="00F51B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17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traits_of_Tira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n.wikipedia.org/wiki/Gulf_of_Aqaba" TargetMode="External"/><Relationship Id="rId4" Type="http://schemas.openxmlformats.org/officeDocument/2006/relationships/settings" Target="settings.xml"/><Relationship Id="rId9" Type="http://schemas.openxmlformats.org/officeDocument/2006/relationships/hyperlink" Target="https://en.wikipedia.org/wiki/Red_S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7A75E-BF31-411D-9423-AEE35AF86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819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18</cp:revision>
  <dcterms:created xsi:type="dcterms:W3CDTF">2017-07-25T12:43:00Z</dcterms:created>
  <dcterms:modified xsi:type="dcterms:W3CDTF">2017-07-25T15:25:00Z</dcterms:modified>
</cp:coreProperties>
</file>