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BA8F8" w14:textId="5C35AB57" w:rsidR="00EB6DFF" w:rsidRPr="006A218B" w:rsidRDefault="006513D4" w:rsidP="006A218B">
      <w:pPr>
        <w:bidi/>
        <w:spacing w:after="0" w:line="48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E757A">
        <w:rPr>
          <w:rFonts w:ascii="David" w:hAnsi="David" w:cs="David"/>
          <w:b/>
          <w:bCs/>
          <w:sz w:val="24"/>
          <w:szCs w:val="24"/>
          <w:u w:val="single"/>
          <w:rtl/>
        </w:rPr>
        <w:t>אפילוג</w:t>
      </w:r>
      <w:r w:rsidR="0086758F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  <w:r w:rsidR="004E418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8C4584">
        <w:rPr>
          <w:rFonts w:ascii="David" w:hAnsi="David" w:cs="David" w:hint="cs"/>
          <w:b/>
          <w:bCs/>
          <w:sz w:val="24"/>
          <w:szCs w:val="24"/>
          <w:u w:val="single"/>
          <w:rtl/>
        </w:rPr>
        <w:t>העולם שבו אנו חיים</w:t>
      </w:r>
    </w:p>
    <w:p w14:paraId="27B94A75" w14:textId="77777777" w:rsidR="00F66751" w:rsidRDefault="00F66751" w:rsidP="00746EDF">
      <w:pPr>
        <w:bidi/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05DDD8D5" w14:textId="03974FDC" w:rsidR="00390463" w:rsidRPr="00F37960" w:rsidRDefault="00B741D2" w:rsidP="00F66751">
      <w:pPr>
        <w:bidi/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6675F3">
        <w:rPr>
          <w:rFonts w:ascii="David" w:hAnsi="David" w:cs="David"/>
          <w:sz w:val="24"/>
          <w:szCs w:val="24"/>
          <w:rtl/>
        </w:rPr>
        <w:t>ה</w:t>
      </w:r>
      <w:r w:rsidR="007862F9" w:rsidRPr="006675F3">
        <w:rPr>
          <w:rFonts w:ascii="David" w:hAnsi="David" w:cs="David"/>
          <w:sz w:val="24"/>
          <w:szCs w:val="24"/>
          <w:rtl/>
        </w:rPr>
        <w:t>טענה כי הדת והדתיות שבו ל</w:t>
      </w:r>
      <w:r w:rsidRPr="006675F3">
        <w:rPr>
          <w:rFonts w:ascii="David" w:hAnsi="David" w:cs="David"/>
          <w:sz w:val="24"/>
          <w:szCs w:val="24"/>
          <w:rtl/>
        </w:rPr>
        <w:t>מרכז הבמה החברתית התרבותית והפוליטית מעסיקה את העולם המחקרי מזה כשני עשורים. יורגן האברמס</w:t>
      </w:r>
      <w:r w:rsidR="00DC1816">
        <w:rPr>
          <w:rFonts w:ascii="David" w:hAnsi="David" w:cs="David" w:hint="cs"/>
          <w:sz w:val="24"/>
          <w:szCs w:val="24"/>
          <w:rtl/>
        </w:rPr>
        <w:t xml:space="preserve">, מי שנתפס כנציג </w:t>
      </w:r>
      <w:r w:rsidR="005B0B46">
        <w:rPr>
          <w:rFonts w:ascii="David" w:hAnsi="David" w:cs="David" w:hint="cs"/>
          <w:sz w:val="24"/>
          <w:szCs w:val="24"/>
          <w:rtl/>
        </w:rPr>
        <w:t>ה"דור השני" של אסכולת פרנקפורט,</w:t>
      </w:r>
      <w:r w:rsidRPr="006675F3">
        <w:rPr>
          <w:rFonts w:ascii="David" w:hAnsi="David" w:cs="David"/>
          <w:sz w:val="24"/>
          <w:szCs w:val="24"/>
          <w:rtl/>
        </w:rPr>
        <w:t xml:space="preserve"> היה </w:t>
      </w:r>
      <w:r w:rsidR="006B04B5" w:rsidRPr="006675F3">
        <w:rPr>
          <w:rFonts w:ascii="David" w:hAnsi="David" w:cs="David"/>
          <w:sz w:val="24"/>
          <w:szCs w:val="24"/>
          <w:rtl/>
        </w:rPr>
        <w:t xml:space="preserve">למשל </w:t>
      </w:r>
      <w:r w:rsidRPr="006675F3">
        <w:rPr>
          <w:rFonts w:ascii="David" w:hAnsi="David" w:cs="David"/>
          <w:sz w:val="24"/>
          <w:szCs w:val="24"/>
          <w:rtl/>
        </w:rPr>
        <w:t>בין הראשונים להציע כי</w:t>
      </w:r>
      <w:r w:rsidR="00310B18" w:rsidRPr="006675F3">
        <w:rPr>
          <w:rFonts w:ascii="David" w:hAnsi="David" w:cs="David"/>
          <w:sz w:val="24"/>
          <w:szCs w:val="24"/>
          <w:rtl/>
        </w:rPr>
        <w:t xml:space="preserve"> חזרה כזו</w:t>
      </w:r>
      <w:r w:rsidR="00322FC2" w:rsidRPr="006675F3">
        <w:rPr>
          <w:rFonts w:ascii="David" w:hAnsi="David" w:cs="David"/>
          <w:sz w:val="24"/>
          <w:szCs w:val="24"/>
          <w:rtl/>
        </w:rPr>
        <w:t xml:space="preserve"> של הדת</w:t>
      </w:r>
      <w:r w:rsidR="00310B18" w:rsidRPr="006675F3">
        <w:rPr>
          <w:rFonts w:ascii="David" w:hAnsi="David" w:cs="David"/>
          <w:sz w:val="24"/>
          <w:szCs w:val="24"/>
          <w:rtl/>
        </w:rPr>
        <w:t xml:space="preserve"> </w:t>
      </w:r>
      <w:r w:rsidRPr="006675F3">
        <w:rPr>
          <w:rFonts w:ascii="David" w:hAnsi="David" w:cs="David"/>
          <w:sz w:val="24"/>
          <w:szCs w:val="24"/>
          <w:rtl/>
        </w:rPr>
        <w:t>מבשר</w:t>
      </w:r>
      <w:r w:rsidR="00310B18" w:rsidRPr="006675F3">
        <w:rPr>
          <w:rFonts w:ascii="David" w:hAnsi="David" w:cs="David"/>
          <w:sz w:val="24"/>
          <w:szCs w:val="24"/>
          <w:rtl/>
        </w:rPr>
        <w:t>ת</w:t>
      </w:r>
      <w:r w:rsidR="00E317E2">
        <w:rPr>
          <w:rFonts w:ascii="David" w:hAnsi="David" w:cs="David"/>
          <w:sz w:val="24"/>
          <w:szCs w:val="24"/>
          <w:rtl/>
        </w:rPr>
        <w:t xml:space="preserve"> על</w:t>
      </w:r>
      <w:r w:rsidR="00310B18" w:rsidRPr="006675F3">
        <w:rPr>
          <w:rFonts w:ascii="David" w:hAnsi="David" w:cs="David"/>
          <w:sz w:val="24"/>
          <w:szCs w:val="24"/>
          <w:rtl/>
        </w:rPr>
        <w:t xml:space="preserve"> חברה</w:t>
      </w:r>
      <w:r w:rsidRPr="006675F3">
        <w:rPr>
          <w:rFonts w:ascii="David" w:hAnsi="David" w:cs="David"/>
          <w:sz w:val="24"/>
          <w:szCs w:val="24"/>
          <w:rtl/>
        </w:rPr>
        <w:t xml:space="preserve"> "פוסט חילוני</w:t>
      </w:r>
      <w:r w:rsidR="00310B18" w:rsidRPr="006675F3">
        <w:rPr>
          <w:rFonts w:ascii="David" w:hAnsi="David" w:cs="David"/>
          <w:sz w:val="24"/>
          <w:szCs w:val="24"/>
          <w:rtl/>
        </w:rPr>
        <w:t>ת</w:t>
      </w:r>
      <w:r w:rsidR="004E4180">
        <w:rPr>
          <w:rFonts w:ascii="David" w:hAnsi="David" w:cs="David" w:hint="cs"/>
          <w:sz w:val="24"/>
          <w:szCs w:val="24"/>
          <w:rtl/>
        </w:rPr>
        <w:t xml:space="preserve">" החייבת </w:t>
      </w:r>
      <w:r w:rsidR="00310B18" w:rsidRPr="006675F3">
        <w:rPr>
          <w:rFonts w:ascii="David" w:hAnsi="David" w:cs="David"/>
          <w:sz w:val="24"/>
          <w:szCs w:val="24"/>
          <w:rtl/>
        </w:rPr>
        <w:t>ל-</w:t>
      </w:r>
      <w:r w:rsidR="007862F9" w:rsidRPr="00F80FD7">
        <w:rPr>
          <w:rFonts w:ascii="David" w:hAnsi="David" w:cs="David"/>
          <w:sz w:val="24"/>
          <w:szCs w:val="24"/>
        </w:rPr>
        <w:t>.</w:t>
      </w:r>
      <w:r w:rsidR="00310B18" w:rsidRPr="006675F3">
        <w:rPr>
          <w:rFonts w:ascii="David" w:hAnsi="David" w:cs="David"/>
          <w:sz w:val="24"/>
          <w:szCs w:val="24"/>
        </w:rPr>
        <w:t>“adjust itself to the continued existence of religious communities</w:t>
      </w:r>
      <w:r w:rsidR="00954E40" w:rsidRPr="006675F3">
        <w:rPr>
          <w:rFonts w:ascii="David" w:hAnsi="David" w:cs="David"/>
          <w:sz w:val="24"/>
          <w:szCs w:val="24"/>
        </w:rPr>
        <w:t>”</w:t>
      </w:r>
      <w:r w:rsidR="001E4F7D">
        <w:rPr>
          <w:rFonts w:ascii="David" w:hAnsi="David" w:cs="David" w:hint="cs"/>
          <w:sz w:val="24"/>
          <w:szCs w:val="24"/>
          <w:rtl/>
        </w:rPr>
        <w:t>.</w:t>
      </w:r>
      <w:r w:rsidR="004E4180" w:rsidRPr="006675F3">
        <w:rPr>
          <w:rStyle w:val="FootnoteReference"/>
          <w:rFonts w:ascii="David" w:hAnsi="David" w:cs="David"/>
          <w:sz w:val="24"/>
          <w:szCs w:val="24"/>
          <w:rtl/>
        </w:rPr>
        <w:footnoteReference w:id="1"/>
      </w:r>
      <w:r w:rsidR="004E4180">
        <w:rPr>
          <w:rFonts w:ascii="David" w:hAnsi="David" w:cs="David" w:hint="cs"/>
          <w:sz w:val="24"/>
          <w:szCs w:val="24"/>
          <w:rtl/>
        </w:rPr>
        <w:t xml:space="preserve"> </w:t>
      </w:r>
      <w:r w:rsidR="00746EDF">
        <w:rPr>
          <w:rFonts w:ascii="David" w:hAnsi="David" w:cs="David" w:hint="cs"/>
          <w:sz w:val="24"/>
          <w:szCs w:val="24"/>
          <w:rtl/>
        </w:rPr>
        <w:t>צ'ארלס טיילור ח</w:t>
      </w:r>
      <w:r w:rsidR="006675F3" w:rsidRPr="006675F3">
        <w:rPr>
          <w:rFonts w:ascii="David" w:hAnsi="David" w:cs="David"/>
          <w:sz w:val="24"/>
          <w:szCs w:val="24"/>
          <w:rtl/>
        </w:rPr>
        <w:t>תם</w:t>
      </w:r>
      <w:r w:rsidR="00322FC2" w:rsidRPr="006675F3">
        <w:rPr>
          <w:rFonts w:ascii="David" w:hAnsi="David" w:cs="David"/>
          <w:sz w:val="24"/>
          <w:szCs w:val="24"/>
          <w:rtl/>
        </w:rPr>
        <w:t xml:space="preserve"> </w:t>
      </w:r>
      <w:r w:rsidR="006675F3" w:rsidRPr="006675F3">
        <w:rPr>
          <w:rFonts w:ascii="David" w:hAnsi="David" w:cs="David"/>
          <w:sz w:val="24"/>
          <w:szCs w:val="24"/>
          <w:rtl/>
        </w:rPr>
        <w:t xml:space="preserve">את </w:t>
      </w:r>
      <w:r w:rsidR="00322FC2" w:rsidRPr="006675F3">
        <w:rPr>
          <w:rFonts w:ascii="David" w:hAnsi="David" w:cs="David"/>
          <w:sz w:val="24"/>
          <w:szCs w:val="24"/>
          <w:rtl/>
        </w:rPr>
        <w:t xml:space="preserve">ספרו </w:t>
      </w:r>
      <w:r w:rsidR="006675F3" w:rsidRPr="00F80FD7">
        <w:rPr>
          <w:rFonts w:ascii="David" w:hAnsi="David" w:cs="David" w:hint="cs"/>
          <w:sz w:val="24"/>
          <w:szCs w:val="24"/>
        </w:rPr>
        <w:t>A</w:t>
      </w:r>
      <w:r w:rsidR="00322FC2" w:rsidRPr="00F80FD7">
        <w:rPr>
          <w:rFonts w:ascii="David" w:hAnsi="David" w:cs="David"/>
          <w:sz w:val="24"/>
          <w:szCs w:val="24"/>
        </w:rPr>
        <w:t xml:space="preserve"> Secular Age</w:t>
      </w:r>
      <w:r w:rsidR="00322FC2" w:rsidRPr="006675F3">
        <w:rPr>
          <w:rFonts w:ascii="David" w:hAnsi="David" w:cs="David"/>
          <w:sz w:val="24"/>
          <w:szCs w:val="24"/>
          <w:rtl/>
        </w:rPr>
        <w:t xml:space="preserve"> </w:t>
      </w:r>
      <w:r w:rsidR="006675F3" w:rsidRPr="006675F3">
        <w:rPr>
          <w:rFonts w:ascii="David" w:hAnsi="David" w:cs="David"/>
          <w:sz w:val="24"/>
          <w:szCs w:val="24"/>
          <w:rtl/>
        </w:rPr>
        <w:t xml:space="preserve">בטענה, </w:t>
      </w:r>
      <w:r w:rsidR="00271178">
        <w:rPr>
          <w:rFonts w:ascii="David" w:hAnsi="David" w:cs="David" w:hint="cs"/>
          <w:sz w:val="24"/>
          <w:szCs w:val="24"/>
          <w:rtl/>
        </w:rPr>
        <w:t xml:space="preserve">מבחינתו </w:t>
      </w:r>
      <w:r w:rsidR="006675F3" w:rsidRPr="006675F3">
        <w:rPr>
          <w:rFonts w:ascii="David" w:hAnsi="David" w:cs="David"/>
          <w:sz w:val="24"/>
          <w:szCs w:val="24"/>
          <w:rtl/>
        </w:rPr>
        <w:t xml:space="preserve">אולי תקווה, כי </w:t>
      </w:r>
      <w:r w:rsidR="00F66751">
        <w:rPr>
          <w:rFonts w:ascii="David" w:hAnsi="David" w:cs="David"/>
          <w:sz w:val="24"/>
          <w:szCs w:val="24"/>
          <w:rtl/>
        </w:rPr>
        <w:t>אנו נמצאים בפתחו של</w:t>
      </w:r>
      <w:r w:rsidR="00F66751">
        <w:rPr>
          <w:rFonts w:ascii="David" w:hAnsi="David" w:cs="David" w:hint="cs"/>
          <w:sz w:val="24"/>
          <w:szCs w:val="24"/>
          <w:rtl/>
        </w:rPr>
        <w:t xml:space="preserve"> </w:t>
      </w:r>
      <w:r w:rsidR="00322FC2" w:rsidRPr="006675F3">
        <w:rPr>
          <w:rFonts w:ascii="David" w:hAnsi="David" w:cs="David"/>
          <w:sz w:val="24"/>
          <w:szCs w:val="24"/>
        </w:rPr>
        <w:t xml:space="preserve"> “a new age of religious seeking</w:t>
      </w:r>
      <w:r w:rsidR="00F66751">
        <w:rPr>
          <w:rFonts w:ascii="David" w:hAnsi="David" w:cs="David"/>
          <w:sz w:val="24"/>
          <w:szCs w:val="24"/>
        </w:rPr>
        <w:t>”</w:t>
      </w:r>
      <w:r w:rsidR="006675F3" w:rsidRPr="00DB27D5">
        <w:rPr>
          <w:rFonts w:ascii="David" w:hAnsi="David" w:cs="David"/>
          <w:sz w:val="24"/>
          <w:szCs w:val="24"/>
          <w:rtl/>
        </w:rPr>
        <w:t>.</w:t>
      </w:r>
      <w:r w:rsidR="006675F3" w:rsidRPr="00DB27D5">
        <w:rPr>
          <w:rStyle w:val="FootnoteReference"/>
          <w:rFonts w:ascii="David" w:hAnsi="David" w:cs="David"/>
          <w:sz w:val="24"/>
          <w:szCs w:val="24"/>
          <w:rtl/>
        </w:rPr>
        <w:footnoteReference w:id="2"/>
      </w:r>
      <w:r w:rsidR="00DB27D5">
        <w:rPr>
          <w:rFonts w:ascii="David" w:hAnsi="David" w:cs="David" w:hint="cs"/>
          <w:sz w:val="24"/>
          <w:szCs w:val="24"/>
          <w:rtl/>
        </w:rPr>
        <w:t xml:space="preserve"> </w:t>
      </w:r>
      <w:r w:rsidR="00AC283D">
        <w:rPr>
          <w:rFonts w:ascii="David" w:hAnsi="David" w:cs="David" w:hint="cs"/>
          <w:sz w:val="24"/>
          <w:szCs w:val="24"/>
          <w:rtl/>
        </w:rPr>
        <w:t xml:space="preserve">גם </w:t>
      </w:r>
      <w:r w:rsidR="00390463">
        <w:rPr>
          <w:rFonts w:ascii="David" w:hAnsi="David" w:cs="David" w:hint="cs"/>
          <w:sz w:val="24"/>
          <w:szCs w:val="24"/>
          <w:rtl/>
        </w:rPr>
        <w:t xml:space="preserve">מסקנתו של הסוציולוג </w:t>
      </w:r>
      <w:r w:rsidR="00390463" w:rsidRPr="00F80FD7">
        <w:rPr>
          <w:rFonts w:ascii="David" w:hAnsi="David" w:cs="David"/>
          <w:sz w:val="24"/>
          <w:szCs w:val="24"/>
          <w:rtl/>
        </w:rPr>
        <w:t xml:space="preserve">בריאן טרנר </w:t>
      </w:r>
      <w:r w:rsidR="00390463">
        <w:rPr>
          <w:rFonts w:ascii="David" w:hAnsi="David" w:cs="David" w:hint="cs"/>
          <w:sz w:val="24"/>
          <w:szCs w:val="24"/>
          <w:rtl/>
        </w:rPr>
        <w:t>הייתה</w:t>
      </w:r>
      <w:r w:rsidR="00A420EB">
        <w:rPr>
          <w:rFonts w:ascii="David" w:hAnsi="David" w:cs="David" w:hint="cs"/>
          <w:sz w:val="24"/>
          <w:szCs w:val="24"/>
          <w:rtl/>
        </w:rPr>
        <w:t xml:space="preserve"> דומה. טרנר הצביע על כך</w:t>
      </w:r>
      <w:r w:rsidR="00390463">
        <w:rPr>
          <w:rFonts w:ascii="David" w:hAnsi="David" w:cs="David" w:hint="cs"/>
          <w:sz w:val="24"/>
          <w:szCs w:val="24"/>
          <w:rtl/>
        </w:rPr>
        <w:t xml:space="preserve"> כי</w:t>
      </w:r>
      <w:r w:rsidR="00BB047C">
        <w:rPr>
          <w:rFonts w:ascii="David" w:hAnsi="David" w:cs="David" w:hint="cs"/>
          <w:sz w:val="24"/>
          <w:szCs w:val="24"/>
          <w:rtl/>
        </w:rPr>
        <w:t xml:space="preserve"> במקום</w:t>
      </w:r>
      <w:r w:rsidR="00CA3930">
        <w:rPr>
          <w:rFonts w:ascii="David" w:hAnsi="David" w:cs="David" w:hint="cs"/>
          <w:sz w:val="24"/>
          <w:szCs w:val="24"/>
          <w:rtl/>
        </w:rPr>
        <w:t xml:space="preserve"> גרסה וובריאנית של</w:t>
      </w:r>
      <w:r w:rsidR="00BB047C">
        <w:rPr>
          <w:rFonts w:ascii="David" w:hAnsi="David" w:cs="David" w:hint="cs"/>
          <w:sz w:val="24"/>
          <w:szCs w:val="24"/>
          <w:rtl/>
        </w:rPr>
        <w:t xml:space="preserve"> </w:t>
      </w:r>
      <w:r w:rsidR="00BB047C">
        <w:rPr>
          <w:rFonts w:ascii="David" w:hAnsi="David" w:cs="David"/>
          <w:sz w:val="24"/>
          <w:szCs w:val="24"/>
        </w:rPr>
        <w:t>a growingly disenchanted secular world</w:t>
      </w:r>
      <w:r w:rsidR="00BB047C">
        <w:rPr>
          <w:rFonts w:ascii="David" w:hAnsi="David" w:cs="David" w:hint="cs"/>
          <w:sz w:val="24"/>
          <w:szCs w:val="24"/>
          <w:rtl/>
        </w:rPr>
        <w:t xml:space="preserve"> אנו עדים ל</w:t>
      </w:r>
      <w:r w:rsidR="00BB047C" w:rsidRPr="00F80FD7">
        <w:rPr>
          <w:rFonts w:ascii="David" w:hAnsi="David" w:cs="David"/>
          <w:sz w:val="24"/>
          <w:szCs w:val="24"/>
          <w:rtl/>
        </w:rPr>
        <w:t xml:space="preserve"> </w:t>
      </w:r>
      <w:r w:rsidR="00BB047C" w:rsidRPr="00F80FD7">
        <w:rPr>
          <w:rFonts w:ascii="David" w:hAnsi="David" w:cs="David"/>
          <w:sz w:val="24"/>
          <w:szCs w:val="24"/>
        </w:rPr>
        <w:t xml:space="preserve"> “religious turn,” </w:t>
      </w:r>
      <w:r w:rsidR="00BB047C" w:rsidRPr="00F80FD7">
        <w:rPr>
          <w:rFonts w:ascii="David" w:hAnsi="David" w:cs="David"/>
          <w:sz w:val="24"/>
          <w:szCs w:val="24"/>
          <w:rtl/>
        </w:rPr>
        <w:t xml:space="preserve"> </w:t>
      </w:r>
      <w:r w:rsidR="00BB047C">
        <w:rPr>
          <w:rFonts w:ascii="David" w:hAnsi="David" w:cs="David" w:hint="cs"/>
          <w:sz w:val="24"/>
          <w:szCs w:val="24"/>
          <w:rtl/>
        </w:rPr>
        <w:t xml:space="preserve">שמשמעותו היא </w:t>
      </w:r>
      <w:r w:rsidR="001E4F7D">
        <w:rPr>
          <w:rFonts w:ascii="David" w:hAnsi="David" w:cs="David" w:hint="cs"/>
          <w:sz w:val="24"/>
          <w:szCs w:val="24"/>
          <w:rtl/>
        </w:rPr>
        <w:t>-</w:t>
      </w:r>
      <w:r w:rsidR="00390463" w:rsidRPr="00F80FD7">
        <w:rPr>
          <w:rFonts w:ascii="David" w:hAnsi="David" w:cs="David"/>
          <w:sz w:val="24"/>
          <w:szCs w:val="24"/>
          <w:rtl/>
        </w:rPr>
        <w:t xml:space="preserve"> </w:t>
      </w:r>
      <w:r w:rsidR="00390463" w:rsidRPr="00F80FD7">
        <w:rPr>
          <w:rFonts w:ascii="David" w:hAnsi="David" w:cs="David"/>
          <w:sz w:val="24"/>
          <w:szCs w:val="24"/>
        </w:rPr>
        <w:t>“public space has been resacralized insofar as public re</w:t>
      </w:r>
      <w:r w:rsidR="00390463" w:rsidRPr="00F37960">
        <w:rPr>
          <w:rFonts w:ascii="David" w:hAnsi="David" w:cs="David"/>
          <w:sz w:val="24"/>
          <w:szCs w:val="24"/>
        </w:rPr>
        <w:t>ligions play a major role in political life”.</w:t>
      </w:r>
      <w:r w:rsidR="00390463" w:rsidRPr="00F37960">
        <w:rPr>
          <w:rFonts w:ascii="David" w:hAnsi="David" w:cs="David"/>
          <w:sz w:val="24"/>
          <w:szCs w:val="24"/>
          <w:rtl/>
        </w:rPr>
        <w:t>.</w:t>
      </w:r>
      <w:r w:rsidR="00390463" w:rsidRPr="00F37960">
        <w:rPr>
          <w:rStyle w:val="FootnoteReference"/>
          <w:rFonts w:ascii="David" w:hAnsi="David" w:cs="David"/>
          <w:sz w:val="24"/>
          <w:szCs w:val="24"/>
          <w:rtl/>
        </w:rPr>
        <w:footnoteReference w:id="3"/>
      </w:r>
      <w:r w:rsidR="001E4F7D">
        <w:rPr>
          <w:rFonts w:ascii="David" w:hAnsi="David" w:cs="David" w:hint="cs"/>
          <w:sz w:val="24"/>
          <w:szCs w:val="24"/>
          <w:rtl/>
        </w:rPr>
        <w:t xml:space="preserve"> </w:t>
      </w:r>
      <w:r w:rsidR="00583DBA">
        <w:rPr>
          <w:rFonts w:ascii="David" w:hAnsi="David" w:cs="David" w:hint="cs"/>
          <w:sz w:val="24"/>
          <w:szCs w:val="24"/>
          <w:rtl/>
        </w:rPr>
        <w:t xml:space="preserve">ברוח דומה טען </w:t>
      </w:r>
      <w:r w:rsidR="00390463" w:rsidRPr="00F37960">
        <w:rPr>
          <w:rFonts w:ascii="David" w:hAnsi="David" w:cs="David"/>
          <w:sz w:val="24"/>
          <w:szCs w:val="24"/>
          <w:rtl/>
        </w:rPr>
        <w:t xml:space="preserve">הפילוסוף סלבוי ז'יז'ק </w:t>
      </w:r>
      <w:r w:rsidR="00AC283D" w:rsidRPr="00F37960">
        <w:rPr>
          <w:rFonts w:ascii="David" w:hAnsi="David" w:cs="David"/>
          <w:sz w:val="24"/>
          <w:szCs w:val="24"/>
          <w:rtl/>
        </w:rPr>
        <w:t>כי אנו עדים ל</w:t>
      </w:r>
      <w:r w:rsidR="00390463" w:rsidRPr="00F37960">
        <w:rPr>
          <w:rFonts w:ascii="David" w:hAnsi="David" w:cs="David"/>
          <w:sz w:val="24"/>
          <w:szCs w:val="24"/>
          <w:rtl/>
        </w:rPr>
        <w:t xml:space="preserve">שיבה </w:t>
      </w:r>
      <w:r w:rsidR="00390463" w:rsidRPr="00F37960">
        <w:rPr>
          <w:rFonts w:ascii="David" w:hAnsi="David" w:cs="David"/>
          <w:sz w:val="24"/>
          <w:szCs w:val="24"/>
        </w:rPr>
        <w:t>“with a vengeance”</w:t>
      </w:r>
      <w:r w:rsidR="00390463" w:rsidRPr="00F37960">
        <w:rPr>
          <w:rFonts w:ascii="David" w:hAnsi="David" w:cs="David"/>
          <w:sz w:val="24"/>
          <w:szCs w:val="24"/>
          <w:rtl/>
        </w:rPr>
        <w:t xml:space="preserve"> של מודחק תיאולוגי, עמדה לה שותף במידה רבה הנט דה ווריז</w:t>
      </w:r>
      <w:r w:rsidR="00583DBA">
        <w:rPr>
          <w:rFonts w:ascii="David" w:hAnsi="David" w:cs="David" w:hint="cs"/>
          <w:sz w:val="24"/>
          <w:szCs w:val="24"/>
          <w:rtl/>
        </w:rPr>
        <w:t>,</w:t>
      </w:r>
      <w:r w:rsidR="00390463" w:rsidRPr="00F37960">
        <w:rPr>
          <w:rFonts w:ascii="David" w:hAnsi="David" w:cs="David"/>
          <w:sz w:val="24"/>
          <w:szCs w:val="24"/>
          <w:rtl/>
        </w:rPr>
        <w:t xml:space="preserve"> </w:t>
      </w:r>
      <w:r w:rsidR="005B0B46">
        <w:rPr>
          <w:rFonts w:ascii="David" w:hAnsi="David" w:cs="David" w:hint="cs"/>
          <w:sz w:val="24"/>
          <w:szCs w:val="24"/>
          <w:rtl/>
        </w:rPr>
        <w:t>שהצביע על מה שהוא מכנה</w:t>
      </w:r>
      <w:r w:rsidR="00390463" w:rsidRPr="00F37960">
        <w:rPr>
          <w:rFonts w:ascii="David" w:hAnsi="David" w:cs="David"/>
          <w:sz w:val="24"/>
          <w:szCs w:val="24"/>
          <w:rtl/>
        </w:rPr>
        <w:t xml:space="preserve">  </w:t>
      </w:r>
      <w:r w:rsidR="00390463" w:rsidRPr="00F37960">
        <w:rPr>
          <w:rFonts w:ascii="David" w:hAnsi="David" w:cs="David"/>
          <w:sz w:val="24"/>
          <w:szCs w:val="24"/>
        </w:rPr>
        <w:t xml:space="preserve">“reenchantment, if not outright remythologization”, </w:t>
      </w:r>
      <w:r w:rsidR="00390463" w:rsidRPr="00F37960">
        <w:rPr>
          <w:rFonts w:ascii="David" w:hAnsi="David" w:cs="David"/>
          <w:sz w:val="24"/>
          <w:szCs w:val="24"/>
          <w:rtl/>
        </w:rPr>
        <w:t xml:space="preserve"> </w:t>
      </w:r>
      <w:r w:rsidR="00983B28">
        <w:rPr>
          <w:rFonts w:ascii="David" w:hAnsi="David" w:cs="David"/>
          <w:sz w:val="24"/>
          <w:szCs w:val="24"/>
          <w:rtl/>
        </w:rPr>
        <w:t>של</w:t>
      </w:r>
      <w:r w:rsidR="00983B28">
        <w:rPr>
          <w:rFonts w:ascii="David" w:hAnsi="David" w:cs="David" w:hint="cs"/>
          <w:sz w:val="24"/>
          <w:szCs w:val="24"/>
          <w:rtl/>
        </w:rPr>
        <w:t xml:space="preserve"> </w:t>
      </w:r>
      <w:r w:rsidR="004E44DC">
        <w:rPr>
          <w:rFonts w:ascii="David" w:hAnsi="David" w:cs="David" w:hint="cs"/>
          <w:sz w:val="24"/>
          <w:szCs w:val="24"/>
          <w:rtl/>
        </w:rPr>
        <w:t>עולם חילוני-מודרני</w:t>
      </w:r>
      <w:r w:rsidR="00390463" w:rsidRPr="00F37960">
        <w:rPr>
          <w:rFonts w:ascii="David" w:hAnsi="David" w:cs="David"/>
          <w:sz w:val="24"/>
          <w:szCs w:val="24"/>
          <w:rtl/>
        </w:rPr>
        <w:t>.</w:t>
      </w:r>
      <w:r w:rsidR="00390463" w:rsidRPr="00F37960">
        <w:rPr>
          <w:rStyle w:val="FootnoteReference"/>
          <w:rFonts w:ascii="David" w:hAnsi="David" w:cs="David"/>
          <w:sz w:val="24"/>
          <w:szCs w:val="24"/>
          <w:rtl/>
        </w:rPr>
        <w:footnoteReference w:id="4"/>
      </w:r>
      <w:r w:rsidR="00390463" w:rsidRPr="00F37960">
        <w:rPr>
          <w:rFonts w:ascii="David" w:hAnsi="David" w:cs="David"/>
          <w:sz w:val="24"/>
          <w:szCs w:val="24"/>
          <w:rtl/>
        </w:rPr>
        <w:t xml:space="preserve"> </w:t>
      </w:r>
    </w:p>
    <w:p w14:paraId="5800B61D" w14:textId="4C6FB7A7" w:rsidR="001101B3" w:rsidRPr="001101B3" w:rsidRDefault="00E317E2" w:rsidP="00F66751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3121D9" w:rsidRPr="00F37960">
        <w:rPr>
          <w:rFonts w:ascii="David" w:hAnsi="David" w:cs="David"/>
          <w:sz w:val="24"/>
          <w:szCs w:val="24"/>
          <w:rtl/>
        </w:rPr>
        <w:t>חוקרים ה</w:t>
      </w:r>
      <w:r w:rsidR="00390463" w:rsidRPr="00F37960">
        <w:rPr>
          <w:rFonts w:ascii="David" w:hAnsi="David" w:cs="David"/>
          <w:sz w:val="24"/>
          <w:szCs w:val="24"/>
          <w:rtl/>
        </w:rPr>
        <w:t xml:space="preserve">ללו ורבים נוספים </w:t>
      </w:r>
      <w:r w:rsidR="00583DBA">
        <w:rPr>
          <w:rFonts w:ascii="David" w:hAnsi="David" w:cs="David"/>
          <w:sz w:val="24"/>
          <w:szCs w:val="24"/>
          <w:rtl/>
        </w:rPr>
        <w:t>ש</w:t>
      </w:r>
      <w:r w:rsidR="00583DBA">
        <w:rPr>
          <w:rFonts w:ascii="David" w:hAnsi="David" w:cs="David" w:hint="cs"/>
          <w:sz w:val="24"/>
          <w:szCs w:val="24"/>
          <w:rtl/>
        </w:rPr>
        <w:t xml:space="preserve">דנו במה שנראה </w:t>
      </w:r>
      <w:r w:rsidR="00A420EB">
        <w:rPr>
          <w:rFonts w:ascii="David" w:hAnsi="David" w:cs="David" w:hint="cs"/>
          <w:sz w:val="24"/>
          <w:szCs w:val="24"/>
          <w:rtl/>
        </w:rPr>
        <w:t>להם כ</w:t>
      </w:r>
      <w:r w:rsidR="00583DBA">
        <w:rPr>
          <w:rFonts w:ascii="David" w:hAnsi="David" w:cs="David" w:hint="cs"/>
          <w:sz w:val="24"/>
          <w:szCs w:val="24"/>
          <w:rtl/>
        </w:rPr>
        <w:t>מו חזרתה של הדת</w:t>
      </w:r>
      <w:r w:rsidR="00610BDA">
        <w:rPr>
          <w:rFonts w:ascii="David" w:hAnsi="David" w:cs="David" w:hint="cs"/>
          <w:sz w:val="24"/>
          <w:szCs w:val="24"/>
          <w:rtl/>
        </w:rPr>
        <w:t>,</w:t>
      </w:r>
      <w:r w:rsidR="00AC283D" w:rsidRPr="00F37960">
        <w:rPr>
          <w:rFonts w:ascii="David" w:hAnsi="David" w:cs="David"/>
          <w:sz w:val="24"/>
          <w:szCs w:val="24"/>
          <w:rtl/>
        </w:rPr>
        <w:t xml:space="preserve"> </w:t>
      </w:r>
      <w:r w:rsidR="00271178" w:rsidRPr="00F37960">
        <w:rPr>
          <w:rFonts w:ascii="David" w:hAnsi="David" w:cs="David"/>
          <w:sz w:val="24"/>
          <w:szCs w:val="24"/>
          <w:rtl/>
        </w:rPr>
        <w:t>נותרו</w:t>
      </w:r>
      <w:r w:rsidR="003121D9" w:rsidRPr="00F37960">
        <w:rPr>
          <w:rFonts w:ascii="David" w:hAnsi="David" w:cs="David"/>
          <w:sz w:val="24"/>
          <w:szCs w:val="24"/>
          <w:rtl/>
        </w:rPr>
        <w:t xml:space="preserve"> </w:t>
      </w:r>
      <w:r w:rsidR="005B0B46">
        <w:rPr>
          <w:rFonts w:ascii="David" w:hAnsi="David" w:cs="David"/>
          <w:sz w:val="24"/>
          <w:szCs w:val="24"/>
          <w:rtl/>
        </w:rPr>
        <w:t>במידה רב</w:t>
      </w:r>
      <w:r w:rsidR="005B0B46">
        <w:rPr>
          <w:rFonts w:ascii="David" w:hAnsi="David" w:cs="David" w:hint="cs"/>
          <w:sz w:val="24"/>
          <w:szCs w:val="24"/>
          <w:rtl/>
        </w:rPr>
        <w:t>ה</w:t>
      </w:r>
      <w:r w:rsidR="00974601" w:rsidRPr="00F37960">
        <w:rPr>
          <w:rFonts w:ascii="David" w:hAnsi="David" w:cs="David"/>
          <w:sz w:val="24"/>
          <w:szCs w:val="24"/>
          <w:rtl/>
        </w:rPr>
        <w:t xml:space="preserve"> </w:t>
      </w:r>
      <w:r w:rsidR="00271178" w:rsidRPr="00F37960">
        <w:rPr>
          <w:rFonts w:ascii="David" w:hAnsi="David" w:cs="David"/>
          <w:sz w:val="24"/>
          <w:szCs w:val="24"/>
          <w:rtl/>
        </w:rPr>
        <w:t xml:space="preserve">חלוקים </w:t>
      </w:r>
      <w:r w:rsidR="003121D9" w:rsidRPr="00F37960">
        <w:rPr>
          <w:rFonts w:ascii="David" w:hAnsi="David" w:cs="David"/>
          <w:sz w:val="24"/>
          <w:szCs w:val="24"/>
          <w:rtl/>
        </w:rPr>
        <w:t>לגבי</w:t>
      </w:r>
      <w:r w:rsidR="00464BF3" w:rsidRPr="00F37960">
        <w:rPr>
          <w:rFonts w:ascii="David" w:hAnsi="David" w:cs="David"/>
          <w:sz w:val="24"/>
          <w:szCs w:val="24"/>
          <w:rtl/>
        </w:rPr>
        <w:t xml:space="preserve"> אופיו של ה"עידן החדש", מאפייניו המרכזיים,</w:t>
      </w:r>
      <w:r w:rsidR="00974601" w:rsidRPr="00F37960">
        <w:rPr>
          <w:rFonts w:ascii="David" w:hAnsi="David" w:cs="David"/>
          <w:sz w:val="24"/>
          <w:szCs w:val="24"/>
          <w:rtl/>
        </w:rPr>
        <w:t xml:space="preserve"> מגוון התופעות הכרוכות בו,</w:t>
      </w:r>
      <w:r w:rsidR="00464BF3" w:rsidRPr="00F37960">
        <w:rPr>
          <w:rFonts w:ascii="David" w:hAnsi="David" w:cs="David"/>
          <w:sz w:val="24"/>
          <w:szCs w:val="24"/>
          <w:rtl/>
        </w:rPr>
        <w:t xml:space="preserve"> או חומריו</w:t>
      </w:r>
      <w:r w:rsidR="00DC52E5" w:rsidRPr="00F37960">
        <w:rPr>
          <w:rFonts w:ascii="David" w:hAnsi="David" w:cs="David"/>
          <w:sz w:val="24"/>
          <w:szCs w:val="24"/>
          <w:rtl/>
        </w:rPr>
        <w:t xml:space="preserve"> (היותר או פחות) אפלים</w:t>
      </w:r>
      <w:r w:rsidR="00974601" w:rsidRPr="00F37960">
        <w:rPr>
          <w:rFonts w:ascii="David" w:hAnsi="David" w:cs="David"/>
          <w:sz w:val="24"/>
          <w:szCs w:val="24"/>
          <w:rtl/>
        </w:rPr>
        <w:t>.</w:t>
      </w:r>
      <w:r w:rsidR="003121D9" w:rsidRPr="00F37960">
        <w:rPr>
          <w:rFonts w:ascii="David" w:hAnsi="David" w:cs="David"/>
          <w:sz w:val="24"/>
          <w:szCs w:val="24"/>
          <w:rtl/>
        </w:rPr>
        <w:t xml:space="preserve"> </w:t>
      </w:r>
      <w:r w:rsidR="00583DBA">
        <w:rPr>
          <w:rFonts w:ascii="David" w:hAnsi="David" w:cs="David"/>
          <w:sz w:val="24"/>
          <w:szCs w:val="24"/>
          <w:rtl/>
        </w:rPr>
        <w:t>האם מדובר בחזר</w:t>
      </w:r>
      <w:r w:rsidR="00C57424">
        <w:rPr>
          <w:rFonts w:ascii="David" w:hAnsi="David" w:cs="David"/>
          <w:sz w:val="24"/>
          <w:szCs w:val="24"/>
          <w:rtl/>
        </w:rPr>
        <w:t>ה</w:t>
      </w:r>
      <w:r w:rsidR="00C57424">
        <w:rPr>
          <w:rFonts w:ascii="David" w:hAnsi="David" w:cs="David" w:hint="cs"/>
          <w:sz w:val="24"/>
          <w:szCs w:val="24"/>
          <w:rtl/>
        </w:rPr>
        <w:t xml:space="preserve"> </w:t>
      </w:r>
      <w:r w:rsidR="0086758F" w:rsidRPr="00F37960">
        <w:rPr>
          <w:rFonts w:ascii="David" w:hAnsi="David" w:cs="David"/>
          <w:sz w:val="24"/>
          <w:szCs w:val="24"/>
          <w:rtl/>
        </w:rPr>
        <w:t>של הדתות ה</w:t>
      </w:r>
      <w:r w:rsidR="00E2039C" w:rsidRPr="00F37960">
        <w:rPr>
          <w:rFonts w:ascii="David" w:hAnsi="David" w:cs="David"/>
          <w:sz w:val="24"/>
          <w:szCs w:val="24"/>
          <w:rtl/>
        </w:rPr>
        <w:t>אורתודוקסיות וה</w:t>
      </w:r>
      <w:r w:rsidR="0086758F" w:rsidRPr="00F37960">
        <w:rPr>
          <w:rFonts w:ascii="David" w:hAnsi="David" w:cs="David"/>
          <w:sz w:val="24"/>
          <w:szCs w:val="24"/>
          <w:rtl/>
        </w:rPr>
        <w:t>ממסדיות</w:t>
      </w:r>
      <w:r w:rsidR="00583DBA">
        <w:rPr>
          <w:rFonts w:ascii="David" w:hAnsi="David" w:cs="David" w:hint="cs"/>
          <w:sz w:val="24"/>
          <w:szCs w:val="24"/>
          <w:rtl/>
        </w:rPr>
        <w:t>,</w:t>
      </w:r>
      <w:r w:rsidR="0086758F" w:rsidRPr="00F37960">
        <w:rPr>
          <w:rFonts w:ascii="David" w:hAnsi="David" w:cs="David"/>
          <w:sz w:val="24"/>
          <w:szCs w:val="24"/>
          <w:rtl/>
        </w:rPr>
        <w:t xml:space="preserve"> או </w:t>
      </w:r>
      <w:r w:rsidR="00E2039C" w:rsidRPr="00F37960">
        <w:rPr>
          <w:rFonts w:ascii="David" w:hAnsi="David" w:cs="David"/>
          <w:sz w:val="24"/>
          <w:szCs w:val="24"/>
          <w:rtl/>
        </w:rPr>
        <w:t>בהת</w:t>
      </w:r>
      <w:r w:rsidR="00C57424">
        <w:rPr>
          <w:rFonts w:ascii="David" w:hAnsi="David" w:cs="David" w:hint="cs"/>
          <w:sz w:val="24"/>
          <w:szCs w:val="24"/>
          <w:rtl/>
        </w:rPr>
        <w:t xml:space="preserve">עוררותן של </w:t>
      </w:r>
      <w:r w:rsidR="00E2039C" w:rsidRPr="00F37960">
        <w:rPr>
          <w:rFonts w:ascii="David" w:hAnsi="David" w:cs="David"/>
          <w:sz w:val="24"/>
          <w:szCs w:val="24"/>
          <w:rtl/>
        </w:rPr>
        <w:t>צורות חדשות של רוחניות? האם התופעה</w:t>
      </w:r>
      <w:r w:rsidR="00AC283D" w:rsidRPr="00F37960">
        <w:rPr>
          <w:rFonts w:ascii="David" w:hAnsi="David" w:cs="David"/>
          <w:sz w:val="24"/>
          <w:szCs w:val="24"/>
          <w:rtl/>
        </w:rPr>
        <w:t xml:space="preserve"> מוגבלת</w:t>
      </w:r>
      <w:r w:rsidR="00E2039C" w:rsidRPr="00F37960">
        <w:rPr>
          <w:rFonts w:ascii="David" w:hAnsi="David" w:cs="David"/>
          <w:sz w:val="24"/>
          <w:szCs w:val="24"/>
          <w:rtl/>
        </w:rPr>
        <w:t xml:space="preserve"> למה שהאברמס מכנה </w:t>
      </w:r>
      <w:r>
        <w:rPr>
          <w:rFonts w:ascii="David" w:hAnsi="David" w:cs="David"/>
          <w:sz w:val="24"/>
          <w:szCs w:val="24"/>
        </w:rPr>
        <w:t>“</w:t>
      </w:r>
      <w:r w:rsidR="00E2039C" w:rsidRPr="00F37960">
        <w:rPr>
          <w:rFonts w:ascii="David" w:hAnsi="David" w:cs="David"/>
          <w:sz w:val="24"/>
          <w:szCs w:val="24"/>
          <w:lang w:val="de-DE"/>
        </w:rPr>
        <w:t>affluent western societies</w:t>
      </w:r>
      <w:r>
        <w:rPr>
          <w:rFonts w:ascii="David" w:hAnsi="David" w:cs="David"/>
          <w:sz w:val="24"/>
          <w:szCs w:val="24"/>
        </w:rPr>
        <w:t>”</w:t>
      </w:r>
      <w:r w:rsidR="00E2039C" w:rsidRPr="00F37960">
        <w:rPr>
          <w:rFonts w:ascii="David" w:hAnsi="David" w:cs="David"/>
          <w:sz w:val="24"/>
          <w:szCs w:val="24"/>
          <w:rtl/>
          <w:lang w:val="de-DE"/>
        </w:rPr>
        <w:t>, דהיינו ל</w:t>
      </w:r>
      <w:r>
        <w:rPr>
          <w:rFonts w:ascii="David" w:hAnsi="David" w:cs="David" w:hint="cs"/>
          <w:sz w:val="24"/>
          <w:szCs w:val="24"/>
          <w:rtl/>
          <w:lang w:val="de-DE"/>
        </w:rPr>
        <w:t>גרסה מערבית של נצרות מחולנת</w:t>
      </w:r>
      <w:r w:rsidR="00E2039C" w:rsidRPr="00F37960">
        <w:rPr>
          <w:rFonts w:ascii="David" w:hAnsi="David" w:cs="David"/>
          <w:sz w:val="24"/>
          <w:szCs w:val="24"/>
          <w:rtl/>
          <w:lang w:val="de-DE"/>
        </w:rPr>
        <w:t xml:space="preserve">, או שהיא </w:t>
      </w:r>
      <w:r w:rsidR="00AC283D" w:rsidRPr="00F37960">
        <w:rPr>
          <w:rFonts w:ascii="David" w:hAnsi="David" w:cs="David"/>
          <w:sz w:val="24"/>
          <w:szCs w:val="24"/>
          <w:rtl/>
          <w:lang w:val="de-DE"/>
        </w:rPr>
        <w:t>רלוונטית,</w:t>
      </w:r>
      <w:r w:rsidR="00E2039C" w:rsidRPr="00F37960">
        <w:rPr>
          <w:rFonts w:ascii="David" w:hAnsi="David" w:cs="David"/>
          <w:sz w:val="24"/>
          <w:szCs w:val="24"/>
          <w:rtl/>
          <w:lang w:val="de-DE"/>
        </w:rPr>
        <w:t xml:space="preserve"> גם אם בדרכים שונות, ל</w:t>
      </w:r>
      <w:r>
        <w:rPr>
          <w:rFonts w:ascii="David" w:hAnsi="David" w:cs="David" w:hint="cs"/>
          <w:sz w:val="24"/>
          <w:szCs w:val="24"/>
          <w:rtl/>
          <w:lang w:val="de-DE"/>
        </w:rPr>
        <w:t>חברות</w:t>
      </w:r>
      <w:r w:rsidR="009B16B1">
        <w:rPr>
          <w:rFonts w:ascii="David" w:hAnsi="David" w:cs="David" w:hint="cs"/>
          <w:sz w:val="24"/>
          <w:szCs w:val="24"/>
          <w:rtl/>
          <w:lang w:val="de-DE"/>
        </w:rPr>
        <w:t>, תרבויות ודתות</w:t>
      </w:r>
      <w:r w:rsidR="00873F48" w:rsidRPr="00F37960">
        <w:rPr>
          <w:rFonts w:ascii="David" w:hAnsi="David" w:cs="David"/>
          <w:sz w:val="24"/>
          <w:szCs w:val="24"/>
          <w:rtl/>
          <w:lang w:val="de-DE"/>
        </w:rPr>
        <w:t xml:space="preserve"> נוספות? </w:t>
      </w:r>
      <w:r w:rsidR="00E2039C" w:rsidRPr="00F37960">
        <w:rPr>
          <w:rFonts w:ascii="David" w:hAnsi="David" w:cs="David"/>
          <w:sz w:val="24"/>
          <w:szCs w:val="24"/>
          <w:rtl/>
          <w:lang w:val="de-DE"/>
        </w:rPr>
        <w:t>באיזו מידה מדובר בטשטוש הגבולות שבין ה"חילוני" והדתי"</w:t>
      </w:r>
      <w:r w:rsidR="00583DBA">
        <w:rPr>
          <w:rFonts w:ascii="David" w:hAnsi="David" w:cs="David" w:hint="cs"/>
          <w:sz w:val="24"/>
          <w:szCs w:val="24"/>
          <w:rtl/>
          <w:lang w:val="de-DE"/>
        </w:rPr>
        <w:t>,</w:t>
      </w:r>
      <w:r w:rsidR="00E2039C" w:rsidRPr="00F37960">
        <w:rPr>
          <w:rFonts w:ascii="David" w:hAnsi="David" w:cs="David"/>
          <w:sz w:val="24"/>
          <w:szCs w:val="24"/>
          <w:rtl/>
          <w:lang w:val="de-DE"/>
        </w:rPr>
        <w:t xml:space="preserve"> או בארגון מחדש של גבולות אלו? </w:t>
      </w:r>
      <w:r w:rsidR="00583DBA">
        <w:rPr>
          <w:rFonts w:ascii="David" w:hAnsi="David" w:cs="David"/>
          <w:sz w:val="24"/>
          <w:szCs w:val="24"/>
          <w:rtl/>
          <w:lang w:val="de-DE"/>
        </w:rPr>
        <w:t xml:space="preserve">כיצד </w:t>
      </w:r>
      <w:r w:rsidR="00583DBA">
        <w:rPr>
          <w:rFonts w:ascii="David" w:hAnsi="David" w:cs="David" w:hint="cs"/>
          <w:sz w:val="24"/>
          <w:szCs w:val="24"/>
          <w:rtl/>
          <w:lang w:val="de-DE"/>
        </w:rPr>
        <w:t>ארגומנטציות</w:t>
      </w:r>
      <w:r w:rsidR="00C426EC" w:rsidRPr="00F37960">
        <w:rPr>
          <w:rFonts w:ascii="David" w:hAnsi="David" w:cs="David"/>
          <w:sz w:val="24"/>
          <w:szCs w:val="24"/>
          <w:rtl/>
          <w:lang w:val="de-DE"/>
        </w:rPr>
        <w:t xml:space="preserve"> תיאולוגיות מעצבות מחדש את קווי המת</w:t>
      </w:r>
      <w:r w:rsidR="007A63A5" w:rsidRPr="00F37960">
        <w:rPr>
          <w:rFonts w:ascii="David" w:hAnsi="David" w:cs="David"/>
          <w:sz w:val="24"/>
          <w:szCs w:val="24"/>
          <w:rtl/>
          <w:lang w:val="de-DE"/>
        </w:rPr>
        <w:t xml:space="preserve">אר </w:t>
      </w:r>
      <w:r w:rsidR="00C426EC" w:rsidRPr="00F37960">
        <w:rPr>
          <w:rFonts w:ascii="David" w:hAnsi="David" w:cs="David"/>
          <w:sz w:val="24"/>
          <w:szCs w:val="24"/>
          <w:rtl/>
          <w:lang w:val="de-DE"/>
        </w:rPr>
        <w:t>הפוליטיים</w:t>
      </w:r>
      <w:r w:rsidR="00983B28">
        <w:rPr>
          <w:rFonts w:ascii="David" w:hAnsi="David" w:cs="David" w:hint="cs"/>
          <w:sz w:val="24"/>
          <w:szCs w:val="24"/>
          <w:rtl/>
          <w:lang w:val="de-DE"/>
        </w:rPr>
        <w:t xml:space="preserve"> הנוגעים לסכסוכים </w:t>
      </w:r>
      <w:r w:rsidR="009B16B1">
        <w:rPr>
          <w:rFonts w:ascii="David" w:hAnsi="David" w:cs="David" w:hint="cs"/>
          <w:sz w:val="24"/>
          <w:szCs w:val="24"/>
          <w:rtl/>
          <w:lang w:val="de-DE"/>
        </w:rPr>
        <w:t>ברחבי העולם</w:t>
      </w:r>
      <w:r w:rsidR="00C426EC" w:rsidRPr="00F37960">
        <w:rPr>
          <w:rFonts w:ascii="David" w:hAnsi="David" w:cs="David"/>
          <w:sz w:val="24"/>
          <w:szCs w:val="24"/>
          <w:rtl/>
          <w:lang w:val="de-DE"/>
        </w:rPr>
        <w:t>?</w:t>
      </w:r>
      <w:r w:rsidR="005B0B46">
        <w:rPr>
          <w:rFonts w:ascii="David" w:hAnsi="David" w:cs="David" w:hint="cs"/>
          <w:sz w:val="24"/>
          <w:szCs w:val="24"/>
          <w:rtl/>
          <w:lang w:val="de-DE"/>
        </w:rPr>
        <w:t xml:space="preserve"> אלו הן כמה דוגמאות לסו</w:t>
      </w:r>
      <w:r w:rsidR="00F92E16">
        <w:rPr>
          <w:rFonts w:ascii="David" w:hAnsi="David" w:cs="David" w:hint="cs"/>
          <w:sz w:val="24"/>
          <w:szCs w:val="24"/>
          <w:rtl/>
          <w:lang w:val="de-DE"/>
        </w:rPr>
        <w:t>גיות שעליהן חלוקות הדעות גם היום</w:t>
      </w:r>
      <w:r w:rsidR="005B0B46">
        <w:rPr>
          <w:rFonts w:ascii="David" w:hAnsi="David" w:cs="David" w:hint="cs"/>
          <w:sz w:val="24"/>
          <w:szCs w:val="24"/>
          <w:rtl/>
          <w:lang w:val="de-DE"/>
        </w:rPr>
        <w:t xml:space="preserve">. </w:t>
      </w:r>
      <w:r w:rsidR="00F66751" w:rsidRPr="00F37960">
        <w:rPr>
          <w:rFonts w:ascii="David" w:hAnsi="David" w:cs="David"/>
          <w:sz w:val="24"/>
          <w:szCs w:val="24"/>
          <w:rtl/>
        </w:rPr>
        <w:t>סוגיות אלו לא נעלמו בתקופת הפנדמיה האחרונה, אלא, אם בכלל, הרלוונטיות של ה</w:t>
      </w:r>
      <w:r w:rsidR="00F66751">
        <w:rPr>
          <w:rFonts w:ascii="David" w:hAnsi="David" w:cs="David" w:hint="cs"/>
          <w:sz w:val="24"/>
          <w:szCs w:val="24"/>
          <w:rtl/>
        </w:rPr>
        <w:t>מחלוקות ה</w:t>
      </w:r>
      <w:r w:rsidR="00F66751">
        <w:rPr>
          <w:rFonts w:ascii="David" w:hAnsi="David" w:cs="David"/>
          <w:sz w:val="24"/>
          <w:szCs w:val="24"/>
          <w:rtl/>
        </w:rPr>
        <w:t xml:space="preserve">כרוכות </w:t>
      </w:r>
      <w:r w:rsidR="00F66751">
        <w:rPr>
          <w:rFonts w:ascii="David" w:hAnsi="David" w:cs="David" w:hint="cs"/>
          <w:sz w:val="24"/>
          <w:szCs w:val="24"/>
          <w:rtl/>
        </w:rPr>
        <w:t>בהן</w:t>
      </w:r>
      <w:r w:rsidR="00F66751" w:rsidRPr="00F37960">
        <w:rPr>
          <w:rFonts w:ascii="David" w:hAnsi="David" w:cs="David"/>
          <w:sz w:val="24"/>
          <w:szCs w:val="24"/>
          <w:rtl/>
        </w:rPr>
        <w:t xml:space="preserve"> רק התעצמה</w:t>
      </w:r>
      <w:r w:rsidR="00F66751">
        <w:rPr>
          <w:rFonts w:ascii="David" w:hAnsi="David" w:cs="David" w:hint="cs"/>
          <w:sz w:val="24"/>
          <w:szCs w:val="24"/>
          <w:rtl/>
        </w:rPr>
        <w:t>.</w:t>
      </w:r>
      <w:r w:rsidR="001101B3">
        <w:rPr>
          <w:rFonts w:ascii="David" w:hAnsi="David" w:cs="David" w:hint="cs"/>
          <w:sz w:val="24"/>
          <w:szCs w:val="24"/>
          <w:rtl/>
        </w:rPr>
        <w:t xml:space="preserve"> </w:t>
      </w:r>
      <w:r w:rsidR="00AC283D" w:rsidRPr="00F37960">
        <w:rPr>
          <w:rFonts w:ascii="David" w:hAnsi="David" w:cs="David"/>
          <w:sz w:val="24"/>
          <w:szCs w:val="24"/>
          <w:rtl/>
          <w:lang w:val="de-DE"/>
        </w:rPr>
        <w:t xml:space="preserve">בצדק, אפוא, הצביעה </w:t>
      </w:r>
      <w:r w:rsidR="004204B6" w:rsidRPr="00F37960">
        <w:rPr>
          <w:rFonts w:ascii="David" w:hAnsi="David" w:cs="David"/>
          <w:sz w:val="24"/>
          <w:szCs w:val="24"/>
          <w:rtl/>
          <w:lang w:val="de-DE"/>
        </w:rPr>
        <w:t xml:space="preserve">לאחרונה </w:t>
      </w:r>
      <w:r w:rsidR="00AC283D" w:rsidRPr="00F37960">
        <w:rPr>
          <w:rFonts w:ascii="David" w:hAnsi="David" w:cs="David"/>
          <w:sz w:val="24"/>
          <w:szCs w:val="24"/>
          <w:rtl/>
          <w:lang w:val="de-DE"/>
        </w:rPr>
        <w:t xml:space="preserve">אגתה </w:t>
      </w:r>
      <w:r w:rsidR="00AC283D" w:rsidRPr="00F37960">
        <w:rPr>
          <w:rFonts w:ascii="David" w:hAnsi="David" w:cs="David"/>
          <w:sz w:val="24"/>
          <w:szCs w:val="24"/>
          <w:rtl/>
          <w:lang w:val="de-DE"/>
        </w:rPr>
        <w:lastRenderedPageBreak/>
        <w:t xml:space="preserve">ביאליק רובסון על </w:t>
      </w:r>
      <w:r w:rsidR="004204B6" w:rsidRPr="00F37960">
        <w:rPr>
          <w:rFonts w:ascii="David" w:hAnsi="David" w:cs="David"/>
          <w:sz w:val="24"/>
          <w:szCs w:val="24"/>
          <w:rtl/>
          <w:lang w:val="de-DE"/>
        </w:rPr>
        <w:t xml:space="preserve">קיומן של </w:t>
      </w:r>
      <w:r w:rsidR="00AC283D" w:rsidRPr="00F37960">
        <w:rPr>
          <w:rFonts w:ascii="David" w:hAnsi="David" w:cs="David"/>
          <w:sz w:val="24"/>
          <w:szCs w:val="24"/>
          <w:rtl/>
          <w:lang w:val="de-DE"/>
        </w:rPr>
        <w:t>גישות שונות, חלקן אף מנוגדות</w:t>
      </w:r>
      <w:r w:rsidR="005B0B46">
        <w:rPr>
          <w:rFonts w:ascii="David" w:hAnsi="David" w:cs="David" w:hint="cs"/>
          <w:sz w:val="24"/>
          <w:szCs w:val="24"/>
          <w:rtl/>
          <w:lang w:val="de-DE"/>
        </w:rPr>
        <w:t xml:space="preserve"> זו לזו</w:t>
      </w:r>
      <w:r w:rsidR="00AC283D" w:rsidRPr="00F37960">
        <w:rPr>
          <w:rFonts w:ascii="David" w:hAnsi="David" w:cs="David"/>
          <w:sz w:val="24"/>
          <w:szCs w:val="24"/>
          <w:rtl/>
          <w:lang w:val="de-DE"/>
        </w:rPr>
        <w:t xml:space="preserve">, המתייחסות ל"שיבה" של </w:t>
      </w:r>
      <w:r w:rsidR="00583DBA">
        <w:rPr>
          <w:rFonts w:ascii="David" w:hAnsi="David" w:cs="David" w:hint="cs"/>
          <w:sz w:val="24"/>
          <w:szCs w:val="24"/>
          <w:rtl/>
          <w:lang w:val="de-DE"/>
        </w:rPr>
        <w:t xml:space="preserve">הדת </w:t>
      </w:r>
      <w:r w:rsidR="00C57424">
        <w:rPr>
          <w:rFonts w:ascii="David" w:hAnsi="David" w:cs="David" w:hint="cs"/>
          <w:sz w:val="24"/>
          <w:szCs w:val="24"/>
          <w:rtl/>
          <w:lang w:val="de-DE"/>
        </w:rPr>
        <w:t xml:space="preserve">ושל התיאולוגיה </w:t>
      </w:r>
      <w:r w:rsidR="00AC283D" w:rsidRPr="00F37960">
        <w:rPr>
          <w:rFonts w:ascii="David" w:hAnsi="David" w:cs="David"/>
          <w:sz w:val="24"/>
          <w:szCs w:val="24"/>
          <w:rtl/>
          <w:lang w:val="de-DE"/>
        </w:rPr>
        <w:t>למרכז תשומת הלב החברתית והפוליטית.</w:t>
      </w:r>
      <w:r w:rsidR="00AC283D" w:rsidRPr="00F37960">
        <w:rPr>
          <w:rStyle w:val="FootnoteReference"/>
          <w:rFonts w:ascii="David" w:hAnsi="David" w:cs="David"/>
          <w:sz w:val="24"/>
          <w:szCs w:val="24"/>
          <w:rtl/>
          <w:lang w:val="de-DE"/>
        </w:rPr>
        <w:footnoteReference w:id="5"/>
      </w:r>
      <w:r w:rsidR="00AC283D" w:rsidRPr="00F37960">
        <w:rPr>
          <w:rFonts w:ascii="David" w:hAnsi="David" w:cs="David"/>
          <w:sz w:val="24"/>
          <w:szCs w:val="24"/>
          <w:rtl/>
          <w:lang w:val="de-DE"/>
        </w:rPr>
        <w:t xml:space="preserve"> </w:t>
      </w:r>
    </w:p>
    <w:p w14:paraId="2AD41F9F" w14:textId="287A1D86" w:rsidR="00C41009" w:rsidRPr="00C9631A" w:rsidRDefault="009B16B1" w:rsidP="00F66751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  <w:lang w:val="de-DE"/>
        </w:rPr>
      </w:pPr>
      <w:r>
        <w:rPr>
          <w:rFonts w:ascii="David" w:hAnsi="David" w:cs="David" w:hint="cs"/>
          <w:sz w:val="24"/>
          <w:szCs w:val="24"/>
          <w:rtl/>
        </w:rPr>
        <w:t xml:space="preserve">ברם, </w:t>
      </w:r>
      <w:r w:rsidR="00AC283D" w:rsidRPr="00F37960">
        <w:rPr>
          <w:rFonts w:ascii="David" w:hAnsi="David" w:cs="David"/>
          <w:sz w:val="24"/>
          <w:szCs w:val="24"/>
          <w:rtl/>
        </w:rPr>
        <w:t xml:space="preserve">למרות הבדלים הרבים </w:t>
      </w:r>
      <w:r w:rsidR="00C41009" w:rsidRPr="00F37960">
        <w:rPr>
          <w:rFonts w:ascii="David" w:hAnsi="David" w:cs="David"/>
          <w:sz w:val="24"/>
          <w:szCs w:val="24"/>
          <w:rtl/>
        </w:rPr>
        <w:t>בין</w:t>
      </w:r>
      <w:r w:rsidR="00C9631A">
        <w:rPr>
          <w:rFonts w:ascii="David" w:hAnsi="David" w:cs="David"/>
          <w:sz w:val="24"/>
          <w:szCs w:val="24"/>
          <w:rtl/>
        </w:rPr>
        <w:t xml:space="preserve"> ה</w:t>
      </w:r>
      <w:r w:rsidR="008012A8">
        <w:rPr>
          <w:rFonts w:ascii="David" w:hAnsi="David" w:cs="David" w:hint="cs"/>
          <w:sz w:val="24"/>
          <w:szCs w:val="24"/>
          <w:rtl/>
        </w:rPr>
        <w:t>גישות השונו</w:t>
      </w:r>
      <w:r w:rsidR="00C9631A">
        <w:rPr>
          <w:rFonts w:ascii="David" w:hAnsi="David" w:cs="David" w:hint="cs"/>
          <w:sz w:val="24"/>
          <w:szCs w:val="24"/>
          <w:rtl/>
        </w:rPr>
        <w:t xml:space="preserve">ת, שחלקן הוזכרו לעיל, </w:t>
      </w:r>
      <w:r>
        <w:rPr>
          <w:rFonts w:ascii="David" w:hAnsi="David" w:cs="David" w:hint="cs"/>
          <w:sz w:val="24"/>
          <w:szCs w:val="24"/>
          <w:rtl/>
        </w:rPr>
        <w:t>נראה ש</w:t>
      </w:r>
      <w:r w:rsidR="00983B28">
        <w:rPr>
          <w:rFonts w:ascii="David" w:hAnsi="David" w:cs="David" w:hint="cs"/>
          <w:sz w:val="24"/>
          <w:szCs w:val="24"/>
          <w:rtl/>
        </w:rPr>
        <w:t>הן</w:t>
      </w:r>
      <w:r w:rsidR="00232079" w:rsidRPr="00F37960">
        <w:rPr>
          <w:rFonts w:ascii="David" w:hAnsi="David" w:cs="David"/>
          <w:sz w:val="24"/>
          <w:szCs w:val="24"/>
          <w:rtl/>
        </w:rPr>
        <w:t xml:space="preserve"> </w:t>
      </w:r>
      <w:r w:rsidR="00AC283D" w:rsidRPr="00F37960">
        <w:rPr>
          <w:rFonts w:ascii="David" w:hAnsi="David" w:cs="David"/>
          <w:sz w:val="24"/>
          <w:szCs w:val="24"/>
          <w:rtl/>
        </w:rPr>
        <w:t xml:space="preserve">חולקות לפחות מכנה משותף </w:t>
      </w:r>
      <w:r w:rsidR="00F66751">
        <w:rPr>
          <w:rFonts w:ascii="David" w:hAnsi="David" w:cs="David" w:hint="cs"/>
          <w:sz w:val="24"/>
          <w:szCs w:val="24"/>
          <w:rtl/>
        </w:rPr>
        <w:t>נרטיבי</w:t>
      </w:r>
      <w:r w:rsidR="00C9631A">
        <w:rPr>
          <w:rFonts w:ascii="David" w:hAnsi="David" w:cs="David" w:hint="cs"/>
          <w:sz w:val="24"/>
          <w:szCs w:val="24"/>
          <w:rtl/>
        </w:rPr>
        <w:t xml:space="preserve">. כולן מניחות </w:t>
      </w:r>
      <w:r w:rsidR="00C41009" w:rsidRPr="00F37960">
        <w:rPr>
          <w:rFonts w:ascii="David" w:hAnsi="David" w:cs="David"/>
          <w:sz w:val="24"/>
          <w:szCs w:val="24"/>
          <w:rtl/>
        </w:rPr>
        <w:t xml:space="preserve">הן את </w:t>
      </w:r>
      <w:r w:rsidR="00F66751">
        <w:rPr>
          <w:rFonts w:ascii="David" w:hAnsi="David" w:cs="David" w:hint="cs"/>
          <w:sz w:val="24"/>
          <w:szCs w:val="24"/>
          <w:rtl/>
        </w:rPr>
        <w:t xml:space="preserve">סיפור </w:t>
      </w:r>
      <w:r w:rsidR="00C41009" w:rsidRPr="00F37960">
        <w:rPr>
          <w:rFonts w:ascii="David" w:hAnsi="David" w:cs="David"/>
          <w:sz w:val="24"/>
          <w:szCs w:val="24"/>
          <w:rtl/>
        </w:rPr>
        <w:t>הה</w:t>
      </w:r>
      <w:r w:rsidR="00C9631A">
        <w:rPr>
          <w:rFonts w:ascii="David" w:hAnsi="David" w:cs="David" w:hint="cs"/>
          <w:sz w:val="24"/>
          <w:szCs w:val="24"/>
          <w:rtl/>
        </w:rPr>
        <w:t xml:space="preserve">חלשות, אולי אפילו ההעלמות של הדת </w:t>
      </w:r>
      <w:r w:rsidR="001E4F7D">
        <w:rPr>
          <w:rFonts w:ascii="David" w:hAnsi="David" w:cs="David" w:hint="cs"/>
          <w:sz w:val="24"/>
          <w:szCs w:val="24"/>
          <w:rtl/>
        </w:rPr>
        <w:t>במסגרת החיים החילונית-מודרנית</w:t>
      </w:r>
      <w:r w:rsidR="00C9631A">
        <w:rPr>
          <w:rFonts w:ascii="David" w:hAnsi="David" w:cs="David" w:hint="cs"/>
          <w:sz w:val="24"/>
          <w:szCs w:val="24"/>
          <w:rtl/>
        </w:rPr>
        <w:t xml:space="preserve">, </w:t>
      </w:r>
      <w:r w:rsidR="00C41009" w:rsidRPr="00F37960">
        <w:rPr>
          <w:rFonts w:ascii="David" w:hAnsi="David" w:cs="David"/>
          <w:sz w:val="24"/>
          <w:szCs w:val="24"/>
          <w:rtl/>
        </w:rPr>
        <w:t>והן את ה</w:t>
      </w:r>
      <w:r w:rsidR="00464BF3" w:rsidRPr="00F37960">
        <w:rPr>
          <w:rFonts w:ascii="David" w:hAnsi="David" w:cs="David"/>
          <w:sz w:val="24"/>
          <w:szCs w:val="24"/>
          <w:rtl/>
        </w:rPr>
        <w:t>הופעה</w:t>
      </w:r>
      <w:r w:rsidR="00C41009" w:rsidRPr="00F37960">
        <w:rPr>
          <w:rFonts w:ascii="David" w:hAnsi="David" w:cs="David"/>
          <w:sz w:val="24"/>
          <w:szCs w:val="24"/>
          <w:rtl/>
        </w:rPr>
        <w:t xml:space="preserve"> ה</w:t>
      </w:r>
      <w:r w:rsidR="00D4016B" w:rsidRPr="00F37960">
        <w:rPr>
          <w:rFonts w:ascii="David" w:hAnsi="David" w:cs="David"/>
          <w:sz w:val="24"/>
          <w:szCs w:val="24"/>
          <w:rtl/>
        </w:rPr>
        <w:t xml:space="preserve">מחודשת </w:t>
      </w:r>
      <w:r w:rsidR="00974601" w:rsidRPr="00F37960">
        <w:rPr>
          <w:rFonts w:ascii="David" w:hAnsi="David" w:cs="David"/>
          <w:sz w:val="24"/>
          <w:szCs w:val="24"/>
          <w:rtl/>
        </w:rPr>
        <w:t>לכאורה של</w:t>
      </w:r>
      <w:r w:rsidR="003F749B">
        <w:rPr>
          <w:rFonts w:ascii="David" w:hAnsi="David" w:cs="David" w:hint="cs"/>
          <w:sz w:val="24"/>
          <w:szCs w:val="24"/>
          <w:rtl/>
        </w:rPr>
        <w:t>ה</w:t>
      </w:r>
      <w:r w:rsidR="001E4F7D">
        <w:rPr>
          <w:rFonts w:ascii="David" w:hAnsi="David" w:cs="David" w:hint="cs"/>
          <w:sz w:val="24"/>
          <w:szCs w:val="24"/>
          <w:rtl/>
        </w:rPr>
        <w:t xml:space="preserve"> בעשורים האחרונים</w:t>
      </w:r>
      <w:r w:rsidR="00746EDF">
        <w:rPr>
          <w:rFonts w:ascii="David" w:hAnsi="David" w:cs="David" w:hint="cs"/>
          <w:sz w:val="24"/>
          <w:szCs w:val="24"/>
          <w:rtl/>
        </w:rPr>
        <w:t xml:space="preserve"> בהגות, בחברה ופוליטיקה</w:t>
      </w:r>
      <w:r w:rsidR="00C57424">
        <w:rPr>
          <w:rFonts w:ascii="David" w:hAnsi="David" w:cs="David" w:hint="cs"/>
          <w:sz w:val="24"/>
          <w:szCs w:val="24"/>
          <w:rtl/>
        </w:rPr>
        <w:t xml:space="preserve">. </w:t>
      </w:r>
      <w:r w:rsidR="00C9631A">
        <w:rPr>
          <w:rFonts w:ascii="David" w:hAnsi="David" w:cs="David" w:hint="cs"/>
          <w:sz w:val="24"/>
          <w:szCs w:val="24"/>
          <w:rtl/>
        </w:rPr>
        <w:t xml:space="preserve">לדבר על "החזרה" של הדת, </w:t>
      </w:r>
      <w:r w:rsidR="001E4F7D">
        <w:rPr>
          <w:rFonts w:ascii="David" w:hAnsi="David" w:cs="David" w:hint="cs"/>
          <w:sz w:val="24"/>
          <w:szCs w:val="24"/>
          <w:rtl/>
        </w:rPr>
        <w:t>לטעון כי מדובר ב-</w:t>
      </w:r>
      <w:r w:rsidR="001E4F7D" w:rsidRPr="00F37960">
        <w:rPr>
          <w:rFonts w:ascii="David" w:hAnsi="David" w:cs="David"/>
          <w:sz w:val="24"/>
          <w:szCs w:val="24"/>
          <w:rtl/>
        </w:rPr>
        <w:t xml:space="preserve"> </w:t>
      </w:r>
      <w:r w:rsidR="001E4F7D" w:rsidRPr="00F37960">
        <w:rPr>
          <w:rFonts w:ascii="David" w:hAnsi="David" w:cs="David"/>
          <w:sz w:val="24"/>
          <w:szCs w:val="24"/>
        </w:rPr>
        <w:t>“</w:t>
      </w:r>
      <w:r w:rsidR="001E4F7D" w:rsidRPr="00F37960">
        <w:rPr>
          <w:rFonts w:ascii="David" w:hAnsi="David" w:cs="David"/>
          <w:sz w:val="24"/>
          <w:szCs w:val="24"/>
          <w:lang w:val="de-DE"/>
        </w:rPr>
        <w:t xml:space="preserve">reanchentment“ </w:t>
      </w:r>
      <w:r w:rsidR="001E4F7D" w:rsidRPr="00F37960">
        <w:rPr>
          <w:rFonts w:ascii="David" w:hAnsi="David" w:cs="David"/>
          <w:sz w:val="24"/>
          <w:szCs w:val="24"/>
          <w:rtl/>
        </w:rPr>
        <w:t xml:space="preserve"> של </w:t>
      </w:r>
      <w:r w:rsidR="001E4F7D" w:rsidRPr="00F37960">
        <w:rPr>
          <w:rFonts w:ascii="David" w:hAnsi="David" w:cs="David"/>
          <w:sz w:val="24"/>
          <w:szCs w:val="24"/>
          <w:lang w:val="de-DE"/>
        </w:rPr>
        <w:t>a formerl</w:t>
      </w:r>
      <w:r w:rsidR="001E4F7D" w:rsidRPr="00F37960">
        <w:rPr>
          <w:rFonts w:ascii="David" w:hAnsi="David" w:cs="David"/>
          <w:sz w:val="24"/>
          <w:szCs w:val="24"/>
        </w:rPr>
        <w:t>y secular and disenchant</w:t>
      </w:r>
      <w:r w:rsidR="001E4F7D">
        <w:rPr>
          <w:rFonts w:ascii="David" w:hAnsi="David" w:cs="David"/>
          <w:sz w:val="24"/>
          <w:szCs w:val="24"/>
          <w:lang w:val="de-DE"/>
        </w:rPr>
        <w:t>ed</w:t>
      </w:r>
      <w:r w:rsidR="001E4F7D" w:rsidRPr="00F37960">
        <w:rPr>
          <w:rFonts w:ascii="David" w:hAnsi="David" w:cs="David"/>
          <w:sz w:val="24"/>
          <w:szCs w:val="24"/>
        </w:rPr>
        <w:t xml:space="preserve"> world</w:t>
      </w:r>
      <w:r w:rsidR="001E4F7D">
        <w:rPr>
          <w:rFonts w:ascii="David" w:hAnsi="David" w:cs="David" w:hint="cs"/>
          <w:sz w:val="24"/>
          <w:szCs w:val="24"/>
          <w:rtl/>
        </w:rPr>
        <w:t xml:space="preserve"> </w:t>
      </w:r>
      <w:r w:rsidR="00C9631A">
        <w:rPr>
          <w:rFonts w:ascii="David" w:hAnsi="David" w:cs="David" w:hint="cs"/>
          <w:sz w:val="24"/>
          <w:szCs w:val="24"/>
          <w:rtl/>
        </w:rPr>
        <w:t>או להבחין בין חברה חילו</w:t>
      </w:r>
      <w:r w:rsidR="003F749B">
        <w:rPr>
          <w:rFonts w:ascii="David" w:hAnsi="David" w:cs="David" w:hint="cs"/>
          <w:sz w:val="24"/>
          <w:szCs w:val="24"/>
          <w:rtl/>
        </w:rPr>
        <w:t>נית ו</w:t>
      </w:r>
      <w:r w:rsidR="00610BDA">
        <w:rPr>
          <w:rFonts w:ascii="David" w:hAnsi="David" w:cs="David" w:hint="cs"/>
          <w:sz w:val="24"/>
          <w:szCs w:val="24"/>
          <w:rtl/>
        </w:rPr>
        <w:t xml:space="preserve">בין חברה </w:t>
      </w:r>
      <w:r w:rsidR="003F749B">
        <w:rPr>
          <w:rFonts w:ascii="David" w:hAnsi="David" w:cs="David" w:hint="cs"/>
          <w:sz w:val="24"/>
          <w:szCs w:val="24"/>
          <w:rtl/>
        </w:rPr>
        <w:t>"פוסט-חילונית"</w:t>
      </w:r>
      <w:r w:rsidR="001101B3">
        <w:rPr>
          <w:rFonts w:ascii="David" w:hAnsi="David" w:cs="David" w:hint="cs"/>
          <w:sz w:val="24"/>
          <w:szCs w:val="24"/>
          <w:rtl/>
        </w:rPr>
        <w:t xml:space="preserve"> שבאה, לכאורה, </w:t>
      </w:r>
      <w:r>
        <w:rPr>
          <w:rFonts w:ascii="David" w:hAnsi="David" w:cs="David" w:hint="cs"/>
          <w:sz w:val="24"/>
          <w:szCs w:val="24"/>
          <w:rtl/>
        </w:rPr>
        <w:t>במקומה ו</w:t>
      </w:r>
      <w:r w:rsidR="001101B3">
        <w:rPr>
          <w:rFonts w:ascii="David" w:hAnsi="David" w:cs="David" w:hint="cs"/>
          <w:sz w:val="24"/>
          <w:szCs w:val="24"/>
          <w:rtl/>
        </w:rPr>
        <w:t>לאחריה</w:t>
      </w:r>
      <w:r w:rsidR="003F749B">
        <w:rPr>
          <w:rFonts w:ascii="David" w:hAnsi="David" w:cs="David" w:hint="cs"/>
          <w:sz w:val="24"/>
          <w:szCs w:val="24"/>
          <w:rtl/>
        </w:rPr>
        <w:t xml:space="preserve"> פירושו להניח</w:t>
      </w:r>
      <w:r w:rsidR="00C9631A">
        <w:rPr>
          <w:rFonts w:ascii="David" w:hAnsi="David" w:cs="David" w:hint="cs"/>
          <w:sz w:val="24"/>
          <w:szCs w:val="24"/>
          <w:rtl/>
        </w:rPr>
        <w:t xml:space="preserve"> </w:t>
      </w:r>
      <w:r w:rsidR="00F92E16">
        <w:rPr>
          <w:rFonts w:ascii="David" w:hAnsi="David" w:cs="David" w:hint="cs"/>
          <w:sz w:val="24"/>
          <w:szCs w:val="24"/>
          <w:rtl/>
        </w:rPr>
        <w:t xml:space="preserve">כי ישנו ניגוד </w:t>
      </w:r>
      <w:r w:rsidR="00C41009" w:rsidRPr="00F37960">
        <w:rPr>
          <w:rFonts w:ascii="David" w:hAnsi="David" w:cs="David"/>
          <w:sz w:val="24"/>
          <w:szCs w:val="24"/>
          <w:rtl/>
        </w:rPr>
        <w:t>בין ע</w:t>
      </w:r>
      <w:r w:rsidR="00610BDA">
        <w:rPr>
          <w:rFonts w:ascii="David" w:hAnsi="David" w:cs="David"/>
          <w:sz w:val="24"/>
          <w:szCs w:val="24"/>
          <w:rtl/>
        </w:rPr>
        <w:t>ולם חילוני</w:t>
      </w:r>
      <w:r w:rsidR="00C41009" w:rsidRPr="00F37960">
        <w:rPr>
          <w:rFonts w:ascii="David" w:hAnsi="David" w:cs="David"/>
          <w:sz w:val="24"/>
          <w:szCs w:val="24"/>
          <w:rtl/>
        </w:rPr>
        <w:t xml:space="preserve"> ובין ה"אחר" הדתי שלו</w:t>
      </w:r>
      <w:r w:rsidR="00F92E16">
        <w:rPr>
          <w:rFonts w:ascii="David" w:hAnsi="David" w:cs="David" w:hint="cs"/>
          <w:sz w:val="24"/>
          <w:szCs w:val="24"/>
          <w:rtl/>
        </w:rPr>
        <w:t>,</w:t>
      </w:r>
      <w:r w:rsidR="00C57424">
        <w:rPr>
          <w:rFonts w:ascii="David" w:hAnsi="David" w:cs="David" w:hint="cs"/>
          <w:sz w:val="24"/>
          <w:szCs w:val="24"/>
          <w:rtl/>
        </w:rPr>
        <w:t xml:space="preserve"> שכאילו נמוג מן ה</w:t>
      </w:r>
      <w:r w:rsidR="00CA3930">
        <w:rPr>
          <w:rFonts w:ascii="David" w:hAnsi="David" w:cs="David" w:hint="cs"/>
          <w:sz w:val="24"/>
          <w:szCs w:val="24"/>
          <w:rtl/>
        </w:rPr>
        <w:t>שדה החברתי והפוליטי</w:t>
      </w:r>
      <w:r w:rsidR="00F92E16">
        <w:rPr>
          <w:rFonts w:ascii="David" w:hAnsi="David" w:cs="David" w:hint="cs"/>
          <w:sz w:val="24"/>
          <w:szCs w:val="24"/>
          <w:rtl/>
        </w:rPr>
        <w:t xml:space="preserve"> </w:t>
      </w:r>
      <w:r w:rsidR="00610BDA">
        <w:rPr>
          <w:rFonts w:ascii="David" w:hAnsi="David" w:cs="David" w:hint="cs"/>
          <w:sz w:val="24"/>
          <w:szCs w:val="24"/>
          <w:rtl/>
        </w:rPr>
        <w:t xml:space="preserve">המודרני </w:t>
      </w:r>
      <w:r w:rsidR="00F92E16">
        <w:rPr>
          <w:rFonts w:ascii="David" w:hAnsi="David" w:cs="David" w:hint="cs"/>
          <w:sz w:val="24"/>
          <w:szCs w:val="24"/>
          <w:rtl/>
        </w:rPr>
        <w:t xml:space="preserve">והופיע </w:t>
      </w:r>
      <w:r w:rsidR="00C57424">
        <w:rPr>
          <w:rFonts w:ascii="David" w:hAnsi="David" w:cs="David" w:hint="cs"/>
          <w:sz w:val="24"/>
          <w:szCs w:val="24"/>
          <w:rtl/>
        </w:rPr>
        <w:t xml:space="preserve">בו </w:t>
      </w:r>
      <w:r w:rsidR="00F92E16">
        <w:rPr>
          <w:rFonts w:ascii="David" w:hAnsi="David" w:cs="David" w:hint="cs"/>
          <w:sz w:val="24"/>
          <w:szCs w:val="24"/>
          <w:rtl/>
        </w:rPr>
        <w:t>שוב כבמעשה קסם</w:t>
      </w:r>
      <w:r w:rsidR="00C41009" w:rsidRPr="00F37960">
        <w:rPr>
          <w:rFonts w:ascii="David" w:hAnsi="David" w:cs="David"/>
          <w:sz w:val="24"/>
          <w:szCs w:val="24"/>
          <w:rtl/>
        </w:rPr>
        <w:t xml:space="preserve">. </w:t>
      </w:r>
    </w:p>
    <w:p w14:paraId="26CDF21A" w14:textId="4A1F6349" w:rsidR="0009015D" w:rsidRDefault="00F3033D" w:rsidP="005961F3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נוכחות התיאולוגיה בכתביהם</w:t>
      </w:r>
      <w:r w:rsidR="004204B6" w:rsidRPr="00F37960">
        <w:rPr>
          <w:rFonts w:ascii="David" w:hAnsi="David" w:cs="David"/>
          <w:sz w:val="24"/>
          <w:szCs w:val="24"/>
          <w:rtl/>
        </w:rPr>
        <w:t xml:space="preserve"> של הוגים מודרניים</w:t>
      </w:r>
      <w:r w:rsidR="009D0AB8">
        <w:rPr>
          <w:rFonts w:ascii="David" w:hAnsi="David" w:cs="David" w:hint="cs"/>
          <w:sz w:val="24"/>
          <w:szCs w:val="24"/>
          <w:rtl/>
        </w:rPr>
        <w:t xml:space="preserve"> כה מרכזיים</w:t>
      </w:r>
      <w:r w:rsidR="001101B3">
        <w:rPr>
          <w:rFonts w:ascii="David" w:hAnsi="David" w:cs="David" w:hint="cs"/>
          <w:sz w:val="24"/>
          <w:szCs w:val="24"/>
          <w:rtl/>
        </w:rPr>
        <w:t xml:space="preserve"> ו</w:t>
      </w:r>
      <w:r w:rsidR="00C9631A">
        <w:rPr>
          <w:rFonts w:ascii="David" w:hAnsi="David" w:cs="David" w:hint="cs"/>
          <w:sz w:val="24"/>
          <w:szCs w:val="24"/>
          <w:rtl/>
        </w:rPr>
        <w:t>משפיעים</w:t>
      </w:r>
      <w:r w:rsidR="009D0AB8">
        <w:rPr>
          <w:rFonts w:ascii="David" w:hAnsi="David" w:cs="David" w:hint="cs"/>
          <w:sz w:val="24"/>
          <w:szCs w:val="24"/>
          <w:rtl/>
        </w:rPr>
        <w:t xml:space="preserve"> כמו פרויד, בנימין, אדורנו וארנדט</w:t>
      </w:r>
      <w:r w:rsidR="005961F3">
        <w:rPr>
          <w:rFonts w:ascii="David" w:hAnsi="David" w:cs="David" w:hint="cs"/>
          <w:sz w:val="24"/>
          <w:szCs w:val="24"/>
          <w:rtl/>
        </w:rPr>
        <w:t>, מנגד,</w:t>
      </w:r>
      <w:r w:rsidR="007542EE">
        <w:rPr>
          <w:rFonts w:ascii="David" w:hAnsi="David" w:cs="David" w:hint="cs"/>
          <w:sz w:val="24"/>
          <w:szCs w:val="24"/>
          <w:rtl/>
        </w:rPr>
        <w:t xml:space="preserve"> מאתגר</w:t>
      </w:r>
      <w:r w:rsidR="005961F3">
        <w:rPr>
          <w:rFonts w:ascii="David" w:hAnsi="David" w:cs="David" w:hint="cs"/>
          <w:sz w:val="24"/>
          <w:szCs w:val="24"/>
          <w:rtl/>
        </w:rPr>
        <w:t>ת</w:t>
      </w:r>
      <w:r w:rsidR="007542EE">
        <w:rPr>
          <w:rFonts w:ascii="David" w:hAnsi="David" w:cs="David" w:hint="cs"/>
          <w:sz w:val="24"/>
          <w:szCs w:val="24"/>
          <w:rtl/>
        </w:rPr>
        <w:t xml:space="preserve"> בדיוק את </w:t>
      </w:r>
      <w:r w:rsidR="00C9631A">
        <w:rPr>
          <w:rFonts w:ascii="David" w:hAnsi="David" w:cs="David" w:hint="cs"/>
          <w:sz w:val="24"/>
          <w:szCs w:val="24"/>
          <w:rtl/>
        </w:rPr>
        <w:t xml:space="preserve">קשת </w:t>
      </w:r>
      <w:r w:rsidR="00F92E16">
        <w:rPr>
          <w:rFonts w:ascii="David" w:hAnsi="David" w:cs="David" w:hint="cs"/>
          <w:sz w:val="24"/>
          <w:szCs w:val="24"/>
          <w:rtl/>
        </w:rPr>
        <w:t>ההנח</w:t>
      </w:r>
      <w:r w:rsidR="00C9631A">
        <w:rPr>
          <w:rFonts w:ascii="David" w:hAnsi="David" w:cs="David" w:hint="cs"/>
          <w:sz w:val="24"/>
          <w:szCs w:val="24"/>
          <w:rtl/>
        </w:rPr>
        <w:t>ות וההבחנות האלו</w:t>
      </w:r>
      <w:r w:rsidR="007542EE">
        <w:rPr>
          <w:rFonts w:ascii="David" w:hAnsi="David" w:cs="David" w:hint="cs"/>
          <w:sz w:val="24"/>
          <w:szCs w:val="24"/>
          <w:rtl/>
        </w:rPr>
        <w:t>.</w:t>
      </w:r>
      <w:r w:rsidR="00693E9A">
        <w:rPr>
          <w:rFonts w:ascii="David" w:hAnsi="David" w:cs="David" w:hint="cs"/>
          <w:sz w:val="24"/>
          <w:szCs w:val="24"/>
          <w:rtl/>
        </w:rPr>
        <w:t xml:space="preserve"> </w:t>
      </w:r>
      <w:r w:rsidR="007A63A5" w:rsidRPr="00F37960">
        <w:rPr>
          <w:rFonts w:ascii="David" w:hAnsi="David" w:cs="David"/>
          <w:sz w:val="24"/>
          <w:szCs w:val="24"/>
          <w:rtl/>
        </w:rPr>
        <w:t xml:space="preserve">הוגים </w:t>
      </w:r>
      <w:r w:rsidR="00746EDF">
        <w:rPr>
          <w:rFonts w:ascii="David" w:hAnsi="David" w:cs="David" w:hint="cs"/>
          <w:sz w:val="24"/>
          <w:szCs w:val="24"/>
          <w:rtl/>
        </w:rPr>
        <w:t xml:space="preserve">מודרניים </w:t>
      </w:r>
      <w:r w:rsidR="007A63A5" w:rsidRPr="00F37960">
        <w:rPr>
          <w:rFonts w:ascii="David" w:hAnsi="David" w:cs="David"/>
          <w:sz w:val="24"/>
          <w:szCs w:val="24"/>
          <w:rtl/>
        </w:rPr>
        <w:t>אלו הינם בוודאי חילונים מובהקי</w:t>
      </w:r>
      <w:r w:rsidR="00F92E16">
        <w:rPr>
          <w:rFonts w:ascii="David" w:hAnsi="David" w:cs="David"/>
          <w:sz w:val="24"/>
          <w:szCs w:val="24"/>
          <w:rtl/>
        </w:rPr>
        <w:t>ם, אולי מהמובהקים ביותר בתקופתם</w:t>
      </w:r>
      <w:r w:rsidR="00F92E16">
        <w:rPr>
          <w:rFonts w:ascii="David" w:hAnsi="David" w:cs="David" w:hint="cs"/>
          <w:sz w:val="24"/>
          <w:szCs w:val="24"/>
          <w:rtl/>
        </w:rPr>
        <w:t xml:space="preserve">. </w:t>
      </w:r>
      <w:r w:rsidR="009D0AB8">
        <w:rPr>
          <w:rFonts w:ascii="David" w:hAnsi="David" w:cs="David" w:hint="cs"/>
          <w:sz w:val="24"/>
          <w:szCs w:val="24"/>
          <w:rtl/>
        </w:rPr>
        <w:t xml:space="preserve">עם זאת </w:t>
      </w:r>
      <w:r w:rsidR="009D0AB8" w:rsidRPr="00F37960">
        <w:rPr>
          <w:rFonts w:ascii="David" w:hAnsi="David" w:cs="David"/>
          <w:sz w:val="24"/>
          <w:szCs w:val="24"/>
          <w:rtl/>
        </w:rPr>
        <w:t>עיון בכתבי</w:t>
      </w:r>
      <w:r w:rsidR="009D0AB8">
        <w:rPr>
          <w:rFonts w:ascii="David" w:hAnsi="David" w:cs="David" w:hint="cs"/>
          <w:sz w:val="24"/>
          <w:szCs w:val="24"/>
          <w:rtl/>
        </w:rPr>
        <w:t xml:space="preserve">הם </w:t>
      </w:r>
      <w:r w:rsidR="009D0AB8">
        <w:rPr>
          <w:rFonts w:ascii="David" w:hAnsi="David" w:cs="David"/>
          <w:sz w:val="24"/>
          <w:szCs w:val="24"/>
          <w:rtl/>
        </w:rPr>
        <w:t>חושף ארבע הרכב</w:t>
      </w:r>
      <w:r w:rsidR="005B0B46">
        <w:rPr>
          <w:rFonts w:ascii="David" w:hAnsi="David" w:cs="David" w:hint="cs"/>
          <w:sz w:val="24"/>
          <w:szCs w:val="24"/>
          <w:rtl/>
        </w:rPr>
        <w:t>ות</w:t>
      </w:r>
      <w:r w:rsidR="009D0AB8" w:rsidRPr="00F37960">
        <w:rPr>
          <w:rFonts w:ascii="David" w:hAnsi="David" w:cs="David"/>
          <w:sz w:val="24"/>
          <w:szCs w:val="24"/>
          <w:rtl/>
        </w:rPr>
        <w:t xml:space="preserve"> </w:t>
      </w:r>
      <w:r w:rsidR="009D0AB8">
        <w:rPr>
          <w:rFonts w:ascii="David" w:hAnsi="David" w:cs="David" w:hint="cs"/>
          <w:sz w:val="24"/>
          <w:szCs w:val="24"/>
          <w:rtl/>
        </w:rPr>
        <w:t>שונות</w:t>
      </w:r>
      <w:r w:rsidR="009D0AB8" w:rsidRPr="00F37960">
        <w:rPr>
          <w:rFonts w:ascii="David" w:hAnsi="David" w:cs="David"/>
          <w:sz w:val="24"/>
          <w:szCs w:val="24"/>
          <w:rtl/>
        </w:rPr>
        <w:t xml:space="preserve"> </w:t>
      </w:r>
      <w:r w:rsidR="00746EDF">
        <w:rPr>
          <w:rFonts w:ascii="David" w:hAnsi="David" w:cs="David" w:hint="cs"/>
          <w:sz w:val="24"/>
          <w:szCs w:val="24"/>
          <w:rtl/>
        </w:rPr>
        <w:t>של עמדה חילונית-</w:t>
      </w:r>
      <w:r w:rsidR="009D0AB8">
        <w:rPr>
          <w:rFonts w:ascii="David" w:hAnsi="David" w:cs="David" w:hint="cs"/>
          <w:sz w:val="24"/>
          <w:szCs w:val="24"/>
          <w:rtl/>
        </w:rPr>
        <w:t>מודרנית עם אוצר מונחים תיאולוגי.</w:t>
      </w:r>
      <w:r w:rsidR="00C9631A">
        <w:rPr>
          <w:rFonts w:ascii="David" w:hAnsi="David" w:cs="David" w:hint="cs"/>
          <w:sz w:val="24"/>
          <w:szCs w:val="24"/>
          <w:rtl/>
        </w:rPr>
        <w:t xml:space="preserve"> </w:t>
      </w:r>
      <w:r w:rsidR="003F167E">
        <w:rPr>
          <w:rFonts w:ascii="David" w:hAnsi="David" w:cs="David" w:hint="cs"/>
          <w:sz w:val="24"/>
          <w:szCs w:val="24"/>
          <w:rtl/>
        </w:rPr>
        <w:t>היחסים בין "החילוני" וה"דתי" כאן אינם מצביעים על ניגוד, כפי שאפשר היה להניח, אלא על מה שאפשר ל</w:t>
      </w:r>
      <w:r w:rsidR="00F97A06">
        <w:rPr>
          <w:rFonts w:ascii="David" w:hAnsi="David" w:cs="David" w:hint="cs"/>
          <w:sz w:val="24"/>
          <w:szCs w:val="24"/>
          <w:rtl/>
        </w:rPr>
        <w:t>כנות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97A06">
        <w:rPr>
          <w:rFonts w:ascii="David" w:hAnsi="David" w:cs="David" w:hint="cs"/>
          <w:sz w:val="24"/>
          <w:szCs w:val="24"/>
          <w:rtl/>
        </w:rPr>
        <w:t xml:space="preserve"> אולי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97A06">
        <w:rPr>
          <w:rFonts w:ascii="David" w:hAnsi="David" w:cs="David" w:hint="cs"/>
          <w:sz w:val="24"/>
          <w:szCs w:val="24"/>
          <w:rtl/>
        </w:rPr>
        <w:t xml:space="preserve"> </w:t>
      </w:r>
      <w:r w:rsidR="003F167E">
        <w:rPr>
          <w:rFonts w:ascii="David" w:hAnsi="David" w:cs="David"/>
          <w:sz w:val="24"/>
          <w:szCs w:val="24"/>
          <w:rtl/>
        </w:rPr>
        <w:t>–</w:t>
      </w:r>
      <w:r w:rsidR="003F167E">
        <w:rPr>
          <w:rFonts w:ascii="David" w:hAnsi="David" w:cs="David" w:hint="cs"/>
          <w:sz w:val="24"/>
          <w:szCs w:val="24"/>
          <w:rtl/>
        </w:rPr>
        <w:t xml:space="preserve"> </w:t>
      </w:r>
      <w:r w:rsidR="003F167E">
        <w:rPr>
          <w:rFonts w:ascii="David" w:hAnsi="David" w:cs="David"/>
          <w:sz w:val="24"/>
          <w:szCs w:val="24"/>
        </w:rPr>
        <w:t>a secular-religious continuum</w:t>
      </w:r>
      <w:r w:rsidR="003F167E">
        <w:rPr>
          <w:rFonts w:ascii="David" w:hAnsi="David" w:cs="David" w:hint="cs"/>
          <w:sz w:val="24"/>
          <w:szCs w:val="24"/>
          <w:rtl/>
        </w:rPr>
        <w:t xml:space="preserve">. </w:t>
      </w:r>
      <w:r w:rsidR="008012A8">
        <w:rPr>
          <w:rFonts w:ascii="David" w:hAnsi="David" w:cs="David" w:hint="cs"/>
          <w:sz w:val="24"/>
          <w:szCs w:val="24"/>
          <w:rtl/>
        </w:rPr>
        <w:t>ב</w:t>
      </w:r>
      <w:r w:rsidR="003F749B">
        <w:rPr>
          <w:rFonts w:ascii="David" w:hAnsi="David" w:cs="David" w:hint="cs"/>
          <w:sz w:val="24"/>
          <w:szCs w:val="24"/>
          <w:rtl/>
        </w:rPr>
        <w:t xml:space="preserve">מיוחד </w:t>
      </w:r>
      <w:r w:rsidR="00C9631A">
        <w:rPr>
          <w:rFonts w:ascii="David" w:hAnsi="David" w:cs="David" w:hint="cs"/>
          <w:sz w:val="24"/>
          <w:szCs w:val="24"/>
          <w:rtl/>
        </w:rPr>
        <w:t xml:space="preserve">מושג הביקורת </w:t>
      </w:r>
      <w:r w:rsidR="003F167E">
        <w:rPr>
          <w:rFonts w:ascii="David" w:hAnsi="David" w:cs="David" w:hint="cs"/>
          <w:sz w:val="24"/>
          <w:szCs w:val="24"/>
          <w:rtl/>
        </w:rPr>
        <w:t>הרלוונטי לכל אחד מהוגים אלו</w:t>
      </w:r>
      <w:r w:rsidR="00CA3930">
        <w:rPr>
          <w:rFonts w:ascii="David" w:hAnsi="David" w:cs="David" w:hint="cs"/>
          <w:sz w:val="24"/>
          <w:szCs w:val="24"/>
          <w:rtl/>
        </w:rPr>
        <w:t xml:space="preserve"> מקבל ביטוי במסגרת רצף כזה</w:t>
      </w:r>
      <w:r w:rsidR="00C9631A">
        <w:rPr>
          <w:rFonts w:ascii="David" w:hAnsi="David" w:cs="David" w:hint="cs"/>
          <w:sz w:val="24"/>
          <w:szCs w:val="24"/>
          <w:rtl/>
        </w:rPr>
        <w:t>.</w:t>
      </w:r>
      <w:r w:rsidR="009D0AB8">
        <w:rPr>
          <w:rFonts w:ascii="David" w:hAnsi="David" w:cs="David" w:hint="cs"/>
          <w:sz w:val="24"/>
          <w:szCs w:val="24"/>
          <w:rtl/>
        </w:rPr>
        <w:t xml:space="preserve"> </w:t>
      </w:r>
      <w:r w:rsidR="007A63A5" w:rsidRPr="00F37960">
        <w:rPr>
          <w:rFonts w:ascii="David" w:hAnsi="David" w:cs="David"/>
          <w:sz w:val="24"/>
          <w:szCs w:val="24"/>
          <w:rtl/>
        </w:rPr>
        <w:t xml:space="preserve">ביקורת עבורם מהווה </w:t>
      </w:r>
      <w:r w:rsidR="00C9631A">
        <w:rPr>
          <w:rFonts w:ascii="David" w:hAnsi="David" w:cs="David" w:hint="cs"/>
          <w:sz w:val="24"/>
          <w:szCs w:val="24"/>
          <w:rtl/>
        </w:rPr>
        <w:t xml:space="preserve">מחד </w:t>
      </w:r>
      <w:r w:rsidR="007A63A5" w:rsidRPr="00F37960">
        <w:rPr>
          <w:rFonts w:ascii="David" w:hAnsi="David" w:cs="David"/>
          <w:sz w:val="24"/>
          <w:szCs w:val="24"/>
          <w:rtl/>
        </w:rPr>
        <w:t xml:space="preserve">את ה- </w:t>
      </w:r>
      <w:r w:rsidR="007A63A5" w:rsidRPr="00F37960">
        <w:rPr>
          <w:rFonts w:ascii="David" w:hAnsi="David" w:cs="David"/>
          <w:sz w:val="24"/>
          <w:szCs w:val="24"/>
          <w:lang w:val="de-DE"/>
        </w:rPr>
        <w:t>essence of secular heroism</w:t>
      </w:r>
      <w:r w:rsidR="001F504A">
        <w:rPr>
          <w:rFonts w:ascii="David" w:hAnsi="David" w:cs="David" w:hint="cs"/>
          <w:sz w:val="24"/>
          <w:szCs w:val="24"/>
          <w:rtl/>
          <w:lang w:val="de-DE"/>
        </w:rPr>
        <w:t xml:space="preserve">. </w:t>
      </w:r>
      <w:r w:rsidR="008012A8">
        <w:rPr>
          <w:rFonts w:ascii="David" w:hAnsi="David" w:cs="David" w:hint="cs"/>
          <w:sz w:val="24"/>
          <w:szCs w:val="24"/>
          <w:rtl/>
        </w:rPr>
        <w:t xml:space="preserve">מאידך, </w:t>
      </w:r>
      <w:r w:rsidR="007A63A5" w:rsidRPr="00F37960">
        <w:rPr>
          <w:rFonts w:ascii="David" w:hAnsi="David" w:cs="David"/>
          <w:sz w:val="24"/>
          <w:szCs w:val="24"/>
          <w:rtl/>
        </w:rPr>
        <w:t>חיבוריהם שנסקרו בספר זה מצביעים</w:t>
      </w:r>
      <w:r w:rsidR="00C9631A">
        <w:rPr>
          <w:rFonts w:ascii="David" w:hAnsi="David" w:cs="David" w:hint="cs"/>
          <w:sz w:val="24"/>
          <w:szCs w:val="24"/>
          <w:rtl/>
        </w:rPr>
        <w:t xml:space="preserve"> </w:t>
      </w:r>
      <w:r w:rsidR="007A63A5" w:rsidRPr="00F37960">
        <w:rPr>
          <w:rFonts w:ascii="David" w:hAnsi="David" w:cs="David"/>
          <w:sz w:val="24"/>
          <w:szCs w:val="24"/>
          <w:rtl/>
        </w:rPr>
        <w:t xml:space="preserve">על </w:t>
      </w:r>
      <w:r w:rsidR="00F97A06">
        <w:rPr>
          <w:rFonts w:ascii="David" w:hAnsi="David" w:cs="David" w:hint="cs"/>
          <w:sz w:val="24"/>
          <w:szCs w:val="24"/>
          <w:rtl/>
        </w:rPr>
        <w:t>הספקטרום הנרחב</w:t>
      </w:r>
      <w:r w:rsidR="007A63A5" w:rsidRPr="00F37960">
        <w:rPr>
          <w:rFonts w:ascii="David" w:hAnsi="David" w:cs="David"/>
          <w:sz w:val="24"/>
          <w:szCs w:val="24"/>
          <w:rtl/>
        </w:rPr>
        <w:t xml:space="preserve"> של אופנים שבהם אנאליזה של תוכן, תוקף וגבולות של מושגים, כמו גם   </w:t>
      </w:r>
      <w:r w:rsidR="007A63A5" w:rsidRPr="00F37960">
        <w:rPr>
          <w:rFonts w:ascii="David" w:hAnsi="David" w:cs="David"/>
          <w:sz w:val="24"/>
          <w:szCs w:val="24"/>
        </w:rPr>
        <w:t>“critical narratives of modernity”</w:t>
      </w:r>
      <w:r w:rsidR="007A63A5" w:rsidRPr="00F37960">
        <w:rPr>
          <w:rFonts w:ascii="David" w:hAnsi="David" w:cs="David"/>
          <w:sz w:val="24"/>
          <w:szCs w:val="24"/>
          <w:rtl/>
        </w:rPr>
        <w:t xml:space="preserve"> נוגעים במסורת יהודית ונוצרית, חוק ארצי ואלוהי, מיסטיקה, תיאולוגיה שלילית </w:t>
      </w:r>
      <w:r w:rsidR="007A63A5" w:rsidRPr="00F37960">
        <w:rPr>
          <w:rFonts w:ascii="David" w:hAnsi="David" w:cs="David"/>
          <w:sz w:val="24"/>
          <w:szCs w:val="24"/>
          <w:lang w:val="de-DE"/>
        </w:rPr>
        <w:t xml:space="preserve">(negative theology) </w:t>
      </w:r>
      <w:r w:rsidR="007A63A5" w:rsidRPr="00F37960">
        <w:rPr>
          <w:rFonts w:ascii="David" w:hAnsi="David" w:cs="David"/>
          <w:sz w:val="24"/>
          <w:szCs w:val="24"/>
          <w:rtl/>
        </w:rPr>
        <w:t xml:space="preserve"> או תיאולוגיה משולשת </w:t>
      </w:r>
      <w:r w:rsidR="007A63A5" w:rsidRPr="00F37960">
        <w:rPr>
          <w:rFonts w:ascii="David" w:hAnsi="David" w:cs="David"/>
          <w:sz w:val="24"/>
          <w:szCs w:val="24"/>
        </w:rPr>
        <w:t>(tripartite theology)</w:t>
      </w:r>
      <w:r w:rsidR="007A63A5" w:rsidRPr="00F37960">
        <w:rPr>
          <w:rFonts w:ascii="David" w:hAnsi="David" w:cs="David"/>
          <w:sz w:val="24"/>
          <w:szCs w:val="24"/>
          <w:rtl/>
        </w:rPr>
        <w:t>.</w:t>
      </w:r>
      <w:r w:rsidR="008012A8">
        <w:rPr>
          <w:rFonts w:ascii="David" w:hAnsi="David" w:cs="David" w:hint="cs"/>
          <w:sz w:val="24"/>
          <w:szCs w:val="24"/>
          <w:rtl/>
        </w:rPr>
        <w:t xml:space="preserve"> לדבר על רצף חילוני-דתי פירושו להצביע על כך ש-</w:t>
      </w:r>
      <w:r w:rsidR="007A63A5" w:rsidRPr="00F37960">
        <w:rPr>
          <w:rFonts w:ascii="David" w:hAnsi="David" w:cs="David"/>
          <w:sz w:val="24"/>
          <w:szCs w:val="24"/>
          <w:rtl/>
        </w:rPr>
        <w:t xml:space="preserve"> </w:t>
      </w:r>
      <w:r w:rsidR="00D15E29">
        <w:rPr>
          <w:rFonts w:asciiTheme="majorBidi" w:hAnsiTheme="majorBidi" w:cstheme="majorBidi"/>
          <w:sz w:val="24"/>
          <w:szCs w:val="24"/>
        </w:rPr>
        <w:t>Their critique concurrently emerges out of theological traditions and can in many ways be traced back to them</w:t>
      </w:r>
      <w:r w:rsidR="00D15E29">
        <w:rPr>
          <w:rFonts w:ascii="David" w:hAnsi="David" w:cs="David" w:hint="cs"/>
          <w:sz w:val="24"/>
          <w:szCs w:val="24"/>
          <w:rtl/>
        </w:rPr>
        <w:t xml:space="preserve">. </w:t>
      </w:r>
      <w:r w:rsidR="001F504A">
        <w:rPr>
          <w:rFonts w:ascii="David" w:hAnsi="David" w:cs="David" w:hint="cs"/>
          <w:sz w:val="24"/>
          <w:szCs w:val="24"/>
          <w:rtl/>
        </w:rPr>
        <w:t xml:space="preserve">וכך, </w:t>
      </w:r>
      <w:r w:rsidR="006C19A3">
        <w:rPr>
          <w:rFonts w:ascii="David" w:hAnsi="David" w:cs="David" w:hint="cs"/>
          <w:sz w:val="24"/>
          <w:szCs w:val="24"/>
          <w:rtl/>
        </w:rPr>
        <w:t>הוגים אלו לא רק</w:t>
      </w:r>
      <w:r w:rsidR="006C19A3" w:rsidRPr="004E757A">
        <w:rPr>
          <w:rFonts w:ascii="David" w:hAnsi="David" w:cs="David"/>
          <w:sz w:val="24"/>
          <w:szCs w:val="24"/>
          <w:rtl/>
        </w:rPr>
        <w:t xml:space="preserve"> בחנו</w:t>
      </w:r>
      <w:r w:rsidR="006C19A3">
        <w:rPr>
          <w:rFonts w:ascii="David" w:hAnsi="David" w:cs="David" w:hint="cs"/>
          <w:sz w:val="24"/>
          <w:szCs w:val="24"/>
          <w:rtl/>
        </w:rPr>
        <w:t xml:space="preserve"> מושגים דתיים</w:t>
      </w:r>
      <w:r w:rsidR="006C19A3">
        <w:rPr>
          <w:rFonts w:ascii="David" w:hAnsi="David" w:cs="David"/>
          <w:sz w:val="24"/>
          <w:szCs w:val="24"/>
          <w:rtl/>
        </w:rPr>
        <w:t xml:space="preserve"> בכלים ה</w:t>
      </w:r>
      <w:r w:rsidR="006C19A3">
        <w:rPr>
          <w:rFonts w:ascii="David" w:hAnsi="David" w:cs="David" w:hint="cs"/>
          <w:sz w:val="24"/>
          <w:szCs w:val="24"/>
          <w:rtl/>
        </w:rPr>
        <w:t>דיסציפלינאריים העומדים</w:t>
      </w:r>
      <w:r w:rsidR="006C19A3">
        <w:rPr>
          <w:rFonts w:ascii="David" w:hAnsi="David" w:cs="David"/>
          <w:sz w:val="24"/>
          <w:szCs w:val="24"/>
          <w:rtl/>
        </w:rPr>
        <w:t xml:space="preserve"> לרשותם</w:t>
      </w:r>
      <w:r w:rsidR="006C19A3" w:rsidRPr="004E757A">
        <w:rPr>
          <w:rFonts w:ascii="David" w:hAnsi="David" w:cs="David"/>
          <w:sz w:val="24"/>
          <w:szCs w:val="24"/>
          <w:rtl/>
        </w:rPr>
        <w:t xml:space="preserve">, אלא התארחו </w:t>
      </w:r>
      <w:r w:rsidR="006C19A3" w:rsidRPr="004E757A">
        <w:rPr>
          <w:rFonts w:ascii="David" w:hAnsi="David" w:cs="David"/>
          <w:sz w:val="24"/>
          <w:szCs w:val="24"/>
          <w:lang w:val="de-DE"/>
        </w:rPr>
        <w:t>(visit)</w:t>
      </w:r>
      <w:r w:rsidR="006C19A3" w:rsidRPr="004E757A">
        <w:rPr>
          <w:rFonts w:ascii="David" w:hAnsi="David" w:cs="David"/>
          <w:sz w:val="24"/>
          <w:szCs w:val="24"/>
          <w:rtl/>
        </w:rPr>
        <w:t xml:space="preserve"> בעולם המחשבה הדתי באופן אינטימי.</w:t>
      </w:r>
      <w:r w:rsidR="006C19A3" w:rsidRPr="004E757A">
        <w:rPr>
          <w:rStyle w:val="FootnoteReference"/>
          <w:rFonts w:ascii="David" w:hAnsi="David" w:cs="David"/>
          <w:sz w:val="24"/>
          <w:szCs w:val="24"/>
          <w:rtl/>
        </w:rPr>
        <w:footnoteReference w:id="6"/>
      </w:r>
      <w:r w:rsidR="006C19A3" w:rsidRPr="004E757A">
        <w:rPr>
          <w:rFonts w:ascii="David" w:hAnsi="David" w:cs="David"/>
          <w:sz w:val="24"/>
          <w:szCs w:val="24"/>
          <w:rtl/>
        </w:rPr>
        <w:t xml:space="preserve"> ביקורת התיאולוגיה היא עבורם אפוא גם ביקור</w:t>
      </w:r>
      <w:r w:rsidR="00FA6676">
        <w:rPr>
          <w:rFonts w:ascii="David" w:hAnsi="David" w:cs="David"/>
          <w:sz w:val="24"/>
          <w:szCs w:val="24"/>
        </w:rPr>
        <w:t xml:space="preserve"> </w:t>
      </w:r>
      <w:r w:rsidR="00FA6676">
        <w:rPr>
          <w:rFonts w:ascii="David" w:hAnsi="David" w:cs="David" w:hint="cs"/>
          <w:sz w:val="24"/>
          <w:szCs w:val="24"/>
          <w:rtl/>
        </w:rPr>
        <w:t xml:space="preserve"> </w:t>
      </w:r>
      <w:r w:rsidR="00FA6676">
        <w:rPr>
          <w:rFonts w:ascii="David" w:hAnsi="David" w:cs="David"/>
          <w:sz w:val="24"/>
          <w:szCs w:val="24"/>
        </w:rPr>
        <w:t xml:space="preserve"> (visitation)</w:t>
      </w:r>
      <w:r w:rsidR="006C19A3" w:rsidRPr="004E757A">
        <w:rPr>
          <w:rFonts w:ascii="David" w:hAnsi="David" w:cs="David"/>
          <w:sz w:val="24"/>
          <w:szCs w:val="24"/>
          <w:rtl/>
        </w:rPr>
        <w:t xml:space="preserve">של הביקורת בתחומי התיאולוגיה, גם אם לעיתים – בלשונה של ארנדט – כנגד שיפוטם הטוב ביותר. </w:t>
      </w:r>
      <w:r w:rsidR="007A63A5" w:rsidRPr="00F37960">
        <w:rPr>
          <w:rFonts w:ascii="David" w:hAnsi="David" w:cs="David"/>
          <w:sz w:val="24"/>
          <w:szCs w:val="24"/>
          <w:rtl/>
        </w:rPr>
        <w:t>אמנם כל אחד מהוגים אלו נותן ביטוי שונה, למושג של ביקורת, למסורת הדתית אליה הוא מתייחס, כמו גם</w:t>
      </w:r>
      <w:r w:rsidR="0076633F">
        <w:rPr>
          <w:rFonts w:ascii="David" w:hAnsi="David" w:cs="David"/>
          <w:sz w:val="24"/>
          <w:szCs w:val="24"/>
          <w:rtl/>
        </w:rPr>
        <w:t xml:space="preserve"> לדרכים </w:t>
      </w:r>
      <w:r w:rsidR="0076633F">
        <w:rPr>
          <w:rFonts w:ascii="David" w:hAnsi="David" w:cs="David"/>
          <w:sz w:val="24"/>
          <w:szCs w:val="24"/>
          <w:rtl/>
        </w:rPr>
        <w:lastRenderedPageBreak/>
        <w:t>בהן שני אלו נכרכים יחד</w:t>
      </w:r>
      <w:r w:rsidR="005961F3">
        <w:rPr>
          <w:rFonts w:ascii="David" w:hAnsi="David" w:cs="David" w:hint="cs"/>
          <w:sz w:val="24"/>
          <w:szCs w:val="24"/>
          <w:rtl/>
        </w:rPr>
        <w:t xml:space="preserve">. </w:t>
      </w:r>
      <w:r w:rsidR="007A63A5" w:rsidRPr="00F37960">
        <w:rPr>
          <w:rFonts w:ascii="David" w:hAnsi="David" w:cs="David"/>
          <w:sz w:val="24"/>
          <w:szCs w:val="24"/>
          <w:rtl/>
        </w:rPr>
        <w:t xml:space="preserve">אך בכל המקרים הללו הביקורת   – ובמיוחד היא – לא מאפשרת ל"אחר" התיאולוגי שלה, </w:t>
      </w:r>
      <w:r w:rsidR="007A63A5" w:rsidRPr="00F37960">
        <w:rPr>
          <w:rFonts w:ascii="David" w:hAnsi="David" w:cs="David"/>
          <w:sz w:val="24"/>
          <w:szCs w:val="24"/>
        </w:rPr>
        <w:t>“simply to be reduced, falsified, naturalized, or secularized, once and for all”</w:t>
      </w:r>
      <w:r w:rsidR="007A63A5" w:rsidRPr="00F37960">
        <w:rPr>
          <w:rFonts w:ascii="David" w:hAnsi="David" w:cs="David"/>
          <w:sz w:val="24"/>
          <w:szCs w:val="24"/>
          <w:rtl/>
        </w:rPr>
        <w:t>.</w:t>
      </w:r>
      <w:r w:rsidR="007A63A5" w:rsidRPr="00F37960">
        <w:rPr>
          <w:rStyle w:val="FootnoteReference"/>
          <w:rFonts w:ascii="David" w:hAnsi="David" w:cs="David"/>
          <w:sz w:val="24"/>
          <w:szCs w:val="24"/>
          <w:rtl/>
        </w:rPr>
        <w:footnoteReference w:id="7"/>
      </w:r>
      <w:r w:rsidR="005D1762">
        <w:rPr>
          <w:rFonts w:ascii="David" w:hAnsi="David" w:cs="David"/>
          <w:sz w:val="24"/>
          <w:szCs w:val="24"/>
          <w:rtl/>
        </w:rPr>
        <w:t xml:space="preserve"> </w:t>
      </w:r>
      <w:r w:rsidR="007A63A5" w:rsidRPr="00F37960">
        <w:rPr>
          <w:rFonts w:ascii="David" w:hAnsi="David" w:cs="David"/>
          <w:sz w:val="24"/>
          <w:szCs w:val="24"/>
          <w:rtl/>
        </w:rPr>
        <w:t xml:space="preserve"> </w:t>
      </w:r>
    </w:p>
    <w:p w14:paraId="1369AC23" w14:textId="5D8C4F75" w:rsidR="00AB5934" w:rsidRDefault="001F504A" w:rsidP="003B4BB1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אני סבור</w:t>
      </w:r>
      <w:r w:rsidR="005961F3">
        <w:rPr>
          <w:rFonts w:ascii="David" w:hAnsi="David" w:cs="David" w:hint="cs"/>
          <w:sz w:val="24"/>
          <w:szCs w:val="24"/>
          <w:rtl/>
        </w:rPr>
        <w:t>, אפוא,</w:t>
      </w:r>
      <w:r>
        <w:rPr>
          <w:rFonts w:ascii="David" w:hAnsi="David" w:cs="David" w:hint="cs"/>
          <w:sz w:val="24"/>
          <w:szCs w:val="24"/>
          <w:rtl/>
        </w:rPr>
        <w:t xml:space="preserve"> כי </w:t>
      </w:r>
      <w:r w:rsidR="00CC66E8">
        <w:rPr>
          <w:rFonts w:ascii="David" w:hAnsi="David" w:cs="David"/>
          <w:sz w:val="24"/>
          <w:szCs w:val="24"/>
          <w:rtl/>
        </w:rPr>
        <w:t xml:space="preserve">העובדה </w:t>
      </w:r>
      <w:r w:rsidR="00CC66E8">
        <w:rPr>
          <w:rFonts w:ascii="David" w:hAnsi="David" w:cs="David" w:hint="cs"/>
          <w:sz w:val="24"/>
          <w:szCs w:val="24"/>
          <w:rtl/>
        </w:rPr>
        <w:t>ש</w:t>
      </w:r>
      <w:r w:rsidR="006A4AD9">
        <w:rPr>
          <w:rFonts w:ascii="David" w:hAnsi="David" w:cs="David"/>
          <w:sz w:val="24"/>
          <w:szCs w:val="24"/>
          <w:rtl/>
        </w:rPr>
        <w:t xml:space="preserve">מדובר </w:t>
      </w:r>
      <w:r w:rsidR="006A4AD9">
        <w:rPr>
          <w:rFonts w:ascii="David" w:hAnsi="David" w:cs="David" w:hint="cs"/>
          <w:sz w:val="24"/>
          <w:szCs w:val="24"/>
          <w:rtl/>
        </w:rPr>
        <w:t>היה בספר זה ב</w:t>
      </w:r>
      <w:r w:rsidR="006A4AD9">
        <w:rPr>
          <w:rFonts w:ascii="David" w:hAnsi="David" w:cs="David"/>
          <w:sz w:val="24"/>
          <w:szCs w:val="24"/>
          <w:rtl/>
          <w:lang w:val="de-DE"/>
        </w:rPr>
        <w:t>דיסציפלי</w:t>
      </w:r>
      <w:r w:rsidR="006A4AD9">
        <w:rPr>
          <w:rFonts w:ascii="David" w:hAnsi="David" w:cs="David" w:hint="cs"/>
          <w:sz w:val="24"/>
          <w:szCs w:val="24"/>
          <w:rtl/>
          <w:lang w:val="de-DE"/>
        </w:rPr>
        <w:t xml:space="preserve">נות </w:t>
      </w:r>
      <w:r w:rsidR="006A4AD9" w:rsidRPr="004E757A">
        <w:rPr>
          <w:rFonts w:ascii="David" w:hAnsi="David" w:cs="David"/>
          <w:sz w:val="24"/>
          <w:szCs w:val="24"/>
          <w:rtl/>
          <w:lang w:val="de-DE"/>
        </w:rPr>
        <w:t xml:space="preserve">שונות </w:t>
      </w:r>
      <w:r w:rsidR="006A4AD9">
        <w:rPr>
          <w:rFonts w:ascii="David" w:hAnsi="David" w:cs="David" w:hint="cs"/>
          <w:sz w:val="24"/>
          <w:szCs w:val="24"/>
          <w:rtl/>
          <w:lang w:val="de-DE"/>
        </w:rPr>
        <w:t xml:space="preserve">זו מזו </w:t>
      </w:r>
      <w:r w:rsidR="006A4AD9" w:rsidRPr="004E757A">
        <w:rPr>
          <w:rFonts w:ascii="David" w:hAnsi="David" w:cs="David"/>
          <w:sz w:val="24"/>
          <w:szCs w:val="24"/>
          <w:rtl/>
          <w:lang w:val="de-DE"/>
        </w:rPr>
        <w:t xml:space="preserve">– </w:t>
      </w:r>
      <w:r w:rsidR="006A4AD9">
        <w:rPr>
          <w:rFonts w:ascii="David" w:hAnsi="David" w:cs="David" w:hint="cs"/>
          <w:sz w:val="24"/>
          <w:szCs w:val="24"/>
          <w:rtl/>
          <w:lang w:val="de-DE"/>
        </w:rPr>
        <w:t>פסיכואנליזה</w:t>
      </w:r>
      <w:r w:rsidR="006A4AD9">
        <w:rPr>
          <w:rFonts w:ascii="David" w:hAnsi="David" w:cs="David"/>
          <w:sz w:val="24"/>
          <w:szCs w:val="24"/>
          <w:rtl/>
          <w:lang w:val="de-DE"/>
        </w:rPr>
        <w:t xml:space="preserve">, </w:t>
      </w:r>
      <w:r w:rsidR="006A4AD9">
        <w:rPr>
          <w:rFonts w:ascii="David" w:hAnsi="David" w:cs="David" w:hint="cs"/>
          <w:sz w:val="24"/>
          <w:szCs w:val="24"/>
          <w:rtl/>
          <w:lang w:val="de-DE"/>
        </w:rPr>
        <w:t>מחשבה חברתית וחינוכית</w:t>
      </w:r>
      <w:r w:rsidR="006A4AD9" w:rsidRPr="004E757A">
        <w:rPr>
          <w:rFonts w:ascii="David" w:hAnsi="David" w:cs="David"/>
          <w:sz w:val="24"/>
          <w:szCs w:val="24"/>
          <w:rtl/>
          <w:lang w:val="de-DE"/>
        </w:rPr>
        <w:t xml:space="preserve">, </w:t>
      </w:r>
      <w:r w:rsidR="0069690B">
        <w:rPr>
          <w:rFonts w:ascii="David" w:hAnsi="David" w:cs="David" w:hint="cs"/>
          <w:sz w:val="24"/>
          <w:szCs w:val="24"/>
          <w:rtl/>
          <w:lang w:val="de-DE"/>
        </w:rPr>
        <w:t>ו</w:t>
      </w:r>
      <w:r w:rsidR="006A4AD9" w:rsidRPr="004E757A">
        <w:rPr>
          <w:rFonts w:ascii="David" w:hAnsi="David" w:cs="David"/>
          <w:sz w:val="24"/>
          <w:szCs w:val="24"/>
          <w:rtl/>
          <w:lang w:val="de-DE"/>
        </w:rPr>
        <w:t>תיאוריה פוליטית –</w:t>
      </w:r>
      <w:r w:rsidR="006A4AD9" w:rsidRPr="004E757A">
        <w:rPr>
          <w:rFonts w:ascii="David" w:hAnsi="David" w:cs="David"/>
          <w:sz w:val="24"/>
          <w:szCs w:val="24"/>
          <w:rtl/>
        </w:rPr>
        <w:t xml:space="preserve"> כמו גם בקשת של הקשרים </w:t>
      </w:r>
      <w:r w:rsidR="00CA3930">
        <w:rPr>
          <w:rFonts w:ascii="David" w:hAnsi="David" w:cs="David" w:hint="cs"/>
          <w:sz w:val="24"/>
          <w:szCs w:val="24"/>
          <w:rtl/>
        </w:rPr>
        <w:t>אישיים ו</w:t>
      </w:r>
      <w:r w:rsidR="006A4AD9" w:rsidRPr="004E757A">
        <w:rPr>
          <w:rFonts w:ascii="David" w:hAnsi="David" w:cs="David"/>
          <w:sz w:val="24"/>
          <w:szCs w:val="24"/>
          <w:rtl/>
        </w:rPr>
        <w:t>היסטוריים במחצית הראשונה והשנייה של המאה העשרים</w:t>
      </w:r>
      <w:r w:rsidR="006A4AD9">
        <w:rPr>
          <w:rFonts w:ascii="David" w:hAnsi="David" w:cs="David" w:hint="cs"/>
          <w:sz w:val="24"/>
          <w:szCs w:val="24"/>
          <w:rtl/>
        </w:rPr>
        <w:t xml:space="preserve"> </w:t>
      </w:r>
      <w:r w:rsidR="00CC66E8">
        <w:rPr>
          <w:rFonts w:ascii="David" w:hAnsi="David" w:cs="David" w:hint="cs"/>
          <w:sz w:val="24"/>
          <w:szCs w:val="24"/>
          <w:rtl/>
        </w:rPr>
        <w:t xml:space="preserve">אינה רק חשובה כדי להשלים </w:t>
      </w:r>
      <w:r>
        <w:rPr>
          <w:rFonts w:ascii="David" w:hAnsi="David" w:cs="David" w:hint="cs"/>
          <w:sz w:val="24"/>
          <w:szCs w:val="24"/>
          <w:rtl/>
        </w:rPr>
        <w:t xml:space="preserve">את המחקר העשיר העוסק </w:t>
      </w:r>
      <w:r w:rsidRPr="004E757A">
        <w:rPr>
          <w:rFonts w:ascii="David" w:hAnsi="David" w:cs="David"/>
          <w:sz w:val="24"/>
          <w:szCs w:val="24"/>
          <w:rtl/>
        </w:rPr>
        <w:t>במקומן של סוגיות תיאולוגיות בעולם האינטלקטואלי של מרכז אירופה דובר הגרמנית, בין מלחמות העולם.</w:t>
      </w:r>
      <w:r w:rsidRPr="004E757A">
        <w:rPr>
          <w:rStyle w:val="FootnoteReference"/>
          <w:rFonts w:ascii="David" w:hAnsi="David" w:cs="David"/>
          <w:sz w:val="24"/>
          <w:szCs w:val="24"/>
          <w:rtl/>
        </w:rPr>
        <w:footnoteReference w:id="8"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CC66E8">
        <w:rPr>
          <w:rFonts w:ascii="David" w:hAnsi="David" w:cs="David" w:hint="cs"/>
          <w:sz w:val="24"/>
          <w:szCs w:val="24"/>
          <w:rtl/>
        </w:rPr>
        <w:t xml:space="preserve">לא פחות מכך, היא מאפשרת </w:t>
      </w:r>
      <w:r w:rsidR="00F3033D">
        <w:rPr>
          <w:rFonts w:ascii="David" w:hAnsi="David" w:cs="David" w:hint="cs"/>
          <w:sz w:val="24"/>
          <w:szCs w:val="24"/>
          <w:rtl/>
        </w:rPr>
        <w:t>להטיל</w:t>
      </w:r>
      <w:r w:rsidR="00B2332A">
        <w:rPr>
          <w:rFonts w:ascii="David" w:hAnsi="David" w:cs="David" w:hint="cs"/>
          <w:sz w:val="24"/>
          <w:szCs w:val="24"/>
          <w:rtl/>
        </w:rPr>
        <w:t xml:space="preserve"> </w:t>
      </w:r>
      <w:r w:rsidR="004B4F86">
        <w:rPr>
          <w:rFonts w:ascii="David" w:hAnsi="David" w:cs="David" w:hint="cs"/>
          <w:sz w:val="24"/>
          <w:szCs w:val="24"/>
          <w:rtl/>
        </w:rPr>
        <w:t>ספק ב</w:t>
      </w:r>
      <w:r>
        <w:rPr>
          <w:rFonts w:ascii="David" w:hAnsi="David" w:cs="David" w:hint="cs"/>
          <w:sz w:val="24"/>
          <w:szCs w:val="24"/>
          <w:rtl/>
        </w:rPr>
        <w:t>הבחנה בין עולם חילוני ו"פוסט-חילוני"</w:t>
      </w:r>
      <w:r w:rsidR="00F3033D">
        <w:rPr>
          <w:rFonts w:ascii="David" w:hAnsi="David" w:cs="David" w:hint="cs"/>
          <w:sz w:val="24"/>
          <w:szCs w:val="24"/>
          <w:rtl/>
        </w:rPr>
        <w:t xml:space="preserve">, </w:t>
      </w:r>
      <w:r w:rsidR="00254E71">
        <w:rPr>
          <w:rFonts w:ascii="David" w:hAnsi="David" w:cs="David" w:hint="cs"/>
          <w:sz w:val="24"/>
          <w:szCs w:val="24"/>
          <w:rtl/>
        </w:rPr>
        <w:t>שהוזכרה לעיל</w:t>
      </w:r>
      <w:r w:rsidR="005961F3">
        <w:rPr>
          <w:rFonts w:ascii="David" w:hAnsi="David" w:cs="David" w:hint="cs"/>
          <w:sz w:val="24"/>
          <w:szCs w:val="24"/>
          <w:rtl/>
        </w:rPr>
        <w:t xml:space="preserve">, </w:t>
      </w:r>
      <w:r w:rsidR="00F3033D">
        <w:rPr>
          <w:rFonts w:ascii="David" w:hAnsi="David" w:cs="David" w:hint="cs"/>
          <w:sz w:val="24"/>
          <w:szCs w:val="24"/>
          <w:rtl/>
        </w:rPr>
        <w:t>ו</w:t>
      </w:r>
      <w:r w:rsidR="005961F3">
        <w:rPr>
          <w:rFonts w:ascii="David" w:hAnsi="David" w:cs="David" w:hint="cs"/>
          <w:sz w:val="24"/>
          <w:szCs w:val="24"/>
          <w:rtl/>
        </w:rPr>
        <w:t>בתוך כך</w:t>
      </w:r>
      <w:r w:rsidR="004B4F86">
        <w:rPr>
          <w:rFonts w:ascii="David" w:hAnsi="David" w:cs="David" w:hint="cs"/>
          <w:sz w:val="24"/>
          <w:szCs w:val="24"/>
          <w:rtl/>
        </w:rPr>
        <w:t xml:space="preserve"> גם לאתגר </w:t>
      </w:r>
      <w:r w:rsidR="00567594">
        <w:rPr>
          <w:rFonts w:ascii="David" w:hAnsi="David" w:cs="David" w:hint="cs"/>
          <w:sz w:val="24"/>
          <w:szCs w:val="24"/>
          <w:rtl/>
        </w:rPr>
        <w:t>את ה</w:t>
      </w:r>
      <w:r w:rsidR="004B4F86">
        <w:rPr>
          <w:rFonts w:ascii="David" w:hAnsi="David" w:cs="David" w:hint="cs"/>
          <w:sz w:val="24"/>
          <w:szCs w:val="24"/>
          <w:rtl/>
        </w:rPr>
        <w:t>חלוקה בין "ביקורת"</w:t>
      </w:r>
      <w:r w:rsidR="00B3245B">
        <w:rPr>
          <w:rFonts w:ascii="David" w:hAnsi="David" w:cs="David" w:hint="cs"/>
          <w:sz w:val="24"/>
          <w:szCs w:val="24"/>
          <w:rtl/>
        </w:rPr>
        <w:t xml:space="preserve"> </w:t>
      </w:r>
      <w:r w:rsidR="004B4F86">
        <w:rPr>
          <w:rFonts w:ascii="David" w:hAnsi="David" w:cs="David" w:hint="cs"/>
          <w:sz w:val="24"/>
          <w:szCs w:val="24"/>
          <w:rtl/>
        </w:rPr>
        <w:t xml:space="preserve">ובין "פוסט-ביקורתיות" </w:t>
      </w:r>
      <w:r w:rsidR="004B4F86">
        <w:rPr>
          <w:rFonts w:ascii="David" w:hAnsi="David" w:cs="David"/>
          <w:sz w:val="24"/>
          <w:szCs w:val="24"/>
        </w:rPr>
        <w:t>(</w:t>
      </w:r>
      <w:r w:rsidR="005961F3">
        <w:rPr>
          <w:rFonts w:ascii="David" w:hAnsi="David" w:cs="David"/>
          <w:sz w:val="24"/>
          <w:szCs w:val="24"/>
        </w:rPr>
        <w:t>“</w:t>
      </w:r>
      <w:r w:rsidR="004B4F86">
        <w:rPr>
          <w:rFonts w:ascii="David" w:hAnsi="David" w:cs="David"/>
          <w:sz w:val="24"/>
          <w:szCs w:val="24"/>
        </w:rPr>
        <w:t>post</w:t>
      </w:r>
      <w:r w:rsidR="005961F3">
        <w:rPr>
          <w:rFonts w:ascii="David" w:hAnsi="David" w:cs="David"/>
          <w:sz w:val="24"/>
          <w:szCs w:val="24"/>
          <w:lang w:val="de-DE"/>
        </w:rPr>
        <w:t>critique</w:t>
      </w:r>
      <w:r w:rsidR="005961F3">
        <w:rPr>
          <w:rFonts w:ascii="David" w:hAnsi="David" w:cs="David"/>
          <w:sz w:val="24"/>
          <w:szCs w:val="24"/>
        </w:rPr>
        <w:t>”</w:t>
      </w:r>
      <w:r w:rsidR="004B4F86">
        <w:rPr>
          <w:rFonts w:ascii="David" w:hAnsi="David" w:cs="David"/>
          <w:sz w:val="24"/>
          <w:szCs w:val="24"/>
        </w:rPr>
        <w:t>)</w:t>
      </w:r>
      <w:r w:rsidR="00B3245B">
        <w:rPr>
          <w:rFonts w:ascii="David" w:hAnsi="David" w:cs="David" w:hint="cs"/>
          <w:sz w:val="24"/>
          <w:szCs w:val="24"/>
          <w:rtl/>
        </w:rPr>
        <w:t xml:space="preserve">, </w:t>
      </w:r>
      <w:r w:rsidR="004B4F86">
        <w:rPr>
          <w:rFonts w:ascii="David" w:hAnsi="David" w:cs="David" w:hint="cs"/>
          <w:sz w:val="24"/>
          <w:szCs w:val="24"/>
          <w:rtl/>
        </w:rPr>
        <w:t>שמקבלת גם היא, בשנים האחרונות, מעמד יותר ויותר מרכזי</w:t>
      </w:r>
      <w:r w:rsidR="00F3033D">
        <w:rPr>
          <w:rFonts w:ascii="David" w:hAnsi="David" w:cs="David" w:hint="cs"/>
          <w:sz w:val="24"/>
          <w:szCs w:val="24"/>
          <w:rtl/>
        </w:rPr>
        <w:t>.</w:t>
      </w:r>
      <w:r w:rsidR="00567594">
        <w:rPr>
          <w:rStyle w:val="FootnoteReference"/>
          <w:rFonts w:ascii="David" w:hAnsi="David" w:cs="David"/>
          <w:sz w:val="24"/>
          <w:szCs w:val="24"/>
          <w:rtl/>
        </w:rPr>
        <w:footnoteReference w:id="9"/>
      </w:r>
      <w:r w:rsidR="0069690B">
        <w:rPr>
          <w:rFonts w:ascii="David" w:hAnsi="David" w:cs="David" w:hint="cs"/>
          <w:sz w:val="24"/>
          <w:szCs w:val="24"/>
          <w:rtl/>
        </w:rPr>
        <w:t xml:space="preserve"> </w:t>
      </w:r>
      <w:r w:rsidR="002A4028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טיעון</w:t>
      </w:r>
      <w:r w:rsidR="00B2332A">
        <w:rPr>
          <w:rFonts w:ascii="David" w:hAnsi="David" w:cs="David" w:hint="cs"/>
          <w:sz w:val="24"/>
          <w:szCs w:val="24"/>
          <w:rtl/>
        </w:rPr>
        <w:t xml:space="preserve"> שאפשר להציג</w:t>
      </w:r>
      <w:r>
        <w:rPr>
          <w:rFonts w:ascii="David" w:hAnsi="David" w:cs="David" w:hint="cs"/>
          <w:sz w:val="24"/>
          <w:szCs w:val="24"/>
          <w:rtl/>
        </w:rPr>
        <w:t xml:space="preserve"> אפוא הנו הפוך: </w:t>
      </w:r>
      <w:r w:rsidR="005961F3">
        <w:rPr>
          <w:rFonts w:ascii="David" w:hAnsi="David" w:cs="David"/>
          <w:sz w:val="24"/>
          <w:szCs w:val="24"/>
          <w:rtl/>
        </w:rPr>
        <w:t>אין זה רק ש</w:t>
      </w:r>
      <w:r w:rsidR="007A63A5" w:rsidRPr="00F37960">
        <w:rPr>
          <w:rFonts w:ascii="David" w:hAnsi="David" w:cs="David"/>
          <w:sz w:val="24"/>
          <w:szCs w:val="24"/>
          <w:rtl/>
        </w:rPr>
        <w:t>טענות בדבר העלמות וח</w:t>
      </w:r>
      <w:r w:rsidR="00D15E29">
        <w:rPr>
          <w:rFonts w:ascii="David" w:hAnsi="David" w:cs="David"/>
          <w:sz w:val="24"/>
          <w:szCs w:val="24"/>
          <w:rtl/>
        </w:rPr>
        <w:t>זרה של ה"אחר" הדתי אינן נכונות</w:t>
      </w:r>
      <w:r w:rsidR="00D15E29">
        <w:rPr>
          <w:rFonts w:ascii="David" w:hAnsi="David" w:cs="David" w:hint="cs"/>
          <w:sz w:val="24"/>
          <w:szCs w:val="24"/>
          <w:rtl/>
        </w:rPr>
        <w:t xml:space="preserve">, </w:t>
      </w:r>
      <w:r w:rsidR="007A63A5" w:rsidRPr="00F37960">
        <w:rPr>
          <w:rFonts w:ascii="David" w:hAnsi="David" w:cs="David"/>
          <w:sz w:val="24"/>
          <w:szCs w:val="24"/>
          <w:rtl/>
        </w:rPr>
        <w:t>אלא ש</w:t>
      </w:r>
      <w:r w:rsidR="005961F3">
        <w:rPr>
          <w:rFonts w:ascii="David" w:hAnsi="David" w:cs="David"/>
          <w:sz w:val="24"/>
          <w:szCs w:val="24"/>
          <w:rtl/>
        </w:rPr>
        <w:t>ניתן להבי</w:t>
      </w:r>
      <w:r w:rsidR="005961F3">
        <w:rPr>
          <w:rFonts w:ascii="David" w:hAnsi="David" w:cs="David" w:hint="cs"/>
          <w:sz w:val="24"/>
          <w:szCs w:val="24"/>
          <w:rtl/>
        </w:rPr>
        <w:t>ן את הופעתן</w:t>
      </w:r>
      <w:r w:rsidR="00D15E29">
        <w:rPr>
          <w:rFonts w:ascii="David" w:hAnsi="David" w:cs="David"/>
          <w:sz w:val="24"/>
          <w:szCs w:val="24"/>
          <w:rtl/>
        </w:rPr>
        <w:t xml:space="preserve"> </w:t>
      </w:r>
      <w:r w:rsidR="00D15E29">
        <w:rPr>
          <w:rFonts w:ascii="David" w:hAnsi="David" w:cs="David" w:hint="cs"/>
          <w:sz w:val="24"/>
          <w:szCs w:val="24"/>
          <w:rtl/>
        </w:rPr>
        <w:t xml:space="preserve">רק על רקע </w:t>
      </w:r>
      <w:r w:rsidR="0009015D">
        <w:rPr>
          <w:rFonts w:ascii="David" w:hAnsi="David" w:cs="David" w:hint="cs"/>
          <w:sz w:val="24"/>
          <w:szCs w:val="24"/>
          <w:rtl/>
        </w:rPr>
        <w:t>מקומה המרכזי</w:t>
      </w:r>
      <w:r w:rsidR="00F37960">
        <w:rPr>
          <w:rFonts w:ascii="David" w:hAnsi="David" w:cs="David" w:hint="cs"/>
          <w:sz w:val="24"/>
          <w:szCs w:val="24"/>
          <w:rtl/>
        </w:rPr>
        <w:t xml:space="preserve"> של התיאולוגיה </w:t>
      </w:r>
      <w:r w:rsidR="004105C8">
        <w:rPr>
          <w:rFonts w:ascii="David" w:hAnsi="David" w:cs="David" w:hint="cs"/>
          <w:sz w:val="24"/>
          <w:szCs w:val="24"/>
          <w:rtl/>
        </w:rPr>
        <w:t>במסגרת הביקורת החילונית</w:t>
      </w:r>
      <w:r w:rsidR="00935E13">
        <w:rPr>
          <w:rFonts w:ascii="David" w:hAnsi="David" w:cs="David" w:hint="cs"/>
          <w:sz w:val="24"/>
          <w:szCs w:val="24"/>
          <w:rtl/>
        </w:rPr>
        <w:t xml:space="preserve"> וכמקור שלה</w:t>
      </w:r>
      <w:r w:rsidR="00FA6676">
        <w:rPr>
          <w:rFonts w:ascii="David" w:hAnsi="David" w:cs="David" w:hint="cs"/>
          <w:sz w:val="24"/>
          <w:szCs w:val="24"/>
          <w:rtl/>
        </w:rPr>
        <w:t>.</w:t>
      </w:r>
      <w:r w:rsidR="0009015D">
        <w:rPr>
          <w:rFonts w:ascii="David" w:hAnsi="David" w:cs="David" w:hint="cs"/>
          <w:sz w:val="24"/>
          <w:szCs w:val="24"/>
          <w:rtl/>
        </w:rPr>
        <w:t xml:space="preserve"> את </w:t>
      </w:r>
      <w:r w:rsidR="00F15CCE">
        <w:rPr>
          <w:rFonts w:ascii="David" w:hAnsi="David" w:cs="David" w:hint="cs"/>
          <w:sz w:val="24"/>
          <w:szCs w:val="24"/>
          <w:rtl/>
        </w:rPr>
        <w:t>תשומת הלב</w:t>
      </w:r>
      <w:r w:rsidR="003F749B">
        <w:rPr>
          <w:rFonts w:ascii="David" w:hAnsi="David" w:cs="David" w:hint="cs"/>
          <w:sz w:val="24"/>
          <w:szCs w:val="24"/>
          <w:rtl/>
        </w:rPr>
        <w:t xml:space="preserve"> </w:t>
      </w:r>
      <w:r w:rsidR="00693E9A">
        <w:rPr>
          <w:rFonts w:ascii="David" w:hAnsi="David" w:cs="David" w:hint="cs"/>
          <w:sz w:val="24"/>
          <w:szCs w:val="24"/>
          <w:rtl/>
        </w:rPr>
        <w:t>ה</w:t>
      </w:r>
      <w:r w:rsidR="001F34A3">
        <w:rPr>
          <w:rFonts w:ascii="David" w:hAnsi="David" w:cs="David" w:hint="cs"/>
          <w:sz w:val="24"/>
          <w:szCs w:val="24"/>
          <w:rtl/>
        </w:rPr>
        <w:t>מחקרית</w:t>
      </w:r>
      <w:r w:rsidR="00693E9A">
        <w:rPr>
          <w:rFonts w:ascii="David" w:hAnsi="David" w:cs="David" w:hint="cs"/>
          <w:sz w:val="24"/>
          <w:szCs w:val="24"/>
          <w:rtl/>
        </w:rPr>
        <w:t xml:space="preserve"> למקומה של הדת ב</w:t>
      </w:r>
      <w:r w:rsidR="007542EE">
        <w:rPr>
          <w:rFonts w:ascii="David" w:hAnsi="David" w:cs="David" w:hint="cs"/>
          <w:sz w:val="24"/>
          <w:szCs w:val="24"/>
          <w:rtl/>
        </w:rPr>
        <w:t xml:space="preserve">עולם </w:t>
      </w:r>
      <w:r w:rsidR="00A420EB">
        <w:rPr>
          <w:rFonts w:ascii="David" w:hAnsi="David" w:cs="David" w:hint="cs"/>
          <w:sz w:val="24"/>
          <w:szCs w:val="24"/>
          <w:rtl/>
        </w:rPr>
        <w:t>של ימנו</w:t>
      </w:r>
      <w:r w:rsidR="00FA6676">
        <w:rPr>
          <w:rFonts w:ascii="David" w:hAnsi="David" w:cs="David" w:hint="cs"/>
          <w:sz w:val="24"/>
          <w:szCs w:val="24"/>
          <w:rtl/>
        </w:rPr>
        <w:t xml:space="preserve"> אפשר לתפוש</w:t>
      </w:r>
      <w:r w:rsidR="00F92E16">
        <w:rPr>
          <w:rFonts w:ascii="David" w:hAnsi="David" w:cs="David" w:hint="cs"/>
          <w:sz w:val="24"/>
          <w:szCs w:val="24"/>
          <w:rtl/>
        </w:rPr>
        <w:t>, אפוא,</w:t>
      </w:r>
      <w:r w:rsidR="007542EE">
        <w:rPr>
          <w:rFonts w:ascii="David" w:hAnsi="David" w:cs="David" w:hint="cs"/>
          <w:sz w:val="24"/>
          <w:szCs w:val="24"/>
          <w:rtl/>
        </w:rPr>
        <w:t xml:space="preserve"> </w:t>
      </w:r>
      <w:r w:rsidR="0009015D">
        <w:rPr>
          <w:rFonts w:ascii="David" w:hAnsi="David" w:cs="David" w:hint="cs"/>
          <w:sz w:val="24"/>
          <w:szCs w:val="24"/>
          <w:rtl/>
        </w:rPr>
        <w:t xml:space="preserve">לא כתגובה </w:t>
      </w:r>
      <w:r w:rsidR="00693E9A">
        <w:rPr>
          <w:rFonts w:ascii="David" w:hAnsi="David" w:cs="David" w:hint="cs"/>
          <w:sz w:val="24"/>
          <w:szCs w:val="24"/>
          <w:rtl/>
        </w:rPr>
        <w:t>ל</w:t>
      </w:r>
      <w:r w:rsidR="0009015D">
        <w:rPr>
          <w:rFonts w:ascii="David" w:hAnsi="David" w:cs="David" w:hint="cs"/>
          <w:sz w:val="24"/>
          <w:szCs w:val="24"/>
          <w:rtl/>
        </w:rPr>
        <w:t xml:space="preserve">"שיבה" של </w:t>
      </w:r>
      <w:r w:rsidR="00D42302">
        <w:rPr>
          <w:rFonts w:ascii="David" w:hAnsi="David" w:cs="David" w:hint="cs"/>
          <w:sz w:val="24"/>
          <w:szCs w:val="24"/>
          <w:rtl/>
        </w:rPr>
        <w:t>הדת</w:t>
      </w:r>
      <w:r w:rsidR="00254E71">
        <w:rPr>
          <w:rFonts w:ascii="David" w:hAnsi="David" w:cs="David" w:hint="cs"/>
          <w:sz w:val="24"/>
          <w:szCs w:val="24"/>
          <w:rtl/>
        </w:rPr>
        <w:t>, אלא כעדות לעצם המבנה</w:t>
      </w:r>
      <w:r w:rsidR="003F749B">
        <w:rPr>
          <w:rFonts w:ascii="David" w:hAnsi="David" w:cs="David" w:hint="cs"/>
          <w:sz w:val="24"/>
          <w:szCs w:val="24"/>
          <w:rtl/>
        </w:rPr>
        <w:t xml:space="preserve"> </w:t>
      </w:r>
      <w:r w:rsidR="003B4BB1">
        <w:rPr>
          <w:rFonts w:ascii="David" w:hAnsi="David" w:cs="David" w:hint="cs"/>
          <w:sz w:val="24"/>
          <w:szCs w:val="24"/>
          <w:rtl/>
        </w:rPr>
        <w:t>של ה</w:t>
      </w:r>
      <w:r w:rsidR="009A3D90">
        <w:rPr>
          <w:rFonts w:ascii="David" w:hAnsi="David" w:cs="David" w:hint="cs"/>
          <w:sz w:val="24"/>
          <w:szCs w:val="24"/>
          <w:rtl/>
        </w:rPr>
        <w:t>ביק</w:t>
      </w:r>
      <w:r w:rsidR="00254E71">
        <w:rPr>
          <w:rFonts w:ascii="David" w:hAnsi="David" w:cs="David" w:hint="cs"/>
          <w:sz w:val="24"/>
          <w:szCs w:val="24"/>
          <w:rtl/>
        </w:rPr>
        <w:t>ורת ביחסה אל התיאולוגיה.</w:t>
      </w:r>
      <w:r w:rsidR="009A3D90" w:rsidRPr="00AB5934">
        <w:rPr>
          <w:rFonts w:ascii="David" w:hAnsi="David" w:cs="David" w:hint="cs"/>
          <w:sz w:val="24"/>
          <w:szCs w:val="24"/>
          <w:rtl/>
        </w:rPr>
        <w:t xml:space="preserve"> </w:t>
      </w:r>
      <w:r w:rsidR="00F15CCE" w:rsidRPr="00AB5934">
        <w:rPr>
          <w:rFonts w:ascii="David" w:hAnsi="David" w:cs="David" w:hint="cs"/>
          <w:sz w:val="24"/>
          <w:szCs w:val="24"/>
          <w:rtl/>
        </w:rPr>
        <w:t xml:space="preserve">כך גם בנוגע </w:t>
      </w:r>
      <w:r w:rsidR="00B3245B" w:rsidRPr="00AB5934">
        <w:rPr>
          <w:rFonts w:ascii="David" w:hAnsi="David" w:cs="David" w:hint="cs"/>
          <w:sz w:val="24"/>
          <w:szCs w:val="24"/>
          <w:rtl/>
        </w:rPr>
        <w:t>ל</w:t>
      </w:r>
      <w:r w:rsidR="00AB5934" w:rsidRPr="00AB5934">
        <w:rPr>
          <w:rFonts w:ascii="David" w:hAnsi="David" w:cs="David" w:hint="cs"/>
          <w:sz w:val="24"/>
          <w:szCs w:val="24"/>
          <w:rtl/>
        </w:rPr>
        <w:t>התגבשותה של גישה "פוסט-ביקורתית"</w:t>
      </w:r>
      <w:r w:rsidR="00AB5934" w:rsidRPr="00AB5934">
        <w:rPr>
          <w:rFonts w:ascii="David" w:hAnsi="David" w:cs="David"/>
          <w:sz w:val="24"/>
          <w:szCs w:val="24"/>
        </w:rPr>
        <w:t xml:space="preserve"> </w:t>
      </w:r>
      <w:r w:rsidR="00AB5934" w:rsidRPr="00AB5934">
        <w:rPr>
          <w:rFonts w:ascii="David" w:hAnsi="David" w:cs="David" w:hint="cs"/>
          <w:sz w:val="24"/>
          <w:szCs w:val="24"/>
          <w:rtl/>
        </w:rPr>
        <w:t>המבקשת</w:t>
      </w:r>
      <w:r w:rsidR="001F34A3">
        <w:rPr>
          <w:rFonts w:ascii="David" w:hAnsi="David" w:cs="David" w:hint="cs"/>
          <w:sz w:val="24"/>
          <w:szCs w:val="24"/>
          <w:rtl/>
        </w:rPr>
        <w:t xml:space="preserve"> למשל</w:t>
      </w:r>
      <w:r w:rsidR="00AB5934" w:rsidRPr="00AB5934">
        <w:rPr>
          <w:rFonts w:ascii="David" w:hAnsi="David" w:cs="David" w:hint="cs"/>
          <w:sz w:val="24"/>
          <w:szCs w:val="24"/>
          <w:rtl/>
        </w:rPr>
        <w:t xml:space="preserve"> </w:t>
      </w:r>
      <w:r w:rsidR="00AB5934" w:rsidRPr="00AB5934">
        <w:rPr>
          <w:rFonts w:ascii="David" w:hAnsi="David" w:cs="David"/>
          <w:sz w:val="24"/>
          <w:szCs w:val="24"/>
        </w:rPr>
        <w:t xml:space="preserve">to </w:t>
      </w:r>
      <w:r w:rsidR="00AB5934" w:rsidRPr="00AB5934">
        <w:rPr>
          <w:rFonts w:asciiTheme="majorBidi" w:hAnsiTheme="majorBidi" w:cstheme="majorBidi"/>
          <w:sz w:val="24"/>
          <w:szCs w:val="24"/>
        </w:rPr>
        <w:t>“</w:t>
      </w:r>
      <w:r w:rsidR="00AB5934" w:rsidRPr="00AB5934">
        <w:rPr>
          <w:rFonts w:asciiTheme="majorBidi" w:hAnsiTheme="majorBidi" w:cstheme="majorBidi"/>
          <w:sz w:val="24"/>
          <w:szCs w:val="24"/>
          <w:shd w:val="clear" w:color="auto" w:fill="FFFFFF"/>
        </w:rPr>
        <w:t>blend analysis and attachment, criticism and love”</w:t>
      </w:r>
      <w:r w:rsidR="00AB5934" w:rsidRPr="00AB5934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 xml:space="preserve"> </w:t>
      </w:r>
      <w:r w:rsidR="00254E71">
        <w:rPr>
          <w:rFonts w:asciiTheme="majorBidi" w:hAnsiTheme="majorBidi" w:cstheme="majorBidi" w:hint="cs"/>
          <w:sz w:val="24"/>
          <w:szCs w:val="24"/>
          <w:shd w:val="clear" w:color="auto" w:fill="FFFFFF"/>
          <w:vertAlign w:val="superscript"/>
          <w:rtl/>
        </w:rPr>
        <w:t xml:space="preserve"> </w:t>
      </w:r>
      <w:r w:rsidR="00254E71">
        <w:rPr>
          <w:rFonts w:ascii="David" w:hAnsi="David" w:cs="David" w:hint="cs"/>
          <w:sz w:val="24"/>
          <w:szCs w:val="24"/>
          <w:rtl/>
        </w:rPr>
        <w:t>וש</w:t>
      </w:r>
      <w:r w:rsidR="00AB5934" w:rsidRPr="00AB5934">
        <w:rPr>
          <w:rFonts w:ascii="David" w:hAnsi="David" w:cs="David" w:hint="cs"/>
          <w:sz w:val="24"/>
          <w:szCs w:val="24"/>
          <w:rtl/>
        </w:rPr>
        <w:t>ניתן ל</w:t>
      </w:r>
      <w:r w:rsidR="001F34A3">
        <w:rPr>
          <w:rFonts w:ascii="David" w:hAnsi="David" w:cs="David" w:hint="cs"/>
          <w:sz w:val="24"/>
          <w:szCs w:val="24"/>
          <w:rtl/>
        </w:rPr>
        <w:t>עגן ב</w:t>
      </w:r>
      <w:r w:rsidR="00AB5934" w:rsidRPr="00AB5934">
        <w:rPr>
          <w:rFonts w:ascii="David" w:hAnsi="David" w:cs="David" w:hint="cs"/>
          <w:sz w:val="24"/>
          <w:szCs w:val="24"/>
          <w:rtl/>
        </w:rPr>
        <w:t xml:space="preserve">דרך שבה ההרמנויטיקה של חשד </w:t>
      </w:r>
      <w:r w:rsidR="00AB5934" w:rsidRPr="00AB5934">
        <w:rPr>
          <w:rFonts w:ascii="David" w:hAnsi="David" w:cs="David"/>
          <w:sz w:val="24"/>
          <w:szCs w:val="24"/>
        </w:rPr>
        <w:t>(hermeneutics of suspicion)</w:t>
      </w:r>
      <w:r w:rsidR="00AB5934" w:rsidRPr="00AB5934">
        <w:rPr>
          <w:rFonts w:ascii="David" w:hAnsi="David" w:cs="David" w:hint="cs"/>
          <w:sz w:val="24"/>
          <w:szCs w:val="24"/>
          <w:rtl/>
        </w:rPr>
        <w:t xml:space="preserve"> שיוחסה לביקורת המודרנית, היוותה </w:t>
      </w:r>
      <w:r w:rsidR="002043D0">
        <w:rPr>
          <w:rFonts w:ascii="David" w:hAnsi="David" w:cs="David" w:hint="cs"/>
          <w:sz w:val="24"/>
          <w:szCs w:val="24"/>
          <w:rtl/>
        </w:rPr>
        <w:t xml:space="preserve">בעצמה </w:t>
      </w:r>
      <w:r w:rsidR="00AB5934" w:rsidRPr="00AB5934">
        <w:rPr>
          <w:rFonts w:ascii="David" w:hAnsi="David" w:cs="David" w:hint="cs"/>
          <w:sz w:val="24"/>
          <w:szCs w:val="24"/>
          <w:rtl/>
        </w:rPr>
        <w:t xml:space="preserve">דרך לאפשר או להציל, אי-חשד </w:t>
      </w:r>
      <w:r w:rsidR="00AB5934" w:rsidRPr="00AB5934">
        <w:rPr>
          <w:rFonts w:ascii="David" w:hAnsi="David" w:cs="David"/>
          <w:sz w:val="24"/>
          <w:szCs w:val="24"/>
        </w:rPr>
        <w:t>(non-suspicion)</w:t>
      </w:r>
      <w:r w:rsidR="002043D0">
        <w:rPr>
          <w:rFonts w:ascii="David" w:hAnsi="David" w:cs="David" w:hint="cs"/>
          <w:sz w:val="24"/>
          <w:szCs w:val="24"/>
          <w:rtl/>
        </w:rPr>
        <w:t>.</w:t>
      </w:r>
      <w:r w:rsidR="00AB5934" w:rsidRPr="00AB5934">
        <w:rPr>
          <w:rStyle w:val="FootnoteReference"/>
          <w:rFonts w:ascii="David" w:hAnsi="David" w:cs="David"/>
          <w:sz w:val="24"/>
          <w:szCs w:val="24"/>
          <w:rtl/>
        </w:rPr>
        <w:footnoteReference w:id="10"/>
      </w:r>
    </w:p>
    <w:p w14:paraId="16AF47F8" w14:textId="77F78193" w:rsidR="00C46D98" w:rsidRDefault="00254E71" w:rsidP="00254E71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הגם שהדיון בספר זה היה בעל ממדים מוגבלים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בהוגים, בתקופה, ובטקסטים שבהם התמקד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מטרתו </w:t>
      </w:r>
      <w:r w:rsidR="00CC66E8">
        <w:rPr>
          <w:rFonts w:ascii="David" w:hAnsi="David" w:cs="David" w:hint="cs"/>
          <w:sz w:val="24"/>
          <w:szCs w:val="24"/>
          <w:rtl/>
        </w:rPr>
        <w:t xml:space="preserve">אם כן </w:t>
      </w:r>
      <w:r>
        <w:rPr>
          <w:rFonts w:ascii="David" w:hAnsi="David" w:cs="David" w:hint="cs"/>
          <w:sz w:val="24"/>
          <w:szCs w:val="24"/>
          <w:rtl/>
        </w:rPr>
        <w:t xml:space="preserve">היתה </w:t>
      </w:r>
      <w:r w:rsidR="00CC66E8">
        <w:rPr>
          <w:rFonts w:ascii="David" w:hAnsi="David" w:cs="David" w:hint="cs"/>
          <w:sz w:val="24"/>
          <w:szCs w:val="24"/>
          <w:rtl/>
        </w:rPr>
        <w:t>מעט יותר יומרנית משום שביקש לפר</w:t>
      </w:r>
      <w:r>
        <w:rPr>
          <w:rFonts w:ascii="David" w:hAnsi="David" w:cs="David" w:hint="cs"/>
          <w:sz w:val="24"/>
          <w:szCs w:val="24"/>
          <w:rtl/>
        </w:rPr>
        <w:t xml:space="preserve">ש </w:t>
      </w:r>
      <w:r w:rsidR="00CC66E8">
        <w:rPr>
          <w:rFonts w:ascii="David" w:hAnsi="David" w:cs="David" w:hint="cs"/>
          <w:sz w:val="24"/>
          <w:szCs w:val="24"/>
          <w:rtl/>
        </w:rPr>
        <w:t xml:space="preserve">מחדש </w:t>
      </w:r>
      <w:r>
        <w:rPr>
          <w:rFonts w:ascii="David" w:hAnsi="David" w:cs="David" w:hint="cs"/>
          <w:sz w:val="24"/>
          <w:szCs w:val="24"/>
          <w:rtl/>
        </w:rPr>
        <w:t xml:space="preserve">את היחסים המורכבים בין העולם החילוני-מודרני לבין הדת. וכך מטרת הספר היתה להראות כי , </w:t>
      </w:r>
      <w:r>
        <w:rPr>
          <w:rFonts w:ascii="David" w:hAnsi="David" w:cs="David"/>
          <w:sz w:val="24"/>
          <w:szCs w:val="24"/>
        </w:rPr>
        <w:t>with the</w:t>
      </w:r>
      <w:r>
        <w:rPr>
          <w:rFonts w:ascii="David" w:hAnsi="David" w:cs="David"/>
          <w:sz w:val="24"/>
          <w:szCs w:val="24"/>
          <w:lang w:val="de-DE"/>
        </w:rPr>
        <w:t>se scholars</w:t>
      </w:r>
      <w:r>
        <w:rPr>
          <w:rFonts w:ascii="David" w:hAnsi="David" w:cs="David"/>
          <w:sz w:val="24"/>
          <w:szCs w:val="24"/>
        </w:rPr>
        <w:t>’</w:t>
      </w:r>
      <w:r w:rsidRPr="00F37960">
        <w:rPr>
          <w:rFonts w:ascii="David" w:hAnsi="David" w:cs="David"/>
          <w:sz w:val="24"/>
          <w:szCs w:val="24"/>
        </w:rPr>
        <w:t xml:space="preserve"> repeate</w:t>
      </w:r>
      <w:r>
        <w:rPr>
          <w:rFonts w:ascii="David" w:hAnsi="David" w:cs="David"/>
          <w:sz w:val="24"/>
          <w:szCs w:val="24"/>
        </w:rPr>
        <w:t>d secular emphasis on critique,</w:t>
      </w:r>
      <w:r>
        <w:rPr>
          <w:rFonts w:ascii="David" w:hAnsi="David" w:cs="David"/>
          <w:sz w:val="24"/>
          <w:szCs w:val="24"/>
          <w:lang w:val="de-DE"/>
        </w:rPr>
        <w:t xml:space="preserve"> </w:t>
      </w:r>
      <w:r w:rsidRPr="00F37960">
        <w:rPr>
          <w:rFonts w:ascii="David" w:hAnsi="David" w:cs="David"/>
          <w:sz w:val="24"/>
          <w:szCs w:val="24"/>
        </w:rPr>
        <w:t>religion lost neither its place nor its influence. Religion, one ma</w:t>
      </w:r>
      <w:r>
        <w:rPr>
          <w:rFonts w:ascii="David" w:hAnsi="David" w:cs="David"/>
          <w:sz w:val="24"/>
          <w:szCs w:val="24"/>
        </w:rPr>
        <w:t>y</w:t>
      </w:r>
      <w:r w:rsidRPr="009D0AB8">
        <w:rPr>
          <w:rFonts w:ascii="David" w:hAnsi="David" w:cs="David"/>
          <w:sz w:val="24"/>
          <w:szCs w:val="24"/>
        </w:rPr>
        <w:t xml:space="preserve"> then </w:t>
      </w:r>
      <w:r w:rsidRPr="00F37960">
        <w:rPr>
          <w:rFonts w:ascii="David" w:hAnsi="David" w:cs="David"/>
          <w:sz w:val="24"/>
          <w:szCs w:val="24"/>
        </w:rPr>
        <w:t>argue</w:t>
      </w:r>
      <w:r>
        <w:rPr>
          <w:rFonts w:ascii="David" w:hAnsi="David" w:cs="David"/>
          <w:sz w:val="24"/>
          <w:szCs w:val="24"/>
        </w:rPr>
        <w:t>,</w:t>
      </w:r>
      <w:r w:rsidRPr="00F37960">
        <w:rPr>
          <w:rFonts w:ascii="David" w:hAnsi="David" w:cs="David"/>
          <w:sz w:val="24"/>
          <w:szCs w:val="24"/>
        </w:rPr>
        <w:t xml:space="preserve"> has never left the secular theatre.</w:t>
      </w:r>
      <w:r>
        <w:rPr>
          <w:rFonts w:ascii="David" w:hAnsi="David" w:cs="David" w:hint="cs"/>
          <w:sz w:val="24"/>
          <w:szCs w:val="24"/>
          <w:rtl/>
        </w:rPr>
        <w:t xml:space="preserve"> בה במידה, </w:t>
      </w:r>
      <w:r w:rsidR="00882288">
        <w:rPr>
          <w:rFonts w:ascii="David" w:hAnsi="David" w:cs="David" w:hint="cs"/>
          <w:sz w:val="24"/>
          <w:szCs w:val="24"/>
          <w:rtl/>
        </w:rPr>
        <w:t xml:space="preserve">במסגרת הדיון בספר זה </w:t>
      </w:r>
      <w:r w:rsidR="008C4ED0">
        <w:rPr>
          <w:rFonts w:ascii="David" w:hAnsi="David" w:cs="David" w:hint="cs"/>
          <w:sz w:val="24"/>
          <w:szCs w:val="24"/>
          <w:rtl/>
        </w:rPr>
        <w:t xml:space="preserve">לא ביקשתי </w:t>
      </w:r>
      <w:r w:rsidR="006622BB">
        <w:rPr>
          <w:rFonts w:ascii="David" w:hAnsi="David" w:cs="David" w:hint="cs"/>
          <w:sz w:val="24"/>
          <w:szCs w:val="24"/>
          <w:rtl/>
        </w:rPr>
        <w:t>לטעון טענה</w:t>
      </w:r>
      <w:r w:rsidR="007B0B9D">
        <w:rPr>
          <w:rFonts w:ascii="David" w:hAnsi="David" w:cs="David" w:hint="cs"/>
          <w:sz w:val="24"/>
          <w:szCs w:val="24"/>
          <w:rtl/>
        </w:rPr>
        <w:t xml:space="preserve"> נורמטיבית</w:t>
      </w:r>
      <w:r w:rsidR="006622BB">
        <w:rPr>
          <w:rFonts w:ascii="David" w:hAnsi="David" w:cs="David" w:hint="cs"/>
          <w:sz w:val="24"/>
          <w:szCs w:val="24"/>
          <w:rtl/>
        </w:rPr>
        <w:t xml:space="preserve"> הנותנת עדי</w:t>
      </w:r>
      <w:r w:rsidR="008C4ED0">
        <w:rPr>
          <w:rFonts w:ascii="David" w:hAnsi="David" w:cs="David" w:hint="cs"/>
          <w:sz w:val="24"/>
          <w:szCs w:val="24"/>
          <w:rtl/>
        </w:rPr>
        <w:t>פות לגישה אחת על גבי אחרת</w:t>
      </w:r>
      <w:r>
        <w:rPr>
          <w:rFonts w:ascii="David" w:hAnsi="David" w:cs="David" w:hint="cs"/>
          <w:sz w:val="24"/>
          <w:szCs w:val="24"/>
          <w:rtl/>
        </w:rPr>
        <w:t xml:space="preserve">, או </w:t>
      </w:r>
      <w:r w:rsidR="006622BB">
        <w:rPr>
          <w:rFonts w:ascii="David" w:hAnsi="David" w:cs="David" w:hint="cs"/>
          <w:sz w:val="24"/>
          <w:szCs w:val="24"/>
          <w:rtl/>
        </w:rPr>
        <w:t>להדגים איזו מהביקורות התיאולוגיות</w:t>
      </w:r>
      <w:r w:rsidR="008C4ED0">
        <w:rPr>
          <w:rFonts w:ascii="David" w:hAnsi="David" w:cs="David" w:hint="cs"/>
          <w:sz w:val="24"/>
          <w:szCs w:val="24"/>
          <w:rtl/>
        </w:rPr>
        <w:t xml:space="preserve"> ניתנת </w:t>
      </w:r>
      <w:r w:rsidR="008C4ED0">
        <w:rPr>
          <w:rFonts w:ascii="David" w:hAnsi="David" w:cs="David" w:hint="cs"/>
          <w:sz w:val="24"/>
          <w:szCs w:val="24"/>
          <w:rtl/>
        </w:rPr>
        <w:lastRenderedPageBreak/>
        <w:t>ל</w:t>
      </w:r>
      <w:r w:rsidR="006A4AD9">
        <w:rPr>
          <w:rFonts w:ascii="David" w:hAnsi="David" w:cs="David" w:hint="cs"/>
          <w:sz w:val="24"/>
          <w:szCs w:val="24"/>
          <w:rtl/>
        </w:rPr>
        <w:t>הוכחה</w:t>
      </w:r>
      <w:r w:rsidR="008C4ED0">
        <w:rPr>
          <w:rFonts w:ascii="David" w:hAnsi="David" w:cs="David" w:hint="cs"/>
          <w:sz w:val="24"/>
          <w:szCs w:val="24"/>
          <w:rtl/>
        </w:rPr>
        <w:t xml:space="preserve"> טוב</w:t>
      </w:r>
      <w:r w:rsidR="00BA7BC5">
        <w:rPr>
          <w:rFonts w:ascii="David" w:hAnsi="David" w:cs="David" w:hint="cs"/>
          <w:sz w:val="24"/>
          <w:szCs w:val="24"/>
          <w:rtl/>
        </w:rPr>
        <w:t>ה</w:t>
      </w:r>
      <w:r w:rsidR="008C4ED0">
        <w:rPr>
          <w:rFonts w:ascii="David" w:hAnsi="David" w:cs="David" w:hint="cs"/>
          <w:sz w:val="24"/>
          <w:szCs w:val="24"/>
          <w:rtl/>
        </w:rPr>
        <w:t xml:space="preserve"> יותר מרעותה.</w:t>
      </w:r>
      <w:r w:rsidR="00882288">
        <w:rPr>
          <w:rFonts w:ascii="David" w:hAnsi="David" w:cs="David" w:hint="cs"/>
          <w:sz w:val="24"/>
          <w:szCs w:val="24"/>
          <w:rtl/>
        </w:rPr>
        <w:t xml:space="preserve"> נדמה לי, עם זאת,</w:t>
      </w:r>
      <w:r w:rsidR="008C4ED0">
        <w:rPr>
          <w:rFonts w:ascii="David" w:hAnsi="David" w:cs="David" w:hint="cs"/>
          <w:sz w:val="24"/>
          <w:szCs w:val="24"/>
          <w:rtl/>
        </w:rPr>
        <w:t xml:space="preserve"> </w:t>
      </w:r>
      <w:r w:rsidR="00882288">
        <w:rPr>
          <w:rFonts w:ascii="David" w:hAnsi="David" w:cs="David" w:hint="cs"/>
          <w:sz w:val="24"/>
          <w:szCs w:val="24"/>
          <w:rtl/>
        </w:rPr>
        <w:t>ש</w:t>
      </w:r>
      <w:r w:rsidR="008C4ED0">
        <w:rPr>
          <w:rFonts w:ascii="David" w:hAnsi="David" w:cs="David" w:hint="cs"/>
          <w:sz w:val="24"/>
          <w:szCs w:val="24"/>
          <w:rtl/>
        </w:rPr>
        <w:t xml:space="preserve">הקורא </w:t>
      </w:r>
      <w:r w:rsidR="00882288">
        <w:rPr>
          <w:rFonts w:ascii="David" w:hAnsi="David" w:cs="David" w:hint="cs"/>
          <w:sz w:val="24"/>
          <w:szCs w:val="24"/>
          <w:rtl/>
        </w:rPr>
        <w:t xml:space="preserve">יכול לחוש </w:t>
      </w:r>
      <w:r w:rsidR="00B55E77">
        <w:rPr>
          <w:rFonts w:ascii="David" w:hAnsi="David" w:cs="David" w:hint="cs"/>
          <w:sz w:val="24"/>
          <w:szCs w:val="24"/>
          <w:rtl/>
        </w:rPr>
        <w:t>בא</w:t>
      </w:r>
      <w:r w:rsidR="007B0B9D">
        <w:rPr>
          <w:rFonts w:ascii="David" w:hAnsi="David" w:cs="David" w:hint="cs"/>
          <w:sz w:val="24"/>
          <w:szCs w:val="24"/>
          <w:rtl/>
        </w:rPr>
        <w:t>ה</w:t>
      </w:r>
      <w:r w:rsidR="00B55E77">
        <w:rPr>
          <w:rFonts w:ascii="David" w:hAnsi="David" w:cs="David" w:hint="cs"/>
          <w:sz w:val="24"/>
          <w:szCs w:val="24"/>
          <w:rtl/>
        </w:rPr>
        <w:t xml:space="preserve">דה </w:t>
      </w:r>
      <w:r w:rsidR="00935E13">
        <w:rPr>
          <w:rFonts w:ascii="David" w:hAnsi="David" w:cs="David" w:hint="cs"/>
          <w:sz w:val="24"/>
          <w:szCs w:val="24"/>
          <w:rtl/>
        </w:rPr>
        <w:t xml:space="preserve">מסוימת </w:t>
      </w:r>
      <w:r w:rsidR="007B0B9D">
        <w:rPr>
          <w:rFonts w:ascii="David" w:hAnsi="David" w:cs="David" w:hint="cs"/>
          <w:sz w:val="24"/>
          <w:szCs w:val="24"/>
          <w:rtl/>
        </w:rPr>
        <w:t>ל</w:t>
      </w:r>
      <w:r w:rsidR="00BA7BC5">
        <w:rPr>
          <w:rFonts w:ascii="David" w:hAnsi="David" w:cs="David" w:hint="cs"/>
          <w:sz w:val="24"/>
          <w:szCs w:val="24"/>
          <w:rtl/>
        </w:rPr>
        <w:t xml:space="preserve">שלל </w:t>
      </w:r>
      <w:r w:rsidR="006622BB">
        <w:rPr>
          <w:rFonts w:ascii="David" w:hAnsi="David" w:cs="David" w:hint="cs"/>
          <w:sz w:val="24"/>
          <w:szCs w:val="24"/>
          <w:rtl/>
        </w:rPr>
        <w:t>ה</w:t>
      </w:r>
      <w:r w:rsidR="00BA7BC5">
        <w:rPr>
          <w:rFonts w:ascii="David" w:hAnsi="David" w:cs="David" w:hint="cs"/>
          <w:sz w:val="24"/>
          <w:szCs w:val="24"/>
          <w:rtl/>
        </w:rPr>
        <w:t>מורכבויות</w:t>
      </w:r>
      <w:r w:rsidR="00E82B07">
        <w:rPr>
          <w:rFonts w:ascii="David" w:hAnsi="David" w:cs="David" w:hint="cs"/>
          <w:sz w:val="24"/>
          <w:szCs w:val="24"/>
          <w:rtl/>
        </w:rPr>
        <w:t>, המתחים הפנימיים, חוסר ההתאמות</w:t>
      </w:r>
      <w:r w:rsidR="00935E13">
        <w:rPr>
          <w:rFonts w:ascii="David" w:hAnsi="David" w:cs="David" w:hint="cs"/>
          <w:sz w:val="24"/>
          <w:szCs w:val="24"/>
          <w:rtl/>
        </w:rPr>
        <w:t xml:space="preserve">, לעיתים סתירות ובוודאי </w:t>
      </w:r>
      <w:r w:rsidR="00BA7BC5">
        <w:rPr>
          <w:rFonts w:ascii="David" w:hAnsi="David" w:cs="David" w:hint="cs"/>
          <w:sz w:val="24"/>
          <w:szCs w:val="24"/>
          <w:rtl/>
        </w:rPr>
        <w:t>השתברויות</w:t>
      </w:r>
      <w:r w:rsidR="00EF505D">
        <w:rPr>
          <w:rFonts w:ascii="David" w:hAnsi="David" w:cs="David" w:hint="cs"/>
          <w:sz w:val="24"/>
          <w:szCs w:val="24"/>
          <w:rtl/>
        </w:rPr>
        <w:t xml:space="preserve"> המאפיינות את חוסר הנחת</w:t>
      </w:r>
      <w:r w:rsidR="00BE741F">
        <w:rPr>
          <w:rFonts w:ascii="David" w:hAnsi="David" w:cs="David" w:hint="cs"/>
          <w:sz w:val="24"/>
          <w:szCs w:val="24"/>
          <w:rtl/>
        </w:rPr>
        <w:t xml:space="preserve"> של הוגים </w:t>
      </w:r>
      <w:r w:rsidR="00B33F34">
        <w:rPr>
          <w:rFonts w:ascii="David" w:hAnsi="David" w:cs="David" w:hint="cs"/>
          <w:sz w:val="24"/>
          <w:szCs w:val="24"/>
          <w:rtl/>
        </w:rPr>
        <w:t>חילוניים</w:t>
      </w:r>
      <w:r w:rsidR="00BE741F">
        <w:rPr>
          <w:rFonts w:ascii="David" w:hAnsi="David" w:cs="David" w:hint="cs"/>
          <w:sz w:val="24"/>
          <w:szCs w:val="24"/>
          <w:rtl/>
        </w:rPr>
        <w:t xml:space="preserve"> אלו ביחסם </w:t>
      </w:r>
      <w:r w:rsidR="00EF505D">
        <w:rPr>
          <w:rFonts w:ascii="David" w:hAnsi="David" w:cs="David" w:hint="cs"/>
          <w:sz w:val="24"/>
          <w:szCs w:val="24"/>
          <w:rtl/>
        </w:rPr>
        <w:t xml:space="preserve">אל </w:t>
      </w:r>
      <w:r w:rsidR="00BA7BC5">
        <w:rPr>
          <w:rFonts w:ascii="David" w:hAnsi="David" w:cs="David" w:hint="cs"/>
          <w:sz w:val="24"/>
          <w:szCs w:val="24"/>
          <w:rtl/>
        </w:rPr>
        <w:t>המסורות הדתיות</w:t>
      </w:r>
      <w:r w:rsidR="00EF505D">
        <w:rPr>
          <w:rFonts w:ascii="David" w:hAnsi="David" w:cs="David" w:hint="cs"/>
          <w:sz w:val="24"/>
          <w:szCs w:val="24"/>
          <w:rtl/>
        </w:rPr>
        <w:t xml:space="preserve"> </w:t>
      </w:r>
      <w:r w:rsidR="00EF505D">
        <w:rPr>
          <w:rFonts w:ascii="David" w:hAnsi="David" w:cs="David"/>
          <w:sz w:val="24"/>
          <w:szCs w:val="24"/>
          <w:rtl/>
        </w:rPr>
        <w:t>–</w:t>
      </w:r>
      <w:r w:rsidR="00EF505D">
        <w:rPr>
          <w:rFonts w:ascii="David" w:hAnsi="David" w:cs="David" w:hint="cs"/>
          <w:sz w:val="24"/>
          <w:szCs w:val="24"/>
          <w:rtl/>
        </w:rPr>
        <w:t xml:space="preserve"> חוסר נחת המהדהד</w:t>
      </w:r>
      <w:r w:rsidR="008F7A7C">
        <w:rPr>
          <w:rFonts w:ascii="David" w:hAnsi="David" w:cs="David" w:hint="cs"/>
          <w:sz w:val="24"/>
          <w:szCs w:val="24"/>
          <w:rtl/>
        </w:rPr>
        <w:t>, אולי, את</w:t>
      </w:r>
      <w:r w:rsidR="00BA7BC5">
        <w:rPr>
          <w:rFonts w:ascii="David" w:hAnsi="David" w:cs="David" w:hint="cs"/>
          <w:sz w:val="24"/>
          <w:szCs w:val="24"/>
          <w:rtl/>
        </w:rPr>
        <w:t xml:space="preserve"> הממרה </w:t>
      </w:r>
      <w:r w:rsidR="00BA7BC5" w:rsidRPr="00BA7BC5">
        <w:rPr>
          <w:rFonts w:ascii="David" w:hAnsi="David" w:cs="David" w:hint="cs"/>
          <w:sz w:val="24"/>
          <w:szCs w:val="24"/>
          <w:rtl/>
        </w:rPr>
        <w:t>""</w:t>
      </w:r>
      <w:r w:rsidR="00BA7BC5" w:rsidRPr="00BA7BC5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תֶּאֱחֹז בָּזֶה וְגַם מִזֶּה אַל תַּנַּח אֶת יָדֶךָ</w:t>
      </w:r>
      <w:r w:rsidR="00BA7BC5" w:rsidRPr="00BA7BC5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>" (קהלת ז, יח).</w:t>
      </w:r>
      <w:r w:rsidR="00BA7BC5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 </w:t>
      </w:r>
      <w:r w:rsidR="002F3F18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כאן בלטה במיוחד </w:t>
      </w:r>
      <w:r w:rsidR="00EF505D" w:rsidRPr="004E757A">
        <w:rPr>
          <w:rFonts w:ascii="David" w:hAnsi="David" w:cs="David"/>
          <w:sz w:val="24"/>
          <w:szCs w:val="24"/>
          <w:rtl/>
        </w:rPr>
        <w:t>ההתמקדות</w:t>
      </w:r>
      <w:r w:rsidR="002F3F18">
        <w:rPr>
          <w:rFonts w:ascii="David" w:hAnsi="David" w:cs="David" w:hint="cs"/>
          <w:sz w:val="24"/>
          <w:szCs w:val="24"/>
          <w:rtl/>
        </w:rPr>
        <w:t xml:space="preserve"> של ביקורת התיאולוגיה</w:t>
      </w:r>
      <w:r w:rsidR="009A3D90">
        <w:rPr>
          <w:rFonts w:ascii="David" w:hAnsi="David" w:cs="David" w:hint="cs"/>
          <w:sz w:val="24"/>
          <w:szCs w:val="24"/>
          <w:rtl/>
        </w:rPr>
        <w:t xml:space="preserve"> של הוגים מודרניים</w:t>
      </w:r>
      <w:r w:rsidR="002F3F18">
        <w:rPr>
          <w:rFonts w:ascii="David" w:hAnsi="David" w:cs="David" w:hint="cs"/>
          <w:sz w:val="24"/>
          <w:szCs w:val="24"/>
          <w:rtl/>
        </w:rPr>
        <w:t xml:space="preserve"> </w:t>
      </w:r>
      <w:r w:rsidR="00EF505D" w:rsidRPr="004E757A">
        <w:rPr>
          <w:rFonts w:ascii="David" w:hAnsi="David" w:cs="David"/>
          <w:sz w:val="24"/>
          <w:szCs w:val="24"/>
          <w:rtl/>
        </w:rPr>
        <w:t xml:space="preserve"> ב – </w:t>
      </w:r>
      <w:r w:rsidR="00EF505D" w:rsidRPr="004E757A">
        <w:rPr>
          <w:rFonts w:ascii="David" w:hAnsi="David" w:cs="David"/>
          <w:sz w:val="24"/>
          <w:szCs w:val="24"/>
          <w:lang w:val="de-DE"/>
        </w:rPr>
        <w:t>world in which we live</w:t>
      </w:r>
      <w:r w:rsidR="00B55E77">
        <w:rPr>
          <w:rFonts w:ascii="David" w:hAnsi="David" w:cs="David" w:hint="cs"/>
          <w:sz w:val="24"/>
          <w:szCs w:val="24"/>
          <w:rtl/>
          <w:lang w:val="de-DE"/>
        </w:rPr>
        <w:t xml:space="preserve">. </w:t>
      </w:r>
      <w:r w:rsidR="001F7ED0">
        <w:rPr>
          <w:rFonts w:ascii="David" w:hAnsi="David" w:cs="David" w:hint="cs"/>
          <w:sz w:val="24"/>
          <w:szCs w:val="24"/>
          <w:rtl/>
          <w:lang w:val="de-DE"/>
        </w:rPr>
        <w:t xml:space="preserve">בוודאי, </w:t>
      </w:r>
      <w:r w:rsidR="002043D0">
        <w:rPr>
          <w:rFonts w:ascii="David" w:hAnsi="David" w:cs="David" w:hint="cs"/>
          <w:sz w:val="24"/>
          <w:szCs w:val="24"/>
          <w:rtl/>
          <w:lang w:val="de-DE"/>
        </w:rPr>
        <w:t xml:space="preserve">מדובר </w:t>
      </w:r>
      <w:r w:rsidR="003B4BB1">
        <w:rPr>
          <w:rFonts w:ascii="David" w:hAnsi="David" w:cs="David" w:hint="cs"/>
          <w:sz w:val="24"/>
          <w:szCs w:val="24"/>
          <w:rtl/>
          <w:lang w:val="de-DE"/>
        </w:rPr>
        <w:t xml:space="preserve">בהתרכזות </w:t>
      </w:r>
      <w:r w:rsidR="002365B3">
        <w:rPr>
          <w:rFonts w:ascii="David" w:hAnsi="David" w:cs="David" w:hint="cs"/>
          <w:sz w:val="24"/>
          <w:szCs w:val="24"/>
          <w:rtl/>
        </w:rPr>
        <w:t xml:space="preserve">במה שהורקהיימר כינה </w:t>
      </w:r>
      <w:r w:rsidR="002365B3">
        <w:rPr>
          <w:rFonts w:ascii="David" w:hAnsi="David" w:cs="David"/>
          <w:sz w:val="24"/>
          <w:szCs w:val="24"/>
          <w:lang w:val="de-DE"/>
        </w:rPr>
        <w:t>realm of immanence</w:t>
      </w:r>
      <w:r w:rsidR="00625DE4">
        <w:rPr>
          <w:rFonts w:ascii="David" w:hAnsi="David" w:cs="David" w:hint="cs"/>
          <w:sz w:val="24"/>
          <w:szCs w:val="24"/>
          <w:rtl/>
        </w:rPr>
        <w:t xml:space="preserve"> </w:t>
      </w:r>
      <w:r w:rsidR="00FA6676">
        <w:rPr>
          <w:rFonts w:ascii="David" w:hAnsi="David" w:cs="David" w:hint="cs"/>
          <w:sz w:val="24"/>
          <w:szCs w:val="24"/>
          <w:rtl/>
        </w:rPr>
        <w:t>והי</w:t>
      </w:r>
      <w:r w:rsidR="001F34A3">
        <w:rPr>
          <w:rFonts w:ascii="David" w:hAnsi="David" w:cs="David" w:hint="cs"/>
          <w:sz w:val="24"/>
          <w:szCs w:val="24"/>
          <w:rtl/>
        </w:rPr>
        <w:t xml:space="preserve">א </w:t>
      </w:r>
      <w:r w:rsidR="00625DE4">
        <w:rPr>
          <w:rFonts w:ascii="David" w:hAnsi="David" w:cs="David" w:hint="cs"/>
          <w:sz w:val="24"/>
          <w:szCs w:val="24"/>
          <w:rtl/>
        </w:rPr>
        <w:t>מדגיש</w:t>
      </w:r>
      <w:r w:rsidR="00FA6676">
        <w:rPr>
          <w:rFonts w:ascii="David" w:hAnsi="David" w:cs="David" w:hint="cs"/>
          <w:sz w:val="24"/>
          <w:szCs w:val="24"/>
          <w:rtl/>
        </w:rPr>
        <w:t>ה</w:t>
      </w:r>
      <w:r w:rsidR="00C46D98">
        <w:rPr>
          <w:rFonts w:ascii="David" w:hAnsi="David" w:cs="David" w:hint="cs"/>
          <w:sz w:val="24"/>
          <w:szCs w:val="24"/>
          <w:rtl/>
        </w:rPr>
        <w:t xml:space="preserve"> את המימד החילוני בהגותם.</w:t>
      </w:r>
      <w:r w:rsidR="002365B3">
        <w:rPr>
          <w:rStyle w:val="FootnoteReference"/>
          <w:rFonts w:ascii="David" w:hAnsi="David" w:cs="David"/>
          <w:sz w:val="24"/>
          <w:szCs w:val="24"/>
          <w:rtl/>
        </w:rPr>
        <w:footnoteReference w:id="11"/>
      </w:r>
      <w:r w:rsidR="00C46D98">
        <w:rPr>
          <w:rFonts w:ascii="David" w:hAnsi="David" w:cs="David" w:hint="cs"/>
          <w:sz w:val="24"/>
          <w:szCs w:val="24"/>
          <w:rtl/>
        </w:rPr>
        <w:t xml:space="preserve"> אך </w:t>
      </w:r>
      <w:r w:rsidR="00C46D98" w:rsidRPr="00C46D98">
        <w:rPr>
          <w:rFonts w:ascii="David" w:hAnsi="David" w:cs="David" w:hint="cs"/>
          <w:sz w:val="24"/>
          <w:szCs w:val="24"/>
          <w:rtl/>
        </w:rPr>
        <w:t>חילון, בכל אחד מ</w:t>
      </w:r>
      <w:r w:rsidR="00C46D98">
        <w:rPr>
          <w:rFonts w:ascii="David" w:hAnsi="David" w:cs="David" w:hint="cs"/>
          <w:sz w:val="24"/>
          <w:szCs w:val="24"/>
          <w:rtl/>
        </w:rPr>
        <w:t>ה</w:t>
      </w:r>
      <w:r w:rsidR="00C46D98" w:rsidRPr="00C46D98">
        <w:rPr>
          <w:rFonts w:ascii="David" w:hAnsi="David" w:cs="David" w:hint="cs"/>
          <w:sz w:val="24"/>
          <w:szCs w:val="24"/>
          <w:rtl/>
        </w:rPr>
        <w:t>מקרים</w:t>
      </w:r>
      <w:r w:rsidR="001F7ED0">
        <w:rPr>
          <w:rFonts w:ascii="David" w:hAnsi="David" w:cs="David" w:hint="cs"/>
          <w:sz w:val="24"/>
          <w:szCs w:val="24"/>
          <w:rtl/>
        </w:rPr>
        <w:t>,</w:t>
      </w:r>
      <w:r w:rsidR="00C46D98" w:rsidRPr="00C46D98">
        <w:rPr>
          <w:rFonts w:ascii="David" w:hAnsi="David" w:cs="David" w:hint="cs"/>
          <w:sz w:val="24"/>
          <w:szCs w:val="24"/>
          <w:rtl/>
        </w:rPr>
        <w:t xml:space="preserve"> אינו מצביע על שחרור מחשיבה דתית באיזשהו מובן פשוט, אלא על תרגום או טרנספורמציה של מושגים תאולוגיים, לעיתים אף במטרה מוצהרת להציל את המושגים הללו.  </w:t>
      </w:r>
    </w:p>
    <w:p w14:paraId="7A8E6D99" w14:textId="63957049" w:rsidR="0040421B" w:rsidRPr="0040421B" w:rsidRDefault="00933646" w:rsidP="001F7ED0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אצל פרויד, למשל, </w:t>
      </w:r>
      <w:r w:rsidR="00EF505D">
        <w:rPr>
          <w:rFonts w:ascii="David" w:hAnsi="David" w:cs="David" w:hint="cs"/>
          <w:sz w:val="24"/>
          <w:szCs w:val="24"/>
          <w:rtl/>
        </w:rPr>
        <w:t xml:space="preserve">התפקיד </w:t>
      </w:r>
      <w:r>
        <w:rPr>
          <w:rFonts w:ascii="David" w:hAnsi="David" w:cs="David" w:hint="cs"/>
          <w:sz w:val="24"/>
          <w:szCs w:val="24"/>
          <w:rtl/>
        </w:rPr>
        <w:t xml:space="preserve">הביקורתי של בדיחות </w:t>
      </w:r>
      <w:r w:rsidR="00EF505D" w:rsidRPr="004E757A">
        <w:rPr>
          <w:rFonts w:ascii="David" w:hAnsi="David" w:cs="David"/>
          <w:sz w:val="24"/>
          <w:szCs w:val="24"/>
          <w:rtl/>
        </w:rPr>
        <w:t xml:space="preserve">מצביע על מה ש </w:t>
      </w:r>
      <w:r w:rsidR="00EF505D" w:rsidRPr="004E757A">
        <w:rPr>
          <w:rFonts w:ascii="David" w:hAnsi="David" w:cs="David"/>
          <w:sz w:val="24"/>
          <w:szCs w:val="24"/>
          <w:lang w:val="de-DE"/>
        </w:rPr>
        <w:t>Eric Santner</w:t>
      </w:r>
      <w:r w:rsidR="00EF505D" w:rsidRPr="004E757A">
        <w:rPr>
          <w:rFonts w:ascii="David" w:hAnsi="David" w:cs="David"/>
          <w:sz w:val="24"/>
          <w:szCs w:val="24"/>
          <w:rtl/>
        </w:rPr>
        <w:t xml:space="preserve"> תאר כ- </w:t>
      </w:r>
      <w:r w:rsidR="00EF505D" w:rsidRPr="004E757A">
        <w:rPr>
          <w:rFonts w:ascii="David" w:hAnsi="David" w:cs="David"/>
          <w:sz w:val="24"/>
          <w:szCs w:val="24"/>
        </w:rPr>
        <w:t>“eternal within the earthly”</w:t>
      </w:r>
      <w:r w:rsidR="00EF505D">
        <w:rPr>
          <w:rFonts w:ascii="David" w:hAnsi="David" w:cs="David" w:hint="cs"/>
          <w:sz w:val="24"/>
          <w:szCs w:val="24"/>
          <w:rtl/>
        </w:rPr>
        <w:t xml:space="preserve"> משום שפרויד </w:t>
      </w:r>
      <w:r w:rsidR="000B3C95">
        <w:rPr>
          <w:rFonts w:ascii="David" w:hAnsi="David" w:cs="David" w:hint="cs"/>
          <w:sz w:val="24"/>
          <w:szCs w:val="24"/>
          <w:rtl/>
        </w:rPr>
        <w:t xml:space="preserve">מחלן </w:t>
      </w:r>
      <w:r w:rsidR="00EF505D">
        <w:rPr>
          <w:rFonts w:ascii="David" w:hAnsi="David" w:cs="David" w:hint="cs"/>
          <w:sz w:val="24"/>
          <w:szCs w:val="24"/>
          <w:rtl/>
        </w:rPr>
        <w:t>את ה</w:t>
      </w:r>
      <w:r w:rsidR="007B0B9D">
        <w:rPr>
          <w:rFonts w:ascii="David" w:hAnsi="David" w:cs="David" w:hint="cs"/>
          <w:sz w:val="24"/>
          <w:szCs w:val="24"/>
          <w:rtl/>
        </w:rPr>
        <w:t>דילמ</w:t>
      </w:r>
      <w:r w:rsidR="00EF505D">
        <w:rPr>
          <w:rFonts w:ascii="David" w:hAnsi="David" w:cs="David" w:hint="cs"/>
          <w:sz w:val="24"/>
          <w:szCs w:val="24"/>
          <w:rtl/>
        </w:rPr>
        <w:t>ה הדתית שעוסקת בהפרה של החוק</w:t>
      </w:r>
      <w:r w:rsidR="000B3C95">
        <w:rPr>
          <w:rFonts w:ascii="David" w:hAnsi="David" w:cs="David" w:hint="cs"/>
          <w:sz w:val="24"/>
          <w:szCs w:val="24"/>
          <w:rtl/>
        </w:rPr>
        <w:t>, כאשר</w:t>
      </w:r>
      <w:r w:rsidR="005722E5">
        <w:rPr>
          <w:rFonts w:ascii="David" w:hAnsi="David" w:cs="David" w:hint="cs"/>
          <w:sz w:val="24"/>
          <w:szCs w:val="24"/>
          <w:rtl/>
        </w:rPr>
        <w:t xml:space="preserve"> ה</w:t>
      </w:r>
      <w:r w:rsidR="000D48D2">
        <w:rPr>
          <w:rFonts w:ascii="David" w:hAnsi="David" w:cs="David" w:hint="cs"/>
          <w:sz w:val="24"/>
          <w:szCs w:val="24"/>
          <w:rtl/>
        </w:rPr>
        <w:t>ו</w:t>
      </w:r>
      <w:r w:rsidR="005722E5">
        <w:rPr>
          <w:rFonts w:ascii="David" w:hAnsi="David" w:cs="David" w:hint="cs"/>
          <w:sz w:val="24"/>
          <w:szCs w:val="24"/>
          <w:rtl/>
        </w:rPr>
        <w:t>א</w:t>
      </w:r>
      <w:r w:rsidR="000B3C95">
        <w:rPr>
          <w:rFonts w:ascii="David" w:hAnsi="David" w:cs="David" w:hint="cs"/>
          <w:sz w:val="24"/>
          <w:szCs w:val="24"/>
          <w:rtl/>
        </w:rPr>
        <w:t xml:space="preserve"> יוצק אותה</w:t>
      </w:r>
      <w:r w:rsidR="00EF505D">
        <w:rPr>
          <w:rFonts w:ascii="David" w:hAnsi="David" w:cs="David" w:hint="cs"/>
          <w:sz w:val="24"/>
          <w:szCs w:val="24"/>
          <w:rtl/>
        </w:rPr>
        <w:t xml:space="preserve"> לתוך הדיון שלו ב</w:t>
      </w:r>
      <w:r w:rsidR="00EF505D" w:rsidRPr="004E757A">
        <w:rPr>
          <w:rFonts w:ascii="David" w:hAnsi="David" w:cs="David"/>
          <w:sz w:val="24"/>
          <w:szCs w:val="24"/>
          <w:rtl/>
        </w:rPr>
        <w:t>כללים</w:t>
      </w:r>
      <w:r w:rsidR="00BE741F">
        <w:rPr>
          <w:rFonts w:ascii="David" w:hAnsi="David" w:cs="David" w:hint="cs"/>
          <w:sz w:val="24"/>
          <w:szCs w:val="24"/>
          <w:rtl/>
        </w:rPr>
        <w:t xml:space="preserve">, </w:t>
      </w:r>
      <w:r w:rsidR="00AC4B06">
        <w:rPr>
          <w:rFonts w:ascii="David" w:hAnsi="David" w:cs="David" w:hint="cs"/>
          <w:sz w:val="24"/>
          <w:szCs w:val="24"/>
          <w:rtl/>
        </w:rPr>
        <w:t>קודים, ונורמות</w:t>
      </w:r>
      <w:r w:rsidR="00EF505D" w:rsidRPr="004E757A">
        <w:rPr>
          <w:rFonts w:ascii="David" w:hAnsi="David" w:cs="David"/>
          <w:sz w:val="24"/>
          <w:szCs w:val="24"/>
          <w:rtl/>
        </w:rPr>
        <w:t xml:space="preserve"> החברתיים </w:t>
      </w:r>
      <w:r w:rsidR="00EF505D">
        <w:rPr>
          <w:rFonts w:ascii="David" w:hAnsi="David" w:cs="David"/>
          <w:sz w:val="24"/>
          <w:szCs w:val="24"/>
          <w:rtl/>
        </w:rPr>
        <w:t>המעצבים את הפסיכולוגיה של היחיד</w:t>
      </w:r>
      <w:r w:rsidR="00EF505D">
        <w:rPr>
          <w:rFonts w:ascii="David" w:hAnsi="David" w:cs="David" w:hint="cs"/>
          <w:sz w:val="24"/>
          <w:szCs w:val="24"/>
          <w:rtl/>
        </w:rPr>
        <w:t>.</w:t>
      </w:r>
      <w:r w:rsidR="00EF505D" w:rsidRPr="00D54717">
        <w:rPr>
          <w:rStyle w:val="FootnoteReference"/>
          <w:rFonts w:ascii="David" w:hAnsi="David" w:cs="David"/>
          <w:sz w:val="24"/>
          <w:szCs w:val="24"/>
        </w:rPr>
        <w:t xml:space="preserve"> </w:t>
      </w:r>
      <w:r w:rsidR="00EF505D" w:rsidRPr="004E757A">
        <w:rPr>
          <w:rStyle w:val="FootnoteReference"/>
          <w:rFonts w:ascii="David" w:hAnsi="David" w:cs="David"/>
          <w:sz w:val="24"/>
          <w:szCs w:val="24"/>
        </w:rPr>
        <w:footnoteReference w:id="12"/>
      </w:r>
      <w:r w:rsidR="00EF505D">
        <w:rPr>
          <w:rFonts w:ascii="David" w:hAnsi="David" w:cs="David" w:hint="cs"/>
          <w:sz w:val="24"/>
          <w:szCs w:val="24"/>
          <w:rtl/>
        </w:rPr>
        <w:t xml:space="preserve"> </w:t>
      </w:r>
      <w:r w:rsidR="00AC4B06">
        <w:rPr>
          <w:rFonts w:ascii="David" w:hAnsi="David" w:cs="David" w:hint="cs"/>
          <w:sz w:val="24"/>
          <w:szCs w:val="24"/>
          <w:rtl/>
        </w:rPr>
        <w:t xml:space="preserve">אלו </w:t>
      </w:r>
      <w:r w:rsidR="00B33F34">
        <w:rPr>
          <w:rFonts w:ascii="David" w:hAnsi="David" w:cs="David" w:hint="cs"/>
          <w:sz w:val="24"/>
          <w:szCs w:val="24"/>
          <w:rtl/>
        </w:rPr>
        <w:t xml:space="preserve">הם </w:t>
      </w:r>
      <w:r w:rsidR="00AC4B06">
        <w:rPr>
          <w:rFonts w:ascii="David" w:hAnsi="David" w:cs="David" w:hint="cs"/>
          <w:sz w:val="24"/>
          <w:szCs w:val="24"/>
          <w:rtl/>
        </w:rPr>
        <w:t>ה"חוקים והמשפטים"</w:t>
      </w:r>
      <w:r>
        <w:rPr>
          <w:rFonts w:ascii="David" w:hAnsi="David" w:cs="David" w:hint="cs"/>
          <w:sz w:val="24"/>
          <w:szCs w:val="24"/>
          <w:rtl/>
        </w:rPr>
        <w:t xml:space="preserve"> שהביקורת מ</w:t>
      </w:r>
      <w:r w:rsidR="00B33F34">
        <w:rPr>
          <w:rFonts w:ascii="David" w:hAnsi="David" w:cs="David" w:hint="cs"/>
          <w:sz w:val="24"/>
          <w:szCs w:val="24"/>
          <w:rtl/>
        </w:rPr>
        <w:t>שמרת</w:t>
      </w:r>
      <w:r>
        <w:rPr>
          <w:rFonts w:ascii="David" w:hAnsi="David" w:cs="David" w:hint="cs"/>
          <w:sz w:val="24"/>
          <w:szCs w:val="24"/>
          <w:rtl/>
        </w:rPr>
        <w:t xml:space="preserve"> מתוך ודרך ההתרסה נגדם.</w:t>
      </w:r>
      <w:r w:rsidR="00D42302">
        <w:rPr>
          <w:rFonts w:ascii="David" w:hAnsi="David" w:cs="David" w:hint="cs"/>
          <w:sz w:val="24"/>
          <w:szCs w:val="24"/>
          <w:rtl/>
        </w:rPr>
        <w:t xml:space="preserve"> </w:t>
      </w:r>
      <w:r w:rsidR="009A3D90">
        <w:rPr>
          <w:rFonts w:ascii="David" w:hAnsi="David" w:cs="David" w:hint="cs"/>
          <w:sz w:val="24"/>
          <w:szCs w:val="24"/>
          <w:rtl/>
        </w:rPr>
        <w:t>ההתמקדות של פרויד ב-</w:t>
      </w:r>
      <w:r w:rsidR="000A148E">
        <w:rPr>
          <w:rFonts w:ascii="David" w:hAnsi="David" w:cs="David" w:hint="cs"/>
          <w:sz w:val="24"/>
          <w:szCs w:val="24"/>
          <w:rtl/>
        </w:rPr>
        <w:t xml:space="preserve"> </w:t>
      </w:r>
      <w:r w:rsidR="000A148E">
        <w:rPr>
          <w:rFonts w:ascii="David" w:hAnsi="David" w:cs="David"/>
          <w:sz w:val="24"/>
          <w:szCs w:val="24"/>
        </w:rPr>
        <w:t>“normative universe”</w:t>
      </w:r>
      <w:r w:rsidR="009A3D90">
        <w:rPr>
          <w:rFonts w:ascii="David" w:hAnsi="David" w:cs="David" w:hint="cs"/>
          <w:sz w:val="24"/>
          <w:szCs w:val="24"/>
          <w:rtl/>
        </w:rPr>
        <w:t xml:space="preserve"> שבתוכו אנו חיים</w:t>
      </w:r>
      <w:r w:rsidR="000A148E">
        <w:rPr>
          <w:rFonts w:ascii="David" w:hAnsi="David" w:cs="David" w:hint="cs"/>
          <w:sz w:val="24"/>
          <w:szCs w:val="24"/>
          <w:rtl/>
        </w:rPr>
        <w:t xml:space="preserve"> אינה מצביע</w:t>
      </w:r>
      <w:r w:rsidR="000969F7">
        <w:rPr>
          <w:rFonts w:ascii="David" w:hAnsi="David" w:cs="David" w:hint="cs"/>
          <w:sz w:val="24"/>
          <w:szCs w:val="24"/>
          <w:rtl/>
        </w:rPr>
        <w:t>ה</w:t>
      </w:r>
      <w:r w:rsidR="000A148E">
        <w:rPr>
          <w:rFonts w:ascii="David" w:hAnsi="David" w:cs="David" w:hint="cs"/>
          <w:sz w:val="24"/>
          <w:szCs w:val="24"/>
          <w:rtl/>
        </w:rPr>
        <w:t xml:space="preserve"> על התנתקות מהתיאולוגיה, אלא על האופן שב</w:t>
      </w:r>
      <w:r w:rsidR="00C47A39">
        <w:rPr>
          <w:rFonts w:ascii="David" w:hAnsi="David" w:cs="David" w:hint="cs"/>
          <w:sz w:val="24"/>
          <w:szCs w:val="24"/>
          <w:rtl/>
        </w:rPr>
        <w:t>ו פרויד משעין ארגומנטציה פסיכולוגית, המתמקדת ביח</w:t>
      </w:r>
      <w:r w:rsidR="00892AAB">
        <w:rPr>
          <w:rFonts w:ascii="David" w:hAnsi="David" w:cs="David" w:hint="cs"/>
          <w:sz w:val="24"/>
          <w:szCs w:val="24"/>
          <w:rtl/>
        </w:rPr>
        <w:t>סי היחיד עם החברה</w:t>
      </w:r>
      <w:r w:rsidR="00C47A39">
        <w:rPr>
          <w:rFonts w:ascii="David" w:hAnsi="David" w:cs="David" w:hint="cs"/>
          <w:sz w:val="24"/>
          <w:szCs w:val="24"/>
          <w:rtl/>
        </w:rPr>
        <w:t>,</w:t>
      </w:r>
      <w:r w:rsidR="000A148E">
        <w:rPr>
          <w:rFonts w:ascii="David" w:hAnsi="David" w:cs="David" w:hint="cs"/>
          <w:sz w:val="24"/>
          <w:szCs w:val="24"/>
          <w:rtl/>
        </w:rPr>
        <w:t xml:space="preserve"> על </w:t>
      </w:r>
      <w:r w:rsidR="003E39A2">
        <w:rPr>
          <w:rFonts w:ascii="David" w:hAnsi="David" w:cs="David"/>
          <w:sz w:val="24"/>
          <w:szCs w:val="24"/>
          <w:lang w:val="de-DE"/>
        </w:rPr>
        <w:t xml:space="preserve">religious modes of critique </w:t>
      </w:r>
      <w:r w:rsidR="003E39A2">
        <w:rPr>
          <w:rFonts w:ascii="David" w:hAnsi="David" w:cs="David" w:hint="cs"/>
          <w:sz w:val="24"/>
          <w:szCs w:val="24"/>
          <w:rtl/>
        </w:rPr>
        <w:t xml:space="preserve">. </w:t>
      </w:r>
      <w:r w:rsidR="0040421B">
        <w:rPr>
          <w:rFonts w:ascii="David" w:hAnsi="David" w:cs="David" w:hint="cs"/>
          <w:sz w:val="24"/>
          <w:szCs w:val="24"/>
          <w:rtl/>
        </w:rPr>
        <w:t>במסגרת זו הביקורת היא בעלת תפקיד כפ</w:t>
      </w:r>
      <w:r w:rsidR="00892AAB">
        <w:rPr>
          <w:rFonts w:ascii="David" w:hAnsi="David" w:cs="David" w:hint="cs"/>
          <w:sz w:val="24"/>
          <w:szCs w:val="24"/>
          <w:rtl/>
        </w:rPr>
        <w:t>ול: היא מאפשרת פרץ של התנגדות ל</w:t>
      </w:r>
      <w:r w:rsidR="0040421B">
        <w:rPr>
          <w:rFonts w:ascii="David" w:hAnsi="David" w:cs="David" w:hint="cs"/>
          <w:sz w:val="24"/>
          <w:szCs w:val="24"/>
          <w:rtl/>
        </w:rPr>
        <w:t xml:space="preserve">חוק, אך היא עושה זאת </w:t>
      </w:r>
      <w:r w:rsidR="0040421B">
        <w:rPr>
          <w:rFonts w:asciiTheme="majorBidi" w:hAnsiTheme="majorBidi" w:cstheme="majorBidi"/>
          <w:sz w:val="24"/>
          <w:szCs w:val="24"/>
        </w:rPr>
        <w:t>within the terms of the law, in accordance with the idiom of a law that returns upon itself.</w:t>
      </w:r>
    </w:p>
    <w:p w14:paraId="1F5ACBB9" w14:textId="4871D058" w:rsidR="00892AAB" w:rsidRDefault="008F7A7C" w:rsidP="001F34A3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דיאלקטיקה </w:t>
      </w:r>
      <w:r w:rsidR="0040421B">
        <w:rPr>
          <w:rFonts w:ascii="David" w:hAnsi="David" w:cs="David" w:hint="cs"/>
          <w:sz w:val="24"/>
          <w:szCs w:val="24"/>
          <w:rtl/>
        </w:rPr>
        <w:t>דומה</w:t>
      </w:r>
      <w:r w:rsidR="00BE741F">
        <w:rPr>
          <w:rFonts w:ascii="David" w:hAnsi="David" w:cs="David" w:hint="cs"/>
          <w:sz w:val="24"/>
          <w:szCs w:val="24"/>
          <w:rtl/>
        </w:rPr>
        <w:t>,</w:t>
      </w:r>
      <w:r w:rsidR="00C61844">
        <w:rPr>
          <w:rFonts w:ascii="David" w:hAnsi="David" w:cs="David" w:hint="cs"/>
          <w:sz w:val="24"/>
          <w:szCs w:val="24"/>
          <w:rtl/>
        </w:rPr>
        <w:t xml:space="preserve"> הנוגעת להתנגדות ל</w:t>
      </w:r>
      <w:r w:rsidR="00F84E45">
        <w:rPr>
          <w:rFonts w:ascii="David" w:hAnsi="David" w:cs="David" w:hint="cs"/>
          <w:sz w:val="24"/>
          <w:szCs w:val="24"/>
          <w:rtl/>
        </w:rPr>
        <w:t xml:space="preserve">אותו דבר שאותו מבקשים להציל, </w:t>
      </w:r>
      <w:r w:rsidR="0040421B">
        <w:rPr>
          <w:rFonts w:ascii="David" w:hAnsi="David" w:cs="David" w:hint="cs"/>
          <w:sz w:val="24"/>
          <w:szCs w:val="24"/>
          <w:rtl/>
        </w:rPr>
        <w:t>משתקפת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0421B">
        <w:rPr>
          <w:rFonts w:ascii="David" w:hAnsi="David" w:cs="David" w:hint="cs"/>
          <w:sz w:val="24"/>
          <w:szCs w:val="24"/>
          <w:rtl/>
        </w:rPr>
        <w:t>ב</w:t>
      </w:r>
      <w:r w:rsidR="001F34A3">
        <w:rPr>
          <w:rFonts w:ascii="David" w:hAnsi="David" w:cs="David" w:hint="cs"/>
          <w:sz w:val="24"/>
          <w:szCs w:val="24"/>
          <w:rtl/>
        </w:rPr>
        <w:t xml:space="preserve">מה שניתן לכנות </w:t>
      </w:r>
      <w:r w:rsidR="00B55E77">
        <w:rPr>
          <w:rFonts w:ascii="David" w:hAnsi="David" w:cs="David" w:hint="cs"/>
          <w:sz w:val="24"/>
          <w:szCs w:val="24"/>
          <w:rtl/>
        </w:rPr>
        <w:t>-</w:t>
      </w:r>
      <w:r w:rsidR="00B55E77">
        <w:rPr>
          <w:rFonts w:ascii="David" w:hAnsi="David" w:cs="David"/>
          <w:sz w:val="24"/>
          <w:szCs w:val="24"/>
        </w:rPr>
        <w:t>“</w:t>
      </w:r>
      <w:r w:rsidR="00B55E77">
        <w:rPr>
          <w:rFonts w:ascii="David" w:hAnsi="David" w:cs="David"/>
          <w:sz w:val="24"/>
          <w:szCs w:val="24"/>
          <w:lang w:val="de-DE"/>
        </w:rPr>
        <w:t>theology of worldliness</w:t>
      </w:r>
      <w:r w:rsidR="00B55E77">
        <w:rPr>
          <w:rFonts w:ascii="David" w:hAnsi="David" w:cs="David"/>
          <w:sz w:val="24"/>
          <w:szCs w:val="24"/>
        </w:rPr>
        <w:t>”</w:t>
      </w:r>
      <w:r w:rsidR="00B55E77">
        <w:rPr>
          <w:rFonts w:ascii="David" w:hAnsi="David" w:cs="David" w:hint="cs"/>
          <w:sz w:val="24"/>
          <w:szCs w:val="24"/>
          <w:rtl/>
          <w:lang w:val="de-DE"/>
        </w:rPr>
        <w:t xml:space="preserve"> המאפיינת את הוגי התיאוריה הביקורתית.</w:t>
      </w:r>
      <w:r w:rsidR="00B55E77">
        <w:rPr>
          <w:rStyle w:val="FootnoteReference"/>
          <w:rFonts w:ascii="David" w:hAnsi="David" w:cs="David"/>
          <w:sz w:val="24"/>
          <w:szCs w:val="24"/>
          <w:rtl/>
          <w:lang w:val="de-DE"/>
        </w:rPr>
        <w:footnoteReference w:id="13"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E741F">
        <w:rPr>
          <w:rFonts w:ascii="David" w:hAnsi="David" w:cs="David" w:hint="cs"/>
          <w:sz w:val="24"/>
          <w:szCs w:val="24"/>
          <w:rtl/>
        </w:rPr>
        <w:t xml:space="preserve">תיאורית הנעורים של </w:t>
      </w:r>
      <w:r>
        <w:rPr>
          <w:rFonts w:ascii="David" w:hAnsi="David" w:cs="David" w:hint="cs"/>
          <w:sz w:val="24"/>
          <w:szCs w:val="24"/>
          <w:rtl/>
        </w:rPr>
        <w:t>בנימין</w:t>
      </w:r>
      <w:r w:rsidR="00CA3EE4">
        <w:rPr>
          <w:rFonts w:ascii="David" w:hAnsi="David" w:cs="David" w:hint="cs"/>
          <w:sz w:val="24"/>
          <w:szCs w:val="24"/>
          <w:rtl/>
        </w:rPr>
        <w:t>, למשל,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E741F">
        <w:rPr>
          <w:rFonts w:ascii="David" w:hAnsi="David" w:cs="David" w:hint="cs"/>
          <w:sz w:val="24"/>
          <w:szCs w:val="24"/>
          <w:rtl/>
        </w:rPr>
        <w:t>מצביעה על "מיסטיקה של העולם הזה", כלומר על ניסוח</w:t>
      </w:r>
      <w:r w:rsidR="00B55E77">
        <w:rPr>
          <w:rFonts w:ascii="David" w:hAnsi="David" w:cs="David" w:hint="cs"/>
          <w:sz w:val="24"/>
          <w:szCs w:val="24"/>
          <w:rtl/>
        </w:rPr>
        <w:t xml:space="preserve"> מחדש מושגים תיאולוגיים במסגרת ביקורת חברתית</w:t>
      </w:r>
      <w:r w:rsidR="00892AAB">
        <w:rPr>
          <w:rFonts w:ascii="David" w:hAnsi="David" w:cs="David" w:hint="cs"/>
          <w:sz w:val="24"/>
          <w:szCs w:val="24"/>
          <w:rtl/>
        </w:rPr>
        <w:t xml:space="preserve">. </w:t>
      </w:r>
      <w:r w:rsidR="00B55E77">
        <w:rPr>
          <w:rFonts w:ascii="David" w:hAnsi="David" w:cs="David" w:hint="cs"/>
          <w:sz w:val="24"/>
          <w:szCs w:val="24"/>
          <w:rtl/>
        </w:rPr>
        <w:t xml:space="preserve">במסגרת כזו </w:t>
      </w:r>
      <w:r w:rsidR="00CA3EE4">
        <w:rPr>
          <w:rFonts w:ascii="David" w:hAnsi="David" w:cs="David" w:hint="cs"/>
          <w:sz w:val="24"/>
          <w:szCs w:val="24"/>
          <w:rtl/>
        </w:rPr>
        <w:t xml:space="preserve"> </w:t>
      </w:r>
      <w:r w:rsidR="00CA3EE4">
        <w:rPr>
          <w:rFonts w:ascii="David" w:hAnsi="David" w:cs="David"/>
          <w:sz w:val="24"/>
          <w:szCs w:val="24"/>
          <w:lang w:val="de-DE"/>
        </w:rPr>
        <w:t xml:space="preserve">the </w:t>
      </w:r>
      <w:r w:rsidR="00CA3EE4">
        <w:rPr>
          <w:rFonts w:ascii="David" w:hAnsi="David" w:cs="David"/>
          <w:sz w:val="24"/>
          <w:szCs w:val="24"/>
        </w:rPr>
        <w:t>“nothingness”</w:t>
      </w:r>
      <w:r w:rsidR="00B55E77">
        <w:rPr>
          <w:rFonts w:ascii="David" w:hAnsi="David" w:cs="David"/>
          <w:sz w:val="24"/>
          <w:szCs w:val="24"/>
        </w:rPr>
        <w:t xml:space="preserve"> of a purely transcendent god informs the liberation from all social and political enslaving circumstances </w:t>
      </w:r>
      <w:r w:rsidR="00892AAB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FE10E1">
        <w:rPr>
          <w:rFonts w:ascii="David" w:hAnsi="David" w:cs="David" w:hint="cs"/>
          <w:sz w:val="24"/>
          <w:szCs w:val="24"/>
          <w:rtl/>
        </w:rPr>
        <w:t xml:space="preserve">בנימין </w:t>
      </w:r>
      <w:r w:rsidR="00892AAB">
        <w:rPr>
          <w:rFonts w:ascii="David" w:hAnsi="David" w:cs="David" w:hint="cs"/>
          <w:sz w:val="24"/>
          <w:szCs w:val="24"/>
          <w:rtl/>
        </w:rPr>
        <w:t xml:space="preserve">מאמץ את המושג </w:t>
      </w:r>
      <w:r w:rsidR="0040421B">
        <w:rPr>
          <w:rFonts w:ascii="David" w:hAnsi="David" w:cs="David" w:hint="cs"/>
          <w:sz w:val="24"/>
          <w:szCs w:val="24"/>
          <w:rtl/>
        </w:rPr>
        <w:t xml:space="preserve">המיסטי </w:t>
      </w:r>
      <w:r w:rsidR="00892AAB">
        <w:rPr>
          <w:rFonts w:ascii="David" w:hAnsi="David" w:cs="David" w:hint="cs"/>
          <w:sz w:val="24"/>
          <w:szCs w:val="24"/>
          <w:rtl/>
        </w:rPr>
        <w:t>של אל</w:t>
      </w:r>
      <w:r w:rsidR="00FE10E1">
        <w:rPr>
          <w:rFonts w:ascii="David" w:hAnsi="David" w:cs="David" w:hint="cs"/>
          <w:sz w:val="24"/>
          <w:szCs w:val="24"/>
          <w:rtl/>
        </w:rPr>
        <w:t xml:space="preserve"> טרנסצנדנטי</w:t>
      </w:r>
      <w:r w:rsidR="0040421B">
        <w:rPr>
          <w:rFonts w:ascii="David" w:hAnsi="David" w:cs="David" w:hint="cs"/>
          <w:sz w:val="24"/>
          <w:szCs w:val="24"/>
          <w:rtl/>
        </w:rPr>
        <w:t xml:space="preserve"> באופן כל כך מוחלט</w:t>
      </w:r>
      <w:r w:rsidR="00892AAB">
        <w:rPr>
          <w:rFonts w:ascii="David" w:hAnsi="David" w:cs="David" w:hint="cs"/>
          <w:sz w:val="24"/>
          <w:szCs w:val="24"/>
          <w:rtl/>
        </w:rPr>
        <w:t>,</w:t>
      </w:r>
      <w:r w:rsidR="0040421B">
        <w:rPr>
          <w:rFonts w:ascii="David" w:hAnsi="David" w:cs="David" w:hint="cs"/>
          <w:sz w:val="24"/>
          <w:szCs w:val="24"/>
          <w:rtl/>
        </w:rPr>
        <w:t xml:space="preserve"> </w:t>
      </w:r>
      <w:r w:rsidR="00FE10E1">
        <w:rPr>
          <w:rFonts w:ascii="David" w:hAnsi="David" w:cs="David" w:hint="cs"/>
          <w:sz w:val="24"/>
          <w:szCs w:val="24"/>
          <w:rtl/>
        </w:rPr>
        <w:t>ש</w:t>
      </w:r>
      <w:r w:rsidR="0040421B">
        <w:rPr>
          <w:rFonts w:ascii="David" w:hAnsi="David" w:cs="David" w:hint="cs"/>
          <w:sz w:val="24"/>
          <w:szCs w:val="24"/>
          <w:rtl/>
        </w:rPr>
        <w:t xml:space="preserve">הוא </w:t>
      </w:r>
      <w:r w:rsidR="00FE10E1">
        <w:rPr>
          <w:rFonts w:ascii="David" w:hAnsi="David" w:cs="David" w:hint="cs"/>
          <w:sz w:val="24"/>
          <w:szCs w:val="24"/>
          <w:rtl/>
        </w:rPr>
        <w:t>יכול להיות בשל כך מיוצג רק על ידי מושג של "איין"</w:t>
      </w:r>
      <w:r w:rsidR="00C15AB5">
        <w:rPr>
          <w:rFonts w:ascii="David" w:hAnsi="David" w:cs="David" w:hint="cs"/>
          <w:sz w:val="24"/>
          <w:szCs w:val="24"/>
          <w:rtl/>
        </w:rPr>
        <w:t xml:space="preserve"> </w:t>
      </w:r>
      <w:r w:rsidR="00C15AB5">
        <w:rPr>
          <w:rFonts w:ascii="David" w:hAnsi="David" w:cs="David"/>
          <w:sz w:val="24"/>
          <w:szCs w:val="24"/>
        </w:rPr>
        <w:t>(nothingness)</w:t>
      </w:r>
      <w:r w:rsidR="00FE10E1">
        <w:rPr>
          <w:rFonts w:ascii="David" w:hAnsi="David" w:cs="David" w:hint="cs"/>
          <w:sz w:val="24"/>
          <w:szCs w:val="24"/>
          <w:rtl/>
        </w:rPr>
        <w:t>. אבל עניינו של בנימין נעוץ</w:t>
      </w:r>
      <w:r w:rsidR="00892AAB">
        <w:rPr>
          <w:rFonts w:ascii="David" w:hAnsi="David" w:cs="David" w:hint="cs"/>
          <w:sz w:val="24"/>
          <w:szCs w:val="24"/>
          <w:rtl/>
        </w:rPr>
        <w:t xml:space="preserve"> בסופו של חשבון</w:t>
      </w:r>
      <w:r w:rsidR="00FE10E1">
        <w:rPr>
          <w:rFonts w:ascii="David" w:hAnsi="David" w:cs="David" w:hint="cs"/>
          <w:sz w:val="24"/>
          <w:szCs w:val="24"/>
          <w:rtl/>
        </w:rPr>
        <w:t xml:space="preserve"> באופן שבו תחום זה מעגן את </w:t>
      </w:r>
      <w:r w:rsidR="001F7ED0">
        <w:rPr>
          <w:rFonts w:ascii="David" w:hAnsi="David" w:cs="David" w:hint="cs"/>
          <w:sz w:val="24"/>
          <w:szCs w:val="24"/>
          <w:rtl/>
        </w:rPr>
        <w:t xml:space="preserve">עצם </w:t>
      </w:r>
      <w:r w:rsidR="00FE10E1">
        <w:rPr>
          <w:rFonts w:ascii="David" w:hAnsi="David" w:cs="David" w:hint="cs"/>
          <w:sz w:val="24"/>
          <w:szCs w:val="24"/>
          <w:rtl/>
        </w:rPr>
        <w:t xml:space="preserve">האפשרות של ביקורת חברתית. </w:t>
      </w:r>
      <w:r w:rsidR="00892AAB">
        <w:rPr>
          <w:rFonts w:ascii="David" w:hAnsi="David" w:cs="David" w:hint="cs"/>
          <w:sz w:val="24"/>
          <w:szCs w:val="24"/>
          <w:rtl/>
        </w:rPr>
        <w:t>במיוחד תיאורית הנעורים של בנימין יכולה להחשב</w:t>
      </w:r>
      <w:r w:rsidR="001F7ED0">
        <w:rPr>
          <w:rFonts w:ascii="David" w:hAnsi="David" w:cs="David" w:hint="cs"/>
          <w:sz w:val="24"/>
          <w:szCs w:val="24"/>
          <w:rtl/>
        </w:rPr>
        <w:t xml:space="preserve">, אפוא, שדה ניסויים </w:t>
      </w:r>
      <w:r w:rsidR="00892AAB">
        <w:rPr>
          <w:rFonts w:ascii="David" w:hAnsi="David" w:cs="David" w:hint="cs"/>
          <w:sz w:val="24"/>
          <w:szCs w:val="24"/>
          <w:rtl/>
        </w:rPr>
        <w:t>ראשון שב</w:t>
      </w:r>
      <w:r w:rsidR="001F34A3">
        <w:rPr>
          <w:rFonts w:ascii="David" w:hAnsi="David" w:cs="David" w:hint="cs"/>
          <w:sz w:val="24"/>
          <w:szCs w:val="24"/>
          <w:rtl/>
        </w:rPr>
        <w:t>ו בנימין מעצב את</w:t>
      </w:r>
      <w:r w:rsidR="00625DE4">
        <w:rPr>
          <w:rFonts w:ascii="David" w:hAnsi="David" w:cs="David" w:hint="cs"/>
          <w:sz w:val="24"/>
          <w:szCs w:val="24"/>
          <w:rtl/>
        </w:rPr>
        <w:t xml:space="preserve"> מושג</w:t>
      </w:r>
      <w:r w:rsidR="001F34A3">
        <w:rPr>
          <w:rFonts w:ascii="David" w:hAnsi="David" w:cs="David" w:hint="cs"/>
          <w:sz w:val="24"/>
          <w:szCs w:val="24"/>
          <w:rtl/>
        </w:rPr>
        <w:t xml:space="preserve"> הביקורת </w:t>
      </w:r>
      <w:r w:rsidR="00625DE4">
        <w:rPr>
          <w:rFonts w:ascii="David" w:hAnsi="David" w:cs="David" w:hint="cs"/>
          <w:sz w:val="24"/>
          <w:szCs w:val="24"/>
          <w:rtl/>
        </w:rPr>
        <w:t>שליוו אותו במהלך חייו</w:t>
      </w:r>
      <w:r w:rsidR="009A3D90">
        <w:rPr>
          <w:rFonts w:ascii="David" w:hAnsi="David" w:cs="David" w:hint="cs"/>
          <w:sz w:val="24"/>
          <w:szCs w:val="24"/>
          <w:rtl/>
        </w:rPr>
        <w:t xml:space="preserve">. </w:t>
      </w:r>
      <w:r w:rsidR="00892AAB">
        <w:rPr>
          <w:rFonts w:ascii="David" w:hAnsi="David" w:cs="David" w:hint="cs"/>
          <w:sz w:val="24"/>
          <w:szCs w:val="24"/>
          <w:rtl/>
        </w:rPr>
        <w:t xml:space="preserve">אין להכחיש כי </w:t>
      </w:r>
      <w:r w:rsidR="00B55E77">
        <w:rPr>
          <w:rFonts w:ascii="David" w:hAnsi="David" w:cs="David" w:hint="cs"/>
          <w:sz w:val="24"/>
          <w:szCs w:val="24"/>
          <w:rtl/>
        </w:rPr>
        <w:t>ב</w:t>
      </w:r>
      <w:r w:rsidR="00F84E45">
        <w:rPr>
          <w:rFonts w:ascii="David" w:hAnsi="David" w:cs="David" w:hint="cs"/>
          <w:sz w:val="24"/>
          <w:szCs w:val="24"/>
          <w:rtl/>
        </w:rPr>
        <w:t xml:space="preserve">ביקורת </w:t>
      </w:r>
      <w:r w:rsidR="00500307">
        <w:rPr>
          <w:rFonts w:ascii="David" w:hAnsi="David" w:cs="David" w:hint="cs"/>
          <w:sz w:val="24"/>
          <w:szCs w:val="24"/>
          <w:rtl/>
        </w:rPr>
        <w:t xml:space="preserve">חברתית </w:t>
      </w:r>
      <w:r w:rsidR="009A3D90">
        <w:rPr>
          <w:rFonts w:ascii="David" w:hAnsi="David" w:cs="David" w:hint="cs"/>
          <w:sz w:val="24"/>
          <w:szCs w:val="24"/>
          <w:rtl/>
        </w:rPr>
        <w:t xml:space="preserve">שבנימין הצעיר מציע </w:t>
      </w:r>
      <w:r w:rsidR="00892AAB">
        <w:rPr>
          <w:rFonts w:ascii="David" w:hAnsi="David" w:cs="David" w:hint="cs"/>
          <w:sz w:val="24"/>
          <w:szCs w:val="24"/>
          <w:rtl/>
        </w:rPr>
        <w:t>מדובר</w:t>
      </w:r>
      <w:r w:rsidR="00AF4004">
        <w:rPr>
          <w:rFonts w:ascii="David" w:hAnsi="David" w:cs="David" w:hint="cs"/>
          <w:sz w:val="24"/>
          <w:szCs w:val="24"/>
          <w:rtl/>
        </w:rPr>
        <w:t xml:space="preserve"> </w:t>
      </w:r>
      <w:r w:rsidR="00AC4B06">
        <w:rPr>
          <w:rFonts w:ascii="David" w:hAnsi="David" w:cs="David" w:hint="cs"/>
          <w:sz w:val="24"/>
          <w:szCs w:val="24"/>
          <w:rtl/>
        </w:rPr>
        <w:t xml:space="preserve">בחילון </w:t>
      </w:r>
      <w:r w:rsidR="00AC4B06">
        <w:rPr>
          <w:rFonts w:ascii="David" w:hAnsi="David" w:cs="David" w:hint="cs"/>
          <w:sz w:val="24"/>
          <w:szCs w:val="24"/>
          <w:rtl/>
        </w:rPr>
        <w:lastRenderedPageBreak/>
        <w:t>התיאולוגיה</w:t>
      </w:r>
      <w:r w:rsidR="0040421B">
        <w:rPr>
          <w:rFonts w:ascii="David" w:hAnsi="David" w:cs="David" w:hint="cs"/>
          <w:sz w:val="24"/>
          <w:szCs w:val="24"/>
          <w:rtl/>
        </w:rPr>
        <w:t xml:space="preserve">. </w:t>
      </w:r>
      <w:r w:rsidR="00892AAB">
        <w:rPr>
          <w:rFonts w:ascii="David" w:hAnsi="David" w:cs="David" w:hint="cs"/>
          <w:sz w:val="24"/>
          <w:szCs w:val="24"/>
          <w:rtl/>
        </w:rPr>
        <w:t>ברם</w:t>
      </w:r>
      <w:r w:rsidR="00AC4B06">
        <w:rPr>
          <w:rFonts w:ascii="David" w:hAnsi="David" w:cs="David" w:hint="cs"/>
          <w:sz w:val="24"/>
          <w:szCs w:val="24"/>
          <w:rtl/>
        </w:rPr>
        <w:t xml:space="preserve"> </w:t>
      </w:r>
      <w:r w:rsidR="0040421B">
        <w:rPr>
          <w:rFonts w:ascii="David" w:hAnsi="David" w:cs="David" w:hint="cs"/>
          <w:sz w:val="24"/>
          <w:szCs w:val="24"/>
          <w:rtl/>
        </w:rPr>
        <w:t xml:space="preserve">מדובר בה במידה </w:t>
      </w:r>
      <w:r w:rsidR="00AC4B06">
        <w:rPr>
          <w:rFonts w:ascii="David" w:hAnsi="David" w:cs="David" w:hint="cs"/>
          <w:sz w:val="24"/>
          <w:szCs w:val="24"/>
          <w:rtl/>
        </w:rPr>
        <w:t>ב</w:t>
      </w:r>
      <w:r w:rsidR="00F84E45">
        <w:rPr>
          <w:rFonts w:ascii="David" w:hAnsi="David" w:cs="David" w:hint="cs"/>
          <w:sz w:val="24"/>
          <w:szCs w:val="24"/>
          <w:rtl/>
        </w:rPr>
        <w:t>אחיזה, כלומר ב</w:t>
      </w:r>
      <w:r w:rsidR="00CA3EE4">
        <w:rPr>
          <w:rFonts w:ascii="David" w:hAnsi="David" w:cs="David" w:hint="cs"/>
          <w:sz w:val="24"/>
          <w:szCs w:val="24"/>
          <w:rtl/>
        </w:rPr>
        <w:t xml:space="preserve">הצלה של ה- </w:t>
      </w:r>
      <w:r w:rsidR="00CA3EE4">
        <w:rPr>
          <w:rFonts w:ascii="David" w:hAnsi="David" w:cs="David"/>
          <w:sz w:val="24"/>
          <w:szCs w:val="24"/>
          <w:lang w:val="de-DE"/>
        </w:rPr>
        <w:t>spiritual investement</w:t>
      </w:r>
      <w:r w:rsidR="00CA3EE4">
        <w:rPr>
          <w:rFonts w:ascii="David" w:hAnsi="David" w:cs="David" w:hint="cs"/>
          <w:sz w:val="24"/>
          <w:szCs w:val="24"/>
          <w:rtl/>
          <w:lang w:val="de-DE"/>
        </w:rPr>
        <w:t xml:space="preserve"> בעולם</w:t>
      </w:r>
      <w:r w:rsidR="00F84E45">
        <w:rPr>
          <w:rFonts w:ascii="David" w:hAnsi="David" w:cs="David" w:hint="cs"/>
          <w:sz w:val="24"/>
          <w:szCs w:val="24"/>
          <w:rtl/>
        </w:rPr>
        <w:t>, שבלעדיו הביקורת אינה אפשרית.</w:t>
      </w:r>
      <w:r w:rsidR="00CB21D3">
        <w:rPr>
          <w:rFonts w:ascii="David" w:hAnsi="David" w:cs="David" w:hint="cs"/>
          <w:sz w:val="24"/>
          <w:szCs w:val="24"/>
          <w:rtl/>
        </w:rPr>
        <w:t xml:space="preserve"> </w:t>
      </w:r>
      <w:r w:rsidR="001F34A3">
        <w:rPr>
          <w:rFonts w:ascii="David" w:hAnsi="David" w:cs="David" w:hint="cs"/>
          <w:sz w:val="24"/>
          <w:szCs w:val="24"/>
          <w:rtl/>
        </w:rPr>
        <w:t xml:space="preserve">גם כאן הביקורת היא </w:t>
      </w:r>
      <w:r w:rsidR="00892AAB">
        <w:rPr>
          <w:rFonts w:ascii="David" w:hAnsi="David" w:cs="David" w:hint="cs"/>
          <w:sz w:val="24"/>
          <w:szCs w:val="24"/>
          <w:rtl/>
        </w:rPr>
        <w:t>אימננטי</w:t>
      </w:r>
      <w:r w:rsidR="001F34A3">
        <w:rPr>
          <w:rFonts w:ascii="David" w:hAnsi="David" w:cs="David" w:hint="cs"/>
          <w:sz w:val="24"/>
          <w:szCs w:val="24"/>
          <w:rtl/>
        </w:rPr>
        <w:t>ת</w:t>
      </w:r>
      <w:r w:rsidR="00892AAB">
        <w:rPr>
          <w:rFonts w:ascii="David" w:hAnsi="David" w:cs="David" w:hint="cs"/>
          <w:sz w:val="24"/>
          <w:szCs w:val="24"/>
          <w:rtl/>
        </w:rPr>
        <w:t xml:space="preserve"> </w:t>
      </w:r>
      <w:r w:rsidR="00892AAB">
        <w:rPr>
          <w:rFonts w:ascii="David" w:hAnsi="David" w:cs="David"/>
          <w:sz w:val="24"/>
          <w:szCs w:val="24"/>
          <w:rtl/>
        </w:rPr>
        <w:t>–</w:t>
      </w:r>
      <w:r w:rsidR="00892AAB">
        <w:rPr>
          <w:rFonts w:ascii="David" w:hAnsi="David" w:cs="David" w:hint="cs"/>
          <w:sz w:val="24"/>
          <w:szCs w:val="24"/>
          <w:rtl/>
        </w:rPr>
        <w:t xml:space="preserve"> היא אינה מגיעה מחוץ לעולם המושגים הדתי במטרה להשתחרר ממנו, אלא מתוך עולם המושגים הדתי שכנגדו היא</w:t>
      </w:r>
      <w:r w:rsidR="00FA6676">
        <w:rPr>
          <w:rFonts w:ascii="David" w:hAnsi="David" w:cs="David" w:hint="cs"/>
          <w:sz w:val="24"/>
          <w:szCs w:val="24"/>
          <w:rtl/>
        </w:rPr>
        <w:t>,</w:t>
      </w:r>
      <w:r w:rsidR="00892AAB">
        <w:rPr>
          <w:rFonts w:ascii="David" w:hAnsi="David" w:cs="David" w:hint="cs"/>
          <w:sz w:val="24"/>
          <w:szCs w:val="24"/>
          <w:rtl/>
        </w:rPr>
        <w:t xml:space="preserve"> </w:t>
      </w:r>
      <w:r w:rsidR="00FA6676">
        <w:rPr>
          <w:rFonts w:ascii="David" w:hAnsi="David" w:cs="David" w:hint="cs"/>
          <w:sz w:val="24"/>
          <w:szCs w:val="24"/>
          <w:rtl/>
        </w:rPr>
        <w:t xml:space="preserve">בה בעת, </w:t>
      </w:r>
      <w:r w:rsidR="00892AAB">
        <w:rPr>
          <w:rFonts w:ascii="David" w:hAnsi="David" w:cs="David" w:hint="cs"/>
          <w:sz w:val="24"/>
          <w:szCs w:val="24"/>
          <w:rtl/>
        </w:rPr>
        <w:t xml:space="preserve">פועלת. </w:t>
      </w:r>
    </w:p>
    <w:p w14:paraId="450F82AA" w14:textId="7BB6F5F1" w:rsidR="00E82B07" w:rsidRPr="00AF4004" w:rsidRDefault="00E82B07" w:rsidP="001F34A3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אני סבור </w:t>
      </w:r>
      <w:r w:rsidR="003B4BB1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>תפישת החינוך של אדורנ</w:t>
      </w:r>
      <w:r w:rsidR="0007743E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במחצית השנ</w:t>
      </w:r>
      <w:r w:rsidR="00C61844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יה של המאה העשרים</w:t>
      </w:r>
      <w:r w:rsidR="00FA6676">
        <w:rPr>
          <w:rFonts w:ascii="David" w:hAnsi="David" w:cs="David" w:hint="cs"/>
          <w:sz w:val="24"/>
          <w:szCs w:val="24"/>
          <w:rtl/>
        </w:rPr>
        <w:t xml:space="preserve"> </w:t>
      </w:r>
      <w:r w:rsidR="00625DE4">
        <w:rPr>
          <w:rFonts w:ascii="David" w:hAnsi="David" w:cs="David" w:hint="cs"/>
          <w:sz w:val="24"/>
          <w:szCs w:val="24"/>
          <w:rtl/>
        </w:rPr>
        <w:t>חשובה להבנה משום שהיא</w:t>
      </w:r>
      <w:r w:rsidR="00FA6676">
        <w:rPr>
          <w:rFonts w:ascii="David" w:hAnsi="David" w:cs="David" w:hint="cs"/>
          <w:sz w:val="24"/>
          <w:szCs w:val="24"/>
          <w:rtl/>
        </w:rPr>
        <w:t xml:space="preserve"> ממשיכה את קו מחשבה זה, ובתוך כך</w:t>
      </w:r>
      <w:r w:rsidR="00625DE4">
        <w:rPr>
          <w:rFonts w:ascii="David" w:hAnsi="David" w:cs="David" w:hint="cs"/>
          <w:sz w:val="24"/>
          <w:szCs w:val="24"/>
          <w:rtl/>
        </w:rPr>
        <w:t xml:space="preserve"> חושפת כיצד</w:t>
      </w:r>
      <w:r w:rsidR="009A3D90">
        <w:rPr>
          <w:rFonts w:ascii="David" w:hAnsi="David" w:cs="David" w:hint="cs"/>
          <w:sz w:val="24"/>
          <w:szCs w:val="24"/>
          <w:rtl/>
        </w:rPr>
        <w:t xml:space="preserve"> </w:t>
      </w:r>
      <w:r w:rsidR="001F34A3">
        <w:rPr>
          <w:rFonts w:ascii="David" w:hAnsi="David" w:cs="David" w:hint="cs"/>
          <w:sz w:val="24"/>
          <w:szCs w:val="24"/>
          <w:rtl/>
        </w:rPr>
        <w:t xml:space="preserve">תיאוריה ביקורתית מהווה, לפחות בהקשר החינוכי, תיאולוגיה ביקורתית. </w:t>
      </w:r>
      <w:r w:rsidR="0007743E">
        <w:rPr>
          <w:rFonts w:ascii="David" w:hAnsi="David" w:cs="David" w:hint="cs"/>
          <w:sz w:val="24"/>
          <w:szCs w:val="24"/>
          <w:rtl/>
        </w:rPr>
        <w:t>מ</w:t>
      </w:r>
      <w:r w:rsidR="0040421B">
        <w:rPr>
          <w:rFonts w:ascii="David" w:hAnsi="David" w:cs="David" w:hint="cs"/>
          <w:sz w:val="24"/>
          <w:szCs w:val="24"/>
          <w:rtl/>
        </w:rPr>
        <w:t>חד</w:t>
      </w:r>
      <w:r w:rsidR="0007743E">
        <w:rPr>
          <w:rFonts w:ascii="David" w:hAnsi="David" w:cs="David" w:hint="cs"/>
          <w:sz w:val="24"/>
          <w:szCs w:val="24"/>
          <w:rtl/>
        </w:rPr>
        <w:t xml:space="preserve">, </w:t>
      </w:r>
      <w:r w:rsidR="00500307">
        <w:rPr>
          <w:rFonts w:ascii="David" w:hAnsi="David" w:cs="David" w:hint="cs"/>
          <w:sz w:val="24"/>
          <w:szCs w:val="24"/>
          <w:rtl/>
        </w:rPr>
        <w:t>רפלקציה עצמית ביקורתית</w:t>
      </w:r>
      <w:r w:rsidR="00B33F34">
        <w:rPr>
          <w:rFonts w:ascii="David" w:hAnsi="David" w:cs="David" w:hint="cs"/>
          <w:sz w:val="24"/>
          <w:szCs w:val="24"/>
          <w:rtl/>
        </w:rPr>
        <w:t>, שאדורנו מייחס לחינוך,</w:t>
      </w:r>
      <w:r w:rsidR="0050030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ממוקדת בעולם הזה</w:t>
      </w:r>
      <w:r w:rsidR="00C61844">
        <w:rPr>
          <w:rFonts w:ascii="David" w:hAnsi="David" w:cs="David" w:hint="cs"/>
          <w:sz w:val="24"/>
          <w:szCs w:val="24"/>
          <w:rtl/>
        </w:rPr>
        <w:t xml:space="preserve"> משום </w:t>
      </w:r>
      <w:r w:rsidR="00892AAB">
        <w:rPr>
          <w:rFonts w:ascii="David" w:hAnsi="David" w:cs="David" w:hint="cs"/>
          <w:sz w:val="24"/>
          <w:szCs w:val="24"/>
          <w:rtl/>
        </w:rPr>
        <w:t xml:space="preserve">שעניינה </w:t>
      </w:r>
      <w:r w:rsidR="008406CA">
        <w:rPr>
          <w:rFonts w:ascii="David" w:hAnsi="David" w:cs="David" w:hint="cs"/>
          <w:sz w:val="24"/>
          <w:szCs w:val="24"/>
          <w:rtl/>
        </w:rPr>
        <w:t xml:space="preserve">היחיד </w:t>
      </w:r>
      <w:r w:rsidR="00892AAB">
        <w:rPr>
          <w:rFonts w:ascii="David" w:hAnsi="David" w:cs="David" w:hint="cs"/>
          <w:sz w:val="24"/>
          <w:szCs w:val="24"/>
          <w:rtl/>
        </w:rPr>
        <w:t>של הביקורת הוא "אמנציפציה מהתנאים החברתיים המשעבדים". בצורתה הזו, הביקורת שאותה אמור החינוך להביא לידי ביטוי, מ</w:t>
      </w:r>
      <w:r w:rsidR="00500307">
        <w:rPr>
          <w:rFonts w:ascii="David" w:hAnsi="David" w:cs="David" w:hint="cs"/>
          <w:sz w:val="24"/>
          <w:szCs w:val="24"/>
          <w:rtl/>
        </w:rPr>
        <w:t>ובחנת מה</w:t>
      </w:r>
      <w:r w:rsidR="00C61844">
        <w:rPr>
          <w:rFonts w:ascii="David" w:hAnsi="David" w:cs="David" w:hint="cs"/>
          <w:sz w:val="24"/>
          <w:szCs w:val="24"/>
          <w:rtl/>
        </w:rPr>
        <w:t>נסיגה ל-</w:t>
      </w:r>
      <w:r w:rsidR="00500307">
        <w:rPr>
          <w:rFonts w:ascii="David" w:hAnsi="David" w:cs="David"/>
          <w:sz w:val="24"/>
          <w:szCs w:val="24"/>
        </w:rPr>
        <w:t>“pure inwardness”</w:t>
      </w:r>
      <w:r w:rsidR="00500307">
        <w:rPr>
          <w:rFonts w:ascii="David" w:hAnsi="David" w:cs="David" w:hint="cs"/>
          <w:sz w:val="24"/>
          <w:szCs w:val="24"/>
          <w:rtl/>
        </w:rPr>
        <w:t xml:space="preserve"> </w:t>
      </w:r>
      <w:r w:rsidR="00B33F34">
        <w:rPr>
          <w:rFonts w:ascii="David" w:hAnsi="David" w:cs="David" w:hint="cs"/>
          <w:sz w:val="24"/>
          <w:szCs w:val="24"/>
          <w:rtl/>
        </w:rPr>
        <w:t xml:space="preserve">המרכזית </w:t>
      </w:r>
      <w:r w:rsidR="00C61844">
        <w:rPr>
          <w:rFonts w:ascii="David" w:hAnsi="David" w:cs="David" w:hint="cs"/>
          <w:sz w:val="24"/>
          <w:szCs w:val="24"/>
          <w:rtl/>
        </w:rPr>
        <w:t xml:space="preserve">לתיאולוגיה הביקורתית של </w:t>
      </w:r>
      <w:r w:rsidR="00500307">
        <w:rPr>
          <w:rFonts w:ascii="David" w:hAnsi="David" w:cs="David" w:hint="cs"/>
          <w:sz w:val="24"/>
          <w:szCs w:val="24"/>
          <w:rtl/>
        </w:rPr>
        <w:t>קירקגור</w:t>
      </w:r>
      <w:r w:rsidR="00B33F34">
        <w:rPr>
          <w:rFonts w:ascii="David" w:hAnsi="David" w:cs="David" w:hint="cs"/>
          <w:sz w:val="24"/>
          <w:szCs w:val="24"/>
          <w:rtl/>
        </w:rPr>
        <w:t>.</w:t>
      </w:r>
      <w:r w:rsidR="0040421B">
        <w:rPr>
          <w:rFonts w:ascii="David" w:hAnsi="David" w:cs="David" w:hint="cs"/>
          <w:sz w:val="24"/>
          <w:szCs w:val="24"/>
          <w:rtl/>
        </w:rPr>
        <w:t xml:space="preserve"> </w:t>
      </w:r>
      <w:r w:rsidR="0007743E">
        <w:rPr>
          <w:rFonts w:ascii="David" w:hAnsi="David" w:cs="David" w:hint="cs"/>
          <w:sz w:val="24"/>
          <w:szCs w:val="24"/>
          <w:rtl/>
        </w:rPr>
        <w:t xml:space="preserve">מצד שני ביקורת כזו </w:t>
      </w:r>
      <w:r w:rsidR="00D774C9">
        <w:rPr>
          <w:rFonts w:ascii="David" w:hAnsi="David" w:cs="David" w:hint="cs"/>
          <w:sz w:val="24"/>
          <w:szCs w:val="24"/>
          <w:rtl/>
        </w:rPr>
        <w:t>אינה מהווה שיחרור מהתיאולוגיה, אלא מודל ל-</w:t>
      </w:r>
      <w:r w:rsidR="0050030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lang w:val="de-DE"/>
        </w:rPr>
        <w:t>reconceptualization of theological concepts</w:t>
      </w:r>
      <w:r w:rsidR="0007743E">
        <w:rPr>
          <w:rFonts w:ascii="David" w:hAnsi="David" w:cs="David"/>
          <w:sz w:val="24"/>
          <w:szCs w:val="24"/>
        </w:rPr>
        <w:t xml:space="preserve"> </w:t>
      </w:r>
      <w:r w:rsidR="00D774C9">
        <w:rPr>
          <w:rFonts w:ascii="David" w:hAnsi="David" w:cs="David" w:hint="cs"/>
          <w:sz w:val="24"/>
          <w:szCs w:val="24"/>
          <w:rtl/>
        </w:rPr>
        <w:t>, דהיינו מודל המ</w:t>
      </w:r>
      <w:r w:rsidR="008406CA">
        <w:rPr>
          <w:rFonts w:ascii="David" w:hAnsi="David" w:cs="David" w:hint="cs"/>
          <w:sz w:val="24"/>
          <w:szCs w:val="24"/>
          <w:rtl/>
        </w:rPr>
        <w:t>ה</w:t>
      </w:r>
      <w:r w:rsidR="00D774C9">
        <w:rPr>
          <w:rFonts w:ascii="David" w:hAnsi="David" w:cs="David" w:hint="cs"/>
          <w:sz w:val="24"/>
          <w:szCs w:val="24"/>
          <w:rtl/>
        </w:rPr>
        <w:t xml:space="preserve">ווה 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עבור אדורנו </w:t>
      </w:r>
      <w:r w:rsidR="00D774C9">
        <w:rPr>
          <w:rFonts w:ascii="David" w:hAnsi="David" w:cs="David" w:hint="cs"/>
          <w:sz w:val="24"/>
          <w:szCs w:val="24"/>
          <w:rtl/>
          <w:lang w:val="de-DE"/>
        </w:rPr>
        <w:t xml:space="preserve">את </w:t>
      </w:r>
      <w:r>
        <w:rPr>
          <w:rFonts w:ascii="David" w:hAnsi="David" w:cs="David" w:hint="cs"/>
          <w:sz w:val="24"/>
          <w:szCs w:val="24"/>
          <w:rtl/>
          <w:lang w:val="de-DE"/>
        </w:rPr>
        <w:t>הדרך היחידה ש</w:t>
      </w:r>
      <w:r w:rsidR="0007743E">
        <w:rPr>
          <w:rFonts w:ascii="David" w:hAnsi="David" w:cs="David" w:hint="cs"/>
          <w:sz w:val="24"/>
          <w:szCs w:val="24"/>
          <w:rtl/>
          <w:lang w:val="de-DE"/>
        </w:rPr>
        <w:t xml:space="preserve">עוד </w:t>
      </w:r>
      <w:r>
        <w:rPr>
          <w:rFonts w:ascii="David" w:hAnsi="David" w:cs="David" w:hint="cs"/>
          <w:sz w:val="24"/>
          <w:szCs w:val="24"/>
          <w:rtl/>
          <w:lang w:val="de-DE"/>
        </w:rPr>
        <w:t>נותרה</w:t>
      </w:r>
      <w:r w:rsidR="0007743E">
        <w:rPr>
          <w:rFonts w:ascii="David" w:hAnsi="David" w:cs="David" w:hint="cs"/>
          <w:sz w:val="24"/>
          <w:szCs w:val="24"/>
          <w:rtl/>
          <w:lang w:val="de-DE"/>
        </w:rPr>
        <w:t xml:space="preserve"> לנו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  <w:r w:rsidR="00500307">
        <w:rPr>
          <w:rFonts w:ascii="David" w:hAnsi="David" w:cs="David" w:hint="cs"/>
          <w:sz w:val="24"/>
          <w:szCs w:val="24"/>
          <w:rtl/>
        </w:rPr>
        <w:t>להציל את התיאולוגיה שאותה הביקורת</w:t>
      </w:r>
      <w:r>
        <w:rPr>
          <w:rFonts w:ascii="David" w:hAnsi="David" w:cs="David" w:hint="cs"/>
          <w:sz w:val="24"/>
          <w:szCs w:val="24"/>
          <w:rtl/>
        </w:rPr>
        <w:t xml:space="preserve"> באה להחליף.</w:t>
      </w:r>
      <w:r w:rsidR="00C46D98">
        <w:rPr>
          <w:rFonts w:ascii="David" w:hAnsi="David" w:cs="David" w:hint="cs"/>
          <w:sz w:val="24"/>
          <w:szCs w:val="24"/>
          <w:rtl/>
        </w:rPr>
        <w:t xml:space="preserve"> </w:t>
      </w:r>
      <w:r w:rsidR="00C46D98" w:rsidRPr="00C46D98">
        <w:rPr>
          <w:rFonts w:ascii="David" w:hAnsi="David" w:cs="David" w:hint="cs"/>
          <w:sz w:val="24"/>
          <w:szCs w:val="24"/>
          <w:rtl/>
        </w:rPr>
        <w:t>במיוחד במושג הביקורת של אדורנו</w:t>
      </w:r>
      <w:r w:rsidR="00C46D98" w:rsidRPr="00C46D98">
        <w:rPr>
          <w:rFonts w:ascii="David" w:hAnsi="David" w:cs="David"/>
          <w:sz w:val="24"/>
          <w:szCs w:val="24"/>
          <w:rtl/>
        </w:rPr>
        <w:t xml:space="preserve"> </w:t>
      </w:r>
      <w:r w:rsidR="00C46D98" w:rsidRPr="00C46D98">
        <w:rPr>
          <w:rFonts w:ascii="David" w:hAnsi="David" w:cs="David"/>
          <w:sz w:val="24"/>
          <w:szCs w:val="24"/>
          <w:lang w:val="de-DE"/>
        </w:rPr>
        <w:t>The nothingness of revelation</w:t>
      </w:r>
      <w:r w:rsidR="00C46D98" w:rsidRPr="00C46D98">
        <w:rPr>
          <w:rFonts w:ascii="David" w:hAnsi="David" w:cs="David"/>
          <w:sz w:val="24"/>
          <w:szCs w:val="24"/>
          <w:rtl/>
        </w:rPr>
        <w:t xml:space="preserve"> </w:t>
      </w:r>
      <w:r w:rsidR="00C46D98" w:rsidRPr="00C46D98">
        <w:rPr>
          <w:rFonts w:ascii="David" w:hAnsi="David" w:cs="David" w:hint="cs"/>
          <w:sz w:val="24"/>
          <w:szCs w:val="24"/>
          <w:rtl/>
        </w:rPr>
        <w:t>(</w:t>
      </w:r>
      <w:r w:rsidR="00C46D98" w:rsidRPr="00C46D98">
        <w:rPr>
          <w:rFonts w:ascii="David" w:hAnsi="David" w:cs="David"/>
          <w:sz w:val="24"/>
          <w:szCs w:val="24"/>
          <w:rtl/>
        </w:rPr>
        <w:t xml:space="preserve">כפי שכינה זאת </w:t>
      </w:r>
      <w:r w:rsidR="00C46D98">
        <w:rPr>
          <w:rFonts w:ascii="David" w:hAnsi="David" w:cs="David" w:hint="cs"/>
          <w:sz w:val="24"/>
          <w:szCs w:val="24"/>
          <w:rtl/>
        </w:rPr>
        <w:t xml:space="preserve">גרשם </w:t>
      </w:r>
      <w:r w:rsidR="00C46D98" w:rsidRPr="00C46D98">
        <w:rPr>
          <w:rFonts w:ascii="David" w:hAnsi="David" w:cs="David"/>
          <w:sz w:val="24"/>
          <w:szCs w:val="24"/>
          <w:rtl/>
        </w:rPr>
        <w:t>שולם</w:t>
      </w:r>
      <w:r w:rsidR="00C46D98" w:rsidRPr="00C46D98">
        <w:rPr>
          <w:rFonts w:ascii="David" w:hAnsi="David" w:cs="David" w:hint="cs"/>
          <w:sz w:val="24"/>
          <w:szCs w:val="24"/>
          <w:rtl/>
        </w:rPr>
        <w:t>)</w:t>
      </w:r>
      <w:r w:rsidR="00C46D98" w:rsidRPr="00C46D98">
        <w:rPr>
          <w:rFonts w:ascii="David" w:hAnsi="David" w:cs="David"/>
          <w:sz w:val="24"/>
          <w:szCs w:val="24"/>
          <w:rtl/>
        </w:rPr>
        <w:t>,</w:t>
      </w:r>
      <w:r w:rsidR="00C46D98" w:rsidRPr="00C46D98">
        <w:rPr>
          <w:rFonts w:ascii="David" w:hAnsi="David" w:cs="David" w:hint="cs"/>
          <w:sz w:val="24"/>
          <w:szCs w:val="24"/>
          <w:rtl/>
        </w:rPr>
        <w:t xml:space="preserve"> </w:t>
      </w:r>
      <w:r w:rsidR="00C46D98" w:rsidRPr="00C46D98">
        <w:rPr>
          <w:rFonts w:ascii="David" w:hAnsi="David" w:cs="David"/>
          <w:sz w:val="24"/>
          <w:szCs w:val="24"/>
          <w:rtl/>
        </w:rPr>
        <w:t xml:space="preserve">  </w:t>
      </w:r>
      <w:r w:rsidR="00C46D98" w:rsidRPr="00C46D98">
        <w:rPr>
          <w:rFonts w:ascii="David" w:hAnsi="David" w:cs="David"/>
          <w:sz w:val="24"/>
          <w:szCs w:val="24"/>
          <w:lang w:val="de-DE"/>
        </w:rPr>
        <w:t xml:space="preserve">is </w:t>
      </w:r>
      <w:r w:rsidR="00C46D98" w:rsidRPr="00C46D98">
        <w:rPr>
          <w:rFonts w:ascii="David" w:hAnsi="David" w:cs="David"/>
          <w:sz w:val="24"/>
          <w:szCs w:val="24"/>
        </w:rPr>
        <w:t xml:space="preserve">realized by not being realized </w:t>
      </w:r>
      <w:r w:rsidR="00C46D98">
        <w:rPr>
          <w:rFonts w:ascii="David" w:hAnsi="David" w:cs="David" w:hint="cs"/>
          <w:sz w:val="24"/>
          <w:szCs w:val="24"/>
          <w:rtl/>
        </w:rPr>
        <w:t xml:space="preserve"> ו</w:t>
      </w:r>
      <w:r w:rsidR="0007743E">
        <w:rPr>
          <w:rFonts w:ascii="David" w:hAnsi="David" w:cs="David" w:hint="cs"/>
          <w:sz w:val="24"/>
          <w:szCs w:val="24"/>
          <w:rtl/>
        </w:rPr>
        <w:t>גם כאן מדובר בחילון התי</w:t>
      </w:r>
      <w:r w:rsidR="00625DE4">
        <w:rPr>
          <w:rFonts w:ascii="David" w:hAnsi="David" w:cs="David" w:hint="cs"/>
          <w:sz w:val="24"/>
          <w:szCs w:val="24"/>
          <w:rtl/>
        </w:rPr>
        <w:t>אולוגיה שהוא, בה במידה, שימורה.</w:t>
      </w:r>
      <w:r w:rsidR="008406CA">
        <w:rPr>
          <w:rFonts w:ascii="David" w:hAnsi="David" w:cs="David" w:hint="cs"/>
          <w:sz w:val="24"/>
          <w:szCs w:val="24"/>
          <w:rtl/>
        </w:rPr>
        <w:t xml:space="preserve"> </w:t>
      </w:r>
      <w:r w:rsidR="00AF4004">
        <w:rPr>
          <w:rFonts w:ascii="David" w:hAnsi="David" w:cs="David" w:hint="cs"/>
          <w:sz w:val="24"/>
          <w:szCs w:val="24"/>
          <w:rtl/>
        </w:rPr>
        <w:t>אני מסכים</w:t>
      </w:r>
      <w:r w:rsidR="00FA6676">
        <w:rPr>
          <w:rFonts w:ascii="David" w:hAnsi="David" w:cs="David" w:hint="cs"/>
          <w:sz w:val="24"/>
          <w:szCs w:val="24"/>
          <w:rtl/>
        </w:rPr>
        <w:t>,</w:t>
      </w:r>
      <w:r w:rsidR="00AF4004">
        <w:rPr>
          <w:rFonts w:ascii="David" w:hAnsi="David" w:cs="David" w:hint="cs"/>
          <w:sz w:val="24"/>
          <w:szCs w:val="24"/>
          <w:rtl/>
        </w:rPr>
        <w:t xml:space="preserve"> ב</w:t>
      </w:r>
      <w:r w:rsidR="00625DE4">
        <w:rPr>
          <w:rFonts w:ascii="David" w:hAnsi="David" w:cs="David" w:hint="cs"/>
          <w:sz w:val="24"/>
          <w:szCs w:val="24"/>
          <w:rtl/>
        </w:rPr>
        <w:t>מידה רבה</w:t>
      </w:r>
      <w:r w:rsidR="00FA6676">
        <w:rPr>
          <w:rFonts w:ascii="David" w:hAnsi="David" w:cs="David" w:hint="cs"/>
          <w:sz w:val="24"/>
          <w:szCs w:val="24"/>
          <w:rtl/>
        </w:rPr>
        <w:t>,</w:t>
      </w:r>
      <w:r w:rsidR="00625DE4">
        <w:rPr>
          <w:rFonts w:ascii="David" w:hAnsi="David" w:cs="David" w:hint="cs"/>
          <w:sz w:val="24"/>
          <w:szCs w:val="24"/>
          <w:rtl/>
        </w:rPr>
        <w:t xml:space="preserve"> עם הטענה</w:t>
      </w:r>
      <w:r w:rsidR="001F34A3">
        <w:rPr>
          <w:rFonts w:ascii="David" w:hAnsi="David" w:cs="David" w:hint="cs"/>
          <w:sz w:val="24"/>
          <w:szCs w:val="24"/>
          <w:rtl/>
        </w:rPr>
        <w:t xml:space="preserve"> כי אצל אדורנו </w:t>
      </w:r>
      <w:r>
        <w:rPr>
          <w:rFonts w:ascii="David" w:hAnsi="David" w:cs="David" w:hint="cs"/>
          <w:sz w:val="24"/>
          <w:szCs w:val="24"/>
          <w:rtl/>
        </w:rPr>
        <w:t xml:space="preserve">מושגים דתיים עוברים טרנספורמציה, במסגרתה הם 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hAnsi="David" w:cs="David"/>
          <w:sz w:val="24"/>
          <w:szCs w:val="24"/>
          <w:shd w:val="clear" w:color="auto" w:fill="FFFFFF"/>
        </w:rPr>
        <w:t>“evacuated of all metaphysical authority”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>.</w:t>
      </w:r>
      <w:r>
        <w:rPr>
          <w:rStyle w:val="FootnoteReference"/>
          <w:rFonts w:ascii="David" w:hAnsi="David" w:cs="David"/>
          <w:sz w:val="24"/>
          <w:szCs w:val="24"/>
          <w:shd w:val="clear" w:color="auto" w:fill="FFFFFF"/>
          <w:rtl/>
        </w:rPr>
        <w:footnoteReference w:id="14"/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אך </w:t>
      </w:r>
      <w:r w:rsidR="001F34A3">
        <w:rPr>
          <w:rFonts w:ascii="David" w:hAnsi="David" w:cs="David" w:hint="cs"/>
          <w:sz w:val="24"/>
          <w:szCs w:val="24"/>
          <w:shd w:val="clear" w:color="auto" w:fill="FFFFFF"/>
          <w:rtl/>
        </w:rPr>
        <w:t>נרא</w:t>
      </w:r>
      <w:r w:rsidR="00FA6676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ה לי כי נכון לא פחות לומר כי </w:t>
      </w:r>
      <w:r w:rsidR="001F34A3">
        <w:rPr>
          <w:rFonts w:ascii="David" w:hAnsi="David" w:cs="David" w:hint="cs"/>
          <w:sz w:val="24"/>
          <w:szCs w:val="24"/>
          <w:shd w:val="clear" w:color="auto" w:fill="FFFFFF"/>
          <w:rtl/>
        </w:rPr>
        <w:t>מטרתו של אדורנו הי</w:t>
      </w:r>
      <w:r w:rsidR="00500307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א למצוא בצורה כזו את 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>ה</w:t>
      </w:r>
      <w:r>
        <w:rPr>
          <w:rFonts w:ascii="David" w:hAnsi="David" w:cs="David" w:hint="cs"/>
          <w:sz w:val="24"/>
          <w:szCs w:val="24"/>
          <w:shd w:val="clear" w:color="auto" w:fill="FFFFFF"/>
          <w:rtl/>
          <w:lang w:val="de-DE"/>
        </w:rPr>
        <w:t xml:space="preserve">דרך היחידה האפשרית </w:t>
      </w:r>
      <w:r>
        <w:rPr>
          <w:rFonts w:ascii="David" w:hAnsi="David" w:cs="David"/>
          <w:sz w:val="24"/>
          <w:szCs w:val="24"/>
          <w:shd w:val="clear" w:color="auto" w:fill="FFFFFF"/>
          <w:lang w:val="de-DE"/>
        </w:rPr>
        <w:t xml:space="preserve">not to </w:t>
      </w:r>
      <w:r>
        <w:rPr>
          <w:rFonts w:ascii="David" w:hAnsi="David" w:cs="David"/>
          <w:sz w:val="24"/>
          <w:szCs w:val="24"/>
          <w:shd w:val="clear" w:color="auto" w:fill="FFFFFF"/>
        </w:rPr>
        <w:t>lose</w:t>
      </w:r>
      <w:r>
        <w:rPr>
          <w:rFonts w:ascii="David" w:hAnsi="David" w:cs="David"/>
          <w:sz w:val="24"/>
          <w:szCs w:val="24"/>
          <w:shd w:val="clear" w:color="auto" w:fill="FFFFFF"/>
          <w:lang w:val="de-DE"/>
        </w:rPr>
        <w:t xml:space="preserve"> sight of such </w:t>
      </w:r>
      <w:r w:rsidR="00AF4004">
        <w:rPr>
          <w:rFonts w:ascii="David" w:hAnsi="David" w:cs="David"/>
          <w:sz w:val="24"/>
          <w:szCs w:val="24"/>
          <w:shd w:val="clear" w:color="auto" w:fill="FFFFFF"/>
          <w:lang w:val="de-DE"/>
        </w:rPr>
        <w:t xml:space="preserve">an </w:t>
      </w:r>
      <w:r>
        <w:rPr>
          <w:rFonts w:ascii="David" w:hAnsi="David" w:cs="David"/>
          <w:sz w:val="24"/>
          <w:szCs w:val="24"/>
          <w:shd w:val="clear" w:color="auto" w:fill="FFFFFF"/>
          <w:lang w:val="de-DE"/>
        </w:rPr>
        <w:t>authority</w:t>
      </w:r>
      <w:r>
        <w:rPr>
          <w:rFonts w:ascii="David" w:hAnsi="David" w:cs="David" w:hint="cs"/>
          <w:sz w:val="24"/>
          <w:szCs w:val="24"/>
          <w:shd w:val="clear" w:color="auto" w:fill="FFFFFF"/>
          <w:rtl/>
          <w:lang w:val="de-DE"/>
        </w:rPr>
        <w:t>.</w:t>
      </w:r>
      <w:r w:rsidR="00BC3249">
        <w:rPr>
          <w:rFonts w:ascii="David" w:hAnsi="David" w:cs="David" w:hint="cs"/>
          <w:sz w:val="24"/>
          <w:szCs w:val="24"/>
          <w:shd w:val="clear" w:color="auto" w:fill="FFFFFF"/>
          <w:rtl/>
          <w:lang w:val="de-DE"/>
        </w:rPr>
        <w:t xml:space="preserve"> כ</w:t>
      </w:r>
      <w:r w:rsidR="00AF4004">
        <w:rPr>
          <w:rFonts w:ascii="David" w:hAnsi="David" w:cs="David" w:hint="cs"/>
          <w:sz w:val="24"/>
          <w:szCs w:val="24"/>
          <w:shd w:val="clear" w:color="auto" w:fill="FFFFFF"/>
          <w:rtl/>
          <w:lang w:val="de-DE"/>
        </w:rPr>
        <w:t xml:space="preserve">אשר אדורנו מציע את </w:t>
      </w:r>
      <w:r w:rsidR="00AF4004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ה- </w:t>
      </w:r>
      <w:r w:rsidR="00AF4004">
        <w:rPr>
          <w:rFonts w:ascii="David" w:hAnsi="David" w:cs="David"/>
          <w:sz w:val="24"/>
          <w:szCs w:val="24"/>
          <w:shd w:val="clear" w:color="auto" w:fill="FFFFFF"/>
        </w:rPr>
        <w:t>“</w:t>
      </w:r>
      <w:r w:rsidR="00564F50">
        <w:rPr>
          <w:rFonts w:ascii="David" w:hAnsi="David" w:cs="David"/>
          <w:sz w:val="24"/>
          <w:szCs w:val="24"/>
          <w:shd w:val="clear" w:color="auto" w:fill="FFFFFF"/>
          <w:lang w:val="de-DE"/>
        </w:rPr>
        <w:t>migration in</w:t>
      </w:r>
      <w:r w:rsidR="00AF4004">
        <w:rPr>
          <w:rFonts w:ascii="David" w:hAnsi="David" w:cs="David"/>
          <w:sz w:val="24"/>
          <w:szCs w:val="24"/>
          <w:shd w:val="clear" w:color="auto" w:fill="FFFFFF"/>
          <w:lang w:val="de-DE"/>
        </w:rPr>
        <w:t xml:space="preserve"> the profane“ </w:t>
      </w:r>
      <w:r w:rsidR="00AF4004">
        <w:rPr>
          <w:rFonts w:ascii="David" w:hAnsi="David" w:cs="David"/>
          <w:sz w:val="24"/>
          <w:szCs w:val="24"/>
          <w:shd w:val="clear" w:color="auto" w:fill="FFFFFF"/>
        </w:rPr>
        <w:t>(</w:t>
      </w:r>
      <w:r w:rsidR="00AF4004" w:rsidRPr="00AF4004">
        <w:rPr>
          <w:rFonts w:ascii="David" w:hAnsi="David" w:cs="David"/>
          <w:i/>
          <w:iCs/>
          <w:sz w:val="24"/>
          <w:szCs w:val="24"/>
          <w:shd w:val="clear" w:color="auto" w:fill="FFFFFF"/>
        </w:rPr>
        <w:t>Einwanderung ins Profane</w:t>
      </w:r>
      <w:r w:rsidR="00AF4004">
        <w:rPr>
          <w:rFonts w:ascii="David" w:hAnsi="David" w:cs="David"/>
          <w:sz w:val="24"/>
          <w:szCs w:val="24"/>
          <w:shd w:val="clear" w:color="auto" w:fill="FFFFFF"/>
        </w:rPr>
        <w:t>)</w:t>
      </w:r>
      <w:r w:rsidR="00AF4004">
        <w:rPr>
          <w:rFonts w:ascii="David" w:hAnsi="David" w:cs="David" w:hint="cs"/>
          <w:sz w:val="24"/>
          <w:szCs w:val="24"/>
          <w:shd w:val="clear" w:color="auto" w:fill="FFFFFF"/>
          <w:rtl/>
          <w:lang w:val="de-DE"/>
        </w:rPr>
        <w:t>, הוא אינו מבקש רק לוותר על התחו</w:t>
      </w:r>
      <w:r w:rsidR="00D774C9">
        <w:rPr>
          <w:rFonts w:ascii="David" w:hAnsi="David" w:cs="David" w:hint="cs"/>
          <w:sz w:val="24"/>
          <w:szCs w:val="24"/>
          <w:shd w:val="clear" w:color="auto" w:fill="FFFFFF"/>
          <w:rtl/>
          <w:lang w:val="de-DE"/>
        </w:rPr>
        <w:t>ם האלוהי, אלא ל</w:t>
      </w:r>
      <w:r w:rsidR="00AF4004">
        <w:rPr>
          <w:rFonts w:ascii="David" w:hAnsi="David" w:cs="David" w:hint="cs"/>
          <w:sz w:val="24"/>
          <w:szCs w:val="24"/>
          <w:shd w:val="clear" w:color="auto" w:fill="FFFFFF"/>
          <w:rtl/>
          <w:lang w:val="de-DE"/>
        </w:rPr>
        <w:t>הגן עליו</w:t>
      </w:r>
      <w:r w:rsidR="00D774C9">
        <w:rPr>
          <w:rFonts w:ascii="David" w:hAnsi="David" w:cs="David" w:hint="cs"/>
          <w:sz w:val="24"/>
          <w:szCs w:val="24"/>
          <w:shd w:val="clear" w:color="auto" w:fill="FFFFFF"/>
          <w:rtl/>
          <w:lang w:val="de-DE"/>
        </w:rPr>
        <w:t xml:space="preserve"> תחת התנאים של היעלמותו</w:t>
      </w:r>
      <w:r w:rsidR="00AF4004">
        <w:rPr>
          <w:rFonts w:ascii="David" w:hAnsi="David" w:cs="David" w:hint="cs"/>
          <w:sz w:val="24"/>
          <w:szCs w:val="24"/>
          <w:shd w:val="clear" w:color="auto" w:fill="FFFFFF"/>
          <w:rtl/>
          <w:lang w:val="de-DE"/>
        </w:rPr>
        <w:t xml:space="preserve">. </w:t>
      </w:r>
      <w:r>
        <w:rPr>
          <w:rFonts w:ascii="David" w:hAnsi="David" w:cs="David" w:hint="cs"/>
          <w:sz w:val="24"/>
          <w:szCs w:val="24"/>
          <w:shd w:val="clear" w:color="auto" w:fill="FFFFFF"/>
          <w:rtl/>
          <w:lang w:val="de-DE"/>
        </w:rPr>
        <w:t>ה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מורכבות הזו </w:t>
      </w:r>
      <w:r>
        <w:rPr>
          <w:rFonts w:ascii="David" w:hAnsi="David" w:cs="David"/>
          <w:sz w:val="24"/>
          <w:szCs w:val="24"/>
          <w:shd w:val="clear" w:color="auto" w:fill="FFFFFF"/>
          <w:rtl/>
        </w:rPr>
        <w:t>–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לוותר על החומר התיאולוגי, במטרה אבל להציל אותו </w:t>
      </w:r>
      <w:r>
        <w:rPr>
          <w:rFonts w:ascii="David" w:hAnsi="David" w:cs="David"/>
          <w:sz w:val="24"/>
          <w:szCs w:val="24"/>
          <w:shd w:val="clear" w:color="auto" w:fill="FFFFFF"/>
          <w:rtl/>
        </w:rPr>
        <w:t>–</w:t>
      </w:r>
      <w:r w:rsidR="00500307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מגדירה את הממד הביקורתי בחינוך כדרך היחידה שנותרה לנו </w:t>
      </w:r>
      <w:r>
        <w:rPr>
          <w:rFonts w:ascii="David" w:hAnsi="David" w:cs="David"/>
          <w:sz w:val="24"/>
          <w:szCs w:val="24"/>
          <w:lang w:val="de-DE"/>
        </w:rPr>
        <w:t>to hold to the unholdable godly object</w:t>
      </w:r>
      <w:r w:rsidR="003B4BB1">
        <w:rPr>
          <w:rFonts w:ascii="David" w:hAnsi="David" w:cs="David" w:hint="cs"/>
          <w:sz w:val="24"/>
          <w:szCs w:val="24"/>
          <w:rtl/>
          <w:lang w:val="de-DE"/>
        </w:rPr>
        <w:t xml:space="preserve"> שהיה מרכזי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 גם עבור בנימין, ושאליוט וולפסון למשל זיהה עם </w:t>
      </w:r>
      <w:r>
        <w:rPr>
          <w:rFonts w:ascii="David" w:hAnsi="David" w:cs="David"/>
          <w:sz w:val="24"/>
          <w:szCs w:val="24"/>
          <w:lang w:val="de-DE"/>
        </w:rPr>
        <w:t xml:space="preserve">Jewish messianic </w:t>
      </w:r>
      <w:r>
        <w:rPr>
          <w:rFonts w:ascii="David" w:hAnsi="David" w:cs="David"/>
          <w:sz w:val="24"/>
          <w:szCs w:val="24"/>
        </w:rPr>
        <w:t xml:space="preserve">“passion for the impossible”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  <w:r w:rsidRPr="00461B3C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</w:p>
    <w:p w14:paraId="189C93C3" w14:textId="6190D29A" w:rsidR="00BC3249" w:rsidRDefault="00EF505D" w:rsidP="008110A3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="003D0F8B">
        <w:rPr>
          <w:rFonts w:ascii="David" w:hAnsi="David" w:cs="David" w:hint="cs"/>
          <w:sz w:val="24"/>
          <w:szCs w:val="24"/>
          <w:rtl/>
        </w:rPr>
        <w:t>כל הקשור</w:t>
      </w:r>
      <w:r>
        <w:rPr>
          <w:rFonts w:ascii="David" w:hAnsi="David" w:cs="David" w:hint="cs"/>
          <w:sz w:val="24"/>
          <w:szCs w:val="24"/>
          <w:rtl/>
        </w:rPr>
        <w:t xml:space="preserve"> ל</w:t>
      </w:r>
      <w:r w:rsidRPr="004E757A">
        <w:rPr>
          <w:rFonts w:ascii="David" w:hAnsi="David" w:cs="David"/>
          <w:sz w:val="24"/>
          <w:szCs w:val="24"/>
          <w:rtl/>
        </w:rPr>
        <w:t xml:space="preserve">התמקדות </w:t>
      </w:r>
      <w:r w:rsidR="00BE741F">
        <w:rPr>
          <w:rFonts w:ascii="David" w:hAnsi="David" w:cs="David" w:hint="cs"/>
          <w:sz w:val="24"/>
          <w:szCs w:val="24"/>
          <w:rtl/>
        </w:rPr>
        <w:t>בעולם הזה, ביקורת התיאולוגיה</w:t>
      </w:r>
      <w:r w:rsidR="00500307">
        <w:rPr>
          <w:rFonts w:ascii="David" w:hAnsi="David" w:cs="David"/>
          <w:sz w:val="24"/>
          <w:szCs w:val="24"/>
          <w:rtl/>
        </w:rPr>
        <w:t xml:space="preserve"> </w:t>
      </w:r>
      <w:r w:rsidR="00500307">
        <w:rPr>
          <w:rFonts w:ascii="David" w:hAnsi="David" w:cs="David" w:hint="cs"/>
          <w:sz w:val="24"/>
          <w:szCs w:val="24"/>
          <w:rtl/>
        </w:rPr>
        <w:t xml:space="preserve">המשתקפת מהכתבים הפוליטיים של ארנדט </w:t>
      </w:r>
      <w:r w:rsidR="00BE741F">
        <w:rPr>
          <w:rFonts w:ascii="David" w:hAnsi="David" w:cs="David" w:hint="cs"/>
          <w:sz w:val="24"/>
          <w:szCs w:val="24"/>
          <w:rtl/>
        </w:rPr>
        <w:t>היא אולי</w:t>
      </w:r>
      <w:r w:rsidR="00FA5D2A">
        <w:rPr>
          <w:rFonts w:ascii="David" w:hAnsi="David" w:cs="David" w:hint="cs"/>
          <w:sz w:val="24"/>
          <w:szCs w:val="24"/>
          <w:rtl/>
        </w:rPr>
        <w:t xml:space="preserve"> יוצאת הדופן </w:t>
      </w:r>
      <w:r w:rsidR="00C61844">
        <w:rPr>
          <w:rFonts w:ascii="David" w:hAnsi="David" w:cs="David" w:hint="cs"/>
          <w:sz w:val="24"/>
          <w:szCs w:val="24"/>
          <w:rtl/>
        </w:rPr>
        <w:t>ביותר. מי שנחשבת להוגה החילוני</w:t>
      </w:r>
      <w:r w:rsidR="0040421B">
        <w:rPr>
          <w:rFonts w:ascii="David" w:hAnsi="David" w:cs="David" w:hint="cs"/>
          <w:sz w:val="24"/>
          <w:szCs w:val="24"/>
          <w:rtl/>
        </w:rPr>
        <w:t>ת ביותר של תקופתה</w:t>
      </w:r>
      <w:r w:rsidR="00694C0B">
        <w:rPr>
          <w:rFonts w:ascii="David" w:hAnsi="David" w:cs="David" w:hint="cs"/>
          <w:sz w:val="24"/>
          <w:szCs w:val="24"/>
          <w:rtl/>
        </w:rPr>
        <w:t>, שלה</w:t>
      </w:r>
      <w:r w:rsidR="00AF4004">
        <w:rPr>
          <w:rFonts w:ascii="David" w:hAnsi="David" w:cs="David" w:hint="cs"/>
          <w:sz w:val="24"/>
          <w:szCs w:val="24"/>
          <w:rtl/>
        </w:rPr>
        <w:t xml:space="preserve"> אין לכאורה שום עניין בארומה התיאולוגית שאפפה את </w:t>
      </w:r>
      <w:r w:rsidR="00694C0B">
        <w:rPr>
          <w:rFonts w:ascii="David" w:hAnsi="David" w:cs="David" w:hint="cs"/>
          <w:sz w:val="24"/>
          <w:szCs w:val="24"/>
          <w:rtl/>
        </w:rPr>
        <w:t>מלאכת העיון והכתיבה של</w:t>
      </w:r>
      <w:r w:rsidR="003C7AB3">
        <w:rPr>
          <w:rFonts w:ascii="David" w:hAnsi="David" w:cs="David" w:hint="cs"/>
          <w:sz w:val="24"/>
          <w:szCs w:val="24"/>
          <w:rtl/>
        </w:rPr>
        <w:t xml:space="preserve"> רבים מ</w:t>
      </w:r>
      <w:r w:rsidR="00694C0B">
        <w:rPr>
          <w:rFonts w:ascii="David" w:hAnsi="David" w:cs="David" w:hint="cs"/>
          <w:sz w:val="24"/>
          <w:szCs w:val="24"/>
          <w:rtl/>
        </w:rPr>
        <w:t>בני דורה,</w:t>
      </w:r>
      <w:r w:rsidR="0040421B">
        <w:rPr>
          <w:rFonts w:ascii="David" w:hAnsi="David" w:cs="David" w:hint="cs"/>
          <w:sz w:val="24"/>
          <w:szCs w:val="24"/>
          <w:rtl/>
        </w:rPr>
        <w:t xml:space="preserve"> מבססת</w:t>
      </w:r>
      <w:r w:rsidR="003C7AB3">
        <w:rPr>
          <w:rFonts w:ascii="David" w:hAnsi="David" w:cs="David" w:hint="cs"/>
          <w:sz w:val="24"/>
          <w:szCs w:val="24"/>
          <w:rtl/>
        </w:rPr>
        <w:t xml:space="preserve"> בכל זאת</w:t>
      </w:r>
      <w:r w:rsidR="00C61844">
        <w:rPr>
          <w:rFonts w:ascii="David" w:hAnsi="David" w:cs="David" w:hint="cs"/>
          <w:sz w:val="24"/>
          <w:szCs w:val="24"/>
          <w:rtl/>
        </w:rPr>
        <w:t xml:space="preserve"> </w:t>
      </w:r>
      <w:r w:rsidR="00BC3249">
        <w:rPr>
          <w:rFonts w:ascii="David" w:hAnsi="David" w:cs="David" w:hint="cs"/>
          <w:sz w:val="24"/>
          <w:szCs w:val="24"/>
          <w:rtl/>
        </w:rPr>
        <w:t xml:space="preserve">מושג של ביקורת ושל </w:t>
      </w:r>
      <w:r w:rsidR="00BC3249">
        <w:rPr>
          <w:rFonts w:ascii="David" w:hAnsi="David" w:cs="David"/>
          <w:sz w:val="24"/>
          <w:szCs w:val="24"/>
        </w:rPr>
        <w:t>a new order of the world</w:t>
      </w:r>
      <w:r w:rsidR="00625DE4">
        <w:rPr>
          <w:rFonts w:ascii="David" w:hAnsi="David" w:cs="David" w:hint="cs"/>
          <w:sz w:val="24"/>
          <w:szCs w:val="24"/>
          <w:rtl/>
        </w:rPr>
        <w:t xml:space="preserve"> על</w:t>
      </w:r>
      <w:r w:rsidR="0040421B">
        <w:rPr>
          <w:rFonts w:ascii="David" w:hAnsi="David" w:cs="David" w:hint="cs"/>
          <w:sz w:val="24"/>
          <w:szCs w:val="24"/>
          <w:rtl/>
        </w:rPr>
        <w:t xml:space="preserve"> </w:t>
      </w:r>
      <w:r w:rsidR="00C61844">
        <w:rPr>
          <w:rFonts w:ascii="David" w:hAnsi="David" w:cs="David" w:hint="cs"/>
          <w:sz w:val="24"/>
          <w:szCs w:val="24"/>
          <w:rtl/>
        </w:rPr>
        <w:t>ה</w:t>
      </w:r>
      <w:r w:rsidR="0040421B">
        <w:rPr>
          <w:rFonts w:ascii="David" w:hAnsi="David" w:cs="David" w:hint="cs"/>
          <w:sz w:val="24"/>
          <w:szCs w:val="24"/>
          <w:rtl/>
        </w:rPr>
        <w:t>מסורת ה</w:t>
      </w:r>
      <w:r w:rsidR="00C61844">
        <w:rPr>
          <w:rFonts w:ascii="David" w:hAnsi="David" w:cs="David" w:hint="cs"/>
          <w:sz w:val="24"/>
          <w:szCs w:val="24"/>
          <w:rtl/>
        </w:rPr>
        <w:t xml:space="preserve">תיאולוגית הרומית. </w:t>
      </w:r>
      <w:r w:rsidR="00FE10E1">
        <w:rPr>
          <w:rFonts w:ascii="David" w:hAnsi="David" w:cs="David" w:hint="cs"/>
          <w:sz w:val="24"/>
          <w:szCs w:val="24"/>
          <w:rtl/>
        </w:rPr>
        <w:t xml:space="preserve">בכך </w:t>
      </w:r>
      <w:r w:rsidR="003B4BB1">
        <w:rPr>
          <w:rFonts w:ascii="David" w:hAnsi="David" w:cs="David" w:hint="cs"/>
          <w:sz w:val="24"/>
          <w:szCs w:val="24"/>
          <w:rtl/>
        </w:rPr>
        <w:t>נעוצה</w:t>
      </w:r>
      <w:r w:rsidR="008406CA">
        <w:rPr>
          <w:rFonts w:ascii="David" w:hAnsi="David" w:cs="David" w:hint="cs"/>
          <w:sz w:val="24"/>
          <w:szCs w:val="24"/>
          <w:rtl/>
        </w:rPr>
        <w:t>, אבל, גם</w:t>
      </w:r>
      <w:r w:rsidR="003B4BB1">
        <w:rPr>
          <w:rFonts w:ascii="David" w:hAnsi="David" w:cs="David" w:hint="cs"/>
          <w:sz w:val="24"/>
          <w:szCs w:val="24"/>
          <w:rtl/>
        </w:rPr>
        <w:t xml:space="preserve"> טענה בדבר</w:t>
      </w:r>
      <w:r w:rsidR="008406CA">
        <w:rPr>
          <w:rFonts w:ascii="David" w:hAnsi="David" w:cs="David" w:hint="cs"/>
          <w:sz w:val="24"/>
          <w:szCs w:val="24"/>
          <w:rtl/>
        </w:rPr>
        <w:t xml:space="preserve"> </w:t>
      </w:r>
      <w:r w:rsidR="008110A3">
        <w:rPr>
          <w:rFonts w:ascii="David" w:hAnsi="David" w:cs="David" w:hint="cs"/>
          <w:sz w:val="24"/>
          <w:szCs w:val="24"/>
          <w:rtl/>
        </w:rPr>
        <w:t xml:space="preserve">ייחודה </w:t>
      </w:r>
      <w:r w:rsidR="00FE10E1">
        <w:rPr>
          <w:rFonts w:ascii="David" w:hAnsi="David" w:cs="David" w:hint="cs"/>
          <w:sz w:val="24"/>
          <w:szCs w:val="24"/>
          <w:rtl/>
        </w:rPr>
        <w:t>של ארנדט</w:t>
      </w:r>
      <w:r w:rsidR="00BC3249">
        <w:rPr>
          <w:rFonts w:ascii="David" w:hAnsi="David" w:cs="David" w:hint="cs"/>
          <w:sz w:val="24"/>
          <w:szCs w:val="24"/>
          <w:rtl/>
        </w:rPr>
        <w:t xml:space="preserve"> ביחס לתקופתה</w:t>
      </w:r>
      <w:r w:rsidR="008110A3">
        <w:rPr>
          <w:rFonts w:ascii="David" w:hAnsi="David" w:cs="David" w:hint="cs"/>
          <w:sz w:val="24"/>
          <w:szCs w:val="24"/>
          <w:rtl/>
        </w:rPr>
        <w:t xml:space="preserve"> משום ש</w:t>
      </w:r>
      <w:r w:rsidR="00C46D98">
        <w:rPr>
          <w:rFonts w:ascii="David" w:hAnsi="David" w:cs="David" w:hint="cs"/>
          <w:sz w:val="24"/>
          <w:szCs w:val="24"/>
          <w:rtl/>
        </w:rPr>
        <w:t xml:space="preserve">היא </w:t>
      </w:r>
      <w:r w:rsidR="0042582F">
        <w:rPr>
          <w:rFonts w:ascii="David" w:hAnsi="David" w:cs="David" w:hint="cs"/>
          <w:sz w:val="24"/>
          <w:szCs w:val="24"/>
          <w:rtl/>
        </w:rPr>
        <w:t xml:space="preserve">פונה </w:t>
      </w:r>
      <w:r w:rsidR="00C46D98" w:rsidRPr="00C46D98">
        <w:rPr>
          <w:rFonts w:ascii="David" w:hAnsi="David" w:cs="David" w:hint="cs"/>
          <w:sz w:val="24"/>
          <w:szCs w:val="24"/>
          <w:rtl/>
        </w:rPr>
        <w:t>נגד מסורת תיאולוגית אחת (זו שבמרכזה אל טרנסצנדנטי ואמת מוחלט</w:t>
      </w:r>
      <w:r w:rsidR="00BC3249">
        <w:rPr>
          <w:rFonts w:ascii="David" w:hAnsi="David" w:cs="David" w:hint="cs"/>
          <w:sz w:val="24"/>
          <w:szCs w:val="24"/>
          <w:rtl/>
        </w:rPr>
        <w:t>ת), במטרה אבל לחשוף, כלומר לשוב אל</w:t>
      </w:r>
      <w:r w:rsidR="00C46D98" w:rsidRPr="00C46D98">
        <w:rPr>
          <w:rFonts w:ascii="David" w:hAnsi="David" w:cs="David" w:hint="cs"/>
          <w:sz w:val="24"/>
          <w:szCs w:val="24"/>
          <w:rtl/>
        </w:rPr>
        <w:t xml:space="preserve"> מסורת תיאולוגית "נסתרת" אחרת</w:t>
      </w:r>
      <w:r w:rsidR="00C46D98">
        <w:rPr>
          <w:rFonts w:ascii="David" w:hAnsi="David" w:cs="David" w:hint="cs"/>
          <w:sz w:val="24"/>
          <w:szCs w:val="24"/>
          <w:rtl/>
        </w:rPr>
        <w:t xml:space="preserve">. </w:t>
      </w:r>
      <w:r w:rsidR="00FA5D2A">
        <w:rPr>
          <w:rFonts w:ascii="David" w:hAnsi="David" w:cs="David" w:hint="cs"/>
          <w:sz w:val="24"/>
          <w:szCs w:val="24"/>
          <w:rtl/>
        </w:rPr>
        <w:t xml:space="preserve">זו </w:t>
      </w:r>
      <w:r w:rsidR="00FA5D2A">
        <w:rPr>
          <w:rFonts w:ascii="David" w:hAnsi="David" w:cs="David" w:hint="cs"/>
          <w:sz w:val="24"/>
          <w:szCs w:val="24"/>
          <w:rtl/>
        </w:rPr>
        <w:lastRenderedPageBreak/>
        <w:t xml:space="preserve">המסורת התיאולוגית ה"סמויה" </w:t>
      </w:r>
      <w:r w:rsidR="00FA5D2A">
        <w:rPr>
          <w:rFonts w:ascii="David" w:hAnsi="David" w:cs="David"/>
          <w:sz w:val="24"/>
          <w:szCs w:val="24"/>
        </w:rPr>
        <w:t>(hidden theological tradition)</w:t>
      </w:r>
      <w:r w:rsidR="00FA5D2A">
        <w:rPr>
          <w:rFonts w:ascii="David" w:hAnsi="David" w:cs="David" w:hint="cs"/>
          <w:sz w:val="24"/>
          <w:szCs w:val="24"/>
          <w:rtl/>
        </w:rPr>
        <w:t xml:space="preserve"> הממוקדת </w:t>
      </w:r>
      <w:r w:rsidR="00FE10E1">
        <w:rPr>
          <w:rFonts w:ascii="David" w:hAnsi="David" w:cs="David" w:hint="cs"/>
          <w:sz w:val="24"/>
          <w:szCs w:val="24"/>
          <w:rtl/>
        </w:rPr>
        <w:t xml:space="preserve">מנקודת מבטה של ארנדט </w:t>
      </w:r>
      <w:r w:rsidR="00FA5D2A">
        <w:rPr>
          <w:rFonts w:ascii="David" w:hAnsi="David" w:cs="David" w:hint="cs"/>
          <w:sz w:val="24"/>
          <w:szCs w:val="24"/>
          <w:rtl/>
        </w:rPr>
        <w:t xml:space="preserve">בעולם האימננטי ושעל הבסיס שלה </w:t>
      </w:r>
      <w:r w:rsidR="00FE10E1">
        <w:rPr>
          <w:rFonts w:ascii="David" w:hAnsi="David" w:cs="David" w:hint="cs"/>
          <w:sz w:val="24"/>
          <w:szCs w:val="24"/>
          <w:rtl/>
        </w:rPr>
        <w:t>היא</w:t>
      </w:r>
      <w:r w:rsidR="00FA5D2A">
        <w:rPr>
          <w:rFonts w:ascii="David" w:hAnsi="David" w:cs="David" w:hint="cs"/>
          <w:sz w:val="24"/>
          <w:szCs w:val="24"/>
          <w:rtl/>
        </w:rPr>
        <w:t xml:space="preserve"> מנסחת את מושגיה הפוליטיים</w:t>
      </w:r>
      <w:r w:rsidR="008110A3">
        <w:rPr>
          <w:rFonts w:ascii="David" w:hAnsi="David" w:cs="David" w:hint="cs"/>
          <w:sz w:val="24"/>
          <w:szCs w:val="24"/>
          <w:rtl/>
        </w:rPr>
        <w:t xml:space="preserve"> הרלוונטיים</w:t>
      </w:r>
      <w:r w:rsidR="00217D73">
        <w:rPr>
          <w:rFonts w:ascii="David" w:hAnsi="David" w:cs="David" w:hint="cs"/>
          <w:sz w:val="24"/>
          <w:szCs w:val="24"/>
          <w:rtl/>
        </w:rPr>
        <w:t xml:space="preserve"> </w:t>
      </w:r>
      <w:r w:rsidR="000D48D2">
        <w:rPr>
          <w:rFonts w:ascii="David" w:hAnsi="David" w:cs="David" w:hint="cs"/>
          <w:sz w:val="24"/>
          <w:szCs w:val="24"/>
          <w:rtl/>
        </w:rPr>
        <w:t>לעולם המודרני</w:t>
      </w:r>
      <w:r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C61844">
        <w:rPr>
          <w:rFonts w:ascii="David" w:hAnsi="David" w:cs="David" w:hint="cs"/>
          <w:sz w:val="24"/>
          <w:szCs w:val="24"/>
          <w:rtl/>
        </w:rPr>
        <w:t>אין בכך כוונה לומר כי לארנדט י</w:t>
      </w:r>
      <w:r w:rsidR="008406CA">
        <w:rPr>
          <w:rFonts w:ascii="David" w:hAnsi="David" w:cs="David" w:hint="cs"/>
          <w:sz w:val="24"/>
          <w:szCs w:val="24"/>
          <w:rtl/>
        </w:rPr>
        <w:t xml:space="preserve">ש עניין מיוחד בפנתאיזם, ויהיה זה, לטעמי, טעות להניח כי היא </w:t>
      </w:r>
      <w:r w:rsidR="00C61844">
        <w:rPr>
          <w:rFonts w:ascii="David" w:hAnsi="David" w:cs="David" w:hint="cs"/>
          <w:sz w:val="24"/>
          <w:szCs w:val="24"/>
          <w:rtl/>
        </w:rPr>
        <w:t>מציעה שיבה</w:t>
      </w:r>
      <w:r w:rsidR="00FA5D2A">
        <w:rPr>
          <w:rFonts w:ascii="David" w:hAnsi="David" w:cs="David" w:hint="cs"/>
          <w:sz w:val="24"/>
          <w:szCs w:val="24"/>
          <w:rtl/>
        </w:rPr>
        <w:t xml:space="preserve"> מודרנית</w:t>
      </w:r>
      <w:r w:rsidR="00C61844">
        <w:rPr>
          <w:rFonts w:ascii="David" w:hAnsi="David" w:cs="David" w:hint="cs"/>
          <w:sz w:val="24"/>
          <w:szCs w:val="24"/>
          <w:rtl/>
        </w:rPr>
        <w:t xml:space="preserve"> לפגאניות. </w:t>
      </w:r>
      <w:r w:rsidR="00C15AB5">
        <w:rPr>
          <w:rFonts w:ascii="David" w:hAnsi="David" w:cs="David" w:hint="cs"/>
          <w:sz w:val="24"/>
          <w:szCs w:val="24"/>
          <w:rtl/>
        </w:rPr>
        <w:t>ארנדט</w:t>
      </w:r>
      <w:r w:rsidR="00217D73">
        <w:rPr>
          <w:rFonts w:ascii="David" w:hAnsi="David" w:cs="David" w:hint="cs"/>
          <w:sz w:val="24"/>
          <w:szCs w:val="24"/>
          <w:rtl/>
        </w:rPr>
        <w:t>, אני מציע,</w:t>
      </w:r>
      <w:r w:rsidR="00C15AB5">
        <w:rPr>
          <w:rFonts w:ascii="David" w:hAnsi="David" w:cs="David" w:hint="cs"/>
          <w:sz w:val="24"/>
          <w:szCs w:val="24"/>
          <w:rtl/>
        </w:rPr>
        <w:t xml:space="preserve"> מבקשת </w:t>
      </w:r>
      <w:r w:rsidR="008110A3">
        <w:rPr>
          <w:rFonts w:ascii="David" w:hAnsi="David" w:cs="David" w:hint="cs"/>
          <w:sz w:val="24"/>
          <w:szCs w:val="24"/>
          <w:rtl/>
        </w:rPr>
        <w:t>להציע גרסה מובחנת</w:t>
      </w:r>
      <w:r>
        <w:rPr>
          <w:rFonts w:ascii="David" w:hAnsi="David" w:cs="David" w:hint="cs"/>
          <w:sz w:val="24"/>
          <w:szCs w:val="24"/>
          <w:rtl/>
        </w:rPr>
        <w:t xml:space="preserve"> משלה לתיאולוגיה של העולם הזה,</w:t>
      </w:r>
      <w:r w:rsidR="008406CA">
        <w:rPr>
          <w:rFonts w:ascii="David" w:hAnsi="David" w:cs="David" w:hint="cs"/>
          <w:sz w:val="24"/>
          <w:szCs w:val="24"/>
          <w:rtl/>
        </w:rPr>
        <w:t xml:space="preserve"> שהעסיקה את ההגות שסביבה</w:t>
      </w:r>
      <w:r w:rsidR="003D0F8B">
        <w:rPr>
          <w:rFonts w:ascii="David" w:hAnsi="David" w:cs="David" w:hint="cs"/>
          <w:sz w:val="24"/>
          <w:szCs w:val="24"/>
          <w:rtl/>
        </w:rPr>
        <w:t xml:space="preserve">, כלומר לאופן שבו </w:t>
      </w:r>
      <w:r w:rsidR="0042582F">
        <w:rPr>
          <w:rFonts w:ascii="David" w:hAnsi="David" w:cs="David"/>
          <w:sz w:val="24"/>
          <w:szCs w:val="24"/>
        </w:rPr>
        <w:t xml:space="preserve">“reconceptualization </w:t>
      </w:r>
      <w:r w:rsidR="00DE100A">
        <w:rPr>
          <w:rFonts w:ascii="David" w:hAnsi="David" w:cs="David"/>
          <w:sz w:val="24"/>
          <w:szCs w:val="24"/>
          <w:lang w:val="de-DE"/>
        </w:rPr>
        <w:t xml:space="preserve">of </w:t>
      </w:r>
      <w:r>
        <w:rPr>
          <w:rFonts w:ascii="David" w:hAnsi="David" w:cs="David"/>
          <w:sz w:val="24"/>
          <w:szCs w:val="24"/>
        </w:rPr>
        <w:t xml:space="preserve"> theological concepts</w:t>
      </w:r>
      <w:r w:rsidR="008406CA">
        <w:rPr>
          <w:rFonts w:ascii="David" w:hAnsi="David" w:cs="David"/>
          <w:sz w:val="24"/>
          <w:szCs w:val="24"/>
        </w:rPr>
        <w:t>”</w:t>
      </w:r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DE100A">
        <w:rPr>
          <w:rFonts w:ascii="David" w:hAnsi="David" w:cs="David" w:hint="cs"/>
          <w:sz w:val="24"/>
          <w:szCs w:val="24"/>
          <w:rtl/>
        </w:rPr>
        <w:t xml:space="preserve">מהווה הדרך </w:t>
      </w:r>
      <w:r w:rsidR="003D0F8B">
        <w:rPr>
          <w:rFonts w:ascii="David" w:hAnsi="David" w:cs="David" w:hint="cs"/>
          <w:sz w:val="24"/>
          <w:szCs w:val="24"/>
          <w:rtl/>
        </w:rPr>
        <w:t xml:space="preserve">היחידה </w:t>
      </w:r>
      <w:r w:rsidR="00DE100A">
        <w:rPr>
          <w:rFonts w:ascii="David" w:hAnsi="David" w:cs="David" w:hint="cs"/>
          <w:sz w:val="24"/>
          <w:szCs w:val="24"/>
          <w:rtl/>
        </w:rPr>
        <w:t xml:space="preserve">המאפשרת </w:t>
      </w:r>
      <w:r w:rsidR="003D0F8B">
        <w:rPr>
          <w:rFonts w:ascii="David" w:hAnsi="David" w:cs="David" w:hint="cs"/>
          <w:sz w:val="24"/>
          <w:szCs w:val="24"/>
          <w:rtl/>
        </w:rPr>
        <w:t xml:space="preserve">להגן על המסורת, תחת התנאים של העלמותה המוחלטת. </w:t>
      </w:r>
    </w:p>
    <w:p w14:paraId="7F1485CD" w14:textId="7FB69F43" w:rsidR="00366077" w:rsidRDefault="00FA6676" w:rsidP="006A218B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אפשר ש</w:t>
      </w:r>
      <w:r w:rsidR="00BC3249">
        <w:rPr>
          <w:rFonts w:ascii="David" w:hAnsi="David" w:cs="David" w:hint="cs"/>
          <w:sz w:val="24"/>
          <w:szCs w:val="24"/>
          <w:rtl/>
        </w:rPr>
        <w:t xml:space="preserve">כתיבתה הפוליטית של </w:t>
      </w:r>
      <w:r>
        <w:rPr>
          <w:rFonts w:ascii="David" w:hAnsi="David" w:cs="David" w:hint="cs"/>
          <w:sz w:val="24"/>
          <w:szCs w:val="24"/>
          <w:rtl/>
        </w:rPr>
        <w:t>ארנדט מהווה</w:t>
      </w:r>
      <w:r w:rsidR="008406CA">
        <w:rPr>
          <w:rFonts w:ascii="David" w:hAnsi="David" w:cs="David" w:hint="cs"/>
          <w:sz w:val="24"/>
          <w:szCs w:val="24"/>
          <w:rtl/>
        </w:rPr>
        <w:t xml:space="preserve"> מעין- </w:t>
      </w:r>
      <w:r w:rsidR="008406CA">
        <w:rPr>
          <w:rFonts w:ascii="David" w:hAnsi="David" w:cs="David"/>
          <w:sz w:val="24"/>
          <w:szCs w:val="24"/>
          <w:lang w:val="de-DE"/>
        </w:rPr>
        <w:t xml:space="preserve">outlier </w:t>
      </w:r>
      <w:r w:rsidR="008406CA"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  <w:r w:rsidR="00217D73">
        <w:rPr>
          <w:rFonts w:ascii="David" w:hAnsi="David" w:cs="David" w:hint="cs"/>
          <w:sz w:val="24"/>
          <w:szCs w:val="24"/>
          <w:rtl/>
        </w:rPr>
        <w:t>ביחס לאינטלקטואלים ול</w:t>
      </w:r>
      <w:r w:rsidR="00BF2620">
        <w:rPr>
          <w:rFonts w:ascii="David" w:hAnsi="David" w:cs="David" w:hint="cs"/>
          <w:sz w:val="24"/>
          <w:szCs w:val="24"/>
          <w:rtl/>
        </w:rPr>
        <w:t xml:space="preserve">טקסטים שנסקרו בספר זה. אך נדמה לי כי אפשר להציע </w:t>
      </w:r>
      <w:r w:rsidR="00217D73">
        <w:rPr>
          <w:rFonts w:ascii="David" w:hAnsi="David" w:cs="David" w:hint="cs"/>
          <w:sz w:val="24"/>
          <w:szCs w:val="24"/>
          <w:rtl/>
        </w:rPr>
        <w:t xml:space="preserve">גם את ההפך, דהיינו </w:t>
      </w:r>
      <w:r w:rsidR="00BF2620">
        <w:rPr>
          <w:rFonts w:ascii="David" w:hAnsi="David" w:cs="David" w:hint="cs"/>
          <w:sz w:val="24"/>
          <w:szCs w:val="24"/>
          <w:rtl/>
        </w:rPr>
        <w:t>ש</w:t>
      </w:r>
      <w:r w:rsidR="00DE100A">
        <w:rPr>
          <w:rFonts w:ascii="David" w:hAnsi="David" w:cs="David" w:hint="cs"/>
          <w:sz w:val="24"/>
          <w:szCs w:val="24"/>
          <w:rtl/>
        </w:rPr>
        <w:t xml:space="preserve">משהו ב </w:t>
      </w:r>
      <w:r w:rsidR="00DE100A">
        <w:rPr>
          <w:rFonts w:ascii="David" w:hAnsi="David" w:cs="David"/>
          <w:sz w:val="24"/>
          <w:szCs w:val="24"/>
          <w:lang w:val="de-DE"/>
        </w:rPr>
        <w:t>traditionalism</w:t>
      </w:r>
      <w:r w:rsidR="00DE100A"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  <w:r w:rsidR="000D48D2">
        <w:rPr>
          <w:rFonts w:ascii="David" w:hAnsi="David" w:cs="David" w:hint="cs"/>
          <w:sz w:val="24"/>
          <w:szCs w:val="24"/>
          <w:rtl/>
          <w:lang w:val="de-DE"/>
        </w:rPr>
        <w:t xml:space="preserve">המשתקף מעמדתה </w:t>
      </w:r>
      <w:r w:rsidR="00BF2620">
        <w:rPr>
          <w:rFonts w:ascii="David" w:hAnsi="David" w:cs="David" w:hint="cs"/>
          <w:sz w:val="24"/>
          <w:szCs w:val="24"/>
          <w:rtl/>
          <w:lang w:val="de-DE"/>
        </w:rPr>
        <w:t>של ארנדט, למרות ואולי בגלל המרקם</w:t>
      </w:r>
      <w:r w:rsidR="00DE100A">
        <w:rPr>
          <w:rFonts w:ascii="David" w:hAnsi="David" w:cs="David" w:hint="cs"/>
          <w:sz w:val="24"/>
          <w:szCs w:val="24"/>
          <w:rtl/>
          <w:lang w:val="de-DE"/>
        </w:rPr>
        <w:t xml:space="preserve"> הייחודי</w:t>
      </w:r>
      <w:r w:rsidR="00BF2620">
        <w:rPr>
          <w:rFonts w:ascii="David" w:hAnsi="David" w:cs="David" w:hint="cs"/>
          <w:sz w:val="24"/>
          <w:szCs w:val="24"/>
          <w:rtl/>
          <w:lang w:val="de-DE"/>
        </w:rPr>
        <w:t xml:space="preserve"> שלו</w:t>
      </w:r>
      <w:r w:rsidR="00BC3249">
        <w:rPr>
          <w:rFonts w:ascii="David" w:hAnsi="David" w:cs="David" w:hint="cs"/>
          <w:sz w:val="24"/>
          <w:szCs w:val="24"/>
          <w:rtl/>
          <w:lang w:val="de-DE"/>
        </w:rPr>
        <w:t>, מקרין במידה רבה גם על</w:t>
      </w:r>
      <w:r w:rsidR="00DE100A">
        <w:rPr>
          <w:rFonts w:ascii="David" w:hAnsi="David" w:cs="David" w:hint="cs"/>
          <w:sz w:val="24"/>
          <w:szCs w:val="24"/>
          <w:rtl/>
          <w:lang w:val="de-DE"/>
        </w:rPr>
        <w:t xml:space="preserve"> הגותם של האחרים. </w:t>
      </w:r>
      <w:r w:rsidR="00BF2620">
        <w:rPr>
          <w:rFonts w:ascii="David" w:hAnsi="David" w:cs="David" w:hint="cs"/>
          <w:sz w:val="24"/>
          <w:szCs w:val="24"/>
          <w:rtl/>
        </w:rPr>
        <w:t xml:space="preserve">הדיון </w:t>
      </w:r>
      <w:r w:rsidR="00BE6019">
        <w:rPr>
          <w:rFonts w:ascii="David" w:hAnsi="David" w:cs="David" w:hint="cs"/>
          <w:sz w:val="24"/>
          <w:szCs w:val="24"/>
          <w:rtl/>
        </w:rPr>
        <w:t xml:space="preserve">במושג של </w:t>
      </w:r>
      <w:r>
        <w:rPr>
          <w:rFonts w:ascii="David" w:hAnsi="David" w:cs="David" w:hint="cs"/>
          <w:sz w:val="24"/>
          <w:szCs w:val="24"/>
          <w:rtl/>
        </w:rPr>
        <w:t xml:space="preserve">מסורת, באפשרות </w:t>
      </w:r>
      <w:r w:rsidR="00217D73">
        <w:rPr>
          <w:rFonts w:ascii="David" w:hAnsi="David" w:cs="David" w:hint="cs"/>
          <w:sz w:val="24"/>
          <w:szCs w:val="24"/>
          <w:rtl/>
        </w:rPr>
        <w:t>להבחין אותו ממושג</w:t>
      </w:r>
      <w:r w:rsidR="00BF2620">
        <w:rPr>
          <w:rFonts w:ascii="David" w:hAnsi="David" w:cs="David" w:hint="cs"/>
          <w:sz w:val="24"/>
          <w:szCs w:val="24"/>
          <w:rtl/>
        </w:rPr>
        <w:t xml:space="preserve"> של "שמרנות"</w:t>
      </w:r>
      <w:r w:rsidR="00BC3249">
        <w:rPr>
          <w:rFonts w:ascii="David" w:hAnsi="David" w:cs="David" w:hint="cs"/>
          <w:sz w:val="24"/>
          <w:szCs w:val="24"/>
          <w:rtl/>
        </w:rPr>
        <w:t xml:space="preserve"> </w:t>
      </w:r>
      <w:r w:rsidR="00BC3249">
        <w:rPr>
          <w:rFonts w:ascii="David" w:hAnsi="David" w:cs="David"/>
          <w:sz w:val="24"/>
          <w:szCs w:val="24"/>
        </w:rPr>
        <w:t>(conservativism)</w:t>
      </w:r>
      <w:r w:rsidR="00BE6019">
        <w:rPr>
          <w:rFonts w:ascii="David" w:hAnsi="David" w:cs="David" w:hint="cs"/>
          <w:sz w:val="24"/>
          <w:szCs w:val="24"/>
          <w:rtl/>
        </w:rPr>
        <w:t xml:space="preserve"> כמו גם </w:t>
      </w:r>
      <w:r w:rsidR="00E870AF">
        <w:rPr>
          <w:rFonts w:ascii="David" w:hAnsi="David" w:cs="David" w:hint="cs"/>
          <w:sz w:val="24"/>
          <w:szCs w:val="24"/>
          <w:rtl/>
        </w:rPr>
        <w:t>ברלוונטיות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E6019">
        <w:rPr>
          <w:rFonts w:ascii="David" w:hAnsi="David" w:cs="David" w:hint="cs"/>
          <w:sz w:val="24"/>
          <w:szCs w:val="24"/>
          <w:rtl/>
        </w:rPr>
        <w:t xml:space="preserve"> שלו </w:t>
      </w:r>
      <w:r w:rsidR="00BF2620">
        <w:rPr>
          <w:rFonts w:ascii="David" w:hAnsi="David" w:cs="David" w:hint="cs"/>
          <w:sz w:val="24"/>
          <w:szCs w:val="24"/>
          <w:rtl/>
        </w:rPr>
        <w:t>היום</w:t>
      </w:r>
      <w:r w:rsidR="00217D73">
        <w:rPr>
          <w:rFonts w:ascii="David" w:hAnsi="David" w:cs="David" w:hint="cs"/>
          <w:sz w:val="24"/>
          <w:szCs w:val="24"/>
          <w:rtl/>
        </w:rPr>
        <w:t>,</w:t>
      </w:r>
      <w:r w:rsidR="00BF2620">
        <w:rPr>
          <w:rFonts w:ascii="David" w:hAnsi="David" w:cs="David" w:hint="cs"/>
          <w:sz w:val="24"/>
          <w:szCs w:val="24"/>
          <w:rtl/>
        </w:rPr>
        <w:t xml:space="preserve"> מזמין אולי עיסוק נפרד, המצוי מעבר לגבולות הדיון בספר זה.</w:t>
      </w:r>
      <w:r w:rsidR="00BE6019">
        <w:rPr>
          <w:rStyle w:val="FootnoteReference"/>
          <w:rFonts w:ascii="David" w:hAnsi="David" w:cs="David"/>
          <w:sz w:val="24"/>
          <w:szCs w:val="24"/>
          <w:rtl/>
        </w:rPr>
        <w:footnoteReference w:id="16"/>
      </w:r>
      <w:r w:rsidR="00BF2620">
        <w:rPr>
          <w:rFonts w:ascii="David" w:hAnsi="David" w:cs="David" w:hint="cs"/>
          <w:sz w:val="24"/>
          <w:szCs w:val="24"/>
          <w:rtl/>
        </w:rPr>
        <w:t xml:space="preserve"> </w:t>
      </w:r>
      <w:r w:rsidR="00974D16">
        <w:rPr>
          <w:rFonts w:ascii="David" w:hAnsi="David" w:cs="David" w:hint="cs"/>
          <w:sz w:val="24"/>
          <w:szCs w:val="24"/>
          <w:rtl/>
        </w:rPr>
        <w:t>ברם, הנקוד</w:t>
      </w:r>
      <w:r w:rsidR="00217D73">
        <w:rPr>
          <w:rFonts w:ascii="David" w:hAnsi="David" w:cs="David" w:hint="cs"/>
          <w:sz w:val="24"/>
          <w:szCs w:val="24"/>
          <w:rtl/>
        </w:rPr>
        <w:t xml:space="preserve">ה שאפשר אולי להציע היא </w:t>
      </w:r>
      <w:r w:rsidR="00974D16">
        <w:rPr>
          <w:rFonts w:ascii="David" w:hAnsi="David" w:cs="David" w:hint="cs"/>
          <w:sz w:val="24"/>
          <w:szCs w:val="24"/>
          <w:rtl/>
          <w:lang w:val="de-DE"/>
        </w:rPr>
        <w:t>ש</w:t>
      </w:r>
      <w:r w:rsidR="00974D16">
        <w:rPr>
          <w:rFonts w:ascii="David" w:hAnsi="David" w:cs="David" w:hint="cs"/>
          <w:sz w:val="24"/>
          <w:szCs w:val="24"/>
          <w:rtl/>
        </w:rPr>
        <w:t xml:space="preserve">הביקורת של הוגים אלו </w:t>
      </w:r>
      <w:r w:rsidR="003C7AB3">
        <w:rPr>
          <w:rFonts w:ascii="David" w:hAnsi="David" w:cs="David" w:hint="cs"/>
          <w:sz w:val="24"/>
          <w:szCs w:val="24"/>
          <w:rtl/>
        </w:rPr>
        <w:t>מ</w:t>
      </w:r>
      <w:r w:rsidR="00974D16">
        <w:rPr>
          <w:rFonts w:ascii="David" w:hAnsi="David" w:cs="David" w:hint="cs"/>
          <w:sz w:val="24"/>
          <w:szCs w:val="24"/>
          <w:rtl/>
        </w:rPr>
        <w:t>אפשרת את</w:t>
      </w:r>
      <w:r w:rsidR="00625DE4">
        <w:rPr>
          <w:rFonts w:ascii="David" w:hAnsi="David" w:cs="David" w:hint="cs"/>
          <w:sz w:val="24"/>
          <w:szCs w:val="24"/>
          <w:rtl/>
        </w:rPr>
        <w:t xml:space="preserve"> מה שהאנס </w:t>
      </w:r>
      <w:r w:rsidR="00625DE4" w:rsidRPr="00AB13E9">
        <w:rPr>
          <w:rFonts w:ascii="David" w:hAnsi="David" w:cs="David" w:hint="cs"/>
          <w:sz w:val="24"/>
          <w:szCs w:val="24"/>
          <w:rtl/>
        </w:rPr>
        <w:t>ג'ורג' גאדמר</w:t>
      </w:r>
      <w:r w:rsidR="00BC3249" w:rsidRPr="00AB13E9">
        <w:rPr>
          <w:rFonts w:ascii="David" w:hAnsi="David" w:cs="David" w:hint="cs"/>
          <w:sz w:val="24"/>
          <w:szCs w:val="24"/>
          <w:rtl/>
        </w:rPr>
        <w:t xml:space="preserve"> </w:t>
      </w:r>
      <w:r w:rsidR="00BC3249" w:rsidRPr="00AB13E9">
        <w:rPr>
          <w:rFonts w:ascii="David" w:hAnsi="David" w:cs="David"/>
          <w:sz w:val="24"/>
          <w:szCs w:val="24"/>
          <w:rtl/>
        </w:rPr>
        <w:t>כינה</w:t>
      </w:r>
      <w:r w:rsidR="00974D16" w:rsidRPr="00AB13E9">
        <w:rPr>
          <w:rFonts w:ascii="David" w:hAnsi="David" w:cs="David"/>
          <w:sz w:val="24"/>
          <w:szCs w:val="24"/>
          <w:rtl/>
        </w:rPr>
        <w:t xml:space="preserve"> </w:t>
      </w:r>
      <w:r w:rsidR="00974D16" w:rsidRPr="00AB13E9">
        <w:rPr>
          <w:rFonts w:ascii="David" w:hAnsi="David" w:cs="David"/>
          <w:sz w:val="24"/>
          <w:szCs w:val="24"/>
          <w:lang w:val="de-DE"/>
        </w:rPr>
        <w:t>happening of tradition</w:t>
      </w:r>
      <w:r w:rsidR="00974D16" w:rsidRPr="00AB13E9">
        <w:rPr>
          <w:rFonts w:ascii="David" w:hAnsi="David" w:cs="David"/>
          <w:sz w:val="24"/>
          <w:szCs w:val="24"/>
        </w:rPr>
        <w:t>-</w:t>
      </w:r>
      <w:r w:rsidR="002342E2" w:rsidRPr="00AB13E9">
        <w:rPr>
          <w:rFonts w:ascii="David" w:hAnsi="David" w:cs="David"/>
          <w:sz w:val="24"/>
          <w:szCs w:val="24"/>
          <w:rtl/>
        </w:rPr>
        <w:t xml:space="preserve"> </w:t>
      </w:r>
      <w:r w:rsidR="00974D16" w:rsidRPr="00AB13E9">
        <w:rPr>
          <w:rFonts w:ascii="David" w:hAnsi="David" w:cs="David"/>
          <w:sz w:val="24"/>
          <w:szCs w:val="24"/>
          <w:rtl/>
        </w:rPr>
        <w:t xml:space="preserve"> </w:t>
      </w:r>
      <w:r w:rsidR="000F69E7" w:rsidRPr="00AB13E9">
        <w:rPr>
          <w:rFonts w:ascii="David" w:hAnsi="David" w:cs="David"/>
          <w:sz w:val="24"/>
          <w:szCs w:val="24"/>
        </w:rPr>
        <w:t xml:space="preserve">  (</w:t>
      </w:r>
      <w:r w:rsidR="000F69E7" w:rsidRPr="00AB13E9">
        <w:rPr>
          <w:rFonts w:ascii="David" w:hAnsi="David" w:cs="David"/>
          <w:i/>
          <w:iCs/>
          <w:sz w:val="24"/>
          <w:szCs w:val="24"/>
        </w:rPr>
        <w:t>Überlieferungsgeschehen</w:t>
      </w:r>
      <w:r w:rsidR="002342E2" w:rsidRPr="00AB13E9">
        <w:rPr>
          <w:rFonts w:ascii="David" w:hAnsi="David" w:cs="David"/>
          <w:sz w:val="24"/>
          <w:szCs w:val="24"/>
        </w:rPr>
        <w:t xml:space="preserve"> </w:t>
      </w:r>
      <w:r w:rsidR="00AB13E9">
        <w:rPr>
          <w:rFonts w:ascii="David" w:hAnsi="David" w:cs="David"/>
          <w:sz w:val="24"/>
          <w:szCs w:val="24"/>
        </w:rPr>
        <w:t>)</w:t>
      </w:r>
      <w:r w:rsidR="002342E2" w:rsidRPr="00AB13E9">
        <w:rPr>
          <w:rFonts w:ascii="David" w:hAnsi="David" w:cs="David"/>
          <w:sz w:val="24"/>
          <w:szCs w:val="24"/>
          <w:rtl/>
        </w:rPr>
        <w:t xml:space="preserve"> </w:t>
      </w:r>
      <w:r w:rsidR="00AB13E9" w:rsidRPr="00AB13E9">
        <w:rPr>
          <w:rFonts w:ascii="David" w:hAnsi="David" w:cs="David"/>
          <w:sz w:val="24"/>
          <w:szCs w:val="24"/>
          <w:rtl/>
        </w:rPr>
        <w:t xml:space="preserve">דהיינו </w:t>
      </w:r>
      <w:r w:rsidR="00990A28">
        <w:rPr>
          <w:rFonts w:ascii="David" w:hAnsi="David" w:cs="David" w:hint="cs"/>
          <w:sz w:val="24"/>
          <w:szCs w:val="24"/>
          <w:rtl/>
        </w:rPr>
        <w:t>ה-</w:t>
      </w:r>
      <w:r w:rsidR="00AB13E9">
        <w:rPr>
          <w:rFonts w:ascii="David" w:hAnsi="David" w:cs="David" w:hint="cs"/>
          <w:sz w:val="24"/>
          <w:szCs w:val="24"/>
          <w:rtl/>
        </w:rPr>
        <w:t xml:space="preserve"> "</w:t>
      </w:r>
      <w:r w:rsidR="00AB13E9" w:rsidRPr="00AB13E9">
        <w:rPr>
          <w:rFonts w:ascii="David" w:hAnsi="David" w:cs="David"/>
          <w:sz w:val="24"/>
          <w:szCs w:val="24"/>
        </w:rPr>
        <w:t>prior condition of understanding</w:t>
      </w:r>
      <w:r w:rsidR="00AB13E9">
        <w:rPr>
          <w:rFonts w:ascii="David" w:hAnsi="David" w:cs="David" w:hint="cs"/>
          <w:sz w:val="24"/>
          <w:szCs w:val="24"/>
          <w:rtl/>
        </w:rPr>
        <w:t xml:space="preserve">" המתווך </w:t>
      </w:r>
      <w:r w:rsidR="00AB13E9" w:rsidRPr="00AB13E9">
        <w:rPr>
          <w:rFonts w:ascii="David" w:hAnsi="David" w:cs="David"/>
          <w:sz w:val="24"/>
          <w:szCs w:val="24"/>
          <w:rtl/>
        </w:rPr>
        <w:t xml:space="preserve"> </w:t>
      </w:r>
      <w:r w:rsidR="00AB13E9" w:rsidRPr="00AB13E9">
        <w:rPr>
          <w:rFonts w:ascii="David" w:hAnsi="David" w:cs="David"/>
          <w:sz w:val="24"/>
          <w:szCs w:val="24"/>
        </w:rPr>
        <w:t>“</w:t>
      </w:r>
      <w:r w:rsidR="00974D16" w:rsidRPr="00AB13E9">
        <w:rPr>
          <w:rFonts w:ascii="David" w:hAnsi="David" w:cs="David"/>
          <w:sz w:val="24"/>
          <w:szCs w:val="24"/>
        </w:rPr>
        <w:t>between the known of knowledge and the unknown that powers it, in which neither remains unaffected</w:t>
      </w:r>
      <w:r w:rsidR="00AB13E9" w:rsidRPr="00AB13E9">
        <w:rPr>
          <w:rFonts w:ascii="David" w:hAnsi="David" w:cs="David"/>
          <w:sz w:val="24"/>
          <w:szCs w:val="24"/>
        </w:rPr>
        <w:t>”</w:t>
      </w:r>
      <w:r w:rsidR="00974D16" w:rsidRPr="00AB13E9">
        <w:rPr>
          <w:rFonts w:ascii="David" w:hAnsi="David" w:cs="David" w:hint="cs"/>
          <w:sz w:val="24"/>
          <w:szCs w:val="24"/>
          <w:rtl/>
        </w:rPr>
        <w:t>.</w:t>
      </w:r>
      <w:r w:rsidR="00974D16" w:rsidRPr="00AB13E9">
        <w:rPr>
          <w:rStyle w:val="FootnoteReference"/>
          <w:rFonts w:ascii="David" w:hAnsi="David" w:cs="David"/>
          <w:sz w:val="24"/>
          <w:szCs w:val="24"/>
          <w:rtl/>
        </w:rPr>
        <w:footnoteReference w:id="17"/>
      </w:r>
      <w:r w:rsidR="00974D16">
        <w:rPr>
          <w:rFonts w:ascii="David" w:hAnsi="David" w:cs="David" w:hint="cs"/>
          <w:sz w:val="24"/>
          <w:szCs w:val="24"/>
          <w:rtl/>
        </w:rPr>
        <w:t xml:space="preserve"> </w:t>
      </w:r>
      <w:r w:rsidR="006A218B">
        <w:rPr>
          <w:rFonts w:ascii="David" w:hAnsi="David" w:cs="David" w:hint="cs"/>
          <w:sz w:val="24"/>
          <w:szCs w:val="24"/>
          <w:rtl/>
        </w:rPr>
        <w:t xml:space="preserve"> "</w:t>
      </w:r>
      <w:r w:rsidR="0089317C">
        <w:rPr>
          <w:rFonts w:ascii="David" w:hAnsi="David" w:cs="David" w:hint="cs"/>
          <w:sz w:val="24"/>
          <w:szCs w:val="24"/>
          <w:rtl/>
        </w:rPr>
        <w:t>התרחשות מסורתית</w:t>
      </w:r>
      <w:r w:rsidR="006A218B">
        <w:rPr>
          <w:rFonts w:ascii="David" w:hAnsi="David" w:cs="David" w:hint="cs"/>
          <w:sz w:val="24"/>
          <w:szCs w:val="24"/>
          <w:rtl/>
        </w:rPr>
        <w:t>"</w:t>
      </w:r>
      <w:r w:rsidR="0089317C">
        <w:rPr>
          <w:rFonts w:ascii="David" w:hAnsi="David" w:cs="David" w:hint="cs"/>
          <w:sz w:val="24"/>
          <w:szCs w:val="24"/>
          <w:rtl/>
        </w:rPr>
        <w:t xml:space="preserve"> </w:t>
      </w:r>
      <w:r w:rsidR="006A218B">
        <w:rPr>
          <w:rFonts w:ascii="David" w:hAnsi="David" w:cs="David" w:hint="cs"/>
          <w:sz w:val="24"/>
          <w:szCs w:val="24"/>
          <w:rtl/>
        </w:rPr>
        <w:t xml:space="preserve">כזו </w:t>
      </w:r>
      <w:r w:rsidR="0089317C">
        <w:rPr>
          <w:rFonts w:ascii="David" w:hAnsi="David" w:cs="David" w:hint="cs"/>
          <w:sz w:val="24"/>
          <w:szCs w:val="24"/>
          <w:rtl/>
        </w:rPr>
        <w:t xml:space="preserve">מזינה </w:t>
      </w:r>
      <w:r w:rsidR="00974D16">
        <w:rPr>
          <w:rFonts w:ascii="David" w:hAnsi="David" w:cs="David" w:hint="cs"/>
          <w:sz w:val="24"/>
          <w:szCs w:val="24"/>
          <w:rtl/>
        </w:rPr>
        <w:t xml:space="preserve">את מחויבותם של הוגים אלו לתיקון עולם מול וכנגד כל אפשרות של התנתקות או פרישות ממנו. </w:t>
      </w:r>
    </w:p>
    <w:p w14:paraId="53BBE0C8" w14:textId="47B843AC" w:rsidR="00200612" w:rsidRDefault="00DE100A" w:rsidP="00FF5E50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  <w:lang w:val="de-DE"/>
        </w:rPr>
      </w:pPr>
      <w:r>
        <w:rPr>
          <w:rFonts w:ascii="David" w:hAnsi="David" w:cs="David" w:hint="cs"/>
          <w:sz w:val="24"/>
          <w:szCs w:val="24"/>
          <w:rtl/>
        </w:rPr>
        <w:t>האם</w:t>
      </w:r>
      <w:r w:rsidR="006C3976">
        <w:rPr>
          <w:rFonts w:ascii="David" w:hAnsi="David" w:cs="David" w:hint="cs"/>
          <w:sz w:val="24"/>
          <w:szCs w:val="24"/>
          <w:rtl/>
        </w:rPr>
        <w:t>, במחויבות לתיקון עולם,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89317C">
        <w:rPr>
          <w:rFonts w:ascii="David" w:hAnsi="David" w:cs="David" w:hint="cs"/>
          <w:sz w:val="24"/>
          <w:szCs w:val="24"/>
          <w:rtl/>
        </w:rPr>
        <w:t>באה</w:t>
      </w:r>
      <w:r w:rsidR="004F11B6">
        <w:rPr>
          <w:rFonts w:ascii="David" w:hAnsi="David" w:cs="David" w:hint="cs"/>
          <w:sz w:val="24"/>
          <w:szCs w:val="24"/>
          <w:rtl/>
        </w:rPr>
        <w:t xml:space="preserve"> </w:t>
      </w:r>
      <w:r w:rsidR="0089317C">
        <w:rPr>
          <w:rFonts w:ascii="David" w:hAnsi="David" w:cs="David" w:hint="cs"/>
          <w:sz w:val="24"/>
          <w:szCs w:val="24"/>
          <w:rtl/>
        </w:rPr>
        <w:t xml:space="preserve">גם </w:t>
      </w:r>
      <w:r>
        <w:rPr>
          <w:rFonts w:ascii="David" w:hAnsi="David" w:cs="David" w:hint="cs"/>
          <w:sz w:val="24"/>
          <w:szCs w:val="24"/>
          <w:rtl/>
        </w:rPr>
        <w:t>יהדותם של הוגים אלו באה לידי ביטוי?</w:t>
      </w:r>
      <w:r w:rsidR="004F11B6">
        <w:rPr>
          <w:rFonts w:ascii="David" w:hAnsi="David" w:cs="David" w:hint="cs"/>
          <w:sz w:val="24"/>
          <w:szCs w:val="24"/>
          <w:rtl/>
        </w:rPr>
        <w:t xml:space="preserve"> דיויד ביאל למשל טען כי הרעיון שמטרת</w:t>
      </w:r>
      <w:r w:rsidR="00B46821">
        <w:rPr>
          <w:rFonts w:ascii="David" w:hAnsi="David" w:cs="David" w:hint="cs"/>
          <w:sz w:val="24"/>
          <w:szCs w:val="24"/>
          <w:rtl/>
        </w:rPr>
        <w:t xml:space="preserve"> התיאולוגיה הינה אחריות כלפי ה</w:t>
      </w:r>
      <w:r w:rsidR="00FF5E50">
        <w:rPr>
          <w:rFonts w:ascii="David" w:hAnsi="David" w:cs="David" w:hint="cs"/>
          <w:sz w:val="24"/>
          <w:szCs w:val="24"/>
          <w:rtl/>
        </w:rPr>
        <w:t>עולם</w:t>
      </w:r>
      <w:r w:rsidR="006A218B">
        <w:rPr>
          <w:rFonts w:ascii="David" w:hAnsi="David" w:cs="David" w:hint="cs"/>
          <w:sz w:val="24"/>
          <w:szCs w:val="24"/>
          <w:rtl/>
        </w:rPr>
        <w:t xml:space="preserve"> </w:t>
      </w:r>
      <w:r w:rsidR="004F11B6">
        <w:rPr>
          <w:rFonts w:ascii="David" w:hAnsi="David" w:cs="David" w:hint="cs"/>
          <w:sz w:val="24"/>
          <w:szCs w:val="24"/>
          <w:rtl/>
        </w:rPr>
        <w:t>ה</w:t>
      </w:r>
      <w:r w:rsidR="0094443B">
        <w:rPr>
          <w:rFonts w:ascii="David" w:hAnsi="David" w:cs="David" w:hint="cs"/>
          <w:sz w:val="24"/>
          <w:szCs w:val="24"/>
          <w:rtl/>
        </w:rPr>
        <w:t>וא מרכזי למסורת המחשבה היהודית</w:t>
      </w:r>
      <w:r w:rsidR="00471FF3">
        <w:rPr>
          <w:rFonts w:ascii="David" w:hAnsi="David" w:cs="David" w:hint="cs"/>
          <w:sz w:val="24"/>
          <w:szCs w:val="24"/>
          <w:rtl/>
        </w:rPr>
        <w:t xml:space="preserve">. </w:t>
      </w:r>
      <w:r w:rsidR="004F11B6">
        <w:rPr>
          <w:rFonts w:ascii="David" w:hAnsi="David" w:cs="David" w:hint="cs"/>
          <w:sz w:val="24"/>
          <w:szCs w:val="24"/>
          <w:rtl/>
        </w:rPr>
        <w:t xml:space="preserve">נראה כי טענה כזו </w:t>
      </w:r>
      <w:r w:rsidR="0089317C">
        <w:rPr>
          <w:rFonts w:ascii="David" w:hAnsi="David" w:cs="David" w:hint="cs"/>
          <w:sz w:val="24"/>
          <w:szCs w:val="24"/>
          <w:rtl/>
        </w:rPr>
        <w:t xml:space="preserve">יכולה להיות </w:t>
      </w:r>
      <w:r w:rsidR="004F11B6">
        <w:rPr>
          <w:rFonts w:ascii="David" w:hAnsi="David" w:cs="David" w:hint="cs"/>
          <w:sz w:val="24"/>
          <w:szCs w:val="24"/>
          <w:rtl/>
        </w:rPr>
        <w:t>רלוונטית גם ל</w:t>
      </w:r>
      <w:r w:rsidR="00217D73">
        <w:rPr>
          <w:rFonts w:ascii="David" w:hAnsi="David" w:cs="David" w:hint="cs"/>
          <w:sz w:val="24"/>
          <w:szCs w:val="24"/>
          <w:rtl/>
        </w:rPr>
        <w:t xml:space="preserve">התמקדות של </w:t>
      </w:r>
      <w:r w:rsidR="004F11B6">
        <w:rPr>
          <w:rFonts w:ascii="David" w:hAnsi="David" w:cs="David" w:hint="cs"/>
          <w:sz w:val="24"/>
          <w:szCs w:val="24"/>
          <w:rtl/>
        </w:rPr>
        <w:t>הוגים מודרניים אלו</w:t>
      </w:r>
      <w:r w:rsidR="00FF5E50">
        <w:rPr>
          <w:rFonts w:ascii="David" w:hAnsi="David" w:cs="David" w:hint="cs"/>
          <w:sz w:val="24"/>
          <w:szCs w:val="24"/>
          <w:rtl/>
        </w:rPr>
        <w:t xml:space="preserve"> בסוגיות חברתיות ופוליטיות</w:t>
      </w:r>
      <w:r w:rsidR="004F11B6">
        <w:rPr>
          <w:rFonts w:ascii="David" w:hAnsi="David" w:cs="David" w:hint="cs"/>
          <w:sz w:val="24"/>
          <w:szCs w:val="24"/>
          <w:rtl/>
        </w:rPr>
        <w:t>.</w:t>
      </w:r>
      <w:r w:rsidR="0094443B">
        <w:rPr>
          <w:rStyle w:val="FootnoteReference"/>
          <w:rFonts w:ascii="David" w:hAnsi="David" w:cs="David"/>
          <w:sz w:val="24"/>
          <w:szCs w:val="24"/>
          <w:rtl/>
        </w:rPr>
        <w:footnoteReference w:id="18"/>
      </w:r>
      <w:r w:rsidR="0094443B">
        <w:rPr>
          <w:rFonts w:ascii="David" w:hAnsi="David" w:cs="David" w:hint="cs"/>
          <w:sz w:val="24"/>
          <w:szCs w:val="24"/>
          <w:rtl/>
        </w:rPr>
        <w:t xml:space="preserve"> אמנם, י</w:t>
      </w:r>
      <w:r w:rsidR="007F43D2">
        <w:rPr>
          <w:rFonts w:ascii="David" w:hAnsi="David" w:cs="David" w:hint="cs"/>
          <w:sz w:val="24"/>
          <w:szCs w:val="24"/>
          <w:rtl/>
        </w:rPr>
        <w:t>היה זה במידה רבה</w:t>
      </w:r>
      <w:r w:rsidR="0094443B">
        <w:rPr>
          <w:rFonts w:ascii="David" w:hAnsi="David" w:cs="David" w:hint="cs"/>
          <w:sz w:val="24"/>
          <w:szCs w:val="24"/>
          <w:rtl/>
        </w:rPr>
        <w:t xml:space="preserve"> נכון לומר כי </w:t>
      </w:r>
      <w:r w:rsidR="004F11B6">
        <w:rPr>
          <w:rFonts w:ascii="David" w:hAnsi="David" w:cs="David" w:hint="cs"/>
          <w:sz w:val="24"/>
          <w:szCs w:val="24"/>
          <w:rtl/>
        </w:rPr>
        <w:t>עבורם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lang w:val="de-DE"/>
        </w:rPr>
        <w:t>Judaism</w:t>
      </w:r>
      <w:r>
        <w:rPr>
          <w:rFonts w:ascii="David" w:hAnsi="David" w:cs="David" w:hint="cs"/>
          <w:sz w:val="24"/>
          <w:szCs w:val="24"/>
          <w:rtl/>
        </w:rPr>
        <w:t xml:space="preserve"> או </w:t>
      </w:r>
      <w:r>
        <w:rPr>
          <w:rFonts w:ascii="David" w:hAnsi="David" w:cs="David"/>
          <w:sz w:val="24"/>
          <w:szCs w:val="24"/>
          <w:lang w:val="de-DE"/>
        </w:rPr>
        <w:t>Jewishness</w:t>
      </w:r>
      <w:r w:rsidR="00217D73">
        <w:rPr>
          <w:rFonts w:ascii="David" w:hAnsi="David" w:cs="David" w:hint="cs"/>
          <w:sz w:val="24"/>
          <w:szCs w:val="24"/>
          <w:rtl/>
          <w:lang w:val="de-DE"/>
        </w:rPr>
        <w:t xml:space="preserve"> (מושג שארנדט העדיפה)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“had become hard to parse” </w:t>
      </w:r>
      <w:r w:rsidR="009B2A3B">
        <w:rPr>
          <w:rFonts w:ascii="David" w:hAnsi="David" w:cs="David" w:hint="cs"/>
          <w:sz w:val="24"/>
          <w:szCs w:val="24"/>
          <w:rtl/>
        </w:rPr>
        <w:t>.</w:t>
      </w:r>
      <w:r w:rsidRPr="004E757A">
        <w:rPr>
          <w:rStyle w:val="FootnoteReference"/>
          <w:rFonts w:ascii="David" w:hAnsi="David" w:cs="David"/>
          <w:sz w:val="24"/>
          <w:szCs w:val="24"/>
        </w:rPr>
        <w:footnoteReference w:id="19"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0D48D2">
        <w:rPr>
          <w:rFonts w:ascii="David" w:hAnsi="David" w:cs="David" w:hint="cs"/>
          <w:sz w:val="24"/>
          <w:szCs w:val="24"/>
          <w:rtl/>
        </w:rPr>
        <w:t xml:space="preserve">וכך </w:t>
      </w:r>
      <w:r w:rsidR="00431DE1">
        <w:rPr>
          <w:rFonts w:ascii="David" w:hAnsi="David" w:cs="David" w:hint="cs"/>
          <w:sz w:val="24"/>
          <w:szCs w:val="24"/>
          <w:rtl/>
        </w:rPr>
        <w:t>השאלה של ג'ודית באטלר</w:t>
      </w:r>
      <w:r w:rsidR="009B2A3B">
        <w:rPr>
          <w:rFonts w:ascii="David" w:hAnsi="David" w:cs="David" w:hint="cs"/>
          <w:sz w:val="24"/>
          <w:szCs w:val="24"/>
          <w:rtl/>
        </w:rPr>
        <w:t xml:space="preserve"> </w:t>
      </w:r>
      <w:r w:rsidR="009B2A3B" w:rsidRPr="004E757A">
        <w:rPr>
          <w:rFonts w:ascii="David" w:hAnsi="David" w:cs="David"/>
          <w:sz w:val="24"/>
          <w:szCs w:val="24"/>
        </w:rPr>
        <w:t xml:space="preserve">“what is finally Jewish about Arendt’s thought” </w:t>
      </w:r>
      <w:r w:rsidR="00FF5E50">
        <w:rPr>
          <w:rFonts w:ascii="David" w:hAnsi="David" w:cs="David" w:hint="cs"/>
          <w:sz w:val="24"/>
          <w:szCs w:val="24"/>
          <w:rtl/>
        </w:rPr>
        <w:t xml:space="preserve"> </w:t>
      </w:r>
      <w:r w:rsidR="007F43D2">
        <w:rPr>
          <w:rFonts w:ascii="David" w:hAnsi="David" w:cs="David" w:hint="cs"/>
          <w:sz w:val="24"/>
          <w:szCs w:val="24"/>
          <w:rtl/>
        </w:rPr>
        <w:t>רלוונטית, באופנים שונים</w:t>
      </w:r>
      <w:r w:rsidR="009B2A3B">
        <w:rPr>
          <w:rFonts w:ascii="David" w:hAnsi="David" w:cs="David" w:hint="cs"/>
          <w:sz w:val="24"/>
          <w:szCs w:val="24"/>
          <w:rtl/>
        </w:rPr>
        <w:t>, להוגים האחרים</w:t>
      </w:r>
      <w:r w:rsidR="00FC5FBD">
        <w:rPr>
          <w:rFonts w:ascii="David" w:hAnsi="David" w:cs="David" w:hint="cs"/>
          <w:sz w:val="24"/>
          <w:szCs w:val="24"/>
          <w:rtl/>
        </w:rPr>
        <w:t xml:space="preserve">, שיחסם </w:t>
      </w:r>
      <w:r w:rsidR="006C3976">
        <w:rPr>
          <w:rFonts w:ascii="David" w:hAnsi="David" w:cs="David" w:hint="cs"/>
          <w:sz w:val="24"/>
          <w:szCs w:val="24"/>
          <w:rtl/>
        </w:rPr>
        <w:t xml:space="preserve">המוצהר </w:t>
      </w:r>
      <w:r w:rsidR="00FC5FBD">
        <w:rPr>
          <w:rFonts w:ascii="David" w:hAnsi="David" w:cs="David" w:hint="cs"/>
          <w:sz w:val="24"/>
          <w:szCs w:val="24"/>
          <w:rtl/>
        </w:rPr>
        <w:t>ליהדות נע לרוב בין אדישות ל</w:t>
      </w:r>
      <w:r w:rsidR="00217D73">
        <w:rPr>
          <w:rFonts w:ascii="David" w:hAnsi="David" w:cs="David" w:hint="cs"/>
          <w:sz w:val="24"/>
          <w:szCs w:val="24"/>
          <w:rtl/>
        </w:rPr>
        <w:t xml:space="preserve">בין </w:t>
      </w:r>
      <w:r w:rsidR="00FC5FBD">
        <w:rPr>
          <w:rFonts w:ascii="David" w:hAnsi="David" w:cs="David" w:hint="cs"/>
          <w:sz w:val="24"/>
          <w:szCs w:val="24"/>
          <w:rtl/>
        </w:rPr>
        <w:lastRenderedPageBreak/>
        <w:t>עוינות</w:t>
      </w:r>
      <w:r w:rsidR="009B2A3B">
        <w:rPr>
          <w:rFonts w:ascii="David" w:hAnsi="David" w:cs="David" w:hint="cs"/>
          <w:sz w:val="24"/>
          <w:szCs w:val="24"/>
          <w:rtl/>
        </w:rPr>
        <w:t>.</w:t>
      </w:r>
      <w:r w:rsidR="009B2A3B" w:rsidRPr="004E757A">
        <w:rPr>
          <w:rStyle w:val="FootnoteReference"/>
          <w:rFonts w:ascii="David" w:hAnsi="David" w:cs="David"/>
          <w:sz w:val="24"/>
          <w:szCs w:val="24"/>
        </w:rPr>
        <w:footnoteReference w:id="20"/>
      </w:r>
      <w:r w:rsidR="00611B6A">
        <w:rPr>
          <w:rFonts w:ascii="David" w:hAnsi="David" w:cs="David" w:hint="cs"/>
          <w:sz w:val="24"/>
          <w:szCs w:val="24"/>
          <w:rtl/>
        </w:rPr>
        <w:t xml:space="preserve"> </w:t>
      </w:r>
      <w:r w:rsidR="00FC5FBD">
        <w:rPr>
          <w:rFonts w:ascii="David" w:hAnsi="David" w:cs="David" w:hint="cs"/>
          <w:sz w:val="24"/>
          <w:szCs w:val="24"/>
          <w:rtl/>
        </w:rPr>
        <w:t>נראה</w:t>
      </w:r>
      <w:r w:rsidR="00FF5E50">
        <w:rPr>
          <w:rFonts w:ascii="David" w:hAnsi="David" w:cs="David" w:hint="cs"/>
          <w:sz w:val="24"/>
          <w:szCs w:val="24"/>
          <w:rtl/>
        </w:rPr>
        <w:t>, עם זאת,</w:t>
      </w:r>
      <w:r w:rsidR="00FC5FBD">
        <w:rPr>
          <w:rFonts w:ascii="David" w:hAnsi="David" w:cs="David" w:hint="cs"/>
          <w:sz w:val="24"/>
          <w:szCs w:val="24"/>
          <w:rtl/>
        </w:rPr>
        <w:t xml:space="preserve"> כי </w:t>
      </w:r>
      <w:r w:rsidR="007D767D">
        <w:rPr>
          <w:rFonts w:ascii="David" w:hAnsi="David" w:cs="David" w:hint="cs"/>
          <w:sz w:val="24"/>
          <w:szCs w:val="24"/>
          <w:rtl/>
        </w:rPr>
        <w:t>ה</w:t>
      </w:r>
      <w:r w:rsidR="00564F50">
        <w:rPr>
          <w:rFonts w:ascii="David" w:hAnsi="David" w:cs="David" w:hint="cs"/>
          <w:sz w:val="24"/>
          <w:szCs w:val="24"/>
          <w:rtl/>
        </w:rPr>
        <w:t>קושי</w:t>
      </w:r>
      <w:r w:rsidR="004F11B6">
        <w:rPr>
          <w:rFonts w:ascii="David" w:hAnsi="David" w:cs="David" w:hint="cs"/>
          <w:sz w:val="24"/>
          <w:szCs w:val="24"/>
          <w:rtl/>
        </w:rPr>
        <w:t xml:space="preserve"> </w:t>
      </w:r>
      <w:r w:rsidR="006A218B">
        <w:rPr>
          <w:rFonts w:ascii="David" w:hAnsi="David" w:cs="David" w:hint="cs"/>
          <w:sz w:val="24"/>
          <w:szCs w:val="24"/>
          <w:rtl/>
        </w:rPr>
        <w:t>ש</w:t>
      </w:r>
      <w:r w:rsidR="007F43D2">
        <w:rPr>
          <w:rFonts w:ascii="David" w:hAnsi="David" w:cs="David" w:hint="cs"/>
          <w:sz w:val="24"/>
          <w:szCs w:val="24"/>
          <w:rtl/>
        </w:rPr>
        <w:t xml:space="preserve">באטלר ואחרים </w:t>
      </w:r>
      <w:r w:rsidR="00974D16">
        <w:rPr>
          <w:rFonts w:ascii="David" w:hAnsi="David" w:cs="David" w:hint="cs"/>
          <w:sz w:val="24"/>
          <w:szCs w:val="24"/>
          <w:rtl/>
        </w:rPr>
        <w:t xml:space="preserve">מציפים </w:t>
      </w:r>
      <w:r w:rsidR="006A218B">
        <w:rPr>
          <w:rFonts w:ascii="David" w:hAnsi="David" w:cs="David" w:hint="cs"/>
          <w:sz w:val="24"/>
          <w:szCs w:val="24"/>
          <w:rtl/>
        </w:rPr>
        <w:t>מתמקד ב</w:t>
      </w:r>
      <w:r w:rsidR="004D6A46">
        <w:rPr>
          <w:rFonts w:ascii="David" w:hAnsi="David" w:cs="David" w:hint="cs"/>
          <w:sz w:val="24"/>
          <w:szCs w:val="24"/>
          <w:rtl/>
        </w:rPr>
        <w:t>חוסר ה</w:t>
      </w:r>
      <w:r w:rsidR="00611B6A">
        <w:rPr>
          <w:rFonts w:ascii="David" w:hAnsi="David" w:cs="David" w:hint="cs"/>
          <w:sz w:val="24"/>
          <w:szCs w:val="24"/>
          <w:rtl/>
        </w:rPr>
        <w:t xml:space="preserve">נגישות </w:t>
      </w:r>
      <w:r w:rsidR="00F0497C">
        <w:rPr>
          <w:rFonts w:ascii="David" w:hAnsi="David" w:cs="David" w:hint="cs"/>
          <w:sz w:val="24"/>
          <w:szCs w:val="24"/>
          <w:rtl/>
        </w:rPr>
        <w:t>של תכנים</w:t>
      </w:r>
      <w:r w:rsidR="007F43D2">
        <w:rPr>
          <w:rFonts w:ascii="David" w:hAnsi="David" w:cs="David" w:hint="cs"/>
          <w:sz w:val="24"/>
          <w:szCs w:val="24"/>
          <w:rtl/>
        </w:rPr>
        <w:t xml:space="preserve"> ופרקטיקות</w:t>
      </w:r>
      <w:r w:rsidR="00F0497C">
        <w:rPr>
          <w:rFonts w:ascii="David" w:hAnsi="David" w:cs="David" w:hint="cs"/>
          <w:sz w:val="24"/>
          <w:szCs w:val="24"/>
          <w:rtl/>
        </w:rPr>
        <w:t xml:space="preserve"> </w:t>
      </w:r>
      <w:r w:rsidR="00611B6A">
        <w:rPr>
          <w:rFonts w:ascii="David" w:hAnsi="David" w:cs="David" w:hint="cs"/>
          <w:sz w:val="24"/>
          <w:szCs w:val="24"/>
          <w:rtl/>
        </w:rPr>
        <w:t>תורני</w:t>
      </w:r>
      <w:r w:rsidR="007F43D2">
        <w:rPr>
          <w:rFonts w:ascii="David" w:hAnsi="David" w:cs="David" w:hint="cs"/>
          <w:sz w:val="24"/>
          <w:szCs w:val="24"/>
          <w:rtl/>
        </w:rPr>
        <w:t xml:space="preserve">ות </w:t>
      </w:r>
      <w:r w:rsidR="00611B6A">
        <w:rPr>
          <w:rFonts w:ascii="David" w:hAnsi="David" w:cs="David" w:hint="cs"/>
          <w:sz w:val="24"/>
          <w:szCs w:val="24"/>
          <w:rtl/>
        </w:rPr>
        <w:t>להוגים חילוניים, משום ש</w:t>
      </w:r>
      <w:r w:rsidR="007F43D2">
        <w:rPr>
          <w:rFonts w:ascii="David" w:hAnsi="David" w:cs="David" w:hint="cs"/>
          <w:sz w:val="24"/>
          <w:szCs w:val="24"/>
          <w:rtl/>
        </w:rPr>
        <w:t xml:space="preserve">הן אלו והן אלו </w:t>
      </w:r>
      <w:r w:rsidR="00F0497C">
        <w:rPr>
          <w:rFonts w:ascii="David" w:hAnsi="David" w:cs="David" w:hint="cs"/>
          <w:sz w:val="24"/>
          <w:szCs w:val="24"/>
          <w:rtl/>
        </w:rPr>
        <w:t>לא היוו חלק מרכזי בחינוכם</w:t>
      </w:r>
      <w:r w:rsidR="007F43D2">
        <w:rPr>
          <w:rFonts w:ascii="David" w:hAnsi="David" w:cs="David" w:hint="cs"/>
          <w:sz w:val="24"/>
          <w:szCs w:val="24"/>
          <w:rtl/>
        </w:rPr>
        <w:t>, באורח חייהם,</w:t>
      </w:r>
      <w:r w:rsidR="00F0497C">
        <w:rPr>
          <w:rFonts w:ascii="David" w:hAnsi="David" w:cs="David" w:hint="cs"/>
          <w:sz w:val="24"/>
          <w:szCs w:val="24"/>
          <w:rtl/>
        </w:rPr>
        <w:t xml:space="preserve"> או בידע הפורמלי שרכשו (פרויד מבחינה זו הינו מעט יוצא דופן). </w:t>
      </w:r>
      <w:r w:rsidR="00611B6A">
        <w:rPr>
          <w:rFonts w:ascii="David" w:hAnsi="David" w:cs="David" w:hint="cs"/>
          <w:sz w:val="24"/>
          <w:szCs w:val="24"/>
          <w:rtl/>
        </w:rPr>
        <w:t>אך</w:t>
      </w:r>
      <w:r w:rsidR="0089317C">
        <w:rPr>
          <w:rFonts w:ascii="David" w:hAnsi="David" w:cs="David" w:hint="cs"/>
          <w:sz w:val="24"/>
          <w:szCs w:val="24"/>
          <w:rtl/>
        </w:rPr>
        <w:t>, מנגד,</w:t>
      </w:r>
      <w:r w:rsidR="00611B6A">
        <w:rPr>
          <w:rFonts w:ascii="David" w:hAnsi="David" w:cs="David" w:hint="cs"/>
          <w:sz w:val="24"/>
          <w:szCs w:val="24"/>
          <w:rtl/>
        </w:rPr>
        <w:t xml:space="preserve"> זהותם היהודית, שאיש </w:t>
      </w:r>
      <w:r w:rsidR="00611B6A" w:rsidRPr="00037D09">
        <w:rPr>
          <w:rFonts w:ascii="David" w:hAnsi="David" w:cs="David" w:hint="cs"/>
          <w:sz w:val="24"/>
          <w:szCs w:val="24"/>
          <w:rtl/>
        </w:rPr>
        <w:t>מהם לא הכחיש, ה</w:t>
      </w:r>
      <w:r w:rsidR="00431DE1" w:rsidRPr="00037D09">
        <w:rPr>
          <w:rFonts w:ascii="David" w:hAnsi="David" w:cs="David" w:hint="cs"/>
          <w:sz w:val="24"/>
          <w:szCs w:val="24"/>
          <w:rtl/>
        </w:rPr>
        <w:t>י</w:t>
      </w:r>
      <w:r w:rsidR="00611B6A" w:rsidRPr="00037D09">
        <w:rPr>
          <w:rFonts w:ascii="David" w:hAnsi="David" w:cs="David" w:hint="cs"/>
          <w:sz w:val="24"/>
          <w:szCs w:val="24"/>
          <w:rtl/>
        </w:rPr>
        <w:t xml:space="preserve">יתה </w:t>
      </w:r>
      <w:r w:rsidR="007D767D" w:rsidRPr="00037D09">
        <w:rPr>
          <w:rFonts w:ascii="David" w:hAnsi="David" w:cs="David" w:hint="cs"/>
          <w:sz w:val="24"/>
          <w:szCs w:val="24"/>
          <w:rtl/>
        </w:rPr>
        <w:t xml:space="preserve">קשורה עבורם פחות בתכנים </w:t>
      </w:r>
      <w:r w:rsidR="00F0497C" w:rsidRPr="00037D09">
        <w:rPr>
          <w:rFonts w:ascii="David" w:hAnsi="David" w:cs="David" w:hint="cs"/>
          <w:sz w:val="24"/>
          <w:szCs w:val="24"/>
          <w:rtl/>
        </w:rPr>
        <w:t>דתיים פורמאליים</w:t>
      </w:r>
      <w:r w:rsidR="006A218B">
        <w:rPr>
          <w:rFonts w:ascii="David" w:hAnsi="David" w:cs="David" w:hint="cs"/>
          <w:sz w:val="24"/>
          <w:szCs w:val="24"/>
          <w:rtl/>
        </w:rPr>
        <w:t xml:space="preserve"> כאלו. היא קבלה ביטוי </w:t>
      </w:r>
      <w:r w:rsidR="00200612">
        <w:rPr>
          <w:rFonts w:ascii="David" w:hAnsi="David" w:cs="David" w:hint="cs"/>
          <w:sz w:val="24"/>
          <w:szCs w:val="24"/>
          <w:rtl/>
        </w:rPr>
        <w:t>בפרספקטיבה הביקורתית שלהם ב</w:t>
      </w:r>
      <w:r w:rsidR="00FF5E50">
        <w:rPr>
          <w:rFonts w:ascii="David" w:hAnsi="David" w:cs="David" w:hint="cs"/>
          <w:sz w:val="24"/>
          <w:szCs w:val="24"/>
          <w:rtl/>
        </w:rPr>
        <w:t xml:space="preserve">יחס לסוגיות </w:t>
      </w:r>
      <w:r w:rsidR="00200612">
        <w:rPr>
          <w:rFonts w:ascii="David" w:hAnsi="David" w:cs="David" w:hint="cs"/>
          <w:sz w:val="24"/>
          <w:szCs w:val="24"/>
          <w:rtl/>
        </w:rPr>
        <w:t xml:space="preserve">בהן עסקו, ובתוך כך גם באפשרות </w:t>
      </w:r>
      <w:r w:rsidR="00200612">
        <w:rPr>
          <w:rFonts w:ascii="David" w:hAnsi="David" w:cs="David"/>
          <w:sz w:val="24"/>
          <w:szCs w:val="24"/>
          <w:lang w:val="de-DE"/>
        </w:rPr>
        <w:t xml:space="preserve">to </w:t>
      </w:r>
      <w:r w:rsidR="00200612">
        <w:rPr>
          <w:rFonts w:ascii="David" w:hAnsi="David" w:cs="David"/>
          <w:sz w:val="24"/>
          <w:szCs w:val="24"/>
        </w:rPr>
        <w:t>“envision a place for Jews in the polity”</w:t>
      </w:r>
      <w:r w:rsidR="00037D09" w:rsidRPr="00037D09">
        <w:rPr>
          <w:rFonts w:ascii="David" w:hAnsi="David" w:cs="David" w:hint="cs"/>
          <w:sz w:val="24"/>
          <w:szCs w:val="24"/>
          <w:rtl/>
        </w:rPr>
        <w:t>.</w:t>
      </w:r>
      <w:r w:rsidR="00200612" w:rsidRPr="00200612">
        <w:rPr>
          <w:rStyle w:val="FootnoteReference"/>
          <w:rFonts w:ascii="David" w:hAnsi="David" w:cs="David"/>
          <w:sz w:val="24"/>
          <w:szCs w:val="24"/>
        </w:rPr>
        <w:footnoteReference w:id="21"/>
      </w:r>
      <w:r w:rsidR="00200612">
        <w:rPr>
          <w:rFonts w:ascii="David" w:hAnsi="David" w:cs="David" w:hint="cs"/>
          <w:sz w:val="24"/>
          <w:szCs w:val="24"/>
          <w:rtl/>
        </w:rPr>
        <w:t xml:space="preserve"> </w:t>
      </w:r>
      <w:r w:rsidR="006A218B">
        <w:rPr>
          <w:rFonts w:ascii="David" w:hAnsi="David" w:cs="David" w:hint="cs"/>
          <w:sz w:val="24"/>
          <w:szCs w:val="24"/>
          <w:rtl/>
        </w:rPr>
        <w:t xml:space="preserve">עניין זה נראה לי חשוב, משום שהוא </w:t>
      </w:r>
      <w:r w:rsidR="00BE3285">
        <w:rPr>
          <w:rFonts w:ascii="David" w:hAnsi="David" w:cs="David" w:hint="cs"/>
          <w:sz w:val="24"/>
          <w:szCs w:val="24"/>
          <w:rtl/>
        </w:rPr>
        <w:t>יכול לשפו</w:t>
      </w:r>
      <w:r w:rsidR="00FF5E50">
        <w:rPr>
          <w:rFonts w:ascii="David" w:hAnsi="David" w:cs="David" w:hint="cs"/>
          <w:sz w:val="24"/>
          <w:szCs w:val="24"/>
          <w:rtl/>
        </w:rPr>
        <w:t>ך</w:t>
      </w:r>
      <w:r w:rsidR="00BE3285">
        <w:rPr>
          <w:rFonts w:ascii="David" w:hAnsi="David" w:cs="David" w:hint="cs"/>
          <w:sz w:val="24"/>
          <w:szCs w:val="24"/>
          <w:rtl/>
        </w:rPr>
        <w:t xml:space="preserve"> מעט אור על </w:t>
      </w:r>
      <w:r w:rsidR="0089317C">
        <w:rPr>
          <w:rFonts w:ascii="David" w:hAnsi="David" w:cs="David" w:hint="cs"/>
          <w:sz w:val="24"/>
          <w:szCs w:val="24"/>
          <w:rtl/>
        </w:rPr>
        <w:t xml:space="preserve">חשיבותה של הביקורת במיוחד להוגים אלו. </w:t>
      </w:r>
      <w:r w:rsidR="00FF5E50">
        <w:rPr>
          <w:rFonts w:ascii="David" w:hAnsi="David" w:cs="David" w:hint="cs"/>
          <w:sz w:val="24"/>
          <w:szCs w:val="24"/>
          <w:rtl/>
        </w:rPr>
        <w:t xml:space="preserve">את </w:t>
      </w:r>
      <w:r w:rsidR="006A218B">
        <w:rPr>
          <w:rFonts w:ascii="David" w:hAnsi="David" w:cs="David" w:hint="cs"/>
          <w:sz w:val="24"/>
          <w:szCs w:val="24"/>
          <w:rtl/>
        </w:rPr>
        <w:t>מה שפול פרנקס למשל כינה</w:t>
      </w:r>
      <w:r w:rsidR="00BE3285">
        <w:rPr>
          <w:rFonts w:ascii="David" w:hAnsi="David" w:cs="David" w:hint="cs"/>
          <w:sz w:val="24"/>
          <w:szCs w:val="24"/>
          <w:rtl/>
        </w:rPr>
        <w:t xml:space="preserve"> </w:t>
      </w:r>
      <w:r w:rsidR="006A218B" w:rsidRPr="00FF5E50">
        <w:rPr>
          <w:rFonts w:asciiTheme="majorBidi" w:hAnsiTheme="majorBidi" w:cstheme="majorBidi"/>
          <w:sz w:val="24"/>
          <w:szCs w:val="24"/>
        </w:rPr>
        <w:t>“</w:t>
      </w:r>
      <w:r w:rsidR="006A218B" w:rsidRPr="00FF5E50">
        <w:rPr>
          <w:rFonts w:asciiTheme="majorBidi" w:hAnsiTheme="majorBidi" w:cstheme="majorBidi"/>
        </w:rPr>
        <w:t>Kant’s appeal to Jewish philosophers”</w:t>
      </w:r>
      <w:r w:rsidR="00BE3285">
        <w:rPr>
          <w:rFonts w:hint="cs"/>
          <w:rtl/>
        </w:rPr>
        <w:t xml:space="preserve"> </w:t>
      </w:r>
      <w:r w:rsidR="00FF5E50" w:rsidRPr="00FF5E50">
        <w:rPr>
          <w:rFonts w:ascii="David" w:hAnsi="David" w:cs="David"/>
          <w:sz w:val="24"/>
          <w:szCs w:val="24"/>
          <w:rtl/>
        </w:rPr>
        <w:t>(שחר</w:t>
      </w:r>
      <w:r w:rsidR="00FF5E50">
        <w:rPr>
          <w:rFonts w:ascii="David" w:hAnsi="David" w:cs="David"/>
          <w:sz w:val="24"/>
          <w:szCs w:val="24"/>
          <w:rtl/>
        </w:rPr>
        <w:t>ג</w:t>
      </w:r>
      <w:r w:rsidR="00FF5E50">
        <w:rPr>
          <w:rFonts w:ascii="David" w:hAnsi="David" w:cs="David" w:hint="cs"/>
          <w:sz w:val="24"/>
          <w:szCs w:val="24"/>
          <w:rtl/>
        </w:rPr>
        <w:t>,</w:t>
      </w:r>
      <w:r w:rsidR="00FF5E50" w:rsidRPr="00FF5E50">
        <w:rPr>
          <w:rFonts w:ascii="David" w:hAnsi="David" w:cs="David"/>
          <w:sz w:val="24"/>
          <w:szCs w:val="24"/>
          <w:rtl/>
        </w:rPr>
        <w:t xml:space="preserve"> לטענתו</w:t>
      </w:r>
      <w:r w:rsidR="00FF5E50">
        <w:rPr>
          <w:rFonts w:ascii="David" w:hAnsi="David" w:cs="David" w:hint="cs"/>
          <w:sz w:val="24"/>
          <w:szCs w:val="24"/>
          <w:rtl/>
        </w:rPr>
        <w:t>,</w:t>
      </w:r>
      <w:r w:rsidR="00FF5E50" w:rsidRPr="00FF5E50">
        <w:rPr>
          <w:rFonts w:ascii="David" w:hAnsi="David" w:cs="David"/>
          <w:sz w:val="24"/>
          <w:szCs w:val="24"/>
          <w:rtl/>
        </w:rPr>
        <w:t xml:space="preserve"> מעבר לתחום של האסכולה ה"נאו-קאנטיאנית")</w:t>
      </w:r>
      <w:r w:rsidR="00FF5E50">
        <w:rPr>
          <w:rFonts w:hint="cs"/>
          <w:rtl/>
        </w:rPr>
        <w:t xml:space="preserve"> </w:t>
      </w:r>
      <w:r w:rsidR="006A218B">
        <w:rPr>
          <w:rFonts w:ascii="David" w:hAnsi="David" w:cs="David" w:hint="cs"/>
          <w:sz w:val="24"/>
          <w:szCs w:val="24"/>
          <w:rtl/>
        </w:rPr>
        <w:t>ניתן אולי להבין, בשינוי קל, כ</w:t>
      </w:r>
      <w:r w:rsidR="00FF5E50">
        <w:rPr>
          <w:rFonts w:ascii="David" w:hAnsi="David" w:cs="David" w:hint="cs"/>
          <w:sz w:val="24"/>
          <w:szCs w:val="24"/>
          <w:rtl/>
        </w:rPr>
        <w:t>חשיבותה</w:t>
      </w:r>
      <w:r w:rsidR="006A218B">
        <w:rPr>
          <w:rFonts w:ascii="David" w:hAnsi="David" w:cs="David" w:hint="cs"/>
          <w:sz w:val="24"/>
          <w:szCs w:val="24"/>
          <w:rtl/>
        </w:rPr>
        <w:t xml:space="preserve"> של הביקורת עבורם.</w:t>
      </w:r>
      <w:r w:rsidR="006A218B">
        <w:rPr>
          <w:rStyle w:val="FootnoteReference"/>
          <w:rFonts w:ascii="David" w:hAnsi="David" w:cs="David"/>
          <w:sz w:val="24"/>
          <w:szCs w:val="24"/>
          <w:rtl/>
        </w:rPr>
        <w:footnoteReference w:id="22"/>
      </w:r>
      <w:r w:rsidR="006A218B">
        <w:rPr>
          <w:rFonts w:ascii="David" w:hAnsi="David" w:cs="David" w:hint="cs"/>
          <w:sz w:val="24"/>
          <w:szCs w:val="24"/>
          <w:rtl/>
        </w:rPr>
        <w:t xml:space="preserve"> </w:t>
      </w:r>
      <w:r w:rsidR="00BE3285">
        <w:rPr>
          <w:rFonts w:ascii="David" w:hAnsi="David" w:cs="David" w:hint="cs"/>
          <w:sz w:val="24"/>
          <w:szCs w:val="24"/>
          <w:rtl/>
        </w:rPr>
        <w:t xml:space="preserve">בזה, אין כוונתי לומר כי מושג של ביקורת היה רלוונטי רק להוגים יהודיים, או לכל ההוגים היהודיים בתקופה. אך </w:t>
      </w:r>
      <w:r w:rsidR="006A218B">
        <w:rPr>
          <w:rFonts w:ascii="David" w:hAnsi="David" w:cs="David" w:hint="cs"/>
          <w:sz w:val="24"/>
          <w:szCs w:val="24"/>
          <w:rtl/>
        </w:rPr>
        <w:t>אפשר,</w:t>
      </w:r>
      <w:r w:rsidR="00BE3285">
        <w:rPr>
          <w:rFonts w:ascii="David" w:hAnsi="David" w:cs="David" w:hint="cs"/>
          <w:sz w:val="24"/>
          <w:szCs w:val="24"/>
          <w:rtl/>
        </w:rPr>
        <w:t xml:space="preserve"> שעבור רבים מהם, </w:t>
      </w:r>
      <w:r w:rsidR="006A218B">
        <w:rPr>
          <w:rFonts w:ascii="David" w:hAnsi="David" w:cs="David" w:hint="cs"/>
          <w:sz w:val="24"/>
          <w:szCs w:val="24"/>
          <w:rtl/>
        </w:rPr>
        <w:t>דווקא משום ש</w:t>
      </w:r>
      <w:r w:rsidR="00200612">
        <w:rPr>
          <w:rFonts w:ascii="David" w:hAnsi="David" w:cs="David" w:hint="cs"/>
          <w:sz w:val="24"/>
          <w:szCs w:val="24"/>
          <w:rtl/>
        </w:rPr>
        <w:t xml:space="preserve">יהדות </w:t>
      </w:r>
      <w:r w:rsidR="00037D09" w:rsidRPr="00037D09">
        <w:rPr>
          <w:rFonts w:ascii="David" w:hAnsi="David" w:cs="David" w:hint="cs"/>
          <w:sz w:val="24"/>
          <w:szCs w:val="24"/>
          <w:rtl/>
        </w:rPr>
        <w:t xml:space="preserve">הייתה עבורם </w:t>
      </w:r>
      <w:r w:rsidR="00037D09" w:rsidRPr="00037D09">
        <w:rPr>
          <w:rFonts w:ascii="David" w:hAnsi="David" w:cs="David"/>
          <w:sz w:val="24"/>
          <w:szCs w:val="24"/>
        </w:rPr>
        <w:t xml:space="preserve">“something created, not given” </w:t>
      </w:r>
      <w:r w:rsidR="00200612">
        <w:rPr>
          <w:rFonts w:ascii="David" w:hAnsi="David" w:cs="David" w:hint="cs"/>
          <w:sz w:val="24"/>
          <w:szCs w:val="24"/>
          <w:rtl/>
        </w:rPr>
        <w:t xml:space="preserve"> </w:t>
      </w:r>
      <w:r w:rsidR="00BE3285">
        <w:rPr>
          <w:rFonts w:ascii="David" w:hAnsi="David" w:cs="David" w:hint="cs"/>
          <w:sz w:val="24"/>
          <w:szCs w:val="24"/>
          <w:rtl/>
        </w:rPr>
        <w:t xml:space="preserve">, </w:t>
      </w:r>
      <w:r w:rsidR="00CC39FD" w:rsidRPr="00037D09">
        <w:rPr>
          <w:rFonts w:ascii="David" w:hAnsi="David" w:cs="David" w:hint="cs"/>
          <w:sz w:val="24"/>
          <w:szCs w:val="24"/>
          <w:rtl/>
        </w:rPr>
        <w:t>היא</w:t>
      </w:r>
      <w:r w:rsidR="004E2F36">
        <w:rPr>
          <w:rFonts w:ascii="David" w:hAnsi="David" w:cs="David" w:hint="cs"/>
          <w:sz w:val="24"/>
          <w:szCs w:val="24"/>
          <w:rtl/>
        </w:rPr>
        <w:t xml:space="preserve"> </w:t>
      </w:r>
      <w:r w:rsidR="00FC5FBD">
        <w:rPr>
          <w:rFonts w:ascii="David" w:hAnsi="David" w:cs="David" w:hint="cs"/>
          <w:sz w:val="24"/>
          <w:szCs w:val="24"/>
          <w:rtl/>
        </w:rPr>
        <w:t>ה</w:t>
      </w:r>
      <w:r w:rsidR="00E356A2">
        <w:rPr>
          <w:rFonts w:ascii="David" w:hAnsi="David" w:cs="David" w:hint="cs"/>
          <w:sz w:val="24"/>
          <w:szCs w:val="24"/>
          <w:rtl/>
        </w:rPr>
        <w:t>יוותה מנוע</w:t>
      </w:r>
      <w:r w:rsidR="00471FF3">
        <w:rPr>
          <w:rFonts w:ascii="David" w:hAnsi="David" w:cs="David" w:hint="cs"/>
          <w:sz w:val="24"/>
          <w:szCs w:val="24"/>
          <w:rtl/>
        </w:rPr>
        <w:t xml:space="preserve"> של </w:t>
      </w:r>
      <w:r w:rsidR="00E356A2">
        <w:rPr>
          <w:rFonts w:ascii="David" w:hAnsi="David" w:cs="David" w:hint="cs"/>
          <w:sz w:val="24"/>
          <w:szCs w:val="24"/>
          <w:rtl/>
        </w:rPr>
        <w:t>ה</w:t>
      </w:r>
      <w:r w:rsidR="00FC5FBD">
        <w:rPr>
          <w:rFonts w:ascii="David" w:hAnsi="David" w:cs="David" w:hint="cs"/>
          <w:sz w:val="24"/>
          <w:szCs w:val="24"/>
          <w:rtl/>
        </w:rPr>
        <w:t>תבוננות</w:t>
      </w:r>
      <w:r w:rsidR="00431DE1">
        <w:rPr>
          <w:rFonts w:ascii="David" w:hAnsi="David" w:cs="David" w:hint="cs"/>
          <w:sz w:val="24"/>
          <w:szCs w:val="24"/>
          <w:rtl/>
        </w:rPr>
        <w:t xml:space="preserve"> ביקורתית</w:t>
      </w:r>
      <w:r w:rsidR="00BE3285">
        <w:rPr>
          <w:rFonts w:ascii="David" w:hAnsi="David" w:cs="David" w:hint="cs"/>
          <w:sz w:val="24"/>
          <w:szCs w:val="24"/>
          <w:rtl/>
        </w:rPr>
        <w:t xml:space="preserve"> בעולם שבו הם </w:t>
      </w:r>
      <w:r w:rsidR="004F11B6">
        <w:rPr>
          <w:rFonts w:ascii="David" w:hAnsi="David" w:cs="David" w:hint="cs"/>
          <w:sz w:val="24"/>
          <w:szCs w:val="24"/>
          <w:rtl/>
        </w:rPr>
        <w:t>חשו תמיד</w:t>
      </w:r>
      <w:r w:rsidR="00611B6A">
        <w:rPr>
          <w:rFonts w:ascii="David" w:hAnsi="David" w:cs="David" w:hint="cs"/>
          <w:sz w:val="24"/>
          <w:szCs w:val="24"/>
          <w:rtl/>
        </w:rPr>
        <w:t xml:space="preserve">, כפי שניסח זאת היטב פול מנדס פלור, </w:t>
      </w:r>
      <w:r w:rsidR="00611B6A">
        <w:rPr>
          <w:rFonts w:asciiTheme="majorBidi" w:hAnsiTheme="majorBidi" w:cs="FrankRuehl"/>
          <w:sz w:val="24"/>
          <w:szCs w:val="24"/>
        </w:rPr>
        <w:t>“cognitive insiders” but</w:t>
      </w:r>
      <w:r w:rsidR="004D6A46">
        <w:rPr>
          <w:rFonts w:asciiTheme="majorBidi" w:hAnsiTheme="majorBidi" w:cs="FrankRuehl"/>
          <w:sz w:val="24"/>
          <w:szCs w:val="24"/>
        </w:rPr>
        <w:t xml:space="preserve"> </w:t>
      </w:r>
      <w:r w:rsidR="00B507BD" w:rsidRPr="004E757A">
        <w:rPr>
          <w:rFonts w:ascii="David" w:hAnsi="David" w:cs="David"/>
          <w:sz w:val="24"/>
          <w:szCs w:val="24"/>
        </w:rPr>
        <w:t>“axionormative outsiders.”</w:t>
      </w:r>
      <w:r w:rsidR="00611B6A">
        <w:rPr>
          <w:rFonts w:asciiTheme="majorBidi" w:hAnsiTheme="majorBidi" w:cs="FrankRuehl"/>
          <w:sz w:val="24"/>
          <w:szCs w:val="24"/>
        </w:rPr>
        <w:t xml:space="preserve">  </w:t>
      </w:r>
      <w:r w:rsidR="00611B6A">
        <w:rPr>
          <w:rFonts w:ascii="David" w:hAnsi="David" w:cs="David" w:hint="cs"/>
          <w:sz w:val="24"/>
          <w:szCs w:val="24"/>
          <w:rtl/>
        </w:rPr>
        <w:t>.</w:t>
      </w:r>
      <w:r w:rsidR="00611B6A">
        <w:rPr>
          <w:rStyle w:val="FootnoteReference"/>
          <w:rFonts w:asciiTheme="majorBidi" w:hAnsiTheme="majorBidi" w:cs="FrankRuehl"/>
          <w:sz w:val="24"/>
          <w:szCs w:val="24"/>
        </w:rPr>
        <w:footnoteReference w:id="23"/>
      </w:r>
      <w:r w:rsidR="007F43D2">
        <w:rPr>
          <w:rFonts w:ascii="David" w:hAnsi="David" w:cs="David"/>
          <w:sz w:val="24"/>
          <w:szCs w:val="24"/>
        </w:rPr>
        <w:t xml:space="preserve"> </w:t>
      </w:r>
      <w:r w:rsidR="007F43D2">
        <w:rPr>
          <w:rFonts w:ascii="David" w:hAnsi="David" w:cs="David" w:hint="cs"/>
          <w:sz w:val="24"/>
          <w:szCs w:val="24"/>
          <w:rtl/>
        </w:rPr>
        <w:t xml:space="preserve">ההצבעה על </w:t>
      </w:r>
      <w:r w:rsidR="00BE3285">
        <w:rPr>
          <w:rFonts w:ascii="David" w:hAnsi="David" w:cs="David" w:hint="cs"/>
          <w:sz w:val="24"/>
          <w:szCs w:val="24"/>
          <w:rtl/>
        </w:rPr>
        <w:t>קשר אפשרי כזה בין זהות יהודית ובין ביקורת,</w:t>
      </w:r>
      <w:r w:rsidR="004E2F36">
        <w:rPr>
          <w:rFonts w:ascii="David" w:hAnsi="David" w:cs="David" w:hint="cs"/>
          <w:sz w:val="24"/>
          <w:szCs w:val="24"/>
          <w:rtl/>
        </w:rPr>
        <w:t xml:space="preserve"> </w:t>
      </w:r>
      <w:r w:rsidR="00431DE1">
        <w:rPr>
          <w:rFonts w:ascii="David" w:hAnsi="David" w:cs="David" w:hint="cs"/>
          <w:sz w:val="24"/>
          <w:szCs w:val="24"/>
          <w:rtl/>
        </w:rPr>
        <w:t>יכול</w:t>
      </w:r>
      <w:r w:rsidR="00BE3285">
        <w:rPr>
          <w:rFonts w:ascii="David" w:hAnsi="David" w:cs="David" w:hint="cs"/>
          <w:sz w:val="24"/>
          <w:szCs w:val="24"/>
          <w:rtl/>
        </w:rPr>
        <w:t>ה</w:t>
      </w:r>
      <w:r w:rsidR="00431DE1">
        <w:rPr>
          <w:rFonts w:ascii="David" w:hAnsi="David" w:cs="David" w:hint="cs"/>
          <w:sz w:val="24"/>
          <w:szCs w:val="24"/>
          <w:rtl/>
        </w:rPr>
        <w:t xml:space="preserve"> אולי להסביר מדוע הורקהיימר </w:t>
      </w:r>
      <w:r w:rsidR="009B2A3B">
        <w:rPr>
          <w:rFonts w:ascii="David" w:hAnsi="David" w:cs="David" w:hint="cs"/>
          <w:sz w:val="24"/>
          <w:szCs w:val="24"/>
          <w:rtl/>
        </w:rPr>
        <w:t>טען כי התיאוריה הביקורת</w:t>
      </w:r>
      <w:r w:rsidR="00625DE4">
        <w:rPr>
          <w:rFonts w:ascii="David" w:hAnsi="David" w:cs="David" w:hint="cs"/>
          <w:sz w:val="24"/>
          <w:szCs w:val="24"/>
          <w:rtl/>
        </w:rPr>
        <w:t xml:space="preserve">ית </w:t>
      </w:r>
      <w:r w:rsidR="00341BDD">
        <w:rPr>
          <w:rFonts w:ascii="David" w:hAnsi="David" w:cs="David" w:hint="cs"/>
          <w:sz w:val="24"/>
          <w:szCs w:val="24"/>
          <w:rtl/>
        </w:rPr>
        <w:t>היוותה</w:t>
      </w:r>
      <w:r w:rsidR="00B46821">
        <w:rPr>
          <w:rFonts w:ascii="David" w:hAnsi="David" w:cs="David" w:hint="cs"/>
          <w:sz w:val="24"/>
          <w:szCs w:val="24"/>
          <w:rtl/>
        </w:rPr>
        <w:t xml:space="preserve"> עבורו ועבור עמיתיו</w:t>
      </w:r>
      <w:r w:rsidR="009B2A3B">
        <w:rPr>
          <w:rFonts w:ascii="David" w:hAnsi="David" w:cs="David" w:hint="cs"/>
          <w:sz w:val="24"/>
          <w:szCs w:val="24"/>
          <w:rtl/>
        </w:rPr>
        <w:t xml:space="preserve"> </w:t>
      </w:r>
      <w:r w:rsidR="009B2A3B">
        <w:rPr>
          <w:rFonts w:ascii="David" w:hAnsi="David" w:cs="David"/>
          <w:sz w:val="24"/>
          <w:szCs w:val="24"/>
        </w:rPr>
        <w:t>“</w:t>
      </w:r>
      <w:r w:rsidR="009B2A3B" w:rsidRPr="00200612">
        <w:rPr>
          <w:rFonts w:ascii="David" w:hAnsi="David" w:cs="David"/>
          <w:sz w:val="24"/>
          <w:szCs w:val="24"/>
        </w:rPr>
        <w:t>Judaism undercove</w:t>
      </w:r>
      <w:r w:rsidR="008705A1">
        <w:rPr>
          <w:rFonts w:ascii="David" w:hAnsi="David" w:cs="David"/>
          <w:sz w:val="24"/>
          <w:szCs w:val="24"/>
        </w:rPr>
        <w:t>r</w:t>
      </w:r>
      <w:r w:rsidR="009B2A3B">
        <w:rPr>
          <w:rFonts w:ascii="David" w:hAnsi="David" w:cs="David"/>
          <w:sz w:val="24"/>
          <w:szCs w:val="24"/>
        </w:rPr>
        <w:t>”</w:t>
      </w:r>
      <w:r w:rsidR="00BE3285">
        <w:rPr>
          <w:rFonts w:ascii="David" w:hAnsi="David" w:cs="David" w:hint="cs"/>
          <w:sz w:val="24"/>
          <w:szCs w:val="24"/>
          <w:rtl/>
        </w:rPr>
        <w:t xml:space="preserve">, ומדוע ניתן </w:t>
      </w:r>
      <w:r w:rsidR="00200612">
        <w:rPr>
          <w:rFonts w:ascii="David" w:hAnsi="David" w:cs="David" w:hint="cs"/>
          <w:sz w:val="24"/>
          <w:szCs w:val="24"/>
          <w:rtl/>
        </w:rPr>
        <w:t>להשליך את ההכרה הזו על טווח רחב של הוגים יהודים בני התקופה</w:t>
      </w:r>
      <w:r w:rsidR="00200612">
        <w:rPr>
          <w:rFonts w:ascii="David" w:hAnsi="David" w:cs="David" w:hint="cs"/>
          <w:sz w:val="24"/>
          <w:szCs w:val="24"/>
          <w:rtl/>
          <w:lang w:val="de-DE"/>
        </w:rPr>
        <w:t>.</w:t>
      </w:r>
      <w:r w:rsidR="00200612">
        <w:rPr>
          <w:rStyle w:val="FootnoteReference"/>
          <w:rFonts w:ascii="David" w:hAnsi="David" w:cs="David"/>
          <w:sz w:val="24"/>
          <w:szCs w:val="24"/>
          <w:rtl/>
          <w:lang w:val="de-DE"/>
        </w:rPr>
        <w:footnoteReference w:id="24"/>
      </w:r>
      <w:r w:rsidR="00200612"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</w:p>
    <w:p w14:paraId="7668CA01" w14:textId="7850FB0C" w:rsidR="00631C4C" w:rsidRDefault="004F5D49" w:rsidP="00044F83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טענתי לאורך הספר לטובת שינוי רדיקאלי באופן שבו אנחנו חושבים על ביקורת</w:t>
      </w:r>
      <w:r w:rsidR="007007EF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אני חוזר לנקודה זו משום שהיא מעלה את השאלה מדוע קיים </w:t>
      </w:r>
      <w:r w:rsidR="007007EF">
        <w:rPr>
          <w:rFonts w:ascii="David" w:hAnsi="David" w:cs="David" w:hint="cs"/>
          <w:sz w:val="24"/>
          <w:szCs w:val="24"/>
          <w:rtl/>
        </w:rPr>
        <w:t xml:space="preserve">בכלל </w:t>
      </w:r>
      <w:r>
        <w:rPr>
          <w:rFonts w:ascii="David" w:hAnsi="David" w:cs="David" w:hint="cs"/>
          <w:sz w:val="24"/>
          <w:szCs w:val="24"/>
          <w:rtl/>
        </w:rPr>
        <w:t>צורך להפריד ב</w:t>
      </w:r>
      <w:r w:rsidR="00471FF3">
        <w:rPr>
          <w:rFonts w:ascii="David" w:hAnsi="David" w:cs="David" w:hint="cs"/>
          <w:sz w:val="24"/>
          <w:szCs w:val="24"/>
          <w:rtl/>
        </w:rPr>
        <w:t xml:space="preserve">ין </w:t>
      </w:r>
      <w:r w:rsidR="00044F83">
        <w:rPr>
          <w:rFonts w:ascii="David" w:hAnsi="David" w:cs="David" w:hint="cs"/>
          <w:sz w:val="24"/>
          <w:szCs w:val="24"/>
          <w:rtl/>
        </w:rPr>
        <w:t xml:space="preserve">חשיבה ביקורתית </w:t>
      </w:r>
      <w:r w:rsidR="00471FF3">
        <w:rPr>
          <w:rFonts w:ascii="David" w:hAnsi="David" w:cs="David" w:hint="cs"/>
          <w:sz w:val="24"/>
          <w:szCs w:val="24"/>
          <w:rtl/>
        </w:rPr>
        <w:t xml:space="preserve">ובין </w:t>
      </w:r>
      <w:r w:rsidR="00044F83">
        <w:rPr>
          <w:rFonts w:ascii="David" w:hAnsi="David" w:cs="David" w:hint="cs"/>
          <w:sz w:val="24"/>
          <w:szCs w:val="24"/>
          <w:rtl/>
        </w:rPr>
        <w:t>דת ו</w:t>
      </w:r>
      <w:r w:rsidR="00471FF3">
        <w:rPr>
          <w:rFonts w:ascii="David" w:hAnsi="David" w:cs="David" w:hint="cs"/>
          <w:sz w:val="24"/>
          <w:szCs w:val="24"/>
          <w:rtl/>
        </w:rPr>
        <w:t>תיאולוגיה? אפשר ש</w:t>
      </w:r>
      <w:r>
        <w:rPr>
          <w:rFonts w:ascii="David" w:hAnsi="David" w:cs="David" w:hint="cs"/>
          <w:sz w:val="24"/>
          <w:szCs w:val="24"/>
          <w:rtl/>
        </w:rPr>
        <w:t>חלק מהתשובה נעוץ בסירוב להכיר ב-</w:t>
      </w:r>
      <w:r w:rsidR="00564F50">
        <w:rPr>
          <w:rFonts w:asciiTheme="majorBidi" w:hAnsiTheme="majorBidi" w:cstheme="majorBidi"/>
          <w:sz w:val="24"/>
          <w:szCs w:val="24"/>
        </w:rPr>
        <w:t xml:space="preserve"> fallibility that </w:t>
      </w:r>
      <w:r w:rsidR="00564F50" w:rsidRPr="007E1815">
        <w:rPr>
          <w:rFonts w:asciiTheme="majorBidi" w:hAnsiTheme="majorBidi" w:cstheme="majorBidi"/>
          <w:sz w:val="24"/>
          <w:szCs w:val="24"/>
        </w:rPr>
        <w:t>may constantly exists behind the veneer of scientific rationality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43ADC">
        <w:rPr>
          <w:rFonts w:ascii="David" w:hAnsi="David" w:cs="David" w:hint="cs"/>
          <w:sz w:val="24"/>
          <w:szCs w:val="24"/>
          <w:rtl/>
        </w:rPr>
        <w:t>ו</w:t>
      </w:r>
      <w:r w:rsidR="00B46821">
        <w:rPr>
          <w:rFonts w:ascii="David" w:hAnsi="David" w:cs="David" w:hint="cs"/>
          <w:sz w:val="24"/>
          <w:szCs w:val="24"/>
          <w:rtl/>
        </w:rPr>
        <w:t xml:space="preserve">חלקה אולי קשור </w:t>
      </w:r>
      <w:r w:rsidR="00471FF3">
        <w:rPr>
          <w:rFonts w:ascii="David" w:hAnsi="David" w:cs="David" w:hint="cs"/>
          <w:sz w:val="24"/>
          <w:szCs w:val="24"/>
          <w:rtl/>
        </w:rPr>
        <w:t xml:space="preserve">גם </w:t>
      </w:r>
      <w:r w:rsidR="00B46821">
        <w:rPr>
          <w:rFonts w:ascii="David" w:hAnsi="David" w:cs="David" w:hint="cs"/>
          <w:sz w:val="24"/>
          <w:szCs w:val="24"/>
          <w:rtl/>
        </w:rPr>
        <w:t>במשמעויות הפוליטיות הנגזרות מכך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It seems to me</w:t>
      </w:r>
      <w:r w:rsidRPr="004F5D49">
        <w:rPr>
          <w:rFonts w:asciiTheme="majorBidi" w:hAnsiTheme="majorBidi" w:cstheme="majorBidi"/>
          <w:sz w:val="24"/>
          <w:szCs w:val="24"/>
        </w:rPr>
        <w:t>, however,</w:t>
      </w:r>
      <w:r>
        <w:rPr>
          <w:rFonts w:asciiTheme="majorBidi" w:hAnsiTheme="majorBidi" w:cstheme="majorBidi"/>
          <w:sz w:val="24"/>
          <w:szCs w:val="24"/>
        </w:rPr>
        <w:t xml:space="preserve"> that t</w:t>
      </w:r>
      <w:r w:rsidR="00564F50" w:rsidRPr="007E1815">
        <w:rPr>
          <w:rFonts w:asciiTheme="majorBidi" w:hAnsiTheme="majorBidi" w:cstheme="majorBidi"/>
          <w:sz w:val="24"/>
          <w:szCs w:val="24"/>
        </w:rPr>
        <w:t>oday is precisely the moment where suc</w:t>
      </w:r>
      <w:r w:rsidR="00564F50">
        <w:rPr>
          <w:rFonts w:asciiTheme="majorBidi" w:hAnsiTheme="majorBidi" w:cstheme="majorBidi"/>
          <w:sz w:val="24"/>
          <w:szCs w:val="24"/>
        </w:rPr>
        <w:t xml:space="preserve">h a transformation is most essential given our </w:t>
      </w:r>
      <w:r w:rsidR="00564F50" w:rsidRPr="007E1815">
        <w:rPr>
          <w:rFonts w:asciiTheme="majorBidi" w:hAnsiTheme="majorBidi" w:cstheme="majorBidi"/>
          <w:sz w:val="24"/>
          <w:szCs w:val="24"/>
        </w:rPr>
        <w:t>coll</w:t>
      </w:r>
      <w:r w:rsidR="00DA3121">
        <w:rPr>
          <w:rFonts w:asciiTheme="majorBidi" w:hAnsiTheme="majorBidi" w:cstheme="majorBidi"/>
          <w:sz w:val="24"/>
          <w:szCs w:val="24"/>
        </w:rPr>
        <w:t>ective responsibility to</w:t>
      </w:r>
      <w:r w:rsidR="00564F50" w:rsidRPr="007E1815">
        <w:rPr>
          <w:rFonts w:asciiTheme="majorBidi" w:hAnsiTheme="majorBidi" w:cstheme="majorBidi"/>
          <w:sz w:val="24"/>
          <w:szCs w:val="24"/>
        </w:rPr>
        <w:t xml:space="preserve"> democracy</w:t>
      </w:r>
      <w:r w:rsidR="00DA39FD">
        <w:rPr>
          <w:rFonts w:asciiTheme="majorBidi" w:hAnsiTheme="majorBidi" w:cstheme="majorBidi"/>
          <w:sz w:val="24"/>
          <w:szCs w:val="24"/>
        </w:rPr>
        <w:t xml:space="preserve"> in times of</w:t>
      </w:r>
      <w:r w:rsidR="00564F50">
        <w:rPr>
          <w:rFonts w:asciiTheme="majorBidi" w:hAnsiTheme="majorBidi" w:cstheme="majorBidi"/>
          <w:sz w:val="24"/>
          <w:szCs w:val="24"/>
        </w:rPr>
        <w:t xml:space="preserve"> </w:t>
      </w:r>
      <w:r w:rsidR="00BE3285">
        <w:rPr>
          <w:rFonts w:asciiTheme="majorBidi" w:hAnsiTheme="majorBidi" w:cstheme="majorBidi"/>
          <w:sz w:val="24"/>
          <w:szCs w:val="24"/>
        </w:rPr>
        <w:t xml:space="preserve">crisis. </w:t>
      </w:r>
      <w:r w:rsidR="00BE3285">
        <w:rPr>
          <w:rFonts w:asciiTheme="majorBidi" w:hAnsiTheme="majorBidi" w:cstheme="majorBidi" w:hint="cs"/>
          <w:sz w:val="24"/>
          <w:szCs w:val="24"/>
          <w:rtl/>
        </w:rPr>
        <w:t>.</w:t>
      </w:r>
      <w:r w:rsidR="00F43AD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A3121">
        <w:rPr>
          <w:rFonts w:ascii="David" w:hAnsi="David" w:cs="David" w:hint="cs"/>
          <w:sz w:val="24"/>
          <w:szCs w:val="24"/>
          <w:rtl/>
        </w:rPr>
        <w:t xml:space="preserve">במקום ובנקודת הזמן שבהם אני כותב </w:t>
      </w:r>
      <w:r w:rsidR="00DA3121">
        <w:rPr>
          <w:rFonts w:ascii="David" w:hAnsi="David" w:cs="David" w:hint="cs"/>
          <w:sz w:val="24"/>
          <w:szCs w:val="24"/>
          <w:rtl/>
        </w:rPr>
        <w:lastRenderedPageBreak/>
        <w:t xml:space="preserve">את שורות אלו, המשבר נראה חריף במיוחד. אלא שבהקשר הזה אני </w:t>
      </w:r>
      <w:r w:rsidR="00E356A2">
        <w:rPr>
          <w:rFonts w:ascii="David" w:hAnsi="David" w:cs="David" w:hint="cs"/>
          <w:sz w:val="24"/>
          <w:szCs w:val="24"/>
          <w:rtl/>
        </w:rPr>
        <w:t>מבקש</w:t>
      </w:r>
      <w:r w:rsidR="006E4332">
        <w:rPr>
          <w:rFonts w:ascii="David" w:hAnsi="David" w:cs="David" w:hint="cs"/>
          <w:sz w:val="24"/>
          <w:szCs w:val="24"/>
          <w:rtl/>
        </w:rPr>
        <w:t xml:space="preserve"> </w:t>
      </w:r>
      <w:r w:rsidR="00A212A0">
        <w:rPr>
          <w:rFonts w:ascii="David" w:hAnsi="David" w:cs="David" w:hint="cs"/>
          <w:sz w:val="24"/>
          <w:szCs w:val="24"/>
          <w:rtl/>
        </w:rPr>
        <w:t>להציע עמדה שו</w:t>
      </w:r>
      <w:r w:rsidR="00DA39FD">
        <w:rPr>
          <w:rFonts w:ascii="David" w:hAnsi="David" w:cs="David" w:hint="cs"/>
          <w:sz w:val="24"/>
          <w:szCs w:val="24"/>
          <w:rtl/>
        </w:rPr>
        <w:t xml:space="preserve">נה </w:t>
      </w:r>
      <w:r w:rsidR="00044F83">
        <w:rPr>
          <w:rFonts w:ascii="David" w:hAnsi="David" w:cs="David" w:hint="cs"/>
          <w:sz w:val="24"/>
          <w:szCs w:val="24"/>
          <w:rtl/>
        </w:rPr>
        <w:t xml:space="preserve">במקצת </w:t>
      </w:r>
      <w:r w:rsidR="00DA39FD">
        <w:rPr>
          <w:rFonts w:ascii="David" w:hAnsi="David" w:cs="David" w:hint="cs"/>
          <w:sz w:val="24"/>
          <w:szCs w:val="24"/>
          <w:rtl/>
        </w:rPr>
        <w:t xml:space="preserve">מזו </w:t>
      </w:r>
      <w:r w:rsidR="008C4ED0">
        <w:rPr>
          <w:rFonts w:ascii="David" w:hAnsi="David" w:cs="David" w:hint="cs"/>
          <w:sz w:val="24"/>
          <w:szCs w:val="24"/>
          <w:rtl/>
        </w:rPr>
        <w:t>המדגישה את קו השבר</w:t>
      </w:r>
      <w:r>
        <w:rPr>
          <w:rFonts w:ascii="David" w:hAnsi="David" w:cs="David" w:hint="cs"/>
          <w:sz w:val="24"/>
          <w:szCs w:val="24"/>
          <w:rtl/>
        </w:rPr>
        <w:t xml:space="preserve"> הפוליטי</w:t>
      </w:r>
      <w:r w:rsidR="008C4ED0">
        <w:rPr>
          <w:rFonts w:ascii="David" w:hAnsi="David" w:cs="David" w:hint="cs"/>
          <w:sz w:val="24"/>
          <w:szCs w:val="24"/>
          <w:rtl/>
        </w:rPr>
        <w:t xml:space="preserve"> העכשווי </w:t>
      </w:r>
      <w:r w:rsidR="007B7B8E">
        <w:rPr>
          <w:rFonts w:ascii="David" w:hAnsi="David" w:cs="David" w:hint="cs"/>
          <w:sz w:val="24"/>
          <w:szCs w:val="24"/>
          <w:rtl/>
        </w:rPr>
        <w:t>כ</w:t>
      </w:r>
      <w:r w:rsidR="008C4ED0">
        <w:rPr>
          <w:rFonts w:ascii="David" w:hAnsi="David" w:cs="David" w:hint="cs"/>
          <w:sz w:val="24"/>
          <w:szCs w:val="24"/>
          <w:rtl/>
        </w:rPr>
        <w:t xml:space="preserve">כזה המצוי </w:t>
      </w:r>
      <w:r w:rsidR="00DA39FD">
        <w:rPr>
          <w:rFonts w:ascii="David" w:hAnsi="David" w:cs="David" w:hint="cs"/>
          <w:sz w:val="24"/>
          <w:szCs w:val="24"/>
          <w:rtl/>
        </w:rPr>
        <w:t xml:space="preserve">לכאורה </w:t>
      </w:r>
      <w:r w:rsidR="008C4ED0">
        <w:rPr>
          <w:rFonts w:ascii="David" w:hAnsi="David" w:cs="David" w:hint="cs"/>
          <w:sz w:val="24"/>
          <w:szCs w:val="24"/>
          <w:rtl/>
        </w:rPr>
        <w:t>בין אלו ש</w:t>
      </w:r>
      <w:r w:rsidR="00DC1816">
        <w:rPr>
          <w:rFonts w:ascii="David" w:hAnsi="David" w:cs="David" w:hint="cs"/>
          <w:sz w:val="24"/>
          <w:szCs w:val="24"/>
          <w:rtl/>
        </w:rPr>
        <w:t xml:space="preserve"> </w:t>
      </w:r>
      <w:r w:rsidR="007510A5">
        <w:rPr>
          <w:rFonts w:ascii="David" w:hAnsi="David" w:cs="David"/>
          <w:sz w:val="24"/>
          <w:szCs w:val="24"/>
        </w:rPr>
        <w:t>“</w:t>
      </w:r>
      <w:r w:rsidR="00DC1816" w:rsidRPr="00DA3121">
        <w:rPr>
          <w:rFonts w:ascii="David" w:hAnsi="David" w:cs="David"/>
          <w:sz w:val="24"/>
          <w:szCs w:val="24"/>
        </w:rPr>
        <w:t>adhere to the principle of secular reason and those who are ready to embrace the temptations of theocr</w:t>
      </w:r>
      <w:r w:rsidR="00DC1816">
        <w:rPr>
          <w:rFonts w:ascii="David" w:hAnsi="David" w:cs="David"/>
          <w:sz w:val="24"/>
          <w:szCs w:val="24"/>
        </w:rPr>
        <w:t>acy</w:t>
      </w:r>
      <w:r w:rsidR="007510A5">
        <w:rPr>
          <w:rFonts w:ascii="David" w:hAnsi="David" w:cs="David"/>
          <w:sz w:val="24"/>
          <w:szCs w:val="24"/>
        </w:rPr>
        <w:t>”</w:t>
      </w:r>
      <w:r w:rsidR="008C4ED0">
        <w:rPr>
          <w:rFonts w:ascii="David" w:hAnsi="David" w:cs="David" w:hint="cs"/>
          <w:sz w:val="24"/>
          <w:szCs w:val="24"/>
          <w:rtl/>
        </w:rPr>
        <w:t>.</w:t>
      </w:r>
      <w:r w:rsidR="007510A5">
        <w:rPr>
          <w:rStyle w:val="FootnoteReference"/>
          <w:rFonts w:ascii="David" w:hAnsi="David" w:cs="David"/>
          <w:sz w:val="24"/>
          <w:szCs w:val="24"/>
          <w:rtl/>
        </w:rPr>
        <w:footnoteReference w:id="25"/>
      </w:r>
      <w:r w:rsidR="007510A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5226323" w14:textId="1C215D3A" w:rsidR="00631C4C" w:rsidRDefault="00451378" w:rsidP="00044F83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חלוקה דיכוטומית, במידה רבה קשיחה, כזו </w:t>
      </w:r>
      <w:r w:rsidR="007510A5">
        <w:rPr>
          <w:rFonts w:ascii="David" w:hAnsi="David" w:cs="David" w:hint="cs"/>
          <w:sz w:val="24"/>
          <w:szCs w:val="24"/>
          <w:rtl/>
        </w:rPr>
        <w:t>קיבלה</w:t>
      </w:r>
      <w:r w:rsidR="008C4ED0">
        <w:rPr>
          <w:rFonts w:ascii="David" w:hAnsi="David" w:cs="David" w:hint="cs"/>
          <w:sz w:val="24"/>
          <w:szCs w:val="24"/>
          <w:rtl/>
        </w:rPr>
        <w:t xml:space="preserve"> ביטוי </w:t>
      </w:r>
      <w:r w:rsidR="00631C4C">
        <w:rPr>
          <w:rFonts w:ascii="David" w:hAnsi="David" w:cs="David" w:hint="cs"/>
          <w:sz w:val="24"/>
          <w:szCs w:val="24"/>
          <w:rtl/>
        </w:rPr>
        <w:t>לאחרונה</w:t>
      </w:r>
      <w:r w:rsidR="00A212A0">
        <w:rPr>
          <w:rFonts w:ascii="David" w:hAnsi="David" w:cs="David" w:hint="cs"/>
          <w:sz w:val="24"/>
          <w:szCs w:val="24"/>
          <w:rtl/>
        </w:rPr>
        <w:t xml:space="preserve"> </w:t>
      </w:r>
      <w:r w:rsidR="000D392E">
        <w:rPr>
          <w:rFonts w:ascii="David" w:hAnsi="David" w:cs="David" w:hint="cs"/>
          <w:sz w:val="24"/>
          <w:szCs w:val="24"/>
          <w:rtl/>
        </w:rPr>
        <w:t>בספרו ש</w:t>
      </w:r>
      <w:r w:rsidR="008C4ED0">
        <w:rPr>
          <w:rFonts w:ascii="David" w:hAnsi="David" w:cs="David" w:hint="cs"/>
          <w:sz w:val="24"/>
          <w:szCs w:val="24"/>
          <w:rtl/>
        </w:rPr>
        <w:t>ל פיטר ג</w:t>
      </w:r>
      <w:r w:rsidR="00737F6D">
        <w:rPr>
          <w:rFonts w:ascii="David" w:hAnsi="David" w:cs="David" w:hint="cs"/>
          <w:sz w:val="24"/>
          <w:szCs w:val="24"/>
          <w:rtl/>
        </w:rPr>
        <w:t>ורדון</w:t>
      </w:r>
      <w:r w:rsidR="00B46821">
        <w:rPr>
          <w:rFonts w:ascii="David" w:hAnsi="David" w:cs="David" w:hint="cs"/>
          <w:sz w:val="24"/>
          <w:szCs w:val="24"/>
          <w:rtl/>
        </w:rPr>
        <w:t xml:space="preserve"> המ</w:t>
      </w:r>
      <w:r w:rsidR="00DA3121">
        <w:rPr>
          <w:rFonts w:ascii="David" w:hAnsi="David" w:cs="David" w:hint="cs"/>
          <w:sz w:val="24"/>
          <w:szCs w:val="24"/>
          <w:rtl/>
        </w:rPr>
        <w:t xml:space="preserve">פריד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80FC1">
        <w:rPr>
          <w:rFonts w:ascii="David" w:hAnsi="David" w:cs="David" w:hint="cs"/>
          <w:sz w:val="24"/>
          <w:szCs w:val="24"/>
          <w:rtl/>
        </w:rPr>
        <w:t xml:space="preserve">בין הגיון דתי המבוסס לכאורה על דומינציה ושליטה, ובין ההגיון החילוני-ביקורתי המוקדש לדחייה של </w:t>
      </w:r>
      <w:r w:rsidR="00DA3121">
        <w:rPr>
          <w:rFonts w:ascii="David" w:hAnsi="David" w:cs="David" w:hint="cs"/>
          <w:sz w:val="24"/>
          <w:szCs w:val="24"/>
          <w:rtl/>
        </w:rPr>
        <w:t>"</w:t>
      </w:r>
      <w:r w:rsidR="00F80FC1">
        <w:rPr>
          <w:rFonts w:ascii="David" w:hAnsi="David" w:cs="David" w:hint="cs"/>
          <w:sz w:val="24"/>
          <w:szCs w:val="24"/>
          <w:rtl/>
        </w:rPr>
        <w:t>פנטזיות</w:t>
      </w:r>
      <w:r w:rsidR="00DA3121">
        <w:rPr>
          <w:rFonts w:ascii="David" w:hAnsi="David" w:cs="David" w:hint="cs"/>
          <w:sz w:val="24"/>
          <w:szCs w:val="24"/>
          <w:rtl/>
        </w:rPr>
        <w:t>"</w:t>
      </w:r>
      <w:r w:rsidR="00F80FC1">
        <w:rPr>
          <w:rFonts w:ascii="David" w:hAnsi="David" w:cs="David" w:hint="cs"/>
          <w:sz w:val="24"/>
          <w:szCs w:val="24"/>
          <w:rtl/>
        </w:rPr>
        <w:t xml:space="preserve"> כאלו.</w:t>
      </w:r>
      <w:r w:rsidR="00737F6D">
        <w:rPr>
          <w:rFonts w:ascii="David" w:hAnsi="David" w:cs="David" w:hint="cs"/>
          <w:sz w:val="24"/>
          <w:szCs w:val="24"/>
          <w:rtl/>
        </w:rPr>
        <w:t xml:space="preserve"> </w:t>
      </w:r>
      <w:r w:rsidR="000D392E">
        <w:rPr>
          <w:rFonts w:ascii="David" w:hAnsi="David" w:cs="David" w:hint="cs"/>
          <w:sz w:val="24"/>
          <w:szCs w:val="24"/>
          <w:rtl/>
        </w:rPr>
        <w:t xml:space="preserve">אי אפשר </w:t>
      </w:r>
      <w:r w:rsidR="00904AF8">
        <w:rPr>
          <w:rFonts w:ascii="David" w:hAnsi="David" w:cs="David" w:hint="cs"/>
          <w:sz w:val="24"/>
          <w:szCs w:val="24"/>
          <w:rtl/>
        </w:rPr>
        <w:t xml:space="preserve">כמובן </w:t>
      </w:r>
      <w:r w:rsidR="000D392E">
        <w:rPr>
          <w:rFonts w:ascii="David" w:hAnsi="David" w:cs="David" w:hint="cs"/>
          <w:sz w:val="24"/>
          <w:szCs w:val="24"/>
          <w:rtl/>
        </w:rPr>
        <w:t>להמעיט בחשיבות הניסיון של גורדון להתנגד ל"פתולוגיות" מהן אנו סובלים היום, שבמרכזן, כך נראה, נמצאת נסיגה עקבית</w:t>
      </w:r>
      <w:r>
        <w:rPr>
          <w:rFonts w:ascii="David" w:hAnsi="David" w:cs="David" w:hint="cs"/>
          <w:sz w:val="24"/>
          <w:szCs w:val="24"/>
          <w:rtl/>
        </w:rPr>
        <w:t xml:space="preserve">, מטרידה, </w:t>
      </w:r>
      <w:r w:rsidR="007B7B8E">
        <w:rPr>
          <w:rFonts w:ascii="David" w:hAnsi="David" w:cs="David" w:hint="cs"/>
          <w:sz w:val="24"/>
          <w:szCs w:val="24"/>
          <w:rtl/>
        </w:rPr>
        <w:t>בוודאי מ</w:t>
      </w:r>
      <w:r w:rsidR="00904AF8">
        <w:rPr>
          <w:rFonts w:ascii="David" w:hAnsi="David" w:cs="David" w:hint="cs"/>
          <w:sz w:val="24"/>
          <w:szCs w:val="24"/>
          <w:rtl/>
        </w:rPr>
        <w:t>סוכנת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0D392E">
        <w:rPr>
          <w:rFonts w:ascii="David" w:hAnsi="David" w:cs="David" w:hint="cs"/>
          <w:sz w:val="24"/>
          <w:szCs w:val="24"/>
          <w:rtl/>
        </w:rPr>
        <w:t xml:space="preserve"> ב</w:t>
      </w:r>
      <w:r w:rsidR="00904AF8">
        <w:rPr>
          <w:rFonts w:ascii="David" w:hAnsi="David" w:cs="David" w:hint="cs"/>
          <w:sz w:val="24"/>
          <w:szCs w:val="24"/>
          <w:rtl/>
        </w:rPr>
        <w:t>תמיכה ב</w:t>
      </w:r>
      <w:r w:rsidR="000D392E">
        <w:rPr>
          <w:rFonts w:ascii="David" w:hAnsi="David" w:cs="David" w:hint="cs"/>
          <w:sz w:val="24"/>
          <w:szCs w:val="24"/>
          <w:rtl/>
        </w:rPr>
        <w:t xml:space="preserve">ערכים המזוהים עם </w:t>
      </w:r>
      <w:r w:rsidR="00F80FC1">
        <w:rPr>
          <w:rFonts w:ascii="David" w:hAnsi="David" w:cs="David" w:hint="cs"/>
          <w:sz w:val="24"/>
          <w:szCs w:val="24"/>
          <w:rtl/>
        </w:rPr>
        <w:t>הדמוקרטיה</w:t>
      </w:r>
      <w:r w:rsidR="000D392E">
        <w:rPr>
          <w:rFonts w:ascii="David" w:hAnsi="David" w:cs="David" w:hint="cs"/>
          <w:sz w:val="24"/>
          <w:szCs w:val="24"/>
          <w:rtl/>
        </w:rPr>
        <w:t xml:space="preserve"> </w:t>
      </w:r>
      <w:r w:rsidR="00DA39FD">
        <w:rPr>
          <w:rFonts w:ascii="David" w:hAnsi="David" w:cs="David" w:hint="cs"/>
          <w:sz w:val="24"/>
          <w:szCs w:val="24"/>
          <w:rtl/>
        </w:rPr>
        <w:t>הליברלית.</w:t>
      </w:r>
      <w:r w:rsidR="00D64409">
        <w:rPr>
          <w:rFonts w:ascii="David" w:hAnsi="David" w:cs="David" w:hint="cs"/>
          <w:sz w:val="24"/>
          <w:szCs w:val="24"/>
          <w:rtl/>
        </w:rPr>
        <w:t xml:space="preserve"> גם בעניין זה </w:t>
      </w:r>
      <w:r w:rsidR="00DA39FD">
        <w:rPr>
          <w:rFonts w:ascii="David" w:hAnsi="David" w:cs="David" w:hint="cs"/>
          <w:sz w:val="24"/>
          <w:szCs w:val="24"/>
          <w:rtl/>
        </w:rPr>
        <w:t>ניתן לשער כי</w:t>
      </w:r>
      <w:r w:rsidR="00D64409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המציאות החברתית בעידן שלאחר הקורונה</w:t>
      </w:r>
      <w:r w:rsidR="007E4CE8">
        <w:rPr>
          <w:rFonts w:ascii="David" w:hAnsi="David" w:cs="David" w:hint="cs"/>
          <w:sz w:val="24"/>
          <w:szCs w:val="24"/>
          <w:rtl/>
        </w:rPr>
        <w:t xml:space="preserve"> רק </w:t>
      </w:r>
      <w:r w:rsidR="005B0FFC">
        <w:rPr>
          <w:rFonts w:ascii="David" w:hAnsi="David" w:cs="David" w:hint="cs"/>
          <w:sz w:val="24"/>
          <w:szCs w:val="24"/>
          <w:rtl/>
        </w:rPr>
        <w:t>תמשיך ותעצים</w:t>
      </w:r>
      <w:r w:rsidR="007E4CE8">
        <w:rPr>
          <w:rFonts w:ascii="David" w:hAnsi="David" w:cs="David" w:hint="cs"/>
          <w:sz w:val="24"/>
          <w:szCs w:val="24"/>
          <w:rtl/>
        </w:rPr>
        <w:t xml:space="preserve"> תהליכים אלו</w:t>
      </w:r>
      <w:r w:rsidR="005B0FFC">
        <w:rPr>
          <w:rFonts w:ascii="David" w:hAnsi="David" w:cs="David" w:hint="cs"/>
          <w:sz w:val="24"/>
          <w:szCs w:val="24"/>
          <w:rtl/>
        </w:rPr>
        <w:t xml:space="preserve"> ברחבי העולם</w:t>
      </w:r>
      <w:r w:rsidR="007E4CE8">
        <w:rPr>
          <w:rFonts w:ascii="David" w:hAnsi="David" w:cs="David" w:hint="cs"/>
          <w:sz w:val="24"/>
          <w:szCs w:val="24"/>
          <w:rtl/>
        </w:rPr>
        <w:t xml:space="preserve">. </w:t>
      </w:r>
      <w:r w:rsidR="00DA39FD">
        <w:rPr>
          <w:rFonts w:ascii="David" w:hAnsi="David" w:cs="David" w:hint="cs"/>
          <w:sz w:val="24"/>
          <w:szCs w:val="24"/>
          <w:rtl/>
        </w:rPr>
        <w:t xml:space="preserve">עם זאת, נראה לי שתפישה זו, </w:t>
      </w:r>
      <w:r w:rsidR="00DA3121">
        <w:rPr>
          <w:rFonts w:ascii="David" w:hAnsi="David" w:cs="David" w:hint="cs"/>
          <w:sz w:val="24"/>
          <w:szCs w:val="24"/>
          <w:rtl/>
        </w:rPr>
        <w:t>המבחינה באופן דיכוטומי בין גישה חילונית</w:t>
      </w:r>
      <w:r w:rsidR="00DA39FD">
        <w:rPr>
          <w:rFonts w:ascii="David" w:hAnsi="David" w:cs="David" w:hint="cs"/>
          <w:sz w:val="24"/>
          <w:szCs w:val="24"/>
          <w:rtl/>
        </w:rPr>
        <w:t xml:space="preserve"> ראויה</w:t>
      </w:r>
      <w:r w:rsidR="00DA3121">
        <w:rPr>
          <w:rFonts w:ascii="David" w:hAnsi="David" w:cs="David" w:hint="cs"/>
          <w:sz w:val="24"/>
          <w:szCs w:val="24"/>
          <w:rtl/>
        </w:rPr>
        <w:t xml:space="preserve"> ובין הגיון דתי</w:t>
      </w:r>
      <w:r w:rsidR="00DA39FD">
        <w:rPr>
          <w:rFonts w:ascii="David" w:hAnsi="David" w:cs="David" w:hint="cs"/>
          <w:sz w:val="24"/>
          <w:szCs w:val="24"/>
          <w:rtl/>
        </w:rPr>
        <w:t xml:space="preserve"> מסוכן,</w:t>
      </w:r>
      <w:r w:rsidR="00DA3121">
        <w:rPr>
          <w:rFonts w:ascii="David" w:hAnsi="David" w:cs="David" w:hint="cs"/>
          <w:sz w:val="24"/>
          <w:szCs w:val="24"/>
          <w:rtl/>
        </w:rPr>
        <w:t xml:space="preserve"> לוקה</w:t>
      </w:r>
      <w:r w:rsidR="00631C4C">
        <w:rPr>
          <w:rFonts w:ascii="David" w:hAnsi="David" w:cs="David" w:hint="cs"/>
          <w:sz w:val="24"/>
          <w:szCs w:val="24"/>
          <w:rtl/>
        </w:rPr>
        <w:t xml:space="preserve"> בהטיה</w:t>
      </w:r>
      <w:r w:rsidR="00E356A2">
        <w:rPr>
          <w:rFonts w:ascii="David" w:hAnsi="David" w:cs="David" w:hint="cs"/>
          <w:sz w:val="24"/>
          <w:szCs w:val="24"/>
          <w:rtl/>
        </w:rPr>
        <w:t xml:space="preserve"> "סקולרסטית"</w:t>
      </w:r>
      <w:r w:rsidR="00A12C71">
        <w:rPr>
          <w:rFonts w:ascii="David" w:hAnsi="David" w:cs="David"/>
          <w:sz w:val="24"/>
          <w:szCs w:val="24"/>
        </w:rPr>
        <w:t xml:space="preserve"> </w:t>
      </w:r>
      <w:r w:rsidR="00A12C71">
        <w:rPr>
          <w:rFonts w:ascii="David" w:hAnsi="David" w:cs="David"/>
          <w:sz w:val="24"/>
          <w:szCs w:val="24"/>
          <w:lang w:val="de-DE"/>
        </w:rPr>
        <w:t xml:space="preserve">(secularist) </w:t>
      </w:r>
      <w:r w:rsidR="00D224E1">
        <w:rPr>
          <w:rFonts w:ascii="David" w:hAnsi="David" w:cs="David"/>
          <w:sz w:val="24"/>
          <w:szCs w:val="24"/>
          <w:rtl/>
          <w:lang w:val="de-DE"/>
        </w:rPr>
        <w:t>–</w:t>
      </w:r>
      <w:r w:rsidR="00E356A2">
        <w:rPr>
          <w:rFonts w:ascii="David" w:hAnsi="David" w:cs="David" w:hint="cs"/>
          <w:sz w:val="24"/>
          <w:szCs w:val="24"/>
          <w:rtl/>
        </w:rPr>
        <w:t xml:space="preserve"> בלש</w:t>
      </w:r>
      <w:r w:rsidR="002365B3">
        <w:rPr>
          <w:rFonts w:ascii="David" w:hAnsi="David" w:cs="David" w:hint="cs"/>
          <w:sz w:val="24"/>
          <w:szCs w:val="24"/>
          <w:rtl/>
        </w:rPr>
        <w:t>ו</w:t>
      </w:r>
      <w:r w:rsidR="00E356A2">
        <w:rPr>
          <w:rFonts w:ascii="David" w:hAnsi="David" w:cs="David" w:hint="cs"/>
          <w:sz w:val="24"/>
          <w:szCs w:val="24"/>
          <w:rtl/>
        </w:rPr>
        <w:t xml:space="preserve">נו של </w:t>
      </w:r>
      <w:r w:rsidR="008C4ED0">
        <w:rPr>
          <w:rFonts w:ascii="David" w:hAnsi="David" w:cs="David" w:hint="cs"/>
          <w:sz w:val="24"/>
          <w:szCs w:val="24"/>
          <w:rtl/>
        </w:rPr>
        <w:t>הא</w:t>
      </w:r>
      <w:r w:rsidR="00A12C71">
        <w:rPr>
          <w:rFonts w:ascii="David" w:hAnsi="David" w:cs="David" w:hint="cs"/>
          <w:sz w:val="24"/>
          <w:szCs w:val="24"/>
          <w:rtl/>
        </w:rPr>
        <w:t>ברמס</w:t>
      </w:r>
      <w:r w:rsidR="00E356A2">
        <w:rPr>
          <w:rFonts w:ascii="David" w:hAnsi="David" w:cs="David" w:hint="cs"/>
          <w:sz w:val="24"/>
          <w:szCs w:val="24"/>
          <w:rtl/>
        </w:rPr>
        <w:t xml:space="preserve"> </w:t>
      </w:r>
      <w:r w:rsidR="002365B3">
        <w:rPr>
          <w:rFonts w:ascii="David" w:hAnsi="David" w:cs="David"/>
          <w:sz w:val="24"/>
          <w:szCs w:val="24"/>
          <w:rtl/>
        </w:rPr>
        <w:t>–</w:t>
      </w:r>
      <w:r w:rsidR="00E356A2">
        <w:rPr>
          <w:rFonts w:ascii="David" w:hAnsi="David" w:cs="David" w:hint="cs"/>
          <w:sz w:val="24"/>
          <w:szCs w:val="24"/>
          <w:rtl/>
        </w:rPr>
        <w:t xml:space="preserve"> </w:t>
      </w:r>
      <w:r w:rsidR="007510A5">
        <w:rPr>
          <w:rFonts w:ascii="David" w:hAnsi="David" w:cs="David" w:hint="cs"/>
          <w:sz w:val="24"/>
          <w:szCs w:val="24"/>
          <w:rtl/>
        </w:rPr>
        <w:t xml:space="preserve">המבקשת </w:t>
      </w:r>
      <w:r w:rsidR="005B0FFC">
        <w:rPr>
          <w:rFonts w:ascii="David" w:hAnsi="David" w:cs="David" w:hint="cs"/>
          <w:sz w:val="24"/>
          <w:szCs w:val="24"/>
          <w:rtl/>
        </w:rPr>
        <w:t>להמשיך ול</w:t>
      </w:r>
      <w:r w:rsidR="00E356A2">
        <w:rPr>
          <w:rFonts w:ascii="David" w:hAnsi="David" w:cs="David" w:hint="cs"/>
          <w:sz w:val="24"/>
          <w:szCs w:val="24"/>
          <w:rtl/>
        </w:rPr>
        <w:t>הצדיק את ה</w:t>
      </w:r>
      <w:r w:rsidR="007510A5">
        <w:rPr>
          <w:rFonts w:ascii="David" w:hAnsi="David" w:cs="David" w:hint="cs"/>
          <w:sz w:val="24"/>
          <w:szCs w:val="24"/>
          <w:rtl/>
        </w:rPr>
        <w:t>הגמוניה</w:t>
      </w:r>
      <w:r w:rsidR="00DA3121">
        <w:rPr>
          <w:rFonts w:ascii="David" w:hAnsi="David" w:cs="David" w:hint="cs"/>
          <w:sz w:val="24"/>
          <w:szCs w:val="24"/>
          <w:rtl/>
        </w:rPr>
        <w:t xml:space="preserve"> של הראשונה על פני האחרונה</w:t>
      </w:r>
      <w:r w:rsidR="007510A5">
        <w:rPr>
          <w:rFonts w:ascii="David" w:hAnsi="David" w:cs="David" w:hint="cs"/>
          <w:sz w:val="24"/>
          <w:szCs w:val="24"/>
          <w:rtl/>
        </w:rPr>
        <w:t xml:space="preserve"> ב</w:t>
      </w:r>
      <w:r w:rsidR="00DA3121">
        <w:rPr>
          <w:rFonts w:ascii="David" w:hAnsi="David" w:cs="David" w:hint="cs"/>
          <w:sz w:val="24"/>
          <w:szCs w:val="24"/>
          <w:rtl/>
        </w:rPr>
        <w:t>-</w:t>
      </w:r>
      <w:r w:rsidR="007510A5">
        <w:rPr>
          <w:rFonts w:ascii="David" w:hAnsi="David" w:cs="David" w:hint="cs"/>
          <w:sz w:val="24"/>
          <w:szCs w:val="24"/>
          <w:rtl/>
        </w:rPr>
        <w:t xml:space="preserve"> </w:t>
      </w:r>
      <w:r w:rsidR="007510A5">
        <w:rPr>
          <w:rFonts w:ascii="David" w:hAnsi="David" w:cs="David"/>
          <w:sz w:val="24"/>
          <w:szCs w:val="24"/>
          <w:lang w:val="de-DE"/>
        </w:rPr>
        <w:t xml:space="preserve">public </w:t>
      </w:r>
      <w:r w:rsidR="007510A5" w:rsidRPr="00F80FC1">
        <w:rPr>
          <w:rFonts w:ascii="David" w:hAnsi="David" w:cs="David"/>
          <w:sz w:val="24"/>
          <w:szCs w:val="24"/>
          <w:lang w:val="de-DE"/>
        </w:rPr>
        <w:t>space</w:t>
      </w:r>
      <w:r w:rsidR="00E356A2">
        <w:rPr>
          <w:rFonts w:ascii="David" w:hAnsi="David" w:cs="David" w:hint="cs"/>
          <w:sz w:val="24"/>
          <w:szCs w:val="24"/>
          <w:rtl/>
        </w:rPr>
        <w:t xml:space="preserve"> </w:t>
      </w:r>
      <w:r w:rsidR="007510A5" w:rsidRPr="00F80FC1">
        <w:rPr>
          <w:rFonts w:ascii="David" w:hAnsi="David" w:cs="David" w:hint="cs"/>
          <w:sz w:val="24"/>
          <w:szCs w:val="24"/>
          <w:rtl/>
        </w:rPr>
        <w:t xml:space="preserve">במסגרתה </w:t>
      </w:r>
      <w:r w:rsidR="00A12C71" w:rsidRPr="00F80FC1">
        <w:rPr>
          <w:rFonts w:ascii="David" w:hAnsi="David" w:cs="David" w:hint="cs"/>
          <w:sz w:val="24"/>
          <w:szCs w:val="24"/>
          <w:rtl/>
        </w:rPr>
        <w:t xml:space="preserve">  </w:t>
      </w:r>
      <w:r w:rsidR="00737F6D" w:rsidRPr="00F80FC1">
        <w:rPr>
          <w:rFonts w:asciiTheme="majorBidi" w:hAnsiTheme="majorBidi" w:cstheme="majorBidi"/>
          <w:sz w:val="24"/>
          <w:szCs w:val="24"/>
          <w:shd w:val="clear" w:color="auto" w:fill="FFFFFF"/>
        </w:rPr>
        <w:t>Only “translated”, i.e.</w:t>
      </w:r>
      <w:r w:rsidR="00A12C71" w:rsidRPr="00F80F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secular</w:t>
      </w:r>
      <w:r w:rsidR="00737F6D" w:rsidRPr="00F80FC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A12C71" w:rsidRPr="00F80F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</w:t>
      </w:r>
      <w:r w:rsidR="007510A5" w:rsidRPr="00F80F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ntributions may pass as </w:t>
      </w:r>
      <w:r w:rsidR="007E4CE8" w:rsidRPr="00F80FC1">
        <w:rPr>
          <w:rFonts w:asciiTheme="majorBidi" w:hAnsiTheme="majorBidi" w:cstheme="majorBidi"/>
          <w:sz w:val="24"/>
          <w:szCs w:val="24"/>
          <w:shd w:val="clear" w:color="auto" w:fill="FFFFFF"/>
        </w:rPr>
        <w:t>relevant.</w:t>
      </w:r>
      <w:r w:rsidR="007510A5" w:rsidRPr="00F80FC1">
        <w:rPr>
          <w:rStyle w:val="FootnoteReference"/>
          <w:rFonts w:asciiTheme="majorBidi" w:hAnsiTheme="majorBidi" w:cstheme="majorBidi"/>
          <w:sz w:val="24"/>
          <w:szCs w:val="24"/>
          <w:shd w:val="clear" w:color="auto" w:fill="FFFFFF"/>
          <w:rtl/>
        </w:rPr>
        <w:footnoteReference w:id="26"/>
      </w:r>
      <w:r w:rsidR="00F80FC1" w:rsidRPr="00F80FC1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  <w:r w:rsidR="00FF6446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אין רק שגישה כזו נותרת חשדנית באופן עמוק בכל הקשור </w:t>
      </w:r>
      <w:r w:rsidR="00F91844">
        <w:rPr>
          <w:rFonts w:ascii="David" w:hAnsi="David" w:cs="David" w:hint="cs"/>
          <w:sz w:val="24"/>
          <w:szCs w:val="24"/>
          <w:shd w:val="clear" w:color="auto" w:fill="FFFFFF"/>
          <w:rtl/>
        </w:rPr>
        <w:t>לדת</w:t>
      </w:r>
      <w:r w:rsidR="00044F83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החיצונית לה</w:t>
      </w:r>
      <w:r w:rsidR="00FF6446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, אלא שהיא מתעקשת על כך שלמושגים תיאולוגיים יש משמעות רק כאשר </w:t>
      </w:r>
      <w:r w:rsidR="00DA3121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מתמוססים </w:t>
      </w:r>
      <w:r w:rsidR="00DA39FD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באופן מלא </w:t>
      </w:r>
      <w:r w:rsidR="00044F83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בתוך "תרגומם" החילוני. </w:t>
      </w:r>
      <w:r w:rsidR="00F80FC1">
        <w:rPr>
          <w:rFonts w:ascii="David" w:hAnsi="David" w:cs="David" w:hint="cs"/>
          <w:sz w:val="24"/>
          <w:szCs w:val="24"/>
          <w:shd w:val="clear" w:color="auto" w:fill="FFFFFF"/>
          <w:rtl/>
        </w:rPr>
        <w:t>לא ברור</w:t>
      </w:r>
      <w:r w:rsidR="00904AF8">
        <w:rPr>
          <w:rFonts w:ascii="David" w:hAnsi="David" w:cs="David" w:hint="cs"/>
          <w:sz w:val="24"/>
          <w:szCs w:val="24"/>
          <w:shd w:val="clear" w:color="auto" w:fill="FFFFFF"/>
          <w:rtl/>
        </w:rPr>
        <w:t>, אפוא,</w:t>
      </w:r>
      <w:r w:rsidR="00F80FC1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כיצד אפשר להתחמק מהאופן שבו גישה </w:t>
      </w:r>
      <w:r w:rsidR="007E4CE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דיכוטומית </w:t>
      </w:r>
      <w:r w:rsidR="00DA3121">
        <w:rPr>
          <w:rFonts w:ascii="David" w:hAnsi="David" w:cs="David" w:hint="cs"/>
          <w:sz w:val="24"/>
          <w:szCs w:val="24"/>
          <w:shd w:val="clear" w:color="auto" w:fill="FFFFFF"/>
          <w:rtl/>
        </w:rPr>
        <w:t>כזו מחזיקה</w:t>
      </w:r>
      <w:r w:rsidR="00F80FC1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גם היא</w:t>
      </w:r>
      <w:r w:rsidR="007B7B8E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DA3121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ב"פנטזיה" של </w:t>
      </w:r>
      <w:r w:rsidR="007B7B8E">
        <w:rPr>
          <w:rFonts w:ascii="David" w:hAnsi="David" w:cs="David" w:hint="cs"/>
          <w:sz w:val="24"/>
          <w:szCs w:val="24"/>
          <w:shd w:val="clear" w:color="auto" w:fill="FFFFFF"/>
          <w:rtl/>
        </w:rPr>
        <w:t>דומינציה ושליטה של מסורת</w:t>
      </w:r>
      <w:r w:rsidR="00F80FC1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אחת על פני רעותה</w:t>
      </w:r>
      <w:r w:rsidR="00904AF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, </w:t>
      </w:r>
      <w:r w:rsidR="007E4CE8">
        <w:rPr>
          <w:rFonts w:ascii="David" w:hAnsi="David" w:cs="David" w:hint="cs"/>
          <w:sz w:val="24"/>
          <w:szCs w:val="24"/>
          <w:shd w:val="clear" w:color="auto" w:fill="FFFFFF"/>
          <w:rtl/>
        </w:rPr>
        <w:t>ו</w:t>
      </w:r>
      <w:r w:rsidR="00904AF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מציירת שוב, </w:t>
      </w:r>
      <w:r w:rsidR="007E4CE8">
        <w:rPr>
          <w:rFonts w:ascii="David" w:hAnsi="David" w:cs="David" w:hint="cs"/>
          <w:sz w:val="24"/>
          <w:szCs w:val="24"/>
          <w:shd w:val="clear" w:color="auto" w:fill="FFFFFF"/>
          <w:rtl/>
        </w:rPr>
        <w:t>גם אם כנגד רצונה</w:t>
      </w:r>
      <w:r w:rsidR="00904AF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, </w:t>
      </w:r>
      <w:r w:rsidR="00E356A2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את </w:t>
      </w:r>
      <w:r w:rsidR="00904AF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קווי </w:t>
      </w:r>
      <w:r w:rsidR="00E356A2">
        <w:rPr>
          <w:rFonts w:ascii="David" w:hAnsi="David" w:cs="David" w:hint="cs"/>
          <w:sz w:val="24"/>
          <w:szCs w:val="24"/>
          <w:shd w:val="clear" w:color="auto" w:fill="FFFFFF"/>
          <w:rtl/>
        </w:rPr>
        <w:t>ה</w:t>
      </w:r>
      <w:r w:rsidR="00904AF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עימות </w:t>
      </w:r>
      <w:r w:rsidR="00E356A2">
        <w:rPr>
          <w:rFonts w:ascii="David" w:hAnsi="David" w:cs="David" w:hint="cs"/>
          <w:sz w:val="24"/>
          <w:szCs w:val="24"/>
          <w:shd w:val="clear" w:color="auto" w:fill="FFFFFF"/>
          <w:rtl/>
        </w:rPr>
        <w:t>ב</w:t>
      </w:r>
      <w:r w:rsidR="007B7B8E">
        <w:rPr>
          <w:rFonts w:ascii="David" w:hAnsi="David" w:cs="David" w:hint="cs"/>
          <w:sz w:val="24"/>
          <w:szCs w:val="24"/>
          <w:shd w:val="clear" w:color="auto" w:fill="FFFFFF"/>
          <w:rtl/>
        </w:rPr>
        <w:t>יניהן</w:t>
      </w:r>
      <w:r w:rsidR="008B7735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. </w:t>
      </w:r>
    </w:p>
    <w:p w14:paraId="5DB4BAC8" w14:textId="34C0A3B3" w:rsidR="008B7735" w:rsidRPr="00631C4C" w:rsidRDefault="00631C4C" w:rsidP="00044F83">
      <w:pPr>
        <w:bidi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הבעיה בהטיה כזו </w:t>
      </w:r>
      <w:r w:rsidR="005B0FFC">
        <w:rPr>
          <w:rFonts w:ascii="David" w:hAnsi="David" w:cs="David" w:hint="cs"/>
          <w:sz w:val="24"/>
          <w:szCs w:val="24"/>
          <w:shd w:val="clear" w:color="auto" w:fill="FFFFFF"/>
          <w:rtl/>
        </w:rPr>
        <w:t>לטעמי</w:t>
      </w:r>
      <w:r w:rsidR="007E4CE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אינה נעוצה רק בכך שהצטרפותם</w:t>
      </w:r>
      <w:r w:rsidR="006B64AD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המלאה</w:t>
      </w:r>
      <w:r w:rsidR="007E4CE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של </w:t>
      </w:r>
      <w:r w:rsidR="007E4CE8">
        <w:rPr>
          <w:rFonts w:ascii="David" w:hAnsi="David" w:cs="David"/>
          <w:sz w:val="24"/>
          <w:szCs w:val="24"/>
          <w:shd w:val="clear" w:color="auto" w:fill="FFFFFF"/>
        </w:rPr>
        <w:t>"adherents of a religion"</w:t>
      </w:r>
      <w:r w:rsidR="007E4CE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5B0FFC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למרחב הציבורי המשותף ממילא אינה יכולה להשאיר את ה </w:t>
      </w:r>
      <w:r w:rsidR="005B0FFC">
        <w:rPr>
          <w:rFonts w:ascii="David" w:hAnsi="David" w:cs="David"/>
          <w:sz w:val="24"/>
          <w:szCs w:val="24"/>
          <w:shd w:val="clear" w:color="auto" w:fill="FFFFFF"/>
        </w:rPr>
        <w:t>"preexisting" secular discursive structure intact</w:t>
      </w:r>
      <w:r w:rsidR="005B0FFC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כפי שטלאל אסאד למשל </w:t>
      </w:r>
      <w:r w:rsidR="00F91844">
        <w:rPr>
          <w:rFonts w:ascii="David" w:hAnsi="David" w:cs="David" w:hint="cs"/>
          <w:sz w:val="24"/>
          <w:szCs w:val="24"/>
          <w:shd w:val="clear" w:color="auto" w:fill="FFFFFF"/>
          <w:rtl/>
        </w:rPr>
        <w:t>הצביע</w:t>
      </w:r>
      <w:r w:rsidR="005B0FFC">
        <w:rPr>
          <w:rFonts w:ascii="David" w:hAnsi="David" w:cs="David" w:hint="cs"/>
          <w:sz w:val="24"/>
          <w:szCs w:val="24"/>
          <w:shd w:val="clear" w:color="auto" w:fill="FFFFFF"/>
          <w:rtl/>
        </w:rPr>
        <w:t>.</w:t>
      </w:r>
      <w:r w:rsidR="005B0FFC">
        <w:rPr>
          <w:rStyle w:val="FootnoteReference"/>
          <w:rFonts w:ascii="David" w:hAnsi="David" w:cs="David"/>
          <w:sz w:val="24"/>
          <w:szCs w:val="24"/>
          <w:shd w:val="clear" w:color="auto" w:fill="FFFFFF"/>
          <w:rtl/>
        </w:rPr>
        <w:footnoteReference w:id="27"/>
      </w:r>
      <w:r w:rsidR="005B0FFC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745FBF">
        <w:rPr>
          <w:rFonts w:ascii="David" w:hAnsi="David" w:cs="David" w:hint="cs"/>
          <w:sz w:val="24"/>
          <w:szCs w:val="24"/>
          <w:shd w:val="clear" w:color="auto" w:fill="FFFFFF"/>
          <w:rtl/>
        </w:rPr>
        <w:t>ו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היא גם אינה מתמצית </w:t>
      </w:r>
      <w:r w:rsidR="004D2159">
        <w:rPr>
          <w:rFonts w:ascii="David" w:hAnsi="David" w:cs="David" w:hint="cs"/>
          <w:sz w:val="24"/>
          <w:szCs w:val="24"/>
          <w:shd w:val="clear" w:color="auto" w:fill="FFFFFF"/>
          <w:rtl/>
        </w:rPr>
        <w:t>בטענה</w:t>
      </w:r>
      <w:r w:rsidR="00183617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ש</w:t>
      </w:r>
      <w:r w:rsidR="004D2159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זו רק נקודת המבט של </w:t>
      </w:r>
      <w:r w:rsidR="004D2159">
        <w:rPr>
          <w:rFonts w:ascii="David" w:hAnsi="David" w:cs="David"/>
          <w:sz w:val="24"/>
          <w:szCs w:val="24"/>
          <w:shd w:val="clear" w:color="auto" w:fill="FFFFFF"/>
        </w:rPr>
        <w:t xml:space="preserve">"western secularists" </w:t>
      </w:r>
      <w:r w:rsidR="004D2159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ההופכת את הדת לכדי  </w:t>
      </w:r>
      <w:r w:rsidR="004D2159">
        <w:rPr>
          <w:rFonts w:ascii="David" w:hAnsi="David" w:cs="David"/>
          <w:sz w:val="24"/>
          <w:szCs w:val="24"/>
          <w:shd w:val="clear" w:color="auto" w:fill="FFFFFF"/>
        </w:rPr>
        <w:t xml:space="preserve"> "close set of ideals and values"</w:t>
      </w:r>
      <w:r w:rsidR="004D2159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ושרואה בה בשל כך </w:t>
      </w:r>
      <w:r w:rsidR="004D2159">
        <w:rPr>
          <w:rFonts w:ascii="David" w:hAnsi="David" w:cs="David"/>
          <w:sz w:val="24"/>
          <w:szCs w:val="24"/>
          <w:shd w:val="clear" w:color="auto" w:fill="FFFFFF"/>
        </w:rPr>
        <w:t>"antithetical to democracy"</w:t>
      </w:r>
      <w:r w:rsidR="004D2159">
        <w:rPr>
          <w:rFonts w:ascii="David" w:hAnsi="David" w:cs="David" w:hint="cs"/>
          <w:sz w:val="24"/>
          <w:szCs w:val="24"/>
          <w:shd w:val="clear" w:color="auto" w:fill="FFFFFF"/>
          <w:rtl/>
        </w:rPr>
        <w:t>.</w:t>
      </w:r>
      <w:r w:rsidR="004D2159">
        <w:rPr>
          <w:rStyle w:val="FootnoteReference"/>
          <w:rFonts w:ascii="David" w:hAnsi="David" w:cs="David"/>
          <w:sz w:val="24"/>
          <w:szCs w:val="24"/>
          <w:shd w:val="clear" w:color="auto" w:fill="FFFFFF"/>
          <w:rtl/>
        </w:rPr>
        <w:footnoteReference w:id="28"/>
      </w:r>
      <w:r w:rsidR="00745FBF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152907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היא </w:t>
      </w:r>
      <w:r w:rsidR="005B0FFC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קשורה 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יותר </w:t>
      </w:r>
      <w:r w:rsidR="005B0FFC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לעובדה שהחלוקה הבינארית </w:t>
      </w:r>
      <w:r w:rsidR="00E356A2">
        <w:rPr>
          <w:rFonts w:ascii="David" w:hAnsi="David" w:cs="David" w:hint="cs"/>
          <w:sz w:val="24"/>
          <w:szCs w:val="24"/>
          <w:shd w:val="clear" w:color="auto" w:fill="FFFFFF"/>
          <w:rtl/>
        </w:rPr>
        <w:t>בין ה"חילוני" וה"דתי"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>, שעליה היא נשענת,</w:t>
      </w:r>
      <w:r w:rsidR="00E356A2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אינה תואמת את </w:t>
      </w:r>
      <w:r w:rsidR="005B0FFC">
        <w:rPr>
          <w:rFonts w:ascii="David" w:hAnsi="David" w:cs="David" w:hint="cs"/>
          <w:sz w:val="24"/>
          <w:szCs w:val="24"/>
          <w:shd w:val="clear" w:color="auto" w:fill="FFFFFF"/>
          <w:rtl/>
        </w:rPr>
        <w:t>העושר, המורכבות, אולי אף הנזילות של הספקטרום החילוני</w:t>
      </w:r>
      <w:r w:rsidR="00F91844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עצמו</w:t>
      </w:r>
      <w:r w:rsidR="004F5D49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ביחסו </w:t>
      </w:r>
      <w:r w:rsidR="00FA723F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המתמשך </w:t>
      </w:r>
      <w:r w:rsidR="004F5D49">
        <w:rPr>
          <w:rFonts w:ascii="David" w:hAnsi="David" w:cs="David" w:hint="cs"/>
          <w:sz w:val="24"/>
          <w:szCs w:val="24"/>
          <w:shd w:val="clear" w:color="auto" w:fill="FFFFFF"/>
          <w:rtl/>
        </w:rPr>
        <w:lastRenderedPageBreak/>
        <w:t>אל מקורותיו הדתיים</w:t>
      </w:r>
      <w:r w:rsidR="00152907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הפנימיים לו</w:t>
      </w:r>
      <w:r w:rsidR="005B0FFC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, ושל </w:t>
      </w:r>
      <w:r w:rsidR="00F91844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הצורות החדשות </w:t>
      </w:r>
      <w:r w:rsidR="00F91844" w:rsidRPr="008B7735">
        <w:rPr>
          <w:rFonts w:ascii="David" w:hAnsi="David" w:cs="David" w:hint="cs"/>
          <w:sz w:val="24"/>
          <w:szCs w:val="24"/>
          <w:shd w:val="clear" w:color="auto" w:fill="FFFFFF"/>
          <w:rtl/>
        </w:rPr>
        <w:t>של דיאלוג שהוא יכול</w:t>
      </w:r>
      <w:r w:rsidR="005B0FFC" w:rsidRPr="008B7735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044F83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דווקא </w:t>
      </w:r>
      <w:r w:rsidR="00152907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בשל כך </w:t>
      </w:r>
      <w:r w:rsidR="005B0FFC" w:rsidRPr="008B7735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להציע </w:t>
      </w:r>
      <w:r w:rsidR="004F5D49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עם מקורות אלו </w:t>
      </w:r>
      <w:r w:rsidR="00044F83">
        <w:rPr>
          <w:rFonts w:ascii="David" w:hAnsi="David" w:cs="David" w:hint="cs"/>
          <w:sz w:val="24"/>
          <w:szCs w:val="24"/>
          <w:shd w:val="clear" w:color="auto" w:fill="FFFFFF"/>
          <w:rtl/>
        </w:rPr>
        <w:t>ובמיוחד</w:t>
      </w:r>
      <w:r w:rsidR="008B7735" w:rsidRPr="008B7735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8B7735" w:rsidRPr="008B7735">
        <w:rPr>
          <w:rFonts w:asciiTheme="majorBidi" w:hAnsiTheme="majorBidi" w:cstheme="majorBidi"/>
          <w:sz w:val="24"/>
          <w:szCs w:val="24"/>
        </w:rPr>
        <w:t>"</w:t>
      </w:r>
      <w:r w:rsidR="00044F83">
        <w:rPr>
          <w:rFonts w:asciiTheme="majorBidi" w:hAnsiTheme="majorBidi" w:cstheme="majorBidi"/>
          <w:sz w:val="24"/>
          <w:szCs w:val="24"/>
          <w:lang w:val="de-DE"/>
        </w:rPr>
        <w:t>i</w:t>
      </w:r>
      <w:r w:rsidR="008B7735" w:rsidRPr="008B7735">
        <w:rPr>
          <w:rFonts w:asciiTheme="majorBidi" w:hAnsiTheme="majorBidi" w:cstheme="majorBidi"/>
          <w:sz w:val="24"/>
          <w:szCs w:val="24"/>
        </w:rPr>
        <w:t xml:space="preserve">n our present moment of political crisis around the world”, </w:t>
      </w:r>
      <w:r w:rsidR="008B7735">
        <w:rPr>
          <w:rFonts w:asciiTheme="majorBidi" w:hAnsiTheme="majorBidi" w:cstheme="majorBidi" w:hint="cs"/>
          <w:sz w:val="24"/>
          <w:szCs w:val="24"/>
          <w:rtl/>
        </w:rPr>
        <w:t>.</w:t>
      </w:r>
      <w:r w:rsidR="008B7735">
        <w:rPr>
          <w:rStyle w:val="FootnoteReference"/>
          <w:rFonts w:asciiTheme="majorBidi" w:hAnsiTheme="majorBidi" w:cstheme="majorBidi"/>
          <w:sz w:val="24"/>
          <w:szCs w:val="24"/>
          <w:rtl/>
        </w:rPr>
        <w:footnoteReference w:id="29"/>
      </w:r>
    </w:p>
    <w:p w14:paraId="27E9CD04" w14:textId="6B544BBA" w:rsidR="007B7B8E" w:rsidRDefault="00D224E1" w:rsidP="00044F83">
      <w:pPr>
        <w:bidi/>
        <w:spacing w:after="0" w:line="480" w:lineRule="auto"/>
        <w:ind w:firstLine="720"/>
        <w:rPr>
          <w:rFonts w:ascii="David" w:hAnsi="David" w:cs="David"/>
          <w:sz w:val="24"/>
          <w:szCs w:val="24"/>
          <w:rtl/>
          <w:lang w:val="de-DE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>החלוקה שנראית לי אפוא פורה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יותר אינה </w:t>
      </w:r>
      <w:r w:rsidR="007B7B8E">
        <w:rPr>
          <w:rFonts w:ascii="David" w:hAnsi="David" w:cs="David" w:hint="cs"/>
          <w:sz w:val="24"/>
          <w:szCs w:val="24"/>
          <w:rtl/>
        </w:rPr>
        <w:t xml:space="preserve">בין </w:t>
      </w:r>
      <w:r w:rsidR="00044F83">
        <w:rPr>
          <w:rFonts w:ascii="David" w:hAnsi="David" w:cs="David" w:hint="cs"/>
          <w:sz w:val="24"/>
          <w:szCs w:val="24"/>
          <w:rtl/>
        </w:rPr>
        <w:t>עמדה חילונית לזו הדתית</w:t>
      </w:r>
      <w:r w:rsidR="006B64AD">
        <w:rPr>
          <w:rFonts w:ascii="David" w:hAnsi="David" w:cs="David" w:hint="cs"/>
          <w:sz w:val="24"/>
          <w:szCs w:val="24"/>
          <w:rtl/>
        </w:rPr>
        <w:t xml:space="preserve">, </w:t>
      </w:r>
      <w:r w:rsidR="009D5DE7">
        <w:rPr>
          <w:rFonts w:ascii="David" w:hAnsi="David" w:cs="David" w:hint="cs"/>
          <w:sz w:val="24"/>
          <w:szCs w:val="24"/>
          <w:rtl/>
        </w:rPr>
        <w:t xml:space="preserve">אלא </w:t>
      </w:r>
      <w:r w:rsidR="00152907">
        <w:rPr>
          <w:rFonts w:ascii="David" w:hAnsi="David" w:cs="David" w:hint="cs"/>
          <w:sz w:val="24"/>
          <w:szCs w:val="24"/>
          <w:rtl/>
        </w:rPr>
        <w:t xml:space="preserve">מעט אחרת, </w:t>
      </w:r>
      <w:r w:rsidR="009D5DE7">
        <w:rPr>
          <w:rFonts w:ascii="David" w:hAnsi="David" w:cs="David" w:hint="cs"/>
          <w:sz w:val="24"/>
          <w:szCs w:val="24"/>
          <w:rtl/>
        </w:rPr>
        <w:t>בין אלו המ</w:t>
      </w:r>
      <w:r w:rsidR="00DD6568">
        <w:rPr>
          <w:rFonts w:ascii="David" w:hAnsi="David" w:cs="David" w:hint="cs"/>
          <w:sz w:val="24"/>
          <w:szCs w:val="24"/>
          <w:rtl/>
        </w:rPr>
        <w:t>משיכים לאחוז בדיכוטומיה הזו</w:t>
      </w:r>
      <w:r w:rsidR="009D5DE7">
        <w:rPr>
          <w:rFonts w:ascii="David" w:hAnsi="David" w:cs="David" w:hint="cs"/>
          <w:sz w:val="24"/>
          <w:szCs w:val="24"/>
          <w:rtl/>
        </w:rPr>
        <w:t xml:space="preserve"> באופן דוגמאטי (בין הם מצידו האחד או האחר של המתרס) ובין אלו הדוחים חלוקות כאלו</w:t>
      </w:r>
      <w:r w:rsidR="00F91844">
        <w:rPr>
          <w:rFonts w:ascii="David" w:hAnsi="David" w:cs="David" w:hint="cs"/>
          <w:sz w:val="24"/>
          <w:szCs w:val="24"/>
          <w:rtl/>
        </w:rPr>
        <w:t xml:space="preserve"> בניסיון להצביע </w:t>
      </w:r>
      <w:r w:rsidR="00877177">
        <w:rPr>
          <w:rFonts w:ascii="David" w:hAnsi="David" w:cs="David" w:hint="cs"/>
          <w:sz w:val="24"/>
          <w:szCs w:val="24"/>
          <w:rtl/>
        </w:rPr>
        <w:t>על קיומו של ספקטרום חילוני-דתי רחב כחלק מהתפישה העצמית החילונית</w:t>
      </w:r>
      <w:r w:rsidR="00F91844">
        <w:rPr>
          <w:rFonts w:ascii="David" w:hAnsi="David" w:cs="David" w:hint="cs"/>
          <w:sz w:val="24"/>
          <w:szCs w:val="24"/>
          <w:rtl/>
        </w:rPr>
        <w:t xml:space="preserve">. </w:t>
      </w:r>
      <w:r w:rsidR="009D5DE7">
        <w:rPr>
          <w:rFonts w:ascii="David" w:hAnsi="David" w:cs="David" w:hint="cs"/>
          <w:sz w:val="24"/>
          <w:szCs w:val="24"/>
          <w:shd w:val="clear" w:color="auto" w:fill="FFFFFF"/>
          <w:rtl/>
        </w:rPr>
        <w:t>זו, כמדומני,</w:t>
      </w:r>
      <w:r w:rsidR="00F80FC1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9D5DE7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גם </w:t>
      </w:r>
      <w:r w:rsidR="00F80FC1">
        <w:rPr>
          <w:rFonts w:ascii="David" w:hAnsi="David" w:cs="David" w:hint="cs"/>
          <w:sz w:val="24"/>
          <w:szCs w:val="24"/>
          <w:shd w:val="clear" w:color="auto" w:fill="FFFFFF"/>
          <w:rtl/>
        </w:rPr>
        <w:t>המסקנה הנובעת מהתיאוריה הביקורתית.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במיוחד אצל אדורנו </w:t>
      </w:r>
      <w:r w:rsidR="008B7735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אפשר היה לראות כיצד 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חילון שפירושו כפירה באפשרות להחזיק ב- </w:t>
      </w:r>
      <w:r w:rsidR="00DD6568">
        <w:rPr>
          <w:rFonts w:ascii="David" w:hAnsi="David" w:cs="David"/>
          <w:sz w:val="24"/>
          <w:szCs w:val="24"/>
          <w:shd w:val="clear" w:color="auto" w:fill="FFFFFF"/>
        </w:rPr>
        <w:t>absolute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631C4C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של הדת </w:t>
      </w:r>
      <w:r w:rsidR="00877177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חשוב משום שהוא 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>מהווה את הדר</w:t>
      </w:r>
      <w:r w:rsidR="00631C4C">
        <w:rPr>
          <w:rFonts w:ascii="David" w:hAnsi="David" w:cs="David" w:hint="cs"/>
          <w:sz w:val="24"/>
          <w:szCs w:val="24"/>
          <w:shd w:val="clear" w:color="auto" w:fill="FFFFFF"/>
          <w:rtl/>
        </w:rPr>
        <w:t>ך היחידה להציל אותו.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8B7735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יש כאן </w:t>
      </w:r>
      <w:r w:rsidR="00631C4C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בוודאי </w:t>
      </w:r>
      <w:r w:rsidR="008B7735">
        <w:rPr>
          <w:rFonts w:ascii="David" w:hAnsi="David" w:cs="David" w:hint="cs"/>
          <w:sz w:val="24"/>
          <w:szCs w:val="24"/>
          <w:shd w:val="clear" w:color="auto" w:fill="FFFFFF"/>
          <w:rtl/>
        </w:rPr>
        <w:t>התנגדות נחרצת לכל צורה של הגשמה משיחית בעולם, שמטרתה אבל אינה סיומ</w:t>
      </w:r>
      <w:r w:rsidR="00631C4C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ה של המשיחיות, אלא דווקא </w:t>
      </w:r>
      <w:r w:rsidR="002365B3">
        <w:rPr>
          <w:rFonts w:ascii="David" w:hAnsi="David" w:cs="David" w:hint="cs"/>
          <w:sz w:val="24"/>
          <w:szCs w:val="24"/>
          <w:shd w:val="clear" w:color="auto" w:fill="FFFFFF"/>
          <w:rtl/>
        </w:rPr>
        <w:t>החייאתה</w:t>
      </w:r>
      <w:r w:rsidR="008B7735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. 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ודוק: 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>אין ספק כי הביקורת</w:t>
      </w:r>
      <w:r w:rsidR="00BF2A6B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של אדורנו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שוללת כל </w:t>
      </w:r>
      <w:r w:rsidR="00877177">
        <w:rPr>
          <w:rFonts w:ascii="David" w:hAnsi="David" w:cs="David" w:hint="cs"/>
          <w:sz w:val="24"/>
          <w:szCs w:val="24"/>
          <w:shd w:val="clear" w:color="auto" w:fill="FFFFFF"/>
          <w:rtl/>
        </w:rPr>
        <w:t>משמעות</w:t>
      </w:r>
      <w:r w:rsidR="00044F83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תיאולוגית</w:t>
      </w:r>
      <w:r w:rsidR="00877177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חיובית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>, ועם זאת השלילה הזו חשובה רק משום שהיא הדרך היחידה ל</w:t>
      </w:r>
      <w:r w:rsidR="006B64AD">
        <w:rPr>
          <w:rFonts w:ascii="David" w:hAnsi="David" w:cs="David" w:hint="cs"/>
          <w:sz w:val="24"/>
          <w:szCs w:val="24"/>
          <w:shd w:val="clear" w:color="auto" w:fill="FFFFFF"/>
          <w:rtl/>
        </w:rPr>
        <w:t>המשיך ולאחוז ב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אפשרות הזו. אנחנו עוסקים כאן אפוא במעשה מרכבה שאינו מנגיד בין הביקורת ובין </w:t>
      </w:r>
      <w:r w:rsidR="00631C4C">
        <w:rPr>
          <w:rFonts w:ascii="David" w:hAnsi="David" w:cs="David" w:hint="cs"/>
          <w:sz w:val="24"/>
          <w:szCs w:val="24"/>
          <w:shd w:val="clear" w:color="auto" w:fill="FFFFFF"/>
          <w:rtl/>
        </w:rPr>
        <w:t>המסורות התיאולוגיות שמזינות אותה</w:t>
      </w:r>
      <w:r w:rsidR="00BF2A6B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, אלא מייצר ביניהם </w:t>
      </w:r>
      <w:r w:rsidR="002365B3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מעין ברית </w:t>
      </w:r>
      <w:r w:rsidR="002365B3">
        <w:rPr>
          <w:rFonts w:ascii="David" w:hAnsi="David" w:cs="David"/>
          <w:sz w:val="24"/>
          <w:szCs w:val="24"/>
          <w:shd w:val="clear" w:color="auto" w:fill="FFFFFF"/>
        </w:rPr>
        <w:t>“in time of need”</w:t>
      </w:r>
      <w:r w:rsidR="00DD6568">
        <w:rPr>
          <w:rFonts w:ascii="David" w:hAnsi="David" w:cs="David" w:hint="cs"/>
          <w:sz w:val="24"/>
          <w:szCs w:val="24"/>
          <w:shd w:val="clear" w:color="auto" w:fill="FFFFFF"/>
          <w:rtl/>
        </w:rPr>
        <w:t>.</w:t>
      </w:r>
      <w:r w:rsidR="002365B3">
        <w:rPr>
          <w:rStyle w:val="FootnoteReference"/>
          <w:rFonts w:ascii="David" w:hAnsi="David" w:cs="David"/>
          <w:sz w:val="24"/>
          <w:szCs w:val="24"/>
          <w:shd w:val="clear" w:color="auto" w:fill="FFFFFF"/>
          <w:rtl/>
        </w:rPr>
        <w:footnoteReference w:id="30"/>
      </w:r>
      <w:r w:rsidR="00DD656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F6AD9C9" w14:textId="20B20A8D" w:rsidR="00386375" w:rsidRDefault="007B7B8E" w:rsidP="00C957BB">
      <w:pPr>
        <w:bidi/>
        <w:spacing w:after="0" w:line="480" w:lineRule="auto"/>
        <w:rPr>
          <w:rFonts w:ascii="David" w:hAnsi="David" w:cs="David"/>
          <w:sz w:val="24"/>
          <w:szCs w:val="24"/>
          <w:rtl/>
          <w:lang w:val="de-DE"/>
        </w:rPr>
      </w:pPr>
      <w:r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  <w:r w:rsidR="009D5DE7">
        <w:rPr>
          <w:rFonts w:ascii="David" w:hAnsi="David" w:cs="David"/>
          <w:sz w:val="24"/>
          <w:szCs w:val="24"/>
          <w:rtl/>
          <w:lang w:val="de-DE"/>
        </w:rPr>
        <w:tab/>
      </w:r>
      <w:r w:rsidR="004105C8">
        <w:rPr>
          <w:rFonts w:ascii="David" w:hAnsi="David" w:cs="David" w:hint="cs"/>
          <w:sz w:val="24"/>
          <w:szCs w:val="24"/>
          <w:rtl/>
          <w:lang w:val="de-DE"/>
        </w:rPr>
        <w:t>ה</w:t>
      </w:r>
      <w:r w:rsidR="00AC0CE5">
        <w:rPr>
          <w:rFonts w:ascii="David" w:hAnsi="David" w:cs="David" w:hint="cs"/>
          <w:sz w:val="24"/>
          <w:szCs w:val="24"/>
          <w:rtl/>
          <w:lang w:val="de-DE"/>
        </w:rPr>
        <w:t>אם</w:t>
      </w:r>
      <w:r w:rsidR="009D5DE7">
        <w:rPr>
          <w:rFonts w:ascii="David" w:hAnsi="David" w:cs="David" w:hint="cs"/>
          <w:sz w:val="24"/>
          <w:szCs w:val="24"/>
          <w:rtl/>
          <w:lang w:val="de-DE"/>
        </w:rPr>
        <w:t>,</w:t>
      </w:r>
      <w:r w:rsidR="00AC0CE5"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  <w:r w:rsidR="009D5DE7">
        <w:rPr>
          <w:rFonts w:ascii="David" w:hAnsi="David" w:cs="David" w:hint="cs"/>
          <w:sz w:val="24"/>
          <w:szCs w:val="24"/>
          <w:rtl/>
          <w:lang w:val="de-DE"/>
        </w:rPr>
        <w:t xml:space="preserve">אכן, </w:t>
      </w:r>
      <w:r w:rsidR="00631C4C">
        <w:rPr>
          <w:rFonts w:ascii="David" w:hAnsi="David" w:cs="David"/>
          <w:sz w:val="24"/>
          <w:szCs w:val="24"/>
          <w:rtl/>
          <w:lang w:val="de-DE"/>
        </w:rPr>
        <w:t>במקום החשכה היורדת עלינו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 xml:space="preserve"> מצורות של דתיות פונדמ</w:t>
      </w:r>
      <w:r w:rsidR="00AC0CE5">
        <w:rPr>
          <w:rFonts w:ascii="David" w:hAnsi="David" w:cs="David"/>
          <w:sz w:val="24"/>
          <w:szCs w:val="24"/>
          <w:rtl/>
          <w:lang w:val="de-DE"/>
        </w:rPr>
        <w:t xml:space="preserve">נטאליסטית מהצד האחד, </w:t>
      </w:r>
      <w:r w:rsidR="00631C4C">
        <w:rPr>
          <w:rFonts w:ascii="David" w:hAnsi="David" w:cs="David" w:hint="cs"/>
          <w:sz w:val="24"/>
          <w:szCs w:val="24"/>
          <w:rtl/>
          <w:lang w:val="de-DE"/>
        </w:rPr>
        <w:t>ו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 xml:space="preserve">משטמה </w:t>
      </w:r>
      <w:r w:rsidR="00492EA9">
        <w:rPr>
          <w:rFonts w:ascii="David" w:hAnsi="David" w:cs="David" w:hint="cs"/>
          <w:sz w:val="24"/>
          <w:szCs w:val="24"/>
          <w:rtl/>
          <w:lang w:val="de-DE"/>
        </w:rPr>
        <w:t xml:space="preserve">ביקורתית </w:t>
      </w:r>
      <w:r w:rsidR="00573901">
        <w:rPr>
          <w:rFonts w:ascii="David" w:hAnsi="David" w:cs="David" w:hint="cs"/>
          <w:sz w:val="24"/>
          <w:szCs w:val="24"/>
          <w:rtl/>
          <w:lang w:val="de-DE"/>
        </w:rPr>
        <w:t xml:space="preserve">גוברת 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>כלפי כל עניין דתי מהצד האחר, אפש</w:t>
      </w:r>
      <w:r w:rsidR="00D224E1">
        <w:rPr>
          <w:rFonts w:ascii="David" w:hAnsi="David" w:cs="David"/>
          <w:sz w:val="24"/>
          <w:szCs w:val="24"/>
          <w:rtl/>
          <w:lang w:val="de-DE"/>
        </w:rPr>
        <w:t>ר ל</w:t>
      </w:r>
      <w:r w:rsidR="00C957BB">
        <w:rPr>
          <w:rFonts w:ascii="David" w:hAnsi="David" w:cs="David" w:hint="cs"/>
          <w:sz w:val="24"/>
          <w:szCs w:val="24"/>
          <w:rtl/>
          <w:lang w:val="de-DE"/>
        </w:rPr>
        <w:t>החזיק ב</w:t>
      </w:r>
      <w:r w:rsidR="00D224E1">
        <w:rPr>
          <w:rFonts w:ascii="David" w:hAnsi="David" w:cs="David"/>
          <w:sz w:val="24"/>
          <w:szCs w:val="24"/>
          <w:rtl/>
          <w:lang w:val="de-DE"/>
        </w:rPr>
        <w:t xml:space="preserve">אלטרנטיבה </w:t>
      </w:r>
      <w:r w:rsidR="00D224E1">
        <w:rPr>
          <w:rFonts w:ascii="David" w:hAnsi="David" w:cs="David" w:hint="cs"/>
          <w:sz w:val="24"/>
          <w:szCs w:val="24"/>
          <w:rtl/>
          <w:lang w:val="de-DE"/>
        </w:rPr>
        <w:t>המכירה ב</w:t>
      </w:r>
      <w:r w:rsidR="00492EA9">
        <w:rPr>
          <w:rFonts w:ascii="David" w:hAnsi="David" w:cs="David"/>
          <w:sz w:val="24"/>
          <w:szCs w:val="24"/>
          <w:rtl/>
          <w:lang w:val="de-DE"/>
        </w:rPr>
        <w:t>מתח</w:t>
      </w:r>
      <w:r w:rsidR="0014126E">
        <w:rPr>
          <w:rFonts w:ascii="David" w:hAnsi="David" w:cs="David" w:hint="cs"/>
          <w:sz w:val="24"/>
          <w:szCs w:val="24"/>
          <w:rtl/>
          <w:lang w:val="de-DE"/>
        </w:rPr>
        <w:t>, כלומר ברצף</w:t>
      </w:r>
      <w:r w:rsidR="00492EA9">
        <w:rPr>
          <w:rFonts w:ascii="David" w:hAnsi="David" w:cs="David" w:hint="cs"/>
          <w:sz w:val="24"/>
          <w:szCs w:val="24"/>
          <w:rtl/>
          <w:lang w:val="de-DE"/>
        </w:rPr>
        <w:t>,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 xml:space="preserve"> שבין ביקורת ובין תיאולוגיה? א</w:t>
      </w:r>
      <w:r w:rsidR="00C957BB">
        <w:rPr>
          <w:rFonts w:ascii="David" w:hAnsi="David" w:cs="David" w:hint="cs"/>
          <w:sz w:val="24"/>
          <w:szCs w:val="24"/>
          <w:rtl/>
          <w:lang w:val="de-DE"/>
        </w:rPr>
        <w:t>ינני א</w:t>
      </w:r>
      <w:r w:rsidR="00BF2A6B">
        <w:rPr>
          <w:rFonts w:ascii="David" w:hAnsi="David" w:cs="David" w:hint="cs"/>
          <w:sz w:val="24"/>
          <w:szCs w:val="24"/>
          <w:rtl/>
          <w:lang w:val="de-DE"/>
        </w:rPr>
        <w:t>ופ</w:t>
      </w:r>
      <w:r w:rsidR="00C957BB">
        <w:rPr>
          <w:rFonts w:ascii="David" w:hAnsi="David" w:cs="David" w:hint="cs"/>
          <w:sz w:val="24"/>
          <w:szCs w:val="24"/>
          <w:rtl/>
          <w:lang w:val="de-DE"/>
        </w:rPr>
        <w:t>טימי במיוחד באשר ל</w:t>
      </w:r>
      <w:r w:rsidR="00950050">
        <w:rPr>
          <w:rFonts w:ascii="David" w:hAnsi="David" w:cs="David" w:hint="cs"/>
          <w:sz w:val="24"/>
          <w:szCs w:val="24"/>
          <w:rtl/>
          <w:lang w:val="de-DE"/>
        </w:rPr>
        <w:t>מימוש</w:t>
      </w:r>
      <w:r w:rsidR="00C957BB">
        <w:rPr>
          <w:rFonts w:ascii="David" w:hAnsi="David" w:cs="David" w:hint="cs"/>
          <w:sz w:val="24"/>
          <w:szCs w:val="24"/>
          <w:rtl/>
          <w:lang w:val="de-DE"/>
        </w:rPr>
        <w:t xml:space="preserve"> של אפשרות כזו</w:t>
      </w:r>
      <w:r w:rsidR="0014126E">
        <w:rPr>
          <w:rFonts w:ascii="David" w:hAnsi="David" w:cs="David" w:hint="cs"/>
          <w:sz w:val="24"/>
          <w:szCs w:val="24"/>
          <w:rtl/>
          <w:lang w:val="de-DE"/>
        </w:rPr>
        <w:t xml:space="preserve"> בעולם שבו אנו חיים היום</w:t>
      </w:r>
      <w:r w:rsidR="00BF2A6B">
        <w:rPr>
          <w:rFonts w:ascii="David" w:hAnsi="David" w:cs="David" w:hint="cs"/>
          <w:sz w:val="24"/>
          <w:szCs w:val="24"/>
          <w:rtl/>
          <w:lang w:val="de-DE"/>
        </w:rPr>
        <w:t>. א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 xml:space="preserve">ני מעז </w:t>
      </w:r>
      <w:r w:rsidR="00BF2A6B">
        <w:rPr>
          <w:rFonts w:ascii="David" w:hAnsi="David" w:cs="David" w:hint="cs"/>
          <w:sz w:val="24"/>
          <w:szCs w:val="24"/>
          <w:rtl/>
          <w:lang w:val="de-DE"/>
        </w:rPr>
        <w:t xml:space="preserve">אבל 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 xml:space="preserve">לומר כי </w:t>
      </w:r>
      <w:r w:rsidR="00BF2A6B">
        <w:rPr>
          <w:rFonts w:ascii="David" w:hAnsi="David" w:cs="David" w:hint="cs"/>
          <w:sz w:val="24"/>
          <w:szCs w:val="24"/>
          <w:rtl/>
          <w:lang w:val="de-DE"/>
        </w:rPr>
        <w:t xml:space="preserve">דווקא </w:t>
      </w:r>
      <w:r w:rsidR="00492EA9">
        <w:rPr>
          <w:rFonts w:ascii="David" w:hAnsi="David" w:cs="David" w:hint="cs"/>
          <w:sz w:val="24"/>
          <w:szCs w:val="24"/>
          <w:rtl/>
          <w:lang w:val="de-DE"/>
        </w:rPr>
        <w:t>הכרה ב</w:t>
      </w:r>
      <w:r w:rsidR="00BF2A6B">
        <w:rPr>
          <w:rFonts w:ascii="David" w:hAnsi="David" w:cs="David" w:hint="cs"/>
          <w:sz w:val="24"/>
          <w:szCs w:val="24"/>
          <w:rtl/>
          <w:lang w:val="de-DE"/>
        </w:rPr>
        <w:t xml:space="preserve">קיומו של </w:t>
      </w:r>
      <w:r w:rsidR="0014126E">
        <w:rPr>
          <w:rFonts w:ascii="David" w:hAnsi="David" w:cs="David" w:hint="cs"/>
          <w:sz w:val="24"/>
          <w:szCs w:val="24"/>
          <w:rtl/>
          <w:lang w:val="de-DE"/>
        </w:rPr>
        <w:t xml:space="preserve">רצף 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>כזה</w:t>
      </w:r>
      <w:r w:rsidR="00AC0CE5"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  <w:r w:rsidR="00BF2A6B">
        <w:rPr>
          <w:rFonts w:ascii="David" w:hAnsi="David" w:cs="David"/>
          <w:sz w:val="24"/>
          <w:szCs w:val="24"/>
          <w:rtl/>
          <w:lang w:val="de-DE"/>
        </w:rPr>
        <w:t>עשוי</w:t>
      </w:r>
      <w:r w:rsidR="00492EA9">
        <w:rPr>
          <w:rFonts w:ascii="David" w:hAnsi="David" w:cs="David" w:hint="cs"/>
          <w:sz w:val="24"/>
          <w:szCs w:val="24"/>
          <w:rtl/>
          <w:lang w:val="de-DE"/>
        </w:rPr>
        <w:t>ה</w:t>
      </w:r>
      <w:r w:rsidR="00BF2A6B">
        <w:rPr>
          <w:rFonts w:ascii="David" w:hAnsi="David" w:cs="David"/>
          <w:sz w:val="24"/>
          <w:szCs w:val="24"/>
          <w:rtl/>
          <w:lang w:val="de-DE"/>
        </w:rPr>
        <w:t xml:space="preserve"> להזמין דיון 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 xml:space="preserve">פורה (להבדיל מניגוד, עוינות הדדית, </w:t>
      </w:r>
      <w:r w:rsidR="009D5DE7">
        <w:rPr>
          <w:rFonts w:ascii="David" w:hAnsi="David" w:cs="David" w:hint="cs"/>
          <w:sz w:val="24"/>
          <w:szCs w:val="24"/>
          <w:rtl/>
          <w:lang w:val="de-DE"/>
        </w:rPr>
        <w:t xml:space="preserve">דרישה להגמוניה של צד אחד על פני האחר, 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 xml:space="preserve">או </w:t>
      </w:r>
      <w:r w:rsidR="006B64AD">
        <w:rPr>
          <w:rFonts w:ascii="David" w:hAnsi="David" w:cs="David" w:hint="cs"/>
          <w:sz w:val="24"/>
          <w:szCs w:val="24"/>
          <w:rtl/>
          <w:lang w:val="de-DE"/>
        </w:rPr>
        <w:t>מאבק אלים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>) בין מ</w:t>
      </w:r>
      <w:r w:rsidR="00BF2A6B">
        <w:rPr>
          <w:rFonts w:ascii="David" w:hAnsi="David" w:cs="David"/>
          <w:sz w:val="24"/>
          <w:szCs w:val="24"/>
          <w:rtl/>
          <w:lang w:val="de-DE"/>
        </w:rPr>
        <w:t>סורות של מחשבה ובין תפישות עולם</w:t>
      </w:r>
      <w:r w:rsidR="00BF2A6B">
        <w:rPr>
          <w:rFonts w:ascii="David" w:hAnsi="David" w:cs="David" w:hint="cs"/>
          <w:sz w:val="24"/>
          <w:szCs w:val="24"/>
          <w:rtl/>
          <w:lang w:val="de-DE"/>
        </w:rPr>
        <w:t>,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="00631C4C">
        <w:rPr>
          <w:rFonts w:ascii="David" w:hAnsi="David" w:cs="David" w:hint="cs"/>
          <w:sz w:val="24"/>
          <w:szCs w:val="24"/>
          <w:rtl/>
          <w:lang w:val="de-DE"/>
        </w:rPr>
        <w:t xml:space="preserve">שממש כמו ב </w:t>
      </w:r>
      <w:r w:rsidR="00B5123D">
        <w:rPr>
          <w:rFonts w:ascii="David" w:hAnsi="David" w:cs="David"/>
          <w:sz w:val="24"/>
          <w:szCs w:val="24"/>
        </w:rPr>
        <w:t>handmaid’s</w:t>
      </w:r>
      <w:r w:rsidR="00631C4C">
        <w:rPr>
          <w:rFonts w:ascii="David" w:hAnsi="David" w:cs="David"/>
          <w:sz w:val="24"/>
          <w:szCs w:val="24"/>
        </w:rPr>
        <w:t xml:space="preserve"> tale</w:t>
      </w:r>
      <w:r w:rsidR="00631C4C">
        <w:rPr>
          <w:rFonts w:ascii="David" w:hAnsi="David" w:cs="David" w:hint="cs"/>
          <w:sz w:val="24"/>
          <w:szCs w:val="24"/>
          <w:rtl/>
        </w:rPr>
        <w:t xml:space="preserve"> של קאנט, </w:t>
      </w:r>
      <w:r w:rsidR="00BF2A6B">
        <w:rPr>
          <w:rFonts w:ascii="David" w:hAnsi="David" w:cs="David" w:hint="cs"/>
          <w:sz w:val="24"/>
          <w:szCs w:val="24"/>
          <w:rtl/>
          <w:lang w:val="de-DE"/>
        </w:rPr>
        <w:t>ישאו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 xml:space="preserve"> בלפיד זו לפני זו, או </w:t>
      </w:r>
      <w:r w:rsidR="00BF2A6B">
        <w:rPr>
          <w:rFonts w:ascii="David" w:hAnsi="David" w:cs="David" w:hint="cs"/>
          <w:sz w:val="24"/>
          <w:szCs w:val="24"/>
          <w:rtl/>
          <w:lang w:val="de-DE"/>
        </w:rPr>
        <w:t xml:space="preserve">ימשכו 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 xml:space="preserve">בשובל שמלתה זו של רעותה, ובכל מקרה </w:t>
      </w:r>
      <w:r w:rsidR="00BF2A6B">
        <w:rPr>
          <w:rFonts w:ascii="David" w:hAnsi="David" w:cs="David" w:hint="cs"/>
          <w:sz w:val="24"/>
          <w:szCs w:val="24"/>
          <w:rtl/>
          <w:lang w:val="de-DE"/>
        </w:rPr>
        <w:t xml:space="preserve">לא יבקשו </w:t>
      </w:r>
      <w:r w:rsidR="00AC0CE5" w:rsidRPr="004E757A">
        <w:rPr>
          <w:rFonts w:ascii="David" w:hAnsi="David" w:cs="David"/>
          <w:sz w:val="24"/>
          <w:szCs w:val="24"/>
          <w:rtl/>
          <w:lang w:val="de-DE"/>
        </w:rPr>
        <w:t xml:space="preserve">לעצמן בלעדיות בעולמם של בני האדם. </w:t>
      </w:r>
    </w:p>
    <w:p w14:paraId="6FC5F206" w14:textId="6D2FA470" w:rsidR="00805BB4" w:rsidRDefault="00805BB4" w:rsidP="00805BB4">
      <w:pPr>
        <w:bidi/>
        <w:spacing w:after="0" w:line="480" w:lineRule="auto"/>
        <w:rPr>
          <w:rFonts w:ascii="David" w:hAnsi="David" w:cs="David"/>
          <w:sz w:val="24"/>
          <w:szCs w:val="24"/>
          <w:rtl/>
          <w:lang w:val="de-DE"/>
        </w:rPr>
      </w:pPr>
    </w:p>
    <w:p w14:paraId="57C45073" w14:textId="77777777" w:rsidR="00805BB4" w:rsidRDefault="00805BB4" w:rsidP="00805BB4">
      <w:pPr>
        <w:bidi/>
        <w:spacing w:after="0" w:line="480" w:lineRule="auto"/>
        <w:rPr>
          <w:rFonts w:ascii="David" w:hAnsi="David" w:cs="David"/>
          <w:sz w:val="24"/>
          <w:szCs w:val="24"/>
          <w:lang w:val="de-DE"/>
        </w:rPr>
      </w:pPr>
    </w:p>
    <w:p w14:paraId="2C80FB96" w14:textId="77777777" w:rsidR="007007EF" w:rsidRDefault="007007EF" w:rsidP="007007EF">
      <w:pPr>
        <w:bidi/>
        <w:spacing w:after="0" w:line="480" w:lineRule="auto"/>
        <w:rPr>
          <w:rFonts w:ascii="David" w:hAnsi="David" w:cs="David"/>
          <w:sz w:val="24"/>
          <w:szCs w:val="24"/>
          <w:rtl/>
          <w:lang w:val="de-DE"/>
        </w:rPr>
      </w:pPr>
    </w:p>
    <w:p w14:paraId="00BDF479" w14:textId="52901EF8" w:rsidR="00044F83" w:rsidRPr="00044F83" w:rsidRDefault="00044F83" w:rsidP="00044F83">
      <w:pPr>
        <w:spacing w:after="120" w:line="480" w:lineRule="auto"/>
        <w:rPr>
          <w:rFonts w:ascii="David" w:hAnsi="David" w:cs="David"/>
          <w:sz w:val="24"/>
          <w:szCs w:val="24"/>
          <w:lang w:val="de-DE"/>
        </w:rPr>
      </w:pPr>
      <w:r>
        <w:rPr>
          <w:rFonts w:ascii="David" w:hAnsi="David" w:cs="David"/>
          <w:sz w:val="24"/>
          <w:szCs w:val="24"/>
          <w:lang w:val="de-DE"/>
        </w:rPr>
        <w:t>Bibliography</w:t>
      </w:r>
    </w:p>
    <w:p w14:paraId="12586A13" w14:textId="77777777" w:rsidR="00044F83" w:rsidRPr="002043D0" w:rsidRDefault="00044F83" w:rsidP="002043D0">
      <w:pPr>
        <w:pStyle w:val="FootnoteText"/>
        <w:spacing w:after="120"/>
        <w:rPr>
          <w:rFonts w:asciiTheme="majorBidi" w:hAnsiTheme="majorBidi" w:cstheme="majorBidi"/>
          <w:color w:val="000000"/>
          <w:shd w:val="clear" w:color="auto" w:fill="FFFFFF"/>
        </w:rPr>
      </w:pPr>
      <w:r w:rsidRPr="00745FBF">
        <w:rPr>
          <w:rFonts w:asciiTheme="majorBidi" w:hAnsiTheme="majorBidi" w:cstheme="majorBidi"/>
        </w:rPr>
        <w:t>Agbaria</w:t>
      </w:r>
      <w:r>
        <w:rPr>
          <w:rFonts w:asciiTheme="majorBidi" w:hAnsiTheme="majorBidi" w:cstheme="majorBidi"/>
        </w:rPr>
        <w:t xml:space="preserve"> </w:t>
      </w:r>
      <w:r w:rsidRPr="00745FBF">
        <w:rPr>
          <w:rFonts w:asciiTheme="majorBidi" w:hAnsiTheme="majorBidi" w:cstheme="majorBidi"/>
        </w:rPr>
        <w:t>Ayman. K.</w:t>
      </w:r>
      <w:r>
        <w:rPr>
          <w:rFonts w:asciiTheme="majorBidi" w:hAnsiTheme="majorBidi" w:cstheme="majorBidi"/>
        </w:rPr>
        <w:t>,</w:t>
      </w:r>
      <w:r w:rsidRPr="00745FBF">
        <w:rPr>
          <w:rFonts w:asciiTheme="majorBidi" w:hAnsiTheme="majorBidi" w:cstheme="majorBidi"/>
        </w:rPr>
        <w:t xml:space="preserve"> &amp; Mustafa Muhanad, </w:t>
      </w:r>
      <w:r>
        <w:rPr>
          <w:rFonts w:asciiTheme="majorBidi" w:hAnsiTheme="majorBidi" w:cstheme="majorBidi"/>
        </w:rPr>
        <w:t>“The Case of Palestinian Civil Society in Israel: Islam, Civil Society and Educational A</w:t>
      </w:r>
      <w:r w:rsidRPr="00745FBF">
        <w:rPr>
          <w:rFonts w:asciiTheme="majorBidi" w:hAnsiTheme="majorBidi" w:cstheme="majorBidi"/>
        </w:rPr>
        <w:t xml:space="preserve">ctivism", </w:t>
      </w:r>
      <w:r w:rsidRPr="00745FBF">
        <w:rPr>
          <w:rFonts w:asciiTheme="majorBidi" w:hAnsiTheme="majorBidi" w:cstheme="majorBidi"/>
          <w:i/>
          <w:iCs/>
        </w:rPr>
        <w:t>Critical Studies in Education</w:t>
      </w:r>
      <w:r w:rsidRPr="00745FBF">
        <w:rPr>
          <w:rFonts w:asciiTheme="majorBidi" w:hAnsiTheme="majorBidi" w:cstheme="majorBidi"/>
        </w:rPr>
        <w:t>, 55.1 (2014): 44-57</w:t>
      </w:r>
      <w:r>
        <w:rPr>
          <w:rFonts w:asciiTheme="majorBidi" w:hAnsiTheme="majorBidi" w:cstheme="majorBidi"/>
        </w:rPr>
        <w:t>.</w:t>
      </w:r>
    </w:p>
    <w:p w14:paraId="64EA2382" w14:textId="3A7366C3" w:rsidR="00044F83" w:rsidRDefault="00044F83" w:rsidP="00C607C2">
      <w:pPr>
        <w:pStyle w:val="FootnoteText"/>
        <w:spacing w:after="120"/>
        <w:rPr>
          <w:rFonts w:asciiTheme="majorBidi" w:hAnsiTheme="majorBidi" w:cstheme="majorBidi"/>
          <w:color w:val="202122"/>
          <w:shd w:val="clear" w:color="auto" w:fill="FFFFFF"/>
        </w:rPr>
      </w:pPr>
      <w:r w:rsidRPr="00DC0C38">
        <w:rPr>
          <w:rFonts w:asciiTheme="majorBidi" w:hAnsiTheme="majorBidi" w:cstheme="majorBidi"/>
          <w:color w:val="202122"/>
          <w:shd w:val="clear" w:color="auto" w:fill="FFFFFF"/>
        </w:rPr>
        <w:t>Anker Elizabeth S.</w:t>
      </w:r>
      <w:r>
        <w:rPr>
          <w:rFonts w:asciiTheme="majorBidi" w:hAnsiTheme="majorBidi" w:cstheme="majorBidi"/>
          <w:color w:val="202122"/>
          <w:shd w:val="clear" w:color="auto" w:fill="FFFFFF"/>
        </w:rPr>
        <w:t>,</w:t>
      </w:r>
      <w:r w:rsidRPr="00DC0C38">
        <w:rPr>
          <w:rFonts w:asciiTheme="majorBidi" w:hAnsiTheme="majorBidi" w:cstheme="majorBidi"/>
          <w:color w:val="202122"/>
          <w:shd w:val="clear" w:color="auto" w:fill="FFFFFF"/>
        </w:rPr>
        <w:t xml:space="preserve">  &amp; Felski Rita, (eds.). </w:t>
      </w:r>
      <w:r w:rsidRPr="00DC0C38">
        <w:rPr>
          <w:rFonts w:asciiTheme="majorBidi" w:hAnsiTheme="majorBidi" w:cstheme="majorBidi"/>
          <w:i/>
          <w:iCs/>
          <w:color w:val="202122"/>
          <w:shd w:val="clear" w:color="auto" w:fill="FFFFFF"/>
        </w:rPr>
        <w:t>Critique and Postcritique</w:t>
      </w:r>
      <w:r w:rsidRPr="00DC0C38">
        <w:rPr>
          <w:rFonts w:asciiTheme="majorBidi" w:hAnsiTheme="majorBidi" w:cstheme="majorBidi"/>
          <w:color w:val="202122"/>
          <w:shd w:val="clear" w:color="auto" w:fill="FFFFFF"/>
        </w:rPr>
        <w:t>. Durham: Duke University Press, 2017.</w:t>
      </w:r>
    </w:p>
    <w:p w14:paraId="056117F2" w14:textId="77777777" w:rsidR="00044F83" w:rsidRPr="00745FBF" w:rsidRDefault="00044F83" w:rsidP="00745FBF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745FBF">
        <w:rPr>
          <w:rFonts w:asciiTheme="majorBidi" w:hAnsiTheme="majorBidi" w:cstheme="majorBidi"/>
          <w:sz w:val="20"/>
          <w:szCs w:val="20"/>
        </w:rPr>
        <w:lastRenderedPageBreak/>
        <w:t xml:space="preserve">Arthur James, Gearon Liam, &amp; Sears Alan, </w:t>
      </w:r>
      <w:r w:rsidRPr="00745FBF">
        <w:rPr>
          <w:rFonts w:asciiTheme="majorBidi" w:hAnsiTheme="majorBidi" w:cstheme="majorBidi"/>
          <w:i/>
          <w:iCs/>
          <w:sz w:val="20"/>
          <w:szCs w:val="20"/>
        </w:rPr>
        <w:t>Education, Politics and Religion: Reconciling the Civil and the Sacred in Education.</w:t>
      </w:r>
      <w:r w:rsidRPr="00745FBF">
        <w:rPr>
          <w:rFonts w:asciiTheme="majorBidi" w:hAnsiTheme="majorBidi" w:cstheme="majorBidi"/>
          <w:sz w:val="20"/>
          <w:szCs w:val="20"/>
        </w:rPr>
        <w:t xml:space="preserve"> London &amp; New York: Routledge, 2010.</w:t>
      </w:r>
    </w:p>
    <w:p w14:paraId="78E0554F" w14:textId="77777777" w:rsidR="00044F83" w:rsidRPr="00745FBF" w:rsidRDefault="00044F83" w:rsidP="0073177D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745FBF">
        <w:rPr>
          <w:rFonts w:asciiTheme="majorBidi" w:hAnsiTheme="majorBidi" w:cstheme="majorBidi"/>
          <w:sz w:val="20"/>
          <w:szCs w:val="20"/>
        </w:rPr>
        <w:t xml:space="preserve">Asad Talal, </w:t>
      </w:r>
      <w:r>
        <w:rPr>
          <w:rFonts w:asciiTheme="majorBidi" w:hAnsiTheme="majorBidi" w:cstheme="majorBidi"/>
          <w:i/>
          <w:iCs/>
          <w:sz w:val="20"/>
          <w:szCs w:val="20"/>
        </w:rPr>
        <w:t>Formations of the S</w:t>
      </w:r>
      <w:r w:rsidRPr="00745FBF">
        <w:rPr>
          <w:rFonts w:asciiTheme="majorBidi" w:hAnsiTheme="majorBidi" w:cstheme="majorBidi"/>
          <w:i/>
          <w:iCs/>
          <w:sz w:val="20"/>
          <w:szCs w:val="20"/>
        </w:rPr>
        <w:t>ecular: Christianity, Islam, Modernity</w:t>
      </w:r>
      <w:r w:rsidRPr="00745FBF">
        <w:rPr>
          <w:rFonts w:asciiTheme="majorBidi" w:hAnsiTheme="majorBidi" w:cstheme="majorBidi"/>
          <w:sz w:val="20"/>
          <w:szCs w:val="20"/>
        </w:rPr>
        <w:t>. Stanford: Stanford University Press, 2003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141F3334" w14:textId="77777777" w:rsidR="00044F83" w:rsidRPr="00271178" w:rsidRDefault="00044F83" w:rsidP="00DB27D5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D94866">
        <w:rPr>
          <w:rFonts w:asciiTheme="majorBidi" w:hAnsiTheme="majorBidi" w:cstheme="majorBidi"/>
          <w:sz w:val="20"/>
          <w:szCs w:val="20"/>
        </w:rPr>
        <w:t xml:space="preserve">Bielik Robson Agata, “‘The God of Myth Is Not Dead’: Modernity and Its Cryptotheologies A Jewish Perspective”, </w:t>
      </w:r>
      <w:r w:rsidRPr="00D94866">
        <w:rPr>
          <w:rFonts w:asciiTheme="majorBidi" w:hAnsiTheme="majorBidi" w:cstheme="majorBidi"/>
          <w:color w:val="1D2129"/>
          <w:sz w:val="20"/>
          <w:szCs w:val="20"/>
          <w:shd w:val="clear" w:color="auto" w:fill="FFFFFF"/>
        </w:rPr>
        <w:t xml:space="preserve">in: Willem Styfhals &amp; Stephane Symons (eds.) </w:t>
      </w:r>
      <w:r w:rsidRPr="00D94866">
        <w:rPr>
          <w:rFonts w:asciiTheme="majorBidi" w:hAnsiTheme="majorBidi" w:cstheme="majorBidi"/>
          <w:i/>
          <w:iCs/>
          <w:color w:val="1D2129"/>
          <w:sz w:val="20"/>
          <w:szCs w:val="20"/>
          <w:shd w:val="clear" w:color="auto" w:fill="FFFFFF"/>
        </w:rPr>
        <w:t>Genealogies of the Secular</w:t>
      </w:r>
      <w:r>
        <w:rPr>
          <w:rFonts w:asciiTheme="majorBidi" w:hAnsiTheme="majorBidi" w:cstheme="majorBidi"/>
          <w:i/>
          <w:iCs/>
          <w:color w:val="1D2129"/>
          <w:sz w:val="20"/>
          <w:szCs w:val="20"/>
          <w:shd w:val="clear" w:color="auto" w:fill="FFFFFF"/>
        </w:rPr>
        <w:t>:</w:t>
      </w:r>
      <w:r w:rsidRPr="00D94866">
        <w:rPr>
          <w:rFonts w:asciiTheme="majorBidi" w:hAnsiTheme="majorBidi" w:cstheme="majorBidi"/>
          <w:i/>
          <w:iCs/>
          <w:color w:val="1D2129"/>
          <w:sz w:val="20"/>
          <w:szCs w:val="20"/>
          <w:shd w:val="clear" w:color="auto" w:fill="FFFFFF"/>
        </w:rPr>
        <w:t xml:space="preserve"> The Making of Modern German Thought</w:t>
      </w:r>
      <w:r>
        <w:rPr>
          <w:rFonts w:asciiTheme="majorBidi" w:hAnsiTheme="majorBidi" w:cstheme="majorBidi"/>
          <w:color w:val="1D2129"/>
          <w:sz w:val="20"/>
          <w:szCs w:val="20"/>
          <w:shd w:val="clear" w:color="auto" w:fill="FFFFFF"/>
        </w:rPr>
        <w:t>.</w:t>
      </w:r>
      <w:r w:rsidRPr="00D94866">
        <w:rPr>
          <w:rFonts w:asciiTheme="majorBidi" w:hAnsiTheme="majorBidi" w:cstheme="majorBidi"/>
          <w:color w:val="1D2129"/>
          <w:sz w:val="20"/>
          <w:szCs w:val="20"/>
          <w:shd w:val="clear" w:color="auto" w:fill="FFFFFF"/>
        </w:rPr>
        <w:t xml:space="preserve"> New York: SUNY, 2019: </w:t>
      </w:r>
      <w:r w:rsidRPr="00D94866">
        <w:rPr>
          <w:rFonts w:asciiTheme="majorBidi" w:hAnsiTheme="majorBidi" w:cstheme="majorBidi"/>
          <w:sz w:val="20"/>
          <w:szCs w:val="20"/>
        </w:rPr>
        <w:t>51-80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0BFC0F56" w14:textId="77777777" w:rsidR="00044F83" w:rsidRPr="00CC39FD" w:rsidRDefault="00044F83" w:rsidP="0073177D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89406E">
        <w:rPr>
          <w:rFonts w:asciiTheme="majorBidi" w:hAnsiTheme="majorBidi" w:cstheme="majorBidi"/>
          <w:sz w:val="20"/>
          <w:szCs w:val="20"/>
        </w:rPr>
        <w:t xml:space="preserve">Bielik-Robson Agata, </w:t>
      </w:r>
      <w:r w:rsidRPr="00CC39FD">
        <w:rPr>
          <w:rFonts w:asciiTheme="majorBidi" w:hAnsiTheme="majorBidi" w:cstheme="majorBidi"/>
          <w:i/>
          <w:iCs/>
          <w:sz w:val="20"/>
          <w:szCs w:val="20"/>
        </w:rPr>
        <w:t>Jewish Cryptotheologies of Late Modernity: Philosophical Marranos</w:t>
      </w:r>
      <w:r>
        <w:rPr>
          <w:rFonts w:asciiTheme="majorBidi" w:hAnsiTheme="majorBidi" w:cstheme="majorBidi"/>
          <w:sz w:val="20"/>
          <w:szCs w:val="20"/>
        </w:rPr>
        <w:t>. London: Routledge, 2014</w:t>
      </w:r>
      <w:r w:rsidRPr="0089406E">
        <w:rPr>
          <w:rFonts w:asciiTheme="majorBidi" w:hAnsiTheme="majorBidi" w:cstheme="majorBidi"/>
          <w:sz w:val="20"/>
          <w:szCs w:val="20"/>
        </w:rPr>
        <w:t xml:space="preserve">.  </w:t>
      </w:r>
    </w:p>
    <w:p w14:paraId="5FE5079E" w14:textId="77777777" w:rsidR="00044F83" w:rsidRDefault="00044F83" w:rsidP="00DB27D5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271178">
        <w:rPr>
          <w:rFonts w:asciiTheme="majorBidi" w:hAnsiTheme="majorBidi" w:cstheme="majorBidi"/>
          <w:sz w:val="20"/>
          <w:szCs w:val="20"/>
        </w:rPr>
        <w:t xml:space="preserve">Bielik-Robson Agata, The Post-Secular Turn: Enlightenment, Tradition, Revolution. </w:t>
      </w:r>
      <w:r w:rsidRPr="00271178">
        <w:rPr>
          <w:rFonts w:asciiTheme="majorBidi" w:hAnsiTheme="majorBidi" w:cstheme="majorBidi"/>
          <w:i/>
          <w:iCs/>
          <w:sz w:val="20"/>
          <w:szCs w:val="20"/>
        </w:rPr>
        <w:t xml:space="preserve">Eidos: A Journal for Philosophy of Culture, </w:t>
      </w:r>
      <w:r w:rsidRPr="00271178">
        <w:rPr>
          <w:rFonts w:asciiTheme="majorBidi" w:hAnsiTheme="majorBidi" w:cstheme="majorBidi"/>
          <w:sz w:val="20"/>
          <w:szCs w:val="20"/>
        </w:rPr>
        <w:t xml:space="preserve">3.9 (2019): 57-83. </w:t>
      </w:r>
    </w:p>
    <w:p w14:paraId="70622D22" w14:textId="77777777" w:rsidR="00044F83" w:rsidRDefault="00044F83" w:rsidP="002043D0">
      <w:pPr>
        <w:pStyle w:val="FootnoteText"/>
        <w:spacing w:after="120"/>
        <w:rPr>
          <w:rFonts w:asciiTheme="majorBidi" w:hAnsiTheme="majorBidi" w:cstheme="majorBidi"/>
          <w:color w:val="000000"/>
          <w:shd w:val="clear" w:color="auto" w:fill="FFFFFF"/>
        </w:rPr>
      </w:pPr>
      <w:r w:rsidRPr="000F69E7">
        <w:rPr>
          <w:rFonts w:asciiTheme="majorBidi" w:hAnsiTheme="majorBidi" w:cstheme="majorBidi"/>
        </w:rPr>
        <w:t xml:space="preserve">Bowie Andrew, “Gadamar and Romanticism”, in: </w:t>
      </w:r>
      <w:r w:rsidRPr="000F69E7">
        <w:rPr>
          <w:rFonts w:asciiTheme="majorBidi" w:hAnsiTheme="majorBidi" w:cstheme="majorBidi"/>
          <w:color w:val="000000"/>
          <w:shd w:val="clear" w:color="auto" w:fill="FFFFFF"/>
        </w:rPr>
        <w:t>Krajewski, Bruce, (ed.) </w:t>
      </w:r>
      <w:r w:rsidRPr="000F69E7">
        <w:rPr>
          <w:rStyle w:val="HTMLCite"/>
          <w:rFonts w:asciiTheme="majorBidi" w:hAnsiTheme="majorBidi" w:cstheme="majorBidi"/>
          <w:color w:val="000000"/>
          <w:shd w:val="clear" w:color="auto" w:fill="FFFFFF"/>
        </w:rPr>
        <w:t>Gadamer's Repercussions: Reconsidering Philosophical Hermeneutics. </w:t>
      </w:r>
      <w:r w:rsidRPr="000F69E7">
        <w:rPr>
          <w:rFonts w:asciiTheme="majorBidi" w:hAnsiTheme="majorBidi" w:cstheme="majorBidi"/>
          <w:color w:val="000000"/>
          <w:shd w:val="clear" w:color="auto" w:fill="FFFFFF"/>
        </w:rPr>
        <w:t>Berkeley:  University of California Press, 2004</w:t>
      </w:r>
      <w:r>
        <w:rPr>
          <w:rFonts w:asciiTheme="majorBidi" w:hAnsiTheme="majorBidi" w:cstheme="majorBidi"/>
          <w:color w:val="000000"/>
          <w:shd w:val="clear" w:color="auto" w:fill="FFFFFF"/>
        </w:rPr>
        <w:t>, 55-81.</w:t>
      </w:r>
    </w:p>
    <w:p w14:paraId="016A7168" w14:textId="77777777" w:rsidR="00044F83" w:rsidRPr="00271178" w:rsidRDefault="00044F83" w:rsidP="00271178">
      <w:pPr>
        <w:pStyle w:val="FootnoteText"/>
        <w:spacing w:after="120"/>
        <w:rPr>
          <w:rFonts w:asciiTheme="majorBidi" w:hAnsiTheme="majorBidi" w:cstheme="majorBidi"/>
          <w:i/>
          <w:iCs/>
        </w:rPr>
      </w:pPr>
      <w:r w:rsidRPr="00271178">
        <w:rPr>
          <w:rFonts w:asciiTheme="majorBidi" w:hAnsiTheme="majorBidi" w:cstheme="majorBidi"/>
        </w:rPr>
        <w:t xml:space="preserve">Casanova Jose, </w:t>
      </w:r>
      <w:r w:rsidRPr="00271178">
        <w:rPr>
          <w:rFonts w:asciiTheme="majorBidi" w:hAnsiTheme="majorBidi" w:cstheme="majorBidi"/>
          <w:i/>
          <w:iCs/>
        </w:rPr>
        <w:t>Public Religions in the Modern World</w:t>
      </w:r>
      <w:r w:rsidRPr="00271178">
        <w:rPr>
          <w:rFonts w:asciiTheme="majorBidi" w:hAnsiTheme="majorBidi" w:cstheme="majorBidi"/>
        </w:rPr>
        <w:t>, Chicago: University of Chicago Press, 1994.</w:t>
      </w:r>
    </w:p>
    <w:p w14:paraId="6B8D6697" w14:textId="77777777" w:rsidR="00044F83" w:rsidRDefault="00044F83" w:rsidP="0073177D">
      <w:pPr>
        <w:pStyle w:val="FootnoteText"/>
        <w:spacing w:after="120"/>
        <w:rPr>
          <w:rFonts w:asciiTheme="majorBidi" w:hAnsiTheme="majorBidi" w:cstheme="majorBidi"/>
        </w:rPr>
      </w:pPr>
      <w:r w:rsidRPr="00D4016B">
        <w:rPr>
          <w:rFonts w:asciiTheme="majorBidi" w:hAnsiTheme="majorBidi" w:cstheme="majorBidi"/>
        </w:rPr>
        <w:t xml:space="preserve">Casanova Jose, </w:t>
      </w:r>
      <w:r w:rsidRPr="00D4016B">
        <w:rPr>
          <w:rFonts w:asciiTheme="majorBidi" w:hAnsiTheme="majorBidi" w:cstheme="majorBidi"/>
          <w:i/>
          <w:iCs/>
        </w:rPr>
        <w:t>Public Religions in the Modern World</w:t>
      </w:r>
      <w:r>
        <w:rPr>
          <w:rFonts w:asciiTheme="majorBidi" w:hAnsiTheme="majorBidi" w:cstheme="majorBidi"/>
        </w:rPr>
        <w:t>,</w:t>
      </w:r>
      <w:r w:rsidRPr="00D4016B">
        <w:rPr>
          <w:rFonts w:asciiTheme="majorBidi" w:hAnsiTheme="majorBidi" w:cstheme="majorBidi"/>
        </w:rPr>
        <w:t xml:space="preserve"> Chicago: University of Chicago Press, 1994</w:t>
      </w:r>
      <w:r>
        <w:rPr>
          <w:rFonts w:asciiTheme="majorBidi" w:hAnsiTheme="majorBidi" w:cstheme="majorBidi"/>
        </w:rPr>
        <w:t>.</w:t>
      </w:r>
    </w:p>
    <w:p w14:paraId="2AA59775" w14:textId="77777777" w:rsidR="00044F83" w:rsidRDefault="00044F83" w:rsidP="006675F3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2601CF">
        <w:rPr>
          <w:rFonts w:asciiTheme="majorBidi" w:hAnsiTheme="majorBidi" w:cstheme="majorBidi"/>
          <w:sz w:val="20"/>
          <w:szCs w:val="20"/>
        </w:rPr>
        <w:t xml:space="preserve">David Marshall, </w:t>
      </w:r>
      <w:r w:rsidRPr="002601CF">
        <w:rPr>
          <w:rFonts w:asciiTheme="majorBidi" w:hAnsiTheme="majorBidi" w:cstheme="majorBidi"/>
          <w:i/>
          <w:iCs/>
          <w:sz w:val="20"/>
          <w:szCs w:val="20"/>
        </w:rPr>
        <w:t>The Weimar Origins of Rhetorical Inquiry</w:t>
      </w:r>
      <w:r w:rsidRPr="002601CF">
        <w:rPr>
          <w:rFonts w:asciiTheme="majorBidi" w:hAnsiTheme="majorBidi" w:cstheme="majorBidi"/>
          <w:sz w:val="20"/>
          <w:szCs w:val="20"/>
        </w:rPr>
        <w:t>. Chicago: Uni</w:t>
      </w:r>
      <w:r>
        <w:rPr>
          <w:rFonts w:asciiTheme="majorBidi" w:hAnsiTheme="majorBidi" w:cstheme="majorBidi"/>
          <w:sz w:val="20"/>
          <w:szCs w:val="20"/>
        </w:rPr>
        <w:t>versity of Chicago Press, 2020.</w:t>
      </w:r>
    </w:p>
    <w:p w14:paraId="2DB03866" w14:textId="77777777" w:rsidR="00044F83" w:rsidRPr="00271178" w:rsidRDefault="00044F83" w:rsidP="0073177D">
      <w:pPr>
        <w:pStyle w:val="FootnoteText"/>
        <w:spacing w:after="120"/>
        <w:rPr>
          <w:rFonts w:asciiTheme="majorBidi" w:hAnsiTheme="majorBidi" w:cstheme="majorBidi"/>
        </w:rPr>
      </w:pPr>
      <w:r w:rsidRPr="00271178">
        <w:rPr>
          <w:rFonts w:asciiTheme="majorBidi" w:hAnsiTheme="majorBidi" w:cstheme="majorBidi"/>
        </w:rPr>
        <w:t xml:space="preserve">De Vries Hent, (ed.) </w:t>
      </w:r>
      <w:r w:rsidRPr="00271178">
        <w:rPr>
          <w:rFonts w:asciiTheme="majorBidi" w:hAnsiTheme="majorBidi" w:cstheme="majorBidi"/>
          <w:i/>
          <w:iCs/>
        </w:rPr>
        <w:t>Religion beyond a Concept: The Future of the Religious Past</w:t>
      </w:r>
      <w:r w:rsidRPr="00271178">
        <w:rPr>
          <w:rFonts w:asciiTheme="majorBidi" w:hAnsiTheme="majorBidi" w:cstheme="majorBidi"/>
        </w:rPr>
        <w:t>. New York: Fordham University Press, 2008.</w:t>
      </w:r>
    </w:p>
    <w:p w14:paraId="5C70732D" w14:textId="7CA97A27" w:rsidR="00044F83" w:rsidRDefault="00044F83" w:rsidP="00C607C2">
      <w:pPr>
        <w:pStyle w:val="FootnoteText"/>
        <w:spacing w:after="120"/>
        <w:rPr>
          <w:rFonts w:asciiTheme="majorBidi" w:hAnsiTheme="majorBidi" w:cstheme="majorBidi"/>
          <w:color w:val="202122"/>
          <w:shd w:val="clear" w:color="auto" w:fill="FFFFFF"/>
        </w:rPr>
      </w:pPr>
      <w:r>
        <w:rPr>
          <w:rFonts w:asciiTheme="majorBidi" w:hAnsiTheme="majorBidi" w:cstheme="majorBidi"/>
          <w:color w:val="202122"/>
          <w:shd w:val="clear" w:color="auto" w:fill="FFFFFF"/>
        </w:rPr>
        <w:t xml:space="preserve">Felski </w:t>
      </w:r>
      <w:r w:rsidRPr="00DC0C38">
        <w:rPr>
          <w:rFonts w:asciiTheme="majorBidi" w:hAnsiTheme="majorBidi" w:cstheme="majorBidi"/>
          <w:color w:val="202122"/>
          <w:shd w:val="clear" w:color="auto" w:fill="FFFFFF"/>
        </w:rPr>
        <w:t>Rita, </w:t>
      </w:r>
      <w:r w:rsidRPr="00DC0C38">
        <w:rPr>
          <w:rFonts w:asciiTheme="majorBidi" w:hAnsiTheme="majorBidi" w:cstheme="majorBidi"/>
          <w:i/>
          <w:iCs/>
          <w:color w:val="202122"/>
          <w:shd w:val="clear" w:color="auto" w:fill="FFFFFF"/>
        </w:rPr>
        <w:t>The Limits of Critique</w:t>
      </w:r>
      <w:r w:rsidRPr="00DC0C38">
        <w:rPr>
          <w:rFonts w:asciiTheme="majorBidi" w:hAnsiTheme="majorBidi" w:cstheme="majorBidi"/>
          <w:color w:val="202122"/>
          <w:shd w:val="clear" w:color="auto" w:fill="FFFFFF"/>
        </w:rPr>
        <w:t>. Un</w:t>
      </w:r>
      <w:r>
        <w:rPr>
          <w:rFonts w:asciiTheme="majorBidi" w:hAnsiTheme="majorBidi" w:cstheme="majorBidi"/>
          <w:color w:val="202122"/>
          <w:shd w:val="clear" w:color="auto" w:fill="FFFFFF"/>
        </w:rPr>
        <w:t>iversity of Chicago Press, 2015.</w:t>
      </w:r>
    </w:p>
    <w:p w14:paraId="60FF622F" w14:textId="09426D7C" w:rsidR="00044F83" w:rsidRDefault="00044F83" w:rsidP="0073177D">
      <w:pPr>
        <w:pStyle w:val="FootnoteText"/>
        <w:spacing w:after="120"/>
        <w:rPr>
          <w:rFonts w:asciiTheme="majorBidi" w:hAnsiTheme="majorBidi" w:cstheme="majorBidi"/>
        </w:rPr>
      </w:pPr>
      <w:r w:rsidRPr="003C0888">
        <w:rPr>
          <w:rFonts w:asciiTheme="majorBidi" w:hAnsiTheme="majorBidi" w:cstheme="majorBidi"/>
        </w:rPr>
        <w:t xml:space="preserve">Funkenstein Amos, </w:t>
      </w:r>
      <w:r w:rsidRPr="0073177D">
        <w:rPr>
          <w:rFonts w:asciiTheme="majorBidi" w:hAnsiTheme="majorBidi" w:cstheme="majorBidi"/>
          <w:i/>
          <w:iCs/>
        </w:rPr>
        <w:t>Theology and the Scientific Imagination from the Middle Ages to the Seventeenth Century</w:t>
      </w:r>
      <w:r w:rsidRPr="003C0888">
        <w:rPr>
          <w:rFonts w:asciiTheme="majorBidi" w:hAnsiTheme="majorBidi" w:cstheme="majorBidi"/>
        </w:rPr>
        <w:t>. Princeton, NJ, Princeton University Press, 1986</w:t>
      </w:r>
      <w:r>
        <w:rPr>
          <w:rFonts w:asciiTheme="majorBidi" w:hAnsiTheme="majorBidi" w:cstheme="majorBidi"/>
        </w:rPr>
        <w:t>.</w:t>
      </w:r>
    </w:p>
    <w:p w14:paraId="406680F0" w14:textId="77777777" w:rsidR="00044F83" w:rsidRDefault="00044F83" w:rsidP="0073177D">
      <w:pPr>
        <w:pStyle w:val="FootnoteText"/>
        <w:spacing w:after="120"/>
        <w:rPr>
          <w:rFonts w:asciiTheme="majorBidi" w:hAnsiTheme="majorBidi" w:cstheme="majorBidi"/>
        </w:rPr>
      </w:pPr>
      <w:r w:rsidRPr="002601CF">
        <w:rPr>
          <w:rFonts w:asciiTheme="majorBidi" w:hAnsiTheme="majorBidi" w:cstheme="majorBidi"/>
          <w:color w:val="000000"/>
        </w:rPr>
        <w:t xml:space="preserve">Gordon, Peter Eli. </w:t>
      </w:r>
      <w:r w:rsidRPr="00037D09">
        <w:rPr>
          <w:rFonts w:asciiTheme="majorBidi" w:hAnsiTheme="majorBidi" w:cstheme="majorBidi"/>
          <w:i/>
          <w:iCs/>
          <w:color w:val="000000"/>
        </w:rPr>
        <w:t>Rosenzweig and Heidegger: Between Judaism and German Philosophy. University of California Press</w:t>
      </w:r>
      <w:r w:rsidRPr="002601CF">
        <w:rPr>
          <w:rFonts w:asciiTheme="majorBidi" w:hAnsiTheme="majorBidi" w:cstheme="majorBidi"/>
          <w:color w:val="000000"/>
        </w:rPr>
        <w:t>, 2003</w:t>
      </w:r>
      <w:r>
        <w:rPr>
          <w:rFonts w:asciiTheme="majorBidi" w:hAnsiTheme="majorBidi" w:cstheme="majorBidi"/>
        </w:rPr>
        <w:t>.</w:t>
      </w:r>
    </w:p>
    <w:p w14:paraId="376D4530" w14:textId="77777777" w:rsidR="00044F83" w:rsidRPr="00271178" w:rsidRDefault="00044F83" w:rsidP="00693E9A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271178">
        <w:rPr>
          <w:rFonts w:asciiTheme="majorBidi" w:hAnsiTheme="majorBidi" w:cstheme="majorBidi"/>
          <w:sz w:val="20"/>
          <w:szCs w:val="20"/>
        </w:rPr>
        <w:t xml:space="preserve">Habermas Jürgen, “Notes on a Post-secular Society”, </w:t>
      </w:r>
      <w:r w:rsidRPr="00271178">
        <w:rPr>
          <w:rFonts w:asciiTheme="majorBidi" w:hAnsiTheme="majorBidi" w:cstheme="majorBidi"/>
          <w:i/>
          <w:iCs/>
          <w:sz w:val="20"/>
          <w:szCs w:val="20"/>
        </w:rPr>
        <w:t>New Perspectives Quarterly</w:t>
      </w:r>
      <w:r w:rsidRPr="00271178">
        <w:rPr>
          <w:rFonts w:asciiTheme="majorBidi" w:hAnsiTheme="majorBidi" w:cstheme="majorBidi"/>
          <w:sz w:val="20"/>
          <w:szCs w:val="20"/>
        </w:rPr>
        <w:t xml:space="preserve"> 25.4: 17–29.</w:t>
      </w:r>
    </w:p>
    <w:p w14:paraId="76041FA5" w14:textId="77777777" w:rsidR="00044F83" w:rsidRPr="00EF0EE7" w:rsidRDefault="00044F83" w:rsidP="00693E9A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693E9A">
        <w:rPr>
          <w:rFonts w:asciiTheme="majorBidi" w:hAnsiTheme="majorBidi" w:cstheme="majorBidi"/>
          <w:sz w:val="20"/>
          <w:szCs w:val="20"/>
          <w:lang w:val="de-DE"/>
        </w:rPr>
        <w:t>Habermas Jürgen, and Ratzinger</w:t>
      </w:r>
      <w:r>
        <w:rPr>
          <w:rFonts w:asciiTheme="majorBidi" w:hAnsiTheme="majorBidi" w:cstheme="majorBidi"/>
          <w:sz w:val="20"/>
          <w:szCs w:val="20"/>
          <w:lang w:val="de-DE"/>
        </w:rPr>
        <w:t xml:space="preserve"> Joseph</w:t>
      </w:r>
      <w:r w:rsidRPr="00693E9A">
        <w:rPr>
          <w:rFonts w:asciiTheme="majorBidi" w:hAnsiTheme="majorBidi" w:cstheme="majorBidi"/>
          <w:sz w:val="20"/>
          <w:szCs w:val="20"/>
          <w:lang w:val="de-DE"/>
        </w:rPr>
        <w:t xml:space="preserve">, </w:t>
      </w:r>
      <w:r w:rsidRPr="00693E9A">
        <w:rPr>
          <w:rFonts w:asciiTheme="majorBidi" w:hAnsiTheme="majorBidi" w:cstheme="majorBidi"/>
          <w:i/>
          <w:iCs/>
          <w:sz w:val="20"/>
          <w:szCs w:val="20"/>
          <w:lang w:val="de-DE"/>
        </w:rPr>
        <w:t>Dialektik der Säkularisierung: Über Vernunft und Religion</w:t>
      </w:r>
      <w:r w:rsidRPr="00693E9A">
        <w:rPr>
          <w:rFonts w:asciiTheme="majorBidi" w:hAnsiTheme="majorBidi" w:cstheme="majorBidi"/>
          <w:sz w:val="20"/>
          <w:szCs w:val="20"/>
          <w:lang w:val="de-DE"/>
        </w:rPr>
        <w:t xml:space="preserve">. </w:t>
      </w:r>
      <w:r w:rsidRPr="00EF0EE7">
        <w:rPr>
          <w:rFonts w:asciiTheme="majorBidi" w:hAnsiTheme="majorBidi" w:cstheme="majorBidi"/>
          <w:sz w:val="20"/>
          <w:szCs w:val="20"/>
        </w:rPr>
        <w:t>Freiburg: Herder, 2005.</w:t>
      </w:r>
      <w:r w:rsidRPr="00EF0EE7">
        <w:rPr>
          <w:rFonts w:asciiTheme="majorBidi" w:hAnsiTheme="majorBidi" w:cstheme="majorBidi"/>
          <w:sz w:val="24"/>
          <w:szCs w:val="24"/>
        </w:rPr>
        <w:t xml:space="preserve"> </w:t>
      </w:r>
    </w:p>
    <w:p w14:paraId="173EFBA6" w14:textId="77777777" w:rsidR="00044F83" w:rsidRPr="00EF0EE7" w:rsidRDefault="00044F83" w:rsidP="0073177D">
      <w:pPr>
        <w:spacing w:after="120" w:line="240" w:lineRule="auto"/>
        <w:rPr>
          <w:rFonts w:asciiTheme="majorBidi" w:hAnsiTheme="majorBidi" w:cstheme="majorBidi"/>
          <w:sz w:val="20"/>
          <w:szCs w:val="20"/>
          <w:lang w:val="de-DE"/>
        </w:rPr>
      </w:pPr>
      <w:r w:rsidRPr="0089406E">
        <w:rPr>
          <w:rFonts w:asciiTheme="majorBidi" w:hAnsiTheme="majorBidi" w:cstheme="majorBidi"/>
          <w:sz w:val="20"/>
          <w:szCs w:val="20"/>
          <w:lang w:val="de-DE"/>
        </w:rPr>
        <w:t xml:space="preserve">Horkheimer Max, “Die Sehnsucht nach dem ganz Anderen [Gespräch mit Helmut Gumnior 1970],” in Gesammelte Schriften in 19 Bände, vol. 7, 385–404. </w:t>
      </w:r>
    </w:p>
    <w:p w14:paraId="6648C8C6" w14:textId="77777777" w:rsidR="00044F83" w:rsidRDefault="00044F83" w:rsidP="006A218B">
      <w:pPr>
        <w:pStyle w:val="FootnoteText"/>
        <w:spacing w:after="120"/>
        <w:rPr>
          <w:rFonts w:asciiTheme="majorBidi" w:hAnsiTheme="majorBidi" w:cstheme="majorBidi"/>
        </w:rPr>
      </w:pPr>
      <w:r w:rsidRPr="002601CF">
        <w:rPr>
          <w:rFonts w:asciiTheme="majorBidi" w:hAnsiTheme="majorBidi" w:cstheme="majorBidi"/>
        </w:rPr>
        <w:t xml:space="preserve">Immanuel Levinas, </w:t>
      </w:r>
      <w:r w:rsidRPr="002043D0">
        <w:rPr>
          <w:rFonts w:asciiTheme="majorBidi" w:hAnsiTheme="majorBidi" w:cstheme="majorBidi"/>
          <w:i/>
          <w:iCs/>
        </w:rPr>
        <w:t>“The Trace of the Other”,</w:t>
      </w:r>
      <w:r w:rsidRPr="002601CF">
        <w:rPr>
          <w:rFonts w:asciiTheme="majorBidi" w:hAnsiTheme="majorBidi" w:cstheme="majorBidi"/>
          <w:i/>
          <w:iCs/>
        </w:rPr>
        <w:t xml:space="preserve"> </w:t>
      </w:r>
      <w:r w:rsidRPr="002043D0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: Mark C. Taylor (ed.) </w:t>
      </w:r>
      <w:r w:rsidRPr="002601CF">
        <w:rPr>
          <w:rFonts w:asciiTheme="majorBidi" w:hAnsiTheme="majorBidi" w:cstheme="majorBidi"/>
          <w:i/>
          <w:iCs/>
        </w:rPr>
        <w:t xml:space="preserve"> Deconstsruction in Context</w:t>
      </w:r>
      <w:r>
        <w:rPr>
          <w:rFonts w:asciiTheme="majorBidi" w:hAnsiTheme="majorBidi" w:cstheme="majorBidi"/>
          <w:i/>
          <w:iCs/>
        </w:rPr>
        <w:t>: Literature and Philosophy</w:t>
      </w:r>
      <w:r w:rsidRPr="002601CF">
        <w:rPr>
          <w:rFonts w:asciiTheme="majorBidi" w:hAnsiTheme="majorBidi" w:cstheme="majorBidi"/>
        </w:rPr>
        <w:t>. Chicago: University</w:t>
      </w:r>
      <w:r>
        <w:rPr>
          <w:rFonts w:asciiTheme="majorBidi" w:hAnsiTheme="majorBidi" w:cstheme="majorBidi"/>
        </w:rPr>
        <w:t xml:space="preserve"> of Chicago Press, 1986. 345–59</w:t>
      </w:r>
      <w:r>
        <w:rPr>
          <w:rFonts w:asciiTheme="majorBidi" w:hAnsiTheme="majorBidi" w:cstheme="majorBidi"/>
        </w:rPr>
        <w:t xml:space="preserve">. </w:t>
      </w:r>
    </w:p>
    <w:p w14:paraId="114B39FC" w14:textId="77777777" w:rsidR="00044F83" w:rsidRDefault="00044F83" w:rsidP="00AB643A">
      <w:pPr>
        <w:pStyle w:val="FootnoteText"/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Inglehart, Ronald &amp; Baker Wayne E., “Modernization, Cultural Change, and the Persistence of Traditional Values, </w:t>
      </w:r>
      <w:r>
        <w:rPr>
          <w:rFonts w:asciiTheme="majorBidi" w:hAnsiTheme="majorBidi" w:cstheme="majorBidi"/>
          <w:i/>
          <w:iCs/>
        </w:rPr>
        <w:t xml:space="preserve">Maerican Sociological Review, </w:t>
      </w:r>
      <w:r>
        <w:rPr>
          <w:rFonts w:asciiTheme="majorBidi" w:hAnsiTheme="majorBidi" w:cstheme="majorBidi"/>
        </w:rPr>
        <w:t>65.1 (2000): 19-51.</w:t>
      </w:r>
    </w:p>
    <w:p w14:paraId="0DFC3B29" w14:textId="77777777" w:rsidR="00044F83" w:rsidRDefault="00044F83" w:rsidP="00044F83">
      <w:pPr>
        <w:pStyle w:val="FootnoteText"/>
        <w:spacing w:after="120"/>
        <w:rPr>
          <w:rFonts w:asciiTheme="majorBidi" w:hAnsiTheme="majorBidi" w:cstheme="majorBidi"/>
        </w:rPr>
      </w:pPr>
      <w:r w:rsidRPr="00C607C2">
        <w:rPr>
          <w:rFonts w:asciiTheme="majorBidi" w:hAnsiTheme="majorBidi" w:cstheme="majorBidi"/>
        </w:rPr>
        <w:t xml:space="preserve">Kisiel Theodor, “The Happening of Tradition: The Hermeneutics of Gadamer and Heidegger”, </w:t>
      </w:r>
      <w:r w:rsidRPr="00C607C2">
        <w:rPr>
          <w:rFonts w:asciiTheme="majorBidi" w:hAnsiTheme="majorBidi" w:cstheme="majorBidi"/>
          <w:i/>
          <w:iCs/>
        </w:rPr>
        <w:t>Man and World</w:t>
      </w:r>
      <w:r w:rsidRPr="00C607C2">
        <w:rPr>
          <w:rFonts w:asciiTheme="majorBidi" w:hAnsiTheme="majorBidi" w:cstheme="majorBidi"/>
        </w:rPr>
        <w:t xml:space="preserve"> 2 (1969): 358-85.</w:t>
      </w:r>
    </w:p>
    <w:p w14:paraId="207659BB" w14:textId="77777777" w:rsidR="00044F83" w:rsidRDefault="00044F83" w:rsidP="00C607C2">
      <w:pPr>
        <w:pStyle w:val="FootnoteText"/>
        <w:spacing w:after="120"/>
        <w:rPr>
          <w:rFonts w:asciiTheme="majorBidi" w:hAnsiTheme="majorBidi" w:cstheme="majorBidi"/>
        </w:rPr>
      </w:pPr>
      <w:r w:rsidRPr="00567594">
        <w:rPr>
          <w:rFonts w:asciiTheme="majorBidi" w:hAnsiTheme="majorBidi" w:cstheme="majorBidi"/>
        </w:rPr>
        <w:t xml:space="preserve">Latour Bruno, “Why Has Critique Run out of Steam? From Matters of Fact to Matters of Concern”, </w:t>
      </w:r>
      <w:r w:rsidRPr="00567594">
        <w:rPr>
          <w:rFonts w:asciiTheme="majorBidi" w:hAnsiTheme="majorBidi" w:cstheme="majorBidi"/>
          <w:i/>
          <w:iCs/>
        </w:rPr>
        <w:t xml:space="preserve">Critical Inquiry </w:t>
      </w:r>
      <w:r w:rsidRPr="00DC0C38">
        <w:rPr>
          <w:rFonts w:asciiTheme="majorBidi" w:hAnsiTheme="majorBidi" w:cstheme="majorBidi"/>
        </w:rPr>
        <w:t xml:space="preserve">30.2 </w:t>
      </w:r>
      <w:r>
        <w:rPr>
          <w:rFonts w:asciiTheme="majorBidi" w:hAnsiTheme="majorBidi" w:cstheme="majorBidi"/>
        </w:rPr>
        <w:t>(2004): 225-248</w:t>
      </w:r>
    </w:p>
    <w:p w14:paraId="73085079" w14:textId="77777777" w:rsidR="00044F83" w:rsidRDefault="00044F83" w:rsidP="00044F83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2601CF">
        <w:rPr>
          <w:rFonts w:asciiTheme="majorBidi" w:hAnsiTheme="majorBidi" w:cstheme="majorBidi"/>
          <w:bCs/>
          <w:sz w:val="20"/>
          <w:szCs w:val="20"/>
        </w:rPr>
        <w:t xml:space="preserve">Lazier Benjamin, </w:t>
      </w:r>
      <w:r w:rsidRPr="002601CF">
        <w:rPr>
          <w:rFonts w:asciiTheme="majorBidi" w:hAnsiTheme="majorBidi" w:cstheme="majorBidi"/>
          <w:bCs/>
          <w:i/>
          <w:iCs/>
          <w:sz w:val="20"/>
          <w:szCs w:val="20"/>
        </w:rPr>
        <w:t xml:space="preserve">God Interrupted: Heresy and the European Imagination between the World Wars. </w:t>
      </w:r>
      <w:r w:rsidRPr="002601CF">
        <w:rPr>
          <w:rFonts w:asciiTheme="majorBidi" w:hAnsiTheme="majorBidi" w:cstheme="majorBidi"/>
          <w:bCs/>
          <w:sz w:val="20"/>
          <w:szCs w:val="20"/>
        </w:rPr>
        <w:t>Princeton: Princeton UP, 2008</w:t>
      </w:r>
      <w:r>
        <w:rPr>
          <w:rFonts w:asciiTheme="majorBidi" w:hAnsiTheme="majorBidi" w:cstheme="majorBidi"/>
          <w:bCs/>
          <w:sz w:val="20"/>
          <w:szCs w:val="20"/>
        </w:rPr>
        <w:t>.</w:t>
      </w:r>
    </w:p>
    <w:p w14:paraId="775D197F" w14:textId="76F4A671" w:rsidR="00044F83" w:rsidRPr="00EF0EE7" w:rsidRDefault="00044F83" w:rsidP="0073177D">
      <w:pPr>
        <w:pStyle w:val="FootnoteText"/>
        <w:spacing w:after="120"/>
        <w:rPr>
          <w:rFonts w:asciiTheme="majorBidi" w:hAnsiTheme="majorBidi" w:cstheme="majorBidi"/>
          <w:lang w:val="de-DE"/>
        </w:rPr>
      </w:pPr>
      <w:r w:rsidRPr="00611B6A">
        <w:rPr>
          <w:rFonts w:asciiTheme="majorBidi" w:hAnsiTheme="majorBidi" w:cstheme="majorBidi"/>
        </w:rPr>
        <w:t xml:space="preserve">Mendes-Flohr Paul, </w:t>
      </w:r>
      <w:r w:rsidRPr="00611B6A">
        <w:rPr>
          <w:rFonts w:asciiTheme="majorBidi" w:hAnsiTheme="majorBidi" w:cstheme="majorBidi"/>
          <w:i/>
          <w:iCs/>
        </w:rPr>
        <w:t>Divided Passions: Jewish Intellectuals and the Experience of Modernity</w:t>
      </w:r>
      <w:r w:rsidRPr="00611B6A">
        <w:rPr>
          <w:rFonts w:asciiTheme="majorBidi" w:hAnsiTheme="majorBidi" w:cstheme="majorBidi"/>
        </w:rPr>
        <w:t xml:space="preserve">. </w:t>
      </w:r>
      <w:r w:rsidRPr="00EF0EE7">
        <w:rPr>
          <w:rFonts w:asciiTheme="majorBidi" w:hAnsiTheme="majorBidi" w:cstheme="majorBidi"/>
          <w:lang w:val="de-DE"/>
        </w:rPr>
        <w:t>Detroit: Wayne State University Press, 199</w:t>
      </w:r>
      <w:r>
        <w:rPr>
          <w:rFonts w:asciiTheme="majorBidi" w:hAnsiTheme="majorBidi" w:cstheme="majorBidi"/>
          <w:lang w:val="de-DE"/>
        </w:rPr>
        <w:t>9</w:t>
      </w:r>
      <w:r w:rsidRPr="00EF0EE7">
        <w:rPr>
          <w:rFonts w:asciiTheme="majorBidi" w:hAnsiTheme="majorBidi" w:cstheme="majorBidi"/>
          <w:lang w:val="de-DE"/>
        </w:rPr>
        <w:t>.</w:t>
      </w:r>
    </w:p>
    <w:p w14:paraId="49A810AD" w14:textId="77777777" w:rsidR="00044F83" w:rsidRDefault="00044F83" w:rsidP="0073177D">
      <w:pPr>
        <w:pStyle w:val="FootnoteText"/>
        <w:spacing w:after="120"/>
        <w:rPr>
          <w:rFonts w:asciiTheme="majorBidi" w:hAnsiTheme="majorBidi" w:cstheme="majorBidi"/>
        </w:rPr>
      </w:pPr>
      <w:r w:rsidRPr="003C0888">
        <w:rPr>
          <w:rFonts w:asciiTheme="majorBidi" w:hAnsiTheme="majorBidi" w:cstheme="majorBidi"/>
        </w:rPr>
        <w:t xml:space="preserve">Moyn Samuel, “Amos Funkenstein on the Theological Origins of Historicism”, </w:t>
      </w:r>
      <w:r w:rsidRPr="003C0888">
        <w:rPr>
          <w:rFonts w:asciiTheme="majorBidi" w:hAnsiTheme="majorBidi" w:cstheme="majorBidi"/>
          <w:i/>
          <w:iCs/>
        </w:rPr>
        <w:t>Journal of the History of Ideas</w:t>
      </w:r>
      <w:r w:rsidRPr="003C0888">
        <w:rPr>
          <w:rFonts w:asciiTheme="majorBidi" w:hAnsiTheme="majorBidi" w:cstheme="majorBidi"/>
        </w:rPr>
        <w:t>, 64.4 (2003): 639–657.</w:t>
      </w:r>
    </w:p>
    <w:p w14:paraId="4F949A48" w14:textId="77777777" w:rsidR="00044F83" w:rsidRPr="00044F83" w:rsidRDefault="00044F83" w:rsidP="002043D0">
      <w:pPr>
        <w:pStyle w:val="FootnoteText"/>
        <w:rPr>
          <w:rFonts w:asciiTheme="majorBidi" w:hAnsiTheme="majorBidi" w:cstheme="majorBidi"/>
          <w:b/>
          <w:bCs/>
        </w:rPr>
      </w:pPr>
      <w:r w:rsidRPr="006A218B">
        <w:rPr>
          <w:rFonts w:asciiTheme="majorBidi" w:hAnsiTheme="majorBidi" w:cstheme="majorBidi"/>
        </w:rPr>
        <w:t xml:space="preserve">Paul Franks, “Jewish Philosophy after Kant: The Legacy of Salomon Maimon”, in: Michael L. Morgan and Peter Eli Gordon (eds.) </w:t>
      </w:r>
      <w:r w:rsidRPr="006A218B">
        <w:rPr>
          <w:rFonts w:asciiTheme="majorBidi" w:hAnsiTheme="majorBidi" w:cstheme="majorBidi"/>
          <w:i/>
          <w:iCs/>
        </w:rPr>
        <w:t xml:space="preserve">The Cambridge Companion to Modern Jewish Philosophy. </w:t>
      </w:r>
      <w:r w:rsidRPr="006A218B">
        <w:rPr>
          <w:rFonts w:asciiTheme="majorBidi" w:hAnsiTheme="majorBidi" w:cstheme="majorBidi"/>
        </w:rPr>
        <w:t>Cambridge: Cambridge UP, 2007, 53-79</w:t>
      </w:r>
      <w:r>
        <w:rPr>
          <w:rFonts w:asciiTheme="majorBidi" w:hAnsiTheme="majorBidi" w:cstheme="majorBidi"/>
        </w:rPr>
        <w:t>.</w:t>
      </w:r>
    </w:p>
    <w:p w14:paraId="12EFA968" w14:textId="77777777" w:rsidR="00044F83" w:rsidRPr="00B2332A" w:rsidRDefault="00044F83" w:rsidP="006675F3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2601CF">
        <w:rPr>
          <w:rFonts w:asciiTheme="majorBidi" w:hAnsiTheme="majorBidi" w:cstheme="majorBidi"/>
          <w:sz w:val="20"/>
          <w:szCs w:val="20"/>
        </w:rPr>
        <w:lastRenderedPageBreak/>
        <w:t xml:space="preserve">Peter Gordon, </w:t>
      </w:r>
      <w:r w:rsidRPr="002601CF">
        <w:rPr>
          <w:rFonts w:asciiTheme="majorBidi" w:hAnsiTheme="majorBidi" w:cstheme="majorBidi"/>
          <w:i/>
          <w:iCs/>
          <w:sz w:val="20"/>
          <w:szCs w:val="20"/>
        </w:rPr>
        <w:t xml:space="preserve">Rosenzweig and Heidegger: Between Judaism and German Philosophy. </w:t>
      </w:r>
      <w:r w:rsidRPr="002601CF">
        <w:rPr>
          <w:rFonts w:asciiTheme="majorBidi" w:hAnsiTheme="majorBidi" w:cstheme="majorBidi"/>
          <w:sz w:val="20"/>
          <w:szCs w:val="20"/>
        </w:rPr>
        <w:t>Berkeley: University of California Press 2003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0F42A7D1" w14:textId="77777777" w:rsidR="00044F83" w:rsidRDefault="00044F83" w:rsidP="00C607C2">
      <w:pPr>
        <w:pStyle w:val="FootnoteText"/>
        <w:spacing w:after="120"/>
        <w:rPr>
          <w:rFonts w:asciiTheme="majorBidi" w:hAnsiTheme="majorBidi" w:cstheme="majorBidi"/>
        </w:rPr>
      </w:pPr>
      <w:r w:rsidRPr="00DC0C38">
        <w:rPr>
          <w:rFonts w:asciiTheme="majorBidi" w:hAnsiTheme="majorBidi" w:cstheme="majorBidi"/>
        </w:rPr>
        <w:t xml:space="preserve">Rancière Jacques, </w:t>
      </w:r>
      <w:r w:rsidRPr="00DC0C38">
        <w:rPr>
          <w:rFonts w:asciiTheme="majorBidi" w:hAnsiTheme="majorBidi" w:cstheme="majorBidi"/>
          <w:i/>
          <w:iCs/>
        </w:rPr>
        <w:t>Aesthetics and Its Discontents</w:t>
      </w:r>
      <w:r w:rsidRPr="00DC0C38">
        <w:rPr>
          <w:rFonts w:asciiTheme="majorBidi" w:hAnsiTheme="majorBidi" w:cstheme="majorBidi"/>
        </w:rPr>
        <w:t>. Cambridge: Polity, 2009</w:t>
      </w:r>
    </w:p>
    <w:p w14:paraId="0B2CB6C6" w14:textId="77777777" w:rsidR="00044F83" w:rsidRPr="00271178" w:rsidRDefault="00044F83" w:rsidP="006675F3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271178">
        <w:rPr>
          <w:rFonts w:asciiTheme="majorBidi" w:hAnsiTheme="majorBidi" w:cstheme="majorBidi"/>
          <w:sz w:val="20"/>
          <w:szCs w:val="20"/>
        </w:rPr>
        <w:t>Taylor Charles,</w:t>
      </w:r>
      <w:r w:rsidRPr="00271178">
        <w:rPr>
          <w:rFonts w:asciiTheme="majorBidi" w:hAnsiTheme="majorBidi" w:cstheme="majorBidi"/>
          <w:i/>
          <w:iCs/>
          <w:sz w:val="20"/>
          <w:szCs w:val="20"/>
        </w:rPr>
        <w:t xml:space="preserve"> A Secular Age. </w:t>
      </w:r>
      <w:r w:rsidRPr="00271178">
        <w:rPr>
          <w:rFonts w:asciiTheme="majorBidi" w:hAnsiTheme="majorBidi" w:cstheme="majorBidi"/>
          <w:sz w:val="20"/>
          <w:szCs w:val="20"/>
        </w:rPr>
        <w:t>Cambridge MA.: Harvard UP, 2007.</w:t>
      </w:r>
    </w:p>
    <w:p w14:paraId="4D6C8619" w14:textId="77777777" w:rsidR="00044F83" w:rsidRPr="00271178" w:rsidRDefault="00044F83" w:rsidP="00271178">
      <w:pPr>
        <w:pStyle w:val="FootnoteText"/>
        <w:rPr>
          <w:rFonts w:asciiTheme="majorBidi" w:hAnsiTheme="majorBidi" w:cstheme="majorBidi"/>
          <w:i/>
          <w:iCs/>
        </w:rPr>
      </w:pPr>
      <w:r w:rsidRPr="00271178">
        <w:rPr>
          <w:rFonts w:asciiTheme="majorBidi" w:hAnsiTheme="majorBidi" w:cstheme="majorBidi"/>
        </w:rPr>
        <w:t xml:space="preserve">Turner Brian, </w:t>
      </w:r>
      <w:r w:rsidRPr="00271178">
        <w:rPr>
          <w:rFonts w:asciiTheme="majorBidi" w:hAnsiTheme="majorBidi" w:cstheme="majorBidi"/>
          <w:i/>
          <w:iCs/>
        </w:rPr>
        <w:t>The New Blackwell Companion to the Sociology of Religion,</w:t>
      </w:r>
      <w:r w:rsidRPr="00271178">
        <w:rPr>
          <w:rFonts w:asciiTheme="majorBidi" w:hAnsiTheme="majorBidi" w:cstheme="majorBidi"/>
        </w:rPr>
        <w:t xml:space="preserve"> Oxford: Wiley-Blackwell, 2010, 652. </w:t>
      </w:r>
    </w:p>
    <w:p w14:paraId="57614173" w14:textId="48A3DCA4" w:rsidR="00044F83" w:rsidRDefault="00044F83" w:rsidP="00FA723F">
      <w:pPr>
        <w:pStyle w:val="FootnoteText"/>
        <w:spacing w:after="120"/>
        <w:rPr>
          <w:rFonts w:asciiTheme="majorBidi" w:hAnsiTheme="majorBidi" w:cstheme="majorBidi"/>
        </w:rPr>
      </w:pPr>
      <w:r w:rsidRPr="00BB047C">
        <w:rPr>
          <w:rFonts w:asciiTheme="majorBidi" w:hAnsiTheme="majorBidi" w:cstheme="majorBidi"/>
        </w:rPr>
        <w:t>Weber Max, “Science as a Vocation.” In</w:t>
      </w:r>
      <w:r w:rsidR="00FA723F">
        <w:rPr>
          <w:rFonts w:asciiTheme="majorBidi" w:hAnsiTheme="majorBidi" w:cstheme="majorBidi"/>
        </w:rPr>
        <w:t xml:space="preserve">: H. H. Gerth and C. Wright Mills, (eds.), </w:t>
      </w:r>
      <w:r w:rsidR="00FA723F" w:rsidRPr="00FA723F">
        <w:rPr>
          <w:rFonts w:asciiTheme="majorBidi" w:hAnsiTheme="majorBidi" w:cstheme="majorBidi"/>
          <w:i/>
          <w:iCs/>
        </w:rPr>
        <w:t>From Max Weber: Essays in Sociolog</w:t>
      </w:r>
      <w:r w:rsidR="00FA723F">
        <w:rPr>
          <w:rFonts w:asciiTheme="majorBidi" w:hAnsiTheme="majorBidi" w:cstheme="majorBidi"/>
          <w:i/>
          <w:iCs/>
        </w:rPr>
        <w:t>y.</w:t>
      </w:r>
      <w:bookmarkStart w:id="0" w:name="_GoBack"/>
      <w:bookmarkEnd w:id="0"/>
      <w:r w:rsidRPr="00BB047C">
        <w:rPr>
          <w:rFonts w:asciiTheme="majorBidi" w:hAnsiTheme="majorBidi" w:cstheme="majorBidi"/>
        </w:rPr>
        <w:t xml:space="preserve"> New York: Oxford University Press, 1946,</w:t>
      </w:r>
      <w:r>
        <w:rPr>
          <w:rFonts w:asciiTheme="majorBidi" w:hAnsiTheme="majorBidi" w:cstheme="majorBidi"/>
        </w:rPr>
        <w:t xml:space="preserve"> 129-156.</w:t>
      </w:r>
    </w:p>
    <w:p w14:paraId="4918C6D9" w14:textId="77777777" w:rsidR="00044F83" w:rsidRDefault="00044F83" w:rsidP="002365B3">
      <w:pPr>
        <w:pStyle w:val="FootnoteText"/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Yadgar, Yaacov. </w:t>
      </w:r>
      <w:r w:rsidRPr="00BE6019">
        <w:rPr>
          <w:rFonts w:asciiTheme="majorBidi" w:hAnsiTheme="majorBidi" w:cstheme="majorBidi"/>
          <w:i/>
          <w:iCs/>
        </w:rPr>
        <w:t>Secularism and Religion in Jewish-Israeli Politics: Traditionists and Modernity</w:t>
      </w:r>
      <w:r>
        <w:rPr>
          <w:rFonts w:asciiTheme="majorBidi" w:hAnsiTheme="majorBidi" w:cstheme="majorBidi"/>
        </w:rPr>
        <w:t>. London: Routledge, 2010.</w:t>
      </w:r>
    </w:p>
    <w:p w14:paraId="56914627" w14:textId="77777777" w:rsidR="00044F83" w:rsidRPr="00271178" w:rsidRDefault="00044F83" w:rsidP="00271178">
      <w:pPr>
        <w:pStyle w:val="FootnoteText"/>
        <w:spacing w:after="120"/>
        <w:rPr>
          <w:rFonts w:asciiTheme="majorBidi" w:hAnsiTheme="majorBidi" w:cstheme="majorBidi"/>
        </w:rPr>
      </w:pPr>
      <w:r w:rsidRPr="00271178">
        <w:rPr>
          <w:rFonts w:asciiTheme="majorBidi" w:hAnsiTheme="majorBidi" w:cstheme="majorBidi"/>
        </w:rPr>
        <w:t xml:space="preserve">Zizek Salvoj, &amp; Milbank John, </w:t>
      </w:r>
      <w:r w:rsidRPr="00271178">
        <w:rPr>
          <w:rFonts w:asciiTheme="majorBidi" w:hAnsiTheme="majorBidi" w:cstheme="majorBidi"/>
          <w:i/>
          <w:iCs/>
        </w:rPr>
        <w:t>The Monstrosity of Christ: Paradox or Dialectic?</w:t>
      </w:r>
      <w:r w:rsidRPr="00271178">
        <w:rPr>
          <w:rFonts w:asciiTheme="majorBidi" w:hAnsiTheme="majorBidi" w:cstheme="majorBidi"/>
        </w:rPr>
        <w:t xml:space="preserve"> Cambridge, MA: MIT Press, 2009.</w:t>
      </w:r>
    </w:p>
    <w:p w14:paraId="6EDF2410" w14:textId="77777777" w:rsidR="00C607C2" w:rsidRPr="003C0888" w:rsidRDefault="00C607C2" w:rsidP="00C607C2">
      <w:pPr>
        <w:pStyle w:val="FootnoteText"/>
        <w:spacing w:after="120"/>
        <w:rPr>
          <w:rFonts w:asciiTheme="majorBidi" w:hAnsiTheme="majorBidi" w:cstheme="majorBidi"/>
        </w:rPr>
      </w:pPr>
    </w:p>
    <w:p w14:paraId="399EAC31" w14:textId="77777777" w:rsidR="00AB643A" w:rsidRDefault="00AB643A" w:rsidP="002365B3">
      <w:pPr>
        <w:pStyle w:val="FootnoteText"/>
        <w:spacing w:after="120"/>
        <w:rPr>
          <w:rFonts w:asciiTheme="majorBidi" w:hAnsiTheme="majorBidi" w:cstheme="majorBidi"/>
          <w:rtl/>
        </w:rPr>
      </w:pPr>
    </w:p>
    <w:p w14:paraId="2CD0FDF9" w14:textId="382CABA5" w:rsidR="00185F2C" w:rsidRDefault="00185F2C" w:rsidP="00185F2C">
      <w:pPr>
        <w:bidi/>
        <w:spacing w:after="0" w:line="480" w:lineRule="auto"/>
        <w:rPr>
          <w:rFonts w:ascii="David" w:hAnsi="David" w:cs="David"/>
          <w:sz w:val="24"/>
          <w:szCs w:val="24"/>
          <w:rtl/>
          <w:lang w:val="de-DE"/>
        </w:rPr>
      </w:pPr>
    </w:p>
    <w:p w14:paraId="68AC056F" w14:textId="77777777" w:rsidR="00185F2C" w:rsidRPr="00745FBF" w:rsidRDefault="00185F2C" w:rsidP="00185F2C">
      <w:pPr>
        <w:bidi/>
        <w:spacing w:after="0" w:line="480" w:lineRule="auto"/>
        <w:rPr>
          <w:rFonts w:ascii="David" w:hAnsi="David" w:cs="David"/>
          <w:sz w:val="24"/>
          <w:szCs w:val="24"/>
          <w:rtl/>
          <w:lang w:val="de-DE"/>
        </w:rPr>
      </w:pPr>
    </w:p>
    <w:p w14:paraId="1DAE3FDE" w14:textId="77777777" w:rsidR="00185F2C" w:rsidRDefault="00185F2C" w:rsidP="00185F2C">
      <w:pPr>
        <w:spacing w:after="0" w:line="240" w:lineRule="auto"/>
      </w:pPr>
    </w:p>
    <w:sectPr w:rsidR="00185F2C" w:rsidSect="000A53E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087D8" w14:textId="77777777" w:rsidR="002F6CF7" w:rsidRDefault="002F6CF7" w:rsidP="00FB199F">
      <w:pPr>
        <w:spacing w:after="0" w:line="240" w:lineRule="auto"/>
      </w:pPr>
      <w:r>
        <w:separator/>
      </w:r>
    </w:p>
  </w:endnote>
  <w:endnote w:type="continuationSeparator" w:id="0">
    <w:p w14:paraId="505C99DE" w14:textId="77777777" w:rsidR="002F6CF7" w:rsidRDefault="002F6CF7" w:rsidP="00FB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027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404BC" w14:textId="0E32B248" w:rsidR="002F6CF7" w:rsidRDefault="002F6C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3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D768539" w14:textId="77777777" w:rsidR="002F6CF7" w:rsidRDefault="002F6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B38E9" w14:textId="77777777" w:rsidR="002F6CF7" w:rsidRDefault="002F6CF7" w:rsidP="00FB199F">
      <w:pPr>
        <w:spacing w:after="0" w:line="240" w:lineRule="auto"/>
      </w:pPr>
      <w:r>
        <w:separator/>
      </w:r>
    </w:p>
  </w:footnote>
  <w:footnote w:type="continuationSeparator" w:id="0">
    <w:p w14:paraId="2C9325BF" w14:textId="77777777" w:rsidR="002F6CF7" w:rsidRDefault="002F6CF7" w:rsidP="00FB199F">
      <w:pPr>
        <w:spacing w:after="0" w:line="240" w:lineRule="auto"/>
      </w:pPr>
      <w:r>
        <w:continuationSeparator/>
      </w:r>
    </w:p>
  </w:footnote>
  <w:footnote w:id="1">
    <w:p w14:paraId="0FE6140A" w14:textId="117EC1AC" w:rsidR="002F6CF7" w:rsidRPr="00DC1816" w:rsidRDefault="002F6CF7" w:rsidP="00583DBA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val="de-DE"/>
        </w:rPr>
      </w:pPr>
      <w:r w:rsidRPr="006675F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6675F3">
        <w:rPr>
          <w:rFonts w:asciiTheme="majorBidi" w:hAnsiTheme="majorBidi" w:cstheme="majorBidi"/>
          <w:sz w:val="20"/>
          <w:szCs w:val="20"/>
        </w:rPr>
        <w:t xml:space="preserve"> </w:t>
      </w:r>
      <w:r w:rsidRPr="0016334F">
        <w:rPr>
          <w:rFonts w:asciiTheme="majorBidi" w:hAnsiTheme="majorBidi" w:cstheme="majorBidi"/>
          <w:sz w:val="20"/>
          <w:szCs w:val="20"/>
        </w:rPr>
        <w:t xml:space="preserve">Jürgen Habermas, </w:t>
      </w:r>
      <w:r>
        <w:rPr>
          <w:rFonts w:asciiTheme="majorBidi" w:hAnsiTheme="majorBidi" w:cstheme="majorBidi"/>
          <w:sz w:val="20"/>
          <w:szCs w:val="20"/>
        </w:rPr>
        <w:t>“Notes on a Post-</w:t>
      </w:r>
      <w:r w:rsidRPr="00583DBA">
        <w:rPr>
          <w:rFonts w:asciiTheme="majorBidi" w:hAnsiTheme="majorBidi" w:cstheme="majorBidi"/>
          <w:sz w:val="20"/>
          <w:szCs w:val="20"/>
        </w:rPr>
        <w:t>Secular</w:t>
      </w:r>
      <w:r>
        <w:rPr>
          <w:rFonts w:asciiTheme="majorBidi" w:hAnsiTheme="majorBidi" w:cstheme="majorBidi"/>
          <w:sz w:val="20"/>
          <w:szCs w:val="20"/>
        </w:rPr>
        <w:t xml:space="preserve"> Society”</w:t>
      </w:r>
      <w:r w:rsidRPr="0016334F">
        <w:rPr>
          <w:rFonts w:asciiTheme="majorBidi" w:hAnsiTheme="majorBidi" w:cstheme="majorBidi"/>
          <w:sz w:val="20"/>
          <w:szCs w:val="20"/>
        </w:rPr>
        <w:t xml:space="preserve"> </w:t>
      </w:r>
      <w:r w:rsidRPr="004E4180">
        <w:rPr>
          <w:rFonts w:asciiTheme="majorBidi" w:hAnsiTheme="majorBidi" w:cstheme="majorBidi"/>
          <w:i/>
          <w:iCs/>
          <w:sz w:val="20"/>
          <w:szCs w:val="20"/>
        </w:rPr>
        <w:t>New Perspectives Quarterly</w:t>
      </w:r>
      <w:r w:rsidRPr="004E4180">
        <w:rPr>
          <w:rFonts w:asciiTheme="majorBidi" w:hAnsiTheme="majorBidi" w:cstheme="majorBidi"/>
          <w:sz w:val="20"/>
          <w:szCs w:val="20"/>
        </w:rPr>
        <w:t xml:space="preserve"> 25.4 </w:t>
      </w:r>
      <w:r>
        <w:rPr>
          <w:rFonts w:asciiTheme="majorBidi" w:hAnsiTheme="majorBidi" w:cstheme="majorBidi"/>
          <w:sz w:val="20"/>
          <w:szCs w:val="20"/>
        </w:rPr>
        <w:t xml:space="preserve">(2008): </w:t>
      </w:r>
      <w:r>
        <w:rPr>
          <w:rFonts w:asciiTheme="majorBidi" w:hAnsiTheme="majorBidi" w:cstheme="majorBidi" w:hint="cs"/>
          <w:sz w:val="20"/>
          <w:szCs w:val="20"/>
          <w:rtl/>
        </w:rPr>
        <w:t>13</w:t>
      </w:r>
      <w:r w:rsidRPr="004E4180">
        <w:rPr>
          <w:rFonts w:asciiTheme="majorBidi" w:hAnsiTheme="majorBidi" w:cstheme="majorBidi"/>
          <w:sz w:val="20"/>
          <w:szCs w:val="20"/>
        </w:rPr>
        <w:t xml:space="preserve">. </w:t>
      </w:r>
      <w:r w:rsidRPr="00693E9A">
        <w:rPr>
          <w:rFonts w:asciiTheme="majorBidi" w:hAnsiTheme="majorBidi" w:cstheme="majorBidi" w:hint="cs"/>
          <w:sz w:val="20"/>
          <w:szCs w:val="20"/>
          <w:lang w:val="de-DE"/>
        </w:rPr>
        <w:t>S</w:t>
      </w:r>
      <w:r w:rsidRPr="00693E9A">
        <w:rPr>
          <w:rFonts w:asciiTheme="majorBidi" w:hAnsiTheme="majorBidi" w:cstheme="majorBidi"/>
          <w:sz w:val="20"/>
          <w:szCs w:val="20"/>
          <w:lang w:val="de-DE"/>
        </w:rPr>
        <w:t xml:space="preserve">ee also: Jürgen Habermas, and Joseph Ratzinger, </w:t>
      </w:r>
      <w:r w:rsidRPr="00693E9A">
        <w:rPr>
          <w:rFonts w:asciiTheme="majorBidi" w:hAnsiTheme="majorBidi" w:cstheme="majorBidi"/>
          <w:i/>
          <w:iCs/>
          <w:sz w:val="20"/>
          <w:szCs w:val="20"/>
          <w:lang w:val="de-DE"/>
        </w:rPr>
        <w:t>Dialektik der Säkularisierung: Über Vernunft und Religion</w:t>
      </w:r>
      <w:r w:rsidRPr="00693E9A">
        <w:rPr>
          <w:rFonts w:asciiTheme="majorBidi" w:hAnsiTheme="majorBidi" w:cstheme="majorBidi"/>
          <w:sz w:val="20"/>
          <w:szCs w:val="20"/>
          <w:lang w:val="de-DE"/>
        </w:rPr>
        <w:t xml:space="preserve">. </w:t>
      </w:r>
      <w:r w:rsidRPr="00EF0EE7">
        <w:rPr>
          <w:rFonts w:asciiTheme="majorBidi" w:hAnsiTheme="majorBidi" w:cstheme="majorBidi"/>
          <w:sz w:val="20"/>
          <w:szCs w:val="20"/>
        </w:rPr>
        <w:t>Freiburg: Herder, 2005.</w:t>
      </w:r>
      <w:r w:rsidRPr="00EF0EE7">
        <w:rPr>
          <w:rFonts w:asciiTheme="majorBidi" w:hAnsiTheme="majorBidi" w:cstheme="majorBidi"/>
          <w:sz w:val="24"/>
          <w:szCs w:val="24"/>
        </w:rPr>
        <w:t xml:space="preserve"> </w:t>
      </w:r>
    </w:p>
  </w:footnote>
  <w:footnote w:id="2">
    <w:p w14:paraId="089B70AB" w14:textId="77777777" w:rsidR="002F6CF7" w:rsidRPr="006675F3" w:rsidRDefault="002F6CF7" w:rsidP="006675F3">
      <w:pPr>
        <w:pStyle w:val="FootnoteText"/>
        <w:rPr>
          <w:rFonts w:asciiTheme="majorBidi" w:hAnsiTheme="majorBidi" w:cstheme="majorBidi"/>
          <w:rtl/>
        </w:rPr>
      </w:pPr>
      <w:r w:rsidRPr="006675F3">
        <w:rPr>
          <w:rStyle w:val="FootnoteReference"/>
          <w:rFonts w:asciiTheme="majorBidi" w:hAnsiTheme="majorBidi" w:cstheme="majorBidi"/>
        </w:rPr>
        <w:footnoteRef/>
      </w:r>
      <w:r w:rsidRPr="006675F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Charles Taylor,</w:t>
      </w:r>
      <w:r>
        <w:rPr>
          <w:rFonts w:asciiTheme="majorBidi" w:hAnsiTheme="majorBidi" w:cstheme="majorBidi"/>
          <w:i/>
          <w:iCs/>
        </w:rPr>
        <w:t xml:space="preserve"> A Secular Age. </w:t>
      </w:r>
      <w:r>
        <w:rPr>
          <w:rFonts w:asciiTheme="majorBidi" w:hAnsiTheme="majorBidi" w:cstheme="majorBidi"/>
        </w:rPr>
        <w:t>Cambridge MA.: Harvard UP, 2007, 534-535.</w:t>
      </w:r>
    </w:p>
  </w:footnote>
  <w:footnote w:id="3">
    <w:p w14:paraId="4E3E09F7" w14:textId="5FC33DC6" w:rsidR="002F6CF7" w:rsidRPr="004E44DC" w:rsidRDefault="002F6CF7" w:rsidP="004E44DC">
      <w:pPr>
        <w:pStyle w:val="FootnoteText"/>
        <w:rPr>
          <w:rFonts w:asciiTheme="majorBidi" w:hAnsiTheme="majorBidi" w:cstheme="majorBidi"/>
        </w:rPr>
      </w:pPr>
      <w:r w:rsidRPr="00F80FD7">
        <w:rPr>
          <w:rStyle w:val="FootnoteReference"/>
          <w:rFonts w:asciiTheme="majorBidi" w:hAnsiTheme="majorBidi" w:cstheme="majorBidi"/>
        </w:rPr>
        <w:footnoteRef/>
      </w:r>
      <w:r w:rsidRPr="00F80FD7">
        <w:rPr>
          <w:rFonts w:asciiTheme="majorBidi" w:hAnsiTheme="majorBidi" w:cstheme="majorBidi"/>
        </w:rPr>
        <w:t xml:space="preserve"> Brian Turner, </w:t>
      </w:r>
      <w:r w:rsidRPr="00F80FD7">
        <w:rPr>
          <w:rFonts w:asciiTheme="majorBidi" w:hAnsiTheme="majorBidi" w:cstheme="majorBidi"/>
          <w:i/>
          <w:iCs/>
        </w:rPr>
        <w:t>The New Blackwell Companion to the Sociology of Religion</w:t>
      </w:r>
      <w:r>
        <w:rPr>
          <w:rFonts w:asciiTheme="majorBidi" w:hAnsiTheme="majorBidi" w:cstheme="majorBidi"/>
          <w:i/>
          <w:iCs/>
        </w:rPr>
        <w:t>,</w:t>
      </w:r>
      <w:r w:rsidRPr="00F80FD7">
        <w:rPr>
          <w:rFonts w:asciiTheme="majorBidi" w:hAnsiTheme="majorBidi" w:cstheme="majorBidi"/>
        </w:rPr>
        <w:t xml:space="preserve"> Oxford: Wiley-Blackwell, 2010, 652</w:t>
      </w:r>
      <w:r w:rsidRPr="0027117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BB047C">
        <w:rPr>
          <w:rFonts w:asciiTheme="majorBidi" w:hAnsiTheme="majorBidi" w:cstheme="majorBidi"/>
        </w:rPr>
        <w:t>Max Weber, “Science as a Vocation.” In From Max Weber: Essays in Sociology, ed. H. H. Gerth and C. Wright Mills. New York: Oxford University Press, 1946,</w:t>
      </w:r>
      <w:r>
        <w:rPr>
          <w:rFonts w:asciiTheme="majorBidi" w:hAnsiTheme="majorBidi" w:cstheme="majorBidi"/>
        </w:rPr>
        <w:t xml:space="preserve"> 129-156. See also: </w:t>
      </w:r>
      <w:r w:rsidRPr="00D4016B">
        <w:rPr>
          <w:rFonts w:asciiTheme="majorBidi" w:hAnsiTheme="majorBidi" w:cstheme="majorBidi"/>
        </w:rPr>
        <w:t xml:space="preserve">Jose Casanova, </w:t>
      </w:r>
      <w:r w:rsidRPr="00D4016B">
        <w:rPr>
          <w:rFonts w:asciiTheme="majorBidi" w:hAnsiTheme="majorBidi" w:cstheme="majorBidi"/>
          <w:i/>
          <w:iCs/>
        </w:rPr>
        <w:t>Public Religions in the Modern World</w:t>
      </w:r>
      <w:r>
        <w:rPr>
          <w:rFonts w:asciiTheme="majorBidi" w:hAnsiTheme="majorBidi" w:cstheme="majorBidi"/>
        </w:rPr>
        <w:t>,</w:t>
      </w:r>
      <w:r w:rsidRPr="00D4016B">
        <w:rPr>
          <w:rFonts w:asciiTheme="majorBidi" w:hAnsiTheme="majorBidi" w:cstheme="majorBidi"/>
        </w:rPr>
        <w:t xml:space="preserve"> Chicago: University of Chicago Press, 1994</w:t>
      </w:r>
      <w:r>
        <w:rPr>
          <w:rFonts w:asciiTheme="majorBidi" w:hAnsiTheme="majorBidi" w:cstheme="majorBidi"/>
        </w:rPr>
        <w:t xml:space="preserve">. </w:t>
      </w:r>
    </w:p>
  </w:footnote>
  <w:footnote w:id="4">
    <w:p w14:paraId="3D112B43" w14:textId="77777777" w:rsidR="002F6CF7" w:rsidRPr="00F80FD7" w:rsidRDefault="002F6CF7" w:rsidP="00390463">
      <w:pPr>
        <w:pStyle w:val="FootnoteText"/>
        <w:rPr>
          <w:rFonts w:asciiTheme="majorBidi" w:hAnsiTheme="majorBidi" w:cstheme="majorBidi"/>
        </w:rPr>
      </w:pPr>
      <w:r w:rsidRPr="00F80FD7">
        <w:rPr>
          <w:rStyle w:val="FootnoteReference"/>
          <w:rFonts w:asciiTheme="majorBidi" w:hAnsiTheme="majorBidi" w:cstheme="majorBidi"/>
        </w:rPr>
        <w:footnoteRef/>
      </w:r>
      <w:r w:rsidRPr="00F80FD7">
        <w:rPr>
          <w:rFonts w:asciiTheme="majorBidi" w:hAnsiTheme="majorBidi" w:cstheme="majorBidi"/>
        </w:rPr>
        <w:t xml:space="preserve"> Salvoj </w:t>
      </w:r>
      <w:r>
        <w:rPr>
          <w:rFonts w:asciiTheme="majorBidi" w:hAnsiTheme="majorBidi" w:cstheme="majorBidi"/>
        </w:rPr>
        <w:t>Zizek, &amp;</w:t>
      </w:r>
      <w:r w:rsidRPr="00F80FD7">
        <w:rPr>
          <w:rFonts w:asciiTheme="majorBidi" w:hAnsiTheme="majorBidi" w:cstheme="majorBidi"/>
        </w:rPr>
        <w:t xml:space="preserve"> John Milbank, </w:t>
      </w:r>
      <w:r w:rsidRPr="00F80FD7">
        <w:rPr>
          <w:rFonts w:asciiTheme="majorBidi" w:hAnsiTheme="majorBidi" w:cstheme="majorBidi"/>
          <w:i/>
          <w:iCs/>
        </w:rPr>
        <w:t>The Monstrosity of Christ: Paradox or Dialectic?</w:t>
      </w:r>
      <w:r w:rsidRPr="00F80FD7">
        <w:rPr>
          <w:rFonts w:asciiTheme="majorBidi" w:hAnsiTheme="majorBidi" w:cstheme="majorBidi"/>
        </w:rPr>
        <w:t xml:space="preserve"> Cambridge, MA: MIT Press, 2009, </w:t>
      </w:r>
      <w:r>
        <w:rPr>
          <w:rFonts w:asciiTheme="majorBidi" w:hAnsiTheme="majorBidi" w:cstheme="majorBidi"/>
        </w:rPr>
        <w:t xml:space="preserve">4; Hent de Vries, (ed.) </w:t>
      </w:r>
      <w:r w:rsidRPr="00F80FD7">
        <w:rPr>
          <w:rFonts w:asciiTheme="majorBidi" w:hAnsiTheme="majorBidi" w:cstheme="majorBidi"/>
          <w:i/>
          <w:iCs/>
        </w:rPr>
        <w:t>Religion beyond a Concept: The Future of the Religious Past</w:t>
      </w:r>
      <w:r w:rsidRPr="00F80FD7">
        <w:rPr>
          <w:rFonts w:asciiTheme="majorBidi" w:hAnsiTheme="majorBidi" w:cstheme="majorBidi"/>
        </w:rPr>
        <w:t>. New</w:t>
      </w:r>
      <w:r>
        <w:rPr>
          <w:rFonts w:asciiTheme="majorBidi" w:hAnsiTheme="majorBidi" w:cstheme="majorBidi"/>
        </w:rPr>
        <w:t xml:space="preserve"> York: Fordham University Press, xiii.</w:t>
      </w:r>
    </w:p>
  </w:footnote>
  <w:footnote w:id="5">
    <w:p w14:paraId="0BA476D4" w14:textId="4EFB803E" w:rsidR="002F6CF7" w:rsidRPr="00AC283D" w:rsidRDefault="002F6CF7" w:rsidP="00AC283D">
      <w:pPr>
        <w:pStyle w:val="FootnoteText"/>
        <w:rPr>
          <w:rtl/>
        </w:rPr>
      </w:pPr>
      <w:r w:rsidRPr="00AC283D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 w:rsidRPr="00AC6DF2">
        <w:rPr>
          <w:rFonts w:asciiTheme="majorBidi" w:hAnsiTheme="majorBidi" w:cstheme="majorBidi"/>
        </w:rPr>
        <w:t xml:space="preserve">Agata Bielik-Robson, </w:t>
      </w:r>
      <w:r>
        <w:rPr>
          <w:rFonts w:asciiTheme="majorBidi" w:hAnsiTheme="majorBidi" w:cstheme="majorBidi"/>
        </w:rPr>
        <w:t>“</w:t>
      </w:r>
      <w:r w:rsidRPr="00AC6DF2">
        <w:rPr>
          <w:rFonts w:asciiTheme="majorBidi" w:hAnsiTheme="majorBidi" w:cstheme="majorBidi"/>
        </w:rPr>
        <w:t>The Post-Secular Turn: Enlig</w:t>
      </w:r>
      <w:r>
        <w:rPr>
          <w:rFonts w:asciiTheme="majorBidi" w:hAnsiTheme="majorBidi" w:cstheme="majorBidi"/>
        </w:rPr>
        <w:t>htenment, Tradition, Revolution”,</w:t>
      </w:r>
      <w:r w:rsidRPr="00AC6DF2">
        <w:rPr>
          <w:rFonts w:asciiTheme="majorBidi" w:hAnsiTheme="majorBidi" w:cstheme="majorBidi"/>
        </w:rPr>
        <w:t xml:space="preserve"> </w:t>
      </w:r>
      <w:r w:rsidRPr="00AC6DF2">
        <w:rPr>
          <w:rFonts w:asciiTheme="majorBidi" w:hAnsiTheme="majorBidi" w:cstheme="majorBidi"/>
          <w:i/>
          <w:iCs/>
        </w:rPr>
        <w:t xml:space="preserve">Eidos: A Journal for Philosophy of Culture, </w:t>
      </w:r>
      <w:r w:rsidRPr="00AC6DF2">
        <w:rPr>
          <w:rFonts w:asciiTheme="majorBidi" w:hAnsiTheme="majorBidi" w:cstheme="majorBidi"/>
        </w:rPr>
        <w:t>3.9 (2019): 57-83</w:t>
      </w:r>
    </w:p>
  </w:footnote>
  <w:footnote w:id="6">
    <w:p w14:paraId="3F6F4FF9" w14:textId="3B8C9A76" w:rsidR="002F6CF7" w:rsidRPr="002601CF" w:rsidRDefault="002F6CF7" w:rsidP="00FA6676">
      <w:pPr>
        <w:pStyle w:val="FootnoteText"/>
        <w:rPr>
          <w:rFonts w:asciiTheme="majorBidi" w:hAnsiTheme="majorBidi" w:cstheme="majorBidi"/>
        </w:rPr>
      </w:pPr>
      <w:r w:rsidRPr="002601CF">
        <w:rPr>
          <w:rStyle w:val="FootnoteReference"/>
          <w:rFonts w:asciiTheme="majorBidi" w:hAnsiTheme="majorBidi" w:cstheme="majorBidi"/>
        </w:rPr>
        <w:footnoteRef/>
      </w:r>
      <w:r w:rsidRPr="002601CF">
        <w:rPr>
          <w:rFonts w:asciiTheme="majorBidi" w:hAnsiTheme="majorBidi" w:cstheme="majorBidi"/>
        </w:rPr>
        <w:t xml:space="preserve"> </w:t>
      </w:r>
      <w:r w:rsidR="002043D0">
        <w:rPr>
          <w:rFonts w:asciiTheme="majorBidi" w:hAnsiTheme="majorBidi" w:cstheme="majorBidi"/>
        </w:rPr>
        <w:t>On the concept of “visitation”</w:t>
      </w:r>
      <w:r w:rsidRPr="002601CF">
        <w:rPr>
          <w:rFonts w:asciiTheme="majorBidi" w:hAnsiTheme="majorBidi" w:cstheme="majorBidi"/>
        </w:rPr>
        <w:t xml:space="preserve"> see: Immanuel Levinas, </w:t>
      </w:r>
      <w:r w:rsidR="002043D0" w:rsidRPr="002043D0">
        <w:rPr>
          <w:rFonts w:asciiTheme="majorBidi" w:hAnsiTheme="majorBidi" w:cstheme="majorBidi"/>
          <w:i/>
          <w:iCs/>
        </w:rPr>
        <w:t>“</w:t>
      </w:r>
      <w:r w:rsidRPr="002043D0">
        <w:rPr>
          <w:rFonts w:asciiTheme="majorBidi" w:hAnsiTheme="majorBidi" w:cstheme="majorBidi"/>
          <w:i/>
          <w:iCs/>
        </w:rPr>
        <w:t>The Trace of the Other</w:t>
      </w:r>
      <w:r w:rsidR="002043D0" w:rsidRPr="002043D0">
        <w:rPr>
          <w:rFonts w:asciiTheme="majorBidi" w:hAnsiTheme="majorBidi" w:cstheme="majorBidi"/>
          <w:i/>
          <w:iCs/>
        </w:rPr>
        <w:t>”,</w:t>
      </w:r>
      <w:r w:rsidRPr="002601CF">
        <w:rPr>
          <w:rFonts w:asciiTheme="majorBidi" w:hAnsiTheme="majorBidi" w:cstheme="majorBidi"/>
          <w:i/>
          <w:iCs/>
        </w:rPr>
        <w:t xml:space="preserve"> </w:t>
      </w:r>
      <w:r w:rsidRPr="002043D0">
        <w:rPr>
          <w:rFonts w:asciiTheme="majorBidi" w:hAnsiTheme="majorBidi" w:cstheme="majorBidi"/>
        </w:rPr>
        <w:t>In</w:t>
      </w:r>
      <w:r w:rsidR="002043D0">
        <w:rPr>
          <w:rFonts w:asciiTheme="majorBidi" w:hAnsiTheme="majorBidi" w:cstheme="majorBidi"/>
        </w:rPr>
        <w:t xml:space="preserve">: Mark C. Taylor (ed.) </w:t>
      </w:r>
      <w:r w:rsidRPr="002601CF">
        <w:rPr>
          <w:rFonts w:asciiTheme="majorBidi" w:hAnsiTheme="majorBidi" w:cstheme="majorBidi"/>
          <w:i/>
          <w:iCs/>
        </w:rPr>
        <w:t xml:space="preserve"> Deconstsruction in Context</w:t>
      </w:r>
      <w:r w:rsidR="002043D0">
        <w:rPr>
          <w:rFonts w:asciiTheme="majorBidi" w:hAnsiTheme="majorBidi" w:cstheme="majorBidi"/>
          <w:i/>
          <w:iCs/>
        </w:rPr>
        <w:t>: Literature and Philosophy</w:t>
      </w:r>
      <w:r w:rsidRPr="002601CF">
        <w:rPr>
          <w:rFonts w:asciiTheme="majorBidi" w:hAnsiTheme="majorBidi" w:cstheme="majorBidi"/>
        </w:rPr>
        <w:t>. Chicago: University</w:t>
      </w:r>
      <w:r>
        <w:rPr>
          <w:rFonts w:asciiTheme="majorBidi" w:hAnsiTheme="majorBidi" w:cstheme="majorBidi"/>
        </w:rPr>
        <w:t xml:space="preserve"> of Chicago Press, 1986. 345–59 in which he seems to </w:t>
      </w:r>
      <w:r w:rsidR="00FA6676">
        <w:rPr>
          <w:rFonts w:asciiTheme="majorBidi" w:hAnsiTheme="majorBidi" w:cstheme="majorBidi"/>
        </w:rPr>
        <w:t xml:space="preserve">be aware of </w:t>
      </w:r>
      <w:r w:rsidRPr="002601CF">
        <w:rPr>
          <w:rFonts w:asciiTheme="majorBidi" w:hAnsiTheme="majorBidi" w:cstheme="majorBidi"/>
        </w:rPr>
        <w:t xml:space="preserve">the etymological proximity in the Hebrew language between critique (Bikoret) and visitation (Bikur).  </w:t>
      </w:r>
    </w:p>
  </w:footnote>
  <w:footnote w:id="7">
    <w:p w14:paraId="2C5BDCB3" w14:textId="77777777" w:rsidR="002F6CF7" w:rsidRPr="002601CF" w:rsidRDefault="002F6CF7" w:rsidP="007A63A5">
      <w:pPr>
        <w:pStyle w:val="FootnoteText"/>
        <w:rPr>
          <w:rFonts w:asciiTheme="majorBidi" w:hAnsiTheme="majorBidi" w:cstheme="majorBidi"/>
          <w:rtl/>
          <w:lang w:val="de-DE"/>
        </w:rPr>
      </w:pPr>
      <w:r w:rsidRPr="002601CF">
        <w:rPr>
          <w:rStyle w:val="FootnoteReference"/>
          <w:rFonts w:asciiTheme="majorBidi" w:hAnsiTheme="majorBidi" w:cstheme="majorBidi"/>
        </w:rPr>
        <w:footnoteRef/>
      </w:r>
      <w:r w:rsidRPr="002601CF">
        <w:rPr>
          <w:rFonts w:asciiTheme="majorBidi" w:hAnsiTheme="majorBidi" w:cstheme="majorBidi"/>
        </w:rPr>
        <w:t xml:space="preserve"> </w:t>
      </w:r>
      <w:r w:rsidRPr="00102F29">
        <w:rPr>
          <w:rFonts w:asciiTheme="majorBidi" w:hAnsiTheme="majorBidi" w:cstheme="majorBidi"/>
        </w:rPr>
        <w:t>H</w:t>
      </w:r>
      <w:r w:rsidRPr="00102F29">
        <w:rPr>
          <w:rFonts w:asciiTheme="majorBidi" w:hAnsiTheme="majorBidi" w:cstheme="majorBidi"/>
          <w:shd w:val="clear" w:color="auto" w:fill="FFFFFF"/>
        </w:rPr>
        <w:t>ent de Vries, </w:t>
      </w:r>
      <w:r w:rsidRPr="00102F29">
        <w:rPr>
          <w:rStyle w:val="Emphasis"/>
          <w:rFonts w:asciiTheme="majorBidi" w:hAnsiTheme="majorBidi" w:cstheme="majorBidi"/>
          <w:b w:val="0"/>
          <w:bCs w:val="0"/>
          <w:i/>
          <w:iCs/>
          <w:shd w:val="clear" w:color="auto" w:fill="FFFFFF"/>
        </w:rPr>
        <w:t>Minimal Theologies: Critiques of Secular Reason in Adorno and Levinas.</w:t>
      </w:r>
      <w:r w:rsidRPr="00102F29">
        <w:rPr>
          <w:rStyle w:val="Emphasis"/>
          <w:rFonts w:asciiTheme="majorBidi" w:hAnsiTheme="majorBidi" w:cstheme="majorBidi"/>
          <w:b w:val="0"/>
          <w:bCs w:val="0"/>
          <w:shd w:val="clear" w:color="auto" w:fill="FFFFFF"/>
        </w:rPr>
        <w:t xml:space="preserve"> Baltimore: J</w:t>
      </w:r>
      <w:r w:rsidRPr="00102F29">
        <w:rPr>
          <w:rFonts w:asciiTheme="majorBidi" w:hAnsiTheme="majorBidi" w:cstheme="majorBidi"/>
          <w:color w:val="333333"/>
          <w:shd w:val="clear" w:color="auto" w:fill="FFFFFF"/>
        </w:rPr>
        <w:t>ohns Hopkins University Press</w:t>
      </w:r>
      <w:r w:rsidRPr="00102F29">
        <w:rPr>
          <w:rFonts w:asciiTheme="majorBidi" w:hAnsiTheme="majorBidi" w:cstheme="majorBidi"/>
          <w:shd w:val="clear" w:color="auto" w:fill="FFFFFF"/>
        </w:rPr>
        <w:t>, 2005</w:t>
      </w:r>
      <w:r w:rsidRPr="002601CF">
        <w:rPr>
          <w:rFonts w:asciiTheme="majorBidi" w:hAnsiTheme="majorBidi" w:cstheme="majorBidi"/>
          <w:i/>
          <w:iCs/>
        </w:rPr>
        <w:t xml:space="preserve">, </w:t>
      </w:r>
      <w:r w:rsidRPr="002601CF">
        <w:rPr>
          <w:rFonts w:asciiTheme="majorBidi" w:hAnsiTheme="majorBidi" w:cstheme="majorBidi"/>
        </w:rPr>
        <w:t>50.</w:t>
      </w:r>
    </w:p>
  </w:footnote>
  <w:footnote w:id="8">
    <w:p w14:paraId="5B2E7F51" w14:textId="77777777" w:rsidR="002F6CF7" w:rsidRPr="00933646" w:rsidRDefault="002F6CF7" w:rsidP="001F504A">
      <w:pPr>
        <w:spacing w:after="0" w:line="240" w:lineRule="auto"/>
        <w:rPr>
          <w:rFonts w:asciiTheme="majorBidi" w:hAnsiTheme="majorBidi" w:cstheme="majorBidi"/>
          <w:color w:val="111111"/>
          <w:sz w:val="24"/>
          <w:szCs w:val="24"/>
        </w:rPr>
      </w:pPr>
      <w:r w:rsidRPr="002601C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2601CF">
        <w:rPr>
          <w:rFonts w:asciiTheme="majorBidi" w:hAnsiTheme="majorBidi" w:cstheme="majorBidi"/>
          <w:sz w:val="20"/>
          <w:szCs w:val="20"/>
        </w:rPr>
        <w:t xml:space="preserve"> For example: David Marshall, </w:t>
      </w:r>
      <w:r w:rsidRPr="002601CF">
        <w:rPr>
          <w:rFonts w:asciiTheme="majorBidi" w:hAnsiTheme="majorBidi" w:cstheme="majorBidi"/>
          <w:i/>
          <w:iCs/>
          <w:sz w:val="20"/>
          <w:szCs w:val="20"/>
        </w:rPr>
        <w:t>The Weimar Origins of Rhetorical Inquiry</w:t>
      </w:r>
      <w:r w:rsidRPr="002601CF">
        <w:rPr>
          <w:rFonts w:asciiTheme="majorBidi" w:hAnsiTheme="majorBidi" w:cstheme="majorBidi"/>
          <w:sz w:val="20"/>
          <w:szCs w:val="20"/>
        </w:rPr>
        <w:t xml:space="preserve">. Chicago: University of Chicago Press, 2020; </w:t>
      </w:r>
      <w:r w:rsidRPr="002601CF">
        <w:rPr>
          <w:rFonts w:asciiTheme="majorBidi" w:hAnsiTheme="majorBidi" w:cstheme="majorBidi"/>
          <w:bCs/>
          <w:sz w:val="20"/>
          <w:szCs w:val="20"/>
        </w:rPr>
        <w:t xml:space="preserve">Benjamin Lazier, </w:t>
      </w:r>
      <w:r w:rsidRPr="002601CF">
        <w:rPr>
          <w:rFonts w:asciiTheme="majorBidi" w:hAnsiTheme="majorBidi" w:cstheme="majorBidi"/>
          <w:bCs/>
          <w:i/>
          <w:iCs/>
          <w:sz w:val="20"/>
          <w:szCs w:val="20"/>
        </w:rPr>
        <w:t xml:space="preserve">God Interrupted: Heresy and the European Imagination between the World Wars. </w:t>
      </w:r>
      <w:r w:rsidRPr="002601CF">
        <w:rPr>
          <w:rFonts w:asciiTheme="majorBidi" w:hAnsiTheme="majorBidi" w:cstheme="majorBidi"/>
          <w:bCs/>
          <w:sz w:val="20"/>
          <w:szCs w:val="20"/>
        </w:rPr>
        <w:t>Princeton: Princeton UP, 2008</w:t>
      </w:r>
      <w:r w:rsidRPr="002601CF">
        <w:rPr>
          <w:rFonts w:asciiTheme="majorBidi" w:hAnsiTheme="majorBidi" w:cstheme="majorBidi"/>
          <w:sz w:val="20"/>
          <w:szCs w:val="20"/>
        </w:rPr>
        <w:t xml:space="preserve">; Peter Gordon, </w:t>
      </w:r>
      <w:r w:rsidRPr="002601CF">
        <w:rPr>
          <w:rFonts w:asciiTheme="majorBidi" w:hAnsiTheme="majorBidi" w:cstheme="majorBidi"/>
          <w:i/>
          <w:iCs/>
          <w:sz w:val="20"/>
          <w:szCs w:val="20"/>
        </w:rPr>
        <w:t xml:space="preserve">Rosenzweig and Heidegger: Between Judaism and German </w:t>
      </w:r>
      <w:r w:rsidRPr="00933646">
        <w:rPr>
          <w:rFonts w:asciiTheme="majorBidi" w:hAnsiTheme="majorBidi" w:cstheme="majorBidi"/>
          <w:i/>
          <w:iCs/>
          <w:sz w:val="20"/>
          <w:szCs w:val="20"/>
        </w:rPr>
        <w:t xml:space="preserve">Philosophy. </w:t>
      </w:r>
      <w:r w:rsidRPr="00933646">
        <w:rPr>
          <w:rFonts w:asciiTheme="majorBidi" w:hAnsiTheme="majorBidi" w:cstheme="majorBidi"/>
          <w:sz w:val="20"/>
          <w:szCs w:val="20"/>
        </w:rPr>
        <w:t>Berkeley: University of California Press 2003</w:t>
      </w:r>
      <w:r w:rsidRPr="00933646">
        <w:rPr>
          <w:rStyle w:val="a-size-extra-large"/>
          <w:rFonts w:asciiTheme="majorBidi" w:hAnsiTheme="majorBidi" w:cstheme="majorBidi"/>
          <w:color w:val="111111"/>
          <w:sz w:val="20"/>
          <w:szCs w:val="20"/>
        </w:rPr>
        <w:t xml:space="preserve">. </w:t>
      </w:r>
    </w:p>
  </w:footnote>
  <w:footnote w:id="9">
    <w:p w14:paraId="1695E0CC" w14:textId="7FD726E2" w:rsidR="002F6CF7" w:rsidRPr="00DC0C38" w:rsidRDefault="002F6CF7" w:rsidP="00DC0C38">
      <w:pPr>
        <w:pStyle w:val="FootnoteText"/>
        <w:rPr>
          <w:rFonts w:asciiTheme="majorBidi" w:hAnsiTheme="majorBidi" w:cstheme="majorBidi"/>
        </w:rPr>
      </w:pPr>
      <w:r w:rsidRPr="00567594">
        <w:rPr>
          <w:rStyle w:val="FootnoteReference"/>
          <w:rFonts w:asciiTheme="majorBidi" w:hAnsiTheme="majorBidi" w:cstheme="majorBidi"/>
        </w:rPr>
        <w:footnoteRef/>
      </w:r>
      <w:r w:rsidRPr="00567594">
        <w:rPr>
          <w:rFonts w:asciiTheme="majorBidi" w:hAnsiTheme="majorBidi" w:cstheme="majorBidi"/>
        </w:rPr>
        <w:t xml:space="preserve"> Bruno Latour, “Why Has Critique Run out of Steam? From Matters of Fact to Matters of Concern”, </w:t>
      </w:r>
      <w:r w:rsidRPr="00567594">
        <w:rPr>
          <w:rFonts w:asciiTheme="majorBidi" w:hAnsiTheme="majorBidi" w:cstheme="majorBidi"/>
          <w:i/>
          <w:iCs/>
        </w:rPr>
        <w:t xml:space="preserve">Critical Inquiry </w:t>
      </w:r>
      <w:r w:rsidRPr="00DC0C38">
        <w:rPr>
          <w:rFonts w:asciiTheme="majorBidi" w:hAnsiTheme="majorBidi" w:cstheme="majorBidi"/>
        </w:rPr>
        <w:t xml:space="preserve">30.2 (2004): 225-248; Jacques Rancière, </w:t>
      </w:r>
      <w:r w:rsidRPr="00DC0C38">
        <w:rPr>
          <w:rFonts w:asciiTheme="majorBidi" w:hAnsiTheme="majorBidi" w:cstheme="majorBidi"/>
          <w:i/>
          <w:iCs/>
        </w:rPr>
        <w:t>Aesthetics and Its Discontents</w:t>
      </w:r>
      <w:r w:rsidRPr="00DC0C38">
        <w:rPr>
          <w:rFonts w:asciiTheme="majorBidi" w:hAnsiTheme="majorBidi" w:cstheme="majorBidi"/>
        </w:rPr>
        <w:t xml:space="preserve">. Cambridge: Polity, 2009; </w:t>
      </w:r>
      <w:r w:rsidRPr="00DC0C38">
        <w:rPr>
          <w:rFonts w:asciiTheme="majorBidi" w:hAnsiTheme="majorBidi" w:cstheme="majorBidi"/>
          <w:color w:val="202122"/>
          <w:shd w:val="clear" w:color="auto" w:fill="FFFFFF"/>
        </w:rPr>
        <w:t>Rita, Felski, </w:t>
      </w:r>
      <w:r w:rsidRPr="00DC0C38">
        <w:rPr>
          <w:rFonts w:asciiTheme="majorBidi" w:hAnsiTheme="majorBidi" w:cstheme="majorBidi"/>
          <w:i/>
          <w:iCs/>
          <w:color w:val="202122"/>
          <w:shd w:val="clear" w:color="auto" w:fill="FFFFFF"/>
        </w:rPr>
        <w:t>The Limits of Critique</w:t>
      </w:r>
      <w:r w:rsidRPr="00DC0C38">
        <w:rPr>
          <w:rFonts w:asciiTheme="majorBidi" w:hAnsiTheme="majorBidi" w:cstheme="majorBidi"/>
          <w:color w:val="202122"/>
          <w:shd w:val="clear" w:color="auto" w:fill="FFFFFF"/>
        </w:rPr>
        <w:t xml:space="preserve">. University of Chicago Press, 2015; Elizabeth S. Anker &amp; Rita Felski, (eds.). </w:t>
      </w:r>
      <w:r w:rsidRPr="00DC0C38">
        <w:rPr>
          <w:rFonts w:asciiTheme="majorBidi" w:hAnsiTheme="majorBidi" w:cstheme="majorBidi"/>
          <w:i/>
          <w:iCs/>
          <w:color w:val="202122"/>
          <w:shd w:val="clear" w:color="auto" w:fill="FFFFFF"/>
        </w:rPr>
        <w:t>Critique and Postcritique</w:t>
      </w:r>
      <w:r w:rsidRPr="00DC0C38">
        <w:rPr>
          <w:rFonts w:asciiTheme="majorBidi" w:hAnsiTheme="majorBidi" w:cstheme="majorBidi"/>
          <w:color w:val="202122"/>
          <w:shd w:val="clear" w:color="auto" w:fill="FFFFFF"/>
        </w:rPr>
        <w:t>. Durham: Duke University Press, 2017.</w:t>
      </w:r>
    </w:p>
  </w:footnote>
  <w:footnote w:id="10">
    <w:p w14:paraId="296EA771" w14:textId="07741A55" w:rsidR="002F6CF7" w:rsidRPr="0069690B" w:rsidRDefault="002F6CF7" w:rsidP="00AB5934">
      <w:pPr>
        <w:pStyle w:val="FootnoteText"/>
        <w:rPr>
          <w:rFonts w:asciiTheme="majorBidi" w:hAnsiTheme="majorBidi" w:cstheme="majorBidi"/>
        </w:rPr>
      </w:pPr>
      <w:r w:rsidRPr="0069690B">
        <w:rPr>
          <w:rStyle w:val="FootnoteReference"/>
          <w:rFonts w:asciiTheme="majorBidi" w:hAnsiTheme="majorBidi" w:cstheme="majorBidi"/>
        </w:rPr>
        <w:footnoteRef/>
      </w:r>
      <w:r w:rsidRPr="0069690B">
        <w:rPr>
          <w:rFonts w:asciiTheme="majorBidi" w:hAnsiTheme="majorBidi" w:cstheme="majorBidi"/>
        </w:rPr>
        <w:t xml:space="preserve"> Rita Felski, </w:t>
      </w:r>
      <w:r w:rsidRPr="0069690B">
        <w:rPr>
          <w:rFonts w:asciiTheme="majorBidi" w:hAnsiTheme="majorBidi" w:cstheme="majorBidi"/>
          <w:i/>
          <w:iCs/>
        </w:rPr>
        <w:t xml:space="preserve">Uses of Literature. </w:t>
      </w:r>
      <w:r w:rsidRPr="0069690B">
        <w:rPr>
          <w:rFonts w:asciiTheme="majorBidi" w:hAnsiTheme="majorBidi" w:cstheme="majorBidi"/>
        </w:rPr>
        <w:t>Oxford: Blackwell Publishing, 2008,</w:t>
      </w:r>
      <w:r>
        <w:rPr>
          <w:rFonts w:asciiTheme="majorBidi" w:hAnsiTheme="majorBidi" w:cstheme="majorBidi"/>
        </w:rPr>
        <w:t xml:space="preserve"> 22</w:t>
      </w:r>
      <w:r w:rsidRPr="001F34A3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The term “hermeneutics of suspicion” was suggested by Paul Ricour, </w:t>
      </w:r>
      <w:r>
        <w:rPr>
          <w:rFonts w:asciiTheme="majorBidi" w:hAnsiTheme="majorBidi" w:cstheme="majorBidi"/>
          <w:i/>
          <w:iCs/>
        </w:rPr>
        <w:t xml:space="preserve">Freud and Philosophy: An Essay on Interpretation. </w:t>
      </w:r>
      <w:r>
        <w:rPr>
          <w:rFonts w:asciiTheme="majorBidi" w:hAnsiTheme="majorBidi" w:cstheme="majorBidi"/>
        </w:rPr>
        <w:t>New Haven: Yale UP, 1970, 35.</w:t>
      </w:r>
    </w:p>
  </w:footnote>
  <w:footnote w:id="11">
    <w:p w14:paraId="106F05C9" w14:textId="3402B4E2" w:rsidR="002F6CF7" w:rsidRPr="002365B3" w:rsidRDefault="002F6CF7" w:rsidP="002365B3">
      <w:pPr>
        <w:pStyle w:val="FootnoteText"/>
        <w:rPr>
          <w:rFonts w:asciiTheme="majorBidi" w:hAnsiTheme="majorBidi" w:cstheme="majorBidi"/>
          <w:rtl/>
          <w:lang w:val="de-DE"/>
        </w:rPr>
      </w:pPr>
      <w:r w:rsidRPr="002365B3">
        <w:rPr>
          <w:rStyle w:val="FootnoteReference"/>
          <w:rFonts w:asciiTheme="majorBidi" w:hAnsiTheme="majorBidi" w:cstheme="majorBidi"/>
        </w:rPr>
        <w:footnoteRef/>
      </w:r>
      <w:r w:rsidRPr="002365B3">
        <w:rPr>
          <w:rFonts w:asciiTheme="majorBidi" w:hAnsiTheme="majorBidi" w:cstheme="majorBidi"/>
        </w:rPr>
        <w:t xml:space="preserve"> Bielik-Robson, “The Post-Secular”,</w:t>
      </w:r>
    </w:p>
  </w:footnote>
  <w:footnote w:id="12">
    <w:p w14:paraId="21D71A6C" w14:textId="0C4CE41D" w:rsidR="002F6CF7" w:rsidRPr="002601CF" w:rsidRDefault="002F6CF7" w:rsidP="00EF505D">
      <w:pPr>
        <w:pStyle w:val="FootnoteText"/>
        <w:rPr>
          <w:rFonts w:asciiTheme="majorBidi" w:hAnsiTheme="majorBidi" w:cstheme="majorBidi"/>
        </w:rPr>
      </w:pPr>
      <w:r w:rsidRPr="002601CF">
        <w:rPr>
          <w:rStyle w:val="FootnoteReference"/>
          <w:rFonts w:asciiTheme="majorBidi" w:hAnsiTheme="majorBidi" w:cstheme="majorBidi"/>
        </w:rPr>
        <w:footnoteRef/>
      </w:r>
      <w:r w:rsidRPr="002601CF">
        <w:rPr>
          <w:rFonts w:asciiTheme="majorBidi" w:hAnsiTheme="majorBidi" w:cstheme="majorBidi"/>
          <w:rtl/>
        </w:rPr>
        <w:t xml:space="preserve"> </w:t>
      </w:r>
      <w:r w:rsidRPr="002601CF">
        <w:rPr>
          <w:rFonts w:asciiTheme="majorBidi" w:hAnsiTheme="majorBidi" w:cstheme="majorBidi"/>
        </w:rPr>
        <w:t xml:space="preserve">Santner, </w:t>
      </w:r>
      <w:r w:rsidRPr="002601CF">
        <w:rPr>
          <w:rFonts w:asciiTheme="majorBidi" w:hAnsiTheme="majorBidi" w:cstheme="majorBidi"/>
          <w:i/>
          <w:iCs/>
        </w:rPr>
        <w:t xml:space="preserve">Psychoanalysis, </w:t>
      </w:r>
      <w:r w:rsidRPr="002601CF">
        <w:rPr>
          <w:rFonts w:asciiTheme="majorBidi" w:hAnsiTheme="majorBidi" w:cstheme="majorBidi"/>
        </w:rPr>
        <w:t>146.</w:t>
      </w:r>
    </w:p>
  </w:footnote>
  <w:footnote w:id="13">
    <w:p w14:paraId="541D6C76" w14:textId="77777777" w:rsidR="002F6CF7" w:rsidRPr="00933646" w:rsidRDefault="002F6CF7" w:rsidP="00B55E77">
      <w:pPr>
        <w:pStyle w:val="FootnoteText"/>
        <w:rPr>
          <w:rFonts w:asciiTheme="majorBidi" w:hAnsiTheme="majorBidi" w:cstheme="majorBidi"/>
        </w:rPr>
      </w:pPr>
      <w:r w:rsidRPr="00933646">
        <w:rPr>
          <w:rStyle w:val="FootnoteReference"/>
          <w:rFonts w:asciiTheme="majorBidi" w:hAnsiTheme="majorBidi" w:cstheme="majorBidi"/>
        </w:rPr>
        <w:footnoteRef/>
      </w:r>
      <w:r w:rsidRPr="00933646">
        <w:rPr>
          <w:rFonts w:asciiTheme="majorBidi" w:hAnsiTheme="majorBidi" w:cstheme="majorBidi"/>
        </w:rPr>
        <w:t xml:space="preserve"> </w:t>
      </w:r>
      <w:r w:rsidRPr="008F7A7C">
        <w:rPr>
          <w:rFonts w:asciiTheme="majorBidi" w:hAnsiTheme="majorBidi" w:cstheme="majorBidi"/>
        </w:rPr>
        <w:t>Bielik</w:t>
      </w:r>
      <w:r w:rsidRPr="00933646">
        <w:rPr>
          <w:rFonts w:asciiTheme="majorBidi" w:hAnsiTheme="majorBidi" w:cstheme="majorBidi"/>
        </w:rPr>
        <w:t>-Robson,</w:t>
      </w:r>
      <w:r>
        <w:rPr>
          <w:rFonts w:asciiTheme="majorBidi" w:hAnsiTheme="majorBidi" w:cstheme="majorBidi"/>
        </w:rPr>
        <w:t xml:space="preserve"> “The Post-Secular”,</w:t>
      </w:r>
      <w:r w:rsidRPr="00933646">
        <w:rPr>
          <w:rFonts w:asciiTheme="majorBidi" w:hAnsiTheme="majorBidi" w:cstheme="majorBidi"/>
        </w:rPr>
        <w:t xml:space="preserve"> 59.</w:t>
      </w:r>
    </w:p>
  </w:footnote>
  <w:footnote w:id="14">
    <w:p w14:paraId="07D6D2CC" w14:textId="77777777" w:rsidR="002F6CF7" w:rsidRPr="009D5DE7" w:rsidRDefault="002F6CF7" w:rsidP="00E82B07">
      <w:pPr>
        <w:pStyle w:val="FootnoteText"/>
        <w:rPr>
          <w:rFonts w:asciiTheme="majorBidi" w:hAnsiTheme="majorBidi" w:cstheme="majorBidi"/>
        </w:rPr>
      </w:pPr>
      <w:r w:rsidRPr="00386375">
        <w:rPr>
          <w:rStyle w:val="FootnoteReference"/>
          <w:rFonts w:asciiTheme="majorBidi" w:hAnsiTheme="majorBidi" w:cstheme="majorBidi"/>
        </w:rPr>
        <w:footnoteRef/>
      </w:r>
      <w:r w:rsidRPr="00386375">
        <w:rPr>
          <w:rFonts w:asciiTheme="majorBidi" w:hAnsiTheme="majorBidi" w:cstheme="majorBidi"/>
        </w:rPr>
        <w:t xml:space="preserve"> G</w:t>
      </w:r>
      <w:r w:rsidRPr="009D5DE7">
        <w:rPr>
          <w:rFonts w:asciiTheme="majorBidi" w:hAnsiTheme="majorBidi" w:cstheme="majorBidi"/>
        </w:rPr>
        <w:t xml:space="preserve">ordon, </w:t>
      </w:r>
      <w:r w:rsidRPr="009D5DE7">
        <w:rPr>
          <w:rFonts w:asciiTheme="majorBidi" w:hAnsiTheme="majorBidi" w:cstheme="majorBidi"/>
          <w:i/>
          <w:iCs/>
        </w:rPr>
        <w:t xml:space="preserve">Migrants, </w:t>
      </w:r>
      <w:r w:rsidRPr="009D5DE7">
        <w:rPr>
          <w:rFonts w:asciiTheme="majorBidi" w:hAnsiTheme="majorBidi" w:cstheme="majorBidi"/>
        </w:rPr>
        <w:t>146.</w:t>
      </w:r>
    </w:p>
  </w:footnote>
  <w:footnote w:id="15">
    <w:p w14:paraId="57618D1D" w14:textId="77777777" w:rsidR="002F6CF7" w:rsidRPr="00E80600" w:rsidRDefault="002F6CF7" w:rsidP="00E82B07">
      <w:pPr>
        <w:pStyle w:val="FootnoteText"/>
        <w:rPr>
          <w:rFonts w:asciiTheme="majorBidi" w:hAnsiTheme="majorBidi" w:cstheme="majorBidi"/>
        </w:rPr>
      </w:pPr>
      <w:r w:rsidRPr="00E80600">
        <w:rPr>
          <w:rStyle w:val="FootnoteReference"/>
          <w:rFonts w:asciiTheme="majorBidi" w:hAnsiTheme="majorBidi" w:cstheme="majorBidi"/>
        </w:rPr>
        <w:footnoteRef/>
      </w:r>
      <w:r w:rsidRPr="00E80600">
        <w:rPr>
          <w:rFonts w:asciiTheme="majorBidi" w:hAnsiTheme="majorBidi" w:cstheme="majorBidi"/>
        </w:rPr>
        <w:t xml:space="preserve"> Wolfson, </w:t>
      </w:r>
      <w:r w:rsidRPr="00E80600">
        <w:rPr>
          <w:rFonts w:asciiTheme="majorBidi" w:hAnsiTheme="majorBidi" w:cstheme="majorBidi"/>
          <w:i/>
          <w:iCs/>
        </w:rPr>
        <w:t>Poetic</w:t>
      </w:r>
      <w:r>
        <w:rPr>
          <w:rFonts w:asciiTheme="majorBidi" w:hAnsiTheme="majorBidi" w:cstheme="majorBidi"/>
        </w:rPr>
        <w:t>, 180-182.</w:t>
      </w:r>
    </w:p>
  </w:footnote>
  <w:footnote w:id="16">
    <w:p w14:paraId="403678A6" w14:textId="43ACA903" w:rsidR="002F6CF7" w:rsidRPr="00BE6019" w:rsidRDefault="002F6CF7" w:rsidP="003C7AB3">
      <w:pPr>
        <w:pStyle w:val="FootnoteText"/>
        <w:rPr>
          <w:rStyle w:val="FootnoteReference"/>
          <w:rFonts w:asciiTheme="majorBidi" w:hAnsiTheme="majorBidi" w:cstheme="majorBidi"/>
          <w:vertAlign w:val="baseline"/>
        </w:rPr>
      </w:pPr>
      <w:r w:rsidRPr="00BE6019">
        <w:rPr>
          <w:rStyle w:val="FootnoteReference"/>
          <w:rFonts w:asciiTheme="majorBidi" w:hAnsiTheme="majorBidi" w:cstheme="majorBidi"/>
        </w:rPr>
        <w:footnoteRef/>
      </w:r>
      <w:r w:rsidRPr="00BE6019">
        <w:rPr>
          <w:rFonts w:asciiTheme="majorBidi" w:hAnsiTheme="majorBidi" w:cstheme="majorBidi"/>
        </w:rPr>
        <w:t xml:space="preserve"> See for</w:t>
      </w:r>
      <w:r>
        <w:rPr>
          <w:rFonts w:asciiTheme="majorBidi" w:hAnsiTheme="majorBidi" w:cstheme="majorBidi"/>
        </w:rPr>
        <w:t xml:space="preserve"> example </w:t>
      </w:r>
      <w:r w:rsidRPr="003C7AB3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>: Ronald Inglehart &amp; Wayne E. Baker, “Modernization, Cultural Change, and the Persistence of Traditional Values</w:t>
      </w:r>
      <w:r w:rsidR="006A218B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i/>
          <w:iCs/>
        </w:rPr>
        <w:t xml:space="preserve">Maerican Sociological Review, </w:t>
      </w:r>
      <w:r>
        <w:rPr>
          <w:rFonts w:asciiTheme="majorBidi" w:hAnsiTheme="majorBidi" w:cstheme="majorBidi"/>
        </w:rPr>
        <w:t xml:space="preserve">65.1 (2000): 19-51; Yaacov Yadgar, </w:t>
      </w:r>
      <w:r w:rsidRPr="00BE6019">
        <w:rPr>
          <w:rFonts w:asciiTheme="majorBidi" w:hAnsiTheme="majorBidi" w:cstheme="majorBidi"/>
          <w:i/>
          <w:iCs/>
        </w:rPr>
        <w:t>Secularism and Religion in Jewish-Israeli Politics: Traditionists and Modernity</w:t>
      </w:r>
      <w:r>
        <w:rPr>
          <w:rFonts w:asciiTheme="majorBidi" w:hAnsiTheme="majorBidi" w:cstheme="majorBidi"/>
        </w:rPr>
        <w:t xml:space="preserve">. London: Routledge, 2010. </w:t>
      </w:r>
      <w:r w:rsidRPr="00BE6019">
        <w:rPr>
          <w:rStyle w:val="FootnoteReference"/>
        </w:rPr>
        <w:t xml:space="preserve"> </w:t>
      </w:r>
    </w:p>
  </w:footnote>
  <w:footnote w:id="17">
    <w:p w14:paraId="7113E1FD" w14:textId="407CE162" w:rsidR="002F6CF7" w:rsidRPr="000F69E7" w:rsidRDefault="002F6CF7" w:rsidP="00AB13E9">
      <w:pPr>
        <w:pStyle w:val="FootnoteText"/>
        <w:rPr>
          <w:rFonts w:asciiTheme="majorBidi" w:hAnsiTheme="majorBidi" w:cstheme="majorBidi"/>
          <w:color w:val="000000"/>
          <w:shd w:val="clear" w:color="auto" w:fill="FFFFFF"/>
        </w:rPr>
      </w:pPr>
      <w:r w:rsidRPr="00AB13E9">
        <w:rPr>
          <w:rStyle w:val="FootnoteReference"/>
          <w:rFonts w:asciiTheme="majorBidi" w:hAnsiTheme="majorBidi" w:cstheme="majorBidi"/>
        </w:rPr>
        <w:footnoteRef/>
      </w:r>
      <w:r w:rsidRPr="00AB13E9">
        <w:rPr>
          <w:rFonts w:asciiTheme="majorBidi" w:hAnsiTheme="majorBidi" w:cstheme="majorBidi"/>
        </w:rPr>
        <w:t xml:space="preserve"> Hans-George Gadamer, </w:t>
      </w:r>
      <w:r w:rsidRPr="00AB13E9">
        <w:rPr>
          <w:rFonts w:asciiTheme="majorBidi" w:hAnsiTheme="majorBidi" w:cstheme="majorBidi"/>
          <w:i/>
          <w:iCs/>
        </w:rPr>
        <w:t>Truth and Method</w:t>
      </w:r>
      <w:r w:rsidRPr="00AB13E9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358-361. </w:t>
      </w:r>
      <w:r w:rsidRPr="000F69E7">
        <w:rPr>
          <w:rFonts w:asciiTheme="majorBidi" w:hAnsiTheme="majorBidi" w:cstheme="majorBidi"/>
        </w:rPr>
        <w:t xml:space="preserve">Andrew Bowie, “Gadamar and Romanticism”, in: 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Bruce </w:t>
      </w:r>
      <w:r w:rsidRPr="000F69E7">
        <w:rPr>
          <w:rFonts w:asciiTheme="majorBidi" w:hAnsiTheme="majorBidi" w:cstheme="majorBidi"/>
          <w:color w:val="000000"/>
          <w:shd w:val="clear" w:color="auto" w:fill="FFFFFF"/>
        </w:rPr>
        <w:t>Krajewski, (ed.) </w:t>
      </w:r>
      <w:r w:rsidRPr="000F69E7">
        <w:rPr>
          <w:rStyle w:val="HTMLCite"/>
          <w:rFonts w:asciiTheme="majorBidi" w:hAnsiTheme="majorBidi" w:cstheme="majorBidi"/>
          <w:color w:val="000000"/>
          <w:shd w:val="clear" w:color="auto" w:fill="FFFFFF"/>
        </w:rPr>
        <w:t>Gadamer's Repercussions: Reconsidering Philosophical Hermeneutics. </w:t>
      </w:r>
      <w:r w:rsidRPr="000F69E7">
        <w:rPr>
          <w:rFonts w:asciiTheme="majorBidi" w:hAnsiTheme="majorBidi" w:cstheme="majorBidi"/>
          <w:color w:val="000000"/>
          <w:shd w:val="clear" w:color="auto" w:fill="FFFFFF"/>
        </w:rPr>
        <w:t>Berkeley</w:t>
      </w:r>
      <w:r>
        <w:rPr>
          <w:rFonts w:asciiTheme="majorBidi" w:hAnsiTheme="majorBidi" w:cstheme="majorBidi"/>
          <w:color w:val="000000"/>
          <w:shd w:val="clear" w:color="auto" w:fill="FFFFFF"/>
        </w:rPr>
        <w:t>:</w:t>
      </w:r>
      <w:r w:rsidRPr="000F69E7">
        <w:rPr>
          <w:rFonts w:asciiTheme="majorBidi" w:hAnsiTheme="majorBidi" w:cstheme="majorBidi"/>
          <w:color w:val="000000"/>
          <w:shd w:val="clear" w:color="auto" w:fill="FFFFFF"/>
        </w:rPr>
        <w:t> University of California Press, 2004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, 69; </w:t>
      </w:r>
      <w:r w:rsidRPr="00C607C2">
        <w:rPr>
          <w:rFonts w:asciiTheme="majorBidi" w:hAnsiTheme="majorBidi" w:cstheme="majorBidi"/>
        </w:rPr>
        <w:t xml:space="preserve">Theodor Kisiel, “The Happening of Tradition: The Hermeneutics of Gadamer and Heidegger”, </w:t>
      </w:r>
      <w:r w:rsidRPr="00C607C2">
        <w:rPr>
          <w:rFonts w:asciiTheme="majorBidi" w:hAnsiTheme="majorBidi" w:cstheme="majorBidi"/>
          <w:i/>
          <w:iCs/>
        </w:rPr>
        <w:t>Man and World</w:t>
      </w:r>
      <w:r w:rsidRPr="00C607C2">
        <w:rPr>
          <w:rFonts w:asciiTheme="majorBidi" w:hAnsiTheme="majorBidi" w:cstheme="majorBidi"/>
        </w:rPr>
        <w:t xml:space="preserve"> 2 (1969): 358-85.</w:t>
      </w:r>
      <w:r>
        <w:rPr>
          <w:rFonts w:asciiTheme="majorBidi" w:hAnsiTheme="majorBidi" w:cstheme="majorBidi"/>
        </w:rPr>
        <w:t xml:space="preserve"> </w:t>
      </w:r>
    </w:p>
  </w:footnote>
  <w:footnote w:id="18">
    <w:p w14:paraId="7A15D08F" w14:textId="77777777" w:rsidR="002F6CF7" w:rsidRPr="00EF0EE7" w:rsidRDefault="002F6CF7" w:rsidP="0094443B">
      <w:pPr>
        <w:pStyle w:val="FootnoteText"/>
      </w:pPr>
      <w:r w:rsidRPr="00D72CC8">
        <w:rPr>
          <w:rStyle w:val="FootnoteReference"/>
          <w:rFonts w:asciiTheme="majorBidi" w:hAnsiTheme="majorBidi" w:cstheme="majorBidi"/>
        </w:rPr>
        <w:footnoteRef/>
      </w:r>
      <w:r w:rsidRPr="00D72CC8">
        <w:rPr>
          <w:rFonts w:asciiTheme="majorBidi" w:hAnsiTheme="majorBidi" w:cstheme="majorBidi"/>
        </w:rPr>
        <w:t xml:space="preserve"> Devid Biale, </w:t>
      </w:r>
      <w:r w:rsidRPr="00D72CC8">
        <w:rPr>
          <w:rFonts w:asciiTheme="majorBidi" w:hAnsiTheme="majorBidi" w:cstheme="majorBidi"/>
          <w:i/>
          <w:iCs/>
        </w:rPr>
        <w:t xml:space="preserve">Not in Heaven: The Tradition of Jewish Secular Thought. </w:t>
      </w:r>
      <w:r w:rsidRPr="00EF0EE7">
        <w:rPr>
          <w:rFonts w:asciiTheme="majorBidi" w:hAnsiTheme="majorBidi" w:cstheme="majorBidi"/>
        </w:rPr>
        <w:t>Princeton: Princeton UP, 2011</w:t>
      </w:r>
      <w:r w:rsidRPr="00EF0EE7">
        <w:t xml:space="preserve">. </w:t>
      </w:r>
    </w:p>
  </w:footnote>
  <w:footnote w:id="19">
    <w:p w14:paraId="50466141" w14:textId="77777777" w:rsidR="002F6CF7" w:rsidRPr="00EF0EE7" w:rsidRDefault="002F6CF7" w:rsidP="00DE100A">
      <w:pPr>
        <w:pStyle w:val="FootnoteText"/>
        <w:rPr>
          <w:rFonts w:asciiTheme="majorBidi" w:hAnsiTheme="majorBidi" w:cstheme="majorBidi"/>
        </w:rPr>
      </w:pPr>
      <w:r w:rsidRPr="002601CF">
        <w:rPr>
          <w:rStyle w:val="FootnoteReference"/>
          <w:rFonts w:asciiTheme="majorBidi" w:hAnsiTheme="majorBidi" w:cstheme="majorBidi"/>
        </w:rPr>
        <w:footnoteRef/>
      </w:r>
      <w:r w:rsidRPr="002601CF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</w:rPr>
        <w:t>P</w:t>
      </w:r>
      <w:r w:rsidRPr="00C30C32">
        <w:rPr>
          <w:rFonts w:asciiTheme="majorBidi" w:hAnsiTheme="majorBidi" w:cstheme="majorBidi"/>
        </w:rPr>
        <w:t xml:space="preserve">aul </w:t>
      </w:r>
      <w:r w:rsidRPr="002601CF">
        <w:rPr>
          <w:rFonts w:asciiTheme="majorBidi" w:hAnsiTheme="majorBidi" w:cstheme="majorBidi"/>
        </w:rPr>
        <w:t xml:space="preserve">North, </w:t>
      </w:r>
      <w:r w:rsidRPr="002601CF">
        <w:rPr>
          <w:rFonts w:asciiTheme="majorBidi" w:hAnsiTheme="majorBidi" w:cstheme="majorBidi"/>
          <w:i/>
          <w:iCs/>
        </w:rPr>
        <w:t>The Yield</w:t>
      </w:r>
      <w:r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  <w:i/>
          <w:iCs/>
        </w:rPr>
        <w:t xml:space="preserve">Kafka’s Atheological Reformation. </w:t>
      </w:r>
      <w:r w:rsidRPr="00EF0EE7">
        <w:rPr>
          <w:rFonts w:asciiTheme="majorBidi" w:hAnsiTheme="majorBidi" w:cstheme="majorBidi"/>
        </w:rPr>
        <w:t>Stanford: Stanford UP, 1.</w:t>
      </w:r>
    </w:p>
  </w:footnote>
  <w:footnote w:id="20">
    <w:p w14:paraId="370DE2D7" w14:textId="77777777" w:rsidR="002F6CF7" w:rsidRPr="00611B6A" w:rsidRDefault="002F6CF7" w:rsidP="009B2A3B">
      <w:pPr>
        <w:pStyle w:val="FootnoteText"/>
        <w:rPr>
          <w:rFonts w:asciiTheme="majorBidi" w:hAnsiTheme="majorBidi" w:cstheme="majorBidi"/>
        </w:rPr>
      </w:pPr>
      <w:r w:rsidRPr="002601CF">
        <w:rPr>
          <w:rStyle w:val="FootnoteReference"/>
          <w:rFonts w:asciiTheme="majorBidi" w:hAnsiTheme="majorBidi" w:cstheme="majorBidi"/>
        </w:rPr>
        <w:footnoteRef/>
      </w:r>
      <w:r w:rsidRPr="002601CF">
        <w:rPr>
          <w:rFonts w:asciiTheme="majorBidi" w:hAnsiTheme="majorBidi" w:cstheme="majorBidi"/>
          <w:rtl/>
        </w:rPr>
        <w:t xml:space="preserve"> </w:t>
      </w:r>
      <w:r w:rsidRPr="002601CF">
        <w:rPr>
          <w:rFonts w:asciiTheme="majorBidi" w:hAnsiTheme="majorBidi" w:cstheme="majorBidi"/>
        </w:rPr>
        <w:t xml:space="preserve">Judith Butler, </w:t>
      </w:r>
      <w:r w:rsidRPr="002601CF">
        <w:rPr>
          <w:rFonts w:asciiTheme="majorBidi" w:hAnsiTheme="majorBidi" w:cstheme="majorBidi"/>
          <w:i/>
          <w:lang w:val="en-AU"/>
        </w:rPr>
        <w:t>Parting Ways. Jewishness and the Critique of Zionism</w:t>
      </w:r>
      <w:r w:rsidRPr="002601CF">
        <w:rPr>
          <w:rFonts w:asciiTheme="majorBidi" w:hAnsiTheme="majorBidi" w:cstheme="majorBidi"/>
          <w:lang w:val="en-AU"/>
        </w:rPr>
        <w:t xml:space="preserve">. </w:t>
      </w:r>
      <w:r w:rsidRPr="00EF0EE7">
        <w:rPr>
          <w:rFonts w:asciiTheme="majorBidi" w:hAnsiTheme="majorBidi" w:cstheme="majorBidi"/>
        </w:rPr>
        <w:t>New York: Columbia University Press, 2014, 122.</w:t>
      </w:r>
    </w:p>
  </w:footnote>
  <w:footnote w:id="21">
    <w:p w14:paraId="238A002D" w14:textId="77777777" w:rsidR="002F6CF7" w:rsidRPr="002601CF" w:rsidRDefault="002F6CF7" w:rsidP="00200612">
      <w:pPr>
        <w:pStyle w:val="FootnoteText"/>
        <w:rPr>
          <w:rFonts w:asciiTheme="majorBidi" w:hAnsiTheme="majorBidi" w:cstheme="majorBidi"/>
        </w:rPr>
      </w:pPr>
      <w:r w:rsidRPr="002601CF">
        <w:rPr>
          <w:rStyle w:val="FootnoteReference"/>
          <w:rFonts w:asciiTheme="majorBidi" w:hAnsiTheme="majorBidi" w:cstheme="majorBidi"/>
        </w:rPr>
        <w:footnoteRef/>
      </w:r>
      <w:r w:rsidRPr="002601CF">
        <w:rPr>
          <w:rFonts w:asciiTheme="majorBidi" w:hAnsiTheme="majorBidi" w:cstheme="majorBidi"/>
          <w:rtl/>
        </w:rPr>
        <w:t xml:space="preserve"> </w:t>
      </w:r>
      <w:r w:rsidRPr="002601CF">
        <w:rPr>
          <w:rFonts w:asciiTheme="majorBidi" w:hAnsiTheme="majorBidi" w:cstheme="majorBidi"/>
        </w:rPr>
        <w:t xml:space="preserve">Rose Sven Erick, </w:t>
      </w:r>
      <w:r w:rsidRPr="002601CF">
        <w:rPr>
          <w:rFonts w:asciiTheme="majorBidi" w:hAnsiTheme="majorBidi" w:cstheme="majorBidi"/>
          <w:i/>
          <w:iCs/>
        </w:rPr>
        <w:t>Jewish Philosophical Politics in Germany 1789-1848.</w:t>
      </w:r>
      <w:r w:rsidRPr="002601CF">
        <w:rPr>
          <w:rFonts w:asciiTheme="majorBidi" w:hAnsiTheme="majorBidi" w:cstheme="majorBidi"/>
        </w:rPr>
        <w:t xml:space="preserve"> Waltham Mass.: Brandeis UP, 2014, 1.</w:t>
      </w:r>
    </w:p>
  </w:footnote>
  <w:footnote w:id="22">
    <w:p w14:paraId="5F2649FB" w14:textId="3E4E8518" w:rsidR="006A218B" w:rsidRPr="006A218B" w:rsidRDefault="006A218B" w:rsidP="006A218B">
      <w:pPr>
        <w:pStyle w:val="FootnoteText"/>
        <w:rPr>
          <w:rFonts w:hint="cs"/>
          <w:rtl/>
        </w:rPr>
      </w:pPr>
      <w:r w:rsidRPr="006A218B">
        <w:rPr>
          <w:rStyle w:val="FootnoteReference"/>
          <w:rFonts w:asciiTheme="majorBidi" w:hAnsiTheme="majorBidi" w:cstheme="majorBidi"/>
        </w:rPr>
        <w:footnoteRef/>
      </w:r>
      <w:r w:rsidRPr="006A218B">
        <w:rPr>
          <w:rFonts w:asciiTheme="majorBidi" w:hAnsiTheme="majorBidi" w:cstheme="majorBidi"/>
        </w:rPr>
        <w:t xml:space="preserve"> </w:t>
      </w:r>
      <w:r w:rsidRPr="006A218B">
        <w:rPr>
          <w:rFonts w:asciiTheme="majorBidi" w:hAnsiTheme="majorBidi" w:cstheme="majorBidi"/>
        </w:rPr>
        <w:t xml:space="preserve">Paul Franks, “Jewish Philosophy after Kant: The Legacy of Salomon Maimon”, in: Michael L. Morgan and Peter Eli Gordon (eds.) </w:t>
      </w:r>
      <w:r w:rsidRPr="006A218B">
        <w:rPr>
          <w:rFonts w:asciiTheme="majorBidi" w:hAnsiTheme="majorBidi" w:cstheme="majorBidi"/>
          <w:i/>
          <w:iCs/>
        </w:rPr>
        <w:t xml:space="preserve">The Cambridge Companion to Modern Jewish Philosophy. </w:t>
      </w:r>
      <w:r w:rsidRPr="006A218B">
        <w:rPr>
          <w:rFonts w:asciiTheme="majorBidi" w:hAnsiTheme="majorBidi" w:cstheme="majorBidi"/>
        </w:rPr>
        <w:t>Cambridge: Cambridge UP, 2007, 53-79</w:t>
      </w:r>
    </w:p>
  </w:footnote>
  <w:footnote w:id="23">
    <w:p w14:paraId="2AC41EFC" w14:textId="412426BB" w:rsidR="002F6CF7" w:rsidRPr="00EF0EE7" w:rsidRDefault="002F6CF7" w:rsidP="00611B6A">
      <w:pPr>
        <w:pStyle w:val="FootnoteText"/>
        <w:rPr>
          <w:rFonts w:asciiTheme="majorBidi" w:hAnsiTheme="majorBidi" w:cstheme="majorBidi"/>
          <w:lang w:val="de-DE"/>
        </w:rPr>
      </w:pPr>
      <w:r w:rsidRPr="00611B6A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  <w:color w:val="000000"/>
        </w:rPr>
        <w:t xml:space="preserve"> </w:t>
      </w:r>
      <w:r w:rsidRPr="002601CF">
        <w:rPr>
          <w:rFonts w:asciiTheme="majorBidi" w:hAnsiTheme="majorBidi" w:cstheme="majorBidi"/>
          <w:color w:val="000000"/>
        </w:rPr>
        <w:t>Peter Eli</w:t>
      </w:r>
      <w:r w:rsidRPr="00037D09">
        <w:rPr>
          <w:rFonts w:asciiTheme="majorBidi" w:hAnsiTheme="majorBidi" w:cstheme="majorBidi"/>
          <w:color w:val="000000"/>
        </w:rPr>
        <w:t xml:space="preserve"> </w:t>
      </w:r>
      <w:r w:rsidRPr="002601CF">
        <w:rPr>
          <w:rFonts w:asciiTheme="majorBidi" w:hAnsiTheme="majorBidi" w:cstheme="majorBidi"/>
          <w:color w:val="000000"/>
        </w:rPr>
        <w:t>Gordon</w:t>
      </w:r>
      <w:r>
        <w:rPr>
          <w:rFonts w:asciiTheme="majorBidi" w:hAnsiTheme="majorBidi" w:cstheme="majorBidi"/>
          <w:color w:val="000000"/>
        </w:rPr>
        <w:t>,</w:t>
      </w:r>
      <w:r w:rsidRPr="002601CF">
        <w:rPr>
          <w:rFonts w:asciiTheme="majorBidi" w:hAnsiTheme="majorBidi" w:cstheme="majorBidi"/>
          <w:color w:val="000000"/>
        </w:rPr>
        <w:t xml:space="preserve"> </w:t>
      </w:r>
      <w:r w:rsidRPr="00037D09">
        <w:rPr>
          <w:rFonts w:asciiTheme="majorBidi" w:hAnsiTheme="majorBidi" w:cstheme="majorBidi"/>
          <w:i/>
          <w:iCs/>
          <w:color w:val="000000"/>
        </w:rPr>
        <w:t>Rosenzweig and Heidegger: Between Judaism and German Philosophy. University of California Press</w:t>
      </w:r>
      <w:r w:rsidRPr="002601CF">
        <w:rPr>
          <w:rFonts w:asciiTheme="majorBidi" w:hAnsiTheme="majorBidi" w:cstheme="majorBidi"/>
          <w:color w:val="000000"/>
        </w:rPr>
        <w:t>, 2003</w:t>
      </w:r>
      <w:r>
        <w:rPr>
          <w:rFonts w:asciiTheme="majorBidi" w:hAnsiTheme="majorBidi" w:cstheme="majorBidi"/>
          <w:color w:val="000000"/>
        </w:rPr>
        <w:t>, 3</w:t>
      </w:r>
      <w:r>
        <w:rPr>
          <w:rFonts w:asciiTheme="majorBidi" w:hAnsiTheme="majorBidi" w:cstheme="majorBidi"/>
        </w:rPr>
        <w:t xml:space="preserve">; </w:t>
      </w:r>
      <w:r w:rsidRPr="00611B6A">
        <w:rPr>
          <w:rFonts w:asciiTheme="majorBidi" w:hAnsiTheme="majorBidi" w:cstheme="majorBidi"/>
        </w:rPr>
        <w:t xml:space="preserve">Paul Mendes-Flohr, </w:t>
      </w:r>
      <w:r w:rsidRPr="00611B6A">
        <w:rPr>
          <w:rFonts w:asciiTheme="majorBidi" w:hAnsiTheme="majorBidi" w:cstheme="majorBidi"/>
          <w:i/>
          <w:iCs/>
        </w:rPr>
        <w:t>Divided Passions: Jewish Intellectuals and the Experience of Modernity</w:t>
      </w:r>
      <w:r w:rsidRPr="00611B6A">
        <w:rPr>
          <w:rFonts w:asciiTheme="majorBidi" w:hAnsiTheme="majorBidi" w:cstheme="majorBidi"/>
        </w:rPr>
        <w:t xml:space="preserve">. </w:t>
      </w:r>
      <w:r w:rsidRPr="00EF0EE7">
        <w:rPr>
          <w:rFonts w:asciiTheme="majorBidi" w:hAnsiTheme="majorBidi" w:cstheme="majorBidi"/>
          <w:lang w:val="de-DE"/>
        </w:rPr>
        <w:t>Detroit: Wayne State University Press, 1991, 28.</w:t>
      </w:r>
    </w:p>
  </w:footnote>
  <w:footnote w:id="24">
    <w:p w14:paraId="6B972D23" w14:textId="77777777" w:rsidR="002F6CF7" w:rsidRPr="00CC39FD" w:rsidRDefault="002F6CF7" w:rsidP="0020061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9406E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89406E">
        <w:rPr>
          <w:rFonts w:asciiTheme="majorBidi" w:hAnsiTheme="majorBidi" w:cstheme="majorBidi"/>
          <w:sz w:val="20"/>
          <w:szCs w:val="20"/>
          <w:lang w:val="de-DE"/>
        </w:rPr>
        <w:t xml:space="preserve"> Max Horkheimer, “Die Sehnsucht nach dem ganz Anderen [Gespräch mit Helmut Gumnior 1970],” in Gesammelte Schriften in 19 Bände, vol. 7, 385–404. </w:t>
      </w:r>
      <w:r w:rsidRPr="0089406E">
        <w:rPr>
          <w:rFonts w:asciiTheme="majorBidi" w:hAnsiTheme="majorBidi" w:cstheme="majorBidi"/>
          <w:sz w:val="20"/>
          <w:szCs w:val="20"/>
        </w:rPr>
        <w:t xml:space="preserve">See also Agata Bielik-Robson, </w:t>
      </w:r>
      <w:r w:rsidRPr="00CC39FD">
        <w:rPr>
          <w:rFonts w:asciiTheme="majorBidi" w:hAnsiTheme="majorBidi" w:cstheme="majorBidi"/>
          <w:i/>
          <w:iCs/>
          <w:sz w:val="20"/>
          <w:szCs w:val="20"/>
        </w:rPr>
        <w:t>Jewish Cryptotheologies of Late Modernity: Philosophical Marranos</w:t>
      </w:r>
      <w:r>
        <w:rPr>
          <w:rFonts w:asciiTheme="majorBidi" w:hAnsiTheme="majorBidi" w:cstheme="majorBidi"/>
          <w:sz w:val="20"/>
          <w:szCs w:val="20"/>
        </w:rPr>
        <w:t>. London: Routledge, 2014</w:t>
      </w:r>
      <w:r w:rsidRPr="0089406E">
        <w:rPr>
          <w:rFonts w:asciiTheme="majorBidi" w:hAnsiTheme="majorBidi" w:cstheme="majorBidi"/>
          <w:sz w:val="20"/>
          <w:szCs w:val="20"/>
        </w:rPr>
        <w:t>,</w:t>
      </w:r>
      <w:r>
        <w:rPr>
          <w:rFonts w:asciiTheme="majorBidi" w:hAnsiTheme="majorBidi" w:cstheme="majorBidi"/>
          <w:sz w:val="20"/>
          <w:szCs w:val="20"/>
        </w:rPr>
        <w:t xml:space="preserve"> 63</w:t>
      </w:r>
      <w:r w:rsidRPr="0089406E">
        <w:rPr>
          <w:rFonts w:asciiTheme="majorBidi" w:hAnsiTheme="majorBidi" w:cstheme="majorBidi"/>
          <w:sz w:val="20"/>
          <w:szCs w:val="20"/>
        </w:rPr>
        <w:t xml:space="preserve">.  </w:t>
      </w:r>
    </w:p>
  </w:footnote>
  <w:footnote w:id="25">
    <w:p w14:paraId="443AF440" w14:textId="77777777" w:rsidR="002F6CF7" w:rsidRPr="007510A5" w:rsidRDefault="002F6CF7" w:rsidP="007510A5">
      <w:pPr>
        <w:pStyle w:val="FootnoteText"/>
        <w:rPr>
          <w:rStyle w:val="FootnoteReference"/>
        </w:rPr>
      </w:pPr>
      <w:r w:rsidRPr="007510A5">
        <w:rPr>
          <w:rStyle w:val="FootnoteReference"/>
          <w:rFonts w:asciiTheme="majorBidi" w:hAnsiTheme="majorBidi" w:cstheme="majorBidi"/>
        </w:rPr>
        <w:footnoteRef/>
      </w:r>
      <w:r w:rsidRPr="007510A5">
        <w:rPr>
          <w:rFonts w:asciiTheme="majorBidi" w:hAnsiTheme="majorBidi" w:cstheme="majorBidi"/>
        </w:rPr>
        <w:t xml:space="preserve"> Peter E. G</w:t>
      </w:r>
      <w:r>
        <w:rPr>
          <w:rFonts w:asciiTheme="majorBidi" w:hAnsiTheme="majorBidi" w:cstheme="majorBidi"/>
        </w:rPr>
        <w:t xml:space="preserve">ordon, </w:t>
      </w:r>
      <w:r>
        <w:rPr>
          <w:rFonts w:asciiTheme="majorBidi" w:hAnsiTheme="majorBidi" w:cstheme="majorBidi"/>
          <w:i/>
          <w:iCs/>
        </w:rPr>
        <w:t xml:space="preserve">Migrants in the Profane: Critical Theory and the Question of Secularization. </w:t>
      </w:r>
      <w:r>
        <w:rPr>
          <w:rFonts w:asciiTheme="majorBidi" w:hAnsiTheme="majorBidi" w:cstheme="majorBidi"/>
        </w:rPr>
        <w:t>New Haven: Yale UP, 2020,</w:t>
      </w:r>
      <w:r w:rsidRPr="007510A5">
        <w:rPr>
          <w:rFonts w:asciiTheme="majorBidi" w:hAnsiTheme="majorBidi" w:cstheme="majorBidi"/>
        </w:rPr>
        <w:t xml:space="preserve"> 147.</w:t>
      </w:r>
      <w:r>
        <w:rPr>
          <w:rFonts w:asciiTheme="majorBidi" w:hAnsiTheme="majorBidi" w:cstheme="majorBidi"/>
        </w:rPr>
        <w:t xml:space="preserve"> </w:t>
      </w:r>
      <w:r w:rsidRPr="007510A5">
        <w:rPr>
          <w:rStyle w:val="FootnoteReference"/>
        </w:rPr>
        <w:t xml:space="preserve"> </w:t>
      </w:r>
    </w:p>
  </w:footnote>
  <w:footnote w:id="26">
    <w:p w14:paraId="24B9026F" w14:textId="77777777" w:rsidR="002F6CF7" w:rsidRPr="007510A5" w:rsidRDefault="002F6CF7">
      <w:pPr>
        <w:pStyle w:val="FootnoteText"/>
        <w:rPr>
          <w:rFonts w:asciiTheme="majorBidi" w:hAnsiTheme="majorBidi" w:cstheme="majorBidi"/>
        </w:rPr>
      </w:pPr>
      <w:r w:rsidRPr="007510A5">
        <w:rPr>
          <w:rStyle w:val="FootnoteReference"/>
          <w:rFonts w:asciiTheme="majorBidi" w:hAnsiTheme="majorBidi" w:cstheme="majorBidi"/>
        </w:rPr>
        <w:footnoteRef/>
      </w:r>
      <w:r w:rsidRPr="007510A5">
        <w:rPr>
          <w:rFonts w:asciiTheme="majorBidi" w:hAnsiTheme="majorBidi" w:cstheme="majorBidi"/>
        </w:rPr>
        <w:t xml:space="preserve"> Habermas, “Notes”, </w:t>
      </w:r>
      <w:r>
        <w:rPr>
          <w:rFonts w:asciiTheme="majorBidi" w:hAnsiTheme="majorBidi" w:cstheme="majorBidi"/>
        </w:rPr>
        <w:t>28.</w:t>
      </w:r>
    </w:p>
  </w:footnote>
  <w:footnote w:id="27">
    <w:p w14:paraId="689F253A" w14:textId="77777777" w:rsidR="002F6CF7" w:rsidRPr="005B0FFC" w:rsidRDefault="002F6CF7" w:rsidP="005B0FFC">
      <w:pPr>
        <w:pStyle w:val="FootnoteText"/>
        <w:rPr>
          <w:rFonts w:asciiTheme="majorBidi" w:hAnsiTheme="majorBidi" w:cstheme="majorBidi"/>
          <w:rtl/>
        </w:rPr>
      </w:pPr>
      <w:r w:rsidRPr="005B0FFC">
        <w:rPr>
          <w:rStyle w:val="FootnoteReference"/>
          <w:rFonts w:asciiTheme="majorBidi" w:hAnsiTheme="majorBidi" w:cstheme="majorBidi"/>
        </w:rPr>
        <w:footnoteRef/>
      </w:r>
      <w:r w:rsidRPr="005B0FFC">
        <w:rPr>
          <w:rFonts w:asciiTheme="majorBidi" w:hAnsiTheme="majorBidi" w:cstheme="majorBidi"/>
        </w:rPr>
        <w:t xml:space="preserve"> Talal Asad, </w:t>
      </w:r>
      <w:r w:rsidRPr="005B0FFC">
        <w:rPr>
          <w:rFonts w:asciiTheme="majorBidi" w:hAnsiTheme="majorBidi" w:cstheme="majorBidi"/>
          <w:i/>
          <w:iCs/>
        </w:rPr>
        <w:t>Formations of the secular: Christianity, Islam, Modernity</w:t>
      </w:r>
      <w:r w:rsidRPr="005B0FFC">
        <w:rPr>
          <w:rFonts w:asciiTheme="majorBidi" w:hAnsiTheme="majorBidi" w:cstheme="majorBidi"/>
        </w:rPr>
        <w:t xml:space="preserve">. Stanford: Stanford University Press, 2003, 181. </w:t>
      </w:r>
    </w:p>
  </w:footnote>
  <w:footnote w:id="28">
    <w:p w14:paraId="76D94C98" w14:textId="55E1F221" w:rsidR="002F6CF7" w:rsidRPr="005B0FFC" w:rsidRDefault="002F6CF7" w:rsidP="008B7735">
      <w:pPr>
        <w:pStyle w:val="FootnoteText"/>
        <w:rPr>
          <w:rFonts w:asciiTheme="majorBidi" w:hAnsiTheme="majorBidi" w:cstheme="majorBidi"/>
          <w:rtl/>
        </w:rPr>
      </w:pPr>
      <w:r w:rsidRPr="005B0FFC">
        <w:rPr>
          <w:rStyle w:val="FootnoteReference"/>
          <w:rFonts w:asciiTheme="majorBidi" w:hAnsiTheme="majorBidi" w:cstheme="majorBidi"/>
        </w:rPr>
        <w:footnoteRef/>
      </w:r>
      <w:r w:rsidRPr="005B0FF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See: </w:t>
      </w:r>
      <w:r w:rsidRPr="005B0FFC">
        <w:rPr>
          <w:rFonts w:asciiTheme="majorBidi" w:hAnsiTheme="majorBidi" w:cstheme="majorBidi"/>
        </w:rPr>
        <w:t xml:space="preserve">Asad, </w:t>
      </w:r>
      <w:r w:rsidRPr="005B0FFC">
        <w:rPr>
          <w:rFonts w:asciiTheme="majorBidi" w:hAnsiTheme="majorBidi" w:cstheme="majorBidi"/>
          <w:i/>
          <w:iCs/>
        </w:rPr>
        <w:t>Formations</w:t>
      </w:r>
      <w:r>
        <w:rPr>
          <w:rFonts w:asciiTheme="majorBidi" w:hAnsiTheme="majorBidi" w:cstheme="majorBidi"/>
          <w:i/>
          <w:iCs/>
        </w:rPr>
        <w:t xml:space="preserve">, </w:t>
      </w:r>
      <w:r>
        <w:rPr>
          <w:rFonts w:asciiTheme="majorBidi" w:hAnsiTheme="majorBidi" w:cstheme="majorBidi"/>
        </w:rPr>
        <w:t>2;</w:t>
      </w:r>
      <w:r w:rsidRPr="00745FBF">
        <w:rPr>
          <w:rFonts w:asciiTheme="majorBidi" w:hAnsiTheme="majorBidi" w:cstheme="majorBidi"/>
        </w:rPr>
        <w:t xml:space="preserve"> J</w:t>
      </w:r>
      <w:r>
        <w:rPr>
          <w:rFonts w:asciiTheme="majorBidi" w:hAnsiTheme="majorBidi" w:cstheme="majorBidi"/>
        </w:rPr>
        <w:t>ames</w:t>
      </w:r>
      <w:r w:rsidRPr="00745FBF">
        <w:rPr>
          <w:rFonts w:asciiTheme="majorBidi" w:hAnsiTheme="majorBidi" w:cstheme="majorBidi"/>
        </w:rPr>
        <w:t xml:space="preserve"> Arthur, </w:t>
      </w:r>
      <w:r>
        <w:rPr>
          <w:rFonts w:asciiTheme="majorBidi" w:hAnsiTheme="majorBidi" w:cstheme="majorBidi"/>
        </w:rPr>
        <w:t xml:space="preserve">Liam </w:t>
      </w:r>
      <w:r w:rsidRPr="00745FBF">
        <w:rPr>
          <w:rFonts w:asciiTheme="majorBidi" w:hAnsiTheme="majorBidi" w:cstheme="majorBidi"/>
        </w:rPr>
        <w:t xml:space="preserve">Gearon, &amp; </w:t>
      </w:r>
      <w:r>
        <w:rPr>
          <w:rFonts w:asciiTheme="majorBidi" w:hAnsiTheme="majorBidi" w:cstheme="majorBidi"/>
        </w:rPr>
        <w:t xml:space="preserve">Alan </w:t>
      </w:r>
      <w:r w:rsidRPr="00745FBF">
        <w:rPr>
          <w:rFonts w:asciiTheme="majorBidi" w:hAnsiTheme="majorBidi" w:cstheme="majorBidi"/>
        </w:rPr>
        <w:t xml:space="preserve">Sears, </w:t>
      </w:r>
      <w:r w:rsidRPr="00745FBF">
        <w:rPr>
          <w:rFonts w:asciiTheme="majorBidi" w:hAnsiTheme="majorBidi" w:cstheme="majorBidi"/>
          <w:i/>
          <w:iCs/>
        </w:rPr>
        <w:t>Education, Politics and Religion: Reconciling the Civil and the Sacred in Education.</w:t>
      </w:r>
      <w:r w:rsidRPr="00745FBF">
        <w:rPr>
          <w:rFonts w:asciiTheme="majorBidi" w:hAnsiTheme="majorBidi" w:cstheme="majorBidi"/>
        </w:rPr>
        <w:t xml:space="preserve"> London &amp; New York: Routledge, 2010, 98</w:t>
      </w:r>
      <w:r>
        <w:rPr>
          <w:rFonts w:asciiTheme="majorBidi" w:hAnsiTheme="majorBidi" w:cstheme="majorBidi"/>
        </w:rPr>
        <w:t xml:space="preserve">. See also the point made in: </w:t>
      </w:r>
      <w:r w:rsidRPr="00745FBF">
        <w:rPr>
          <w:rFonts w:asciiTheme="majorBidi" w:hAnsiTheme="majorBidi" w:cstheme="majorBidi"/>
        </w:rPr>
        <w:t xml:space="preserve">Ayman. K. Agbaria, &amp; Muhanad Mustafa, </w:t>
      </w:r>
      <w:r>
        <w:rPr>
          <w:rFonts w:asciiTheme="majorBidi" w:hAnsiTheme="majorBidi" w:cstheme="majorBidi"/>
        </w:rPr>
        <w:t>"</w:t>
      </w:r>
      <w:r w:rsidRPr="00745FBF">
        <w:rPr>
          <w:rFonts w:asciiTheme="majorBidi" w:hAnsiTheme="majorBidi" w:cstheme="majorBidi"/>
        </w:rPr>
        <w:t xml:space="preserve">The case of Palestinian civil society in Israel: Islam, civil society and educational activism", </w:t>
      </w:r>
      <w:r w:rsidRPr="00745FBF">
        <w:rPr>
          <w:rFonts w:asciiTheme="majorBidi" w:hAnsiTheme="majorBidi" w:cstheme="majorBidi"/>
          <w:i/>
          <w:iCs/>
        </w:rPr>
        <w:t>Critical Studies in Education</w:t>
      </w:r>
      <w:r w:rsidRPr="00745FBF">
        <w:rPr>
          <w:rFonts w:asciiTheme="majorBidi" w:hAnsiTheme="majorBidi" w:cstheme="majorBidi"/>
        </w:rPr>
        <w:t xml:space="preserve">, 55.1 (2014): 44-57. </w:t>
      </w:r>
      <w:r w:rsidRPr="008B7735">
        <w:rPr>
          <w:rFonts w:asciiTheme="majorBidi" w:hAnsiTheme="majorBidi" w:cstheme="majorBidi"/>
        </w:rPr>
        <w:t xml:space="preserve"> </w:t>
      </w:r>
    </w:p>
  </w:footnote>
  <w:footnote w:id="29">
    <w:p w14:paraId="50D3E0C0" w14:textId="0B4B24AE" w:rsidR="002F6CF7" w:rsidRPr="00FA723F" w:rsidRDefault="002F6CF7" w:rsidP="008B7735">
      <w:pPr>
        <w:pStyle w:val="FootnoteText"/>
        <w:rPr>
          <w:rFonts w:asciiTheme="majorBidi" w:hAnsiTheme="majorBidi" w:cstheme="majorBidi"/>
          <w:rtl/>
          <w:lang w:val="de-DE"/>
        </w:rPr>
      </w:pPr>
      <w:r w:rsidRPr="008B7735">
        <w:rPr>
          <w:rStyle w:val="FootnoteReference"/>
          <w:rFonts w:asciiTheme="majorBidi" w:hAnsiTheme="majorBidi" w:cstheme="majorBidi"/>
        </w:rPr>
        <w:footnoteRef/>
      </w:r>
      <w:r w:rsidRPr="001101B3">
        <w:rPr>
          <w:rFonts w:asciiTheme="majorBidi" w:hAnsiTheme="majorBidi" w:cstheme="majorBidi"/>
        </w:rPr>
        <w:t xml:space="preserve"> Gordon, </w:t>
      </w:r>
      <w:r w:rsidRPr="001101B3">
        <w:rPr>
          <w:rFonts w:asciiTheme="majorBidi" w:hAnsiTheme="majorBidi" w:cstheme="majorBidi"/>
          <w:i/>
          <w:iCs/>
        </w:rPr>
        <w:t xml:space="preserve">Migrants, </w:t>
      </w:r>
      <w:r w:rsidRPr="001101B3">
        <w:rPr>
          <w:rFonts w:asciiTheme="majorBidi" w:hAnsiTheme="majorBidi" w:cstheme="majorBidi"/>
        </w:rPr>
        <w:t>13.</w:t>
      </w:r>
      <w:r w:rsidR="00FA723F">
        <w:rPr>
          <w:rFonts w:asciiTheme="majorBidi" w:hAnsiTheme="majorBidi" w:cstheme="majorBidi"/>
          <w:lang w:val="de-DE"/>
        </w:rPr>
        <w:t xml:space="preserve"> </w:t>
      </w:r>
    </w:p>
  </w:footnote>
  <w:footnote w:id="30">
    <w:p w14:paraId="49E80ED8" w14:textId="097CFCE2" w:rsidR="002F6CF7" w:rsidRPr="002365B3" w:rsidRDefault="002F6CF7">
      <w:pPr>
        <w:pStyle w:val="FootnoteText"/>
        <w:rPr>
          <w:rFonts w:asciiTheme="majorBidi" w:hAnsiTheme="majorBidi" w:cstheme="majorBidi"/>
        </w:rPr>
      </w:pPr>
      <w:r w:rsidRPr="002365B3">
        <w:rPr>
          <w:rStyle w:val="FootnoteReference"/>
          <w:rFonts w:asciiTheme="majorBidi" w:hAnsiTheme="majorBidi" w:cstheme="majorBidi"/>
        </w:rPr>
        <w:footnoteRef/>
      </w:r>
      <w:r w:rsidRPr="002365B3">
        <w:rPr>
          <w:rFonts w:asciiTheme="majorBidi" w:hAnsiTheme="majorBidi" w:cstheme="majorBidi"/>
        </w:rPr>
        <w:t xml:space="preserve"> Bielik-Robson, </w:t>
      </w:r>
      <w:r>
        <w:rPr>
          <w:rFonts w:asciiTheme="majorBidi" w:hAnsiTheme="majorBidi" w:cstheme="majorBidi"/>
        </w:rPr>
        <w:t>“The Post-Secular”</w:t>
      </w:r>
      <w:r w:rsidRPr="002365B3">
        <w:rPr>
          <w:rFonts w:asciiTheme="majorBidi" w:hAnsiTheme="majorBidi" w:cstheme="majorBidi"/>
        </w:rPr>
        <w:t>, 58.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5E1F"/>
    <w:multiLevelType w:val="hybridMultilevel"/>
    <w:tmpl w:val="9878B16C"/>
    <w:lvl w:ilvl="0" w:tplc="60448A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4F8E"/>
    <w:multiLevelType w:val="hybridMultilevel"/>
    <w:tmpl w:val="88E40F9E"/>
    <w:lvl w:ilvl="0" w:tplc="21CAC8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047F6"/>
    <w:multiLevelType w:val="multilevel"/>
    <w:tmpl w:val="B54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27FA6"/>
    <w:multiLevelType w:val="hybridMultilevel"/>
    <w:tmpl w:val="FEC20EC8"/>
    <w:lvl w:ilvl="0" w:tplc="A1F0193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7A6B"/>
    <w:multiLevelType w:val="hybridMultilevel"/>
    <w:tmpl w:val="BC7EB378"/>
    <w:lvl w:ilvl="0" w:tplc="E6920A4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92144"/>
    <w:multiLevelType w:val="hybridMultilevel"/>
    <w:tmpl w:val="FB523540"/>
    <w:lvl w:ilvl="0" w:tplc="26DE959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D1386"/>
    <w:multiLevelType w:val="multilevel"/>
    <w:tmpl w:val="460C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3D4"/>
    <w:rsid w:val="00005940"/>
    <w:rsid w:val="00006C6B"/>
    <w:rsid w:val="000141D0"/>
    <w:rsid w:val="00016D4E"/>
    <w:rsid w:val="00031B8A"/>
    <w:rsid w:val="00037D09"/>
    <w:rsid w:val="00044F83"/>
    <w:rsid w:val="00051FB7"/>
    <w:rsid w:val="00070257"/>
    <w:rsid w:val="000722D2"/>
    <w:rsid w:val="0007743E"/>
    <w:rsid w:val="00083D87"/>
    <w:rsid w:val="00084BCB"/>
    <w:rsid w:val="0009015D"/>
    <w:rsid w:val="00093CA9"/>
    <w:rsid w:val="000969F7"/>
    <w:rsid w:val="000A148E"/>
    <w:rsid w:val="000A4788"/>
    <w:rsid w:val="000A53EB"/>
    <w:rsid w:val="000B2DFD"/>
    <w:rsid w:val="000B3C95"/>
    <w:rsid w:val="000C62AE"/>
    <w:rsid w:val="000C6E69"/>
    <w:rsid w:val="000D392E"/>
    <w:rsid w:val="000D48D2"/>
    <w:rsid w:val="000F69E7"/>
    <w:rsid w:val="00102F29"/>
    <w:rsid w:val="0010525D"/>
    <w:rsid w:val="001101B3"/>
    <w:rsid w:val="00110C87"/>
    <w:rsid w:val="00123611"/>
    <w:rsid w:val="00125269"/>
    <w:rsid w:val="001263F5"/>
    <w:rsid w:val="00131106"/>
    <w:rsid w:val="001334EC"/>
    <w:rsid w:val="00133D30"/>
    <w:rsid w:val="0014126E"/>
    <w:rsid w:val="00141712"/>
    <w:rsid w:val="00152907"/>
    <w:rsid w:val="00153F4A"/>
    <w:rsid w:val="0016334F"/>
    <w:rsid w:val="0017426D"/>
    <w:rsid w:val="00183617"/>
    <w:rsid w:val="00185A1E"/>
    <w:rsid w:val="00185F2C"/>
    <w:rsid w:val="00186BEE"/>
    <w:rsid w:val="00193FB0"/>
    <w:rsid w:val="00197822"/>
    <w:rsid w:val="001A0C14"/>
    <w:rsid w:val="001A3AF4"/>
    <w:rsid w:val="001A597E"/>
    <w:rsid w:val="001D1352"/>
    <w:rsid w:val="001E42AD"/>
    <w:rsid w:val="001E4F7D"/>
    <w:rsid w:val="001F34A3"/>
    <w:rsid w:val="001F504A"/>
    <w:rsid w:val="001F7ED0"/>
    <w:rsid w:val="00200612"/>
    <w:rsid w:val="002043D0"/>
    <w:rsid w:val="00210C1F"/>
    <w:rsid w:val="00211431"/>
    <w:rsid w:val="00213925"/>
    <w:rsid w:val="00217566"/>
    <w:rsid w:val="00217D73"/>
    <w:rsid w:val="00232079"/>
    <w:rsid w:val="002342E2"/>
    <w:rsid w:val="002365B3"/>
    <w:rsid w:val="00254E71"/>
    <w:rsid w:val="002601CF"/>
    <w:rsid w:val="00271178"/>
    <w:rsid w:val="002721A8"/>
    <w:rsid w:val="00282944"/>
    <w:rsid w:val="002A4028"/>
    <w:rsid w:val="002A48D4"/>
    <w:rsid w:val="002C597D"/>
    <w:rsid w:val="002D3733"/>
    <w:rsid w:val="002D6A97"/>
    <w:rsid w:val="002F3F18"/>
    <w:rsid w:val="002F4132"/>
    <w:rsid w:val="002F41DE"/>
    <w:rsid w:val="002F6CF7"/>
    <w:rsid w:val="003014F7"/>
    <w:rsid w:val="00304E1D"/>
    <w:rsid w:val="00310B18"/>
    <w:rsid w:val="003121D9"/>
    <w:rsid w:val="00317BD9"/>
    <w:rsid w:val="0032157C"/>
    <w:rsid w:val="00322FC2"/>
    <w:rsid w:val="003274F0"/>
    <w:rsid w:val="00341BDD"/>
    <w:rsid w:val="00343E9B"/>
    <w:rsid w:val="00345589"/>
    <w:rsid w:val="00356D33"/>
    <w:rsid w:val="00366077"/>
    <w:rsid w:val="00371FFA"/>
    <w:rsid w:val="00381A5C"/>
    <w:rsid w:val="00386375"/>
    <w:rsid w:val="00390463"/>
    <w:rsid w:val="0039156E"/>
    <w:rsid w:val="003A006F"/>
    <w:rsid w:val="003A3125"/>
    <w:rsid w:val="003B4BB1"/>
    <w:rsid w:val="003C0888"/>
    <w:rsid w:val="003C1584"/>
    <w:rsid w:val="003C5B16"/>
    <w:rsid w:val="003C7AB3"/>
    <w:rsid w:val="003D0F8B"/>
    <w:rsid w:val="003D6A78"/>
    <w:rsid w:val="003E2DAF"/>
    <w:rsid w:val="003E39A2"/>
    <w:rsid w:val="003E5A4B"/>
    <w:rsid w:val="003F167E"/>
    <w:rsid w:val="003F238A"/>
    <w:rsid w:val="003F3F8A"/>
    <w:rsid w:val="003F749B"/>
    <w:rsid w:val="0040421B"/>
    <w:rsid w:val="004105C8"/>
    <w:rsid w:val="00415EB4"/>
    <w:rsid w:val="004204B6"/>
    <w:rsid w:val="0042582F"/>
    <w:rsid w:val="00430D59"/>
    <w:rsid w:val="00431DE1"/>
    <w:rsid w:val="00432CE5"/>
    <w:rsid w:val="004455F7"/>
    <w:rsid w:val="00451378"/>
    <w:rsid w:val="0045197F"/>
    <w:rsid w:val="00455F99"/>
    <w:rsid w:val="00461B3C"/>
    <w:rsid w:val="00464BF3"/>
    <w:rsid w:val="00471FF3"/>
    <w:rsid w:val="0048069E"/>
    <w:rsid w:val="00481DC5"/>
    <w:rsid w:val="00487F76"/>
    <w:rsid w:val="00492EA9"/>
    <w:rsid w:val="00494954"/>
    <w:rsid w:val="0049498B"/>
    <w:rsid w:val="004B4F86"/>
    <w:rsid w:val="004C6B43"/>
    <w:rsid w:val="004D2159"/>
    <w:rsid w:val="004D6A46"/>
    <w:rsid w:val="004E2F36"/>
    <w:rsid w:val="004E303E"/>
    <w:rsid w:val="004E4180"/>
    <w:rsid w:val="004E44DC"/>
    <w:rsid w:val="004E757A"/>
    <w:rsid w:val="004F11B6"/>
    <w:rsid w:val="004F4674"/>
    <w:rsid w:val="004F4FB7"/>
    <w:rsid w:val="004F542A"/>
    <w:rsid w:val="004F5D49"/>
    <w:rsid w:val="004F7223"/>
    <w:rsid w:val="00500307"/>
    <w:rsid w:val="00503BB1"/>
    <w:rsid w:val="005217BB"/>
    <w:rsid w:val="00521F62"/>
    <w:rsid w:val="0054175F"/>
    <w:rsid w:val="0054603B"/>
    <w:rsid w:val="00564F50"/>
    <w:rsid w:val="00567594"/>
    <w:rsid w:val="005722E5"/>
    <w:rsid w:val="00573901"/>
    <w:rsid w:val="00583DBA"/>
    <w:rsid w:val="005961F3"/>
    <w:rsid w:val="005A0F3A"/>
    <w:rsid w:val="005A5225"/>
    <w:rsid w:val="005A703D"/>
    <w:rsid w:val="005B0B46"/>
    <w:rsid w:val="005B0FFC"/>
    <w:rsid w:val="005B34D6"/>
    <w:rsid w:val="005D1762"/>
    <w:rsid w:val="005D3A98"/>
    <w:rsid w:val="005D52BC"/>
    <w:rsid w:val="005E0F78"/>
    <w:rsid w:val="005E72C5"/>
    <w:rsid w:val="005F06A4"/>
    <w:rsid w:val="0060011B"/>
    <w:rsid w:val="006036A5"/>
    <w:rsid w:val="00610BDA"/>
    <w:rsid w:val="00611B6A"/>
    <w:rsid w:val="0062177C"/>
    <w:rsid w:val="00625DE4"/>
    <w:rsid w:val="00631C4C"/>
    <w:rsid w:val="006506D5"/>
    <w:rsid w:val="006513D4"/>
    <w:rsid w:val="006525B0"/>
    <w:rsid w:val="0065348D"/>
    <w:rsid w:val="00661EB3"/>
    <w:rsid w:val="0066201B"/>
    <w:rsid w:val="006622BB"/>
    <w:rsid w:val="006675F3"/>
    <w:rsid w:val="006907CA"/>
    <w:rsid w:val="00693E9A"/>
    <w:rsid w:val="00694933"/>
    <w:rsid w:val="00694C0B"/>
    <w:rsid w:val="00695878"/>
    <w:rsid w:val="0069690B"/>
    <w:rsid w:val="006A218B"/>
    <w:rsid w:val="006A4AD9"/>
    <w:rsid w:val="006B04B5"/>
    <w:rsid w:val="006B64AD"/>
    <w:rsid w:val="006C19A3"/>
    <w:rsid w:val="006C3976"/>
    <w:rsid w:val="006D51B4"/>
    <w:rsid w:val="006E4332"/>
    <w:rsid w:val="006F3272"/>
    <w:rsid w:val="006F46C6"/>
    <w:rsid w:val="00700692"/>
    <w:rsid w:val="007007EF"/>
    <w:rsid w:val="007020B8"/>
    <w:rsid w:val="00703ABC"/>
    <w:rsid w:val="007055D2"/>
    <w:rsid w:val="00723976"/>
    <w:rsid w:val="0073177D"/>
    <w:rsid w:val="00737F6D"/>
    <w:rsid w:val="00743356"/>
    <w:rsid w:val="00745FBF"/>
    <w:rsid w:val="00746EDF"/>
    <w:rsid w:val="007510A5"/>
    <w:rsid w:val="007542EE"/>
    <w:rsid w:val="0076633F"/>
    <w:rsid w:val="00780AAA"/>
    <w:rsid w:val="007862F9"/>
    <w:rsid w:val="007A63A5"/>
    <w:rsid w:val="007A6417"/>
    <w:rsid w:val="007A6438"/>
    <w:rsid w:val="007B0B9D"/>
    <w:rsid w:val="007B121B"/>
    <w:rsid w:val="007B28CD"/>
    <w:rsid w:val="007B7B8E"/>
    <w:rsid w:val="007C10C1"/>
    <w:rsid w:val="007D1761"/>
    <w:rsid w:val="007D767D"/>
    <w:rsid w:val="007E0443"/>
    <w:rsid w:val="007E4CE8"/>
    <w:rsid w:val="007F0010"/>
    <w:rsid w:val="007F33D5"/>
    <w:rsid w:val="007F43D2"/>
    <w:rsid w:val="008012A8"/>
    <w:rsid w:val="008018DF"/>
    <w:rsid w:val="00805BB4"/>
    <w:rsid w:val="008110A3"/>
    <w:rsid w:val="00811B22"/>
    <w:rsid w:val="00815948"/>
    <w:rsid w:val="008171CE"/>
    <w:rsid w:val="008306CE"/>
    <w:rsid w:val="00831C48"/>
    <w:rsid w:val="008370DE"/>
    <w:rsid w:val="008406CA"/>
    <w:rsid w:val="0084784B"/>
    <w:rsid w:val="0085126E"/>
    <w:rsid w:val="0086758F"/>
    <w:rsid w:val="008705A1"/>
    <w:rsid w:val="00873F48"/>
    <w:rsid w:val="0087607A"/>
    <w:rsid w:val="00877177"/>
    <w:rsid w:val="00882288"/>
    <w:rsid w:val="0089145E"/>
    <w:rsid w:val="00892AAB"/>
    <w:rsid w:val="0089317C"/>
    <w:rsid w:val="0089373C"/>
    <w:rsid w:val="0089406E"/>
    <w:rsid w:val="00896A7E"/>
    <w:rsid w:val="008A681D"/>
    <w:rsid w:val="008B3FF4"/>
    <w:rsid w:val="008B7735"/>
    <w:rsid w:val="008B7B7C"/>
    <w:rsid w:val="008B7E3C"/>
    <w:rsid w:val="008C0698"/>
    <w:rsid w:val="008C0C98"/>
    <w:rsid w:val="008C3D0D"/>
    <w:rsid w:val="008C4584"/>
    <w:rsid w:val="008C4ED0"/>
    <w:rsid w:val="008C6505"/>
    <w:rsid w:val="008E60AA"/>
    <w:rsid w:val="008F5B50"/>
    <w:rsid w:val="008F7A7C"/>
    <w:rsid w:val="00904AF8"/>
    <w:rsid w:val="009217C1"/>
    <w:rsid w:val="00922978"/>
    <w:rsid w:val="00923DC2"/>
    <w:rsid w:val="00927141"/>
    <w:rsid w:val="00933646"/>
    <w:rsid w:val="00935E13"/>
    <w:rsid w:val="00941862"/>
    <w:rsid w:val="0094443B"/>
    <w:rsid w:val="00945B7A"/>
    <w:rsid w:val="00950050"/>
    <w:rsid w:val="00954E40"/>
    <w:rsid w:val="0096009F"/>
    <w:rsid w:val="00963D40"/>
    <w:rsid w:val="00964E5E"/>
    <w:rsid w:val="00974601"/>
    <w:rsid w:val="00974D16"/>
    <w:rsid w:val="00975F35"/>
    <w:rsid w:val="00983B28"/>
    <w:rsid w:val="00990A28"/>
    <w:rsid w:val="009A2E8D"/>
    <w:rsid w:val="009A3D90"/>
    <w:rsid w:val="009B16B1"/>
    <w:rsid w:val="009B2A3B"/>
    <w:rsid w:val="009B5D13"/>
    <w:rsid w:val="009B60D8"/>
    <w:rsid w:val="009C02DE"/>
    <w:rsid w:val="009D0AB8"/>
    <w:rsid w:val="009D5DE7"/>
    <w:rsid w:val="009F5817"/>
    <w:rsid w:val="00A00BFD"/>
    <w:rsid w:val="00A12C71"/>
    <w:rsid w:val="00A212A0"/>
    <w:rsid w:val="00A26D39"/>
    <w:rsid w:val="00A34F7B"/>
    <w:rsid w:val="00A420EB"/>
    <w:rsid w:val="00A76924"/>
    <w:rsid w:val="00A7746C"/>
    <w:rsid w:val="00A81535"/>
    <w:rsid w:val="00AA08F5"/>
    <w:rsid w:val="00AA7CFB"/>
    <w:rsid w:val="00AB1383"/>
    <w:rsid w:val="00AB13E9"/>
    <w:rsid w:val="00AB5934"/>
    <w:rsid w:val="00AB643A"/>
    <w:rsid w:val="00AB7986"/>
    <w:rsid w:val="00AB7F21"/>
    <w:rsid w:val="00AC0CE5"/>
    <w:rsid w:val="00AC283D"/>
    <w:rsid w:val="00AC4B06"/>
    <w:rsid w:val="00AC6DF2"/>
    <w:rsid w:val="00AD0813"/>
    <w:rsid w:val="00AD3193"/>
    <w:rsid w:val="00AD44C7"/>
    <w:rsid w:val="00AE6705"/>
    <w:rsid w:val="00AF0387"/>
    <w:rsid w:val="00AF3C22"/>
    <w:rsid w:val="00AF4004"/>
    <w:rsid w:val="00AF569F"/>
    <w:rsid w:val="00AF5F04"/>
    <w:rsid w:val="00B12B80"/>
    <w:rsid w:val="00B15853"/>
    <w:rsid w:val="00B16D16"/>
    <w:rsid w:val="00B2332A"/>
    <w:rsid w:val="00B3245B"/>
    <w:rsid w:val="00B325A2"/>
    <w:rsid w:val="00B33F34"/>
    <w:rsid w:val="00B41876"/>
    <w:rsid w:val="00B46821"/>
    <w:rsid w:val="00B507BD"/>
    <w:rsid w:val="00B5123D"/>
    <w:rsid w:val="00B55E77"/>
    <w:rsid w:val="00B66F14"/>
    <w:rsid w:val="00B741D2"/>
    <w:rsid w:val="00B74AD9"/>
    <w:rsid w:val="00B75898"/>
    <w:rsid w:val="00B86E4A"/>
    <w:rsid w:val="00BA59C1"/>
    <w:rsid w:val="00BA7BC5"/>
    <w:rsid w:val="00BB047C"/>
    <w:rsid w:val="00BC0971"/>
    <w:rsid w:val="00BC3249"/>
    <w:rsid w:val="00BD03BB"/>
    <w:rsid w:val="00BE3285"/>
    <w:rsid w:val="00BE6019"/>
    <w:rsid w:val="00BE741F"/>
    <w:rsid w:val="00BE7AB8"/>
    <w:rsid w:val="00BF2620"/>
    <w:rsid w:val="00BF2A6B"/>
    <w:rsid w:val="00C009AB"/>
    <w:rsid w:val="00C066C7"/>
    <w:rsid w:val="00C11C3C"/>
    <w:rsid w:val="00C15AB5"/>
    <w:rsid w:val="00C30C32"/>
    <w:rsid w:val="00C41009"/>
    <w:rsid w:val="00C426EC"/>
    <w:rsid w:val="00C46D98"/>
    <w:rsid w:val="00C47A39"/>
    <w:rsid w:val="00C504F8"/>
    <w:rsid w:val="00C557DD"/>
    <w:rsid w:val="00C55C77"/>
    <w:rsid w:val="00C57424"/>
    <w:rsid w:val="00C607C2"/>
    <w:rsid w:val="00C61844"/>
    <w:rsid w:val="00C62A76"/>
    <w:rsid w:val="00C63F48"/>
    <w:rsid w:val="00C64385"/>
    <w:rsid w:val="00C82505"/>
    <w:rsid w:val="00C957BB"/>
    <w:rsid w:val="00C9631A"/>
    <w:rsid w:val="00CA3930"/>
    <w:rsid w:val="00CA3EE4"/>
    <w:rsid w:val="00CB21D3"/>
    <w:rsid w:val="00CB58CB"/>
    <w:rsid w:val="00CC39FD"/>
    <w:rsid w:val="00CC45C5"/>
    <w:rsid w:val="00CC66E8"/>
    <w:rsid w:val="00D013D0"/>
    <w:rsid w:val="00D06159"/>
    <w:rsid w:val="00D10E86"/>
    <w:rsid w:val="00D11387"/>
    <w:rsid w:val="00D1177A"/>
    <w:rsid w:val="00D150FD"/>
    <w:rsid w:val="00D1571B"/>
    <w:rsid w:val="00D15E29"/>
    <w:rsid w:val="00D224E1"/>
    <w:rsid w:val="00D4016B"/>
    <w:rsid w:val="00D403A1"/>
    <w:rsid w:val="00D42302"/>
    <w:rsid w:val="00D43A6A"/>
    <w:rsid w:val="00D54717"/>
    <w:rsid w:val="00D57E44"/>
    <w:rsid w:val="00D60856"/>
    <w:rsid w:val="00D64409"/>
    <w:rsid w:val="00D72CC8"/>
    <w:rsid w:val="00D774C9"/>
    <w:rsid w:val="00D8418E"/>
    <w:rsid w:val="00D939FD"/>
    <w:rsid w:val="00D94866"/>
    <w:rsid w:val="00DA3121"/>
    <w:rsid w:val="00DA3854"/>
    <w:rsid w:val="00DA39FD"/>
    <w:rsid w:val="00DB265D"/>
    <w:rsid w:val="00DB27D5"/>
    <w:rsid w:val="00DC0C38"/>
    <w:rsid w:val="00DC1816"/>
    <w:rsid w:val="00DC52E5"/>
    <w:rsid w:val="00DD0912"/>
    <w:rsid w:val="00DD4838"/>
    <w:rsid w:val="00DD6568"/>
    <w:rsid w:val="00DE100A"/>
    <w:rsid w:val="00DF03B9"/>
    <w:rsid w:val="00DF5BB5"/>
    <w:rsid w:val="00DF6090"/>
    <w:rsid w:val="00E10102"/>
    <w:rsid w:val="00E1054A"/>
    <w:rsid w:val="00E2039C"/>
    <w:rsid w:val="00E24520"/>
    <w:rsid w:val="00E317E2"/>
    <w:rsid w:val="00E31DD7"/>
    <w:rsid w:val="00E356A2"/>
    <w:rsid w:val="00E461DC"/>
    <w:rsid w:val="00E51E7B"/>
    <w:rsid w:val="00E5591F"/>
    <w:rsid w:val="00E63BB2"/>
    <w:rsid w:val="00E76F98"/>
    <w:rsid w:val="00E8005D"/>
    <w:rsid w:val="00E80600"/>
    <w:rsid w:val="00E82B07"/>
    <w:rsid w:val="00E870AF"/>
    <w:rsid w:val="00E91D64"/>
    <w:rsid w:val="00E92799"/>
    <w:rsid w:val="00EA7797"/>
    <w:rsid w:val="00EB1862"/>
    <w:rsid w:val="00EB6DFF"/>
    <w:rsid w:val="00ED09B9"/>
    <w:rsid w:val="00ED73CE"/>
    <w:rsid w:val="00ED7434"/>
    <w:rsid w:val="00EF0EE7"/>
    <w:rsid w:val="00EF505D"/>
    <w:rsid w:val="00EF598B"/>
    <w:rsid w:val="00F01F2F"/>
    <w:rsid w:val="00F0497C"/>
    <w:rsid w:val="00F0629A"/>
    <w:rsid w:val="00F15CCE"/>
    <w:rsid w:val="00F27D9F"/>
    <w:rsid w:val="00F3033D"/>
    <w:rsid w:val="00F30D26"/>
    <w:rsid w:val="00F37960"/>
    <w:rsid w:val="00F43ADC"/>
    <w:rsid w:val="00F66751"/>
    <w:rsid w:val="00F71874"/>
    <w:rsid w:val="00F80E8E"/>
    <w:rsid w:val="00F80FC1"/>
    <w:rsid w:val="00F80FD7"/>
    <w:rsid w:val="00F84E45"/>
    <w:rsid w:val="00F91844"/>
    <w:rsid w:val="00F92E16"/>
    <w:rsid w:val="00F97A06"/>
    <w:rsid w:val="00FA5232"/>
    <w:rsid w:val="00FA5B06"/>
    <w:rsid w:val="00FA5D2A"/>
    <w:rsid w:val="00FA6676"/>
    <w:rsid w:val="00FA723F"/>
    <w:rsid w:val="00FB199F"/>
    <w:rsid w:val="00FC526A"/>
    <w:rsid w:val="00FC5FBD"/>
    <w:rsid w:val="00FE10E1"/>
    <w:rsid w:val="00FE372B"/>
    <w:rsid w:val="00FF21BA"/>
    <w:rsid w:val="00FF4E9E"/>
    <w:rsid w:val="00FF5E50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9726"/>
  <w15:docId w15:val="{FE8D959D-6813-4490-8C9D-F2B65C9C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3EB"/>
  </w:style>
  <w:style w:type="paragraph" w:styleId="Heading1">
    <w:name w:val="heading 1"/>
    <w:basedOn w:val="Normal"/>
    <w:next w:val="Normal"/>
    <w:link w:val="Heading1Char"/>
    <w:uiPriority w:val="9"/>
    <w:qFormat/>
    <w:rsid w:val="003C7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C0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7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B19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199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FB199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BC097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C0971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C557DD"/>
  </w:style>
  <w:style w:type="character" w:styleId="Emphasis">
    <w:name w:val="Emphasis"/>
    <w:basedOn w:val="DefaultParagraphFont"/>
    <w:uiPriority w:val="20"/>
    <w:qFormat/>
    <w:rsid w:val="00102F29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72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76"/>
  </w:style>
  <w:style w:type="paragraph" w:styleId="Footer">
    <w:name w:val="footer"/>
    <w:basedOn w:val="Normal"/>
    <w:link w:val="FooterChar"/>
    <w:uiPriority w:val="99"/>
    <w:unhideWhenUsed/>
    <w:rsid w:val="0072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76"/>
  </w:style>
  <w:style w:type="paragraph" w:styleId="ListParagraph">
    <w:name w:val="List Paragraph"/>
    <w:basedOn w:val="Normal"/>
    <w:uiPriority w:val="34"/>
    <w:qFormat/>
    <w:rsid w:val="008F5B50"/>
    <w:pPr>
      <w:ind w:left="720"/>
      <w:contextualSpacing/>
    </w:pPr>
  </w:style>
  <w:style w:type="character" w:customStyle="1" w:styleId="nlmfpage">
    <w:name w:val="nlm_fpage"/>
    <w:basedOn w:val="DefaultParagraphFont"/>
    <w:rsid w:val="00BB047C"/>
  </w:style>
  <w:style w:type="character" w:customStyle="1" w:styleId="nlmlpage">
    <w:name w:val="nlm_lpage"/>
    <w:basedOn w:val="DefaultParagraphFont"/>
    <w:rsid w:val="00BB047C"/>
  </w:style>
  <w:style w:type="character" w:customStyle="1" w:styleId="cs1-lock-limited">
    <w:name w:val="cs1-lock-limited"/>
    <w:basedOn w:val="DefaultParagraphFont"/>
    <w:rsid w:val="00DD0912"/>
  </w:style>
  <w:style w:type="character" w:customStyle="1" w:styleId="Heading1Char">
    <w:name w:val="Heading 1 Char"/>
    <w:basedOn w:val="DefaultParagraphFont"/>
    <w:link w:val="Heading1"/>
    <w:uiPriority w:val="9"/>
    <w:rsid w:val="003C7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rsid w:val="00C607C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7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7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EB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26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760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695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5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75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700854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6" w:color="D5D5D5"/>
                        <w:left w:val="none" w:sz="0" w:space="0" w:color="auto"/>
                        <w:bottom w:val="single" w:sz="6" w:space="6" w:color="D5D5D5"/>
                        <w:right w:val="none" w:sz="0" w:space="0" w:color="auto"/>
                      </w:divBdr>
                    </w:div>
                    <w:div w:id="2035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43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65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10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2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40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0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87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1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52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82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3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5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D5D5D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90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7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911584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16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07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3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432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1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CFA6-F076-4A0C-8BC1-43FC59D0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11</Pages>
  <Words>3320</Words>
  <Characters>18926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Ashoshan-lab</dc:creator>
  <cp:keywords/>
  <dc:description/>
  <cp:lastModifiedBy>Ashoshan-lab</cp:lastModifiedBy>
  <cp:revision>48</cp:revision>
  <dcterms:created xsi:type="dcterms:W3CDTF">2021-03-30T14:16:00Z</dcterms:created>
  <dcterms:modified xsi:type="dcterms:W3CDTF">2021-06-17T13:39:00Z</dcterms:modified>
</cp:coreProperties>
</file>