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5C6" w:rsidRPr="007B3D4B" w:rsidRDefault="00DE05C6" w:rsidP="00DE05C6">
      <w:pPr>
        <w:spacing w:after="0" w:line="360" w:lineRule="auto"/>
        <w:ind w:firstLine="340"/>
        <w:contextualSpacing/>
        <w:jc w:val="center"/>
        <w:rPr>
          <w:rFonts w:ascii="Times New Roman" w:eastAsia="Calibri" w:hAnsi="Times New Roman" w:cs="David"/>
          <w:b/>
          <w:bCs/>
          <w:sz w:val="36"/>
          <w:szCs w:val="36"/>
          <w:rtl/>
        </w:rPr>
      </w:pPr>
    </w:p>
    <w:p w:rsidR="00DE05C6" w:rsidRPr="007B3D4B" w:rsidRDefault="00DE05C6" w:rsidP="00DE05C6">
      <w:pPr>
        <w:spacing w:after="0" w:line="360" w:lineRule="auto"/>
        <w:ind w:firstLine="340"/>
        <w:contextualSpacing/>
        <w:jc w:val="center"/>
        <w:rPr>
          <w:rFonts w:ascii="Times New Roman" w:eastAsia="Calibri" w:hAnsi="Times New Roman" w:cs="David"/>
          <w:b/>
          <w:bCs/>
          <w:sz w:val="36"/>
          <w:szCs w:val="36"/>
          <w:rtl/>
        </w:rPr>
      </w:pPr>
      <w:r w:rsidRPr="007B3D4B">
        <w:rPr>
          <w:rFonts w:ascii="Times New Roman" w:eastAsia="Calibri" w:hAnsi="Times New Roman" w:cs="David" w:hint="cs"/>
          <w:b/>
          <w:bCs/>
          <w:sz w:val="36"/>
          <w:szCs w:val="36"/>
          <w:highlight w:val="yellow"/>
          <w:rtl/>
        </w:rPr>
        <w:t>קבלת החלטות ביחסי דרג מדיני-צבאי</w:t>
      </w: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>Israel's policy of targeted killing in the fight against Palestinian terrorism in the years 2000-2012</w:t>
      </w:r>
    </w:p>
    <w:p w:rsidR="00A50736" w:rsidRPr="009911E9" w:rsidRDefault="00A50736" w:rsidP="00A50736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 xml:space="preserve">Amir </w:t>
      </w:r>
      <w:proofErr w:type="spellStart"/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>Bohbot</w:t>
      </w:r>
      <w:proofErr w:type="spellEnd"/>
    </w:p>
    <w:p w:rsidR="00A50736" w:rsidRPr="009911E9" w:rsidRDefault="00A50736" w:rsidP="00A50736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</w:rPr>
      </w:pP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>Department of Political Studies</w:t>
      </w: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  <w:proofErr w:type="spellStart"/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>P.h.</w:t>
      </w:r>
      <w:r>
        <w:rPr>
          <w:rFonts w:ascii="Times New Roman" w:eastAsia="Calibri" w:hAnsi="Times New Roman" w:cs="David"/>
          <w:b/>
          <w:bCs/>
          <w:sz w:val="28"/>
          <w:szCs w:val="28"/>
        </w:rPr>
        <w:t>d</w:t>
      </w:r>
      <w:proofErr w:type="spellEnd"/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 xml:space="preserve"> Thesis</w:t>
      </w: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>Submitted to the senate of Bar-</w:t>
      </w:r>
      <w:proofErr w:type="spellStart"/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>Ilan</w:t>
      </w:r>
      <w:proofErr w:type="spellEnd"/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 xml:space="preserve"> University</w:t>
      </w: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</w:p>
    <w:p w:rsidR="00A50736" w:rsidRPr="009911E9" w:rsidRDefault="00A50736" w:rsidP="00A50736">
      <w:pPr>
        <w:bidi w:val="0"/>
        <w:spacing w:after="0" w:line="360" w:lineRule="auto"/>
        <w:contextualSpacing/>
        <w:jc w:val="center"/>
        <w:rPr>
          <w:rFonts w:ascii="Times New Roman" w:eastAsia="Calibri" w:hAnsi="Times New Roman" w:cs="David"/>
          <w:b/>
          <w:bCs/>
          <w:sz w:val="28"/>
          <w:szCs w:val="28"/>
        </w:rPr>
      </w:pPr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 xml:space="preserve">Ramat-Gan, Israel                              </w:t>
      </w:r>
      <w:r>
        <w:rPr>
          <w:rFonts w:ascii="Times New Roman" w:eastAsia="Calibri" w:hAnsi="Times New Roman" w:cs="David" w:hint="cs"/>
          <w:b/>
          <w:bCs/>
          <w:sz w:val="28"/>
          <w:szCs w:val="28"/>
        </w:rPr>
        <w:t>D</w:t>
      </w:r>
      <w:r>
        <w:rPr>
          <w:rFonts w:ascii="Times New Roman" w:eastAsia="Calibri" w:hAnsi="Times New Roman" w:cs="David"/>
          <w:b/>
          <w:bCs/>
          <w:sz w:val="28"/>
          <w:szCs w:val="28"/>
        </w:rPr>
        <w:t>ecember</w:t>
      </w:r>
      <w:bookmarkStart w:id="0" w:name="_GoBack"/>
      <w:bookmarkEnd w:id="0"/>
      <w:r w:rsidRPr="009911E9">
        <w:rPr>
          <w:rFonts w:ascii="Times New Roman" w:eastAsia="Calibri" w:hAnsi="Times New Roman" w:cs="David"/>
          <w:b/>
          <w:bCs/>
          <w:sz w:val="28"/>
          <w:szCs w:val="28"/>
        </w:rPr>
        <w:t>, 201</w:t>
      </w:r>
      <w:r>
        <w:rPr>
          <w:rFonts w:ascii="Times New Roman" w:eastAsia="Calibri" w:hAnsi="Times New Roman" w:cs="David" w:hint="cs"/>
          <w:b/>
          <w:bCs/>
          <w:sz w:val="28"/>
          <w:szCs w:val="28"/>
          <w:rtl/>
        </w:rPr>
        <w:t>8</w:t>
      </w:r>
    </w:p>
    <w:p w:rsidR="00DE05C6" w:rsidRPr="007B3D4B" w:rsidRDefault="00DE05C6" w:rsidP="00DE05C6">
      <w:pPr>
        <w:bidi w:val="0"/>
        <w:spacing w:after="0" w:line="360" w:lineRule="auto"/>
        <w:rPr>
          <w:rFonts w:ascii="Times New Roman" w:eastAsia="Calibri" w:hAnsi="Times New Roman" w:cs="David"/>
          <w:b/>
          <w:bCs/>
          <w:sz w:val="28"/>
          <w:szCs w:val="28"/>
        </w:rPr>
      </w:pPr>
      <w:r w:rsidRPr="007B3D4B">
        <w:rPr>
          <w:rFonts w:ascii="Times New Roman" w:eastAsia="Calibri" w:hAnsi="Times New Roman" w:cs="David"/>
          <w:b/>
          <w:bCs/>
          <w:sz w:val="28"/>
          <w:szCs w:val="28"/>
          <w:rtl/>
        </w:rPr>
        <w:br w:type="page"/>
      </w:r>
    </w:p>
    <w:p w:rsidR="00DE05C6" w:rsidRPr="007B3D4B" w:rsidRDefault="00DE05C6" w:rsidP="00DE05C6">
      <w:pPr>
        <w:spacing w:after="0" w:line="360" w:lineRule="auto"/>
        <w:contextualSpacing/>
        <w:jc w:val="both"/>
        <w:rPr>
          <w:rFonts w:ascii="Times New Roman" w:eastAsia="Calibri" w:hAnsi="Times New Roman" w:cs="David"/>
          <w:b/>
          <w:bCs/>
          <w:sz w:val="28"/>
          <w:szCs w:val="28"/>
          <w:rtl/>
        </w:rPr>
      </w:pPr>
      <w:r w:rsidRPr="007B3D4B">
        <w:rPr>
          <w:rFonts w:ascii="Times New Roman" w:eastAsia="Calibri" w:hAnsi="Times New Roman" w:cs="David" w:hint="cs"/>
          <w:b/>
          <w:bCs/>
          <w:sz w:val="28"/>
          <w:szCs w:val="28"/>
          <w:rtl/>
        </w:rPr>
        <w:lastRenderedPageBreak/>
        <w:t xml:space="preserve">עבודה זו נעשתה בהדרכתו של פרופ' שלמה שפירא מן המחלקה למדעי המדינה של אוניברסיטת בר אילן. </w:t>
      </w:r>
    </w:p>
    <w:p w:rsidR="00DE05C6" w:rsidRPr="007B3D4B" w:rsidRDefault="00DE05C6" w:rsidP="00DE05C6">
      <w:pPr>
        <w:bidi w:val="0"/>
        <w:spacing w:after="0" w:line="360" w:lineRule="auto"/>
        <w:rPr>
          <w:rFonts w:ascii="Times New Roman" w:eastAsia="Calibri" w:hAnsi="Times New Roman" w:cs="David"/>
          <w:b/>
          <w:bCs/>
          <w:sz w:val="28"/>
          <w:szCs w:val="28"/>
        </w:rPr>
      </w:pPr>
      <w:r w:rsidRPr="007B3D4B">
        <w:rPr>
          <w:rFonts w:ascii="Times New Roman" w:eastAsia="Calibri" w:hAnsi="Times New Roman" w:cs="David"/>
          <w:b/>
          <w:bCs/>
          <w:sz w:val="28"/>
          <w:szCs w:val="28"/>
          <w:rtl/>
        </w:rPr>
        <w:br w:type="page"/>
      </w:r>
    </w:p>
    <w:p w:rsidR="00DE05C6" w:rsidRPr="007B3D4B" w:rsidRDefault="00DE05C6" w:rsidP="00DE05C6">
      <w:pPr>
        <w:spacing w:after="0" w:line="360" w:lineRule="auto"/>
        <w:ind w:firstLine="340"/>
        <w:contextualSpacing/>
        <w:rPr>
          <w:rFonts w:ascii="Times New Roman" w:eastAsia="Calibri" w:hAnsi="Times New Roman" w:cs="David"/>
          <w:b/>
          <w:bCs/>
          <w:sz w:val="32"/>
          <w:szCs w:val="32"/>
          <w:rtl/>
        </w:rPr>
      </w:pPr>
      <w:r w:rsidRPr="007B3D4B">
        <w:rPr>
          <w:rFonts w:ascii="Times New Roman" w:eastAsia="Calibri" w:hAnsi="Times New Roman" w:cs="David" w:hint="cs"/>
          <w:b/>
          <w:bCs/>
          <w:sz w:val="32"/>
          <w:szCs w:val="32"/>
          <w:rtl/>
        </w:rPr>
        <w:lastRenderedPageBreak/>
        <w:t>תוכן העניינים</w:t>
      </w:r>
    </w:p>
    <w:p w:rsidR="00DE05C6" w:rsidRPr="007B3D4B" w:rsidRDefault="00DE05C6" w:rsidP="00DE05C6">
      <w:pPr>
        <w:spacing w:after="0" w:line="360" w:lineRule="auto"/>
        <w:ind w:firstLine="340"/>
        <w:contextualSpacing/>
        <w:rPr>
          <w:rFonts w:ascii="Times New Roman" w:eastAsia="Calibri" w:hAnsi="Times New Roman" w:cs="David"/>
          <w:b/>
          <w:bCs/>
          <w:sz w:val="32"/>
          <w:szCs w:val="32"/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cs w:val="0"/>
          <w:lang w:val="he-IL"/>
        </w:rPr>
        <w:id w:val="-1137178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5C6" w:rsidRDefault="00DE05C6" w:rsidP="00DE05C6">
          <w:pPr>
            <w:pStyle w:val="TOCHeading"/>
            <w:rPr>
              <w:cs w:val="0"/>
            </w:rPr>
          </w:pPr>
          <w:r>
            <w:rPr>
              <w:cs w:val="0"/>
              <w:lang w:val="he-IL"/>
            </w:rPr>
            <w:t>תוכן</w:t>
          </w:r>
        </w:p>
        <w:p w:rsidR="00DE05C6" w:rsidRPr="00454BD9" w:rsidRDefault="00DE05C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454BD9">
            <w:rPr>
              <w:bCs/>
              <w:lang w:val="he-IL"/>
            </w:rPr>
            <w:fldChar w:fldCharType="begin"/>
          </w:r>
          <w:r w:rsidRPr="00454BD9">
            <w:rPr>
              <w:bCs/>
              <w:rtl/>
              <w:lang w:val="he-IL"/>
            </w:rPr>
            <w:instrText xml:space="preserve"> </w:instrText>
          </w:r>
          <w:r w:rsidRPr="00454BD9">
            <w:rPr>
              <w:rFonts w:cs="Calibri"/>
              <w:bCs/>
              <w:rtl/>
              <w:lang w:val="he-IL"/>
            </w:rPr>
            <w:instrText xml:space="preserve">TOC </w:instrText>
          </w:r>
          <w:r w:rsidRPr="00454BD9">
            <w:rPr>
              <w:bCs/>
              <w:rtl/>
              <w:lang w:val="he-IL"/>
            </w:rPr>
            <w:instrText>\</w:instrText>
          </w:r>
          <w:r w:rsidRPr="00454BD9">
            <w:rPr>
              <w:rFonts w:cs="Calibri"/>
              <w:bCs/>
              <w:rtl/>
              <w:lang w:val="he-IL"/>
            </w:rPr>
            <w:instrText xml:space="preserve">o </w:instrText>
          </w:r>
          <w:r w:rsidRPr="00454BD9">
            <w:rPr>
              <w:bCs/>
              <w:rtl/>
              <w:lang w:val="he-IL"/>
            </w:rPr>
            <w:instrText>"</w:instrText>
          </w:r>
          <w:r w:rsidRPr="00454BD9">
            <w:rPr>
              <w:rFonts w:cs="Calibri"/>
              <w:bCs/>
              <w:rtl/>
              <w:lang w:val="he-IL"/>
            </w:rPr>
            <w:instrText>1</w:instrText>
          </w:r>
          <w:r w:rsidRPr="00454BD9">
            <w:rPr>
              <w:bCs/>
              <w:rtl/>
              <w:lang w:val="he-IL"/>
            </w:rPr>
            <w:instrText>-</w:instrText>
          </w:r>
          <w:r w:rsidRPr="00454BD9">
            <w:rPr>
              <w:rFonts w:cs="Calibri"/>
              <w:bCs/>
              <w:rtl/>
              <w:lang w:val="he-IL"/>
            </w:rPr>
            <w:instrText>3</w:instrText>
          </w:r>
          <w:r w:rsidRPr="00454BD9">
            <w:rPr>
              <w:bCs/>
              <w:rtl/>
              <w:lang w:val="he-IL"/>
            </w:rPr>
            <w:instrText xml:space="preserve">" </w:instrText>
          </w:r>
          <w:r w:rsidRPr="00454BD9">
            <w:rPr>
              <w:rFonts w:cs="Calibri"/>
              <w:bCs/>
              <w:rtl/>
              <w:lang w:val="he-IL"/>
            </w:rPr>
            <w:instrText>\</w:instrText>
          </w:r>
          <w:r w:rsidRPr="00454BD9">
            <w:rPr>
              <w:bCs/>
              <w:rtl/>
              <w:lang w:val="he-IL"/>
            </w:rPr>
            <w:instrText xml:space="preserve">h </w:instrText>
          </w:r>
          <w:r w:rsidRPr="00454BD9">
            <w:rPr>
              <w:rFonts w:cs="Calibri"/>
              <w:bCs/>
              <w:rtl/>
              <w:lang w:val="he-IL"/>
            </w:rPr>
            <w:instrText>\</w:instrText>
          </w:r>
          <w:r w:rsidRPr="00454BD9">
            <w:rPr>
              <w:bCs/>
              <w:rtl/>
              <w:lang w:val="he-IL"/>
            </w:rPr>
            <w:instrText xml:space="preserve">z </w:instrText>
          </w:r>
          <w:r w:rsidRPr="00454BD9">
            <w:rPr>
              <w:rFonts w:cs="Calibri"/>
              <w:bCs/>
              <w:rtl/>
              <w:lang w:val="he-IL"/>
            </w:rPr>
            <w:instrText>\</w:instrText>
          </w:r>
          <w:r w:rsidRPr="00454BD9">
            <w:rPr>
              <w:bCs/>
              <w:rtl/>
              <w:lang w:val="he-IL"/>
            </w:rPr>
            <w:instrText xml:space="preserve">u </w:instrText>
          </w:r>
          <w:r w:rsidRPr="00454BD9">
            <w:rPr>
              <w:bCs/>
              <w:lang w:val="he-IL"/>
            </w:rPr>
            <w:fldChar w:fldCharType="separate"/>
          </w:r>
          <w:hyperlink w:anchor="_Toc533002549" w:history="1">
            <w:r w:rsidRPr="00454BD9">
              <w:rPr>
                <w:rStyle w:val="Hyperlink"/>
                <w:rtl/>
              </w:rPr>
              <w:t>תקציר</w:t>
            </w:r>
            <w:r w:rsidRPr="00454BD9">
              <w:rPr>
                <w:webHidden/>
              </w:rPr>
              <w:tab/>
            </w:r>
            <w:r w:rsidRPr="00454BD9">
              <w:rPr>
                <w:rStyle w:val="Hyperlink"/>
                <w:rtl/>
              </w:rPr>
              <w:fldChar w:fldCharType="begin"/>
            </w:r>
            <w:r w:rsidRPr="00454BD9">
              <w:rPr>
                <w:webHidden/>
              </w:rPr>
              <w:instrText xml:space="preserve"> PAGEREF _Toc533002549 \h </w:instrText>
            </w:r>
            <w:r w:rsidRPr="00454BD9">
              <w:rPr>
                <w:rStyle w:val="Hyperlink"/>
                <w:rtl/>
              </w:rPr>
            </w:r>
            <w:r w:rsidRPr="00454BD9">
              <w:rPr>
                <w:rStyle w:val="Hyperlink"/>
                <w:rtl/>
              </w:rPr>
              <w:fldChar w:fldCharType="separate"/>
            </w:r>
            <w:r w:rsidRPr="00454BD9">
              <w:rPr>
                <w:webHidden/>
              </w:rPr>
              <w:t>I</w:t>
            </w:r>
            <w:r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550" w:history="1">
            <w:r w:rsidR="00DE05C6" w:rsidRPr="00454BD9">
              <w:rPr>
                <w:rStyle w:val="Hyperlink"/>
                <w:rFonts w:eastAsiaTheme="majorEastAsia"/>
                <w:rtl/>
              </w:rPr>
              <w:t>מבוא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51" w:history="1">
            <w:r w:rsidR="00DE05C6" w:rsidRPr="00454BD9">
              <w:rPr>
                <w:rStyle w:val="Hyperlink"/>
                <w:rtl/>
              </w:rPr>
              <w:t>רקע היסטורי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552" w:history="1">
            <w:r w:rsidR="00DE05C6" w:rsidRPr="00454BD9">
              <w:rPr>
                <w:rStyle w:val="Hyperlink"/>
                <w:rFonts w:eastAsiaTheme="majorEastAsia"/>
                <w:rtl/>
              </w:rPr>
              <w:t>שאלות המחקר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53" w:history="1">
            <w:r w:rsidR="00DE05C6" w:rsidRPr="00454BD9">
              <w:rPr>
                <w:rStyle w:val="Hyperlink"/>
                <w:rtl/>
              </w:rPr>
              <w:t>שאלת המחקר המרכזית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54" w:history="1">
            <w:r w:rsidR="00DE05C6" w:rsidRPr="00454BD9">
              <w:rPr>
                <w:rStyle w:val="Hyperlink"/>
                <w:rtl/>
              </w:rPr>
              <w:t>שאלות משנה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55" w:history="1">
            <w:r w:rsidR="00DE05C6" w:rsidRPr="00454BD9">
              <w:rPr>
                <w:rStyle w:val="Hyperlink"/>
                <w:rtl/>
              </w:rPr>
              <w:t>השערות המחקר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556" w:history="1">
            <w:r w:rsidR="00DE05C6" w:rsidRPr="00454BD9">
              <w:rPr>
                <w:rStyle w:val="Hyperlink"/>
                <w:rtl/>
              </w:rPr>
              <w:t>סקירת ספרות ומקורות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57" w:history="1">
            <w:r w:rsidR="00DE05C6" w:rsidRPr="00454BD9">
              <w:rPr>
                <w:rStyle w:val="Hyperlink"/>
                <w:rtl/>
              </w:rPr>
              <w:t>הרקע למדיניות הסיכולים הממוקדים של ממשלת ישראל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558" w:history="1">
            <w:r w:rsidR="00DE05C6" w:rsidRPr="00454BD9">
              <w:rPr>
                <w:rStyle w:val="Hyperlink"/>
                <w:rFonts w:eastAsiaTheme="majorEastAsia"/>
                <w:rtl/>
              </w:rPr>
              <w:t>שיטת המחקר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59" w:history="1">
            <w:r w:rsidR="00DE05C6" w:rsidRPr="00454BD9">
              <w:rPr>
                <w:rStyle w:val="Hyperlink"/>
                <w:rtl/>
              </w:rPr>
              <w:t>מסגרת תאורטית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_Toc533002559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13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560" w:history="1">
            <w:r w:rsidR="00DE05C6" w:rsidRPr="00454BD9">
              <w:rPr>
                <w:rStyle w:val="Hyperlink"/>
                <w:rtl/>
              </w:rPr>
              <w:t>פרק ראשון: מקומו של הסיכול הממוקד במדיניות הביטחון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_Toc533002560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61" w:history="1">
            <w:r w:rsidR="00DE05C6" w:rsidRPr="00454BD9">
              <w:rPr>
                <w:rStyle w:val="Hyperlink"/>
                <w:rtl/>
              </w:rPr>
              <w:t>1.1 שיטות הלוחמה בטרור עד קום המדינה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_Toc533002561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562" w:history="1">
            <w:r w:rsidR="00DE05C6" w:rsidRPr="00454BD9">
              <w:rPr>
                <w:rStyle w:val="Hyperlink"/>
                <w:noProof/>
                <w:rtl/>
              </w:rPr>
              <w:t>1.1.1 שיטות הטיפול בטרור משנת 1948-1967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_Toc533002562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21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563" w:history="1">
            <w:r w:rsidR="00DE05C6" w:rsidRPr="00454BD9">
              <w:rPr>
                <w:rStyle w:val="Hyperlink"/>
                <w:noProof/>
                <w:rtl/>
              </w:rPr>
              <w:t>1.1.2 הלחימה בטרור אחרי מלחמת ששת הימים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_Toc533002563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21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564" w:history="1">
            <w:r w:rsidR="00DE05C6" w:rsidRPr="00454BD9">
              <w:rPr>
                <w:rStyle w:val="Hyperlink"/>
                <w:noProof/>
                <w:rtl/>
              </w:rPr>
              <w:t>1.1.3 הדרג המדיני כמקבל החלטות בלחימה בטרור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_Toc533002564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25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65" w:history="1">
            <w:r w:rsidR="00DE05C6" w:rsidRPr="00454BD9">
              <w:rPr>
                <w:rStyle w:val="Hyperlink"/>
                <w:rtl/>
              </w:rPr>
              <w:t>1.2 בחירת הסיכול הממוקד כפעולה עדיפה מאז שנת 2000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_Toc533002565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33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566" w:history="1">
            <w:r w:rsidR="00DE05C6" w:rsidRPr="00454BD9">
              <w:rPr>
                <w:rStyle w:val="Hyperlink"/>
                <w:noProof/>
                <w:rtl/>
              </w:rPr>
              <w:t>1.2.1 סיכול ממוקד תחת אילוצים מדיניים וביטחוניים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_Toc533002566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39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567" w:history="1">
            <w:r w:rsidR="00DE05C6" w:rsidRPr="00454BD9">
              <w:rPr>
                <w:rStyle w:val="Hyperlink"/>
                <w:noProof/>
                <w:rtl/>
              </w:rPr>
              <w:t>1.2.2 קיצור תהליך קבלת ההחלטה על הסיכול הממוקד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_Toc533002567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48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568" w:history="1">
            <w:r w:rsidR="00DE05C6" w:rsidRPr="00454BD9">
              <w:rPr>
                <w:rStyle w:val="Hyperlink"/>
                <w:noProof/>
                <w:rtl/>
              </w:rPr>
              <w:t>1.2.3 סיכול ממוקד במהלך הפסקת אש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_Toc533002568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52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69" w:history="1">
            <w:r w:rsidR="00DE05C6" w:rsidRPr="00454BD9">
              <w:rPr>
                <w:rStyle w:val="Hyperlink"/>
                <w:rtl/>
              </w:rPr>
              <w:t>1.3 שילוב הפעולה הקרקעית הרחבה נגד הטרור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_Toc533002569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53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570" w:history="1">
            <w:r w:rsidR="00DE05C6" w:rsidRPr="00454BD9">
              <w:rPr>
                <w:rStyle w:val="Hyperlink"/>
                <w:noProof/>
                <w:rtl/>
              </w:rPr>
              <w:t>1.3.1 הרג בלתי מעורבים בטרור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_Toc533002570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58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1" w:history="1">
            <w:r w:rsidR="00DE05C6" w:rsidRPr="00454BD9">
              <w:rPr>
                <w:rStyle w:val="Hyperlink"/>
                <w:rtl/>
              </w:rPr>
              <w:t>1.4 החלטה לסכל מנהיג ומפקד הבכיר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63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2" w:history="1">
            <w:r w:rsidR="00DE05C6" w:rsidRPr="00454BD9">
              <w:rPr>
                <w:rStyle w:val="Hyperlink"/>
                <w:rtl/>
              </w:rPr>
              <w:t>1.5 מקומם של ארגוני המודיעין בקבלת ההחלטות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69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3" w:history="1">
            <w:r w:rsidR="00DE05C6" w:rsidRPr="00454BD9">
              <w:rPr>
                <w:rStyle w:val="Hyperlink"/>
                <w:rtl/>
              </w:rPr>
              <w:t>1.6 לגיטימיות הסיכול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72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4" w:history="1">
            <w:r w:rsidR="00DE05C6" w:rsidRPr="00454BD9">
              <w:rPr>
                <w:rStyle w:val="Hyperlink"/>
                <w:rtl/>
              </w:rPr>
              <w:t>1.7 השלכות ארוכות טווח של הסיכול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76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5" w:history="1">
            <w:r w:rsidR="00DE05C6" w:rsidRPr="00454BD9">
              <w:rPr>
                <w:rStyle w:val="Hyperlink"/>
                <w:rtl/>
              </w:rPr>
              <w:t>1.8 אין הבדל בסיכול דרג מדיני-פוליטי לצבאי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79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6" w:history="1">
            <w:r w:rsidR="00DE05C6" w:rsidRPr="00454BD9">
              <w:rPr>
                <w:rStyle w:val="Hyperlink"/>
                <w:rtl/>
              </w:rPr>
              <w:t>1.9 שילוב מעצרים חקירות, גדר וסיכול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85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7" w:history="1">
            <w:r w:rsidR="00DE05C6" w:rsidRPr="00454BD9">
              <w:rPr>
                <w:rStyle w:val="Hyperlink"/>
                <w:rtl/>
              </w:rPr>
              <w:t>1.10 התפתחות השילוביות הבין-ארגונית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87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8" w:history="1">
            <w:r w:rsidR="00DE05C6" w:rsidRPr="00454BD9">
              <w:rPr>
                <w:rStyle w:val="Hyperlink"/>
                <w:rtl/>
              </w:rPr>
              <w:t>1.11 יובל דיסקין התמנה לראש השב"כ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90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79" w:history="1">
            <w:r w:rsidR="00DE05C6" w:rsidRPr="00454BD9">
              <w:rPr>
                <w:rStyle w:val="Hyperlink"/>
                <w:rtl/>
              </w:rPr>
              <w:t>1.12 סיכול פעילי טרור למניעת פיגועים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_Toc533002579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91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0" w:history="1">
            <w:r w:rsidR="00DE05C6" w:rsidRPr="00454BD9">
              <w:rPr>
                <w:rStyle w:val="Hyperlink"/>
                <w:rtl/>
              </w:rPr>
              <w:t>1.13 מארגון מודיעין לגוף שיוזם פעולות ומבצעים נגד 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97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1" w:history="1">
            <w:r w:rsidR="00DE05C6" w:rsidRPr="00454BD9">
              <w:rPr>
                <w:rStyle w:val="Hyperlink"/>
                <w:rtl/>
              </w:rPr>
              <w:t>1.14 סיכול איש דת ומנהיג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102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2" w:history="1">
            <w:r w:rsidR="00DE05C6" w:rsidRPr="00454BD9">
              <w:rPr>
                <w:rStyle w:val="Hyperlink"/>
                <w:rtl/>
              </w:rPr>
              <w:t>1.15 מגבלות לסיכול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104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3" w:history="1">
            <w:r w:rsidR="00DE05C6" w:rsidRPr="00454BD9">
              <w:rPr>
                <w:rStyle w:val="Hyperlink"/>
                <w:rtl/>
              </w:rPr>
              <w:t>1.16 סיכול ממוקד בשגרה ובמבצע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106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4" w:history="1">
            <w:r w:rsidR="00DE05C6" w:rsidRPr="00454BD9">
              <w:rPr>
                <w:rStyle w:val="Hyperlink"/>
                <w:rtl/>
              </w:rPr>
              <w:t>1.17 השונה בין סיכול ברצועת עזה ליהודה ושומרון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111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5" w:history="1">
            <w:r w:rsidR="00DE05C6" w:rsidRPr="00454BD9">
              <w:rPr>
                <w:rStyle w:val="Hyperlink"/>
                <w:rtl/>
              </w:rPr>
              <w:t>1.18 סיכולי נשמה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116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6" w:history="1">
            <w:r w:rsidR="00DE05C6" w:rsidRPr="00454BD9">
              <w:rPr>
                <w:rStyle w:val="Hyperlink"/>
                <w:rtl/>
              </w:rPr>
              <w:t>1.19 הממד האווירי בסיכול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116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7" w:history="1">
            <w:r w:rsidR="00DE05C6" w:rsidRPr="00454BD9">
              <w:rPr>
                <w:rStyle w:val="Hyperlink"/>
                <w:rtl/>
              </w:rPr>
              <w:t>1.20 הסיכול הממוקד על ידי היחידות המיוחדות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119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588" w:history="1">
            <w:r w:rsidR="00DE05C6" w:rsidRPr="00454BD9">
              <w:rPr>
                <w:rStyle w:val="Hyperlink"/>
                <w:rtl/>
              </w:rPr>
              <w:t>פרק שני: הקמת גדר ההפרדה כרכיב במערכה נגד הטרור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128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89" w:history="1">
            <w:r w:rsidR="00DE05C6" w:rsidRPr="00454BD9">
              <w:rPr>
                <w:rStyle w:val="Hyperlink"/>
                <w:rFonts w:eastAsia="Times New Roman"/>
                <w:rtl/>
              </w:rPr>
              <w:t>2.1 ההשפעה של מבצע חומת מגן על תהליך בניית גדר ההפרדה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_Toc533002589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129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0" w:history="1">
            <w:r w:rsidR="00DE05C6" w:rsidRPr="00454BD9">
              <w:rPr>
                <w:rStyle w:val="Hyperlink"/>
                <w:rFonts w:eastAsia="Times New Roman"/>
                <w:rtl/>
              </w:rPr>
              <w:t>2.2 שלב ראשון בבניית מכשול לאורך קו התפר והאירועים שהאיצו את התהליך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131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1" w:history="1">
            <w:r w:rsidR="00DE05C6" w:rsidRPr="00454BD9">
              <w:rPr>
                <w:rStyle w:val="Hyperlink"/>
                <w:rFonts w:eastAsia="Times New Roman"/>
                <w:rtl/>
              </w:rPr>
              <w:t>2.3 ראש השב"כ תומך בהקמת גדר הפרדה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133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2" w:history="1">
            <w:r w:rsidR="00DE05C6" w:rsidRPr="00454BD9">
              <w:rPr>
                <w:rStyle w:val="Hyperlink"/>
                <w:rFonts w:eastAsia="Times New Roman"/>
                <w:rtl/>
              </w:rPr>
              <w:t>2.4 קביעת כללים והמדיניות לבניית גדר ההפרדה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134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3" w:history="1">
            <w:r w:rsidR="00DE05C6" w:rsidRPr="00454BD9">
              <w:rPr>
                <w:rStyle w:val="Hyperlink"/>
                <w:rFonts w:eastAsia="Times New Roman"/>
                <w:rtl/>
              </w:rPr>
              <w:t>2.5 עיצוב גדר ההפרדה וההשפעה על הטרור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136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594" w:history="1">
            <w:r w:rsidR="00DE05C6" w:rsidRPr="00454BD9">
              <w:rPr>
                <w:rStyle w:val="Hyperlink"/>
                <w:rtl/>
              </w:rPr>
              <w:t>פרק שלישי: מדיניות הסיכולים הממוקדים בראי מערכת החוק והמשפט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139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5" w:history="1">
            <w:r w:rsidR="00DE05C6" w:rsidRPr="00454BD9">
              <w:rPr>
                <w:rStyle w:val="Hyperlink"/>
                <w:rtl/>
              </w:rPr>
              <w:t>3.1 עתירות לבג"ץ נגד מדיניות הסיכולים הממוקדים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141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6" w:history="1">
            <w:r w:rsidR="00DE05C6" w:rsidRPr="00454BD9">
              <w:rPr>
                <w:rStyle w:val="Hyperlink"/>
                <w:rtl/>
              </w:rPr>
              <w:t>3.2 היועץ המשפטי לממשלה אישר את מדיניות הסיכולים הממוקדים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141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7" w:history="1">
            <w:r w:rsidR="00DE05C6" w:rsidRPr="00454BD9">
              <w:rPr>
                <w:rStyle w:val="Hyperlink"/>
                <w:rtl/>
              </w:rPr>
              <w:t>3.3 טייסים נגד מדיניות הסיכולים הממוקדים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146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8" w:history="1">
            <w:r w:rsidR="00DE05C6" w:rsidRPr="00454BD9">
              <w:rPr>
                <w:rStyle w:val="Hyperlink"/>
                <w:rtl/>
              </w:rPr>
              <w:t>3.4 ביקורת ובחירת גבולות למדיניות הסיכולים הממוקדים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147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599" w:history="1">
            <w:r w:rsidR="00DE05C6" w:rsidRPr="00454BD9">
              <w:rPr>
                <w:rStyle w:val="Hyperlink"/>
                <w:rtl/>
              </w:rPr>
              <w:t>3.5 פגיעה באזרחים לא מעורבים בטרור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_Toc533002599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149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0" w:history="1">
            <w:r w:rsidR="00DE05C6" w:rsidRPr="00454BD9">
              <w:rPr>
                <w:rStyle w:val="Hyperlink"/>
                <w:rtl/>
              </w:rPr>
              <w:t>3.6 חשיבות הייעוץ המשפטי ביישום מדיניות הסיכולים הממוקדים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152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1" w:history="1">
            <w:r w:rsidR="00DE05C6" w:rsidRPr="00454BD9">
              <w:rPr>
                <w:rStyle w:val="Hyperlink"/>
                <w:rtl/>
              </w:rPr>
              <w:t>3.7 הקמת ועדה לבחינת הפעילות הצבאית של צה"ל נגד ארגוני הטרור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154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02" w:history="1">
            <w:r w:rsidR="00DE05C6" w:rsidRPr="00454BD9">
              <w:rPr>
                <w:rStyle w:val="Hyperlink"/>
                <w:rtl/>
              </w:rPr>
              <w:t>פרק רביעי: הקמת גדר ההפרדה כרכיב במערכה נגד הטרור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158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3" w:history="1">
            <w:r w:rsidR="00DE05C6" w:rsidRPr="00454BD9">
              <w:rPr>
                <w:rStyle w:val="Hyperlink"/>
                <w:rtl/>
              </w:rPr>
              <w:t>4.1 ההשפעה של מבצע חומת מגן על תהליך בניית גדר ההפרדה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159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4" w:history="1">
            <w:r w:rsidR="00DE05C6" w:rsidRPr="00454BD9">
              <w:rPr>
                <w:rStyle w:val="Hyperlink"/>
                <w:rtl/>
              </w:rPr>
              <w:t>4.2 שלב ראשון בבניית מכשול לאורך קו התפר והאירועים שהאיצו את התהליך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161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5" w:history="1">
            <w:r w:rsidR="00DE05C6" w:rsidRPr="00454BD9">
              <w:rPr>
                <w:rStyle w:val="Hyperlink"/>
                <w:rtl/>
              </w:rPr>
              <w:t>4.3 ראש השב"כ תמך בהקמת גדר הפרדה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162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6" w:history="1">
            <w:r w:rsidR="00DE05C6" w:rsidRPr="00454BD9">
              <w:rPr>
                <w:rStyle w:val="Hyperlink"/>
                <w:rtl/>
              </w:rPr>
              <w:t>4.4 קביעת כללים והמדיניות לבניית גדר ההפרדה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164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7" w:history="1">
            <w:r w:rsidR="00DE05C6" w:rsidRPr="00454BD9">
              <w:rPr>
                <w:rStyle w:val="Hyperlink"/>
                <w:rtl/>
              </w:rPr>
              <w:t>4.5 עיצוב גדר ההפרדה וההשפעה על הטרור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166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08" w:history="1">
            <w:r w:rsidR="00DE05C6" w:rsidRPr="00454BD9">
              <w:rPr>
                <w:rStyle w:val="Hyperlink"/>
                <w:rtl/>
              </w:rPr>
              <w:t>פרק חמישי: מדיניות הסיכולים הממוקדים בארצות הברית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169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09" w:history="1">
            <w:r w:rsidR="00DE05C6" w:rsidRPr="00454BD9">
              <w:rPr>
                <w:rStyle w:val="Hyperlink"/>
                <w:rtl/>
              </w:rPr>
              <w:t>5.1 שיטת החיסולים האמריקאית החל משנות החמישים ועד שנות השמונים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_Toc533002609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169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0" w:history="1">
            <w:r w:rsidR="00DE05C6" w:rsidRPr="00454BD9">
              <w:rPr>
                <w:rStyle w:val="Hyperlink"/>
                <w:rtl/>
              </w:rPr>
              <w:t>5.2 ארגון הטרור אלקעידה והמענה האמריקאי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170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1" w:history="1">
            <w:r w:rsidR="00DE05C6" w:rsidRPr="00454BD9">
              <w:rPr>
                <w:rStyle w:val="Hyperlink"/>
                <w:rtl/>
              </w:rPr>
              <w:t>5.3 השינויים בעקבות מתקפת ה-11 בספטמבר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173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2" w:history="1">
            <w:r w:rsidR="00DE05C6" w:rsidRPr="00454BD9">
              <w:rPr>
                <w:rStyle w:val="Hyperlink"/>
                <w:rtl/>
              </w:rPr>
              <w:t>5.4 הפער המודיעיני של ארה"ב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175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3" w:history="1">
            <w:r w:rsidR="00DE05C6" w:rsidRPr="00454BD9">
              <w:rPr>
                <w:rStyle w:val="Hyperlink"/>
                <w:rtl/>
              </w:rPr>
              <w:t>5.5 הדרג המדיני כמאשר עליון במלחמה בטרור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178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4" w:history="1">
            <w:r w:rsidR="00DE05C6" w:rsidRPr="00454BD9">
              <w:rPr>
                <w:rStyle w:val="Hyperlink"/>
                <w:rtl/>
              </w:rPr>
              <w:t>5.6 התגברות השילוביות באיסוף מודיעין ופיתוח שיטות לאיתור מבוקשים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180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5" w:history="1">
            <w:r w:rsidR="00DE05C6" w:rsidRPr="00454BD9">
              <w:rPr>
                <w:rStyle w:val="Hyperlink"/>
                <w:rtl/>
              </w:rPr>
              <w:t>5.7 הקמת בסיסי פעילות מחוץ לארה"ב והעברת משימות ביטחוניות לחברות אזרחיות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186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6" w:history="1">
            <w:r w:rsidR="00DE05C6" w:rsidRPr="00454BD9">
              <w:rPr>
                <w:rStyle w:val="Hyperlink"/>
                <w:rtl/>
              </w:rPr>
              <w:t>5.8 השימוש בכלי טיס לא מאוישים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190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7" w:history="1">
            <w:r w:rsidR="00DE05C6" w:rsidRPr="00454BD9">
              <w:rPr>
                <w:rStyle w:val="Hyperlink"/>
                <w:rtl/>
              </w:rPr>
              <w:t>5.9 מביקורת לשיתוף הפעולה בין ישראל לארה"ב במלחמה בטרור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191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8" w:history="1">
            <w:r w:rsidR="00DE05C6" w:rsidRPr="00454BD9">
              <w:rPr>
                <w:rStyle w:val="Hyperlink"/>
                <w:rtl/>
              </w:rPr>
              <w:t>5.10 הרחבת הסיכול הממוקד בתקופת הנשיא אובמה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193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19" w:history="1">
            <w:r w:rsidR="00DE05C6" w:rsidRPr="00454BD9">
              <w:rPr>
                <w:rStyle w:val="Hyperlink"/>
                <w:b/>
                <w:rtl/>
              </w:rPr>
              <w:t>5.11</w:t>
            </w:r>
            <w:r w:rsidR="00DE05C6" w:rsidRPr="00454BD9">
              <w:rPr>
                <w:rStyle w:val="Hyperlink"/>
                <w:rtl/>
              </w:rPr>
              <w:t xml:space="preserve"> </w:t>
            </w:r>
            <w:r w:rsidR="00DE05C6" w:rsidRPr="00454BD9">
              <w:rPr>
                <w:rStyle w:val="Hyperlink"/>
              </w:rPr>
              <w:t>CIA</w:t>
            </w:r>
            <w:r w:rsidR="00DE05C6" w:rsidRPr="00454BD9">
              <w:rPr>
                <w:rStyle w:val="Hyperlink"/>
                <w:rtl/>
              </w:rPr>
              <w:t xml:space="preserve"> במילוי משימות צבאיות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_Toc533002619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195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0" w:history="1">
            <w:r w:rsidR="00DE05C6" w:rsidRPr="00454BD9">
              <w:rPr>
                <w:rStyle w:val="Hyperlink"/>
                <w:rtl/>
              </w:rPr>
              <w:t>5.12 ההיבט המשפטי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197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1" w:history="1">
            <w:r w:rsidR="00DE05C6" w:rsidRPr="00454BD9">
              <w:rPr>
                <w:rStyle w:val="Hyperlink"/>
                <w:rtl/>
              </w:rPr>
              <w:t>5.13 הדור הרביעי בלחימה האמריקאית בטרור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202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2" w:history="1">
            <w:r w:rsidR="00DE05C6" w:rsidRPr="00454BD9">
              <w:rPr>
                <w:rStyle w:val="Hyperlink"/>
                <w:rtl/>
              </w:rPr>
              <w:t>5.14 עימות בין הדרג המדיני לדרג הביצוע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205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3" w:history="1">
            <w:r w:rsidR="00DE05C6" w:rsidRPr="00454BD9">
              <w:rPr>
                <w:rStyle w:val="Hyperlink"/>
                <w:rtl/>
              </w:rPr>
              <w:t>5.15 חשיבות הסיכולים הממוקדים בראייה האמריקאית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209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24" w:history="1">
            <w:r w:rsidR="00DE05C6" w:rsidRPr="00454BD9">
              <w:rPr>
                <w:rStyle w:val="Hyperlink"/>
                <w:rtl/>
              </w:rPr>
              <w:t>פרק שישי: מקרי בוחן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214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5" w:history="1">
            <w:r w:rsidR="00DE05C6" w:rsidRPr="00454BD9">
              <w:rPr>
                <w:rStyle w:val="Hyperlink"/>
                <w:rFonts w:eastAsia="Times New Roman"/>
                <w:rtl/>
              </w:rPr>
              <w:t>6.1 מקרה בוחן 1: ת'אבת ת'אבת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215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6" w:history="1">
            <w:r w:rsidR="00DE05C6" w:rsidRPr="00454BD9">
              <w:rPr>
                <w:rStyle w:val="Hyperlink"/>
                <w:rFonts w:eastAsia="Times New Roman"/>
                <w:rtl/>
              </w:rPr>
              <w:t>6.2 מקרה בוחן 2: אבו עלי מוסטפא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216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002627" w:history="1">
            <w:r w:rsidR="00DE05C6" w:rsidRPr="00454BD9">
              <w:rPr>
                <w:rStyle w:val="Hyperlink"/>
                <w:b/>
                <w:bCs/>
                <w:noProof/>
                <w:rtl/>
              </w:rPr>
              <w:t>6.3 מפנה ביישום מדיניות הסיכול</w:t>
            </w:r>
            <w:r w:rsidR="00DE05C6" w:rsidRPr="00454BD9">
              <w:rPr>
                <w:noProof/>
                <w:webHidden/>
              </w:rPr>
              <w:tab/>
            </w:r>
            <w:r w:rsidR="00DE05C6" w:rsidRPr="00454BD9">
              <w:rPr>
                <w:rStyle w:val="Hyperlink"/>
                <w:noProof/>
                <w:rtl/>
              </w:rPr>
              <w:fldChar w:fldCharType="begin"/>
            </w:r>
            <w:r w:rsidR="00DE05C6" w:rsidRPr="00454BD9">
              <w:rPr>
                <w:noProof/>
                <w:webHidden/>
              </w:rPr>
              <w:instrText xml:space="preserve"> PAGEREF _Toc533002627 \h </w:instrText>
            </w:r>
            <w:r w:rsidR="00DE05C6" w:rsidRPr="00454BD9">
              <w:rPr>
                <w:rStyle w:val="Hyperlink"/>
                <w:noProof/>
                <w:rtl/>
              </w:rPr>
            </w:r>
            <w:r w:rsidR="00DE05C6" w:rsidRPr="00454BD9">
              <w:rPr>
                <w:rStyle w:val="Hyperlink"/>
                <w:noProof/>
                <w:rtl/>
              </w:rPr>
              <w:fldChar w:fldCharType="separate"/>
            </w:r>
            <w:r w:rsidR="00DE05C6" w:rsidRPr="00454BD9">
              <w:rPr>
                <w:noProof/>
                <w:webHidden/>
              </w:rPr>
              <w:t>217</w:t>
            </w:r>
            <w:r w:rsidR="00DE05C6" w:rsidRPr="00454B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8" w:history="1">
            <w:r w:rsidR="00DE05C6" w:rsidRPr="00454BD9">
              <w:rPr>
                <w:rStyle w:val="Hyperlink"/>
                <w:rFonts w:eastAsia="Times New Roman"/>
                <w:rtl/>
              </w:rPr>
              <w:t>6.4 מקרה בוחן 3: ראאד כרמי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218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29" w:history="1">
            <w:r w:rsidR="00DE05C6" w:rsidRPr="00454BD9">
              <w:rPr>
                <w:rStyle w:val="Hyperlink"/>
                <w:rtl/>
              </w:rPr>
              <w:t>6.5 מבצע חומת מגן כנקודת מפנה ביישום של מדיניות הסיכולים הממוקדים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_Toc533002629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219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0" w:history="1">
            <w:r w:rsidR="00DE05C6" w:rsidRPr="00454BD9">
              <w:rPr>
                <w:rStyle w:val="Hyperlink"/>
                <w:rFonts w:eastAsia="Times New Roman"/>
                <w:rtl/>
              </w:rPr>
              <w:t>6.6 מקרה בוחן 4: סלאח שחאדה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219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1" w:history="1">
            <w:r w:rsidR="00DE05C6" w:rsidRPr="00454BD9">
              <w:rPr>
                <w:rStyle w:val="Hyperlink"/>
                <w:rFonts w:eastAsia="Times New Roman"/>
                <w:rtl/>
              </w:rPr>
              <w:t>6.7 מקרה בוחן 5: שייח' אחמד יאסין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221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2" w:history="1">
            <w:r w:rsidR="00DE05C6" w:rsidRPr="00454BD9">
              <w:rPr>
                <w:rStyle w:val="Hyperlink"/>
                <w:rFonts w:eastAsia="Times New Roman"/>
                <w:rtl/>
              </w:rPr>
              <w:t>6.8 מקרה בוחן 6: אחמד ג'עברי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224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33" w:history="1">
            <w:r w:rsidR="00DE05C6" w:rsidRPr="00454BD9">
              <w:rPr>
                <w:rStyle w:val="Hyperlink"/>
                <w:rtl/>
              </w:rPr>
              <w:t>פרק שביעי: ניתוח מדיניות הסיכול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226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4" w:history="1">
            <w:r w:rsidR="00DE05C6" w:rsidRPr="00454BD9">
              <w:rPr>
                <w:rStyle w:val="Hyperlink"/>
                <w:rFonts w:eastAsia="Times New Roman"/>
                <w:rtl/>
              </w:rPr>
              <w:t>7.1 סיכום מגמות הטרור בשנים 2000</w:t>
            </w:r>
            <w:r w:rsidR="00DE05C6" w:rsidRPr="00454BD9">
              <w:rPr>
                <w:rStyle w:val="Hyperlink"/>
                <w:rFonts w:ascii="David" w:eastAsia="Times New Roman" w:hAnsi="David"/>
                <w:rtl/>
              </w:rPr>
              <w:t>–</w:t>
            </w:r>
            <w:r w:rsidR="00DE05C6" w:rsidRPr="00454BD9">
              <w:rPr>
                <w:rStyle w:val="Hyperlink"/>
                <w:rFonts w:eastAsia="Times New Roman"/>
                <w:rtl/>
              </w:rPr>
              <w:t>2012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226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5" w:history="1">
            <w:r w:rsidR="00DE05C6" w:rsidRPr="00454BD9">
              <w:rPr>
                <w:rStyle w:val="Hyperlink"/>
                <w:rFonts w:eastAsia="Times New Roman"/>
                <w:rtl/>
              </w:rPr>
              <w:t>7.2 ההשפעה של הסיכול הממוקד על ארגוני הטרור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227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6" w:history="1">
            <w:r w:rsidR="00DE05C6" w:rsidRPr="00454BD9">
              <w:rPr>
                <w:rStyle w:val="Hyperlink"/>
                <w:rFonts w:eastAsia="Times New Roman"/>
                <w:rtl/>
              </w:rPr>
              <w:t>7.3 התפתחות במדיניות הסיכול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228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7" w:history="1">
            <w:r w:rsidR="00DE05C6" w:rsidRPr="00454BD9">
              <w:rPr>
                <w:rStyle w:val="Hyperlink"/>
                <w:rFonts w:eastAsia="Times New Roman"/>
                <w:rtl/>
              </w:rPr>
              <w:t>7.4 סיכול ממוקד - כלי מרתיע ולא מכריע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230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8" w:history="1">
            <w:r w:rsidR="00DE05C6" w:rsidRPr="00454BD9">
              <w:rPr>
                <w:rStyle w:val="Hyperlink"/>
                <w:rFonts w:eastAsia="Times New Roman"/>
                <w:rtl/>
              </w:rPr>
              <w:t>7.5 ההיבטים המשפטיים של הסיכול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232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39" w:history="1">
            <w:r w:rsidR="00DE05C6" w:rsidRPr="00454BD9">
              <w:rPr>
                <w:rStyle w:val="Hyperlink"/>
                <w:rFonts w:eastAsia="Times New Roman"/>
                <w:rtl/>
              </w:rPr>
              <w:t>7.6 ההיקף והאופי של הסיכול הממוקד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_Toc533002639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235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40" w:history="1">
            <w:r w:rsidR="00DE05C6" w:rsidRPr="00454BD9">
              <w:rPr>
                <w:rStyle w:val="Hyperlink"/>
                <w:rFonts w:eastAsia="Times New Roman"/>
                <w:rtl/>
              </w:rPr>
              <w:t>7.7 גדר ההפרדה כרכיב ביטחוני יעיל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_Toc533002640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236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41" w:history="1">
            <w:r w:rsidR="00DE05C6" w:rsidRPr="00454BD9">
              <w:rPr>
                <w:rStyle w:val="Hyperlink"/>
                <w:rFonts w:eastAsia="Times New Roman"/>
                <w:rtl/>
              </w:rPr>
              <w:t>7.8 בחינת מדיניות הסיכול הממוקד האמריקאית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_Toc533002641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239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42" w:history="1">
            <w:r w:rsidR="00DE05C6" w:rsidRPr="00454BD9">
              <w:rPr>
                <w:rStyle w:val="Hyperlink"/>
                <w:rtl/>
              </w:rPr>
              <w:t>סיכום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_Toc533002642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247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43" w:history="1">
            <w:r w:rsidR="00DE05C6" w:rsidRPr="00454BD9">
              <w:rPr>
                <w:rStyle w:val="Hyperlink"/>
                <w:rtl/>
              </w:rPr>
              <w:t>יחסי דרג מדיני-מודיעיני-צבאי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_Toc533002643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248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44" w:history="1">
            <w:r w:rsidR="00DE05C6" w:rsidRPr="00454BD9">
              <w:rPr>
                <w:rStyle w:val="Hyperlink"/>
                <w:rtl/>
              </w:rPr>
              <w:t>הסיכול הממוקד בארה"ב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_Toc533002644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249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2"/>
            <w:rPr>
              <w:rFonts w:asciiTheme="minorHAnsi" w:eastAsiaTheme="minorEastAsia" w:hAnsiTheme="minorHAnsi" w:cstheme="minorBidi"/>
              <w:bCs w:val="0"/>
              <w:color w:val="auto"/>
              <w:spacing w:val="0"/>
              <w:sz w:val="22"/>
              <w:szCs w:val="22"/>
            </w:rPr>
          </w:pPr>
          <w:hyperlink w:anchor="_Toc533002645" w:history="1">
            <w:r w:rsidR="00DE05C6" w:rsidRPr="00454BD9">
              <w:rPr>
                <w:rStyle w:val="Hyperlink"/>
                <w:rtl/>
              </w:rPr>
              <w:t>מקומו של הסיכול הממוקד נוכח עתיד הלוחמה בטרור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_Toc533002645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250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46" w:history="1">
            <w:r w:rsidR="00DE05C6" w:rsidRPr="00454BD9">
              <w:rPr>
                <w:rStyle w:val="Hyperlink"/>
                <w:rtl/>
              </w:rPr>
              <w:t>הצעות למחקרים עתידיים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_Toc533002646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251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47" w:history="1">
            <w:r w:rsidR="00DE05C6" w:rsidRPr="00454BD9">
              <w:rPr>
                <w:rStyle w:val="Hyperlink"/>
                <w:rtl/>
              </w:rPr>
              <w:t>רשימת מקורות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_Toc533002647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252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48" w:history="1">
            <w:r w:rsidR="00DE05C6" w:rsidRPr="00454BD9">
              <w:rPr>
                <w:rStyle w:val="Hyperlink"/>
                <w:rtl/>
              </w:rPr>
              <w:t>נספחים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_Toc533002648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270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DE05C6" w:rsidRPr="00454BD9" w:rsidRDefault="00A50736" w:rsidP="00DE05C6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33002649" w:history="1">
            <w:r w:rsidR="00DE05C6" w:rsidRPr="00454BD9">
              <w:rPr>
                <w:rStyle w:val="Hyperlink"/>
              </w:rPr>
              <w:t>Abstract</w:t>
            </w:r>
            <w:r w:rsidR="00DE05C6" w:rsidRPr="00454BD9">
              <w:rPr>
                <w:webHidden/>
              </w:rPr>
              <w:tab/>
            </w:r>
            <w:r w:rsidR="00DE05C6" w:rsidRPr="00454BD9">
              <w:rPr>
                <w:rStyle w:val="Hyperlink"/>
                <w:rtl/>
              </w:rPr>
              <w:fldChar w:fldCharType="begin"/>
            </w:r>
            <w:r w:rsidR="00DE05C6" w:rsidRPr="00454BD9">
              <w:rPr>
                <w:webHidden/>
              </w:rPr>
              <w:instrText xml:space="preserve"> PAGEREF _Toc533002649 \h </w:instrText>
            </w:r>
            <w:r w:rsidR="00DE05C6" w:rsidRPr="00454BD9">
              <w:rPr>
                <w:rStyle w:val="Hyperlink"/>
                <w:rtl/>
              </w:rPr>
            </w:r>
            <w:r w:rsidR="00DE05C6" w:rsidRPr="00454BD9">
              <w:rPr>
                <w:rStyle w:val="Hyperlink"/>
                <w:rtl/>
              </w:rPr>
              <w:fldChar w:fldCharType="separate"/>
            </w:r>
            <w:r w:rsidR="00DE05C6" w:rsidRPr="00454BD9">
              <w:rPr>
                <w:webHidden/>
              </w:rPr>
              <w:t>I</w:t>
            </w:r>
            <w:r w:rsidR="00DE05C6" w:rsidRPr="00454BD9">
              <w:rPr>
                <w:rStyle w:val="Hyperlink"/>
                <w:rtl/>
              </w:rPr>
              <w:fldChar w:fldCharType="end"/>
            </w:r>
          </w:hyperlink>
        </w:p>
        <w:p w:rsidR="00B56F3A" w:rsidRDefault="00DE05C6" w:rsidP="00DE05C6">
          <w:r w:rsidRPr="00454BD9">
            <w:rPr>
              <w:b/>
              <w:bCs/>
              <w:lang w:val="he-IL"/>
            </w:rPr>
            <w:fldChar w:fldCharType="end"/>
          </w:r>
        </w:p>
      </w:sdtContent>
    </w:sdt>
    <w:sectPr w:rsidR="00B56F3A" w:rsidSect="00A303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6"/>
    <w:rsid w:val="00A303B3"/>
    <w:rsid w:val="00A50736"/>
    <w:rsid w:val="00B56F3A"/>
    <w:rsid w:val="00D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A999"/>
  <w15:chartTrackingRefBased/>
  <w15:docId w15:val="{994C802D-B2D3-4AFF-BD54-D2A0D62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5C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05C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E05C6"/>
    <w:pPr>
      <w:tabs>
        <w:tab w:val="right" w:leader="dot" w:pos="8630"/>
      </w:tabs>
      <w:spacing w:before="240" w:after="0" w:line="360" w:lineRule="auto"/>
      <w:ind w:left="6" w:hanging="6"/>
      <w:contextualSpacing/>
    </w:pPr>
    <w:rPr>
      <w:rFonts w:ascii="David" w:eastAsia="Calibri" w:hAnsi="David" w:cs="David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E05C6"/>
    <w:pPr>
      <w:tabs>
        <w:tab w:val="right" w:leader="dot" w:pos="9656"/>
      </w:tabs>
      <w:spacing w:after="0" w:line="360" w:lineRule="auto"/>
      <w:ind w:hanging="7"/>
      <w:contextualSpacing/>
      <w:jc w:val="both"/>
    </w:pPr>
    <w:rPr>
      <w:rFonts w:ascii="Times New Roman" w:eastAsia="Calibri" w:hAnsi="Times New Roman" w:cs="David"/>
      <w:bCs/>
      <w:noProof/>
      <w:color w:val="000000"/>
      <w:spacing w:val="-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0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05C6"/>
    <w:pPr>
      <w:outlineLvl w:val="9"/>
    </w:pPr>
    <w:rPr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DE05C6"/>
    <w:pPr>
      <w:tabs>
        <w:tab w:val="right" w:leader="dot" w:pos="8630"/>
      </w:tabs>
      <w:spacing w:after="0" w:line="360" w:lineRule="auto"/>
      <w:ind w:left="-7" w:firstLine="142"/>
      <w:contextualSpacing/>
      <w:jc w:val="both"/>
    </w:pPr>
    <w:rPr>
      <w:rFonts w:ascii="Times New Roman" w:eastAsia="Calibri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1700</Words>
  <Characters>9201</Characters>
  <Application>Microsoft Office Word</Application>
  <DocSecurity>0</DocSecurity>
  <Lines>353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</dc:creator>
  <cp:keywords/>
  <dc:description/>
  <cp:lastModifiedBy>Avi Staiman</cp:lastModifiedBy>
  <cp:revision>2</cp:revision>
  <dcterms:created xsi:type="dcterms:W3CDTF">2018-12-20T07:37:00Z</dcterms:created>
  <dcterms:modified xsi:type="dcterms:W3CDTF">2018-12-20T07:37:00Z</dcterms:modified>
</cp:coreProperties>
</file>